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64F4F" w14:textId="39B37BD1" w:rsidR="00781170" w:rsidRPr="00781170" w:rsidRDefault="00153DC5" w:rsidP="00781170">
      <w:pPr>
        <w:pStyle w:val="Titulodeartculo"/>
        <w:rPr>
          <w:lang w:val="en-US"/>
        </w:rPr>
      </w:pPr>
      <w:r w:rsidRPr="002B2297">
        <w:rPr>
          <w:lang w:val="en-US"/>
        </w:rPr>
        <w:t xml:space="preserve"> </w:t>
      </w:r>
      <w:bookmarkStart w:id="0" w:name="_Hlk153885802"/>
      <w:r w:rsidR="00781170" w:rsidRPr="00781170">
        <w:rPr>
          <w:lang w:val="en-US"/>
        </w:rPr>
        <w:t>Psychometric Properties of a New Scale to Measure Patience</w:t>
      </w:r>
    </w:p>
    <w:bookmarkEnd w:id="0"/>
    <w:p w14:paraId="166E5255" w14:textId="2E8511A3" w:rsidR="00C413D4" w:rsidRPr="00E25900" w:rsidRDefault="00C413D4" w:rsidP="00DE1119">
      <w:pPr>
        <w:rPr>
          <w:b/>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02BDFD71" w:rsidR="00C413D4" w:rsidRPr="00E25900" w:rsidRDefault="00C53B2E" w:rsidP="005B5614">
      <w:pPr>
        <w:jc w:val="both"/>
        <w:rPr>
          <w:sz w:val="20"/>
          <w:szCs w:val="20"/>
          <w:lang w:val="en-US"/>
        </w:rPr>
      </w:pPr>
      <w:r w:rsidRPr="00C53B2E">
        <w:rPr>
          <w:sz w:val="20"/>
          <w:szCs w:val="20"/>
          <w:lang w:val="en-US"/>
        </w:rPr>
        <w:t xml:space="preserve">Background: </w:t>
      </w:r>
      <w:bookmarkStart w:id="1" w:name="_Hlk152710665"/>
      <w:r w:rsidRPr="00C53B2E">
        <w:rPr>
          <w:sz w:val="20"/>
          <w:szCs w:val="20"/>
          <w:lang w:val="en-US"/>
        </w:rPr>
        <w:t>Patience scales have gained significance in research over the last decade as they serve as a clinical indicator of psychological health. Objective: to determine the construct validity, convergent and discriminant, of a scale to measure patience. Method:</w:t>
      </w:r>
      <w:bookmarkEnd w:id="1"/>
      <w:r w:rsidRPr="00C53B2E">
        <w:rPr>
          <w:sz w:val="20"/>
          <w:szCs w:val="20"/>
          <w:lang w:val="en-US"/>
        </w:rPr>
        <w:t xml:space="preserve"> An incidental sample of 289 university students, with an average age of 21.36 years, participated. Expert judgment was used as the first filter, then exploratory factor analysis (EFA) was applied with 144 random cases in the sample, and finally, confirmatory factor analysis (CFA) was applied in the rest (145). Pearson's r was also used. Results: The result is a </w:t>
      </w:r>
      <w:bookmarkStart w:id="2" w:name="_Hlk141119540"/>
      <w:r w:rsidRPr="00C53B2E">
        <w:rPr>
          <w:sz w:val="20"/>
          <w:szCs w:val="20"/>
          <w:lang w:val="en-US"/>
        </w:rPr>
        <w:t xml:space="preserve">one-dimensional </w:t>
      </w:r>
      <w:bookmarkEnd w:id="2"/>
      <w:r w:rsidRPr="00C53B2E">
        <w:rPr>
          <w:sz w:val="20"/>
          <w:szCs w:val="20"/>
          <w:lang w:val="en-US"/>
        </w:rPr>
        <w:t>scale, with good fit and appropriate reliability: X² = 2.150; df = 2; X²/df = 1.075; CFI = .999; RMSEA = .023 (90% CI, [.000, 168]); alpha = .75; omega = .75. The scale has convergent validity with the Three-Factor Patience Questionnaire (r = .55 [.45, .78], d = median)</w:t>
      </w:r>
      <w:bookmarkStart w:id="3" w:name="_Hlk77157607"/>
      <w:r w:rsidRPr="00C53B2E">
        <w:rPr>
          <w:sz w:val="20"/>
          <w:szCs w:val="20"/>
          <w:lang w:val="en-US"/>
        </w:rPr>
        <w:t xml:space="preserve"> and exhibits discriminant validity with the</w:t>
      </w:r>
      <w:bookmarkStart w:id="4" w:name="_Hlk66730815"/>
      <w:r w:rsidRPr="00C53B2E">
        <w:rPr>
          <w:sz w:val="20"/>
          <w:szCs w:val="20"/>
          <w:lang w:val="en-US"/>
        </w:rPr>
        <w:t xml:space="preserve"> Anger-G Propensity Scale (r = -.29 [-.13, -.46], d = small).</w:t>
      </w:r>
      <w:bookmarkEnd w:id="3"/>
      <w:bookmarkEnd w:id="4"/>
      <w:r w:rsidRPr="00C53B2E">
        <w:rPr>
          <w:sz w:val="20"/>
          <w:szCs w:val="20"/>
          <w:lang w:val="en-US"/>
        </w:rPr>
        <w:t xml:space="preserve"> Conclusion: It is concluded that the Brief Patience-G Scale has good psychometric properties, and its use is recommended for Spanish-speaking university students</w:t>
      </w:r>
      <w:r w:rsidR="00153DC5" w:rsidRPr="00E25900">
        <w:rPr>
          <w:sz w:val="20"/>
          <w:szCs w:val="20"/>
          <w:lang w:val="en-US"/>
        </w:rPr>
        <w:t>.</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57930E9A" w14:textId="1B37797B" w:rsidR="00AE4F9D" w:rsidRPr="00E25900" w:rsidRDefault="00AE4F9D" w:rsidP="007A7C7C">
      <w:pPr>
        <w:jc w:val="both"/>
        <w:rPr>
          <w:bCs/>
          <w:sz w:val="20"/>
          <w:szCs w:val="20"/>
          <w:lang w:val="en-US"/>
        </w:rPr>
      </w:pPr>
      <w:r w:rsidRPr="00AE4F9D">
        <w:rPr>
          <w:bCs/>
          <w:sz w:val="20"/>
          <w:szCs w:val="20"/>
          <w:lang w:val="en-US"/>
        </w:rPr>
        <w:t>Questionnaire; Construct validity</w:t>
      </w:r>
      <w:r w:rsidR="00C46A17">
        <w:rPr>
          <w:bCs/>
          <w:sz w:val="20"/>
          <w:szCs w:val="20"/>
          <w:lang w:val="en-US"/>
        </w:rPr>
        <w:t>,</w:t>
      </w:r>
      <w:r w:rsidRPr="00AE4F9D">
        <w:rPr>
          <w:bCs/>
          <w:sz w:val="20"/>
          <w:szCs w:val="20"/>
          <w:lang w:val="en-US"/>
        </w:rPr>
        <w:t xml:space="preserve"> </w:t>
      </w:r>
      <w:r w:rsidR="00155D9E">
        <w:rPr>
          <w:bCs/>
          <w:sz w:val="20"/>
          <w:szCs w:val="20"/>
          <w:lang w:val="en-US"/>
        </w:rPr>
        <w:t>c</w:t>
      </w:r>
      <w:r w:rsidRPr="00AE4F9D">
        <w:rPr>
          <w:bCs/>
          <w:sz w:val="20"/>
          <w:szCs w:val="20"/>
          <w:lang w:val="en-US"/>
        </w:rPr>
        <w:t xml:space="preserve">onvergent and </w:t>
      </w:r>
      <w:r w:rsidR="00155D9E">
        <w:rPr>
          <w:bCs/>
          <w:sz w:val="20"/>
          <w:szCs w:val="20"/>
          <w:lang w:val="en-US"/>
        </w:rPr>
        <w:t>d</w:t>
      </w:r>
      <w:r w:rsidRPr="00AE4F9D">
        <w:rPr>
          <w:bCs/>
          <w:sz w:val="20"/>
          <w:szCs w:val="20"/>
          <w:lang w:val="en-US"/>
        </w:rPr>
        <w:t>iscriminant; Reliability; Confirmatory Factor Analysis; University students</w:t>
      </w:r>
    </w:p>
    <w:p w14:paraId="3C2A8692" w14:textId="46796CA0" w:rsidR="00153DC5" w:rsidRPr="00E25900" w:rsidRDefault="00153DC5" w:rsidP="007A7C7C">
      <w:pPr>
        <w:jc w:val="both"/>
        <w:rPr>
          <w:bCs/>
          <w:sz w:val="20"/>
          <w:szCs w:val="20"/>
          <w:lang w:val="en-US"/>
        </w:rPr>
      </w:pPr>
    </w:p>
    <w:p w14:paraId="1D18B459" w14:textId="7EC1FF2A" w:rsidR="009E37BF" w:rsidRPr="00781170" w:rsidRDefault="009E37BF" w:rsidP="009E37BF">
      <w:pPr>
        <w:pBdr>
          <w:top w:val="nil"/>
          <w:left w:val="nil"/>
          <w:bottom w:val="nil"/>
          <w:right w:val="nil"/>
          <w:between w:val="nil"/>
        </w:pBdr>
        <w:spacing w:after="120"/>
        <w:jc w:val="center"/>
        <w:rPr>
          <w:b/>
          <w:smallCaps/>
          <w:color w:val="000000"/>
          <w:sz w:val="20"/>
          <w:szCs w:val="20"/>
          <w:lang w:val="es-CO"/>
        </w:rPr>
      </w:pPr>
      <w:r w:rsidRPr="00781170">
        <w:rPr>
          <w:b/>
          <w:smallCaps/>
          <w:color w:val="000000"/>
          <w:sz w:val="20"/>
          <w:szCs w:val="20"/>
          <w:lang w:val="es-CO"/>
        </w:rPr>
        <w:t>Resumen</w:t>
      </w:r>
    </w:p>
    <w:p w14:paraId="2E8C40A2" w14:textId="1AB142F2" w:rsidR="006556E2" w:rsidRPr="006556E2" w:rsidRDefault="006556E2" w:rsidP="009E37BF">
      <w:pPr>
        <w:jc w:val="both"/>
        <w:rPr>
          <w:sz w:val="20"/>
          <w:szCs w:val="20"/>
          <w:lang w:val="es-CO"/>
        </w:rPr>
      </w:pPr>
      <w:r w:rsidRPr="006556E2">
        <w:rPr>
          <w:sz w:val="20"/>
          <w:szCs w:val="20"/>
          <w:lang w:val="es-CO"/>
        </w:rPr>
        <w:t>Antecedentes: las escalas de paciencia han adquirido importancia en la investigación durante la última década ya que sirven como un marcador clínico de salud psicológica. Objetivo: determinar la validez de constructo, convergente y discriminante, de una escala para medir paciencia. Método: participó una muestra incidental de 289 estudiantes universitarios con edad promedio de 21,36 años. Se utilizó como primer filtro el juicio de expertos, luego se aplicó el análisis factorial exploratorio (AFE) con 144 casos aleatorios en la muestra, y finalmente se aplicó el análisis factorial confirmatorio (AFC) en el resto (145). También se utilizó la r de Pearson. Resultados: una escala unidimensional, con buen ajuste y confiabilidad adecuada: X² = 2.150; gl = 2; X²/gl = 1.075; CFI = .999; RMSEA = 0.023 (IC del 90 %, [0.000, 168]); alfa = 0.75; omega = .75. La escala tiene validez convergente con el Cuestionario de paciencia de tres factores (r = 0.55 [0.45, 0.78], d = mediana) y exhibe validez discriminante con la Escala de propensión a la ira-G (r = -0.29 [-0.13, -.46], d = pequeño). Conclusión: la Escala de Paciencia Breve-G tiene buenas propiedades psicométricas, y se recomienda su uso para estudiantes universitarios de habla hispana</w:t>
      </w:r>
      <w:r>
        <w:rPr>
          <w:sz w:val="20"/>
          <w:szCs w:val="20"/>
          <w:lang w:val="es-CO"/>
        </w:rPr>
        <w:t>.</w:t>
      </w:r>
    </w:p>
    <w:p w14:paraId="32A22B7A" w14:textId="77777777" w:rsidR="009E37BF" w:rsidRPr="00781170" w:rsidRDefault="009E37BF" w:rsidP="009E37BF">
      <w:pPr>
        <w:rPr>
          <w:sz w:val="20"/>
          <w:szCs w:val="20"/>
          <w:lang w:val="es-CO"/>
        </w:rPr>
      </w:pPr>
    </w:p>
    <w:p w14:paraId="126AA7B0" w14:textId="09B24EAA" w:rsidR="009E37BF" w:rsidRPr="00781170" w:rsidRDefault="009E37BF" w:rsidP="009E37BF">
      <w:pPr>
        <w:jc w:val="both"/>
        <w:rPr>
          <w:b/>
          <w:sz w:val="20"/>
          <w:szCs w:val="20"/>
          <w:lang w:val="es-CO"/>
        </w:rPr>
      </w:pPr>
      <w:r w:rsidRPr="00781170">
        <w:rPr>
          <w:b/>
          <w:sz w:val="20"/>
          <w:szCs w:val="20"/>
          <w:lang w:val="es-CO"/>
        </w:rPr>
        <w:t>Palabras clave</w:t>
      </w:r>
    </w:p>
    <w:p w14:paraId="7189B82D" w14:textId="49D6C26A" w:rsidR="00E55124" w:rsidRPr="00240726" w:rsidRDefault="00C46A17" w:rsidP="009E37BF">
      <w:pPr>
        <w:jc w:val="both"/>
        <w:rPr>
          <w:sz w:val="20"/>
          <w:szCs w:val="20"/>
          <w:lang w:val="pt-BR"/>
        </w:rPr>
      </w:pPr>
      <w:r w:rsidRPr="00240726">
        <w:rPr>
          <w:sz w:val="20"/>
          <w:szCs w:val="20"/>
          <w:lang w:val="pt-BR"/>
        </w:rPr>
        <w:t xml:space="preserve">Cuestionario; Validez de constructo, </w:t>
      </w:r>
      <w:r w:rsidR="00155D9E" w:rsidRPr="00240726">
        <w:rPr>
          <w:sz w:val="20"/>
          <w:szCs w:val="20"/>
          <w:lang w:val="pt-BR"/>
        </w:rPr>
        <w:t>convergente</w:t>
      </w:r>
      <w:r w:rsidRPr="00240726">
        <w:rPr>
          <w:sz w:val="20"/>
          <w:szCs w:val="20"/>
          <w:lang w:val="pt-BR"/>
        </w:rPr>
        <w:t xml:space="preserve"> </w:t>
      </w:r>
      <w:r w:rsidR="00155D9E" w:rsidRPr="00240726">
        <w:rPr>
          <w:sz w:val="20"/>
          <w:szCs w:val="20"/>
          <w:lang w:val="pt-BR"/>
        </w:rPr>
        <w:t>y discriminante</w:t>
      </w:r>
      <w:r w:rsidRPr="00240726">
        <w:rPr>
          <w:sz w:val="20"/>
          <w:szCs w:val="20"/>
          <w:lang w:val="pt-BR"/>
        </w:rPr>
        <w:t xml:space="preserve">; Confiabilidad; Análisis Factorial Confirmatorio; Estudiantes universitarios </w:t>
      </w:r>
      <w:r w:rsidR="00E55124" w:rsidRPr="00240726">
        <w:rPr>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CAE8512" w14:textId="0911FEF3" w:rsidR="00FE6815" w:rsidRPr="00FE6815" w:rsidRDefault="0059034C" w:rsidP="00FE6815">
      <w:pPr>
        <w:spacing w:line="480" w:lineRule="auto"/>
        <w:jc w:val="center"/>
      </w:pPr>
      <w:r w:rsidRPr="009E37BF">
        <w:br w:type="page"/>
      </w:r>
      <w:r w:rsidR="00FE6815" w:rsidRPr="00FE6815">
        <w:lastRenderedPageBreak/>
        <w:t>Propiedades Psicométricas de una Nueva Escala para medir Paciencia</w:t>
      </w:r>
    </w:p>
    <w:p w14:paraId="4FA726CB" w14:textId="0CA97B8C" w:rsidR="006A1BA2" w:rsidRPr="0042142D" w:rsidRDefault="00153DC5" w:rsidP="00CE7D65">
      <w:pPr>
        <w:pStyle w:val="Ttulosinternos"/>
        <w:rPr>
          <w:bCs/>
        </w:rPr>
      </w:pPr>
      <w:r w:rsidRPr="0042142D">
        <w:t>Introduction</w:t>
      </w:r>
    </w:p>
    <w:p w14:paraId="2CBBFB79" w14:textId="77777777" w:rsidR="00A846F7" w:rsidRDefault="00A846F7" w:rsidP="00A846F7">
      <w:pPr>
        <w:pStyle w:val="Prrafocomn"/>
        <w:rPr>
          <w:color w:val="000000"/>
        </w:rPr>
      </w:pPr>
      <w:r w:rsidRPr="00A87E0A">
        <w:rPr>
          <w:color w:val="000000"/>
        </w:rPr>
        <w:t>Patience is a very important psychological characteristic of the three Abrahamic monotheistic religions of Islam, Judaism, and Christianity (Wainwrigh, 2018), but it has been seldom examined scientifically and only recently. Schnitker (2012) in the United States, Khormaei et al. (2014a) in Iran and Deng &amp; Li (2016) in China have developed instruments to measure patience. Schnitker (2012) designed and validated the Three-Factor Patience Questionnaire: 1) interpersonal patience,</w:t>
      </w:r>
      <w:r w:rsidRPr="00A87E0A" w:rsidDel="0082778A">
        <w:rPr>
          <w:color w:val="000000"/>
        </w:rPr>
        <w:t xml:space="preserve"> </w:t>
      </w:r>
      <w:r w:rsidRPr="00A87E0A">
        <w:rPr>
          <w:color w:val="000000"/>
        </w:rPr>
        <w:t>2) life hardship patience, and 3)</w:t>
      </w:r>
      <w:r w:rsidRPr="00A87E0A">
        <w:t xml:space="preserve"> </w:t>
      </w:r>
      <w:r w:rsidRPr="00A87E0A">
        <w:rPr>
          <w:color w:val="000000"/>
        </w:rPr>
        <w:t>daily hassles patience. For their part, Khormaei et al. (2014a) created and validated the Patience Scale, with five factors: 1) significance, 2) tolerance, 3) satisfaction, 4) persistence and 5) delay. Finally, Deng &amp; Li (2016, p. 807) designed the Buddhist Patience Questionnaire, which has three factors: 1) “… patience to voluntarily endure suffering”, 2) “… patience not to respond with retaliation in the face of the damage suffered” and 3) “… the patience that is reached by ascertaining the circumstances of existence”.</w:t>
      </w:r>
    </w:p>
    <w:p w14:paraId="5663B4FC" w14:textId="77777777" w:rsidR="00A846F7" w:rsidRDefault="00A846F7" w:rsidP="00A846F7">
      <w:pPr>
        <w:pStyle w:val="Prrafocomn"/>
        <w:rPr>
          <w:color w:val="000000"/>
        </w:rPr>
      </w:pPr>
      <w:r w:rsidRPr="00A87E0A">
        <w:rPr>
          <w:color w:val="000000"/>
        </w:rPr>
        <w:t xml:space="preserve">Schnitker (2012, p. 263) defines patience as “... the propensity to wait calmly in the face of frustration, adversity or suffering”. More recently, Schnitker et al. (2017, p. 265) redefined this definition by saying, “… we conceptualize patience as a willingness to suffer - endure or tolerate - that which is perceived as negative circumstances”. In the second definition, there is a substantial change, since it is no longer a propensity to wait but to suffer. This also requires changes in the operational definition, that is, in the trifactorial instrument that was generated under the aegis of the first definition, but this apparently has not been done by the author to date. However, there is an amazing similarity in part of the first definition of patience that Schnitker proposes and that adduced by the apostle Saint Paul (Romans 5, 1-5), who stated that “… suffering begets patience…”. Schnitker's (2012) conceptual approach to patience is open to criticism for at least three reasons. First, she contends that patience is a response to frustration, adversity or suffering. It is true that patience can occur in the face of adversity, frustration or suffering, but probably none of these events are essential for patience to happen. There can be patience in the absence of frustration, adversity or suffering. For example, someone may be patiently waiting at home for their rental car to arrive without any frustration, adversity or suffering. A second criticism of Schnitker's (2012) definition of patience, derived from the first, is that to observe the occurrence of patience, it must be verified that the person is experiencing frustration, adversity or suffering and then the existence of patience must be </w:t>
      </w:r>
      <w:r w:rsidRPr="00A87E0A">
        <w:rPr>
          <w:color w:val="000000"/>
        </w:rPr>
        <w:lastRenderedPageBreak/>
        <w:t xml:space="preserve">measured. Finally, the author's approach further conditions patience to be a calm wait, which could occur, but is not necessarily a </w:t>
      </w:r>
      <w:r w:rsidRPr="00A87E0A">
        <w:rPr>
          <w:i/>
          <w:color w:val="000000"/>
        </w:rPr>
        <w:t>sine qua non</w:t>
      </w:r>
      <w:r w:rsidRPr="00A87E0A">
        <w:rPr>
          <w:color w:val="000000"/>
        </w:rPr>
        <w:t xml:space="preserve"> requirement. For example, someone may be in physical pain and not calm at all but patiently waiting for their turn to be seen by the doctor. To call patience calm is to subject it to another restriction against the search for a universal conceptualization. In any case, whether or not patience requires frustration, adversity or suffering and whether or not its nature involves calm is a matter not yet established empirically. Patience implies accepting that what you want will not necessarily happen immediately. What you want to happen could be something that has never happened or something that is already happening that you want to stop. For example, if someone wanted to have a better job, obtaining a better job would require a willingness to wait, among many other things. Additionally, if someone is ill, they need the willingness to wait for the eventual recovery of their health. Therefore, patience can be defined as the interaction between the desired goal and waiting for the goal to occur. This is probably a more general concept of patience. Apparently, the definition of patience offered here is free from the three criticisms discussed above. However, it is also convenient to see where these definitions coincide. Obviously, patience necessarily implies waiting. Without waiting, there is no patience. However, wait for what? The definition of</w:t>
      </w:r>
      <w:bookmarkStart w:id="5" w:name="_Hlk77147720"/>
      <w:r w:rsidRPr="00A87E0A">
        <w:rPr>
          <w:color w:val="000000"/>
        </w:rPr>
        <w:t xml:space="preserve"> Schnitker (2012)</w:t>
      </w:r>
      <w:bookmarkEnd w:id="5"/>
      <w:r w:rsidRPr="00A87E0A">
        <w:rPr>
          <w:color w:val="000000"/>
        </w:rPr>
        <w:t xml:space="preserve"> implies that patience is waiting for something that a person desires. Here, there is a coincidence with the approach of</w:t>
      </w:r>
      <w:bookmarkStart w:id="6" w:name="_Hlk77147785"/>
      <w:r w:rsidRPr="00A87E0A">
        <w:rPr>
          <w:color w:val="000000"/>
        </w:rPr>
        <w:t xml:space="preserve"> Blount &amp; Janicik (1999, 2000</w:t>
      </w:r>
      <w:bookmarkEnd w:id="6"/>
      <w:r w:rsidRPr="00A87E0A">
        <w:rPr>
          <w:color w:val="000000"/>
        </w:rPr>
        <w:t>), who contend that patience occurs when there is a delay in achieving a goal. Recently, Schnitker et al. (2017) argued that perhaps patience can also occur in situations where the temporal dimension of waiting is not explicit, for example, when dealing with a frustrating family member. However, the temporary component of waiting is still present because what is desired and, therefore, is expected in an indeterminate time, is for the frustrating family member to change his behavior in a given moment.</w:t>
      </w:r>
      <w:bookmarkStart w:id="7" w:name="_Hlk77147882"/>
    </w:p>
    <w:p w14:paraId="17AE2D2F" w14:textId="77777777" w:rsidR="00A846F7" w:rsidRDefault="00A846F7" w:rsidP="00A846F7">
      <w:pPr>
        <w:pStyle w:val="Prrafocomn"/>
        <w:rPr>
          <w:color w:val="000000"/>
        </w:rPr>
      </w:pPr>
      <w:r w:rsidRPr="00A87E0A">
        <w:rPr>
          <w:color w:val="000000"/>
        </w:rPr>
        <w:t>Mehrabian (1999)</w:t>
      </w:r>
      <w:bookmarkEnd w:id="7"/>
      <w:r w:rsidRPr="00A87E0A">
        <w:rPr>
          <w:color w:val="000000"/>
        </w:rPr>
        <w:t xml:space="preserve"> coined a typology of patience, dividing it into three categories: 1) short-term patience (e.g., when someone waits on the phone to be connected), 2) long-term patience (e.g., when it is expected to pay the mortgage to later commit to another large loan), and 3) interpersonal patience (e.g., when someone has to accept certain impertinences from a coworker). Schnitker (2012) also created a tripartite typology very similar to that of Mehrabian (1999). Both have the same category of interpersonal patience, which she calls patience in the face of life's difficulties. Mehrabian (1999) described it as long-term patience, and his concept of short-term patience is equivalent to Schnitker’s (2012) patience in the face of life's difficulties or everyday annoyances. For their part, Curry et al. (2008) defined patience as the </w:t>
      </w:r>
      <w:r w:rsidRPr="00A87E0A">
        <w:rPr>
          <w:color w:val="000000"/>
        </w:rPr>
        <w:lastRenderedPageBreak/>
        <w:t>ability of individuals to prefer future rewards over immediate rewards and the ability to wait for these rewards.</w:t>
      </w:r>
    </w:p>
    <w:p w14:paraId="2E46557F" w14:textId="06F81B88" w:rsidR="00303B41" w:rsidRDefault="00A846F7" w:rsidP="00A846F7">
      <w:pPr>
        <w:pStyle w:val="Prrafocomn"/>
        <w:rPr>
          <w:color w:val="0070C0"/>
        </w:rPr>
      </w:pPr>
      <w:r w:rsidRPr="00A87E0A">
        <w:rPr>
          <w:color w:val="000000"/>
        </w:rPr>
        <w:t xml:space="preserve">The study reported here is based on interbehavioral theory (Kantor &amp; Smith, 1975) and, particularly, the concept derived from it, known as the interactive style of personality (Ribes-Iñesta, 2009). From this point of view, patience can be seen as an interactive product of the stimulus function, primarily, the achievement of a goal relatively delayed in time and linked to the response function of waiting. </w:t>
      </w:r>
      <w:r w:rsidR="00303B41" w:rsidRPr="00303B41">
        <w:rPr>
          <w:color w:val="0070C0"/>
        </w:rPr>
        <w:t>Ex</w:t>
      </w:r>
      <w:r w:rsidR="00303B41">
        <w:rPr>
          <w:color w:val="0070C0"/>
        </w:rPr>
        <w:t>ercising patience requires a certain level of self-control.</w:t>
      </w:r>
    </w:p>
    <w:p w14:paraId="27B6747C" w14:textId="4E90B3DD" w:rsidR="00303B41" w:rsidRPr="00381FF4" w:rsidRDefault="00303B41" w:rsidP="00A846F7">
      <w:pPr>
        <w:pStyle w:val="Prrafocomn"/>
        <w:rPr>
          <w:color w:val="000000"/>
        </w:rPr>
      </w:pPr>
      <w:r>
        <w:rPr>
          <w:color w:val="0070C0"/>
        </w:rPr>
        <w:t>It is noteworthy that patience and self-control are considered “character strengths” that promote well-being (</w:t>
      </w:r>
      <w:r w:rsidRPr="00303B41">
        <w:rPr>
          <w:color w:val="0070C0"/>
        </w:rPr>
        <w:t>Schnitker et al., 2017)</w:t>
      </w:r>
      <w:r w:rsidR="00381FF4">
        <w:rPr>
          <w:color w:val="0070C0"/>
        </w:rPr>
        <w:t xml:space="preserve">. However, despite the occasional overlap of these two terms on the scales, la “patience has a meaning </w:t>
      </w:r>
      <w:r w:rsidR="006B5439">
        <w:rPr>
          <w:color w:val="0070C0"/>
        </w:rPr>
        <w:t>b</w:t>
      </w:r>
      <w:r w:rsidR="00381FF4">
        <w:rPr>
          <w:color w:val="0070C0"/>
        </w:rPr>
        <w:t>eyon</w:t>
      </w:r>
      <w:r w:rsidR="00201628">
        <w:rPr>
          <w:color w:val="0070C0"/>
        </w:rPr>
        <w:t>d</w:t>
      </w:r>
      <w:r w:rsidR="00381FF4">
        <w:rPr>
          <w:color w:val="0070C0"/>
        </w:rPr>
        <w:t xml:space="preserve"> self-control and is a discrete variable” (</w:t>
      </w:r>
      <w:r w:rsidR="00381FF4" w:rsidRPr="00381FF4">
        <w:rPr>
          <w:color w:val="0070C0"/>
        </w:rPr>
        <w:t>Khormaei</w:t>
      </w:r>
      <w:r w:rsidR="00381FF4">
        <w:rPr>
          <w:color w:val="0070C0"/>
        </w:rPr>
        <w:t xml:space="preserve"> et al., 2017, p.</w:t>
      </w:r>
      <w:r w:rsidR="00CB6829">
        <w:rPr>
          <w:color w:val="0070C0"/>
        </w:rPr>
        <w:t xml:space="preserve"> </w:t>
      </w:r>
      <w:r w:rsidR="00381FF4">
        <w:rPr>
          <w:color w:val="0070C0"/>
        </w:rPr>
        <w:t>12)</w:t>
      </w:r>
      <w:r w:rsidR="00102F74">
        <w:rPr>
          <w:color w:val="0070C0"/>
        </w:rPr>
        <w:t>. Therefore, it is understandable to encounter items related to self-control within patience scales, as self-control enables assessing an individual’s</w:t>
      </w:r>
      <w:r w:rsidR="004C505E">
        <w:rPr>
          <w:color w:val="0070C0"/>
        </w:rPr>
        <w:t xml:space="preserve"> </w:t>
      </w:r>
      <w:r w:rsidR="00102F74">
        <w:rPr>
          <w:color w:val="0070C0"/>
        </w:rPr>
        <w:t>capac</w:t>
      </w:r>
      <w:r w:rsidR="004C505E">
        <w:rPr>
          <w:color w:val="0070C0"/>
        </w:rPr>
        <w:t>ity for delaying gratification or waiting.</w:t>
      </w:r>
    </w:p>
    <w:p w14:paraId="49FE6C99" w14:textId="5B4AA4EE" w:rsidR="00A846F7" w:rsidRDefault="00A846F7" w:rsidP="00A846F7">
      <w:pPr>
        <w:pStyle w:val="Prrafocomn"/>
        <w:rPr>
          <w:color w:val="000000"/>
        </w:rPr>
      </w:pPr>
      <w:r w:rsidRPr="00A87E0A">
        <w:rPr>
          <w:color w:val="000000"/>
        </w:rPr>
        <w:t>The positive and negative relationship of patience with some socially important psychological variables has been documented. For example, Schnitker &amp; Emmons (2007) found a positive relationship of patience with empathy, forgiveness, prudence, fairness, leadership, and subjective well-being. Additionally, Azizi Ziabari et al. (2019) found a positive relationship between patience and mindfulness and a negative relationship between patience and pain in 110 Iranians with heart disease. Likewise, Valikhani et al. (2017) reported an average of less patience in 91 patients with heart disease than in a group of 91 people free of cardiovascular diseases. Schnitker et al. (2020) studied 248 adults (</w:t>
      </w:r>
      <w:r w:rsidRPr="00A87E0A">
        <w:rPr>
          <w:i/>
          <w:color w:val="000000"/>
        </w:rPr>
        <w:t>M</w:t>
      </w:r>
      <w:r w:rsidRPr="00A87E0A">
        <w:rPr>
          <w:color w:val="000000"/>
        </w:rPr>
        <w:t xml:space="preserve"> age = 40.78 years; </w:t>
      </w:r>
      <w:r w:rsidRPr="00A87E0A">
        <w:rPr>
          <w:i/>
          <w:color w:val="000000"/>
        </w:rPr>
        <w:t>SD</w:t>
      </w:r>
      <w:r w:rsidRPr="00A87E0A">
        <w:rPr>
          <w:color w:val="000000"/>
        </w:rPr>
        <w:t xml:space="preserve"> = 18.97) with different psychiatric clinical diagnoses and found a negative relationship between patience and severe depression. Additionally, Schnitker et al. (2017) found in a sample of 406 adolescents of various religious affiliations, but with a majority of Christians, that patience is predicted by religiosity and spirituality. Khormaei et al. (2014b) found in 516 university students that hopelessness could be predicted by a lack of patience. Eliüşük &amp; Arslan (2017) report positive relationships between patience and self-compassion, self-regulation, agreeableness, openness to experiences, and awareness but a negative relationship with neuroticism. Curry et al. (2008) found that more patient people are also more cooperative.</w:t>
      </w:r>
    </w:p>
    <w:p w14:paraId="7694C35C" w14:textId="64505A03" w:rsidR="00A82FD4" w:rsidRPr="00A82FD4" w:rsidRDefault="00A82FD4" w:rsidP="00A846F7">
      <w:pPr>
        <w:pStyle w:val="Prrafocomn"/>
        <w:rPr>
          <w:color w:val="0070C0"/>
        </w:rPr>
      </w:pPr>
      <w:r w:rsidRPr="00865073">
        <w:rPr>
          <w:color w:val="0070C0"/>
          <w:highlight w:val="yellow"/>
        </w:rPr>
        <w:t xml:space="preserve">While there are some scales regarding patience, there is a lack of validation studies on this topic at both local and regional level. Furthermore, there are few instruments available to measure positive variables. Therefore, these </w:t>
      </w:r>
      <w:r w:rsidR="00865073" w:rsidRPr="00865073">
        <w:rPr>
          <w:color w:val="0070C0"/>
          <w:highlight w:val="yellow"/>
        </w:rPr>
        <w:t>types of scales represent a resource that could expand the investigative spectrum for researchers interested in studying positive variables at local, regional, and international level.</w:t>
      </w:r>
    </w:p>
    <w:p w14:paraId="48B96131" w14:textId="1F633DD9" w:rsidR="00575541" w:rsidRPr="00575541" w:rsidRDefault="00A846F7" w:rsidP="00E061CC">
      <w:pPr>
        <w:pStyle w:val="Prrafocomn"/>
      </w:pPr>
      <w:r w:rsidRPr="00A87E0A">
        <w:rPr>
          <w:color w:val="000000"/>
        </w:rPr>
        <w:lastRenderedPageBreak/>
        <w:t>Based on what was discussed and outlined above, a cross-sectional design of an instrumental type was used to analyze the psychometric properties of the psychological measurement tools (Ato et al., 2013). The objectives and hypotheses of this study were as follows. General objective: 1- Develop and validate an instrument to measure patience. Specific objectives: 1-Evaluate the construct validity and internal consistency of an instrument designed to measure patience. 2-Identify the convergent and discriminant validity of an instrument created to measure patience. Hypothesis: 1-The new patience scale will exhibit good goodness of fit and acceptable levels of alpha and omega internal consistency. 2-There will be convergent validity of the new patience scale, corroborated by its positive correlation with the Three-Factor Patience Questionnaire (Schnitker, 2012). 3-There will be discriminant validity of the new patience scale, verified through its negative correlation with the Anger Propensity Scale (APS-G; García-Cadena et al., 2018).</w:t>
      </w:r>
    </w:p>
    <w:p w14:paraId="2254AC27" w14:textId="06CA9A42" w:rsidR="006F7E7E" w:rsidRPr="00E25900" w:rsidRDefault="001516ED" w:rsidP="001516ED">
      <w:pPr>
        <w:pStyle w:val="Ttulosinternos"/>
      </w:pPr>
      <w:r w:rsidRPr="00E25900">
        <w:t>Method</w:t>
      </w:r>
    </w:p>
    <w:p w14:paraId="2F19162A" w14:textId="58968C22" w:rsidR="006F7E7E" w:rsidRPr="00E25900" w:rsidRDefault="005B5614" w:rsidP="007E3B8D">
      <w:pPr>
        <w:pStyle w:val="SubtituloInterno"/>
        <w:rPr>
          <w:rFonts w:eastAsia="Calibri"/>
        </w:rPr>
      </w:pPr>
      <w:r w:rsidRPr="00E25900">
        <w:rPr>
          <w:rFonts w:eastAsia="Calibri"/>
        </w:rPr>
        <w:t>Participants</w:t>
      </w:r>
    </w:p>
    <w:p w14:paraId="4FE6D803" w14:textId="74B14F5B" w:rsidR="00277074" w:rsidRPr="00277074" w:rsidRDefault="00277074" w:rsidP="00277074">
      <w:pPr>
        <w:pStyle w:val="Prrafocomn"/>
        <w:rPr>
          <w:lang w:eastAsia="en-US"/>
        </w:rPr>
      </w:pPr>
      <w:r w:rsidRPr="00A87E0A">
        <w:rPr>
          <w:color w:val="000000"/>
        </w:rPr>
        <w:t>Study 1 was carried out with an incidental sample of 289 students from the Autonomous University of Nuevo León, an institution of higher public education located in northeastern Mexico. There were 139 (48.10%) men and 150 (51.90%) women. The mean age (</w:t>
      </w:r>
      <w:r w:rsidRPr="00A87E0A">
        <w:rPr>
          <w:i/>
          <w:color w:val="000000"/>
        </w:rPr>
        <w:t>M</w:t>
      </w:r>
      <w:r w:rsidRPr="00A87E0A">
        <w:rPr>
          <w:color w:val="000000"/>
        </w:rPr>
        <w:t>) was 21.36 years, and the standard deviation (</w:t>
      </w:r>
      <w:r w:rsidRPr="00A87E0A">
        <w:rPr>
          <w:i/>
          <w:color w:val="000000"/>
        </w:rPr>
        <w:t>SD</w:t>
      </w:r>
      <w:r w:rsidRPr="00A87E0A">
        <w:rPr>
          <w:color w:val="000000"/>
        </w:rPr>
        <w:t xml:space="preserve">) was 3.47 years. Regarding perceived socioeconomic level, 11.10% reported a low socioeconomic status, while 8.70% reported a high socioeconomic status. A total of 80.20% of the sample indicated a moderate socioeconomic status. Regarding place of birth, 84.70% were born in the state of Nuevo León, Mexico, 13.35% were born in another state (Tamaulipas, Veracruz, Querétaro, Oaxaca, San Luis Potosí, Jalisco, Guanajuato, Texas, Aguascalientes, Coahuila, Zacatecas, Yucatán, Mexico City, Quintana Roo, Durango or Colima; 1.95% listed no birthplace. The students were studying medicine, administration, architecture, accounting, nursing, criminology, dentistry, philosophy and letters, engineering, nutrition, biological sciences, chemical sciences, international business and international </w:t>
      </w:r>
      <w:r w:rsidR="008A38ED" w:rsidRPr="00A87E0A">
        <w:rPr>
          <w:color w:val="000000"/>
        </w:rPr>
        <w:t>relations.</w:t>
      </w:r>
    </w:p>
    <w:p w14:paraId="3A2E82DF" w14:textId="186C0EDB" w:rsidR="00380DEC" w:rsidRDefault="006C5727" w:rsidP="00380DEC">
      <w:pPr>
        <w:pStyle w:val="SubtituloInterno"/>
      </w:pPr>
      <w:r>
        <w:t>Instruments</w:t>
      </w:r>
    </w:p>
    <w:p w14:paraId="0B96C4B1" w14:textId="77777777" w:rsidR="007518ED" w:rsidRDefault="00380DEC" w:rsidP="007518ED">
      <w:pPr>
        <w:pStyle w:val="Prrafocomn"/>
        <w:rPr>
          <w:color w:val="000000"/>
        </w:rPr>
      </w:pPr>
      <w:r w:rsidRPr="00A87E0A">
        <w:rPr>
          <w:i/>
          <w:color w:val="000000"/>
        </w:rPr>
        <w:t>Sociodemographic</w:t>
      </w:r>
      <w:r>
        <w:rPr>
          <w:i/>
          <w:color w:val="000000"/>
        </w:rPr>
        <w:t xml:space="preserve"> </w:t>
      </w:r>
      <w:r w:rsidRPr="00A87E0A">
        <w:rPr>
          <w:i/>
          <w:color w:val="000000"/>
        </w:rPr>
        <w:t>Questionnaire</w:t>
      </w:r>
      <w:r w:rsidR="006C5727" w:rsidRPr="00A87E0A">
        <w:rPr>
          <w:iCs/>
          <w:color w:val="000000"/>
        </w:rPr>
        <w:t xml:space="preserve">. </w:t>
      </w:r>
      <w:r w:rsidR="006C5727" w:rsidRPr="00A87E0A">
        <w:rPr>
          <w:color w:val="000000"/>
        </w:rPr>
        <w:t>Here, questions such as age, sex, perceived socioeconomic status, place of birth, and semester were included.</w:t>
      </w:r>
    </w:p>
    <w:p w14:paraId="7363AFB8" w14:textId="77777777" w:rsidR="007518ED" w:rsidRDefault="007518ED" w:rsidP="007518ED">
      <w:pPr>
        <w:pStyle w:val="Prrafocomn"/>
        <w:rPr>
          <w:color w:val="000000"/>
        </w:rPr>
      </w:pPr>
      <w:r w:rsidRPr="00A87E0A">
        <w:rPr>
          <w:i/>
          <w:color w:val="000000"/>
        </w:rPr>
        <w:lastRenderedPageBreak/>
        <w:t xml:space="preserve">Three-Factor Patience Questionnaire </w:t>
      </w:r>
      <w:r w:rsidR="006C5727" w:rsidRPr="00A87E0A">
        <w:rPr>
          <w:i/>
          <w:color w:val="000000"/>
        </w:rPr>
        <w:t>(</w:t>
      </w:r>
      <w:bookmarkStart w:id="8" w:name="_Hlk67255168"/>
      <w:r w:rsidR="006C5727" w:rsidRPr="00A87E0A">
        <w:rPr>
          <w:i/>
          <w:color w:val="000000"/>
        </w:rPr>
        <w:t>QPTF</w:t>
      </w:r>
      <w:bookmarkEnd w:id="8"/>
      <w:r w:rsidR="006C5727" w:rsidRPr="00A87E0A">
        <w:rPr>
          <w:i/>
          <w:color w:val="000000"/>
        </w:rPr>
        <w:t>; Schnitker, 2012).</w:t>
      </w:r>
      <w:r w:rsidR="006C5727" w:rsidRPr="00A87E0A">
        <w:rPr>
          <w:color w:val="000000"/>
        </w:rPr>
        <w:t xml:space="preserve"> This scale originally consisted of 40 items but was reduced by exploratory factor analysis to 11 items, divided in three domains. First, interpersonal patience is measured with five items: 1) “My friends would say I am a very patient friend”, 2) “I am patient with other people”, 3) “I have</w:t>
      </w:r>
      <w:r w:rsidR="006C5727" w:rsidRPr="00A87E0A">
        <w:t xml:space="preserve"> </w:t>
      </w:r>
      <w:r w:rsidR="006C5727" w:rsidRPr="00A87E0A">
        <w:rPr>
          <w:color w:val="000000"/>
        </w:rPr>
        <w:t>trouble being patient with my close friends and family”, 4) “When someone is having difficulty learning something new, I will be able to help them without getting frustrated or</w:t>
      </w:r>
      <w:r w:rsidR="006C5727" w:rsidRPr="00A87E0A">
        <w:t xml:space="preserve"> annoyed</w:t>
      </w:r>
      <w:r w:rsidR="006C5727" w:rsidRPr="00A87E0A">
        <w:rPr>
          <w:color w:val="000000"/>
        </w:rPr>
        <w:t xml:space="preserve">”, and 5) “I find it easy to be patient with people”). Second, </w:t>
      </w:r>
      <w:bookmarkStart w:id="9" w:name="_Hlk140933604"/>
      <w:r w:rsidR="006C5727" w:rsidRPr="00A87E0A">
        <w:rPr>
          <w:color w:val="000000"/>
        </w:rPr>
        <w:t xml:space="preserve">life hardship patience </w:t>
      </w:r>
      <w:bookmarkEnd w:id="9"/>
      <w:r w:rsidR="006C5727" w:rsidRPr="00A87E0A">
        <w:rPr>
          <w:color w:val="000000"/>
        </w:rPr>
        <w:t>is measured with three items: 1) “I am able to wait-out tough times”, 2) “I find it pretty easy to be patient with a difficult life problem or illness”, and 3) “I am patient during life</w:t>
      </w:r>
      <w:r w:rsidR="006C5727" w:rsidRPr="00A87E0A">
        <w:t xml:space="preserve"> </w:t>
      </w:r>
      <w:r w:rsidR="006C5727" w:rsidRPr="00A87E0A">
        <w:rPr>
          <w:color w:val="000000"/>
        </w:rPr>
        <w:t>hardships”. Third,</w:t>
      </w:r>
      <w:r w:rsidR="006C5727" w:rsidRPr="00A87E0A">
        <w:t xml:space="preserve"> daily hassles</w:t>
      </w:r>
      <w:r w:rsidR="006C5727" w:rsidRPr="00A87E0A">
        <w:rPr>
          <w:color w:val="000000"/>
        </w:rPr>
        <w:t xml:space="preserve"> patience is measured with three items: 1) “Although they’re annoying,</w:t>
      </w:r>
      <w:r w:rsidR="006C5727" w:rsidRPr="00A87E0A">
        <w:t xml:space="preserve"> </w:t>
      </w:r>
      <w:r w:rsidR="006C5727" w:rsidRPr="00A87E0A">
        <w:rPr>
          <w:color w:val="000000"/>
        </w:rPr>
        <w:t>I don’t get too upset when stuck in traffic jams”, 2) “In general waiting in lines doesn't bother me”, and 3) “I get very annoyed at red lights”. Only two of these items are negative and their responses scored in reverse. The response options on a 5-point Likert scale were 5 = “Very much like me”, 4 = “Like me”, 3 = “Neutral”, 2 = “Unlike me”, and “Not like me at all”.</w:t>
      </w:r>
    </w:p>
    <w:p w14:paraId="4C3843C7" w14:textId="77777777" w:rsidR="007518ED" w:rsidRDefault="006C5727" w:rsidP="007518ED">
      <w:pPr>
        <w:pStyle w:val="Prrafocomn"/>
        <w:rPr>
          <w:lang w:eastAsia="en-US"/>
        </w:rPr>
      </w:pPr>
      <w:r w:rsidRPr="00A87E0A">
        <w:rPr>
          <w:color w:val="000000"/>
        </w:rPr>
        <w:t>Regarding construct validity, Schnitker &amp; Emmons (2007) report having found good validity with a measurement model of three correlated factors, with the following goodness of fit indices: (</w:t>
      </w:r>
      <w:r w:rsidRPr="00A87E0A">
        <w:rPr>
          <w:i/>
          <w:color w:val="000000"/>
        </w:rPr>
        <w:t>N</w:t>
      </w:r>
      <w:r w:rsidRPr="00A87E0A">
        <w:rPr>
          <w:color w:val="000000"/>
        </w:rPr>
        <w:t xml:space="preserve"> = 359), </w:t>
      </w:r>
      <w:r w:rsidRPr="00A87E0A">
        <w:rPr>
          <w:i/>
          <w:color w:val="000000"/>
        </w:rPr>
        <w:t>CFI</w:t>
      </w:r>
      <w:r w:rsidRPr="00A87E0A">
        <w:rPr>
          <w:color w:val="000000"/>
        </w:rPr>
        <w:t xml:space="preserve"> = .96, </w:t>
      </w:r>
      <w:r w:rsidRPr="00A87E0A">
        <w:rPr>
          <w:i/>
          <w:color w:val="000000"/>
        </w:rPr>
        <w:t>RMSEA</w:t>
      </w:r>
      <w:r w:rsidRPr="00A87E0A">
        <w:rPr>
          <w:color w:val="000000"/>
        </w:rPr>
        <w:t xml:space="preserve"> = .054. Regarding internal consistency (Cronbach's alpha coefficient), the same authors reported in the first study values from .66 (daily hassles patience) to .70 (life hardship patience) to .80 (interpersonal patience). The scale showed an average alpha of .72. In addition, in two applications, two weeks after the first and second evaluation, the test-retest reliability was .66. In the study reported here, Cronbach's alpha was .74, and the omega was .81; the goodness of fit indicators was </w:t>
      </w:r>
      <w:r w:rsidRPr="00A87E0A">
        <w:rPr>
          <w:i/>
          <w:color w:val="000000"/>
        </w:rPr>
        <w:t xml:space="preserve">X²/df </w:t>
      </w:r>
      <w:r w:rsidRPr="00A87E0A">
        <w:rPr>
          <w:color w:val="000000"/>
        </w:rPr>
        <w:t xml:space="preserve">= 2.274; </w:t>
      </w:r>
      <w:r w:rsidRPr="00A87E0A">
        <w:rPr>
          <w:i/>
          <w:color w:val="000000"/>
        </w:rPr>
        <w:t>CFI</w:t>
      </w:r>
      <w:r w:rsidRPr="00A87E0A">
        <w:rPr>
          <w:color w:val="000000"/>
        </w:rPr>
        <w:t xml:space="preserve"> = .938; </w:t>
      </w:r>
      <w:r w:rsidRPr="00A87E0A">
        <w:rPr>
          <w:i/>
          <w:color w:val="000000"/>
        </w:rPr>
        <w:t>NNFI</w:t>
      </w:r>
      <w:r w:rsidRPr="00A87E0A">
        <w:rPr>
          <w:color w:val="000000"/>
        </w:rPr>
        <w:t xml:space="preserve"> = .922; </w:t>
      </w:r>
      <w:r w:rsidRPr="00A87E0A">
        <w:rPr>
          <w:i/>
          <w:color w:val="000000"/>
        </w:rPr>
        <w:t>RMSEA</w:t>
      </w:r>
      <w:r w:rsidRPr="00A87E0A">
        <w:rPr>
          <w:color w:val="000000"/>
        </w:rPr>
        <w:t xml:space="preserve"> = .067 (90% CI [.049, .084]); </w:t>
      </w:r>
      <w:r w:rsidRPr="00A87E0A">
        <w:rPr>
          <w:i/>
          <w:color w:val="000000"/>
        </w:rPr>
        <w:t>SRMR</w:t>
      </w:r>
      <w:r w:rsidRPr="00A87E0A">
        <w:rPr>
          <w:color w:val="000000"/>
        </w:rPr>
        <w:t xml:space="preserve"> = .051.</w:t>
      </w:r>
      <w:r w:rsidRPr="00A87E0A">
        <w:rPr>
          <w:i/>
          <w:color w:val="000000"/>
        </w:rPr>
        <w:t xml:space="preserve"> </w:t>
      </w:r>
    </w:p>
    <w:p w14:paraId="536DDDA5" w14:textId="2BAD18D2" w:rsidR="006C5727" w:rsidRPr="00507B29" w:rsidRDefault="007518ED" w:rsidP="007518ED">
      <w:pPr>
        <w:pStyle w:val="Prrafocomn"/>
        <w:rPr>
          <w:lang w:eastAsia="en-US"/>
        </w:rPr>
      </w:pPr>
      <w:r w:rsidRPr="00A87E0A">
        <w:rPr>
          <w:i/>
          <w:color w:val="000000"/>
        </w:rPr>
        <w:t xml:space="preserve">Anger Propensity Scale-G </w:t>
      </w:r>
      <w:r w:rsidR="006C5727" w:rsidRPr="00A87E0A">
        <w:rPr>
          <w:i/>
          <w:color w:val="000000"/>
        </w:rPr>
        <w:t>(APS-G; García-Cadena et al., 2018).</w:t>
      </w:r>
      <w:r w:rsidR="006C5727" w:rsidRPr="00A87E0A">
        <w:rPr>
          <w:color w:val="000000"/>
        </w:rPr>
        <w:t xml:space="preserve"> This scale was used to determine the discriminant validity of the new patience scale because the literature indicates that there is a negative correlation between anger and patience (Meier, 2019). This scale was validated with 457 participants from the general population (161 women and 296 men). It has four items (e.g., “If someone contradicts me, I get angry”), all positive. The answer options were 4- “Yes”, 3- “It seems so”, 2- “It seems that no” and 1- “No”. The authors report very good construct validity (e.g., </w:t>
      </w:r>
      <w:r w:rsidR="006C5727" w:rsidRPr="00A87E0A">
        <w:rPr>
          <w:i/>
          <w:color w:val="000000"/>
        </w:rPr>
        <w:t>CFI</w:t>
      </w:r>
      <w:r w:rsidR="006C5727" w:rsidRPr="00A87E0A">
        <w:rPr>
          <w:color w:val="000000"/>
        </w:rPr>
        <w:t xml:space="preserve"> = .993; </w:t>
      </w:r>
      <w:r w:rsidR="006C5727" w:rsidRPr="00A87E0A">
        <w:rPr>
          <w:i/>
          <w:color w:val="000000"/>
        </w:rPr>
        <w:t>GFI</w:t>
      </w:r>
      <w:r w:rsidR="006C5727" w:rsidRPr="00A87E0A">
        <w:rPr>
          <w:color w:val="000000"/>
        </w:rPr>
        <w:t xml:space="preserve"> = .996; </w:t>
      </w:r>
      <w:r w:rsidR="006C5727" w:rsidRPr="00A87E0A">
        <w:rPr>
          <w:i/>
          <w:color w:val="000000"/>
        </w:rPr>
        <w:t>RMSEA</w:t>
      </w:r>
      <w:r w:rsidR="006C5727" w:rsidRPr="00A87E0A">
        <w:rPr>
          <w:color w:val="000000"/>
        </w:rPr>
        <w:t xml:space="preserve"> = .051 and </w:t>
      </w:r>
      <w:r w:rsidR="006C5727" w:rsidRPr="00A87E0A">
        <w:rPr>
          <w:i/>
          <w:color w:val="000000"/>
        </w:rPr>
        <w:t>SRMR</w:t>
      </w:r>
      <w:r w:rsidR="006C5727" w:rsidRPr="00A87E0A">
        <w:rPr>
          <w:color w:val="000000"/>
        </w:rPr>
        <w:t xml:space="preserve"> = .0193) and appropriate reliability (</w:t>
      </w:r>
      <w:r w:rsidR="006C5727" w:rsidRPr="00A87E0A">
        <w:rPr>
          <w:i/>
          <w:color w:val="000000"/>
        </w:rPr>
        <w:t>alpha</w:t>
      </w:r>
      <w:r w:rsidR="006C5727" w:rsidRPr="00A87E0A">
        <w:rPr>
          <w:color w:val="000000"/>
        </w:rPr>
        <w:t xml:space="preserve"> = .73; 95% CI [.69, .77], </w:t>
      </w:r>
      <w:r w:rsidR="006C5727" w:rsidRPr="00A87E0A">
        <w:rPr>
          <w:i/>
          <w:iCs/>
          <w:color w:val="000000"/>
        </w:rPr>
        <w:t>omega</w:t>
      </w:r>
      <w:r w:rsidR="006C5727" w:rsidRPr="00A87E0A">
        <w:rPr>
          <w:color w:val="000000"/>
        </w:rPr>
        <w:t xml:space="preserve"> = .73). The answer options used in this study were 5- “Of course so”, 4- “Yes”, 3- “It seems so”, 2- “It seems not”, 1- “No” and 0- “Of course not”. In this study, Cronbach's alpha = .77 and McDonald's omega = .77. The goodness of fit indicators was </w:t>
      </w:r>
      <w:r w:rsidR="006C5727" w:rsidRPr="00A87E0A">
        <w:rPr>
          <w:i/>
          <w:color w:val="000000"/>
        </w:rPr>
        <w:t>CFI</w:t>
      </w:r>
      <w:r w:rsidR="006C5727" w:rsidRPr="00A87E0A">
        <w:rPr>
          <w:color w:val="000000"/>
        </w:rPr>
        <w:t xml:space="preserve"> = .948; </w:t>
      </w:r>
      <w:r w:rsidR="006C5727" w:rsidRPr="00A87E0A">
        <w:rPr>
          <w:i/>
          <w:color w:val="000000"/>
        </w:rPr>
        <w:t>SRMR</w:t>
      </w:r>
      <w:r w:rsidR="006C5727" w:rsidRPr="00A87E0A">
        <w:rPr>
          <w:color w:val="000000"/>
        </w:rPr>
        <w:t xml:space="preserve"> = .050; </w:t>
      </w:r>
      <w:r w:rsidR="006C5727" w:rsidRPr="00A87E0A">
        <w:rPr>
          <w:i/>
          <w:color w:val="000000"/>
        </w:rPr>
        <w:t>RMSEA</w:t>
      </w:r>
      <w:r w:rsidR="006C5727" w:rsidRPr="00A87E0A">
        <w:rPr>
          <w:color w:val="000000"/>
        </w:rPr>
        <w:t xml:space="preserve"> = .167 and </w:t>
      </w:r>
      <w:r w:rsidR="006C5727" w:rsidRPr="00A87E0A">
        <w:rPr>
          <w:i/>
          <w:color w:val="000000"/>
        </w:rPr>
        <w:t>GFI</w:t>
      </w:r>
      <w:r w:rsidR="006C5727" w:rsidRPr="00A87E0A">
        <w:rPr>
          <w:color w:val="000000"/>
        </w:rPr>
        <w:t xml:space="preserve"> = .970</w:t>
      </w:r>
    </w:p>
    <w:p w14:paraId="788EC80D" w14:textId="77777777" w:rsidR="004C1FD8" w:rsidRPr="009E37BF" w:rsidRDefault="007C3C14" w:rsidP="007E3B8D">
      <w:pPr>
        <w:pStyle w:val="SubtituloInterno"/>
      </w:pPr>
      <w:r w:rsidRPr="009E37BF">
        <w:lastRenderedPageBreak/>
        <w:t xml:space="preserve">Procedure </w:t>
      </w:r>
    </w:p>
    <w:p w14:paraId="0D89A9ED" w14:textId="77777777" w:rsidR="002F40A6" w:rsidRDefault="00DF67C6" w:rsidP="00DF67C6">
      <w:pPr>
        <w:pStyle w:val="Prrafocomn"/>
        <w:rPr>
          <w:color w:val="000000"/>
        </w:rPr>
      </w:pPr>
      <w:r w:rsidRPr="00A87E0A">
        <w:rPr>
          <w:color w:val="000000"/>
        </w:rPr>
        <w:t xml:space="preserve">First, the original patience scale, which consisted of 10 items, was submitted to a panel of experts. A total of 52 psychology professionals participated: seven who have finished their undergraduate studies, 14 master's degree candidates or graduates and 31 doctors. Of these experts, 44 had more than five years of experience, and only two had a year or less. The experts rated the 10 items, answering whether or not they were appropriate to measure patience, defined as “…the psychological disposition to wait as long as necessary to get what you want”. The formula proposed by Lawshe (1975) was used to eliminate the effect of chance in the coincidence of trials. The formula provides a content validity ratio (CVR) for each item as a minimum value to discard the item by random coincidence of the judges in their evaluation. The formula involves subtracting from the number of judges who approve an item, half of the judges who answered and then dividing the result again by half of the judges who responded. Through this mechanism, only two items were eliminated, and eight were approved. Another item (I27), of the eight approved by the panel of experts, was also eliminated for not meeting the criteria of Kline (2011) on skewness (values not greater than 3) and kurtosis (values not greater than 10). Subsequently, undergraduate students in psychology, appropriately trained by one of the authors, were in charge of administering the sociodemographic questionnaire and the battery of scales on the constructs. </w:t>
      </w:r>
    </w:p>
    <w:p w14:paraId="5E5FB52C" w14:textId="42DEDCB7" w:rsidR="00DF67C6" w:rsidRPr="004C1FD8" w:rsidRDefault="00DF67C6" w:rsidP="00DF67C6">
      <w:pPr>
        <w:pStyle w:val="Prrafocomn"/>
      </w:pPr>
      <w:r w:rsidRPr="00A87E0A">
        <w:rPr>
          <w:color w:val="000000"/>
        </w:rPr>
        <w:t xml:space="preserve">Students of the different schools of the Autonomous University of Nuevo León in a corridor esplanade, which is an obligatory step to reach their study center or return to their homes, were invited to participate. They were informed that it was a voluntary study on the psychological characteristics of the university students and that if at any point they felt uncomfortable, they could withdraw from the study. In addition, informed consent was obtained prior to the application of the multiscale. No symbolic or material compensation was given to the participants. Researchers hoped that participants would identify with the age and the role shared with the students administering the questionnaires would be adequate to gain the cooperation of the participants.  Further, a gender resource was used, which consisted of having female students administering the questionnaires invite potential male participants and vice versa, in hopes that the natural partner attractiveness for the opposite sex would encourage participation. The QPTF was translated from English to the target language (Spanish) following the reverse translation method (Brislin, 1986). The cross-cultural translation procedures recommended by Núñez et al. (2005) were also considered. EFA was used with the seven items </w:t>
      </w:r>
      <w:r w:rsidRPr="00A87E0A">
        <w:rPr>
          <w:color w:val="000000"/>
        </w:rPr>
        <w:lastRenderedPageBreak/>
        <w:t>that remained after the expert judgment and corroboration of normality, and the results were subsequently evaluated by CFA</w:t>
      </w:r>
      <w:r w:rsidR="00B36805">
        <w:rPr>
          <w:color w:val="000000"/>
        </w:rPr>
        <w:t>.</w:t>
      </w:r>
    </w:p>
    <w:p w14:paraId="0F4ED851" w14:textId="2D17256A" w:rsidR="007C3C14" w:rsidRPr="00303B41" w:rsidRDefault="007C3C14" w:rsidP="007C3C14">
      <w:pPr>
        <w:pStyle w:val="SubtituloInterno"/>
      </w:pPr>
      <w:r w:rsidRPr="00303B41">
        <w:t>Data analysis</w:t>
      </w:r>
    </w:p>
    <w:p w14:paraId="52DD28E8" w14:textId="1DF51B08" w:rsidR="006D53D9" w:rsidRDefault="006D53D9" w:rsidP="006D53D9">
      <w:pPr>
        <w:pStyle w:val="Prrafocomn"/>
        <w:rPr>
          <w:color w:val="000000"/>
        </w:rPr>
      </w:pPr>
      <w:r w:rsidRPr="00A87E0A">
        <w:rPr>
          <w:color w:val="000000"/>
        </w:rPr>
        <w:t xml:space="preserve">First, the items that were confirmed by the 52 expert judges were evaluated using the formula of Lawshe (1975) to rule out coincidences due to the effect of chance. Subsequently, EFA was used with 144 cases randomly selected from the sample of 289 university students. To identify the underlying factorial structure of the scale, EFA was performed using Pearson's </w:t>
      </w:r>
      <w:r w:rsidRPr="00A87E0A">
        <w:rPr>
          <w:i/>
          <w:color w:val="000000"/>
        </w:rPr>
        <w:t>r</w:t>
      </w:r>
      <w:r w:rsidRPr="00A87E0A">
        <w:rPr>
          <w:color w:val="000000"/>
        </w:rPr>
        <w:t xml:space="preserve"> because only one of eight items had been eliminated (I27) for not meeting the Kline criteria (2011) on skewness and kurtosis. Likewise, the maximum likelihood (ML) factor extraction method was used since the scale used six response options, which approximated an interval-type measure without serious bias of abnormal distribution. Direct oblimin was used as the rotation method under the assumption that if there were several factors, they would be positively correlated. The Kaiser-Meyer-Olkin coefficient of sampling adequacy and the Bartlett test of sphericity were taken into account. The number of factors under consideration was determined by the number of items observed in the sedimentation graph that exceeded the eigenvalue of 1. Next, the resulting factorial structure through the EFA was submitted to the CFA with 145 students, the rest of the original sample. Eight indices of goodness of fit were selected: 1) </w:t>
      </w:r>
      <w:r w:rsidRPr="00A87E0A">
        <w:rPr>
          <w:i/>
          <w:color w:val="000000"/>
        </w:rPr>
        <w:t>SRMR</w:t>
      </w:r>
      <w:r w:rsidRPr="00A87E0A">
        <w:rPr>
          <w:color w:val="000000"/>
        </w:rPr>
        <w:t xml:space="preserve"> (standardized mean square residual), 2) </w:t>
      </w:r>
      <w:r w:rsidRPr="00A87E0A">
        <w:rPr>
          <w:i/>
          <w:color w:val="000000"/>
        </w:rPr>
        <w:t>NNFI</w:t>
      </w:r>
      <w:r w:rsidRPr="00A87E0A">
        <w:rPr>
          <w:color w:val="000000"/>
        </w:rPr>
        <w:t xml:space="preserve"> (nonnormalized fit index), 3) </w:t>
      </w:r>
      <w:r w:rsidRPr="00A87E0A">
        <w:rPr>
          <w:i/>
          <w:color w:val="000000"/>
        </w:rPr>
        <w:t>X²/df</w:t>
      </w:r>
      <w:r w:rsidRPr="00A87E0A">
        <w:rPr>
          <w:color w:val="000000"/>
        </w:rPr>
        <w:t xml:space="preserve"> (chi squared/degrees of freedom), 4) </w:t>
      </w:r>
      <w:r w:rsidRPr="00A87E0A">
        <w:rPr>
          <w:i/>
          <w:color w:val="000000"/>
        </w:rPr>
        <w:t>AGFI</w:t>
      </w:r>
      <w:r w:rsidRPr="00A87E0A">
        <w:rPr>
          <w:color w:val="000000"/>
        </w:rPr>
        <w:t xml:space="preserve"> (index of adjusted goodness of fit), 5) </w:t>
      </w:r>
      <w:r w:rsidRPr="00A87E0A">
        <w:rPr>
          <w:i/>
          <w:color w:val="000000"/>
        </w:rPr>
        <w:t>NFI</w:t>
      </w:r>
      <w:r w:rsidRPr="00A87E0A">
        <w:rPr>
          <w:color w:val="000000"/>
        </w:rPr>
        <w:t xml:space="preserve"> (normalized fit index), 6) </w:t>
      </w:r>
      <w:r w:rsidRPr="00A87E0A">
        <w:rPr>
          <w:i/>
          <w:color w:val="000000"/>
        </w:rPr>
        <w:t>GFI</w:t>
      </w:r>
      <w:r w:rsidRPr="00A87E0A">
        <w:rPr>
          <w:color w:val="000000"/>
        </w:rPr>
        <w:t xml:space="preserve"> (goodness-of-fit index), 7) </w:t>
      </w:r>
      <w:r w:rsidRPr="00A87E0A">
        <w:rPr>
          <w:i/>
          <w:color w:val="000000"/>
        </w:rPr>
        <w:t>CFI</w:t>
      </w:r>
      <w:r w:rsidRPr="00A87E0A">
        <w:rPr>
          <w:color w:val="000000"/>
        </w:rPr>
        <w:t xml:space="preserve"> (comparative fit index) and 8) </w:t>
      </w:r>
      <w:r w:rsidRPr="00A87E0A">
        <w:rPr>
          <w:i/>
          <w:color w:val="000000"/>
        </w:rPr>
        <w:t>RMSEA</w:t>
      </w:r>
      <w:r w:rsidRPr="00A87E0A">
        <w:rPr>
          <w:color w:val="000000"/>
        </w:rPr>
        <w:t xml:space="preserve"> (mean square error of approximation). The values of the representative indicators of an acceptable level of goodness of fit were 1) </w:t>
      </w:r>
      <w:r w:rsidRPr="00A87E0A">
        <w:rPr>
          <w:i/>
          <w:color w:val="000000"/>
        </w:rPr>
        <w:t>SRMR</w:t>
      </w:r>
      <w:r w:rsidRPr="00A87E0A">
        <w:rPr>
          <w:color w:val="000000"/>
        </w:rPr>
        <w:t xml:space="preserve"> ≤ .10 and </w:t>
      </w:r>
      <w:r w:rsidRPr="00A87E0A">
        <w:rPr>
          <w:i/>
          <w:color w:val="000000"/>
        </w:rPr>
        <w:t>RMSEA</w:t>
      </w:r>
      <w:r w:rsidRPr="00A87E0A">
        <w:rPr>
          <w:color w:val="000000"/>
        </w:rPr>
        <w:t xml:space="preserve"> ≤ .08; </w:t>
      </w:r>
      <w:r w:rsidRPr="00A87E0A">
        <w:rPr>
          <w:i/>
          <w:color w:val="000000"/>
        </w:rPr>
        <w:t>CFI, NNFI, NFI, GFI and AGFI</w:t>
      </w:r>
      <w:r w:rsidRPr="00A87E0A">
        <w:rPr>
          <w:color w:val="000000"/>
        </w:rPr>
        <w:t xml:space="preserve"> ≥ .90; </w:t>
      </w:r>
      <w:r w:rsidRPr="00A87E0A">
        <w:rPr>
          <w:i/>
          <w:color w:val="000000"/>
        </w:rPr>
        <w:t>X²/df</w:t>
      </w:r>
      <w:r w:rsidRPr="00A87E0A">
        <w:rPr>
          <w:color w:val="000000"/>
        </w:rPr>
        <w:t xml:space="preserve"> ≤ 3, while the magnitudes of the following indicators were considered as representatives of a good goodness of fit: 2) </w:t>
      </w:r>
      <w:r w:rsidRPr="00A87E0A">
        <w:rPr>
          <w:i/>
          <w:color w:val="000000"/>
        </w:rPr>
        <w:t>CFI, NNFI, GFI, AGFI and NFI</w:t>
      </w:r>
      <w:r w:rsidRPr="00A87E0A">
        <w:rPr>
          <w:color w:val="000000"/>
        </w:rPr>
        <w:t xml:space="preserve"> ≥.95; </w:t>
      </w:r>
      <w:r w:rsidRPr="00A87E0A">
        <w:rPr>
          <w:i/>
          <w:color w:val="000000"/>
        </w:rPr>
        <w:t xml:space="preserve">X²/df </w:t>
      </w:r>
      <w:r w:rsidRPr="00A87E0A">
        <w:rPr>
          <w:color w:val="000000"/>
        </w:rPr>
        <w:t xml:space="preserve">≤ 2; and </w:t>
      </w:r>
      <w:r w:rsidRPr="00A87E0A">
        <w:rPr>
          <w:i/>
          <w:color w:val="000000"/>
        </w:rPr>
        <w:t>RMSEA</w:t>
      </w:r>
      <w:r w:rsidRPr="00A87E0A">
        <w:rPr>
          <w:color w:val="000000"/>
        </w:rPr>
        <w:t xml:space="preserve"> and </w:t>
      </w:r>
      <w:r w:rsidRPr="00A87E0A">
        <w:rPr>
          <w:i/>
          <w:color w:val="000000"/>
        </w:rPr>
        <w:t>SRMR</w:t>
      </w:r>
      <w:r w:rsidRPr="00A87E0A">
        <w:rPr>
          <w:color w:val="000000"/>
        </w:rPr>
        <w:t xml:space="preserve"> ≤.05 (Baumgartner &amp; Hombur, 1996). As a factor extraction method, Maximum Likelihood (ML) was used. To calculate multivariate normality, values less than 70 (Rodríguez &amp; </w:t>
      </w:r>
      <w:r w:rsidRPr="00A87E0A">
        <w:t>Ruiz,</w:t>
      </w:r>
      <w:r w:rsidRPr="00A87E0A">
        <w:rPr>
          <w:color w:val="000000"/>
        </w:rPr>
        <w:t xml:space="preserve"> 2008), the Mardia coefficient (1971), obtained through the AMOS statistical program (v25), was used. The omega (McDonald, 1999) and alpha (Cronbach, 1951) coefficients were used to calculate the construct reliability and that of the ratings, respectively. The MS Excel® module (Caycho-Rodríguez, 2017) was used to estimate the confidence intervals of Cronbach's alpha. To estimate the convergent validity, the correlation (</w:t>
      </w:r>
      <w:r w:rsidRPr="00A87E0A">
        <w:rPr>
          <w:i/>
          <w:color w:val="000000"/>
        </w:rPr>
        <w:t>r)</w:t>
      </w:r>
      <w:r w:rsidRPr="00A87E0A">
        <w:rPr>
          <w:color w:val="000000"/>
        </w:rPr>
        <w:t xml:space="preserve"> of the total scores of the QPTF and those of the Brief Patience-G Scale (BPS-G) was used. Likewise, to </w:t>
      </w:r>
      <w:r w:rsidRPr="00A87E0A">
        <w:rPr>
          <w:color w:val="000000"/>
        </w:rPr>
        <w:lastRenderedPageBreak/>
        <w:t xml:space="preserve">evaluate the discriminant validity, the </w:t>
      </w:r>
      <w:r w:rsidRPr="00A87E0A">
        <w:rPr>
          <w:i/>
          <w:color w:val="000000"/>
        </w:rPr>
        <w:t>r</w:t>
      </w:r>
      <w:r w:rsidRPr="00A87E0A">
        <w:rPr>
          <w:color w:val="000000"/>
        </w:rPr>
        <w:t xml:space="preserve"> of the APS-G and the BPS-G scores were calculated. The recommendations of Ferguson (2016) were followed to qualify the effect size of the </w:t>
      </w:r>
      <w:r w:rsidRPr="00A87E0A">
        <w:rPr>
          <w:i/>
          <w:color w:val="000000"/>
        </w:rPr>
        <w:t>rs</w:t>
      </w:r>
      <w:r w:rsidRPr="00A87E0A">
        <w:rPr>
          <w:color w:val="000000"/>
        </w:rPr>
        <w:t xml:space="preserve"> (r ≥ .20 small effect size; </w:t>
      </w:r>
      <w:r w:rsidRPr="00A87E0A">
        <w:rPr>
          <w:i/>
          <w:color w:val="000000"/>
        </w:rPr>
        <w:t>r</w:t>
      </w:r>
      <w:r w:rsidRPr="00A87E0A">
        <w:rPr>
          <w:color w:val="000000"/>
        </w:rPr>
        <w:t xml:space="preserve"> ≥ .50 medium effect size; </w:t>
      </w:r>
      <w:r w:rsidRPr="00A87E0A">
        <w:rPr>
          <w:i/>
          <w:color w:val="000000"/>
        </w:rPr>
        <w:t>r</w:t>
      </w:r>
      <w:r w:rsidRPr="00A87E0A">
        <w:rPr>
          <w:color w:val="000000"/>
        </w:rPr>
        <w:t xml:space="preserve"> ≥ .80 large effect size). The distribution of response frequencies for each item was taken into account to eliminate those that had 60% or more of the responses in one of the response options to prevent an inappropriate bias based on individual differences. Moreover, the SPSS program is inhibited from analyzing the data by exploratory factor analysis if this bias exists in an accentuated way. The normality of the individual items was also estimated using the AMOS program and the values recommended by Kline (2011) that the skewness did not exceed the value of 3 and the kurtosis of 10. Using these criteria, those items that did not comply were </w:t>
      </w:r>
      <w:r w:rsidR="00A84A99" w:rsidRPr="00A87E0A">
        <w:rPr>
          <w:color w:val="000000"/>
        </w:rPr>
        <w:t>discarded.</w:t>
      </w:r>
    </w:p>
    <w:p w14:paraId="3DC0B50B" w14:textId="77777777" w:rsidR="003C1FAE" w:rsidRPr="006D53D9" w:rsidRDefault="003C1FAE" w:rsidP="006D53D9">
      <w:pPr>
        <w:pStyle w:val="Prrafocomn"/>
      </w:pPr>
    </w:p>
    <w:p w14:paraId="681BC02D" w14:textId="77777777" w:rsidR="004C1FD8" w:rsidRPr="00E25900" w:rsidRDefault="004C1FD8" w:rsidP="003C1FAE">
      <w:pPr>
        <w:pStyle w:val="SubtituloInterno"/>
        <w:spacing w:after="0" w:afterAutospacing="0"/>
      </w:pPr>
      <w:r>
        <w:t>E</w:t>
      </w:r>
      <w:r w:rsidRPr="00E25900">
        <w:t>thical considerations</w:t>
      </w:r>
    </w:p>
    <w:p w14:paraId="6032C775" w14:textId="701F38F2" w:rsidR="00132FFC" w:rsidRPr="00DC1D14" w:rsidRDefault="00DC1D14" w:rsidP="00DC1D14">
      <w:pPr>
        <w:pStyle w:val="Prrafocomn"/>
        <w:rPr>
          <w:color w:val="0070C0"/>
        </w:rPr>
      </w:pPr>
      <w:r w:rsidRPr="00DC1D14">
        <w:rPr>
          <w:color w:val="0070C0"/>
        </w:rPr>
        <w:t xml:space="preserve">This study considered upon the ethical standards in studies involving humans, delineated </w:t>
      </w:r>
      <w:r w:rsidRPr="0058227A">
        <w:t xml:space="preserve">by </w:t>
      </w:r>
      <w:r w:rsidR="00132FFC" w:rsidRPr="0058227A">
        <w:t>the Mexican Society of Psychology (2010)</w:t>
      </w:r>
      <w:r w:rsidR="00494F1F" w:rsidRPr="0058227A">
        <w:t xml:space="preserve">, </w:t>
      </w:r>
      <w:r w:rsidR="00132FFC" w:rsidRPr="0058227A">
        <w:t>the Universal Declaration of Ethical Principles for Psychologists (</w:t>
      </w:r>
      <w:r w:rsidR="000816AC" w:rsidRPr="0058227A">
        <w:t>IAAP &amp; IUPsyS, 2008</w:t>
      </w:r>
      <w:r w:rsidR="00132FFC" w:rsidRPr="0058227A">
        <w:t>)</w:t>
      </w:r>
      <w:r w:rsidR="00494F1F" w:rsidRPr="0058227A">
        <w:t xml:space="preserve">, and the Declaration of Helsinki (Morris, 2013) </w:t>
      </w:r>
      <w:r w:rsidR="00132FFC" w:rsidRPr="00DC1D14">
        <w:rPr>
          <w:color w:val="0070C0"/>
        </w:rPr>
        <w:t>regarding</w:t>
      </w:r>
      <w:r w:rsidRPr="00DC1D14">
        <w:rPr>
          <w:color w:val="0070C0"/>
        </w:rPr>
        <w:t xml:space="preserve"> informed consent and participant data protection. Furthermore, the criteria and general standards for the development and construction of psychological test were considered (American Educational Research Association et al., 2018; Muñiz &amp; Fonseca-Pedrero, 2019).</w:t>
      </w:r>
    </w:p>
    <w:p w14:paraId="7BC50F01" w14:textId="77777777" w:rsidR="00856BB5" w:rsidRDefault="00856BB5" w:rsidP="00CE7D65">
      <w:pPr>
        <w:pStyle w:val="Ttulosinternos"/>
      </w:pPr>
    </w:p>
    <w:p w14:paraId="61754C2A" w14:textId="44E0B679" w:rsidR="006F7E7E" w:rsidRDefault="005B5614" w:rsidP="00CE7D65">
      <w:pPr>
        <w:pStyle w:val="Ttulosinternos"/>
      </w:pPr>
      <w:r w:rsidRPr="00E25900">
        <w:t>Results</w:t>
      </w:r>
    </w:p>
    <w:p w14:paraId="542EF2BE" w14:textId="27758AB8" w:rsidR="0033600D" w:rsidRPr="00753370" w:rsidRDefault="00873013" w:rsidP="00D12199">
      <w:pPr>
        <w:pStyle w:val="Prrafocomn"/>
        <w:ind w:firstLine="0"/>
        <w:rPr>
          <w:b/>
          <w:bCs/>
          <w:i/>
          <w:iCs/>
          <w:color w:val="000000"/>
        </w:rPr>
      </w:pPr>
      <w:r w:rsidRPr="00753370">
        <w:rPr>
          <w:b/>
          <w:bCs/>
          <w:i/>
          <w:iCs/>
          <w:color w:val="000000"/>
        </w:rPr>
        <w:t>Exploratory Factor Analysis</w:t>
      </w:r>
    </w:p>
    <w:p w14:paraId="70C5892B" w14:textId="25840134" w:rsidR="00725279" w:rsidRDefault="00873013" w:rsidP="00873013">
      <w:pPr>
        <w:pStyle w:val="Prrafocomn"/>
        <w:rPr>
          <w:color w:val="000000"/>
        </w:rPr>
      </w:pPr>
      <w:r w:rsidRPr="00A87E0A">
        <w:rPr>
          <w:color w:val="000000"/>
        </w:rPr>
        <w:t>Using the ML factor extraction method and the direct oblimin rotation method, the Kaiser-Meyer-Olkin (KMO) index was .809. Likewise, with an X² of 266.883 and 21 degrees of freedom, the significance of the Bartlett test of sphericity was p &lt;.000. The EFA produced two clearly differentiated factors, which can be observed in Figure 1, since there are only two sets of items that exceed the criterion of a 1 eigenvalue, represented by the first two points of the graph.</w:t>
      </w:r>
      <w:r w:rsidR="00725279">
        <w:rPr>
          <w:color w:val="000000"/>
        </w:rPr>
        <w:t xml:space="preserve"> </w:t>
      </w:r>
    </w:p>
    <w:p w14:paraId="47853855" w14:textId="081E3BEB" w:rsidR="00575541" w:rsidRDefault="00873013" w:rsidP="00873013">
      <w:pPr>
        <w:pStyle w:val="Prrafocomn"/>
      </w:pPr>
      <w:r w:rsidRPr="00A87E0A">
        <w:rPr>
          <w:color w:val="000000"/>
        </w:rPr>
        <w:t>The total variance explained by both factors was 46.42%. Table 1 shows the results of the EFA: descriptive, asymmetries and kurtosis of each item and the multivariate one, as well as the factor loadings and commonalities of each item</w:t>
      </w:r>
      <w:r w:rsidR="00BC4A9D">
        <w:rPr>
          <w:color w:val="000000"/>
        </w:rPr>
        <w:t>.</w:t>
      </w:r>
    </w:p>
    <w:p w14:paraId="075B9508" w14:textId="5F7107C1" w:rsidR="00575541" w:rsidRDefault="00575541" w:rsidP="00575541">
      <w:pPr>
        <w:pStyle w:val="Prrafocomn"/>
      </w:pPr>
    </w:p>
    <w:p w14:paraId="0AED4A31" w14:textId="77777777" w:rsidR="00BC4A9D" w:rsidRPr="00A87E0A" w:rsidRDefault="00BC4A9D" w:rsidP="00BC4A9D">
      <w:pPr>
        <w:spacing w:line="360" w:lineRule="auto"/>
        <w:ind w:firstLine="708"/>
        <w:rPr>
          <w:color w:val="000000"/>
          <w:lang w:val="en-US"/>
        </w:rPr>
      </w:pPr>
    </w:p>
    <w:p w14:paraId="4C43FD87" w14:textId="77777777" w:rsidR="00BC4A9D" w:rsidRPr="00A87E0A" w:rsidRDefault="00BC4A9D" w:rsidP="00BC4A9D">
      <w:pPr>
        <w:spacing w:line="360" w:lineRule="auto"/>
        <w:jc w:val="both"/>
        <w:rPr>
          <w:lang w:val="en-US"/>
        </w:rPr>
      </w:pPr>
      <w:r w:rsidRPr="00A87E0A">
        <w:rPr>
          <w:noProof/>
        </w:rPr>
        <w:lastRenderedPageBreak/>
        <w:drawing>
          <wp:inline distT="0" distB="0" distL="0" distR="0" wp14:anchorId="6499AEFD" wp14:editId="76DB0AAE">
            <wp:extent cx="5065992" cy="2895600"/>
            <wp:effectExtent l="0" t="0" r="1905" b="0"/>
            <wp:docPr id="349009940" name="Picture 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09940" name="Picture 4" descr="Gráfico, Gráfico de líneas&#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9511" cy="2903327"/>
                    </a:xfrm>
                    <a:prstGeom prst="rect">
                      <a:avLst/>
                    </a:prstGeom>
                    <a:noFill/>
                  </pic:spPr>
                </pic:pic>
              </a:graphicData>
            </a:graphic>
          </wp:inline>
        </w:drawing>
      </w:r>
    </w:p>
    <w:p w14:paraId="6761F66A" w14:textId="77777777" w:rsidR="00BC4A9D" w:rsidRPr="00A87E0A" w:rsidRDefault="00BC4A9D" w:rsidP="00BC4A9D">
      <w:pPr>
        <w:spacing w:line="360" w:lineRule="auto"/>
        <w:rPr>
          <w:color w:val="000000"/>
          <w:sz w:val="20"/>
          <w:szCs w:val="20"/>
          <w:lang w:val="en-US"/>
        </w:rPr>
      </w:pPr>
      <w:r w:rsidRPr="00A87E0A">
        <w:rPr>
          <w:color w:val="000000"/>
          <w:sz w:val="20"/>
          <w:szCs w:val="20"/>
          <w:lang w:val="en-US"/>
        </w:rPr>
        <w:t>Figure 1. Sedimentation graph of factors with eigenvalues above of 1</w:t>
      </w:r>
    </w:p>
    <w:p w14:paraId="343739AB" w14:textId="77777777" w:rsidR="00BC4A9D" w:rsidRPr="00A87E0A" w:rsidRDefault="00BC4A9D" w:rsidP="00BC4A9D">
      <w:pPr>
        <w:spacing w:line="360" w:lineRule="auto"/>
        <w:ind w:left="567" w:hanging="567"/>
        <w:jc w:val="both"/>
        <w:rPr>
          <w:lang w:val="en-US"/>
        </w:rPr>
      </w:pPr>
    </w:p>
    <w:p w14:paraId="45AC23F2" w14:textId="77777777" w:rsidR="00BC4A9D" w:rsidRDefault="00BC4A9D" w:rsidP="00BC4A9D">
      <w:pPr>
        <w:spacing w:line="360" w:lineRule="auto"/>
        <w:jc w:val="center"/>
        <w:rPr>
          <w:color w:val="000000"/>
          <w:lang w:val="en-US"/>
        </w:rPr>
      </w:pPr>
    </w:p>
    <w:p w14:paraId="6FA9C832" w14:textId="77777777" w:rsidR="00753370" w:rsidRDefault="00753370" w:rsidP="00BC4A9D">
      <w:pPr>
        <w:spacing w:line="360" w:lineRule="auto"/>
        <w:jc w:val="both"/>
        <w:rPr>
          <w:sz w:val="20"/>
          <w:szCs w:val="20"/>
          <w:lang w:val="en-US"/>
        </w:rPr>
      </w:pPr>
    </w:p>
    <w:p w14:paraId="04FF7CBD" w14:textId="31C1B782" w:rsidR="00BC4A9D" w:rsidRDefault="00BC4A9D" w:rsidP="00BC4A9D">
      <w:pPr>
        <w:spacing w:line="360" w:lineRule="auto"/>
        <w:jc w:val="both"/>
        <w:rPr>
          <w:sz w:val="20"/>
          <w:szCs w:val="20"/>
          <w:lang w:val="en-US"/>
        </w:rPr>
      </w:pPr>
      <w:r w:rsidRPr="00A87E0A">
        <w:rPr>
          <w:sz w:val="20"/>
          <w:szCs w:val="20"/>
          <w:lang w:val="en-US"/>
        </w:rPr>
        <w:t xml:space="preserve">Table 1. </w:t>
      </w:r>
    </w:p>
    <w:p w14:paraId="77EBD80C" w14:textId="2F810DE9" w:rsidR="00BC4A9D" w:rsidRPr="00BC4A9D" w:rsidRDefault="00BC4A9D" w:rsidP="00BC4A9D">
      <w:pPr>
        <w:spacing w:line="360" w:lineRule="auto"/>
        <w:jc w:val="both"/>
        <w:rPr>
          <w:i/>
          <w:iCs/>
          <w:sz w:val="20"/>
          <w:szCs w:val="20"/>
          <w:lang w:val="en-US"/>
        </w:rPr>
      </w:pPr>
      <w:r w:rsidRPr="00BC4A9D">
        <w:rPr>
          <w:i/>
          <w:iCs/>
          <w:sz w:val="20"/>
          <w:szCs w:val="20"/>
          <w:lang w:val="en-US"/>
        </w:rPr>
        <w:t>Exploratory Factor Analysis of the BPS-G (n=144)</w:t>
      </w:r>
    </w:p>
    <w:tbl>
      <w:tblPr>
        <w:tblW w:w="8148" w:type="dxa"/>
        <w:tblCellMar>
          <w:left w:w="70" w:type="dxa"/>
          <w:right w:w="70" w:type="dxa"/>
        </w:tblCellMar>
        <w:tblLook w:val="04A0" w:firstRow="1" w:lastRow="0" w:firstColumn="1" w:lastColumn="0" w:noHBand="0" w:noVBand="1"/>
      </w:tblPr>
      <w:tblGrid>
        <w:gridCol w:w="700"/>
        <w:gridCol w:w="3128"/>
        <w:gridCol w:w="720"/>
        <w:gridCol w:w="700"/>
        <w:gridCol w:w="740"/>
        <w:gridCol w:w="720"/>
        <w:gridCol w:w="740"/>
        <w:gridCol w:w="700"/>
      </w:tblGrid>
      <w:tr w:rsidR="00BC4A9D" w:rsidRPr="00A87E0A" w14:paraId="30894DAE" w14:textId="77777777" w:rsidTr="00463FE3">
        <w:trPr>
          <w:trHeight w:val="324"/>
        </w:trPr>
        <w:tc>
          <w:tcPr>
            <w:tcW w:w="700" w:type="dxa"/>
            <w:tcBorders>
              <w:top w:val="single" w:sz="4" w:space="0" w:color="auto"/>
              <w:left w:val="nil"/>
              <w:bottom w:val="single" w:sz="4" w:space="0" w:color="auto"/>
              <w:right w:val="nil"/>
            </w:tcBorders>
            <w:shd w:val="clear" w:color="auto" w:fill="auto"/>
            <w:noWrap/>
            <w:vAlign w:val="bottom"/>
            <w:hideMark/>
          </w:tcPr>
          <w:p w14:paraId="2DCC3C19"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Factor</w:t>
            </w:r>
          </w:p>
        </w:tc>
        <w:tc>
          <w:tcPr>
            <w:tcW w:w="3128" w:type="dxa"/>
            <w:tcBorders>
              <w:top w:val="single" w:sz="4" w:space="0" w:color="auto"/>
              <w:left w:val="nil"/>
              <w:bottom w:val="single" w:sz="4" w:space="0" w:color="auto"/>
              <w:right w:val="nil"/>
            </w:tcBorders>
            <w:shd w:val="clear" w:color="auto" w:fill="auto"/>
            <w:noWrap/>
            <w:vAlign w:val="bottom"/>
            <w:hideMark/>
          </w:tcPr>
          <w:p w14:paraId="0F2A48C0"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Item</w:t>
            </w:r>
          </w:p>
        </w:tc>
        <w:tc>
          <w:tcPr>
            <w:tcW w:w="720" w:type="dxa"/>
            <w:tcBorders>
              <w:top w:val="single" w:sz="4" w:space="0" w:color="auto"/>
              <w:left w:val="nil"/>
              <w:bottom w:val="single" w:sz="4" w:space="0" w:color="auto"/>
              <w:right w:val="nil"/>
            </w:tcBorders>
            <w:shd w:val="clear" w:color="auto" w:fill="auto"/>
            <w:noWrap/>
            <w:vAlign w:val="bottom"/>
            <w:hideMark/>
          </w:tcPr>
          <w:p w14:paraId="6435B408"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M</w:t>
            </w:r>
          </w:p>
        </w:tc>
        <w:tc>
          <w:tcPr>
            <w:tcW w:w="700" w:type="dxa"/>
            <w:tcBorders>
              <w:top w:val="single" w:sz="4" w:space="0" w:color="auto"/>
              <w:left w:val="nil"/>
              <w:bottom w:val="single" w:sz="4" w:space="0" w:color="auto"/>
              <w:right w:val="nil"/>
            </w:tcBorders>
            <w:shd w:val="clear" w:color="auto" w:fill="auto"/>
            <w:noWrap/>
            <w:vAlign w:val="bottom"/>
            <w:hideMark/>
          </w:tcPr>
          <w:p w14:paraId="7B487F47"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SD</w:t>
            </w:r>
          </w:p>
        </w:tc>
        <w:tc>
          <w:tcPr>
            <w:tcW w:w="740" w:type="dxa"/>
            <w:tcBorders>
              <w:top w:val="single" w:sz="4" w:space="0" w:color="auto"/>
              <w:left w:val="nil"/>
              <w:bottom w:val="single" w:sz="4" w:space="0" w:color="auto"/>
              <w:right w:val="nil"/>
            </w:tcBorders>
            <w:shd w:val="clear" w:color="auto" w:fill="auto"/>
            <w:noWrap/>
            <w:vAlign w:val="bottom"/>
            <w:hideMark/>
          </w:tcPr>
          <w:p w14:paraId="2747C7F9"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Sk.</w:t>
            </w:r>
          </w:p>
        </w:tc>
        <w:tc>
          <w:tcPr>
            <w:tcW w:w="720" w:type="dxa"/>
            <w:tcBorders>
              <w:top w:val="single" w:sz="4" w:space="0" w:color="auto"/>
              <w:left w:val="nil"/>
              <w:bottom w:val="single" w:sz="4" w:space="0" w:color="auto"/>
              <w:right w:val="nil"/>
            </w:tcBorders>
            <w:shd w:val="clear" w:color="auto" w:fill="auto"/>
            <w:noWrap/>
            <w:vAlign w:val="bottom"/>
            <w:hideMark/>
          </w:tcPr>
          <w:p w14:paraId="07CF54A2"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K</w:t>
            </w:r>
          </w:p>
        </w:tc>
        <w:tc>
          <w:tcPr>
            <w:tcW w:w="740" w:type="dxa"/>
            <w:tcBorders>
              <w:top w:val="single" w:sz="4" w:space="0" w:color="auto"/>
              <w:left w:val="nil"/>
              <w:bottom w:val="single" w:sz="4" w:space="0" w:color="auto"/>
              <w:right w:val="nil"/>
            </w:tcBorders>
            <w:shd w:val="clear" w:color="auto" w:fill="auto"/>
            <w:noWrap/>
            <w:vAlign w:val="bottom"/>
            <w:hideMark/>
          </w:tcPr>
          <w:p w14:paraId="37EE6EAB"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FL</w:t>
            </w:r>
            <w:r w:rsidRPr="00A87E0A">
              <w:rPr>
                <w:i/>
                <w:iCs/>
                <w:color w:val="000000"/>
                <w:sz w:val="20"/>
                <w:szCs w:val="20"/>
                <w:vertAlign w:val="superscript"/>
                <w:lang w:eastAsia="es-CO"/>
              </w:rPr>
              <w:t>a</w:t>
            </w:r>
          </w:p>
        </w:tc>
        <w:tc>
          <w:tcPr>
            <w:tcW w:w="700" w:type="dxa"/>
            <w:tcBorders>
              <w:top w:val="single" w:sz="4" w:space="0" w:color="auto"/>
              <w:left w:val="nil"/>
              <w:bottom w:val="single" w:sz="4" w:space="0" w:color="auto"/>
              <w:right w:val="nil"/>
            </w:tcBorders>
            <w:shd w:val="clear" w:color="auto" w:fill="auto"/>
            <w:noWrap/>
            <w:vAlign w:val="bottom"/>
            <w:hideMark/>
          </w:tcPr>
          <w:p w14:paraId="51186937" w14:textId="77777777" w:rsidR="00BC4A9D" w:rsidRPr="00A87E0A" w:rsidRDefault="00BC4A9D" w:rsidP="00463FE3">
            <w:pPr>
              <w:spacing w:line="360" w:lineRule="auto"/>
              <w:jc w:val="center"/>
              <w:rPr>
                <w:i/>
                <w:iCs/>
                <w:color w:val="000000"/>
                <w:sz w:val="20"/>
                <w:szCs w:val="20"/>
                <w:lang w:eastAsia="es-CO"/>
              </w:rPr>
            </w:pPr>
            <w:r w:rsidRPr="00A87E0A">
              <w:rPr>
                <w:i/>
                <w:iCs/>
                <w:color w:val="000000"/>
                <w:sz w:val="20"/>
                <w:szCs w:val="20"/>
                <w:lang w:eastAsia="es-CO"/>
              </w:rPr>
              <w:t>CM</w:t>
            </w:r>
          </w:p>
        </w:tc>
      </w:tr>
      <w:tr w:rsidR="00BC4A9D" w:rsidRPr="00A87E0A" w14:paraId="613EBE62" w14:textId="77777777" w:rsidTr="00463FE3">
        <w:trPr>
          <w:trHeight w:val="288"/>
        </w:trPr>
        <w:tc>
          <w:tcPr>
            <w:tcW w:w="700" w:type="dxa"/>
            <w:tcBorders>
              <w:top w:val="nil"/>
              <w:left w:val="nil"/>
              <w:bottom w:val="nil"/>
              <w:right w:val="nil"/>
            </w:tcBorders>
            <w:shd w:val="clear" w:color="auto" w:fill="auto"/>
            <w:noWrap/>
            <w:vAlign w:val="center"/>
            <w:hideMark/>
          </w:tcPr>
          <w:p w14:paraId="1E75D8DD"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1</w:t>
            </w:r>
          </w:p>
        </w:tc>
        <w:tc>
          <w:tcPr>
            <w:tcW w:w="3128" w:type="dxa"/>
            <w:tcBorders>
              <w:top w:val="nil"/>
              <w:left w:val="nil"/>
              <w:bottom w:val="nil"/>
              <w:right w:val="nil"/>
            </w:tcBorders>
            <w:shd w:val="clear" w:color="auto" w:fill="auto"/>
            <w:noWrap/>
            <w:vAlign w:val="center"/>
            <w:hideMark/>
          </w:tcPr>
          <w:p w14:paraId="2A0D6928"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When I want something, I can wait to get it.</w:t>
            </w:r>
          </w:p>
        </w:tc>
        <w:tc>
          <w:tcPr>
            <w:tcW w:w="720" w:type="dxa"/>
            <w:tcBorders>
              <w:top w:val="nil"/>
              <w:left w:val="nil"/>
              <w:bottom w:val="nil"/>
              <w:right w:val="nil"/>
            </w:tcBorders>
            <w:shd w:val="clear" w:color="auto" w:fill="auto"/>
            <w:noWrap/>
            <w:vAlign w:val="bottom"/>
            <w:hideMark/>
          </w:tcPr>
          <w:p w14:paraId="5F87F953"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3.59</w:t>
            </w:r>
          </w:p>
        </w:tc>
        <w:tc>
          <w:tcPr>
            <w:tcW w:w="700" w:type="dxa"/>
            <w:tcBorders>
              <w:top w:val="nil"/>
              <w:left w:val="nil"/>
              <w:bottom w:val="nil"/>
              <w:right w:val="nil"/>
            </w:tcBorders>
            <w:shd w:val="clear" w:color="auto" w:fill="auto"/>
            <w:noWrap/>
            <w:vAlign w:val="bottom"/>
            <w:hideMark/>
          </w:tcPr>
          <w:p w14:paraId="7E74BE2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1.04</w:t>
            </w:r>
          </w:p>
        </w:tc>
        <w:tc>
          <w:tcPr>
            <w:tcW w:w="740" w:type="dxa"/>
            <w:tcBorders>
              <w:top w:val="nil"/>
              <w:left w:val="nil"/>
              <w:bottom w:val="nil"/>
              <w:right w:val="nil"/>
            </w:tcBorders>
            <w:shd w:val="clear" w:color="auto" w:fill="auto"/>
            <w:noWrap/>
            <w:vAlign w:val="bottom"/>
            <w:hideMark/>
          </w:tcPr>
          <w:p w14:paraId="5FB0495E"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-1.11</w:t>
            </w:r>
          </w:p>
        </w:tc>
        <w:tc>
          <w:tcPr>
            <w:tcW w:w="720" w:type="dxa"/>
            <w:tcBorders>
              <w:top w:val="nil"/>
              <w:left w:val="nil"/>
              <w:bottom w:val="nil"/>
              <w:right w:val="nil"/>
            </w:tcBorders>
            <w:shd w:val="clear" w:color="auto" w:fill="auto"/>
            <w:noWrap/>
            <w:vAlign w:val="bottom"/>
            <w:hideMark/>
          </w:tcPr>
          <w:p w14:paraId="08FB7B96"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1.90</w:t>
            </w:r>
          </w:p>
        </w:tc>
        <w:tc>
          <w:tcPr>
            <w:tcW w:w="740" w:type="dxa"/>
            <w:tcBorders>
              <w:top w:val="nil"/>
              <w:left w:val="nil"/>
              <w:bottom w:val="nil"/>
              <w:right w:val="nil"/>
            </w:tcBorders>
            <w:shd w:val="clear" w:color="auto" w:fill="auto"/>
            <w:noWrap/>
            <w:vAlign w:val="bottom"/>
            <w:hideMark/>
          </w:tcPr>
          <w:p w14:paraId="32C0D434"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.703</w:t>
            </w:r>
          </w:p>
        </w:tc>
        <w:tc>
          <w:tcPr>
            <w:tcW w:w="700" w:type="dxa"/>
            <w:tcBorders>
              <w:top w:val="nil"/>
              <w:left w:val="nil"/>
              <w:bottom w:val="nil"/>
              <w:right w:val="nil"/>
            </w:tcBorders>
            <w:shd w:val="clear" w:color="auto" w:fill="auto"/>
            <w:noWrap/>
            <w:vAlign w:val="bottom"/>
            <w:hideMark/>
          </w:tcPr>
          <w:p w14:paraId="2A9996E6"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.499</w:t>
            </w:r>
          </w:p>
        </w:tc>
      </w:tr>
      <w:tr w:rsidR="00BC4A9D" w:rsidRPr="00A87E0A" w14:paraId="2826A109" w14:textId="77777777" w:rsidTr="00463FE3">
        <w:trPr>
          <w:trHeight w:val="288"/>
        </w:trPr>
        <w:tc>
          <w:tcPr>
            <w:tcW w:w="700" w:type="dxa"/>
            <w:tcBorders>
              <w:top w:val="nil"/>
              <w:left w:val="nil"/>
              <w:bottom w:val="nil"/>
              <w:right w:val="nil"/>
            </w:tcBorders>
            <w:shd w:val="clear" w:color="auto" w:fill="auto"/>
            <w:noWrap/>
            <w:vAlign w:val="center"/>
            <w:hideMark/>
          </w:tcPr>
          <w:p w14:paraId="3F1AA4B8"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7C2E0EFE"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Although I suffer now, I know that after a while what I want will come.</w:t>
            </w:r>
          </w:p>
        </w:tc>
        <w:tc>
          <w:tcPr>
            <w:tcW w:w="720" w:type="dxa"/>
            <w:tcBorders>
              <w:top w:val="nil"/>
              <w:left w:val="nil"/>
              <w:bottom w:val="nil"/>
              <w:right w:val="nil"/>
            </w:tcBorders>
            <w:shd w:val="clear" w:color="auto" w:fill="auto"/>
            <w:noWrap/>
            <w:vAlign w:val="bottom"/>
            <w:hideMark/>
          </w:tcPr>
          <w:p w14:paraId="0E02128C"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3.91</w:t>
            </w:r>
          </w:p>
        </w:tc>
        <w:tc>
          <w:tcPr>
            <w:tcW w:w="700" w:type="dxa"/>
            <w:tcBorders>
              <w:top w:val="nil"/>
              <w:left w:val="nil"/>
              <w:bottom w:val="nil"/>
              <w:right w:val="nil"/>
            </w:tcBorders>
            <w:shd w:val="clear" w:color="auto" w:fill="auto"/>
            <w:noWrap/>
            <w:vAlign w:val="bottom"/>
            <w:hideMark/>
          </w:tcPr>
          <w:p w14:paraId="008E4A7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0.97</w:t>
            </w:r>
          </w:p>
        </w:tc>
        <w:tc>
          <w:tcPr>
            <w:tcW w:w="740" w:type="dxa"/>
            <w:tcBorders>
              <w:top w:val="nil"/>
              <w:left w:val="nil"/>
              <w:bottom w:val="nil"/>
              <w:right w:val="nil"/>
            </w:tcBorders>
            <w:shd w:val="clear" w:color="auto" w:fill="auto"/>
            <w:noWrap/>
            <w:vAlign w:val="bottom"/>
            <w:hideMark/>
          </w:tcPr>
          <w:p w14:paraId="6DCBAD9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-1.06</w:t>
            </w:r>
          </w:p>
        </w:tc>
        <w:tc>
          <w:tcPr>
            <w:tcW w:w="720" w:type="dxa"/>
            <w:tcBorders>
              <w:top w:val="nil"/>
              <w:left w:val="nil"/>
              <w:bottom w:val="nil"/>
              <w:right w:val="nil"/>
            </w:tcBorders>
            <w:shd w:val="clear" w:color="auto" w:fill="auto"/>
            <w:noWrap/>
            <w:vAlign w:val="bottom"/>
            <w:hideMark/>
          </w:tcPr>
          <w:p w14:paraId="39D05FF1"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1.96</w:t>
            </w:r>
          </w:p>
        </w:tc>
        <w:tc>
          <w:tcPr>
            <w:tcW w:w="740" w:type="dxa"/>
            <w:tcBorders>
              <w:top w:val="nil"/>
              <w:left w:val="nil"/>
              <w:bottom w:val="nil"/>
              <w:right w:val="nil"/>
            </w:tcBorders>
            <w:shd w:val="clear" w:color="auto" w:fill="auto"/>
            <w:noWrap/>
            <w:vAlign w:val="bottom"/>
            <w:hideMark/>
          </w:tcPr>
          <w:p w14:paraId="09FD61F8"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.581</w:t>
            </w:r>
          </w:p>
        </w:tc>
        <w:tc>
          <w:tcPr>
            <w:tcW w:w="700" w:type="dxa"/>
            <w:tcBorders>
              <w:top w:val="nil"/>
              <w:left w:val="nil"/>
              <w:bottom w:val="nil"/>
              <w:right w:val="nil"/>
            </w:tcBorders>
            <w:shd w:val="clear" w:color="auto" w:fill="auto"/>
            <w:noWrap/>
            <w:vAlign w:val="bottom"/>
            <w:hideMark/>
          </w:tcPr>
          <w:p w14:paraId="58A40A2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.349</w:t>
            </w:r>
          </w:p>
        </w:tc>
      </w:tr>
      <w:tr w:rsidR="00BC4A9D" w:rsidRPr="00A87E0A" w14:paraId="708F364F" w14:textId="77777777" w:rsidTr="00463FE3">
        <w:trPr>
          <w:trHeight w:val="288"/>
        </w:trPr>
        <w:tc>
          <w:tcPr>
            <w:tcW w:w="700" w:type="dxa"/>
            <w:tcBorders>
              <w:top w:val="nil"/>
              <w:left w:val="nil"/>
              <w:bottom w:val="nil"/>
              <w:right w:val="nil"/>
            </w:tcBorders>
            <w:shd w:val="clear" w:color="auto" w:fill="auto"/>
            <w:noWrap/>
            <w:vAlign w:val="center"/>
            <w:hideMark/>
          </w:tcPr>
          <w:p w14:paraId="6CFC9D73"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3231340C"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I will achieve my goal, sooner or later.</w:t>
            </w:r>
          </w:p>
        </w:tc>
        <w:tc>
          <w:tcPr>
            <w:tcW w:w="720" w:type="dxa"/>
            <w:tcBorders>
              <w:top w:val="nil"/>
              <w:left w:val="nil"/>
              <w:bottom w:val="nil"/>
              <w:right w:val="nil"/>
            </w:tcBorders>
            <w:shd w:val="clear" w:color="auto" w:fill="auto"/>
            <w:noWrap/>
            <w:vAlign w:val="bottom"/>
            <w:hideMark/>
          </w:tcPr>
          <w:p w14:paraId="24A6802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4.01</w:t>
            </w:r>
          </w:p>
        </w:tc>
        <w:tc>
          <w:tcPr>
            <w:tcW w:w="700" w:type="dxa"/>
            <w:tcBorders>
              <w:top w:val="nil"/>
              <w:left w:val="nil"/>
              <w:bottom w:val="nil"/>
              <w:right w:val="nil"/>
            </w:tcBorders>
            <w:shd w:val="clear" w:color="auto" w:fill="auto"/>
            <w:noWrap/>
            <w:vAlign w:val="bottom"/>
            <w:hideMark/>
          </w:tcPr>
          <w:p w14:paraId="228F6988"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0.98</w:t>
            </w:r>
          </w:p>
        </w:tc>
        <w:tc>
          <w:tcPr>
            <w:tcW w:w="740" w:type="dxa"/>
            <w:tcBorders>
              <w:top w:val="nil"/>
              <w:left w:val="nil"/>
              <w:bottom w:val="nil"/>
              <w:right w:val="nil"/>
            </w:tcBorders>
            <w:shd w:val="clear" w:color="auto" w:fill="auto"/>
            <w:noWrap/>
            <w:vAlign w:val="bottom"/>
            <w:hideMark/>
          </w:tcPr>
          <w:p w14:paraId="72D04891"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-1.15</w:t>
            </w:r>
          </w:p>
        </w:tc>
        <w:tc>
          <w:tcPr>
            <w:tcW w:w="720" w:type="dxa"/>
            <w:tcBorders>
              <w:top w:val="nil"/>
              <w:left w:val="nil"/>
              <w:bottom w:val="nil"/>
              <w:right w:val="nil"/>
            </w:tcBorders>
            <w:shd w:val="clear" w:color="auto" w:fill="auto"/>
            <w:noWrap/>
            <w:vAlign w:val="bottom"/>
            <w:hideMark/>
          </w:tcPr>
          <w:p w14:paraId="3B7CCB6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1.75</w:t>
            </w:r>
          </w:p>
        </w:tc>
        <w:tc>
          <w:tcPr>
            <w:tcW w:w="740" w:type="dxa"/>
            <w:tcBorders>
              <w:top w:val="nil"/>
              <w:left w:val="nil"/>
              <w:bottom w:val="nil"/>
              <w:right w:val="nil"/>
            </w:tcBorders>
            <w:shd w:val="clear" w:color="auto" w:fill="auto"/>
            <w:noWrap/>
            <w:vAlign w:val="bottom"/>
            <w:hideMark/>
          </w:tcPr>
          <w:p w14:paraId="3D94EC0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.715</w:t>
            </w:r>
          </w:p>
        </w:tc>
        <w:tc>
          <w:tcPr>
            <w:tcW w:w="700" w:type="dxa"/>
            <w:tcBorders>
              <w:top w:val="nil"/>
              <w:left w:val="nil"/>
              <w:bottom w:val="nil"/>
              <w:right w:val="nil"/>
            </w:tcBorders>
            <w:shd w:val="clear" w:color="auto" w:fill="auto"/>
            <w:noWrap/>
            <w:vAlign w:val="bottom"/>
            <w:hideMark/>
          </w:tcPr>
          <w:p w14:paraId="15301480"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.518</w:t>
            </w:r>
          </w:p>
        </w:tc>
      </w:tr>
      <w:tr w:rsidR="00BC4A9D" w:rsidRPr="00A87E0A" w14:paraId="72FA6F62" w14:textId="77777777" w:rsidTr="00463FE3">
        <w:trPr>
          <w:trHeight w:val="288"/>
        </w:trPr>
        <w:tc>
          <w:tcPr>
            <w:tcW w:w="700" w:type="dxa"/>
            <w:tcBorders>
              <w:top w:val="nil"/>
              <w:left w:val="nil"/>
              <w:bottom w:val="nil"/>
              <w:right w:val="nil"/>
            </w:tcBorders>
            <w:shd w:val="clear" w:color="auto" w:fill="auto"/>
            <w:noWrap/>
            <w:vAlign w:val="center"/>
            <w:hideMark/>
          </w:tcPr>
          <w:p w14:paraId="41235D4D"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04BF1C55"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The best comes after a while.</w:t>
            </w:r>
          </w:p>
        </w:tc>
        <w:tc>
          <w:tcPr>
            <w:tcW w:w="720" w:type="dxa"/>
            <w:tcBorders>
              <w:top w:val="nil"/>
              <w:left w:val="nil"/>
              <w:bottom w:val="nil"/>
              <w:right w:val="nil"/>
            </w:tcBorders>
            <w:shd w:val="clear" w:color="auto" w:fill="auto"/>
            <w:noWrap/>
            <w:vAlign w:val="center"/>
            <w:hideMark/>
          </w:tcPr>
          <w:p w14:paraId="32AE95B0"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3.54</w:t>
            </w:r>
          </w:p>
        </w:tc>
        <w:tc>
          <w:tcPr>
            <w:tcW w:w="700" w:type="dxa"/>
            <w:tcBorders>
              <w:top w:val="nil"/>
              <w:left w:val="nil"/>
              <w:bottom w:val="nil"/>
              <w:right w:val="nil"/>
            </w:tcBorders>
            <w:shd w:val="clear" w:color="auto" w:fill="auto"/>
            <w:noWrap/>
            <w:vAlign w:val="bottom"/>
            <w:hideMark/>
          </w:tcPr>
          <w:p w14:paraId="6EB14C3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1.04</w:t>
            </w:r>
          </w:p>
        </w:tc>
        <w:tc>
          <w:tcPr>
            <w:tcW w:w="740" w:type="dxa"/>
            <w:tcBorders>
              <w:top w:val="nil"/>
              <w:left w:val="nil"/>
              <w:bottom w:val="nil"/>
              <w:right w:val="nil"/>
            </w:tcBorders>
            <w:shd w:val="clear" w:color="auto" w:fill="auto"/>
            <w:noWrap/>
            <w:vAlign w:val="bottom"/>
            <w:hideMark/>
          </w:tcPr>
          <w:p w14:paraId="22C6AF0E"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-1.01</w:t>
            </w:r>
          </w:p>
        </w:tc>
        <w:tc>
          <w:tcPr>
            <w:tcW w:w="720" w:type="dxa"/>
            <w:tcBorders>
              <w:top w:val="nil"/>
              <w:left w:val="nil"/>
              <w:bottom w:val="nil"/>
              <w:right w:val="nil"/>
            </w:tcBorders>
            <w:shd w:val="clear" w:color="auto" w:fill="auto"/>
            <w:noWrap/>
            <w:vAlign w:val="bottom"/>
            <w:hideMark/>
          </w:tcPr>
          <w:p w14:paraId="3B367F55"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1.80</w:t>
            </w:r>
          </w:p>
        </w:tc>
        <w:tc>
          <w:tcPr>
            <w:tcW w:w="740" w:type="dxa"/>
            <w:tcBorders>
              <w:top w:val="nil"/>
              <w:left w:val="nil"/>
              <w:bottom w:val="nil"/>
              <w:right w:val="nil"/>
            </w:tcBorders>
            <w:shd w:val="clear" w:color="auto" w:fill="auto"/>
            <w:noWrap/>
            <w:vAlign w:val="bottom"/>
            <w:hideMark/>
          </w:tcPr>
          <w:p w14:paraId="34BFB22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.531</w:t>
            </w:r>
          </w:p>
        </w:tc>
        <w:tc>
          <w:tcPr>
            <w:tcW w:w="700" w:type="dxa"/>
            <w:tcBorders>
              <w:top w:val="nil"/>
              <w:left w:val="nil"/>
              <w:bottom w:val="nil"/>
              <w:right w:val="nil"/>
            </w:tcBorders>
            <w:shd w:val="clear" w:color="auto" w:fill="auto"/>
            <w:noWrap/>
            <w:vAlign w:val="bottom"/>
            <w:hideMark/>
          </w:tcPr>
          <w:p w14:paraId="39224694"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.321</w:t>
            </w:r>
          </w:p>
        </w:tc>
      </w:tr>
      <w:tr w:rsidR="00BC4A9D" w:rsidRPr="00A87E0A" w14:paraId="77F32AD2" w14:textId="77777777" w:rsidTr="00463FE3">
        <w:trPr>
          <w:trHeight w:val="288"/>
        </w:trPr>
        <w:tc>
          <w:tcPr>
            <w:tcW w:w="700" w:type="dxa"/>
            <w:tcBorders>
              <w:top w:val="nil"/>
              <w:left w:val="nil"/>
              <w:bottom w:val="nil"/>
              <w:right w:val="nil"/>
            </w:tcBorders>
            <w:shd w:val="clear" w:color="auto" w:fill="auto"/>
            <w:noWrap/>
            <w:vAlign w:val="center"/>
            <w:hideMark/>
          </w:tcPr>
          <w:p w14:paraId="0C8FF7B8" w14:textId="77777777" w:rsidR="00BC4A9D" w:rsidRPr="00A87E0A" w:rsidRDefault="00BC4A9D" w:rsidP="00463FE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0A1EFDBA"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You enjoy what you want more, after waiting.</w:t>
            </w:r>
          </w:p>
        </w:tc>
        <w:tc>
          <w:tcPr>
            <w:tcW w:w="720" w:type="dxa"/>
            <w:tcBorders>
              <w:top w:val="nil"/>
              <w:left w:val="nil"/>
              <w:bottom w:val="nil"/>
              <w:right w:val="nil"/>
            </w:tcBorders>
            <w:shd w:val="clear" w:color="auto" w:fill="auto"/>
            <w:noWrap/>
            <w:vAlign w:val="bottom"/>
            <w:hideMark/>
          </w:tcPr>
          <w:p w14:paraId="61F87EAB"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3.74</w:t>
            </w:r>
          </w:p>
        </w:tc>
        <w:tc>
          <w:tcPr>
            <w:tcW w:w="700" w:type="dxa"/>
            <w:tcBorders>
              <w:top w:val="nil"/>
              <w:left w:val="nil"/>
              <w:bottom w:val="nil"/>
              <w:right w:val="nil"/>
            </w:tcBorders>
            <w:shd w:val="clear" w:color="auto" w:fill="auto"/>
            <w:noWrap/>
            <w:vAlign w:val="bottom"/>
            <w:hideMark/>
          </w:tcPr>
          <w:p w14:paraId="15204582"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1.09</w:t>
            </w:r>
          </w:p>
        </w:tc>
        <w:tc>
          <w:tcPr>
            <w:tcW w:w="740" w:type="dxa"/>
            <w:tcBorders>
              <w:top w:val="nil"/>
              <w:left w:val="nil"/>
              <w:bottom w:val="nil"/>
              <w:right w:val="nil"/>
            </w:tcBorders>
            <w:shd w:val="clear" w:color="auto" w:fill="auto"/>
            <w:noWrap/>
            <w:vAlign w:val="bottom"/>
            <w:hideMark/>
          </w:tcPr>
          <w:p w14:paraId="1217487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-0.99</w:t>
            </w:r>
          </w:p>
        </w:tc>
        <w:tc>
          <w:tcPr>
            <w:tcW w:w="720" w:type="dxa"/>
            <w:tcBorders>
              <w:top w:val="nil"/>
              <w:left w:val="nil"/>
              <w:bottom w:val="nil"/>
              <w:right w:val="nil"/>
            </w:tcBorders>
            <w:shd w:val="clear" w:color="auto" w:fill="auto"/>
            <w:noWrap/>
            <w:vAlign w:val="bottom"/>
            <w:hideMark/>
          </w:tcPr>
          <w:p w14:paraId="2243FEEF"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1.16</w:t>
            </w:r>
          </w:p>
        </w:tc>
        <w:tc>
          <w:tcPr>
            <w:tcW w:w="740" w:type="dxa"/>
            <w:tcBorders>
              <w:top w:val="nil"/>
              <w:left w:val="nil"/>
              <w:bottom w:val="nil"/>
              <w:right w:val="nil"/>
            </w:tcBorders>
            <w:shd w:val="clear" w:color="auto" w:fill="auto"/>
            <w:noWrap/>
            <w:vAlign w:val="bottom"/>
            <w:hideMark/>
          </w:tcPr>
          <w:p w14:paraId="2597DA69"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.636</w:t>
            </w:r>
          </w:p>
        </w:tc>
        <w:tc>
          <w:tcPr>
            <w:tcW w:w="700" w:type="dxa"/>
            <w:tcBorders>
              <w:top w:val="nil"/>
              <w:left w:val="nil"/>
              <w:bottom w:val="nil"/>
              <w:right w:val="nil"/>
            </w:tcBorders>
            <w:shd w:val="clear" w:color="auto" w:fill="auto"/>
            <w:noWrap/>
            <w:vAlign w:val="bottom"/>
            <w:hideMark/>
          </w:tcPr>
          <w:p w14:paraId="4DA2C1D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.464</w:t>
            </w:r>
          </w:p>
        </w:tc>
      </w:tr>
      <w:tr w:rsidR="00BC4A9D" w:rsidRPr="00A87E0A" w14:paraId="6065D72F" w14:textId="77777777" w:rsidTr="00463FE3">
        <w:trPr>
          <w:trHeight w:val="288"/>
        </w:trPr>
        <w:tc>
          <w:tcPr>
            <w:tcW w:w="700" w:type="dxa"/>
            <w:tcBorders>
              <w:top w:val="nil"/>
              <w:left w:val="nil"/>
              <w:bottom w:val="nil"/>
              <w:right w:val="nil"/>
            </w:tcBorders>
            <w:shd w:val="clear" w:color="auto" w:fill="auto"/>
            <w:noWrap/>
            <w:vAlign w:val="center"/>
            <w:hideMark/>
          </w:tcPr>
          <w:p w14:paraId="46BEB2B3"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2</w:t>
            </w:r>
          </w:p>
        </w:tc>
        <w:tc>
          <w:tcPr>
            <w:tcW w:w="3128" w:type="dxa"/>
            <w:tcBorders>
              <w:top w:val="nil"/>
              <w:left w:val="nil"/>
              <w:bottom w:val="nil"/>
              <w:right w:val="nil"/>
            </w:tcBorders>
            <w:shd w:val="clear" w:color="auto" w:fill="auto"/>
            <w:noWrap/>
            <w:vAlign w:val="center"/>
            <w:hideMark/>
          </w:tcPr>
          <w:p w14:paraId="1CDA52F9"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The bad lasts only a while.</w:t>
            </w:r>
          </w:p>
        </w:tc>
        <w:tc>
          <w:tcPr>
            <w:tcW w:w="720" w:type="dxa"/>
            <w:tcBorders>
              <w:top w:val="nil"/>
              <w:left w:val="nil"/>
              <w:bottom w:val="nil"/>
              <w:right w:val="nil"/>
            </w:tcBorders>
            <w:shd w:val="clear" w:color="auto" w:fill="auto"/>
            <w:noWrap/>
            <w:vAlign w:val="bottom"/>
            <w:hideMark/>
          </w:tcPr>
          <w:p w14:paraId="7EADDB0B"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3.76</w:t>
            </w:r>
          </w:p>
        </w:tc>
        <w:tc>
          <w:tcPr>
            <w:tcW w:w="700" w:type="dxa"/>
            <w:tcBorders>
              <w:top w:val="nil"/>
              <w:left w:val="nil"/>
              <w:bottom w:val="nil"/>
              <w:right w:val="nil"/>
            </w:tcBorders>
            <w:shd w:val="clear" w:color="auto" w:fill="auto"/>
            <w:noWrap/>
            <w:vAlign w:val="bottom"/>
            <w:hideMark/>
          </w:tcPr>
          <w:p w14:paraId="6EB924DD"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0.97</w:t>
            </w:r>
          </w:p>
        </w:tc>
        <w:tc>
          <w:tcPr>
            <w:tcW w:w="740" w:type="dxa"/>
            <w:tcBorders>
              <w:top w:val="nil"/>
              <w:left w:val="nil"/>
              <w:bottom w:val="nil"/>
              <w:right w:val="nil"/>
            </w:tcBorders>
            <w:shd w:val="clear" w:color="auto" w:fill="auto"/>
            <w:noWrap/>
            <w:vAlign w:val="bottom"/>
            <w:hideMark/>
          </w:tcPr>
          <w:p w14:paraId="4FC8137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-0.82</w:t>
            </w:r>
          </w:p>
        </w:tc>
        <w:tc>
          <w:tcPr>
            <w:tcW w:w="720" w:type="dxa"/>
            <w:tcBorders>
              <w:top w:val="nil"/>
              <w:left w:val="nil"/>
              <w:bottom w:val="nil"/>
              <w:right w:val="nil"/>
            </w:tcBorders>
            <w:shd w:val="clear" w:color="auto" w:fill="auto"/>
            <w:noWrap/>
            <w:vAlign w:val="bottom"/>
            <w:hideMark/>
          </w:tcPr>
          <w:p w14:paraId="499FACB3"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0.70</w:t>
            </w:r>
          </w:p>
        </w:tc>
        <w:tc>
          <w:tcPr>
            <w:tcW w:w="740" w:type="dxa"/>
            <w:tcBorders>
              <w:top w:val="nil"/>
              <w:left w:val="nil"/>
              <w:bottom w:val="nil"/>
              <w:right w:val="nil"/>
            </w:tcBorders>
            <w:shd w:val="clear" w:color="auto" w:fill="auto"/>
            <w:noWrap/>
            <w:vAlign w:val="bottom"/>
            <w:hideMark/>
          </w:tcPr>
          <w:p w14:paraId="0DB11B28"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.708</w:t>
            </w:r>
          </w:p>
        </w:tc>
        <w:tc>
          <w:tcPr>
            <w:tcW w:w="700" w:type="dxa"/>
            <w:tcBorders>
              <w:top w:val="nil"/>
              <w:left w:val="nil"/>
              <w:bottom w:val="nil"/>
              <w:right w:val="nil"/>
            </w:tcBorders>
            <w:shd w:val="clear" w:color="auto" w:fill="auto"/>
            <w:noWrap/>
            <w:vAlign w:val="bottom"/>
            <w:hideMark/>
          </w:tcPr>
          <w:p w14:paraId="5E6B95FC"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.505</w:t>
            </w:r>
          </w:p>
        </w:tc>
      </w:tr>
      <w:tr w:rsidR="00BC4A9D" w:rsidRPr="00A87E0A" w14:paraId="09897461" w14:textId="77777777" w:rsidTr="00463FE3">
        <w:trPr>
          <w:trHeight w:val="288"/>
        </w:trPr>
        <w:tc>
          <w:tcPr>
            <w:tcW w:w="700" w:type="dxa"/>
            <w:tcBorders>
              <w:top w:val="nil"/>
              <w:left w:val="nil"/>
              <w:bottom w:val="single" w:sz="4" w:space="0" w:color="auto"/>
              <w:right w:val="nil"/>
            </w:tcBorders>
            <w:shd w:val="clear" w:color="auto" w:fill="auto"/>
            <w:noWrap/>
            <w:vAlign w:val="center"/>
            <w:hideMark/>
          </w:tcPr>
          <w:p w14:paraId="3DFD22D5" w14:textId="77777777" w:rsidR="00BC4A9D" w:rsidRPr="00A87E0A" w:rsidRDefault="00BC4A9D" w:rsidP="00463FE3">
            <w:pPr>
              <w:spacing w:line="360" w:lineRule="auto"/>
              <w:rPr>
                <w:color w:val="000000"/>
                <w:sz w:val="20"/>
                <w:szCs w:val="20"/>
                <w:lang w:eastAsia="es-CO"/>
              </w:rPr>
            </w:pPr>
            <w:r w:rsidRPr="00A87E0A">
              <w:rPr>
                <w:color w:val="000000"/>
                <w:sz w:val="20"/>
                <w:szCs w:val="20"/>
                <w:lang w:eastAsia="es-CO"/>
              </w:rPr>
              <w:t> </w:t>
            </w:r>
          </w:p>
        </w:tc>
        <w:tc>
          <w:tcPr>
            <w:tcW w:w="3128" w:type="dxa"/>
            <w:tcBorders>
              <w:top w:val="nil"/>
              <w:left w:val="nil"/>
              <w:bottom w:val="single" w:sz="4" w:space="0" w:color="auto"/>
              <w:right w:val="nil"/>
            </w:tcBorders>
            <w:shd w:val="clear" w:color="auto" w:fill="auto"/>
            <w:noWrap/>
            <w:vAlign w:val="center"/>
            <w:hideMark/>
          </w:tcPr>
          <w:p w14:paraId="332E096A" w14:textId="77777777" w:rsidR="00BC4A9D" w:rsidRPr="00A87E0A" w:rsidRDefault="00BC4A9D" w:rsidP="00463FE3">
            <w:pPr>
              <w:spacing w:line="360" w:lineRule="auto"/>
              <w:rPr>
                <w:color w:val="000000"/>
                <w:sz w:val="20"/>
                <w:szCs w:val="20"/>
                <w:lang w:val="en-US" w:eastAsia="es-CO"/>
              </w:rPr>
            </w:pPr>
            <w:r w:rsidRPr="00A87E0A">
              <w:rPr>
                <w:color w:val="000000"/>
                <w:sz w:val="20"/>
                <w:szCs w:val="20"/>
                <w:lang w:val="en-US" w:eastAsia="es-CO"/>
              </w:rPr>
              <w:t>The good comes, even if you must wait.</w:t>
            </w:r>
          </w:p>
        </w:tc>
        <w:tc>
          <w:tcPr>
            <w:tcW w:w="720" w:type="dxa"/>
            <w:tcBorders>
              <w:top w:val="nil"/>
              <w:left w:val="nil"/>
              <w:bottom w:val="single" w:sz="4" w:space="0" w:color="auto"/>
              <w:right w:val="nil"/>
            </w:tcBorders>
            <w:shd w:val="clear" w:color="auto" w:fill="auto"/>
            <w:noWrap/>
            <w:vAlign w:val="bottom"/>
            <w:hideMark/>
          </w:tcPr>
          <w:p w14:paraId="082BFEA7"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3.77</w:t>
            </w:r>
          </w:p>
        </w:tc>
        <w:tc>
          <w:tcPr>
            <w:tcW w:w="700" w:type="dxa"/>
            <w:tcBorders>
              <w:top w:val="nil"/>
              <w:left w:val="nil"/>
              <w:bottom w:val="single" w:sz="4" w:space="0" w:color="auto"/>
              <w:right w:val="nil"/>
            </w:tcBorders>
            <w:shd w:val="clear" w:color="auto" w:fill="auto"/>
            <w:noWrap/>
            <w:vAlign w:val="bottom"/>
            <w:hideMark/>
          </w:tcPr>
          <w:p w14:paraId="1AD509A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1.00</w:t>
            </w:r>
          </w:p>
        </w:tc>
        <w:tc>
          <w:tcPr>
            <w:tcW w:w="740" w:type="dxa"/>
            <w:tcBorders>
              <w:top w:val="nil"/>
              <w:left w:val="nil"/>
              <w:bottom w:val="single" w:sz="4" w:space="0" w:color="auto"/>
              <w:right w:val="nil"/>
            </w:tcBorders>
            <w:shd w:val="clear" w:color="auto" w:fill="auto"/>
            <w:noWrap/>
            <w:vAlign w:val="bottom"/>
            <w:hideMark/>
          </w:tcPr>
          <w:p w14:paraId="79E06CB0"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-0.63</w:t>
            </w:r>
          </w:p>
        </w:tc>
        <w:tc>
          <w:tcPr>
            <w:tcW w:w="720" w:type="dxa"/>
            <w:tcBorders>
              <w:top w:val="nil"/>
              <w:left w:val="nil"/>
              <w:bottom w:val="single" w:sz="4" w:space="0" w:color="auto"/>
              <w:right w:val="nil"/>
            </w:tcBorders>
            <w:shd w:val="clear" w:color="auto" w:fill="auto"/>
            <w:noWrap/>
            <w:vAlign w:val="bottom"/>
            <w:hideMark/>
          </w:tcPr>
          <w:p w14:paraId="31B6830A"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0.07</w:t>
            </w:r>
          </w:p>
        </w:tc>
        <w:tc>
          <w:tcPr>
            <w:tcW w:w="740" w:type="dxa"/>
            <w:tcBorders>
              <w:top w:val="nil"/>
              <w:left w:val="nil"/>
              <w:bottom w:val="single" w:sz="4" w:space="0" w:color="auto"/>
              <w:right w:val="nil"/>
            </w:tcBorders>
            <w:shd w:val="clear" w:color="auto" w:fill="auto"/>
            <w:noWrap/>
            <w:vAlign w:val="bottom"/>
            <w:hideMark/>
          </w:tcPr>
          <w:p w14:paraId="41CDEE13"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.769</w:t>
            </w:r>
          </w:p>
        </w:tc>
        <w:tc>
          <w:tcPr>
            <w:tcW w:w="700" w:type="dxa"/>
            <w:tcBorders>
              <w:top w:val="nil"/>
              <w:left w:val="nil"/>
              <w:bottom w:val="single" w:sz="4" w:space="0" w:color="auto"/>
              <w:right w:val="nil"/>
            </w:tcBorders>
            <w:shd w:val="clear" w:color="auto" w:fill="auto"/>
            <w:noWrap/>
            <w:vAlign w:val="bottom"/>
            <w:hideMark/>
          </w:tcPr>
          <w:p w14:paraId="143327C5" w14:textId="77777777" w:rsidR="00BC4A9D" w:rsidRPr="00A87E0A" w:rsidRDefault="00BC4A9D" w:rsidP="00463FE3">
            <w:pPr>
              <w:spacing w:line="360" w:lineRule="auto"/>
              <w:jc w:val="center"/>
              <w:rPr>
                <w:color w:val="000000"/>
                <w:sz w:val="20"/>
                <w:szCs w:val="20"/>
                <w:lang w:eastAsia="es-CO"/>
              </w:rPr>
            </w:pPr>
            <w:r w:rsidRPr="00A87E0A">
              <w:rPr>
                <w:color w:val="000000"/>
                <w:sz w:val="20"/>
                <w:szCs w:val="20"/>
                <w:lang w:eastAsia="es-CO"/>
              </w:rPr>
              <w:t>.593</w:t>
            </w:r>
          </w:p>
        </w:tc>
      </w:tr>
    </w:tbl>
    <w:p w14:paraId="79426F79" w14:textId="77777777" w:rsidR="00BC4A9D" w:rsidRPr="00A87E0A" w:rsidRDefault="00BC4A9D" w:rsidP="00BC4A9D">
      <w:pPr>
        <w:spacing w:line="360" w:lineRule="auto"/>
        <w:jc w:val="both"/>
        <w:rPr>
          <w:color w:val="000000"/>
          <w:sz w:val="20"/>
          <w:szCs w:val="20"/>
          <w:lang w:val="en-US"/>
        </w:rPr>
      </w:pPr>
      <w:r w:rsidRPr="00691C35">
        <w:rPr>
          <w:i/>
          <w:iCs/>
          <w:color w:val="000000"/>
          <w:sz w:val="20"/>
          <w:szCs w:val="20"/>
          <w:lang w:val="en-US"/>
        </w:rPr>
        <w:t>Note</w:t>
      </w:r>
      <w:r w:rsidRPr="00A87E0A">
        <w:rPr>
          <w:color w:val="000000"/>
          <w:sz w:val="20"/>
          <w:szCs w:val="20"/>
          <w:lang w:val="en-US"/>
        </w:rPr>
        <w:t xml:space="preserve">. </w:t>
      </w:r>
      <w:r w:rsidRPr="00A87E0A">
        <w:rPr>
          <w:i/>
          <w:iCs/>
          <w:color w:val="000000"/>
          <w:sz w:val="20"/>
          <w:szCs w:val="20"/>
          <w:lang w:val="en-US"/>
        </w:rPr>
        <w:t>M</w:t>
      </w:r>
      <w:r w:rsidRPr="00A87E0A">
        <w:rPr>
          <w:color w:val="000000"/>
          <w:sz w:val="20"/>
          <w:szCs w:val="20"/>
          <w:lang w:val="en-US"/>
        </w:rPr>
        <w:t xml:space="preserve">=mean; </w:t>
      </w:r>
      <w:r w:rsidRPr="00A87E0A">
        <w:rPr>
          <w:i/>
          <w:iCs/>
          <w:color w:val="000000"/>
          <w:sz w:val="20"/>
          <w:szCs w:val="20"/>
          <w:lang w:val="en-US"/>
        </w:rPr>
        <w:t>SD</w:t>
      </w:r>
      <w:r w:rsidRPr="00A87E0A">
        <w:rPr>
          <w:color w:val="000000"/>
          <w:sz w:val="20"/>
          <w:szCs w:val="20"/>
          <w:lang w:val="en-US"/>
        </w:rPr>
        <w:t xml:space="preserve">=standard deviation; </w:t>
      </w:r>
      <w:r w:rsidRPr="00A87E0A">
        <w:rPr>
          <w:i/>
          <w:iCs/>
          <w:color w:val="000000"/>
          <w:sz w:val="20"/>
          <w:szCs w:val="20"/>
          <w:lang w:val="en-US"/>
        </w:rPr>
        <w:t>Sk.</w:t>
      </w:r>
      <w:r w:rsidRPr="00A87E0A">
        <w:rPr>
          <w:color w:val="000000"/>
          <w:sz w:val="20"/>
          <w:szCs w:val="20"/>
          <w:lang w:val="en-US"/>
        </w:rPr>
        <w:t xml:space="preserve">=skewness; </w:t>
      </w:r>
      <w:r w:rsidRPr="00A87E0A">
        <w:rPr>
          <w:i/>
          <w:iCs/>
          <w:color w:val="000000"/>
          <w:sz w:val="20"/>
          <w:szCs w:val="20"/>
          <w:lang w:val="en-US"/>
        </w:rPr>
        <w:t>K</w:t>
      </w:r>
      <w:r w:rsidRPr="00A87E0A">
        <w:rPr>
          <w:color w:val="000000"/>
          <w:sz w:val="20"/>
          <w:szCs w:val="20"/>
          <w:lang w:val="en-US"/>
        </w:rPr>
        <w:t xml:space="preserve">=kurtosis; </w:t>
      </w:r>
      <w:r w:rsidRPr="00A87E0A">
        <w:rPr>
          <w:i/>
          <w:iCs/>
          <w:color w:val="000000"/>
          <w:sz w:val="20"/>
          <w:szCs w:val="20"/>
          <w:lang w:val="en-US"/>
        </w:rPr>
        <w:t>FL</w:t>
      </w:r>
      <w:r w:rsidRPr="00A87E0A">
        <w:rPr>
          <w:color w:val="000000"/>
          <w:sz w:val="20"/>
          <w:szCs w:val="20"/>
          <w:lang w:val="en-US"/>
        </w:rPr>
        <w:t>=Factor loading; CM=commonality</w:t>
      </w:r>
    </w:p>
    <w:p w14:paraId="04BB64AE" w14:textId="77777777" w:rsidR="00BC4A9D" w:rsidRPr="00A87E0A" w:rsidRDefault="00BC4A9D" w:rsidP="00BC4A9D">
      <w:pPr>
        <w:spacing w:line="360" w:lineRule="auto"/>
        <w:jc w:val="both"/>
        <w:rPr>
          <w:color w:val="000000"/>
          <w:sz w:val="20"/>
          <w:szCs w:val="20"/>
          <w:lang w:val="en-US"/>
        </w:rPr>
      </w:pPr>
      <w:r w:rsidRPr="00A87E0A">
        <w:rPr>
          <w:color w:val="000000"/>
          <w:sz w:val="20"/>
          <w:szCs w:val="20"/>
          <w:vertAlign w:val="superscript"/>
          <w:lang w:val="en-US"/>
        </w:rPr>
        <w:t>a</w:t>
      </w:r>
      <w:r w:rsidRPr="00A87E0A">
        <w:rPr>
          <w:color w:val="000000"/>
          <w:sz w:val="20"/>
          <w:szCs w:val="20"/>
          <w:lang w:val="en-US"/>
        </w:rPr>
        <w:t xml:space="preserve"> Cutoff point in structure coefficient was .40</w:t>
      </w:r>
    </w:p>
    <w:p w14:paraId="24121418" w14:textId="77777777" w:rsidR="00BC4A9D" w:rsidRPr="00A87E0A" w:rsidRDefault="00BC4A9D" w:rsidP="00BC4A9D">
      <w:pPr>
        <w:spacing w:line="360" w:lineRule="auto"/>
        <w:jc w:val="center"/>
        <w:rPr>
          <w:color w:val="000000"/>
          <w:lang w:val="en-US"/>
        </w:rPr>
      </w:pPr>
    </w:p>
    <w:p w14:paraId="633747B2" w14:textId="03A9043E" w:rsidR="00A93146" w:rsidRDefault="00A93146" w:rsidP="00A93146">
      <w:pPr>
        <w:pStyle w:val="Prrafocomn"/>
        <w:ind w:firstLine="0"/>
      </w:pPr>
    </w:p>
    <w:p w14:paraId="2B3DE1D3" w14:textId="77777777" w:rsidR="00B7151F" w:rsidRDefault="00B7151F" w:rsidP="00A93146">
      <w:pPr>
        <w:pStyle w:val="Prrafocomn"/>
        <w:ind w:firstLine="0"/>
      </w:pPr>
    </w:p>
    <w:p w14:paraId="10BC6EA5" w14:textId="77777777" w:rsidR="00B7151F" w:rsidRDefault="00B7151F" w:rsidP="00A93146">
      <w:pPr>
        <w:pStyle w:val="Prrafocomn"/>
        <w:ind w:firstLine="0"/>
      </w:pPr>
    </w:p>
    <w:p w14:paraId="5AEEC978" w14:textId="024398F2" w:rsidR="00B7151F" w:rsidRPr="00B7151F" w:rsidRDefault="00B7151F" w:rsidP="0018137D">
      <w:pPr>
        <w:pStyle w:val="Prrafocomn"/>
        <w:ind w:firstLine="709"/>
        <w:rPr>
          <w:color w:val="0070C0"/>
        </w:rPr>
      </w:pPr>
      <w:r w:rsidRPr="00B7151F">
        <w:rPr>
          <w:color w:val="0070C0"/>
        </w:rPr>
        <w:lastRenderedPageBreak/>
        <w:t xml:space="preserve">The two factors </w:t>
      </w:r>
      <w:r>
        <w:rPr>
          <w:color w:val="0070C0"/>
        </w:rPr>
        <w:t>resulting from AFE share a common strong meaning (</w:t>
      </w:r>
      <w:r w:rsidRPr="00B7151F">
        <w:rPr>
          <w:i/>
          <w:iCs/>
          <w:color w:val="0070C0"/>
        </w:rPr>
        <w:t xml:space="preserve">r </w:t>
      </w:r>
      <w:r>
        <w:rPr>
          <w:color w:val="0070C0"/>
        </w:rPr>
        <w:t>= .81</w:t>
      </w:r>
      <w:r w:rsidR="000C0045">
        <w:rPr>
          <w:color w:val="0070C0"/>
        </w:rPr>
        <w:t>), which tell us about an important conceptual overlap of the two items belonging to F</w:t>
      </w:r>
      <w:r w:rsidR="005F33C6">
        <w:rPr>
          <w:color w:val="0070C0"/>
        </w:rPr>
        <w:t>ac</w:t>
      </w:r>
      <w:r w:rsidR="000C0045">
        <w:rPr>
          <w:color w:val="0070C0"/>
        </w:rPr>
        <w:t>tor 2 and the five for Factor 1. However, the differentiation, possibly attributed to the factorial loadings in the seven items on each respective factor, supports the following interpretation: The five items of F</w:t>
      </w:r>
      <w:r w:rsidR="007572C7">
        <w:rPr>
          <w:color w:val="0070C0"/>
        </w:rPr>
        <w:t>ac</w:t>
      </w:r>
      <w:r w:rsidR="000C0045">
        <w:rPr>
          <w:color w:val="0070C0"/>
        </w:rPr>
        <w:t xml:space="preserve">tor 1 imply an active attitude on the part of the participant in exercising patience. That is to say, the majority of </w:t>
      </w:r>
      <w:r w:rsidR="00607A13">
        <w:rPr>
          <w:color w:val="0070C0"/>
        </w:rPr>
        <w:t xml:space="preserve">its </w:t>
      </w:r>
      <w:r w:rsidR="000C0045">
        <w:rPr>
          <w:color w:val="0070C0"/>
        </w:rPr>
        <w:t>items state or imply that there is some self-control process in this psychological disposition of patience, but this is not the case regarding the two items of the Factor 2 (see Table 2).</w:t>
      </w:r>
    </w:p>
    <w:p w14:paraId="3461915D" w14:textId="77777777" w:rsidR="00B7151F" w:rsidRDefault="00B7151F" w:rsidP="00A93146">
      <w:pPr>
        <w:pStyle w:val="Prrafocomn"/>
        <w:ind w:firstLine="0"/>
      </w:pPr>
    </w:p>
    <w:p w14:paraId="58A6C1C6" w14:textId="77777777" w:rsidR="00BF547C" w:rsidRPr="00B97E3A" w:rsidRDefault="00BF547C" w:rsidP="00BF547C">
      <w:pPr>
        <w:spacing w:line="360" w:lineRule="auto"/>
        <w:rPr>
          <w:color w:val="0070C0"/>
          <w:sz w:val="20"/>
          <w:szCs w:val="20"/>
          <w:lang w:val="en-US"/>
        </w:rPr>
      </w:pPr>
      <w:r w:rsidRPr="00B97E3A">
        <w:rPr>
          <w:color w:val="0070C0"/>
          <w:sz w:val="20"/>
          <w:szCs w:val="20"/>
          <w:lang w:val="en-US"/>
        </w:rPr>
        <w:t>Table 2.</w:t>
      </w:r>
    </w:p>
    <w:p w14:paraId="1064AB50" w14:textId="77777777" w:rsidR="00BF547C" w:rsidRPr="00B97E3A" w:rsidRDefault="00BF547C" w:rsidP="00BF547C">
      <w:pPr>
        <w:spacing w:line="360" w:lineRule="auto"/>
        <w:rPr>
          <w:i/>
          <w:iCs/>
          <w:color w:val="0070C0"/>
          <w:sz w:val="20"/>
          <w:szCs w:val="20"/>
          <w:lang w:val="en-US"/>
        </w:rPr>
      </w:pPr>
      <w:r w:rsidRPr="00B97E3A">
        <w:rPr>
          <w:i/>
          <w:iCs/>
          <w:color w:val="0070C0"/>
          <w:sz w:val="20"/>
          <w:szCs w:val="20"/>
          <w:lang w:val="en-US"/>
        </w:rPr>
        <w:t>Items and factors resulting from EFA, its explained variances and correlation between factors</w:t>
      </w:r>
    </w:p>
    <w:p w14:paraId="448BF9C4" w14:textId="77777777" w:rsidR="00BF547C" w:rsidRDefault="00BF547C" w:rsidP="00BF547C">
      <w:pPr>
        <w:rPr>
          <w:lang w:val="en-US"/>
        </w:rPr>
      </w:pPr>
    </w:p>
    <w:tbl>
      <w:tblPr>
        <w:tblW w:w="8814" w:type="dxa"/>
        <w:tblCellMar>
          <w:left w:w="70" w:type="dxa"/>
          <w:right w:w="70" w:type="dxa"/>
        </w:tblCellMar>
        <w:tblLook w:val="04A0" w:firstRow="1" w:lastRow="0" w:firstColumn="1" w:lastColumn="0" w:noHBand="0" w:noVBand="1"/>
      </w:tblPr>
      <w:tblGrid>
        <w:gridCol w:w="559"/>
        <w:gridCol w:w="2276"/>
        <w:gridCol w:w="980"/>
        <w:gridCol w:w="1997"/>
        <w:gridCol w:w="951"/>
        <w:gridCol w:w="951"/>
        <w:gridCol w:w="1100"/>
      </w:tblGrid>
      <w:tr w:rsidR="001C37A1" w14:paraId="213C121C" w14:textId="77777777" w:rsidTr="00585D55">
        <w:trPr>
          <w:trHeight w:val="792"/>
        </w:trPr>
        <w:tc>
          <w:tcPr>
            <w:tcW w:w="559" w:type="dxa"/>
            <w:tcBorders>
              <w:top w:val="single" w:sz="4" w:space="0" w:color="auto"/>
              <w:left w:val="nil"/>
              <w:bottom w:val="single" w:sz="4" w:space="0" w:color="auto"/>
              <w:right w:val="nil"/>
            </w:tcBorders>
            <w:shd w:val="clear" w:color="auto" w:fill="auto"/>
            <w:vAlign w:val="center"/>
            <w:hideMark/>
          </w:tcPr>
          <w:p w14:paraId="27193A4D" w14:textId="77777777" w:rsidR="001C37A1" w:rsidRDefault="001C37A1">
            <w:pPr>
              <w:jc w:val="center"/>
              <w:rPr>
                <w:color w:val="0070C0"/>
                <w:sz w:val="20"/>
                <w:szCs w:val="20"/>
                <w:lang w:val="es-CO" w:eastAsia="es-CO"/>
              </w:rPr>
            </w:pPr>
            <w:r>
              <w:rPr>
                <w:color w:val="0070C0"/>
                <w:sz w:val="20"/>
                <w:szCs w:val="20"/>
              </w:rPr>
              <w:t>Item</w:t>
            </w:r>
          </w:p>
        </w:tc>
        <w:tc>
          <w:tcPr>
            <w:tcW w:w="2276" w:type="dxa"/>
            <w:tcBorders>
              <w:top w:val="single" w:sz="4" w:space="0" w:color="auto"/>
              <w:left w:val="nil"/>
              <w:bottom w:val="single" w:sz="4" w:space="0" w:color="auto"/>
              <w:right w:val="nil"/>
            </w:tcBorders>
            <w:shd w:val="clear" w:color="auto" w:fill="auto"/>
            <w:vAlign w:val="center"/>
            <w:hideMark/>
          </w:tcPr>
          <w:p w14:paraId="0DDE5AEA" w14:textId="77777777" w:rsidR="001C37A1" w:rsidRDefault="001C37A1">
            <w:pPr>
              <w:jc w:val="center"/>
              <w:rPr>
                <w:color w:val="0070C0"/>
                <w:sz w:val="20"/>
                <w:szCs w:val="20"/>
              </w:rPr>
            </w:pPr>
            <w:r>
              <w:rPr>
                <w:color w:val="0070C0"/>
                <w:sz w:val="20"/>
                <w:szCs w:val="20"/>
              </w:rPr>
              <w:t>Factor 1</w:t>
            </w:r>
          </w:p>
        </w:tc>
        <w:tc>
          <w:tcPr>
            <w:tcW w:w="980" w:type="dxa"/>
            <w:tcBorders>
              <w:top w:val="single" w:sz="4" w:space="0" w:color="auto"/>
              <w:left w:val="nil"/>
              <w:bottom w:val="single" w:sz="4" w:space="0" w:color="auto"/>
              <w:right w:val="nil"/>
            </w:tcBorders>
            <w:shd w:val="clear" w:color="auto" w:fill="auto"/>
            <w:vAlign w:val="center"/>
            <w:hideMark/>
          </w:tcPr>
          <w:p w14:paraId="26528CAA" w14:textId="77777777" w:rsidR="001C37A1" w:rsidRDefault="001C37A1">
            <w:pPr>
              <w:jc w:val="center"/>
              <w:rPr>
                <w:color w:val="0070C0"/>
                <w:sz w:val="20"/>
                <w:szCs w:val="20"/>
              </w:rPr>
            </w:pPr>
            <w:r>
              <w:rPr>
                <w:color w:val="0070C0"/>
                <w:sz w:val="20"/>
                <w:szCs w:val="20"/>
              </w:rPr>
              <w:t>Explained variance by item</w:t>
            </w:r>
          </w:p>
        </w:tc>
        <w:tc>
          <w:tcPr>
            <w:tcW w:w="1997" w:type="dxa"/>
            <w:tcBorders>
              <w:top w:val="single" w:sz="4" w:space="0" w:color="auto"/>
              <w:left w:val="nil"/>
              <w:bottom w:val="single" w:sz="4" w:space="0" w:color="auto"/>
              <w:right w:val="nil"/>
            </w:tcBorders>
            <w:shd w:val="clear" w:color="auto" w:fill="auto"/>
            <w:vAlign w:val="center"/>
            <w:hideMark/>
          </w:tcPr>
          <w:p w14:paraId="47EB1E70" w14:textId="77777777" w:rsidR="001C37A1" w:rsidRDefault="001C37A1">
            <w:pPr>
              <w:jc w:val="center"/>
              <w:rPr>
                <w:color w:val="0070C0"/>
                <w:sz w:val="20"/>
                <w:szCs w:val="20"/>
              </w:rPr>
            </w:pPr>
            <w:r>
              <w:rPr>
                <w:color w:val="0070C0"/>
                <w:sz w:val="20"/>
                <w:szCs w:val="20"/>
              </w:rPr>
              <w:t>Factor 2</w:t>
            </w:r>
          </w:p>
        </w:tc>
        <w:tc>
          <w:tcPr>
            <w:tcW w:w="951" w:type="dxa"/>
            <w:tcBorders>
              <w:top w:val="single" w:sz="4" w:space="0" w:color="auto"/>
              <w:left w:val="nil"/>
              <w:bottom w:val="single" w:sz="4" w:space="0" w:color="auto"/>
              <w:right w:val="nil"/>
            </w:tcBorders>
            <w:shd w:val="clear" w:color="auto" w:fill="auto"/>
            <w:vAlign w:val="center"/>
            <w:hideMark/>
          </w:tcPr>
          <w:p w14:paraId="21FB8FDF" w14:textId="77777777" w:rsidR="001C37A1" w:rsidRDefault="001C37A1">
            <w:pPr>
              <w:jc w:val="center"/>
              <w:rPr>
                <w:color w:val="0070C0"/>
                <w:sz w:val="20"/>
                <w:szCs w:val="20"/>
              </w:rPr>
            </w:pPr>
            <w:r>
              <w:rPr>
                <w:color w:val="0070C0"/>
                <w:sz w:val="20"/>
                <w:szCs w:val="20"/>
              </w:rPr>
              <w:t>Explained variance by item</w:t>
            </w:r>
          </w:p>
        </w:tc>
        <w:tc>
          <w:tcPr>
            <w:tcW w:w="951" w:type="dxa"/>
            <w:tcBorders>
              <w:top w:val="single" w:sz="4" w:space="0" w:color="auto"/>
              <w:left w:val="nil"/>
              <w:bottom w:val="single" w:sz="4" w:space="0" w:color="auto"/>
              <w:right w:val="nil"/>
            </w:tcBorders>
            <w:shd w:val="clear" w:color="auto" w:fill="auto"/>
            <w:vAlign w:val="center"/>
            <w:hideMark/>
          </w:tcPr>
          <w:p w14:paraId="4ACB280A" w14:textId="77777777" w:rsidR="001C37A1" w:rsidRDefault="001C37A1">
            <w:pPr>
              <w:jc w:val="center"/>
              <w:rPr>
                <w:color w:val="0070C0"/>
                <w:sz w:val="20"/>
                <w:szCs w:val="20"/>
              </w:rPr>
            </w:pPr>
            <w:r>
              <w:rPr>
                <w:color w:val="0070C0"/>
                <w:sz w:val="20"/>
                <w:szCs w:val="20"/>
              </w:rPr>
              <w:t>Explained variance by factor</w:t>
            </w:r>
          </w:p>
        </w:tc>
        <w:tc>
          <w:tcPr>
            <w:tcW w:w="1100" w:type="dxa"/>
            <w:tcBorders>
              <w:top w:val="single" w:sz="4" w:space="0" w:color="auto"/>
              <w:left w:val="nil"/>
              <w:bottom w:val="single" w:sz="4" w:space="0" w:color="auto"/>
              <w:right w:val="nil"/>
            </w:tcBorders>
            <w:shd w:val="clear" w:color="auto" w:fill="auto"/>
            <w:vAlign w:val="center"/>
            <w:hideMark/>
          </w:tcPr>
          <w:p w14:paraId="6ECBF327" w14:textId="77777777" w:rsidR="001C37A1" w:rsidRDefault="001C37A1">
            <w:pPr>
              <w:jc w:val="center"/>
              <w:rPr>
                <w:color w:val="0070C0"/>
                <w:sz w:val="20"/>
                <w:szCs w:val="20"/>
              </w:rPr>
            </w:pPr>
            <w:r>
              <w:rPr>
                <w:color w:val="0070C0"/>
                <w:sz w:val="20"/>
                <w:szCs w:val="20"/>
              </w:rPr>
              <w:t>Correlation between factors</w:t>
            </w:r>
          </w:p>
        </w:tc>
      </w:tr>
      <w:tr w:rsidR="001C37A1" w14:paraId="363E1ECD" w14:textId="77777777" w:rsidTr="00585D55">
        <w:trPr>
          <w:trHeight w:val="528"/>
        </w:trPr>
        <w:tc>
          <w:tcPr>
            <w:tcW w:w="559" w:type="dxa"/>
            <w:tcBorders>
              <w:top w:val="nil"/>
              <w:left w:val="nil"/>
              <w:bottom w:val="nil"/>
              <w:right w:val="nil"/>
            </w:tcBorders>
            <w:shd w:val="clear" w:color="auto" w:fill="auto"/>
            <w:vAlign w:val="center"/>
            <w:hideMark/>
          </w:tcPr>
          <w:p w14:paraId="188F883A" w14:textId="77777777" w:rsidR="001C37A1" w:rsidRDefault="001C37A1">
            <w:pPr>
              <w:jc w:val="center"/>
              <w:rPr>
                <w:color w:val="0070C0"/>
                <w:sz w:val="20"/>
                <w:szCs w:val="20"/>
              </w:rPr>
            </w:pPr>
            <w:r>
              <w:rPr>
                <w:color w:val="0070C0"/>
                <w:sz w:val="20"/>
                <w:szCs w:val="20"/>
              </w:rPr>
              <w:t>I26</w:t>
            </w:r>
          </w:p>
        </w:tc>
        <w:tc>
          <w:tcPr>
            <w:tcW w:w="2276" w:type="dxa"/>
            <w:tcBorders>
              <w:top w:val="nil"/>
              <w:left w:val="nil"/>
              <w:bottom w:val="nil"/>
              <w:right w:val="nil"/>
            </w:tcBorders>
            <w:shd w:val="clear" w:color="auto" w:fill="auto"/>
            <w:vAlign w:val="center"/>
            <w:hideMark/>
          </w:tcPr>
          <w:p w14:paraId="5569DA8F" w14:textId="77777777" w:rsidR="001C37A1" w:rsidRPr="001C37A1" w:rsidRDefault="001C37A1">
            <w:pPr>
              <w:jc w:val="both"/>
              <w:rPr>
                <w:color w:val="0070C0"/>
                <w:sz w:val="20"/>
                <w:szCs w:val="20"/>
                <w:lang w:val="en-US"/>
              </w:rPr>
            </w:pPr>
            <w:r>
              <w:rPr>
                <w:color w:val="0070C0"/>
                <w:sz w:val="20"/>
                <w:szCs w:val="20"/>
                <w:lang w:val="en-US"/>
              </w:rPr>
              <w:t>When I want something, I can wait to get it.</w:t>
            </w:r>
          </w:p>
        </w:tc>
        <w:tc>
          <w:tcPr>
            <w:tcW w:w="980" w:type="dxa"/>
            <w:tcBorders>
              <w:top w:val="nil"/>
              <w:left w:val="nil"/>
              <w:bottom w:val="nil"/>
              <w:right w:val="nil"/>
            </w:tcBorders>
            <w:shd w:val="clear" w:color="auto" w:fill="auto"/>
            <w:vAlign w:val="center"/>
            <w:hideMark/>
          </w:tcPr>
          <w:p w14:paraId="58F27059" w14:textId="77777777" w:rsidR="001C37A1" w:rsidRDefault="001C37A1">
            <w:pPr>
              <w:jc w:val="center"/>
              <w:rPr>
                <w:color w:val="0070C0"/>
                <w:sz w:val="20"/>
                <w:szCs w:val="20"/>
              </w:rPr>
            </w:pPr>
            <w:r>
              <w:rPr>
                <w:color w:val="0070C0"/>
                <w:sz w:val="20"/>
                <w:szCs w:val="20"/>
                <w:lang w:val="en-US"/>
              </w:rPr>
              <w:t>.45</w:t>
            </w:r>
          </w:p>
        </w:tc>
        <w:tc>
          <w:tcPr>
            <w:tcW w:w="1997" w:type="dxa"/>
            <w:tcBorders>
              <w:top w:val="nil"/>
              <w:left w:val="nil"/>
              <w:bottom w:val="nil"/>
              <w:right w:val="nil"/>
            </w:tcBorders>
            <w:shd w:val="clear" w:color="auto" w:fill="auto"/>
            <w:vAlign w:val="center"/>
            <w:hideMark/>
          </w:tcPr>
          <w:p w14:paraId="67CCDC59" w14:textId="77777777" w:rsidR="001C37A1" w:rsidRDefault="001C37A1">
            <w:pPr>
              <w:jc w:val="center"/>
              <w:rPr>
                <w:color w:val="0070C0"/>
                <w:sz w:val="20"/>
                <w:szCs w:val="20"/>
              </w:rPr>
            </w:pPr>
          </w:p>
        </w:tc>
        <w:tc>
          <w:tcPr>
            <w:tcW w:w="951" w:type="dxa"/>
            <w:tcBorders>
              <w:top w:val="nil"/>
              <w:left w:val="nil"/>
              <w:bottom w:val="nil"/>
              <w:right w:val="nil"/>
            </w:tcBorders>
            <w:shd w:val="clear" w:color="auto" w:fill="auto"/>
            <w:vAlign w:val="center"/>
            <w:hideMark/>
          </w:tcPr>
          <w:p w14:paraId="392E3041"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3BFDF2FF"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1860021F" w14:textId="77777777" w:rsidR="001C37A1" w:rsidRDefault="001C37A1">
            <w:pPr>
              <w:jc w:val="center"/>
              <w:rPr>
                <w:color w:val="0070C0"/>
                <w:sz w:val="20"/>
                <w:szCs w:val="20"/>
              </w:rPr>
            </w:pPr>
            <w:r>
              <w:rPr>
                <w:color w:val="0070C0"/>
                <w:sz w:val="20"/>
                <w:szCs w:val="20"/>
                <w:lang w:val="en-US"/>
              </w:rPr>
              <w:t>.81</w:t>
            </w:r>
          </w:p>
        </w:tc>
      </w:tr>
      <w:tr w:rsidR="001C37A1" w14:paraId="124ED481" w14:textId="77777777" w:rsidTr="00585D55">
        <w:trPr>
          <w:trHeight w:val="108"/>
        </w:trPr>
        <w:tc>
          <w:tcPr>
            <w:tcW w:w="559" w:type="dxa"/>
            <w:tcBorders>
              <w:top w:val="nil"/>
              <w:left w:val="nil"/>
              <w:bottom w:val="nil"/>
              <w:right w:val="nil"/>
            </w:tcBorders>
            <w:shd w:val="clear" w:color="auto" w:fill="auto"/>
            <w:vAlign w:val="center"/>
            <w:hideMark/>
          </w:tcPr>
          <w:p w14:paraId="08307984" w14:textId="77777777" w:rsidR="001C37A1" w:rsidRDefault="001C37A1">
            <w:pPr>
              <w:jc w:val="center"/>
              <w:rPr>
                <w:color w:val="0070C0"/>
                <w:sz w:val="20"/>
                <w:szCs w:val="20"/>
              </w:rPr>
            </w:pPr>
          </w:p>
        </w:tc>
        <w:tc>
          <w:tcPr>
            <w:tcW w:w="2276" w:type="dxa"/>
            <w:tcBorders>
              <w:top w:val="nil"/>
              <w:left w:val="nil"/>
              <w:bottom w:val="nil"/>
              <w:right w:val="nil"/>
            </w:tcBorders>
            <w:shd w:val="clear" w:color="auto" w:fill="auto"/>
            <w:vAlign w:val="center"/>
            <w:hideMark/>
          </w:tcPr>
          <w:p w14:paraId="46B264AA" w14:textId="77777777" w:rsidR="001C37A1" w:rsidRDefault="001C37A1">
            <w:pPr>
              <w:jc w:val="center"/>
              <w:rPr>
                <w:sz w:val="20"/>
                <w:szCs w:val="20"/>
              </w:rPr>
            </w:pPr>
          </w:p>
        </w:tc>
        <w:tc>
          <w:tcPr>
            <w:tcW w:w="980" w:type="dxa"/>
            <w:tcBorders>
              <w:top w:val="nil"/>
              <w:left w:val="nil"/>
              <w:bottom w:val="nil"/>
              <w:right w:val="nil"/>
            </w:tcBorders>
            <w:shd w:val="clear" w:color="auto" w:fill="auto"/>
            <w:vAlign w:val="center"/>
            <w:hideMark/>
          </w:tcPr>
          <w:p w14:paraId="44CCB1F0" w14:textId="77777777" w:rsidR="001C37A1" w:rsidRDefault="001C37A1">
            <w:pPr>
              <w:jc w:val="both"/>
              <w:rPr>
                <w:sz w:val="20"/>
                <w:szCs w:val="20"/>
              </w:rPr>
            </w:pPr>
          </w:p>
        </w:tc>
        <w:tc>
          <w:tcPr>
            <w:tcW w:w="1997" w:type="dxa"/>
            <w:tcBorders>
              <w:top w:val="nil"/>
              <w:left w:val="nil"/>
              <w:bottom w:val="nil"/>
              <w:right w:val="nil"/>
            </w:tcBorders>
            <w:shd w:val="clear" w:color="auto" w:fill="auto"/>
            <w:vAlign w:val="center"/>
            <w:hideMark/>
          </w:tcPr>
          <w:p w14:paraId="7BD31867"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6C5C2DE9"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275A45A6"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4D2EAA79" w14:textId="77777777" w:rsidR="001C37A1" w:rsidRDefault="001C37A1">
            <w:pPr>
              <w:jc w:val="center"/>
              <w:rPr>
                <w:sz w:val="20"/>
                <w:szCs w:val="20"/>
              </w:rPr>
            </w:pPr>
          </w:p>
        </w:tc>
      </w:tr>
      <w:tr w:rsidR="001C37A1" w14:paraId="6E3515D4" w14:textId="77777777" w:rsidTr="00585D55">
        <w:trPr>
          <w:trHeight w:val="792"/>
        </w:trPr>
        <w:tc>
          <w:tcPr>
            <w:tcW w:w="559" w:type="dxa"/>
            <w:tcBorders>
              <w:top w:val="nil"/>
              <w:left w:val="nil"/>
              <w:bottom w:val="nil"/>
              <w:right w:val="nil"/>
            </w:tcBorders>
            <w:shd w:val="clear" w:color="auto" w:fill="auto"/>
            <w:vAlign w:val="center"/>
            <w:hideMark/>
          </w:tcPr>
          <w:p w14:paraId="753B0598" w14:textId="77777777" w:rsidR="001C37A1" w:rsidRDefault="001C37A1">
            <w:pPr>
              <w:jc w:val="center"/>
              <w:rPr>
                <w:color w:val="0070C0"/>
                <w:sz w:val="20"/>
                <w:szCs w:val="20"/>
              </w:rPr>
            </w:pPr>
            <w:r>
              <w:rPr>
                <w:color w:val="0070C0"/>
                <w:sz w:val="20"/>
                <w:szCs w:val="20"/>
              </w:rPr>
              <w:t>I28</w:t>
            </w:r>
          </w:p>
        </w:tc>
        <w:tc>
          <w:tcPr>
            <w:tcW w:w="2276" w:type="dxa"/>
            <w:tcBorders>
              <w:top w:val="nil"/>
              <w:left w:val="nil"/>
              <w:bottom w:val="nil"/>
              <w:right w:val="nil"/>
            </w:tcBorders>
            <w:shd w:val="clear" w:color="auto" w:fill="auto"/>
            <w:vAlign w:val="center"/>
            <w:hideMark/>
          </w:tcPr>
          <w:p w14:paraId="745282EA" w14:textId="77777777" w:rsidR="001C37A1" w:rsidRPr="001C37A1" w:rsidRDefault="001C37A1">
            <w:pPr>
              <w:jc w:val="both"/>
              <w:rPr>
                <w:color w:val="0070C0"/>
                <w:sz w:val="20"/>
                <w:szCs w:val="20"/>
                <w:lang w:val="en-US"/>
              </w:rPr>
            </w:pPr>
            <w:r>
              <w:rPr>
                <w:color w:val="0070C0"/>
                <w:sz w:val="20"/>
                <w:szCs w:val="20"/>
                <w:lang w:val="en-US"/>
              </w:rPr>
              <w:t>Although I suffer now, I know that after a while what I want will come.</w:t>
            </w:r>
          </w:p>
        </w:tc>
        <w:tc>
          <w:tcPr>
            <w:tcW w:w="980" w:type="dxa"/>
            <w:tcBorders>
              <w:top w:val="nil"/>
              <w:left w:val="nil"/>
              <w:bottom w:val="nil"/>
              <w:right w:val="nil"/>
            </w:tcBorders>
            <w:shd w:val="clear" w:color="auto" w:fill="auto"/>
            <w:vAlign w:val="center"/>
            <w:hideMark/>
          </w:tcPr>
          <w:p w14:paraId="1C753E06" w14:textId="77777777" w:rsidR="001C37A1" w:rsidRDefault="001C37A1">
            <w:pPr>
              <w:jc w:val="center"/>
              <w:rPr>
                <w:color w:val="0070C0"/>
                <w:sz w:val="20"/>
                <w:szCs w:val="20"/>
              </w:rPr>
            </w:pPr>
            <w:r>
              <w:rPr>
                <w:color w:val="0070C0"/>
                <w:sz w:val="20"/>
                <w:szCs w:val="20"/>
                <w:lang w:val="en-US"/>
              </w:rPr>
              <w:t>.55</w:t>
            </w:r>
          </w:p>
        </w:tc>
        <w:tc>
          <w:tcPr>
            <w:tcW w:w="1997" w:type="dxa"/>
            <w:tcBorders>
              <w:top w:val="nil"/>
              <w:left w:val="nil"/>
              <w:bottom w:val="nil"/>
              <w:right w:val="nil"/>
            </w:tcBorders>
            <w:shd w:val="clear" w:color="auto" w:fill="auto"/>
            <w:vAlign w:val="center"/>
            <w:hideMark/>
          </w:tcPr>
          <w:p w14:paraId="58D93F20" w14:textId="77777777" w:rsidR="001C37A1" w:rsidRDefault="001C37A1">
            <w:pPr>
              <w:jc w:val="center"/>
              <w:rPr>
                <w:color w:val="0070C0"/>
                <w:sz w:val="20"/>
                <w:szCs w:val="20"/>
              </w:rPr>
            </w:pPr>
          </w:p>
        </w:tc>
        <w:tc>
          <w:tcPr>
            <w:tcW w:w="951" w:type="dxa"/>
            <w:tcBorders>
              <w:top w:val="nil"/>
              <w:left w:val="nil"/>
              <w:bottom w:val="nil"/>
              <w:right w:val="nil"/>
            </w:tcBorders>
            <w:shd w:val="clear" w:color="auto" w:fill="auto"/>
            <w:vAlign w:val="center"/>
            <w:hideMark/>
          </w:tcPr>
          <w:p w14:paraId="21578B63"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368B29DC"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13D1AF0C" w14:textId="77777777" w:rsidR="001C37A1" w:rsidRDefault="001C37A1">
            <w:pPr>
              <w:jc w:val="center"/>
              <w:rPr>
                <w:sz w:val="20"/>
                <w:szCs w:val="20"/>
              </w:rPr>
            </w:pPr>
          </w:p>
        </w:tc>
      </w:tr>
      <w:tr w:rsidR="001C37A1" w14:paraId="724876A0" w14:textId="77777777" w:rsidTr="00585D55">
        <w:trPr>
          <w:trHeight w:val="108"/>
        </w:trPr>
        <w:tc>
          <w:tcPr>
            <w:tcW w:w="559" w:type="dxa"/>
            <w:tcBorders>
              <w:top w:val="nil"/>
              <w:left w:val="nil"/>
              <w:bottom w:val="nil"/>
              <w:right w:val="nil"/>
            </w:tcBorders>
            <w:shd w:val="clear" w:color="auto" w:fill="auto"/>
            <w:vAlign w:val="center"/>
            <w:hideMark/>
          </w:tcPr>
          <w:p w14:paraId="0593683F" w14:textId="77777777" w:rsidR="001C37A1" w:rsidRDefault="001C37A1">
            <w:pPr>
              <w:jc w:val="center"/>
              <w:rPr>
                <w:sz w:val="20"/>
                <w:szCs w:val="20"/>
              </w:rPr>
            </w:pPr>
          </w:p>
        </w:tc>
        <w:tc>
          <w:tcPr>
            <w:tcW w:w="2276" w:type="dxa"/>
            <w:tcBorders>
              <w:top w:val="nil"/>
              <w:left w:val="nil"/>
              <w:bottom w:val="nil"/>
              <w:right w:val="nil"/>
            </w:tcBorders>
            <w:shd w:val="clear" w:color="auto" w:fill="auto"/>
            <w:vAlign w:val="center"/>
            <w:hideMark/>
          </w:tcPr>
          <w:p w14:paraId="0312E0AD" w14:textId="77777777" w:rsidR="001C37A1" w:rsidRDefault="001C37A1">
            <w:pPr>
              <w:jc w:val="center"/>
              <w:rPr>
                <w:sz w:val="20"/>
                <w:szCs w:val="20"/>
              </w:rPr>
            </w:pPr>
          </w:p>
        </w:tc>
        <w:tc>
          <w:tcPr>
            <w:tcW w:w="980" w:type="dxa"/>
            <w:tcBorders>
              <w:top w:val="nil"/>
              <w:left w:val="nil"/>
              <w:bottom w:val="nil"/>
              <w:right w:val="nil"/>
            </w:tcBorders>
            <w:shd w:val="clear" w:color="auto" w:fill="auto"/>
            <w:vAlign w:val="center"/>
            <w:hideMark/>
          </w:tcPr>
          <w:p w14:paraId="064211A3" w14:textId="77777777" w:rsidR="001C37A1" w:rsidRDefault="001C37A1">
            <w:pPr>
              <w:jc w:val="both"/>
              <w:rPr>
                <w:sz w:val="20"/>
                <w:szCs w:val="20"/>
              </w:rPr>
            </w:pPr>
          </w:p>
        </w:tc>
        <w:tc>
          <w:tcPr>
            <w:tcW w:w="1997" w:type="dxa"/>
            <w:tcBorders>
              <w:top w:val="nil"/>
              <w:left w:val="nil"/>
              <w:bottom w:val="nil"/>
              <w:right w:val="nil"/>
            </w:tcBorders>
            <w:shd w:val="clear" w:color="auto" w:fill="auto"/>
            <w:vAlign w:val="center"/>
            <w:hideMark/>
          </w:tcPr>
          <w:p w14:paraId="2FAB43F4"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585AB8C7"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2B6F9062"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7202D8EA" w14:textId="77777777" w:rsidR="001C37A1" w:rsidRDefault="001C37A1">
            <w:pPr>
              <w:jc w:val="center"/>
              <w:rPr>
                <w:sz w:val="20"/>
                <w:szCs w:val="20"/>
              </w:rPr>
            </w:pPr>
          </w:p>
        </w:tc>
      </w:tr>
      <w:tr w:rsidR="001C37A1" w14:paraId="6B5A6E99" w14:textId="77777777" w:rsidTr="00585D55">
        <w:trPr>
          <w:trHeight w:val="528"/>
        </w:trPr>
        <w:tc>
          <w:tcPr>
            <w:tcW w:w="559" w:type="dxa"/>
            <w:tcBorders>
              <w:top w:val="nil"/>
              <w:left w:val="nil"/>
              <w:bottom w:val="nil"/>
              <w:right w:val="nil"/>
            </w:tcBorders>
            <w:shd w:val="clear" w:color="auto" w:fill="auto"/>
            <w:vAlign w:val="center"/>
            <w:hideMark/>
          </w:tcPr>
          <w:p w14:paraId="60FBCE6F" w14:textId="77777777" w:rsidR="001C37A1" w:rsidRDefault="001C37A1">
            <w:pPr>
              <w:jc w:val="center"/>
              <w:rPr>
                <w:color w:val="0070C0"/>
                <w:sz w:val="20"/>
                <w:szCs w:val="20"/>
              </w:rPr>
            </w:pPr>
            <w:r>
              <w:rPr>
                <w:color w:val="0070C0"/>
                <w:sz w:val="20"/>
                <w:szCs w:val="20"/>
              </w:rPr>
              <w:t>I29</w:t>
            </w:r>
          </w:p>
        </w:tc>
        <w:tc>
          <w:tcPr>
            <w:tcW w:w="2276" w:type="dxa"/>
            <w:tcBorders>
              <w:top w:val="nil"/>
              <w:left w:val="nil"/>
              <w:bottom w:val="nil"/>
              <w:right w:val="nil"/>
            </w:tcBorders>
            <w:shd w:val="clear" w:color="auto" w:fill="auto"/>
            <w:vAlign w:val="center"/>
            <w:hideMark/>
          </w:tcPr>
          <w:p w14:paraId="372B7156" w14:textId="77777777" w:rsidR="001C37A1" w:rsidRPr="001C37A1" w:rsidRDefault="001C37A1">
            <w:pPr>
              <w:jc w:val="both"/>
              <w:rPr>
                <w:color w:val="0070C0"/>
                <w:sz w:val="20"/>
                <w:szCs w:val="20"/>
                <w:lang w:val="en-US"/>
              </w:rPr>
            </w:pPr>
            <w:r>
              <w:rPr>
                <w:color w:val="0070C0"/>
                <w:sz w:val="20"/>
                <w:szCs w:val="20"/>
                <w:lang w:val="en-US"/>
              </w:rPr>
              <w:t>I will achieve my goal, sooner or later.</w:t>
            </w:r>
          </w:p>
        </w:tc>
        <w:tc>
          <w:tcPr>
            <w:tcW w:w="980" w:type="dxa"/>
            <w:tcBorders>
              <w:top w:val="nil"/>
              <w:left w:val="nil"/>
              <w:bottom w:val="nil"/>
              <w:right w:val="nil"/>
            </w:tcBorders>
            <w:shd w:val="clear" w:color="auto" w:fill="auto"/>
            <w:vAlign w:val="center"/>
            <w:hideMark/>
          </w:tcPr>
          <w:p w14:paraId="18A7B122" w14:textId="77777777" w:rsidR="001C37A1" w:rsidRDefault="001C37A1">
            <w:pPr>
              <w:jc w:val="center"/>
              <w:rPr>
                <w:color w:val="0070C0"/>
                <w:sz w:val="20"/>
                <w:szCs w:val="20"/>
              </w:rPr>
            </w:pPr>
            <w:r>
              <w:rPr>
                <w:color w:val="0070C0"/>
                <w:sz w:val="20"/>
                <w:szCs w:val="20"/>
                <w:lang w:val="en-US"/>
              </w:rPr>
              <w:t>.33</w:t>
            </w:r>
          </w:p>
        </w:tc>
        <w:tc>
          <w:tcPr>
            <w:tcW w:w="1997" w:type="dxa"/>
            <w:tcBorders>
              <w:top w:val="nil"/>
              <w:left w:val="nil"/>
              <w:bottom w:val="nil"/>
              <w:right w:val="nil"/>
            </w:tcBorders>
            <w:shd w:val="clear" w:color="auto" w:fill="auto"/>
            <w:vAlign w:val="center"/>
            <w:hideMark/>
          </w:tcPr>
          <w:p w14:paraId="7443245D" w14:textId="77777777" w:rsidR="001C37A1" w:rsidRDefault="001C37A1">
            <w:pPr>
              <w:jc w:val="center"/>
              <w:rPr>
                <w:color w:val="0070C0"/>
                <w:sz w:val="20"/>
                <w:szCs w:val="20"/>
              </w:rPr>
            </w:pPr>
          </w:p>
        </w:tc>
        <w:tc>
          <w:tcPr>
            <w:tcW w:w="951" w:type="dxa"/>
            <w:tcBorders>
              <w:top w:val="nil"/>
              <w:left w:val="nil"/>
              <w:bottom w:val="nil"/>
              <w:right w:val="nil"/>
            </w:tcBorders>
            <w:shd w:val="clear" w:color="auto" w:fill="auto"/>
            <w:vAlign w:val="center"/>
            <w:hideMark/>
          </w:tcPr>
          <w:p w14:paraId="4ED6FAC5"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285F427E"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698696F7" w14:textId="77777777" w:rsidR="001C37A1" w:rsidRDefault="001C37A1">
            <w:pPr>
              <w:jc w:val="center"/>
              <w:rPr>
                <w:sz w:val="20"/>
                <w:szCs w:val="20"/>
              </w:rPr>
            </w:pPr>
          </w:p>
        </w:tc>
      </w:tr>
      <w:tr w:rsidR="001C37A1" w14:paraId="6C513AA1" w14:textId="77777777" w:rsidTr="00585D55">
        <w:trPr>
          <w:trHeight w:val="108"/>
        </w:trPr>
        <w:tc>
          <w:tcPr>
            <w:tcW w:w="559" w:type="dxa"/>
            <w:tcBorders>
              <w:top w:val="nil"/>
              <w:left w:val="nil"/>
              <w:bottom w:val="nil"/>
              <w:right w:val="nil"/>
            </w:tcBorders>
            <w:shd w:val="clear" w:color="auto" w:fill="auto"/>
            <w:vAlign w:val="center"/>
            <w:hideMark/>
          </w:tcPr>
          <w:p w14:paraId="0751E0DE" w14:textId="77777777" w:rsidR="001C37A1" w:rsidRDefault="001C37A1">
            <w:pPr>
              <w:jc w:val="center"/>
              <w:rPr>
                <w:sz w:val="20"/>
                <w:szCs w:val="20"/>
              </w:rPr>
            </w:pPr>
          </w:p>
        </w:tc>
        <w:tc>
          <w:tcPr>
            <w:tcW w:w="2276" w:type="dxa"/>
            <w:tcBorders>
              <w:top w:val="nil"/>
              <w:left w:val="nil"/>
              <w:bottom w:val="nil"/>
              <w:right w:val="nil"/>
            </w:tcBorders>
            <w:shd w:val="clear" w:color="auto" w:fill="auto"/>
            <w:vAlign w:val="center"/>
            <w:hideMark/>
          </w:tcPr>
          <w:p w14:paraId="6B2C4CBC" w14:textId="77777777" w:rsidR="001C37A1" w:rsidRDefault="001C37A1">
            <w:pPr>
              <w:jc w:val="center"/>
              <w:rPr>
                <w:sz w:val="20"/>
                <w:szCs w:val="20"/>
              </w:rPr>
            </w:pPr>
          </w:p>
        </w:tc>
        <w:tc>
          <w:tcPr>
            <w:tcW w:w="980" w:type="dxa"/>
            <w:tcBorders>
              <w:top w:val="nil"/>
              <w:left w:val="nil"/>
              <w:bottom w:val="nil"/>
              <w:right w:val="nil"/>
            </w:tcBorders>
            <w:shd w:val="clear" w:color="auto" w:fill="auto"/>
            <w:vAlign w:val="center"/>
            <w:hideMark/>
          </w:tcPr>
          <w:p w14:paraId="1D88A8F5" w14:textId="77777777" w:rsidR="001C37A1" w:rsidRDefault="001C37A1">
            <w:pPr>
              <w:jc w:val="both"/>
              <w:rPr>
                <w:sz w:val="20"/>
                <w:szCs w:val="20"/>
              </w:rPr>
            </w:pPr>
          </w:p>
        </w:tc>
        <w:tc>
          <w:tcPr>
            <w:tcW w:w="1997" w:type="dxa"/>
            <w:tcBorders>
              <w:top w:val="nil"/>
              <w:left w:val="nil"/>
              <w:bottom w:val="nil"/>
              <w:right w:val="nil"/>
            </w:tcBorders>
            <w:shd w:val="clear" w:color="auto" w:fill="auto"/>
            <w:vAlign w:val="center"/>
            <w:hideMark/>
          </w:tcPr>
          <w:p w14:paraId="1EC67EC5"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3FFA1525"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780A1484"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35C1F142" w14:textId="77777777" w:rsidR="001C37A1" w:rsidRDefault="001C37A1">
            <w:pPr>
              <w:jc w:val="center"/>
              <w:rPr>
                <w:sz w:val="20"/>
                <w:szCs w:val="20"/>
              </w:rPr>
            </w:pPr>
          </w:p>
        </w:tc>
      </w:tr>
      <w:tr w:rsidR="001C37A1" w14:paraId="509E0C20" w14:textId="77777777" w:rsidTr="00585D55">
        <w:trPr>
          <w:trHeight w:val="528"/>
        </w:trPr>
        <w:tc>
          <w:tcPr>
            <w:tcW w:w="559" w:type="dxa"/>
            <w:tcBorders>
              <w:top w:val="nil"/>
              <w:left w:val="nil"/>
              <w:bottom w:val="nil"/>
              <w:right w:val="nil"/>
            </w:tcBorders>
            <w:shd w:val="clear" w:color="auto" w:fill="auto"/>
            <w:vAlign w:val="center"/>
            <w:hideMark/>
          </w:tcPr>
          <w:p w14:paraId="03432189" w14:textId="77777777" w:rsidR="001C37A1" w:rsidRDefault="001C37A1">
            <w:pPr>
              <w:jc w:val="center"/>
              <w:rPr>
                <w:color w:val="0070C0"/>
                <w:sz w:val="20"/>
                <w:szCs w:val="20"/>
              </w:rPr>
            </w:pPr>
            <w:r>
              <w:rPr>
                <w:color w:val="0070C0"/>
                <w:sz w:val="20"/>
                <w:szCs w:val="20"/>
              </w:rPr>
              <w:t>I32</w:t>
            </w:r>
          </w:p>
        </w:tc>
        <w:tc>
          <w:tcPr>
            <w:tcW w:w="2276" w:type="dxa"/>
            <w:tcBorders>
              <w:top w:val="nil"/>
              <w:left w:val="nil"/>
              <w:bottom w:val="nil"/>
              <w:right w:val="nil"/>
            </w:tcBorders>
            <w:shd w:val="clear" w:color="auto" w:fill="auto"/>
            <w:vAlign w:val="center"/>
            <w:hideMark/>
          </w:tcPr>
          <w:p w14:paraId="416A3FBD" w14:textId="77777777" w:rsidR="001C37A1" w:rsidRPr="001C37A1" w:rsidRDefault="001C37A1">
            <w:pPr>
              <w:jc w:val="both"/>
              <w:rPr>
                <w:color w:val="0070C0"/>
                <w:sz w:val="20"/>
                <w:szCs w:val="20"/>
                <w:lang w:val="en-US"/>
              </w:rPr>
            </w:pPr>
            <w:r>
              <w:rPr>
                <w:color w:val="0070C0"/>
                <w:sz w:val="20"/>
                <w:szCs w:val="20"/>
                <w:lang w:val="en-US"/>
              </w:rPr>
              <w:t>The best comes after a while.</w:t>
            </w:r>
          </w:p>
        </w:tc>
        <w:tc>
          <w:tcPr>
            <w:tcW w:w="980" w:type="dxa"/>
            <w:tcBorders>
              <w:top w:val="nil"/>
              <w:left w:val="nil"/>
              <w:bottom w:val="nil"/>
              <w:right w:val="nil"/>
            </w:tcBorders>
            <w:shd w:val="clear" w:color="auto" w:fill="auto"/>
            <w:vAlign w:val="center"/>
            <w:hideMark/>
          </w:tcPr>
          <w:p w14:paraId="241C0DA1" w14:textId="77777777" w:rsidR="001C37A1" w:rsidRDefault="001C37A1">
            <w:pPr>
              <w:jc w:val="center"/>
              <w:rPr>
                <w:color w:val="0070C0"/>
                <w:sz w:val="20"/>
                <w:szCs w:val="20"/>
              </w:rPr>
            </w:pPr>
            <w:r>
              <w:rPr>
                <w:color w:val="0070C0"/>
                <w:sz w:val="20"/>
                <w:szCs w:val="20"/>
                <w:lang w:val="en-US"/>
              </w:rPr>
              <w:t>.32</w:t>
            </w:r>
          </w:p>
        </w:tc>
        <w:tc>
          <w:tcPr>
            <w:tcW w:w="1997" w:type="dxa"/>
            <w:tcBorders>
              <w:top w:val="nil"/>
              <w:left w:val="nil"/>
              <w:bottom w:val="nil"/>
              <w:right w:val="nil"/>
            </w:tcBorders>
            <w:shd w:val="clear" w:color="auto" w:fill="auto"/>
            <w:vAlign w:val="center"/>
            <w:hideMark/>
          </w:tcPr>
          <w:p w14:paraId="6343AD68" w14:textId="77777777" w:rsidR="001C37A1" w:rsidRDefault="001C37A1">
            <w:pPr>
              <w:jc w:val="center"/>
              <w:rPr>
                <w:color w:val="0070C0"/>
                <w:sz w:val="20"/>
                <w:szCs w:val="20"/>
              </w:rPr>
            </w:pPr>
          </w:p>
        </w:tc>
        <w:tc>
          <w:tcPr>
            <w:tcW w:w="951" w:type="dxa"/>
            <w:tcBorders>
              <w:top w:val="nil"/>
              <w:left w:val="nil"/>
              <w:bottom w:val="nil"/>
              <w:right w:val="nil"/>
            </w:tcBorders>
            <w:shd w:val="clear" w:color="auto" w:fill="auto"/>
            <w:vAlign w:val="center"/>
            <w:hideMark/>
          </w:tcPr>
          <w:p w14:paraId="36605968"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2952B077"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64489C38" w14:textId="77777777" w:rsidR="001C37A1" w:rsidRDefault="001C37A1">
            <w:pPr>
              <w:jc w:val="center"/>
              <w:rPr>
                <w:sz w:val="20"/>
                <w:szCs w:val="20"/>
              </w:rPr>
            </w:pPr>
          </w:p>
        </w:tc>
      </w:tr>
      <w:tr w:rsidR="001C37A1" w14:paraId="1D4D2DC5" w14:textId="77777777" w:rsidTr="00585D55">
        <w:trPr>
          <w:trHeight w:val="108"/>
        </w:trPr>
        <w:tc>
          <w:tcPr>
            <w:tcW w:w="559" w:type="dxa"/>
            <w:tcBorders>
              <w:top w:val="nil"/>
              <w:left w:val="nil"/>
              <w:bottom w:val="nil"/>
              <w:right w:val="nil"/>
            </w:tcBorders>
            <w:shd w:val="clear" w:color="auto" w:fill="auto"/>
            <w:vAlign w:val="center"/>
            <w:hideMark/>
          </w:tcPr>
          <w:p w14:paraId="5A440429" w14:textId="77777777" w:rsidR="001C37A1" w:rsidRDefault="001C37A1">
            <w:pPr>
              <w:jc w:val="center"/>
              <w:rPr>
                <w:sz w:val="20"/>
                <w:szCs w:val="20"/>
              </w:rPr>
            </w:pPr>
          </w:p>
        </w:tc>
        <w:tc>
          <w:tcPr>
            <w:tcW w:w="2276" w:type="dxa"/>
            <w:tcBorders>
              <w:top w:val="nil"/>
              <w:left w:val="nil"/>
              <w:bottom w:val="nil"/>
              <w:right w:val="nil"/>
            </w:tcBorders>
            <w:shd w:val="clear" w:color="auto" w:fill="auto"/>
            <w:vAlign w:val="center"/>
            <w:hideMark/>
          </w:tcPr>
          <w:p w14:paraId="7E607F3E" w14:textId="77777777" w:rsidR="001C37A1" w:rsidRDefault="001C37A1">
            <w:pPr>
              <w:jc w:val="center"/>
              <w:rPr>
                <w:sz w:val="20"/>
                <w:szCs w:val="20"/>
              </w:rPr>
            </w:pPr>
          </w:p>
        </w:tc>
        <w:tc>
          <w:tcPr>
            <w:tcW w:w="980" w:type="dxa"/>
            <w:tcBorders>
              <w:top w:val="nil"/>
              <w:left w:val="nil"/>
              <w:bottom w:val="nil"/>
              <w:right w:val="nil"/>
            </w:tcBorders>
            <w:shd w:val="clear" w:color="auto" w:fill="auto"/>
            <w:vAlign w:val="center"/>
            <w:hideMark/>
          </w:tcPr>
          <w:p w14:paraId="56FE725F" w14:textId="77777777" w:rsidR="001C37A1" w:rsidRDefault="001C37A1">
            <w:pPr>
              <w:jc w:val="both"/>
              <w:rPr>
                <w:sz w:val="20"/>
                <w:szCs w:val="20"/>
              </w:rPr>
            </w:pPr>
          </w:p>
        </w:tc>
        <w:tc>
          <w:tcPr>
            <w:tcW w:w="1997" w:type="dxa"/>
            <w:tcBorders>
              <w:top w:val="nil"/>
              <w:left w:val="nil"/>
              <w:bottom w:val="nil"/>
              <w:right w:val="nil"/>
            </w:tcBorders>
            <w:shd w:val="clear" w:color="auto" w:fill="auto"/>
            <w:vAlign w:val="center"/>
            <w:hideMark/>
          </w:tcPr>
          <w:p w14:paraId="7A76824C"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2F718B02"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31EE86B2"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26B232A2" w14:textId="77777777" w:rsidR="001C37A1" w:rsidRDefault="001C37A1">
            <w:pPr>
              <w:jc w:val="center"/>
              <w:rPr>
                <w:sz w:val="20"/>
                <w:szCs w:val="20"/>
              </w:rPr>
            </w:pPr>
          </w:p>
        </w:tc>
      </w:tr>
      <w:tr w:rsidR="001C37A1" w14:paraId="3D2297C8" w14:textId="77777777" w:rsidTr="00585D55">
        <w:trPr>
          <w:trHeight w:val="564"/>
        </w:trPr>
        <w:tc>
          <w:tcPr>
            <w:tcW w:w="559" w:type="dxa"/>
            <w:tcBorders>
              <w:top w:val="nil"/>
              <w:left w:val="nil"/>
              <w:bottom w:val="nil"/>
              <w:right w:val="nil"/>
            </w:tcBorders>
            <w:shd w:val="clear" w:color="auto" w:fill="auto"/>
            <w:vAlign w:val="center"/>
            <w:hideMark/>
          </w:tcPr>
          <w:p w14:paraId="34E1ABE5" w14:textId="77777777" w:rsidR="001C37A1" w:rsidRDefault="001C37A1">
            <w:pPr>
              <w:jc w:val="center"/>
              <w:rPr>
                <w:color w:val="0070C0"/>
                <w:sz w:val="20"/>
                <w:szCs w:val="20"/>
              </w:rPr>
            </w:pPr>
            <w:r>
              <w:rPr>
                <w:color w:val="0070C0"/>
                <w:sz w:val="20"/>
                <w:szCs w:val="20"/>
                <w:lang w:val="en-US"/>
              </w:rPr>
              <w:t>I34</w:t>
            </w:r>
          </w:p>
        </w:tc>
        <w:tc>
          <w:tcPr>
            <w:tcW w:w="2276" w:type="dxa"/>
            <w:tcBorders>
              <w:top w:val="nil"/>
              <w:left w:val="nil"/>
              <w:bottom w:val="nil"/>
              <w:right w:val="nil"/>
            </w:tcBorders>
            <w:shd w:val="clear" w:color="auto" w:fill="auto"/>
            <w:vAlign w:val="center"/>
            <w:hideMark/>
          </w:tcPr>
          <w:p w14:paraId="508C350D" w14:textId="77777777" w:rsidR="001C37A1" w:rsidRPr="001C37A1" w:rsidRDefault="001C37A1">
            <w:pPr>
              <w:jc w:val="both"/>
              <w:rPr>
                <w:color w:val="0070C0"/>
                <w:sz w:val="20"/>
                <w:szCs w:val="20"/>
                <w:lang w:val="en-US"/>
              </w:rPr>
            </w:pPr>
            <w:r>
              <w:rPr>
                <w:color w:val="0070C0"/>
                <w:sz w:val="20"/>
                <w:szCs w:val="20"/>
                <w:lang w:val="en-US"/>
              </w:rPr>
              <w:t>You enjoy what you want more, after waiting.</w:t>
            </w:r>
          </w:p>
        </w:tc>
        <w:tc>
          <w:tcPr>
            <w:tcW w:w="980" w:type="dxa"/>
            <w:tcBorders>
              <w:top w:val="nil"/>
              <w:left w:val="nil"/>
              <w:bottom w:val="nil"/>
              <w:right w:val="nil"/>
            </w:tcBorders>
            <w:shd w:val="clear" w:color="auto" w:fill="auto"/>
            <w:vAlign w:val="center"/>
            <w:hideMark/>
          </w:tcPr>
          <w:p w14:paraId="2DDC0ACA" w14:textId="77777777" w:rsidR="001C37A1" w:rsidRDefault="001C37A1">
            <w:pPr>
              <w:jc w:val="center"/>
              <w:rPr>
                <w:color w:val="0070C0"/>
                <w:sz w:val="20"/>
                <w:szCs w:val="20"/>
              </w:rPr>
            </w:pPr>
            <w:r>
              <w:rPr>
                <w:color w:val="0070C0"/>
                <w:sz w:val="20"/>
                <w:szCs w:val="20"/>
                <w:lang w:val="en-US"/>
              </w:rPr>
              <w:t>.40</w:t>
            </w:r>
          </w:p>
        </w:tc>
        <w:tc>
          <w:tcPr>
            <w:tcW w:w="1997" w:type="dxa"/>
            <w:tcBorders>
              <w:top w:val="nil"/>
              <w:left w:val="nil"/>
              <w:bottom w:val="nil"/>
              <w:right w:val="nil"/>
            </w:tcBorders>
            <w:shd w:val="clear" w:color="auto" w:fill="auto"/>
            <w:vAlign w:val="center"/>
            <w:hideMark/>
          </w:tcPr>
          <w:p w14:paraId="6D96C3C4" w14:textId="77777777" w:rsidR="001C37A1" w:rsidRDefault="001C37A1">
            <w:pPr>
              <w:jc w:val="center"/>
              <w:rPr>
                <w:color w:val="0070C0"/>
                <w:sz w:val="20"/>
                <w:szCs w:val="20"/>
              </w:rPr>
            </w:pPr>
          </w:p>
        </w:tc>
        <w:tc>
          <w:tcPr>
            <w:tcW w:w="951" w:type="dxa"/>
            <w:tcBorders>
              <w:top w:val="nil"/>
              <w:left w:val="nil"/>
              <w:bottom w:val="nil"/>
              <w:right w:val="nil"/>
            </w:tcBorders>
            <w:shd w:val="clear" w:color="auto" w:fill="auto"/>
            <w:vAlign w:val="center"/>
            <w:hideMark/>
          </w:tcPr>
          <w:p w14:paraId="4BE134FB"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19BA67EA" w14:textId="47D33127" w:rsidR="001C37A1" w:rsidRDefault="001C37A1">
            <w:pPr>
              <w:jc w:val="center"/>
              <w:rPr>
                <w:color w:val="0070C0"/>
                <w:sz w:val="20"/>
                <w:szCs w:val="20"/>
              </w:rPr>
            </w:pPr>
            <w:r>
              <w:rPr>
                <w:color w:val="0070C0"/>
                <w:sz w:val="20"/>
                <w:szCs w:val="20"/>
                <w:lang w:val="en-US"/>
              </w:rPr>
              <w:t>25.761%</w:t>
            </w:r>
          </w:p>
        </w:tc>
        <w:tc>
          <w:tcPr>
            <w:tcW w:w="1100" w:type="dxa"/>
            <w:tcBorders>
              <w:top w:val="nil"/>
              <w:left w:val="nil"/>
              <w:bottom w:val="nil"/>
              <w:right w:val="nil"/>
            </w:tcBorders>
            <w:shd w:val="clear" w:color="auto" w:fill="auto"/>
            <w:vAlign w:val="center"/>
            <w:hideMark/>
          </w:tcPr>
          <w:p w14:paraId="1F31309C" w14:textId="77777777" w:rsidR="001C37A1" w:rsidRDefault="001C37A1">
            <w:pPr>
              <w:jc w:val="center"/>
              <w:rPr>
                <w:color w:val="0070C0"/>
                <w:sz w:val="20"/>
                <w:szCs w:val="20"/>
              </w:rPr>
            </w:pPr>
          </w:p>
        </w:tc>
      </w:tr>
      <w:tr w:rsidR="001C37A1" w14:paraId="42EF6243" w14:textId="77777777" w:rsidTr="00585D55">
        <w:trPr>
          <w:trHeight w:val="108"/>
        </w:trPr>
        <w:tc>
          <w:tcPr>
            <w:tcW w:w="559" w:type="dxa"/>
            <w:tcBorders>
              <w:top w:val="nil"/>
              <w:left w:val="nil"/>
              <w:bottom w:val="nil"/>
              <w:right w:val="nil"/>
            </w:tcBorders>
            <w:shd w:val="clear" w:color="auto" w:fill="auto"/>
            <w:vAlign w:val="center"/>
            <w:hideMark/>
          </w:tcPr>
          <w:p w14:paraId="73259597" w14:textId="77777777" w:rsidR="001C37A1" w:rsidRDefault="001C37A1">
            <w:pPr>
              <w:jc w:val="center"/>
              <w:rPr>
                <w:sz w:val="20"/>
                <w:szCs w:val="20"/>
              </w:rPr>
            </w:pPr>
          </w:p>
        </w:tc>
        <w:tc>
          <w:tcPr>
            <w:tcW w:w="2276" w:type="dxa"/>
            <w:tcBorders>
              <w:top w:val="nil"/>
              <w:left w:val="nil"/>
              <w:bottom w:val="nil"/>
              <w:right w:val="nil"/>
            </w:tcBorders>
            <w:shd w:val="clear" w:color="auto" w:fill="auto"/>
            <w:vAlign w:val="center"/>
            <w:hideMark/>
          </w:tcPr>
          <w:p w14:paraId="03E8BC11" w14:textId="77777777" w:rsidR="001C37A1" w:rsidRDefault="001C37A1">
            <w:pPr>
              <w:jc w:val="center"/>
              <w:rPr>
                <w:sz w:val="20"/>
                <w:szCs w:val="20"/>
              </w:rPr>
            </w:pPr>
          </w:p>
        </w:tc>
        <w:tc>
          <w:tcPr>
            <w:tcW w:w="980" w:type="dxa"/>
            <w:tcBorders>
              <w:top w:val="nil"/>
              <w:left w:val="nil"/>
              <w:bottom w:val="nil"/>
              <w:right w:val="nil"/>
            </w:tcBorders>
            <w:shd w:val="clear" w:color="auto" w:fill="auto"/>
            <w:vAlign w:val="center"/>
            <w:hideMark/>
          </w:tcPr>
          <w:p w14:paraId="1283958C" w14:textId="77777777" w:rsidR="001C37A1" w:rsidRDefault="001C37A1">
            <w:pPr>
              <w:jc w:val="both"/>
              <w:rPr>
                <w:sz w:val="20"/>
                <w:szCs w:val="20"/>
              </w:rPr>
            </w:pPr>
          </w:p>
        </w:tc>
        <w:tc>
          <w:tcPr>
            <w:tcW w:w="1997" w:type="dxa"/>
            <w:tcBorders>
              <w:top w:val="nil"/>
              <w:left w:val="nil"/>
              <w:bottom w:val="nil"/>
              <w:right w:val="nil"/>
            </w:tcBorders>
            <w:shd w:val="clear" w:color="auto" w:fill="auto"/>
            <w:vAlign w:val="center"/>
            <w:hideMark/>
          </w:tcPr>
          <w:p w14:paraId="5D0CC644"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4E1F1790"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19D7C8A1"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06388FC0" w14:textId="77777777" w:rsidR="001C37A1" w:rsidRDefault="001C37A1">
            <w:pPr>
              <w:jc w:val="center"/>
              <w:rPr>
                <w:sz w:val="20"/>
                <w:szCs w:val="20"/>
              </w:rPr>
            </w:pPr>
          </w:p>
        </w:tc>
      </w:tr>
      <w:tr w:rsidR="001C37A1" w14:paraId="07D561CB" w14:textId="77777777" w:rsidTr="00585D55">
        <w:trPr>
          <w:trHeight w:val="528"/>
        </w:trPr>
        <w:tc>
          <w:tcPr>
            <w:tcW w:w="559" w:type="dxa"/>
            <w:tcBorders>
              <w:top w:val="nil"/>
              <w:left w:val="nil"/>
              <w:bottom w:val="nil"/>
              <w:right w:val="nil"/>
            </w:tcBorders>
            <w:shd w:val="clear" w:color="auto" w:fill="auto"/>
            <w:vAlign w:val="center"/>
            <w:hideMark/>
          </w:tcPr>
          <w:p w14:paraId="74996FF1" w14:textId="77777777" w:rsidR="001C37A1" w:rsidRDefault="001C37A1">
            <w:pPr>
              <w:jc w:val="center"/>
              <w:rPr>
                <w:color w:val="0070C0"/>
                <w:sz w:val="20"/>
                <w:szCs w:val="20"/>
              </w:rPr>
            </w:pPr>
            <w:r>
              <w:rPr>
                <w:color w:val="0070C0"/>
                <w:sz w:val="20"/>
                <w:szCs w:val="20"/>
                <w:lang w:val="en-US"/>
              </w:rPr>
              <w:t>I33</w:t>
            </w:r>
          </w:p>
        </w:tc>
        <w:tc>
          <w:tcPr>
            <w:tcW w:w="2276" w:type="dxa"/>
            <w:tcBorders>
              <w:top w:val="nil"/>
              <w:left w:val="nil"/>
              <w:bottom w:val="nil"/>
              <w:right w:val="nil"/>
            </w:tcBorders>
            <w:shd w:val="clear" w:color="auto" w:fill="auto"/>
            <w:vAlign w:val="center"/>
            <w:hideMark/>
          </w:tcPr>
          <w:p w14:paraId="3D6854F5" w14:textId="77777777" w:rsidR="001C37A1" w:rsidRDefault="001C37A1">
            <w:pPr>
              <w:jc w:val="center"/>
              <w:rPr>
                <w:color w:val="0070C0"/>
                <w:sz w:val="20"/>
                <w:szCs w:val="20"/>
              </w:rPr>
            </w:pPr>
          </w:p>
        </w:tc>
        <w:tc>
          <w:tcPr>
            <w:tcW w:w="980" w:type="dxa"/>
            <w:tcBorders>
              <w:top w:val="nil"/>
              <w:left w:val="nil"/>
              <w:bottom w:val="nil"/>
              <w:right w:val="nil"/>
            </w:tcBorders>
            <w:shd w:val="clear" w:color="auto" w:fill="auto"/>
            <w:vAlign w:val="center"/>
            <w:hideMark/>
          </w:tcPr>
          <w:p w14:paraId="668FFDC3" w14:textId="77777777" w:rsidR="001C37A1" w:rsidRDefault="001C37A1">
            <w:pPr>
              <w:jc w:val="both"/>
              <w:rPr>
                <w:sz w:val="20"/>
                <w:szCs w:val="20"/>
              </w:rPr>
            </w:pPr>
          </w:p>
        </w:tc>
        <w:tc>
          <w:tcPr>
            <w:tcW w:w="1997" w:type="dxa"/>
            <w:tcBorders>
              <w:top w:val="nil"/>
              <w:left w:val="nil"/>
              <w:bottom w:val="nil"/>
              <w:right w:val="nil"/>
            </w:tcBorders>
            <w:shd w:val="clear" w:color="auto" w:fill="auto"/>
            <w:vAlign w:val="center"/>
            <w:hideMark/>
          </w:tcPr>
          <w:p w14:paraId="3D071BF9" w14:textId="77777777" w:rsidR="001C37A1" w:rsidRPr="001C37A1" w:rsidRDefault="001C37A1">
            <w:pPr>
              <w:jc w:val="both"/>
              <w:rPr>
                <w:color w:val="0070C0"/>
                <w:sz w:val="20"/>
                <w:szCs w:val="20"/>
                <w:lang w:val="en-US"/>
              </w:rPr>
            </w:pPr>
            <w:r>
              <w:rPr>
                <w:color w:val="0070C0"/>
                <w:sz w:val="20"/>
                <w:szCs w:val="20"/>
                <w:lang w:val="en-US"/>
              </w:rPr>
              <w:t>The bad lasts only a while.</w:t>
            </w:r>
          </w:p>
        </w:tc>
        <w:tc>
          <w:tcPr>
            <w:tcW w:w="951" w:type="dxa"/>
            <w:tcBorders>
              <w:top w:val="nil"/>
              <w:left w:val="nil"/>
              <w:bottom w:val="nil"/>
              <w:right w:val="nil"/>
            </w:tcBorders>
            <w:shd w:val="clear" w:color="auto" w:fill="auto"/>
            <w:vAlign w:val="center"/>
            <w:hideMark/>
          </w:tcPr>
          <w:p w14:paraId="54C8FC24" w14:textId="77777777" w:rsidR="001C37A1" w:rsidRDefault="001C37A1">
            <w:pPr>
              <w:jc w:val="center"/>
              <w:rPr>
                <w:color w:val="0070C0"/>
                <w:sz w:val="20"/>
                <w:szCs w:val="20"/>
              </w:rPr>
            </w:pPr>
            <w:r>
              <w:rPr>
                <w:color w:val="0070C0"/>
                <w:sz w:val="20"/>
                <w:szCs w:val="20"/>
                <w:lang w:val="en-US"/>
              </w:rPr>
              <w:t>.48</w:t>
            </w:r>
          </w:p>
        </w:tc>
        <w:tc>
          <w:tcPr>
            <w:tcW w:w="951" w:type="dxa"/>
            <w:tcBorders>
              <w:top w:val="nil"/>
              <w:left w:val="nil"/>
              <w:bottom w:val="nil"/>
              <w:right w:val="nil"/>
            </w:tcBorders>
            <w:shd w:val="clear" w:color="auto" w:fill="auto"/>
            <w:vAlign w:val="center"/>
            <w:hideMark/>
          </w:tcPr>
          <w:p w14:paraId="3D7DE55E" w14:textId="77777777" w:rsidR="001C37A1" w:rsidRDefault="001C37A1">
            <w:pPr>
              <w:jc w:val="center"/>
              <w:rPr>
                <w:color w:val="0070C0"/>
                <w:sz w:val="20"/>
                <w:szCs w:val="20"/>
              </w:rPr>
            </w:pPr>
          </w:p>
        </w:tc>
        <w:tc>
          <w:tcPr>
            <w:tcW w:w="1100" w:type="dxa"/>
            <w:tcBorders>
              <w:top w:val="nil"/>
              <w:left w:val="nil"/>
              <w:bottom w:val="nil"/>
              <w:right w:val="nil"/>
            </w:tcBorders>
            <w:shd w:val="clear" w:color="auto" w:fill="auto"/>
            <w:vAlign w:val="center"/>
            <w:hideMark/>
          </w:tcPr>
          <w:p w14:paraId="21D51D65" w14:textId="77777777" w:rsidR="001C37A1" w:rsidRDefault="001C37A1">
            <w:pPr>
              <w:jc w:val="center"/>
              <w:rPr>
                <w:sz w:val="20"/>
                <w:szCs w:val="20"/>
              </w:rPr>
            </w:pPr>
          </w:p>
        </w:tc>
      </w:tr>
      <w:tr w:rsidR="001C37A1" w14:paraId="09CF28C4" w14:textId="77777777" w:rsidTr="00585D55">
        <w:trPr>
          <w:trHeight w:val="108"/>
        </w:trPr>
        <w:tc>
          <w:tcPr>
            <w:tcW w:w="559" w:type="dxa"/>
            <w:tcBorders>
              <w:top w:val="nil"/>
              <w:left w:val="nil"/>
              <w:bottom w:val="nil"/>
              <w:right w:val="nil"/>
            </w:tcBorders>
            <w:shd w:val="clear" w:color="auto" w:fill="auto"/>
            <w:vAlign w:val="center"/>
            <w:hideMark/>
          </w:tcPr>
          <w:p w14:paraId="201561C5" w14:textId="77777777" w:rsidR="001C37A1" w:rsidRDefault="001C37A1">
            <w:pPr>
              <w:jc w:val="center"/>
              <w:rPr>
                <w:sz w:val="20"/>
                <w:szCs w:val="20"/>
              </w:rPr>
            </w:pPr>
          </w:p>
        </w:tc>
        <w:tc>
          <w:tcPr>
            <w:tcW w:w="2276" w:type="dxa"/>
            <w:tcBorders>
              <w:top w:val="nil"/>
              <w:left w:val="nil"/>
              <w:bottom w:val="nil"/>
              <w:right w:val="nil"/>
            </w:tcBorders>
            <w:shd w:val="clear" w:color="auto" w:fill="auto"/>
            <w:vAlign w:val="center"/>
            <w:hideMark/>
          </w:tcPr>
          <w:p w14:paraId="6F547ECE" w14:textId="77777777" w:rsidR="001C37A1" w:rsidRDefault="001C37A1">
            <w:pPr>
              <w:jc w:val="center"/>
              <w:rPr>
                <w:sz w:val="20"/>
                <w:szCs w:val="20"/>
              </w:rPr>
            </w:pPr>
          </w:p>
        </w:tc>
        <w:tc>
          <w:tcPr>
            <w:tcW w:w="980" w:type="dxa"/>
            <w:tcBorders>
              <w:top w:val="nil"/>
              <w:left w:val="nil"/>
              <w:bottom w:val="nil"/>
              <w:right w:val="nil"/>
            </w:tcBorders>
            <w:shd w:val="clear" w:color="auto" w:fill="auto"/>
            <w:vAlign w:val="center"/>
            <w:hideMark/>
          </w:tcPr>
          <w:p w14:paraId="1791A68A" w14:textId="77777777" w:rsidR="001C37A1" w:rsidRDefault="001C37A1">
            <w:pPr>
              <w:jc w:val="both"/>
              <w:rPr>
                <w:sz w:val="20"/>
                <w:szCs w:val="20"/>
              </w:rPr>
            </w:pPr>
          </w:p>
        </w:tc>
        <w:tc>
          <w:tcPr>
            <w:tcW w:w="1997" w:type="dxa"/>
            <w:tcBorders>
              <w:top w:val="nil"/>
              <w:left w:val="nil"/>
              <w:bottom w:val="nil"/>
              <w:right w:val="nil"/>
            </w:tcBorders>
            <w:shd w:val="clear" w:color="auto" w:fill="auto"/>
            <w:vAlign w:val="center"/>
            <w:hideMark/>
          </w:tcPr>
          <w:p w14:paraId="49AEBFCB"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5000A969" w14:textId="77777777" w:rsidR="001C37A1" w:rsidRDefault="001C37A1">
            <w:pPr>
              <w:jc w:val="center"/>
              <w:rPr>
                <w:sz w:val="20"/>
                <w:szCs w:val="20"/>
              </w:rPr>
            </w:pPr>
          </w:p>
        </w:tc>
        <w:tc>
          <w:tcPr>
            <w:tcW w:w="951" w:type="dxa"/>
            <w:tcBorders>
              <w:top w:val="nil"/>
              <w:left w:val="nil"/>
              <w:bottom w:val="nil"/>
              <w:right w:val="nil"/>
            </w:tcBorders>
            <w:shd w:val="clear" w:color="auto" w:fill="auto"/>
            <w:vAlign w:val="center"/>
            <w:hideMark/>
          </w:tcPr>
          <w:p w14:paraId="446FF2BE" w14:textId="77777777" w:rsidR="001C37A1" w:rsidRDefault="001C37A1">
            <w:pPr>
              <w:jc w:val="center"/>
              <w:rPr>
                <w:sz w:val="20"/>
                <w:szCs w:val="20"/>
              </w:rPr>
            </w:pPr>
          </w:p>
        </w:tc>
        <w:tc>
          <w:tcPr>
            <w:tcW w:w="1100" w:type="dxa"/>
            <w:tcBorders>
              <w:top w:val="nil"/>
              <w:left w:val="nil"/>
              <w:bottom w:val="nil"/>
              <w:right w:val="nil"/>
            </w:tcBorders>
            <w:shd w:val="clear" w:color="auto" w:fill="auto"/>
            <w:vAlign w:val="center"/>
            <w:hideMark/>
          </w:tcPr>
          <w:p w14:paraId="15C03573" w14:textId="77777777" w:rsidR="001C37A1" w:rsidRDefault="001C37A1">
            <w:pPr>
              <w:jc w:val="center"/>
              <w:rPr>
                <w:sz w:val="20"/>
                <w:szCs w:val="20"/>
              </w:rPr>
            </w:pPr>
          </w:p>
        </w:tc>
      </w:tr>
      <w:tr w:rsidR="001C37A1" w14:paraId="53C4746D" w14:textId="77777777" w:rsidTr="00585D55">
        <w:trPr>
          <w:trHeight w:val="528"/>
        </w:trPr>
        <w:tc>
          <w:tcPr>
            <w:tcW w:w="559" w:type="dxa"/>
            <w:tcBorders>
              <w:top w:val="nil"/>
              <w:left w:val="nil"/>
              <w:bottom w:val="single" w:sz="4" w:space="0" w:color="auto"/>
              <w:right w:val="nil"/>
            </w:tcBorders>
            <w:shd w:val="clear" w:color="auto" w:fill="auto"/>
            <w:vAlign w:val="center"/>
            <w:hideMark/>
          </w:tcPr>
          <w:p w14:paraId="6B5B8C37" w14:textId="77777777" w:rsidR="001C37A1" w:rsidRDefault="001C37A1">
            <w:pPr>
              <w:jc w:val="center"/>
              <w:rPr>
                <w:color w:val="0070C0"/>
                <w:sz w:val="20"/>
                <w:szCs w:val="20"/>
              </w:rPr>
            </w:pPr>
            <w:r>
              <w:rPr>
                <w:color w:val="0070C0"/>
                <w:sz w:val="20"/>
                <w:szCs w:val="20"/>
                <w:lang w:val="en-US"/>
              </w:rPr>
              <w:t>I35</w:t>
            </w:r>
          </w:p>
        </w:tc>
        <w:tc>
          <w:tcPr>
            <w:tcW w:w="2276" w:type="dxa"/>
            <w:tcBorders>
              <w:top w:val="nil"/>
              <w:left w:val="nil"/>
              <w:bottom w:val="single" w:sz="4" w:space="0" w:color="auto"/>
              <w:right w:val="nil"/>
            </w:tcBorders>
            <w:shd w:val="clear" w:color="auto" w:fill="auto"/>
            <w:vAlign w:val="center"/>
            <w:hideMark/>
          </w:tcPr>
          <w:p w14:paraId="321F0FD8" w14:textId="77777777" w:rsidR="001C37A1" w:rsidRDefault="001C37A1">
            <w:pPr>
              <w:jc w:val="both"/>
              <w:rPr>
                <w:color w:val="0070C0"/>
                <w:sz w:val="20"/>
                <w:szCs w:val="20"/>
              </w:rPr>
            </w:pPr>
            <w:r>
              <w:rPr>
                <w:color w:val="0070C0"/>
                <w:sz w:val="20"/>
                <w:szCs w:val="20"/>
                <w:lang w:val="en-US"/>
              </w:rPr>
              <w:t> </w:t>
            </w:r>
          </w:p>
        </w:tc>
        <w:tc>
          <w:tcPr>
            <w:tcW w:w="980" w:type="dxa"/>
            <w:tcBorders>
              <w:top w:val="nil"/>
              <w:left w:val="nil"/>
              <w:bottom w:val="single" w:sz="4" w:space="0" w:color="auto"/>
              <w:right w:val="nil"/>
            </w:tcBorders>
            <w:shd w:val="clear" w:color="auto" w:fill="auto"/>
            <w:vAlign w:val="center"/>
            <w:hideMark/>
          </w:tcPr>
          <w:p w14:paraId="6CAFA0AA" w14:textId="77777777" w:rsidR="001C37A1" w:rsidRDefault="001C37A1">
            <w:pPr>
              <w:rPr>
                <w:color w:val="0070C0"/>
                <w:sz w:val="20"/>
                <w:szCs w:val="20"/>
              </w:rPr>
            </w:pPr>
            <w:r>
              <w:rPr>
                <w:color w:val="0070C0"/>
                <w:sz w:val="20"/>
                <w:szCs w:val="20"/>
                <w:lang w:val="en-US"/>
              </w:rPr>
              <w:t> </w:t>
            </w:r>
          </w:p>
        </w:tc>
        <w:tc>
          <w:tcPr>
            <w:tcW w:w="1997" w:type="dxa"/>
            <w:tcBorders>
              <w:top w:val="nil"/>
              <w:left w:val="nil"/>
              <w:bottom w:val="single" w:sz="4" w:space="0" w:color="auto"/>
              <w:right w:val="nil"/>
            </w:tcBorders>
            <w:shd w:val="clear" w:color="auto" w:fill="auto"/>
            <w:vAlign w:val="center"/>
            <w:hideMark/>
          </w:tcPr>
          <w:p w14:paraId="28B399BD" w14:textId="77777777" w:rsidR="001C37A1" w:rsidRPr="001C37A1" w:rsidRDefault="001C37A1">
            <w:pPr>
              <w:jc w:val="both"/>
              <w:rPr>
                <w:color w:val="0070C0"/>
                <w:sz w:val="20"/>
                <w:szCs w:val="20"/>
                <w:lang w:val="en-US"/>
              </w:rPr>
            </w:pPr>
            <w:r>
              <w:rPr>
                <w:color w:val="0070C0"/>
                <w:sz w:val="20"/>
                <w:szCs w:val="20"/>
                <w:lang w:val="en-US"/>
              </w:rPr>
              <w:t>The good comes, even if you must wait.</w:t>
            </w:r>
          </w:p>
        </w:tc>
        <w:tc>
          <w:tcPr>
            <w:tcW w:w="951" w:type="dxa"/>
            <w:tcBorders>
              <w:top w:val="nil"/>
              <w:left w:val="nil"/>
              <w:bottom w:val="single" w:sz="4" w:space="0" w:color="auto"/>
              <w:right w:val="nil"/>
            </w:tcBorders>
            <w:shd w:val="clear" w:color="auto" w:fill="auto"/>
            <w:vAlign w:val="center"/>
            <w:hideMark/>
          </w:tcPr>
          <w:p w14:paraId="0D1DA46E" w14:textId="77777777" w:rsidR="001C37A1" w:rsidRDefault="001C37A1">
            <w:pPr>
              <w:jc w:val="center"/>
              <w:rPr>
                <w:color w:val="0070C0"/>
                <w:sz w:val="20"/>
                <w:szCs w:val="20"/>
              </w:rPr>
            </w:pPr>
            <w:r>
              <w:rPr>
                <w:color w:val="0070C0"/>
                <w:sz w:val="20"/>
                <w:szCs w:val="20"/>
                <w:lang w:val="en-US"/>
              </w:rPr>
              <w:t>.49</w:t>
            </w:r>
          </w:p>
        </w:tc>
        <w:tc>
          <w:tcPr>
            <w:tcW w:w="951" w:type="dxa"/>
            <w:tcBorders>
              <w:top w:val="nil"/>
              <w:left w:val="nil"/>
              <w:bottom w:val="single" w:sz="4" w:space="0" w:color="auto"/>
              <w:right w:val="nil"/>
            </w:tcBorders>
            <w:shd w:val="clear" w:color="auto" w:fill="auto"/>
            <w:vAlign w:val="center"/>
            <w:hideMark/>
          </w:tcPr>
          <w:p w14:paraId="4539CF5A" w14:textId="0C11866E" w:rsidR="001C37A1" w:rsidRDefault="001C37A1">
            <w:pPr>
              <w:jc w:val="center"/>
              <w:rPr>
                <w:color w:val="0070C0"/>
                <w:sz w:val="20"/>
                <w:szCs w:val="20"/>
              </w:rPr>
            </w:pPr>
            <w:r>
              <w:rPr>
                <w:color w:val="0070C0"/>
                <w:sz w:val="20"/>
                <w:szCs w:val="20"/>
                <w:lang w:val="en-US"/>
              </w:rPr>
              <w:t>20.660%</w:t>
            </w:r>
          </w:p>
        </w:tc>
        <w:tc>
          <w:tcPr>
            <w:tcW w:w="1100" w:type="dxa"/>
            <w:tcBorders>
              <w:top w:val="nil"/>
              <w:left w:val="nil"/>
              <w:bottom w:val="single" w:sz="4" w:space="0" w:color="auto"/>
              <w:right w:val="nil"/>
            </w:tcBorders>
            <w:shd w:val="clear" w:color="auto" w:fill="auto"/>
            <w:vAlign w:val="center"/>
            <w:hideMark/>
          </w:tcPr>
          <w:p w14:paraId="55D47CCC" w14:textId="77777777" w:rsidR="001C37A1" w:rsidRDefault="001C37A1">
            <w:pPr>
              <w:jc w:val="center"/>
              <w:rPr>
                <w:color w:val="0070C0"/>
                <w:sz w:val="20"/>
                <w:szCs w:val="20"/>
              </w:rPr>
            </w:pPr>
            <w:r>
              <w:rPr>
                <w:color w:val="0070C0"/>
                <w:sz w:val="20"/>
                <w:szCs w:val="20"/>
                <w:lang w:val="en-US"/>
              </w:rPr>
              <w:t> </w:t>
            </w:r>
          </w:p>
        </w:tc>
      </w:tr>
    </w:tbl>
    <w:p w14:paraId="44147C54" w14:textId="77777777" w:rsidR="001C37A1" w:rsidRPr="002C73E2" w:rsidRDefault="001C37A1" w:rsidP="00BF547C">
      <w:pPr>
        <w:rPr>
          <w:lang w:val="en-US"/>
        </w:rPr>
      </w:pPr>
    </w:p>
    <w:p w14:paraId="4A4D10B0" w14:textId="77777777" w:rsidR="00B7151F" w:rsidRDefault="00B7151F" w:rsidP="00A93146">
      <w:pPr>
        <w:pStyle w:val="Prrafocomn"/>
        <w:ind w:firstLine="0"/>
      </w:pPr>
    </w:p>
    <w:p w14:paraId="285445C4" w14:textId="77777777" w:rsidR="00D12199" w:rsidRPr="00753370" w:rsidRDefault="00D12199" w:rsidP="00D12199">
      <w:pPr>
        <w:pStyle w:val="Prrafocomn"/>
        <w:ind w:firstLine="0"/>
        <w:rPr>
          <w:b/>
          <w:bCs/>
          <w:i/>
          <w:iCs/>
          <w:color w:val="000000"/>
        </w:rPr>
      </w:pPr>
      <w:r w:rsidRPr="00753370">
        <w:rPr>
          <w:b/>
          <w:bCs/>
          <w:i/>
          <w:iCs/>
          <w:color w:val="000000"/>
        </w:rPr>
        <w:t>Confirmatory Factor Analysis</w:t>
      </w:r>
    </w:p>
    <w:p w14:paraId="45037339" w14:textId="1F30A5C5" w:rsidR="0033600D" w:rsidRPr="00A87E0A" w:rsidRDefault="0033600D" w:rsidP="00D12199">
      <w:pPr>
        <w:pStyle w:val="Prrafocomn"/>
        <w:rPr>
          <w:color w:val="000000"/>
        </w:rPr>
      </w:pPr>
      <w:r w:rsidRPr="00A87E0A">
        <w:rPr>
          <w:color w:val="000000"/>
        </w:rPr>
        <w:t xml:space="preserve">To verify whether this bifactorial model produced by the EFA with the sample of 144 cases was valid according to the CFA, a second random subsample of 145 cases was used. The goodness of fit of this bifactorial model is as follows: </w:t>
      </w:r>
      <w:r w:rsidRPr="00A87E0A">
        <w:rPr>
          <w:i/>
          <w:color w:val="000000"/>
        </w:rPr>
        <w:t>X²</w:t>
      </w:r>
      <w:r w:rsidRPr="00A87E0A">
        <w:rPr>
          <w:color w:val="000000"/>
        </w:rPr>
        <w:t xml:space="preserve"> = 3.263, </w:t>
      </w:r>
      <w:r w:rsidRPr="00A87E0A">
        <w:rPr>
          <w:i/>
          <w:color w:val="000000"/>
        </w:rPr>
        <w:t>GFI</w:t>
      </w:r>
      <w:r w:rsidRPr="00A87E0A">
        <w:rPr>
          <w:color w:val="000000"/>
        </w:rPr>
        <w:t xml:space="preserve"> = .924, </w:t>
      </w:r>
      <w:r w:rsidRPr="00A87E0A">
        <w:rPr>
          <w:i/>
          <w:color w:val="000000"/>
        </w:rPr>
        <w:t>AGFI</w:t>
      </w:r>
      <w:r w:rsidRPr="00A87E0A">
        <w:rPr>
          <w:color w:val="000000"/>
        </w:rPr>
        <w:t xml:space="preserve"> = .836, </w:t>
      </w:r>
      <w:r w:rsidRPr="00A87E0A">
        <w:rPr>
          <w:i/>
          <w:color w:val="000000"/>
        </w:rPr>
        <w:t>NFI</w:t>
      </w:r>
      <w:r w:rsidRPr="00A87E0A">
        <w:rPr>
          <w:color w:val="000000"/>
        </w:rPr>
        <w:t xml:space="preserve"> = .861, </w:t>
      </w:r>
      <w:r w:rsidRPr="00A87E0A">
        <w:rPr>
          <w:i/>
          <w:color w:val="000000"/>
        </w:rPr>
        <w:t>NNFI</w:t>
      </w:r>
      <w:r w:rsidRPr="00A87E0A">
        <w:rPr>
          <w:color w:val="000000"/>
        </w:rPr>
        <w:t xml:space="preserve"> = .833, </w:t>
      </w:r>
      <w:r w:rsidRPr="00A87E0A">
        <w:rPr>
          <w:i/>
          <w:color w:val="000000"/>
        </w:rPr>
        <w:t>IFI</w:t>
      </w:r>
      <w:r w:rsidRPr="00A87E0A">
        <w:rPr>
          <w:color w:val="000000"/>
        </w:rPr>
        <w:t xml:space="preserve"> = .900, </w:t>
      </w:r>
      <w:r w:rsidRPr="00A87E0A">
        <w:rPr>
          <w:i/>
          <w:color w:val="000000"/>
        </w:rPr>
        <w:t>CFI</w:t>
      </w:r>
      <w:r w:rsidRPr="00A87E0A">
        <w:rPr>
          <w:color w:val="000000"/>
        </w:rPr>
        <w:t xml:space="preserve"> = .897, </w:t>
      </w:r>
      <w:r w:rsidRPr="00A87E0A">
        <w:rPr>
          <w:i/>
          <w:color w:val="000000"/>
        </w:rPr>
        <w:t>RMSEA</w:t>
      </w:r>
      <w:r w:rsidRPr="00A87E0A">
        <w:rPr>
          <w:color w:val="000000"/>
        </w:rPr>
        <w:t xml:space="preserve"> = .125 (90% CI [.085-.168]) and </w:t>
      </w:r>
      <w:r w:rsidRPr="00A87E0A">
        <w:rPr>
          <w:i/>
          <w:color w:val="000000"/>
        </w:rPr>
        <w:t>SRMR</w:t>
      </w:r>
      <w:r w:rsidRPr="00A87E0A">
        <w:rPr>
          <w:color w:val="000000"/>
        </w:rPr>
        <w:t xml:space="preserve"> = .0605. Figure 2 represents the bifactorial model of patience derived from the EFA.</w:t>
      </w:r>
    </w:p>
    <w:p w14:paraId="30683789" w14:textId="77777777" w:rsidR="0033600D" w:rsidRPr="00A87E0A" w:rsidRDefault="0033600D" w:rsidP="0033600D">
      <w:pPr>
        <w:spacing w:line="360" w:lineRule="auto"/>
        <w:ind w:firstLine="567"/>
        <w:rPr>
          <w:color w:val="000000"/>
          <w:lang w:val="en-US"/>
        </w:rPr>
      </w:pPr>
    </w:p>
    <w:p w14:paraId="292756D7" w14:textId="77777777" w:rsidR="0033600D" w:rsidRPr="00A87E0A" w:rsidRDefault="0033600D" w:rsidP="0033600D">
      <w:pPr>
        <w:spacing w:line="360" w:lineRule="auto"/>
        <w:rPr>
          <w:color w:val="000000"/>
          <w:lang w:val="en-US"/>
        </w:rPr>
      </w:pPr>
    </w:p>
    <w:p w14:paraId="653B484D" w14:textId="77777777" w:rsidR="0033600D" w:rsidRPr="00A87E0A" w:rsidRDefault="0033600D" w:rsidP="0033600D">
      <w:pPr>
        <w:spacing w:line="360" w:lineRule="auto"/>
        <w:rPr>
          <w:lang w:val="en-US"/>
        </w:rPr>
      </w:pPr>
      <w:r w:rsidRPr="00A87E0A">
        <w:rPr>
          <w:noProof/>
        </w:rPr>
        <w:drawing>
          <wp:inline distT="0" distB="0" distL="0" distR="0" wp14:anchorId="4F2FDCE2" wp14:editId="7A399DDE">
            <wp:extent cx="4990465" cy="2697480"/>
            <wp:effectExtent l="0" t="0" r="635" b="7620"/>
            <wp:docPr id="476026096" name="Picture 1" descr="A diagram of a number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26096" name="Picture 1" descr="A diagram of a number of words&#10;&#10;Description automatically generated"/>
                    <pic:cNvPicPr/>
                  </pic:nvPicPr>
                  <pic:blipFill>
                    <a:blip r:embed="rId12"/>
                    <a:stretch>
                      <a:fillRect/>
                    </a:stretch>
                  </pic:blipFill>
                  <pic:spPr>
                    <a:xfrm>
                      <a:off x="0" y="0"/>
                      <a:ext cx="4995971" cy="2700456"/>
                    </a:xfrm>
                    <a:prstGeom prst="rect">
                      <a:avLst/>
                    </a:prstGeom>
                  </pic:spPr>
                </pic:pic>
              </a:graphicData>
            </a:graphic>
          </wp:inline>
        </w:drawing>
      </w:r>
    </w:p>
    <w:p w14:paraId="2E5195C7" w14:textId="77777777" w:rsidR="0033600D" w:rsidRPr="00A87E0A" w:rsidRDefault="0033600D" w:rsidP="0033600D">
      <w:pPr>
        <w:spacing w:line="360" w:lineRule="auto"/>
        <w:rPr>
          <w:color w:val="000000"/>
          <w:sz w:val="20"/>
          <w:szCs w:val="20"/>
          <w:lang w:val="en-US"/>
        </w:rPr>
      </w:pPr>
    </w:p>
    <w:p w14:paraId="0AEBCB0A" w14:textId="26032852" w:rsidR="0033600D" w:rsidRPr="00A87E0A" w:rsidRDefault="0033600D" w:rsidP="0033600D">
      <w:pPr>
        <w:spacing w:line="360" w:lineRule="auto"/>
        <w:rPr>
          <w:color w:val="000000"/>
          <w:sz w:val="20"/>
          <w:szCs w:val="20"/>
          <w:lang w:val="en-US"/>
        </w:rPr>
      </w:pPr>
      <w:r w:rsidRPr="00A87E0A">
        <w:rPr>
          <w:color w:val="000000"/>
          <w:sz w:val="20"/>
          <w:szCs w:val="20"/>
          <w:lang w:val="en-US"/>
        </w:rPr>
        <w:t xml:space="preserve">Figure 2. Bifactorial model derived from the EFA with explained variances, factorial </w:t>
      </w:r>
      <w:r w:rsidR="00B46515" w:rsidRPr="00A87E0A">
        <w:rPr>
          <w:color w:val="000000"/>
          <w:sz w:val="20"/>
          <w:szCs w:val="20"/>
          <w:lang w:val="en-US"/>
        </w:rPr>
        <w:t>loadings,</w:t>
      </w:r>
      <w:r w:rsidRPr="00A87E0A">
        <w:rPr>
          <w:color w:val="000000"/>
          <w:sz w:val="20"/>
          <w:szCs w:val="20"/>
          <w:lang w:val="en-US"/>
        </w:rPr>
        <w:t xml:space="preserve"> and correlation between </w:t>
      </w:r>
      <w:r w:rsidR="00AB7DD1" w:rsidRPr="00A87E0A">
        <w:rPr>
          <w:color w:val="000000"/>
          <w:sz w:val="20"/>
          <w:szCs w:val="20"/>
          <w:lang w:val="en-US"/>
        </w:rPr>
        <w:t>factors.</w:t>
      </w:r>
    </w:p>
    <w:p w14:paraId="12D8E6A6" w14:textId="77777777" w:rsidR="0033600D" w:rsidRPr="00A87E0A" w:rsidRDefault="0033600D" w:rsidP="0033600D">
      <w:pPr>
        <w:spacing w:line="360" w:lineRule="auto"/>
        <w:jc w:val="center"/>
        <w:rPr>
          <w:color w:val="000000"/>
          <w:lang w:val="en-US"/>
        </w:rPr>
      </w:pPr>
    </w:p>
    <w:p w14:paraId="13B80797" w14:textId="6D2C8432" w:rsidR="0033600D" w:rsidRPr="00A87E0A" w:rsidRDefault="0033600D" w:rsidP="00AB7DD1">
      <w:pPr>
        <w:pStyle w:val="Prrafocomn"/>
        <w:rPr>
          <w:color w:val="000000"/>
        </w:rPr>
      </w:pPr>
      <w:r w:rsidRPr="00A87E0A">
        <w:rPr>
          <w:color w:val="000000"/>
        </w:rPr>
        <w:t>Due to the insufficiency in the validity indicators of this bifactorial model derived from the EFA (see the deficient values, particularly of the RMSEA and the CFI), a second model was tested. This model was one-dimensional with the same seven items from the previous model. Using CFA, its subsample of 145 cases, and the seven items recommended by the EFA now in a single factor, this model was also unacceptable. The data of its goodness of fit (again, both CFI and RMSEA do not reach values acceptable) are as follows: X²/df = 3.532, GFI = .914, AGFI = .829, NFI = .838, NNFI = .813, IFI = .879, CFI = .876, RMSEA = .133 (90% CI [.094-.174]) and SRMR = .0656. Therefore, we proceeded to eliminate those items that had the comparatively lowest factor loadings. Thus, items I29</w:t>
      </w:r>
      <w:bookmarkStart w:id="10" w:name="_Hlk130580944"/>
      <w:r w:rsidRPr="00A87E0A">
        <w:rPr>
          <w:color w:val="000000"/>
        </w:rPr>
        <w:t xml:space="preserve"> (λ = .56)</w:t>
      </w:r>
      <w:bookmarkEnd w:id="10"/>
      <w:r w:rsidRPr="00A87E0A">
        <w:rPr>
          <w:color w:val="000000"/>
        </w:rPr>
        <w:t xml:space="preserve"> and I32 (λ = .56) were immediately discarded. Even so, the goodness of fit did not improve as expected, since again the validity indicators were not satisfactory: X²/df = 3.762, GFI = .954, AGFI = .861, NFI = .901, NNFI = .847, IFI = .925, CFI = .923, RMSEA = .139 (90% CI [.076-.208]) and SRMR = .0656. Therefore, another item was eliminated, having the lowest value among the last five items, that is, I35 (λ = .61). Finally, there are only four items with a minimum factor loading of .58 and a maximum of .76, with a mean = .66. Figure 3 shows the </w:t>
      </w:r>
      <w:bookmarkStart w:id="11" w:name="_Hlk141119637"/>
      <w:r w:rsidRPr="00A87E0A">
        <w:rPr>
          <w:color w:val="000000"/>
        </w:rPr>
        <w:t xml:space="preserve">one-dimensional </w:t>
      </w:r>
      <w:bookmarkEnd w:id="11"/>
      <w:r w:rsidRPr="00A87E0A">
        <w:rPr>
          <w:color w:val="000000"/>
        </w:rPr>
        <w:t>measurement model with a very good goodness of fit: X²/df = 1.075, GFI = .993, AGFI = .964, NFI = .983, NNFI = .996, IFI = .999, CFI = .999, RMSEA = .023 (90% CI [.000 -.168]) and SRMR = .0230.</w:t>
      </w:r>
    </w:p>
    <w:p w14:paraId="1607E720" w14:textId="77777777" w:rsidR="0033600D" w:rsidRPr="00A87E0A" w:rsidRDefault="0033600D" w:rsidP="0033600D">
      <w:pPr>
        <w:spacing w:line="360" w:lineRule="auto"/>
        <w:ind w:firstLine="567"/>
        <w:jc w:val="both"/>
        <w:rPr>
          <w:color w:val="000000"/>
          <w:lang w:val="en-US"/>
        </w:rPr>
      </w:pPr>
    </w:p>
    <w:p w14:paraId="483A841A" w14:textId="77777777" w:rsidR="0033600D" w:rsidRPr="00A87E0A" w:rsidRDefault="0033600D" w:rsidP="0033600D">
      <w:pPr>
        <w:spacing w:line="360" w:lineRule="auto"/>
        <w:jc w:val="both"/>
        <w:rPr>
          <w:lang w:val="en-US"/>
        </w:rPr>
      </w:pPr>
      <w:r w:rsidRPr="00A87E0A">
        <w:rPr>
          <w:noProof/>
        </w:rPr>
        <w:lastRenderedPageBreak/>
        <w:drawing>
          <wp:inline distT="0" distB="0" distL="0" distR="0" wp14:anchorId="0F6A50B4" wp14:editId="7CA6B106">
            <wp:extent cx="5006340" cy="2682240"/>
            <wp:effectExtent l="0" t="0" r="3810" b="3810"/>
            <wp:docPr id="92554746" name="Picture 1" descr="A diagram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4746" name="Picture 1" descr="A diagram of a number&#10;&#10;Description automatically generated"/>
                    <pic:cNvPicPr/>
                  </pic:nvPicPr>
                  <pic:blipFill>
                    <a:blip r:embed="rId13"/>
                    <a:stretch>
                      <a:fillRect/>
                    </a:stretch>
                  </pic:blipFill>
                  <pic:spPr>
                    <a:xfrm>
                      <a:off x="0" y="0"/>
                      <a:ext cx="5007639" cy="2682936"/>
                    </a:xfrm>
                    <a:prstGeom prst="rect">
                      <a:avLst/>
                    </a:prstGeom>
                  </pic:spPr>
                </pic:pic>
              </a:graphicData>
            </a:graphic>
          </wp:inline>
        </w:drawing>
      </w:r>
    </w:p>
    <w:p w14:paraId="07EAAC3F" w14:textId="5FA9DD92" w:rsidR="0033600D" w:rsidRPr="00A87E0A" w:rsidRDefault="0033600D" w:rsidP="0033600D">
      <w:pPr>
        <w:spacing w:line="360" w:lineRule="auto"/>
        <w:rPr>
          <w:color w:val="000000"/>
          <w:sz w:val="20"/>
          <w:szCs w:val="20"/>
          <w:lang w:val="en-US"/>
        </w:rPr>
      </w:pPr>
      <w:r w:rsidRPr="00A87E0A">
        <w:rPr>
          <w:color w:val="000000"/>
          <w:sz w:val="20"/>
          <w:szCs w:val="20"/>
          <w:lang w:val="en-US"/>
        </w:rPr>
        <w:t xml:space="preserve">Figure 3. One-dimensional model derived from seven items suggested by the </w:t>
      </w:r>
      <w:r w:rsidR="00A30076" w:rsidRPr="00A87E0A">
        <w:rPr>
          <w:color w:val="000000"/>
          <w:sz w:val="20"/>
          <w:szCs w:val="20"/>
          <w:lang w:val="en-US"/>
        </w:rPr>
        <w:t>EFA.</w:t>
      </w:r>
    </w:p>
    <w:p w14:paraId="50DE9559" w14:textId="77777777" w:rsidR="0033600D" w:rsidRPr="00A87E0A" w:rsidRDefault="0033600D" w:rsidP="0033600D">
      <w:pPr>
        <w:spacing w:line="360" w:lineRule="auto"/>
        <w:ind w:left="567" w:hanging="567"/>
        <w:jc w:val="both"/>
        <w:rPr>
          <w:lang w:val="en-US"/>
        </w:rPr>
      </w:pPr>
    </w:p>
    <w:p w14:paraId="3509F54E" w14:textId="77777777" w:rsidR="00590BAE" w:rsidRDefault="00590BAE" w:rsidP="00590BAE">
      <w:pPr>
        <w:pStyle w:val="Prrafocomn"/>
        <w:rPr>
          <w:color w:val="000000"/>
        </w:rPr>
      </w:pPr>
    </w:p>
    <w:p w14:paraId="5C5EFA61" w14:textId="2F182E88" w:rsidR="0033600D" w:rsidRPr="00A87E0A" w:rsidRDefault="0033600D" w:rsidP="00590BAE">
      <w:pPr>
        <w:pStyle w:val="Prrafocomn"/>
        <w:rPr>
          <w:color w:val="000000"/>
        </w:rPr>
      </w:pPr>
      <w:r w:rsidRPr="00A87E0A">
        <w:rPr>
          <w:color w:val="000000"/>
        </w:rPr>
        <w:t xml:space="preserve">Finally, Table </w:t>
      </w:r>
      <w:r w:rsidR="00E97D84">
        <w:rPr>
          <w:color w:val="000000"/>
        </w:rPr>
        <w:t>3</w:t>
      </w:r>
      <w:r w:rsidRPr="00A87E0A">
        <w:rPr>
          <w:color w:val="000000"/>
        </w:rPr>
        <w:t xml:space="preserve"> shows the one-dimensional structure of the BPS-G, descriptive statistics, correlations between the items, skewness and kurtosis.</w:t>
      </w:r>
    </w:p>
    <w:p w14:paraId="42B84BDB" w14:textId="77777777" w:rsidR="0033600D" w:rsidRDefault="0033600D" w:rsidP="0033600D">
      <w:pPr>
        <w:spacing w:line="360" w:lineRule="auto"/>
        <w:rPr>
          <w:color w:val="000000"/>
          <w:lang w:val="en-US"/>
        </w:rPr>
      </w:pPr>
    </w:p>
    <w:p w14:paraId="6FC7E26B" w14:textId="0ABA511D" w:rsidR="00590BAE" w:rsidRDefault="0033600D" w:rsidP="0033600D">
      <w:pPr>
        <w:spacing w:line="360" w:lineRule="auto"/>
        <w:rPr>
          <w:color w:val="000000"/>
          <w:sz w:val="20"/>
          <w:szCs w:val="20"/>
          <w:lang w:val="en-US"/>
        </w:rPr>
      </w:pPr>
      <w:r w:rsidRPr="00A87E0A">
        <w:rPr>
          <w:color w:val="000000"/>
          <w:sz w:val="20"/>
          <w:szCs w:val="20"/>
          <w:lang w:val="en-US"/>
        </w:rPr>
        <w:t xml:space="preserve">Table </w:t>
      </w:r>
      <w:r w:rsidR="00E97D84">
        <w:rPr>
          <w:color w:val="000000"/>
          <w:sz w:val="20"/>
          <w:szCs w:val="20"/>
          <w:lang w:val="en-US"/>
        </w:rPr>
        <w:t>3</w:t>
      </w:r>
      <w:r w:rsidRPr="00A87E0A">
        <w:rPr>
          <w:color w:val="000000"/>
          <w:sz w:val="20"/>
          <w:szCs w:val="20"/>
          <w:lang w:val="en-US"/>
        </w:rPr>
        <w:t xml:space="preserve">. </w:t>
      </w:r>
    </w:p>
    <w:p w14:paraId="3342EAA0" w14:textId="5F3AD9F1" w:rsidR="0033600D" w:rsidRPr="00A87E0A" w:rsidRDefault="0033600D" w:rsidP="0033600D">
      <w:pPr>
        <w:spacing w:line="360" w:lineRule="auto"/>
        <w:rPr>
          <w:color w:val="000000"/>
          <w:sz w:val="20"/>
          <w:szCs w:val="20"/>
          <w:lang w:val="en-US"/>
        </w:rPr>
      </w:pPr>
      <w:r w:rsidRPr="00590BAE">
        <w:rPr>
          <w:i/>
          <w:iCs/>
          <w:color w:val="000000"/>
          <w:sz w:val="20"/>
          <w:szCs w:val="20"/>
          <w:lang w:val="en-US"/>
        </w:rPr>
        <w:t>Factorial structure of the final version of the BPS-G, descriptive statistics, correlations between the items, skewness, and kurtosis of each item and the multivariate</w:t>
      </w:r>
      <w:r w:rsidRPr="00A87E0A">
        <w:rPr>
          <w:color w:val="000000"/>
          <w:sz w:val="20"/>
          <w:szCs w:val="20"/>
          <w:lang w:val="en-US"/>
        </w:rPr>
        <w:t>.</w:t>
      </w:r>
    </w:p>
    <w:p w14:paraId="292FBC57" w14:textId="77777777" w:rsidR="0033600D" w:rsidRPr="00A87E0A" w:rsidRDefault="0033600D" w:rsidP="0033600D">
      <w:pPr>
        <w:spacing w:line="360" w:lineRule="auto"/>
        <w:rPr>
          <w:color w:val="000000"/>
          <w:sz w:val="20"/>
          <w:szCs w:val="20"/>
          <w:lang w:val="en-US"/>
        </w:rPr>
      </w:pPr>
    </w:p>
    <w:tbl>
      <w:tblPr>
        <w:tblW w:w="8820" w:type="dxa"/>
        <w:tblCellMar>
          <w:left w:w="70" w:type="dxa"/>
          <w:right w:w="70" w:type="dxa"/>
        </w:tblCellMar>
        <w:tblLook w:val="04A0" w:firstRow="1" w:lastRow="0" w:firstColumn="1" w:lastColumn="0" w:noHBand="0" w:noVBand="1"/>
      </w:tblPr>
      <w:tblGrid>
        <w:gridCol w:w="4820"/>
        <w:gridCol w:w="490"/>
        <w:gridCol w:w="490"/>
        <w:gridCol w:w="580"/>
        <w:gridCol w:w="545"/>
        <w:gridCol w:w="425"/>
        <w:gridCol w:w="490"/>
        <w:gridCol w:w="490"/>
        <w:gridCol w:w="490"/>
      </w:tblGrid>
      <w:tr w:rsidR="0033600D" w:rsidRPr="00A87E0A" w14:paraId="666A9A0B" w14:textId="77777777" w:rsidTr="00463FE3">
        <w:trPr>
          <w:trHeight w:val="288"/>
        </w:trPr>
        <w:tc>
          <w:tcPr>
            <w:tcW w:w="4820" w:type="dxa"/>
            <w:tcBorders>
              <w:top w:val="single" w:sz="4" w:space="0" w:color="auto"/>
              <w:left w:val="nil"/>
              <w:bottom w:val="single" w:sz="4" w:space="0" w:color="auto"/>
              <w:right w:val="nil"/>
            </w:tcBorders>
            <w:shd w:val="clear" w:color="auto" w:fill="auto"/>
            <w:noWrap/>
            <w:vAlign w:val="center"/>
            <w:hideMark/>
          </w:tcPr>
          <w:p w14:paraId="275922A2" w14:textId="77777777" w:rsidR="0033600D" w:rsidRPr="00A87E0A" w:rsidRDefault="0033600D" w:rsidP="00463FE3">
            <w:pPr>
              <w:spacing w:line="360" w:lineRule="auto"/>
              <w:rPr>
                <w:color w:val="000000"/>
                <w:sz w:val="20"/>
                <w:szCs w:val="20"/>
                <w:lang w:eastAsia="es-CO"/>
              </w:rPr>
            </w:pPr>
            <w:r w:rsidRPr="00A87E0A">
              <w:rPr>
                <w:color w:val="000000"/>
                <w:sz w:val="20"/>
                <w:szCs w:val="20"/>
                <w:lang w:eastAsia="es-CO"/>
              </w:rPr>
              <w:t>Items</w:t>
            </w:r>
          </w:p>
        </w:tc>
        <w:tc>
          <w:tcPr>
            <w:tcW w:w="490" w:type="dxa"/>
            <w:tcBorders>
              <w:top w:val="single" w:sz="4" w:space="0" w:color="auto"/>
              <w:left w:val="nil"/>
              <w:bottom w:val="single" w:sz="4" w:space="0" w:color="auto"/>
              <w:right w:val="nil"/>
            </w:tcBorders>
            <w:shd w:val="clear" w:color="auto" w:fill="auto"/>
            <w:noWrap/>
            <w:vAlign w:val="center"/>
            <w:hideMark/>
          </w:tcPr>
          <w:p w14:paraId="21927034"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M</w:t>
            </w:r>
          </w:p>
        </w:tc>
        <w:tc>
          <w:tcPr>
            <w:tcW w:w="490" w:type="dxa"/>
            <w:tcBorders>
              <w:top w:val="single" w:sz="4" w:space="0" w:color="auto"/>
              <w:left w:val="nil"/>
              <w:bottom w:val="single" w:sz="4" w:space="0" w:color="auto"/>
              <w:right w:val="nil"/>
            </w:tcBorders>
            <w:shd w:val="clear" w:color="auto" w:fill="auto"/>
            <w:noWrap/>
            <w:vAlign w:val="center"/>
            <w:hideMark/>
          </w:tcPr>
          <w:p w14:paraId="09E73C15"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SD</w:t>
            </w:r>
          </w:p>
        </w:tc>
        <w:tc>
          <w:tcPr>
            <w:tcW w:w="580" w:type="dxa"/>
            <w:tcBorders>
              <w:top w:val="single" w:sz="4" w:space="0" w:color="auto"/>
              <w:left w:val="nil"/>
              <w:bottom w:val="single" w:sz="4" w:space="0" w:color="auto"/>
              <w:right w:val="nil"/>
            </w:tcBorders>
            <w:shd w:val="clear" w:color="auto" w:fill="auto"/>
            <w:noWrap/>
            <w:vAlign w:val="center"/>
            <w:hideMark/>
          </w:tcPr>
          <w:p w14:paraId="06F8A628"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Sk.</w:t>
            </w:r>
          </w:p>
        </w:tc>
        <w:tc>
          <w:tcPr>
            <w:tcW w:w="545" w:type="dxa"/>
            <w:tcBorders>
              <w:top w:val="single" w:sz="4" w:space="0" w:color="auto"/>
              <w:left w:val="nil"/>
              <w:bottom w:val="single" w:sz="4" w:space="0" w:color="auto"/>
              <w:right w:val="nil"/>
            </w:tcBorders>
            <w:shd w:val="clear" w:color="auto" w:fill="auto"/>
            <w:noWrap/>
            <w:vAlign w:val="center"/>
            <w:hideMark/>
          </w:tcPr>
          <w:p w14:paraId="0C0B0CAC" w14:textId="77777777" w:rsidR="0033600D" w:rsidRPr="00A87E0A" w:rsidRDefault="0033600D" w:rsidP="00463FE3">
            <w:pPr>
              <w:spacing w:line="360" w:lineRule="auto"/>
              <w:jc w:val="center"/>
              <w:rPr>
                <w:i/>
                <w:iCs/>
                <w:color w:val="000000"/>
                <w:sz w:val="20"/>
                <w:szCs w:val="20"/>
                <w:lang w:eastAsia="es-CO"/>
              </w:rPr>
            </w:pPr>
            <w:r w:rsidRPr="00A87E0A">
              <w:rPr>
                <w:i/>
                <w:iCs/>
                <w:color w:val="000000"/>
                <w:sz w:val="20"/>
                <w:szCs w:val="20"/>
                <w:lang w:eastAsia="es-CO"/>
              </w:rPr>
              <w:t>K</w:t>
            </w:r>
          </w:p>
        </w:tc>
        <w:tc>
          <w:tcPr>
            <w:tcW w:w="425" w:type="dxa"/>
            <w:tcBorders>
              <w:top w:val="single" w:sz="4" w:space="0" w:color="auto"/>
              <w:left w:val="nil"/>
              <w:bottom w:val="single" w:sz="4" w:space="0" w:color="auto"/>
              <w:right w:val="nil"/>
            </w:tcBorders>
            <w:shd w:val="clear" w:color="auto" w:fill="auto"/>
            <w:noWrap/>
            <w:vAlign w:val="center"/>
            <w:hideMark/>
          </w:tcPr>
          <w:p w14:paraId="1EF1E88B"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I28</w:t>
            </w:r>
          </w:p>
        </w:tc>
        <w:tc>
          <w:tcPr>
            <w:tcW w:w="490" w:type="dxa"/>
            <w:tcBorders>
              <w:top w:val="single" w:sz="4" w:space="0" w:color="auto"/>
              <w:left w:val="nil"/>
              <w:bottom w:val="single" w:sz="4" w:space="0" w:color="auto"/>
              <w:right w:val="nil"/>
            </w:tcBorders>
            <w:shd w:val="clear" w:color="auto" w:fill="auto"/>
            <w:noWrap/>
            <w:vAlign w:val="center"/>
            <w:hideMark/>
          </w:tcPr>
          <w:p w14:paraId="4172EFF7"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I33</w:t>
            </w:r>
          </w:p>
        </w:tc>
        <w:tc>
          <w:tcPr>
            <w:tcW w:w="490" w:type="dxa"/>
            <w:tcBorders>
              <w:top w:val="single" w:sz="4" w:space="0" w:color="auto"/>
              <w:left w:val="nil"/>
              <w:bottom w:val="single" w:sz="4" w:space="0" w:color="auto"/>
              <w:right w:val="nil"/>
            </w:tcBorders>
            <w:shd w:val="clear" w:color="auto" w:fill="auto"/>
            <w:noWrap/>
            <w:vAlign w:val="center"/>
            <w:hideMark/>
          </w:tcPr>
          <w:p w14:paraId="716CBDE7"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I34</w:t>
            </w:r>
          </w:p>
        </w:tc>
        <w:tc>
          <w:tcPr>
            <w:tcW w:w="490" w:type="dxa"/>
            <w:tcBorders>
              <w:top w:val="single" w:sz="4" w:space="0" w:color="auto"/>
              <w:left w:val="nil"/>
              <w:bottom w:val="single" w:sz="4" w:space="0" w:color="auto"/>
              <w:right w:val="nil"/>
            </w:tcBorders>
            <w:shd w:val="clear" w:color="auto" w:fill="auto"/>
            <w:noWrap/>
            <w:vAlign w:val="center"/>
            <w:hideMark/>
          </w:tcPr>
          <w:p w14:paraId="73BE4BB0"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I26</w:t>
            </w:r>
          </w:p>
        </w:tc>
      </w:tr>
      <w:tr w:rsidR="0033600D" w:rsidRPr="00A87E0A" w14:paraId="0705E4AA" w14:textId="77777777" w:rsidTr="00463FE3">
        <w:trPr>
          <w:trHeight w:val="288"/>
        </w:trPr>
        <w:tc>
          <w:tcPr>
            <w:tcW w:w="4820" w:type="dxa"/>
            <w:tcBorders>
              <w:top w:val="nil"/>
              <w:left w:val="nil"/>
              <w:bottom w:val="nil"/>
              <w:right w:val="nil"/>
            </w:tcBorders>
            <w:shd w:val="clear" w:color="auto" w:fill="auto"/>
            <w:noWrap/>
            <w:vAlign w:val="center"/>
            <w:hideMark/>
          </w:tcPr>
          <w:p w14:paraId="22A4829F"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I28 - Although I suffer now, I know that after a while what I want will come.</w:t>
            </w:r>
          </w:p>
        </w:tc>
        <w:tc>
          <w:tcPr>
            <w:tcW w:w="490" w:type="dxa"/>
            <w:tcBorders>
              <w:top w:val="nil"/>
              <w:left w:val="nil"/>
              <w:bottom w:val="nil"/>
              <w:right w:val="nil"/>
            </w:tcBorders>
            <w:shd w:val="clear" w:color="auto" w:fill="auto"/>
            <w:noWrap/>
            <w:vAlign w:val="center"/>
            <w:hideMark/>
          </w:tcPr>
          <w:p w14:paraId="1C33D37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3.90</w:t>
            </w:r>
          </w:p>
        </w:tc>
        <w:tc>
          <w:tcPr>
            <w:tcW w:w="490" w:type="dxa"/>
            <w:tcBorders>
              <w:top w:val="nil"/>
              <w:left w:val="nil"/>
              <w:bottom w:val="nil"/>
              <w:right w:val="nil"/>
            </w:tcBorders>
            <w:shd w:val="clear" w:color="auto" w:fill="auto"/>
            <w:noWrap/>
            <w:vAlign w:val="center"/>
            <w:hideMark/>
          </w:tcPr>
          <w:p w14:paraId="0B439369"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1.00</w:t>
            </w:r>
          </w:p>
        </w:tc>
        <w:tc>
          <w:tcPr>
            <w:tcW w:w="580" w:type="dxa"/>
            <w:tcBorders>
              <w:top w:val="nil"/>
              <w:left w:val="nil"/>
              <w:bottom w:val="nil"/>
              <w:right w:val="nil"/>
            </w:tcBorders>
            <w:shd w:val="clear" w:color="auto" w:fill="auto"/>
            <w:noWrap/>
            <w:vAlign w:val="center"/>
            <w:hideMark/>
          </w:tcPr>
          <w:p w14:paraId="3A7AD23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-1.19</w:t>
            </w:r>
          </w:p>
        </w:tc>
        <w:tc>
          <w:tcPr>
            <w:tcW w:w="545" w:type="dxa"/>
            <w:tcBorders>
              <w:top w:val="nil"/>
              <w:left w:val="nil"/>
              <w:bottom w:val="nil"/>
              <w:right w:val="nil"/>
            </w:tcBorders>
            <w:shd w:val="clear" w:color="auto" w:fill="auto"/>
            <w:noWrap/>
            <w:vAlign w:val="center"/>
            <w:hideMark/>
          </w:tcPr>
          <w:p w14:paraId="14DECB1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2.36</w:t>
            </w:r>
          </w:p>
        </w:tc>
        <w:tc>
          <w:tcPr>
            <w:tcW w:w="425" w:type="dxa"/>
            <w:tcBorders>
              <w:top w:val="nil"/>
              <w:left w:val="nil"/>
              <w:bottom w:val="nil"/>
              <w:right w:val="nil"/>
            </w:tcBorders>
            <w:shd w:val="clear" w:color="auto" w:fill="auto"/>
            <w:noWrap/>
            <w:vAlign w:val="center"/>
            <w:hideMark/>
          </w:tcPr>
          <w:p w14:paraId="42210B2A"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08B628BF"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.41*</w:t>
            </w:r>
          </w:p>
        </w:tc>
        <w:tc>
          <w:tcPr>
            <w:tcW w:w="490" w:type="dxa"/>
            <w:tcBorders>
              <w:top w:val="nil"/>
              <w:left w:val="nil"/>
              <w:bottom w:val="nil"/>
              <w:right w:val="nil"/>
            </w:tcBorders>
            <w:shd w:val="clear" w:color="auto" w:fill="auto"/>
            <w:noWrap/>
            <w:vAlign w:val="center"/>
            <w:hideMark/>
          </w:tcPr>
          <w:p w14:paraId="4F45DCBC"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.36*</w:t>
            </w:r>
          </w:p>
        </w:tc>
        <w:tc>
          <w:tcPr>
            <w:tcW w:w="490" w:type="dxa"/>
            <w:tcBorders>
              <w:top w:val="nil"/>
              <w:left w:val="nil"/>
              <w:bottom w:val="nil"/>
              <w:right w:val="nil"/>
            </w:tcBorders>
            <w:shd w:val="clear" w:color="auto" w:fill="auto"/>
            <w:noWrap/>
            <w:vAlign w:val="center"/>
            <w:hideMark/>
          </w:tcPr>
          <w:p w14:paraId="4631FEB9"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.54*</w:t>
            </w:r>
          </w:p>
        </w:tc>
      </w:tr>
      <w:tr w:rsidR="0033600D" w:rsidRPr="00A87E0A" w14:paraId="6AC1B46D" w14:textId="77777777" w:rsidTr="00463FE3">
        <w:trPr>
          <w:trHeight w:val="288"/>
        </w:trPr>
        <w:tc>
          <w:tcPr>
            <w:tcW w:w="4820" w:type="dxa"/>
            <w:tcBorders>
              <w:top w:val="nil"/>
              <w:left w:val="nil"/>
              <w:bottom w:val="nil"/>
              <w:right w:val="nil"/>
            </w:tcBorders>
            <w:shd w:val="clear" w:color="auto" w:fill="auto"/>
            <w:noWrap/>
            <w:vAlign w:val="center"/>
            <w:hideMark/>
          </w:tcPr>
          <w:p w14:paraId="0821FEFD"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I33 - The bad lasts only a while.</w:t>
            </w:r>
          </w:p>
        </w:tc>
        <w:tc>
          <w:tcPr>
            <w:tcW w:w="490" w:type="dxa"/>
            <w:tcBorders>
              <w:top w:val="nil"/>
              <w:left w:val="nil"/>
              <w:bottom w:val="nil"/>
              <w:right w:val="nil"/>
            </w:tcBorders>
            <w:shd w:val="clear" w:color="auto" w:fill="auto"/>
            <w:noWrap/>
            <w:vAlign w:val="center"/>
            <w:hideMark/>
          </w:tcPr>
          <w:p w14:paraId="1B3FF05A"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3.70</w:t>
            </w:r>
          </w:p>
        </w:tc>
        <w:tc>
          <w:tcPr>
            <w:tcW w:w="490" w:type="dxa"/>
            <w:tcBorders>
              <w:top w:val="nil"/>
              <w:left w:val="nil"/>
              <w:bottom w:val="nil"/>
              <w:right w:val="nil"/>
            </w:tcBorders>
            <w:shd w:val="clear" w:color="auto" w:fill="auto"/>
            <w:noWrap/>
            <w:vAlign w:val="center"/>
            <w:hideMark/>
          </w:tcPr>
          <w:p w14:paraId="7EF4684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1.03</w:t>
            </w:r>
          </w:p>
        </w:tc>
        <w:tc>
          <w:tcPr>
            <w:tcW w:w="580" w:type="dxa"/>
            <w:tcBorders>
              <w:top w:val="nil"/>
              <w:left w:val="nil"/>
              <w:bottom w:val="nil"/>
              <w:right w:val="nil"/>
            </w:tcBorders>
            <w:shd w:val="clear" w:color="auto" w:fill="auto"/>
            <w:noWrap/>
            <w:vAlign w:val="center"/>
            <w:hideMark/>
          </w:tcPr>
          <w:p w14:paraId="0150BBB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-0.86</w:t>
            </w:r>
          </w:p>
        </w:tc>
        <w:tc>
          <w:tcPr>
            <w:tcW w:w="545" w:type="dxa"/>
            <w:tcBorders>
              <w:top w:val="nil"/>
              <w:left w:val="nil"/>
              <w:bottom w:val="nil"/>
              <w:right w:val="nil"/>
            </w:tcBorders>
            <w:shd w:val="clear" w:color="auto" w:fill="auto"/>
            <w:noWrap/>
            <w:vAlign w:val="center"/>
            <w:hideMark/>
          </w:tcPr>
          <w:p w14:paraId="113D37C4"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0.92</w:t>
            </w:r>
          </w:p>
        </w:tc>
        <w:tc>
          <w:tcPr>
            <w:tcW w:w="425" w:type="dxa"/>
            <w:tcBorders>
              <w:top w:val="nil"/>
              <w:left w:val="nil"/>
              <w:bottom w:val="nil"/>
              <w:right w:val="nil"/>
            </w:tcBorders>
            <w:shd w:val="clear" w:color="auto" w:fill="auto"/>
            <w:noWrap/>
            <w:hideMark/>
          </w:tcPr>
          <w:p w14:paraId="74911219" w14:textId="77777777" w:rsidR="0033600D" w:rsidRPr="00A87E0A" w:rsidRDefault="0033600D" w:rsidP="00463FE3">
            <w:pPr>
              <w:spacing w:line="360" w:lineRule="auto"/>
              <w:jc w:val="center"/>
              <w:rPr>
                <w:color w:val="000000"/>
                <w:sz w:val="20"/>
                <w:szCs w:val="20"/>
                <w:lang w:eastAsia="es-CO"/>
              </w:rPr>
            </w:pPr>
          </w:p>
        </w:tc>
        <w:tc>
          <w:tcPr>
            <w:tcW w:w="490" w:type="dxa"/>
            <w:tcBorders>
              <w:top w:val="nil"/>
              <w:left w:val="nil"/>
              <w:bottom w:val="nil"/>
              <w:right w:val="nil"/>
            </w:tcBorders>
            <w:shd w:val="clear" w:color="auto" w:fill="auto"/>
            <w:noWrap/>
            <w:vAlign w:val="center"/>
            <w:hideMark/>
          </w:tcPr>
          <w:p w14:paraId="7C7041C0"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7997644C"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.39*</w:t>
            </w:r>
          </w:p>
        </w:tc>
        <w:tc>
          <w:tcPr>
            <w:tcW w:w="490" w:type="dxa"/>
            <w:tcBorders>
              <w:top w:val="nil"/>
              <w:left w:val="nil"/>
              <w:bottom w:val="nil"/>
              <w:right w:val="nil"/>
            </w:tcBorders>
            <w:shd w:val="clear" w:color="auto" w:fill="auto"/>
            <w:noWrap/>
            <w:vAlign w:val="center"/>
            <w:hideMark/>
          </w:tcPr>
          <w:p w14:paraId="3FEFBA0F"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.42*</w:t>
            </w:r>
          </w:p>
        </w:tc>
      </w:tr>
      <w:tr w:rsidR="0033600D" w:rsidRPr="00A87E0A" w14:paraId="70E8620A" w14:textId="77777777" w:rsidTr="00463FE3">
        <w:trPr>
          <w:trHeight w:val="288"/>
        </w:trPr>
        <w:tc>
          <w:tcPr>
            <w:tcW w:w="4820" w:type="dxa"/>
            <w:tcBorders>
              <w:top w:val="nil"/>
              <w:left w:val="nil"/>
              <w:bottom w:val="nil"/>
              <w:right w:val="nil"/>
            </w:tcBorders>
            <w:shd w:val="clear" w:color="auto" w:fill="auto"/>
            <w:noWrap/>
            <w:vAlign w:val="center"/>
            <w:hideMark/>
          </w:tcPr>
          <w:p w14:paraId="2433B7C7"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I34 - You enjoy what you want more, after waiting.</w:t>
            </w:r>
          </w:p>
        </w:tc>
        <w:tc>
          <w:tcPr>
            <w:tcW w:w="490" w:type="dxa"/>
            <w:tcBorders>
              <w:top w:val="nil"/>
              <w:left w:val="nil"/>
              <w:bottom w:val="nil"/>
              <w:right w:val="nil"/>
            </w:tcBorders>
            <w:shd w:val="clear" w:color="auto" w:fill="auto"/>
            <w:noWrap/>
            <w:vAlign w:val="center"/>
            <w:hideMark/>
          </w:tcPr>
          <w:p w14:paraId="6F1E22A2"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3.93</w:t>
            </w:r>
          </w:p>
        </w:tc>
        <w:tc>
          <w:tcPr>
            <w:tcW w:w="490" w:type="dxa"/>
            <w:tcBorders>
              <w:top w:val="nil"/>
              <w:left w:val="nil"/>
              <w:bottom w:val="nil"/>
              <w:right w:val="nil"/>
            </w:tcBorders>
            <w:shd w:val="clear" w:color="auto" w:fill="auto"/>
            <w:noWrap/>
            <w:vAlign w:val="center"/>
            <w:hideMark/>
          </w:tcPr>
          <w:p w14:paraId="72239CC8"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1.04</w:t>
            </w:r>
          </w:p>
        </w:tc>
        <w:tc>
          <w:tcPr>
            <w:tcW w:w="580" w:type="dxa"/>
            <w:tcBorders>
              <w:top w:val="nil"/>
              <w:left w:val="nil"/>
              <w:bottom w:val="nil"/>
              <w:right w:val="nil"/>
            </w:tcBorders>
            <w:shd w:val="clear" w:color="auto" w:fill="auto"/>
            <w:noWrap/>
            <w:vAlign w:val="center"/>
            <w:hideMark/>
          </w:tcPr>
          <w:p w14:paraId="5B428F47"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-1.03</w:t>
            </w:r>
          </w:p>
        </w:tc>
        <w:tc>
          <w:tcPr>
            <w:tcW w:w="545" w:type="dxa"/>
            <w:tcBorders>
              <w:top w:val="nil"/>
              <w:left w:val="nil"/>
              <w:bottom w:val="nil"/>
              <w:right w:val="nil"/>
            </w:tcBorders>
            <w:shd w:val="clear" w:color="auto" w:fill="auto"/>
            <w:noWrap/>
            <w:vAlign w:val="center"/>
            <w:hideMark/>
          </w:tcPr>
          <w:p w14:paraId="237F82EB"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0.81</w:t>
            </w:r>
          </w:p>
        </w:tc>
        <w:tc>
          <w:tcPr>
            <w:tcW w:w="425" w:type="dxa"/>
            <w:tcBorders>
              <w:top w:val="nil"/>
              <w:left w:val="nil"/>
              <w:bottom w:val="nil"/>
              <w:right w:val="nil"/>
            </w:tcBorders>
            <w:shd w:val="clear" w:color="auto" w:fill="auto"/>
            <w:noWrap/>
            <w:hideMark/>
          </w:tcPr>
          <w:p w14:paraId="6DCE28F7" w14:textId="77777777" w:rsidR="0033600D" w:rsidRPr="00A87E0A" w:rsidRDefault="0033600D" w:rsidP="00463FE3">
            <w:pPr>
              <w:spacing w:line="360" w:lineRule="auto"/>
              <w:jc w:val="center"/>
              <w:rPr>
                <w:color w:val="000000"/>
                <w:sz w:val="20"/>
                <w:szCs w:val="20"/>
                <w:lang w:eastAsia="es-CO"/>
              </w:rPr>
            </w:pPr>
          </w:p>
        </w:tc>
        <w:tc>
          <w:tcPr>
            <w:tcW w:w="490" w:type="dxa"/>
            <w:tcBorders>
              <w:top w:val="nil"/>
              <w:left w:val="nil"/>
              <w:bottom w:val="nil"/>
              <w:right w:val="nil"/>
            </w:tcBorders>
            <w:shd w:val="clear" w:color="auto" w:fill="auto"/>
            <w:noWrap/>
            <w:hideMark/>
          </w:tcPr>
          <w:p w14:paraId="19068365" w14:textId="77777777" w:rsidR="0033600D" w:rsidRPr="00A87E0A" w:rsidRDefault="0033600D" w:rsidP="00463FE3">
            <w:pPr>
              <w:spacing w:line="360" w:lineRule="auto"/>
              <w:rPr>
                <w:sz w:val="20"/>
                <w:szCs w:val="20"/>
                <w:lang w:eastAsia="es-CO"/>
              </w:rPr>
            </w:pPr>
          </w:p>
        </w:tc>
        <w:tc>
          <w:tcPr>
            <w:tcW w:w="490" w:type="dxa"/>
            <w:tcBorders>
              <w:top w:val="nil"/>
              <w:left w:val="nil"/>
              <w:bottom w:val="nil"/>
              <w:right w:val="nil"/>
            </w:tcBorders>
            <w:shd w:val="clear" w:color="auto" w:fill="auto"/>
            <w:noWrap/>
            <w:vAlign w:val="center"/>
            <w:hideMark/>
          </w:tcPr>
          <w:p w14:paraId="29EB705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484096DC"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.44*</w:t>
            </w:r>
          </w:p>
        </w:tc>
      </w:tr>
      <w:tr w:rsidR="0033600D" w:rsidRPr="00A87E0A" w14:paraId="75F7785E" w14:textId="77777777" w:rsidTr="00463FE3">
        <w:trPr>
          <w:trHeight w:val="288"/>
        </w:trPr>
        <w:tc>
          <w:tcPr>
            <w:tcW w:w="4820" w:type="dxa"/>
            <w:tcBorders>
              <w:top w:val="nil"/>
              <w:left w:val="nil"/>
              <w:bottom w:val="single" w:sz="4" w:space="0" w:color="auto"/>
              <w:right w:val="nil"/>
            </w:tcBorders>
            <w:shd w:val="clear" w:color="auto" w:fill="auto"/>
            <w:noWrap/>
            <w:vAlign w:val="center"/>
            <w:hideMark/>
          </w:tcPr>
          <w:p w14:paraId="1E061DF5" w14:textId="77777777" w:rsidR="0033600D" w:rsidRPr="00A87E0A" w:rsidRDefault="0033600D" w:rsidP="00463FE3">
            <w:pPr>
              <w:spacing w:line="360" w:lineRule="auto"/>
              <w:rPr>
                <w:color w:val="000000"/>
                <w:sz w:val="20"/>
                <w:szCs w:val="20"/>
                <w:lang w:val="en-US" w:eastAsia="es-CO"/>
              </w:rPr>
            </w:pPr>
            <w:r w:rsidRPr="00A87E0A">
              <w:rPr>
                <w:color w:val="000000"/>
                <w:sz w:val="20"/>
                <w:szCs w:val="20"/>
                <w:lang w:val="en-US" w:eastAsia="es-CO"/>
              </w:rPr>
              <w:t>I26 - When I want something, I can wait to get it.</w:t>
            </w:r>
          </w:p>
        </w:tc>
        <w:tc>
          <w:tcPr>
            <w:tcW w:w="490" w:type="dxa"/>
            <w:tcBorders>
              <w:top w:val="nil"/>
              <w:left w:val="nil"/>
              <w:bottom w:val="single" w:sz="4" w:space="0" w:color="auto"/>
              <w:right w:val="nil"/>
            </w:tcBorders>
            <w:shd w:val="clear" w:color="auto" w:fill="auto"/>
            <w:noWrap/>
            <w:vAlign w:val="center"/>
            <w:hideMark/>
          </w:tcPr>
          <w:p w14:paraId="6BB81173"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3.57</w:t>
            </w:r>
          </w:p>
        </w:tc>
        <w:tc>
          <w:tcPr>
            <w:tcW w:w="490" w:type="dxa"/>
            <w:tcBorders>
              <w:top w:val="nil"/>
              <w:left w:val="nil"/>
              <w:bottom w:val="single" w:sz="4" w:space="0" w:color="auto"/>
              <w:right w:val="nil"/>
            </w:tcBorders>
            <w:shd w:val="clear" w:color="auto" w:fill="auto"/>
            <w:noWrap/>
            <w:vAlign w:val="center"/>
            <w:hideMark/>
          </w:tcPr>
          <w:p w14:paraId="0F8253A1"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1.15</w:t>
            </w:r>
          </w:p>
        </w:tc>
        <w:tc>
          <w:tcPr>
            <w:tcW w:w="580" w:type="dxa"/>
            <w:tcBorders>
              <w:top w:val="nil"/>
              <w:left w:val="nil"/>
              <w:bottom w:val="single" w:sz="4" w:space="0" w:color="auto"/>
              <w:right w:val="nil"/>
            </w:tcBorders>
            <w:shd w:val="clear" w:color="auto" w:fill="auto"/>
            <w:noWrap/>
            <w:vAlign w:val="center"/>
            <w:hideMark/>
          </w:tcPr>
          <w:p w14:paraId="15CEFBDE"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-0.85</w:t>
            </w:r>
          </w:p>
        </w:tc>
        <w:tc>
          <w:tcPr>
            <w:tcW w:w="545" w:type="dxa"/>
            <w:tcBorders>
              <w:top w:val="nil"/>
              <w:left w:val="nil"/>
              <w:bottom w:val="single" w:sz="4" w:space="0" w:color="auto"/>
              <w:right w:val="nil"/>
            </w:tcBorders>
            <w:shd w:val="clear" w:color="auto" w:fill="auto"/>
            <w:noWrap/>
            <w:vAlign w:val="center"/>
            <w:hideMark/>
          </w:tcPr>
          <w:p w14:paraId="40A125DA"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0.71</w:t>
            </w:r>
          </w:p>
        </w:tc>
        <w:tc>
          <w:tcPr>
            <w:tcW w:w="425" w:type="dxa"/>
            <w:tcBorders>
              <w:top w:val="nil"/>
              <w:left w:val="nil"/>
              <w:bottom w:val="single" w:sz="4" w:space="0" w:color="auto"/>
              <w:right w:val="nil"/>
            </w:tcBorders>
            <w:shd w:val="clear" w:color="auto" w:fill="auto"/>
            <w:noWrap/>
            <w:hideMark/>
          </w:tcPr>
          <w:p w14:paraId="0135EA80" w14:textId="77777777" w:rsidR="0033600D" w:rsidRPr="00A87E0A" w:rsidRDefault="0033600D" w:rsidP="00463FE3">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hideMark/>
          </w:tcPr>
          <w:p w14:paraId="0C71DCDC" w14:textId="77777777" w:rsidR="0033600D" w:rsidRPr="00A87E0A" w:rsidRDefault="0033600D" w:rsidP="00463FE3">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hideMark/>
          </w:tcPr>
          <w:p w14:paraId="0732ABC8" w14:textId="77777777" w:rsidR="0033600D" w:rsidRPr="00A87E0A" w:rsidRDefault="0033600D" w:rsidP="00463FE3">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vAlign w:val="center"/>
            <w:hideMark/>
          </w:tcPr>
          <w:p w14:paraId="3DF4DE0D" w14:textId="77777777" w:rsidR="0033600D" w:rsidRPr="00A87E0A" w:rsidRDefault="0033600D" w:rsidP="00463FE3">
            <w:pPr>
              <w:spacing w:line="360" w:lineRule="auto"/>
              <w:jc w:val="center"/>
              <w:rPr>
                <w:color w:val="000000"/>
                <w:sz w:val="20"/>
                <w:szCs w:val="20"/>
                <w:lang w:eastAsia="es-CO"/>
              </w:rPr>
            </w:pPr>
            <w:r w:rsidRPr="00A87E0A">
              <w:rPr>
                <w:color w:val="000000"/>
                <w:sz w:val="20"/>
                <w:szCs w:val="20"/>
                <w:lang w:eastAsia="es-CO"/>
              </w:rPr>
              <w:t>-</w:t>
            </w:r>
          </w:p>
        </w:tc>
      </w:tr>
    </w:tbl>
    <w:p w14:paraId="31D19600" w14:textId="77777777" w:rsidR="0033600D" w:rsidRPr="00A87E0A" w:rsidRDefault="0033600D" w:rsidP="0033600D">
      <w:pPr>
        <w:spacing w:line="360" w:lineRule="auto"/>
        <w:rPr>
          <w:color w:val="000000"/>
          <w:sz w:val="20"/>
          <w:szCs w:val="20"/>
          <w:lang w:val="en-US"/>
        </w:rPr>
      </w:pPr>
      <w:r w:rsidRPr="00590BAE">
        <w:rPr>
          <w:i/>
          <w:iCs/>
          <w:color w:val="000000"/>
          <w:sz w:val="20"/>
          <w:szCs w:val="20"/>
          <w:lang w:val="en-US"/>
        </w:rPr>
        <w:t>Note</w:t>
      </w:r>
      <w:r w:rsidRPr="00A87E0A">
        <w:rPr>
          <w:color w:val="000000"/>
          <w:sz w:val="20"/>
          <w:szCs w:val="20"/>
          <w:lang w:val="en-US"/>
        </w:rPr>
        <w:t xml:space="preserve">. </w:t>
      </w:r>
      <w:r w:rsidRPr="00590BAE">
        <w:rPr>
          <w:i/>
          <w:iCs/>
          <w:color w:val="000000"/>
          <w:sz w:val="20"/>
          <w:szCs w:val="20"/>
          <w:lang w:val="en-US"/>
        </w:rPr>
        <w:t>M</w:t>
      </w:r>
      <w:r w:rsidRPr="00A87E0A">
        <w:rPr>
          <w:color w:val="000000"/>
          <w:sz w:val="20"/>
          <w:szCs w:val="20"/>
          <w:lang w:val="en-US"/>
        </w:rPr>
        <w:t xml:space="preserve">=mean; </w:t>
      </w:r>
      <w:r w:rsidRPr="00590BAE">
        <w:rPr>
          <w:i/>
          <w:iCs/>
          <w:color w:val="000000"/>
          <w:sz w:val="20"/>
          <w:szCs w:val="20"/>
          <w:lang w:val="en-US"/>
        </w:rPr>
        <w:t>SD</w:t>
      </w:r>
      <w:r w:rsidRPr="00A87E0A">
        <w:rPr>
          <w:color w:val="000000"/>
          <w:sz w:val="20"/>
          <w:szCs w:val="20"/>
          <w:lang w:val="en-US"/>
        </w:rPr>
        <w:t xml:space="preserve">=standard deviation; </w:t>
      </w:r>
      <w:r w:rsidRPr="00590BAE">
        <w:rPr>
          <w:i/>
          <w:iCs/>
          <w:color w:val="000000"/>
          <w:sz w:val="20"/>
          <w:szCs w:val="20"/>
          <w:lang w:val="en-US"/>
        </w:rPr>
        <w:t>Sk</w:t>
      </w:r>
      <w:r w:rsidRPr="00A87E0A">
        <w:rPr>
          <w:color w:val="000000"/>
          <w:sz w:val="20"/>
          <w:szCs w:val="20"/>
          <w:lang w:val="en-US"/>
        </w:rPr>
        <w:t xml:space="preserve">.=skewness; </w:t>
      </w:r>
      <w:r w:rsidRPr="00590BAE">
        <w:rPr>
          <w:i/>
          <w:iCs/>
          <w:color w:val="000000"/>
          <w:sz w:val="20"/>
          <w:szCs w:val="20"/>
          <w:lang w:val="en-US"/>
        </w:rPr>
        <w:t>K</w:t>
      </w:r>
      <w:r w:rsidRPr="00A87E0A">
        <w:rPr>
          <w:color w:val="000000"/>
          <w:sz w:val="20"/>
          <w:szCs w:val="20"/>
          <w:lang w:val="en-US"/>
        </w:rPr>
        <w:t>=kurtosis</w:t>
      </w:r>
    </w:p>
    <w:p w14:paraId="50744E8C" w14:textId="77777777" w:rsidR="0033600D" w:rsidRPr="00A87E0A" w:rsidRDefault="0033600D" w:rsidP="0033600D">
      <w:pPr>
        <w:spacing w:line="360" w:lineRule="auto"/>
        <w:rPr>
          <w:color w:val="000000"/>
          <w:sz w:val="20"/>
          <w:szCs w:val="20"/>
          <w:lang w:val="en-US"/>
        </w:rPr>
      </w:pPr>
      <w:r w:rsidRPr="00A87E0A">
        <w:rPr>
          <w:color w:val="000000"/>
          <w:sz w:val="20"/>
          <w:szCs w:val="20"/>
          <w:lang w:val="en-US"/>
        </w:rPr>
        <w:t xml:space="preserve">* </w:t>
      </w:r>
      <w:r w:rsidRPr="00590BAE">
        <w:rPr>
          <w:i/>
          <w:iCs/>
          <w:color w:val="000000"/>
          <w:sz w:val="20"/>
          <w:szCs w:val="20"/>
          <w:lang w:val="en-US"/>
        </w:rPr>
        <w:t>p</w:t>
      </w:r>
      <w:r w:rsidRPr="00A87E0A">
        <w:rPr>
          <w:color w:val="000000"/>
          <w:sz w:val="20"/>
          <w:szCs w:val="20"/>
          <w:lang w:val="en-US"/>
        </w:rPr>
        <w:t xml:space="preserve"> &lt; .01.</w:t>
      </w:r>
    </w:p>
    <w:p w14:paraId="18F634D1" w14:textId="77777777" w:rsidR="0033600D" w:rsidRPr="00A87E0A" w:rsidRDefault="0033600D" w:rsidP="0033600D">
      <w:pPr>
        <w:spacing w:line="360" w:lineRule="auto"/>
        <w:ind w:firstLine="567"/>
        <w:jc w:val="both"/>
        <w:rPr>
          <w:color w:val="000000"/>
          <w:lang w:val="en-US"/>
        </w:rPr>
      </w:pPr>
    </w:p>
    <w:p w14:paraId="53E8CC5D" w14:textId="7B64733B" w:rsidR="00683194" w:rsidRDefault="0033600D" w:rsidP="00683194">
      <w:pPr>
        <w:pStyle w:val="Prrafocomn"/>
        <w:rPr>
          <w:color w:val="000000"/>
        </w:rPr>
      </w:pPr>
      <w:r w:rsidRPr="00A87E0A">
        <w:rPr>
          <w:color w:val="000000"/>
        </w:rPr>
        <w:t xml:space="preserve">Table </w:t>
      </w:r>
      <w:r w:rsidR="00B3217B">
        <w:rPr>
          <w:color w:val="000000"/>
        </w:rPr>
        <w:t>3</w:t>
      </w:r>
      <w:r w:rsidRPr="00A87E0A">
        <w:rPr>
          <w:color w:val="000000"/>
        </w:rPr>
        <w:t xml:space="preserve"> shows that while the correlations between the items of the BPS-G are less than .90, it can be said that the items do not present multicollinearity or conceptual overlap (Tabachnick &amp; Fidell, 2007). Likewise, it is observed that the skewness values of the four items do not exceed the tolerable value of 3 (Sk.), as well as that of 10 for kurtosis (K) (Kline, 2011). Table </w:t>
      </w:r>
      <w:r w:rsidR="004C4F28">
        <w:rPr>
          <w:color w:val="000000"/>
        </w:rPr>
        <w:t>3</w:t>
      </w:r>
      <w:r w:rsidRPr="00A87E0A">
        <w:rPr>
          <w:color w:val="000000"/>
        </w:rPr>
        <w:t xml:space="preserve"> also shows that the multivariate normality is 19.773, which is well below the value of 70 recommended by Mardia (1971).</w:t>
      </w:r>
    </w:p>
    <w:p w14:paraId="1D94546D" w14:textId="00D64C1E" w:rsidR="00683194" w:rsidRPr="00753370" w:rsidRDefault="00683194" w:rsidP="00683194">
      <w:pPr>
        <w:pStyle w:val="Prrafocomn"/>
        <w:ind w:firstLine="0"/>
        <w:rPr>
          <w:b/>
          <w:bCs/>
          <w:i/>
          <w:iCs/>
          <w:color w:val="000000"/>
        </w:rPr>
      </w:pPr>
      <w:r w:rsidRPr="00753370">
        <w:rPr>
          <w:b/>
          <w:bCs/>
          <w:i/>
          <w:iCs/>
          <w:color w:val="000000"/>
        </w:rPr>
        <w:lastRenderedPageBreak/>
        <w:t>Three-Factor Patience Questionnaire -QPTF</w:t>
      </w:r>
    </w:p>
    <w:p w14:paraId="1AFF32A5" w14:textId="77777777" w:rsidR="00683194" w:rsidRDefault="0033600D" w:rsidP="00683194">
      <w:pPr>
        <w:pStyle w:val="Prrafocomn"/>
        <w:rPr>
          <w:color w:val="000000"/>
        </w:rPr>
      </w:pPr>
      <w:r w:rsidRPr="00A87E0A">
        <w:rPr>
          <w:color w:val="000000"/>
        </w:rPr>
        <w:t>In this study (</w:t>
      </w:r>
      <w:r w:rsidRPr="00A87E0A">
        <w:rPr>
          <w:i/>
          <w:color w:val="000000"/>
        </w:rPr>
        <w:t>N</w:t>
      </w:r>
      <w:r w:rsidRPr="00A87E0A">
        <w:rPr>
          <w:color w:val="000000"/>
        </w:rPr>
        <w:t xml:space="preserve"> = 289), the model of three correlated factors obtained better goodness of fit than that of a single factor or that of three orthogonal factors. Thus, the </w:t>
      </w:r>
      <w:r w:rsidRPr="00A87E0A">
        <w:rPr>
          <w:i/>
          <w:color w:val="000000"/>
        </w:rPr>
        <w:t>CFI</w:t>
      </w:r>
      <w:r w:rsidRPr="00A87E0A">
        <w:rPr>
          <w:color w:val="000000"/>
        </w:rPr>
        <w:t xml:space="preserve"> = .951, the </w:t>
      </w:r>
      <w:r w:rsidRPr="00A87E0A">
        <w:rPr>
          <w:i/>
          <w:color w:val="000000"/>
        </w:rPr>
        <w:t>RMSEA</w:t>
      </w:r>
      <w:r w:rsidRPr="00A87E0A">
        <w:rPr>
          <w:color w:val="000000"/>
        </w:rPr>
        <w:t xml:space="preserve"> = .061 (90%</w:t>
      </w:r>
      <w:r w:rsidRPr="00A87E0A">
        <w:t xml:space="preserve"> </w:t>
      </w:r>
      <w:r w:rsidRPr="00A87E0A">
        <w:rPr>
          <w:color w:val="000000"/>
        </w:rPr>
        <w:t xml:space="preserve">CI [.043-.079]), </w:t>
      </w:r>
      <w:r w:rsidRPr="00A87E0A">
        <w:rPr>
          <w:i/>
          <w:color w:val="000000"/>
        </w:rPr>
        <w:t>NNFI</w:t>
      </w:r>
      <w:r w:rsidRPr="00A87E0A">
        <w:rPr>
          <w:color w:val="000000"/>
        </w:rPr>
        <w:t xml:space="preserve"> = .934, </w:t>
      </w:r>
      <w:r w:rsidRPr="00A87E0A">
        <w:rPr>
          <w:i/>
          <w:color w:val="000000"/>
        </w:rPr>
        <w:t>NFI</w:t>
      </w:r>
      <w:r w:rsidRPr="00A87E0A">
        <w:rPr>
          <w:color w:val="000000"/>
        </w:rPr>
        <w:t xml:space="preserve"> = .911, </w:t>
      </w:r>
      <w:r w:rsidRPr="00A87E0A">
        <w:rPr>
          <w:i/>
          <w:color w:val="000000"/>
        </w:rPr>
        <w:t>GFI</w:t>
      </w:r>
      <w:r w:rsidRPr="00A87E0A">
        <w:rPr>
          <w:color w:val="000000"/>
        </w:rPr>
        <w:t xml:space="preserve"> = .947, </w:t>
      </w:r>
      <w:r w:rsidRPr="00A87E0A">
        <w:rPr>
          <w:i/>
          <w:color w:val="000000"/>
        </w:rPr>
        <w:t>AGFI</w:t>
      </w:r>
      <w:r w:rsidRPr="00A87E0A">
        <w:rPr>
          <w:color w:val="000000"/>
        </w:rPr>
        <w:t xml:space="preserve"> = .915, </w:t>
      </w:r>
      <w:r w:rsidRPr="00A87E0A">
        <w:rPr>
          <w:i/>
          <w:color w:val="000000"/>
        </w:rPr>
        <w:t>X²/df</w:t>
      </w:r>
      <w:r w:rsidRPr="00A87E0A">
        <w:rPr>
          <w:color w:val="000000"/>
        </w:rPr>
        <w:t xml:space="preserve"> = 2.078 and </w:t>
      </w:r>
      <w:r w:rsidRPr="00A87E0A">
        <w:rPr>
          <w:i/>
          <w:color w:val="000000"/>
        </w:rPr>
        <w:t>SRMR</w:t>
      </w:r>
      <w:r w:rsidRPr="00A87E0A">
        <w:rPr>
          <w:color w:val="000000"/>
        </w:rPr>
        <w:t xml:space="preserve"> = .0497. Instead, the values for the single-factor model were </w:t>
      </w:r>
      <w:r w:rsidRPr="00A87E0A">
        <w:rPr>
          <w:i/>
          <w:color w:val="000000"/>
        </w:rPr>
        <w:t>CFI</w:t>
      </w:r>
      <w:r w:rsidRPr="00A87E0A">
        <w:rPr>
          <w:color w:val="000000"/>
        </w:rPr>
        <w:t xml:space="preserve"> = .938, </w:t>
      </w:r>
      <w:r w:rsidRPr="00A87E0A">
        <w:rPr>
          <w:i/>
          <w:color w:val="000000"/>
        </w:rPr>
        <w:t>RMSEA</w:t>
      </w:r>
      <w:r w:rsidRPr="00A87E0A">
        <w:rPr>
          <w:color w:val="000000"/>
        </w:rPr>
        <w:t xml:space="preserve"> = .067 (90% CI [.049-.084]), </w:t>
      </w:r>
      <w:r w:rsidRPr="00A87E0A">
        <w:rPr>
          <w:i/>
          <w:color w:val="000000"/>
        </w:rPr>
        <w:t>NNFI</w:t>
      </w:r>
      <w:r w:rsidRPr="00A87E0A">
        <w:rPr>
          <w:color w:val="000000"/>
        </w:rPr>
        <w:t xml:space="preserve"> = .922, </w:t>
      </w:r>
      <w:r w:rsidRPr="00A87E0A">
        <w:rPr>
          <w:i/>
          <w:color w:val="000000"/>
        </w:rPr>
        <w:t>NFI</w:t>
      </w:r>
      <w:r w:rsidRPr="00A87E0A">
        <w:rPr>
          <w:color w:val="000000"/>
        </w:rPr>
        <w:t xml:space="preserve"> = .895, </w:t>
      </w:r>
      <w:r w:rsidRPr="00A87E0A">
        <w:rPr>
          <w:i/>
          <w:color w:val="000000"/>
        </w:rPr>
        <w:t>GFI</w:t>
      </w:r>
      <w:r w:rsidRPr="00A87E0A">
        <w:rPr>
          <w:color w:val="000000"/>
        </w:rPr>
        <w:t xml:space="preserve"> = .939, </w:t>
      </w:r>
      <w:r w:rsidRPr="00A87E0A">
        <w:rPr>
          <w:i/>
          <w:color w:val="000000"/>
        </w:rPr>
        <w:t>AGFI</w:t>
      </w:r>
      <w:r w:rsidRPr="00A87E0A">
        <w:rPr>
          <w:color w:val="000000"/>
        </w:rPr>
        <w:t xml:space="preserve"> = .908, </w:t>
      </w:r>
      <w:r w:rsidRPr="00A87E0A">
        <w:rPr>
          <w:i/>
          <w:color w:val="000000"/>
        </w:rPr>
        <w:t>X²/df</w:t>
      </w:r>
      <w:r w:rsidRPr="00A87E0A">
        <w:rPr>
          <w:color w:val="000000"/>
        </w:rPr>
        <w:t xml:space="preserve"> = 2.274 and </w:t>
      </w:r>
      <w:r w:rsidRPr="00A87E0A">
        <w:rPr>
          <w:i/>
          <w:color w:val="000000"/>
        </w:rPr>
        <w:t>SRMR</w:t>
      </w:r>
      <w:r w:rsidRPr="00A87E0A">
        <w:rPr>
          <w:color w:val="000000"/>
        </w:rPr>
        <w:t xml:space="preserve"> = .051. In relation to reliability, in this study, the subscale daily hassles patience obtained an </w:t>
      </w:r>
      <w:r w:rsidRPr="00A87E0A">
        <w:rPr>
          <w:i/>
          <w:iCs/>
          <w:color w:val="000000"/>
        </w:rPr>
        <w:t>alpha</w:t>
      </w:r>
      <w:r w:rsidRPr="00A87E0A">
        <w:rPr>
          <w:color w:val="000000"/>
        </w:rPr>
        <w:t xml:space="preserve"> of .127, the subscale life hardship patience achieved a value of .721, and the subscale interpersonal patience reached an </w:t>
      </w:r>
      <w:r w:rsidRPr="00A87E0A">
        <w:rPr>
          <w:i/>
          <w:iCs/>
          <w:color w:val="000000"/>
        </w:rPr>
        <w:t xml:space="preserve">alpha </w:t>
      </w:r>
      <w:r w:rsidRPr="00A87E0A">
        <w:rPr>
          <w:color w:val="000000"/>
        </w:rPr>
        <w:t xml:space="preserve">of. 542. Considered a single factor, whose 11 items were its indicators, the </w:t>
      </w:r>
      <w:r w:rsidRPr="00A87E0A">
        <w:rPr>
          <w:i/>
          <w:iCs/>
          <w:color w:val="000000"/>
        </w:rPr>
        <w:t xml:space="preserve">alpha </w:t>
      </w:r>
      <w:r w:rsidRPr="00A87E0A">
        <w:rPr>
          <w:color w:val="000000"/>
        </w:rPr>
        <w:t>was .74.</w:t>
      </w:r>
    </w:p>
    <w:p w14:paraId="1EF5955F" w14:textId="77777777" w:rsidR="00683194" w:rsidRDefault="00683194" w:rsidP="00683194">
      <w:pPr>
        <w:pStyle w:val="Prrafocomn"/>
        <w:ind w:firstLine="0"/>
        <w:rPr>
          <w:color w:val="000000"/>
        </w:rPr>
      </w:pPr>
    </w:p>
    <w:p w14:paraId="56BBDC3C" w14:textId="3F846656" w:rsidR="00683194" w:rsidRPr="00753370" w:rsidRDefault="00683194" w:rsidP="00683194">
      <w:pPr>
        <w:pStyle w:val="Prrafocomn"/>
        <w:ind w:firstLine="0"/>
        <w:rPr>
          <w:b/>
          <w:bCs/>
          <w:i/>
          <w:iCs/>
          <w:color w:val="000000"/>
        </w:rPr>
      </w:pPr>
      <w:r w:rsidRPr="00753370">
        <w:rPr>
          <w:b/>
          <w:bCs/>
          <w:i/>
          <w:iCs/>
          <w:color w:val="000000"/>
        </w:rPr>
        <w:t>Convergent Validity</w:t>
      </w:r>
    </w:p>
    <w:p w14:paraId="0BBA4286" w14:textId="77777777" w:rsidR="00683194" w:rsidRDefault="0033600D" w:rsidP="00683194">
      <w:pPr>
        <w:pStyle w:val="Prrafocomn"/>
        <w:rPr>
          <w:color w:val="000000"/>
        </w:rPr>
      </w:pPr>
      <w:r w:rsidRPr="00A87E0A">
        <w:rPr>
          <w:color w:val="000000"/>
        </w:rPr>
        <w:t xml:space="preserve">The convergent validity of the BPS-G was evaluated by correlating its scores with those of the QPTF in its global rating of the 11 items. An </w:t>
      </w:r>
      <w:r w:rsidRPr="00A87E0A">
        <w:rPr>
          <w:i/>
          <w:color w:val="000000"/>
        </w:rPr>
        <w:t>r</w:t>
      </w:r>
      <w:r w:rsidRPr="00A87E0A">
        <w:rPr>
          <w:color w:val="000000"/>
        </w:rPr>
        <w:t xml:space="preserve"> [289] = .55, </w:t>
      </w:r>
      <w:r w:rsidRPr="00A87E0A">
        <w:rPr>
          <w:i/>
          <w:color w:val="000000"/>
        </w:rPr>
        <w:t>p</w:t>
      </w:r>
      <w:r w:rsidRPr="00A87E0A">
        <w:rPr>
          <w:color w:val="000000"/>
        </w:rPr>
        <w:t xml:space="preserve"> &lt;.01, 95% CI [.35, .70] is found; </w:t>
      </w:r>
      <w:r w:rsidRPr="00A87E0A">
        <w:rPr>
          <w:i/>
          <w:color w:val="000000"/>
        </w:rPr>
        <w:t>d</w:t>
      </w:r>
      <w:r w:rsidRPr="00A87E0A">
        <w:rPr>
          <w:color w:val="000000"/>
        </w:rPr>
        <w:t xml:space="preserve"> [effect size] = medium.</w:t>
      </w:r>
    </w:p>
    <w:p w14:paraId="3072B880" w14:textId="77777777" w:rsidR="00683194" w:rsidRDefault="00683194" w:rsidP="00683194">
      <w:pPr>
        <w:pStyle w:val="Prrafocomn"/>
        <w:ind w:firstLine="0"/>
        <w:rPr>
          <w:color w:val="000000"/>
        </w:rPr>
      </w:pPr>
    </w:p>
    <w:p w14:paraId="41C898E8" w14:textId="38227A72" w:rsidR="00683194" w:rsidRPr="00753370" w:rsidRDefault="00683194" w:rsidP="00683194">
      <w:pPr>
        <w:pStyle w:val="Prrafocomn"/>
        <w:ind w:firstLine="0"/>
        <w:rPr>
          <w:b/>
          <w:bCs/>
          <w:i/>
          <w:iCs/>
          <w:color w:val="000000"/>
        </w:rPr>
      </w:pPr>
      <w:r w:rsidRPr="00753370">
        <w:rPr>
          <w:b/>
          <w:bCs/>
          <w:i/>
          <w:iCs/>
          <w:color w:val="000000"/>
        </w:rPr>
        <w:t>Discriminant Validity</w:t>
      </w:r>
    </w:p>
    <w:p w14:paraId="238B553D" w14:textId="77777777" w:rsidR="00683194" w:rsidRDefault="0033600D" w:rsidP="00683194">
      <w:pPr>
        <w:pStyle w:val="Prrafocomn"/>
        <w:rPr>
          <w:color w:val="000000"/>
        </w:rPr>
      </w:pPr>
      <w:r w:rsidRPr="00A87E0A">
        <w:rPr>
          <w:color w:val="000000"/>
        </w:rPr>
        <w:t xml:space="preserve">To estimate the discriminant validity, the correlation coefficient </w:t>
      </w:r>
      <w:r w:rsidRPr="00A87E0A">
        <w:rPr>
          <w:i/>
          <w:color w:val="000000"/>
        </w:rPr>
        <w:t>r</w:t>
      </w:r>
      <w:r w:rsidRPr="00A87E0A">
        <w:rPr>
          <w:color w:val="000000"/>
        </w:rPr>
        <w:t xml:space="preserve"> of the BPS-G and the APS-G scores was calculated. We obtain an </w:t>
      </w:r>
      <w:r w:rsidRPr="00A87E0A">
        <w:rPr>
          <w:i/>
          <w:color w:val="000000"/>
        </w:rPr>
        <w:t>r</w:t>
      </w:r>
      <w:r w:rsidRPr="00A87E0A">
        <w:rPr>
          <w:color w:val="000000"/>
        </w:rPr>
        <w:t xml:space="preserve"> [289] = -.29, </w:t>
      </w:r>
      <w:r w:rsidRPr="00A87E0A">
        <w:rPr>
          <w:i/>
          <w:color w:val="000000"/>
        </w:rPr>
        <w:t>p</w:t>
      </w:r>
      <w:r w:rsidRPr="00A87E0A">
        <w:rPr>
          <w:color w:val="000000"/>
        </w:rPr>
        <w:t xml:space="preserve"> &lt;.01, 95% CI [-.15, -.54]; </w:t>
      </w:r>
      <w:r w:rsidRPr="00A87E0A">
        <w:rPr>
          <w:i/>
          <w:color w:val="000000"/>
        </w:rPr>
        <w:t>d</w:t>
      </w:r>
      <w:r w:rsidRPr="00A87E0A">
        <w:rPr>
          <w:color w:val="000000"/>
        </w:rPr>
        <w:t xml:space="preserve"> [effect size] = small.</w:t>
      </w:r>
    </w:p>
    <w:p w14:paraId="5D558454" w14:textId="77777777" w:rsidR="00683194" w:rsidRDefault="00683194" w:rsidP="00683194">
      <w:pPr>
        <w:pStyle w:val="Prrafocomn"/>
        <w:ind w:firstLine="0"/>
        <w:rPr>
          <w:color w:val="000000"/>
        </w:rPr>
      </w:pPr>
    </w:p>
    <w:p w14:paraId="16771D94" w14:textId="10E2BE1A" w:rsidR="00683194" w:rsidRPr="00753370" w:rsidRDefault="00683194" w:rsidP="00683194">
      <w:pPr>
        <w:pStyle w:val="Prrafocomn"/>
        <w:ind w:firstLine="0"/>
        <w:rPr>
          <w:b/>
          <w:bCs/>
          <w:i/>
          <w:iCs/>
          <w:color w:val="000000"/>
        </w:rPr>
      </w:pPr>
      <w:r w:rsidRPr="00753370">
        <w:rPr>
          <w:b/>
          <w:bCs/>
          <w:i/>
          <w:iCs/>
          <w:color w:val="000000"/>
        </w:rPr>
        <w:t>BPS-G Reliability</w:t>
      </w:r>
    </w:p>
    <w:p w14:paraId="3563C2AB" w14:textId="4707EF60" w:rsidR="0033600D" w:rsidRPr="00683194" w:rsidRDefault="0033600D" w:rsidP="00683194">
      <w:pPr>
        <w:pStyle w:val="Prrafocomn"/>
        <w:rPr>
          <w:color w:val="000000"/>
        </w:rPr>
      </w:pPr>
      <w:r w:rsidRPr="00A87E0A">
        <w:rPr>
          <w:color w:val="000000"/>
        </w:rPr>
        <w:t xml:space="preserve">The reliability coefficient </w:t>
      </w:r>
      <w:r w:rsidRPr="00A87E0A">
        <w:rPr>
          <w:i/>
          <w:color w:val="000000"/>
        </w:rPr>
        <w:t>alpha</w:t>
      </w:r>
      <w:r w:rsidRPr="00A87E0A">
        <w:rPr>
          <w:color w:val="000000"/>
        </w:rPr>
        <w:t xml:space="preserve"> of the BPS-G scores is located as “respectable” (</w:t>
      </w:r>
      <w:r w:rsidRPr="00A87E0A">
        <w:rPr>
          <w:i/>
          <w:iCs/>
          <w:color w:val="000000"/>
        </w:rPr>
        <w:t>alpha</w:t>
      </w:r>
      <w:r w:rsidRPr="00A87E0A">
        <w:rPr>
          <w:color w:val="000000"/>
        </w:rPr>
        <w:t xml:space="preserve"> = .75, according to DeVellis (2003, p. 95-96), while the construct reliability </w:t>
      </w:r>
      <w:r w:rsidRPr="00A87E0A">
        <w:rPr>
          <w:i/>
          <w:color w:val="000000"/>
        </w:rPr>
        <w:t>omega</w:t>
      </w:r>
      <w:r w:rsidRPr="00A87E0A">
        <w:rPr>
          <w:color w:val="000000"/>
        </w:rPr>
        <w:t xml:space="preserve"> was also of = .75.</w:t>
      </w:r>
    </w:p>
    <w:p w14:paraId="589B2D2A" w14:textId="77777777" w:rsidR="00E6670B" w:rsidRDefault="00E6670B" w:rsidP="00CE7D65">
      <w:pPr>
        <w:pStyle w:val="Ttulosinternos"/>
      </w:pPr>
    </w:p>
    <w:p w14:paraId="0063D64C" w14:textId="77777777" w:rsidR="00E6670B" w:rsidRDefault="00E6670B" w:rsidP="00CE7D65">
      <w:pPr>
        <w:pStyle w:val="Ttulosinternos"/>
      </w:pPr>
    </w:p>
    <w:p w14:paraId="33C0DCFC" w14:textId="77777777" w:rsidR="00E6670B" w:rsidRDefault="00E6670B" w:rsidP="00CE7D65">
      <w:pPr>
        <w:pStyle w:val="Ttulosinternos"/>
      </w:pPr>
    </w:p>
    <w:p w14:paraId="2873D6E3" w14:textId="77777777" w:rsidR="00E6670B" w:rsidRDefault="00E6670B" w:rsidP="00CE7D65">
      <w:pPr>
        <w:pStyle w:val="Ttulosinternos"/>
      </w:pPr>
    </w:p>
    <w:p w14:paraId="615D7582" w14:textId="77777777" w:rsidR="00E6670B" w:rsidRDefault="00E6670B" w:rsidP="00CE7D65">
      <w:pPr>
        <w:pStyle w:val="Ttulosinternos"/>
      </w:pPr>
    </w:p>
    <w:p w14:paraId="00700D5E" w14:textId="77777777" w:rsidR="00E6670B" w:rsidRDefault="00E6670B" w:rsidP="00CE7D65">
      <w:pPr>
        <w:pStyle w:val="Ttulosinternos"/>
      </w:pPr>
    </w:p>
    <w:p w14:paraId="220C813D" w14:textId="5971DE75" w:rsidR="00CE7D65" w:rsidRPr="00E25900" w:rsidRDefault="00CE7D65" w:rsidP="00CE7D65">
      <w:pPr>
        <w:pStyle w:val="Ttulosinternos"/>
      </w:pPr>
      <w:r w:rsidRPr="00E25900">
        <w:lastRenderedPageBreak/>
        <w:t>Discussion</w:t>
      </w:r>
    </w:p>
    <w:p w14:paraId="3F9C230C" w14:textId="77777777" w:rsidR="00C204EA" w:rsidRDefault="00C204EA" w:rsidP="00C204EA">
      <w:pPr>
        <w:pStyle w:val="Prrafocomn"/>
        <w:rPr>
          <w:color w:val="000000"/>
        </w:rPr>
      </w:pPr>
      <w:r w:rsidRPr="00A87E0A">
        <w:rPr>
          <w:color w:val="000000"/>
        </w:rPr>
        <w:t>The first hypothesis of this study was that the new patience scale would exhibit good goodness of fit and acceptable levels of alpha and omega internal consistency. According to the data, it can be said that this hypothesis is provisionally supported since the BPS-G presents good goodness of fit and acceptable levels of internal consistency. The second hypothesis stated that there would be convergent validity of the BPS-G, corroborated by its positive correlation</w:t>
      </w:r>
      <w:r w:rsidRPr="00A87E0A">
        <w:rPr>
          <w:i/>
          <w:color w:val="000000"/>
        </w:rPr>
        <w:t xml:space="preserve"> </w:t>
      </w:r>
      <w:r w:rsidRPr="00A87E0A">
        <w:rPr>
          <w:color w:val="000000"/>
        </w:rPr>
        <w:t>with the QPTF, which was found. Finally, the third hypothesis predicted that there would be discriminant validity of the BPS-G, verified through its negative correlation with the APS-G, which was also found. Regarding the magnitude of the observed correlations, they have to be interpreted in terms of the fact that the sample is relatively homogeneous (university students), and the evidence indicates that they are usually lower compared to those of heterogeneous samples (Abad et al., 2011; Pardo et al., 2010).</w:t>
      </w:r>
    </w:p>
    <w:p w14:paraId="15E18ACC" w14:textId="77777777" w:rsidR="00C204EA" w:rsidRDefault="00C204EA" w:rsidP="00C204EA">
      <w:pPr>
        <w:pStyle w:val="Prrafocomn"/>
        <w:rPr>
          <w:color w:val="000000"/>
        </w:rPr>
      </w:pPr>
      <w:r w:rsidRPr="00A87E0A">
        <w:rPr>
          <w:color w:val="000000"/>
        </w:rPr>
        <w:t xml:space="preserve">In this study, patience was theoretically defined as the interaction resulting from a desired goal and a period of waiting to achieve that goal. In terms of interbehavioral theory (Kantor &amp; Smith, 1975), the stimulus function is the goal, and the most important corresponding response function is waiting. In other words, thanks to the reactive biography (the multiplicity of interactions that have occurred in the past) of some people, reaching a goal acquires psychological meaning through what is done, such as the practice of patience, known as letting go over time (waiting), and then achieving the desired goal. Therefore, waiting would imply continuing to do something, not freezing up or feeling emptiness because waiting also probably derives from the confidence that the goal will be achieved sooner or later. The proposed measurement model was chosen in operational terms, empirically supporting this conceptualization, at least in this sample of public university students in northeastern Mexico. The final four items of the scale make explicit or implicit reference to the idea that the goal will be achieved, as long as an indeterminate time is allowed for that to happen. This is understood as a predisposition to wait a given period, as stated by the following scale items: 1) “Even if I suffer now, I know that after a while what I want will come”, 2) “The bad thing lasts only a while”, 3) “You enjoy what you want more, after waiting” and 4) “When I want something, I can wait to get it”. In this sense, these findings also support the theoretical positions that have been adduced by the temporal dimension of waiting in the conception of patience (Blount &amp; Janicik, 1999, 2000; Curry et al., 2008; Mehrabian, 1999 and Schnitker, 2012). Additionally, it can be said that at least two of the items support Schnitker's (2012) conceptualization that </w:t>
      </w:r>
      <w:r w:rsidRPr="00A87E0A">
        <w:rPr>
          <w:color w:val="000000"/>
        </w:rPr>
        <w:lastRenderedPageBreak/>
        <w:t>patience occurs in the face of suffering and/or adversity: 1) “Even if I suffer now, I know that after a while what I want will come” and 2) “The bad thing lasts only a while”.</w:t>
      </w:r>
    </w:p>
    <w:p w14:paraId="6C995437" w14:textId="77777777" w:rsidR="00D036FE" w:rsidRDefault="00C83B76" w:rsidP="00C204EA">
      <w:pPr>
        <w:pStyle w:val="Prrafocomn"/>
        <w:rPr>
          <w:color w:val="000000"/>
        </w:rPr>
      </w:pPr>
      <w:r w:rsidRPr="00C83B76">
        <w:rPr>
          <w:color w:val="0070C0"/>
        </w:rPr>
        <w:t xml:space="preserve">It is suggested </w:t>
      </w:r>
      <w:r>
        <w:rPr>
          <w:color w:val="000000"/>
        </w:rPr>
        <w:t>b</w:t>
      </w:r>
      <w:r w:rsidR="00C204EA" w:rsidRPr="00A87E0A">
        <w:rPr>
          <w:color w:val="000000"/>
        </w:rPr>
        <w:t>ased on these encouraging results on the psychometric properties of BPS-G administered to university students, further study is warranted. Study should be expanded to other psycho-sociocultural groups, such as the general population, and</w:t>
      </w:r>
      <w:r w:rsidR="00C204EA" w:rsidRPr="00A87E0A">
        <w:t xml:space="preserve"> </w:t>
      </w:r>
      <w:r w:rsidR="00C204EA" w:rsidRPr="00A87E0A">
        <w:rPr>
          <w:color w:val="000000"/>
        </w:rPr>
        <w:t xml:space="preserve">clinical population, should use factorial invariance to know if BPS-G behaves the same between women and men, in older adults and others. </w:t>
      </w:r>
    </w:p>
    <w:p w14:paraId="3EAAC800" w14:textId="2F71D8C5" w:rsidR="00501139" w:rsidRDefault="00D036FE" w:rsidP="00B32669">
      <w:pPr>
        <w:pStyle w:val="Prrafocomn"/>
        <w:rPr>
          <w:color w:val="0070C0"/>
        </w:rPr>
      </w:pPr>
      <w:r w:rsidRPr="00D036FE">
        <w:rPr>
          <w:color w:val="0070C0"/>
        </w:rPr>
        <w:t xml:space="preserve">On the other hand, </w:t>
      </w:r>
      <w:r w:rsidR="00B32669">
        <w:rPr>
          <w:color w:val="0070C0"/>
        </w:rPr>
        <w:t xml:space="preserve">among the limitations of this study, the following can be mentioned: 1) The type of self-report measure: </w:t>
      </w:r>
      <w:r w:rsidR="00C204EA" w:rsidRPr="00A87E0A">
        <w:rPr>
          <w:color w:val="000000"/>
        </w:rPr>
        <w:t xml:space="preserve">there </w:t>
      </w:r>
      <w:r w:rsidR="00B32669" w:rsidRPr="00B32669">
        <w:rPr>
          <w:color w:val="0070C0"/>
        </w:rPr>
        <w:t>exists</w:t>
      </w:r>
      <w:r w:rsidR="00C204EA" w:rsidRPr="00A87E0A">
        <w:rPr>
          <w:color w:val="000000"/>
        </w:rPr>
        <w:t xml:space="preserve"> the possibility that social desirability</w:t>
      </w:r>
      <w:r w:rsidR="007F66F2">
        <w:rPr>
          <w:color w:val="000000"/>
        </w:rPr>
        <w:t xml:space="preserve"> </w:t>
      </w:r>
      <w:r w:rsidR="007F66F2" w:rsidRPr="007F66F2">
        <w:rPr>
          <w:color w:val="0070C0"/>
        </w:rPr>
        <w:t>might</w:t>
      </w:r>
      <w:r w:rsidR="00C204EA" w:rsidRPr="00A87E0A">
        <w:rPr>
          <w:color w:val="000000"/>
        </w:rPr>
        <w:t xml:space="preserve"> has occurred</w:t>
      </w:r>
      <w:r w:rsidR="007F66F2">
        <w:rPr>
          <w:color w:val="000000"/>
        </w:rPr>
        <w:t xml:space="preserve">, </w:t>
      </w:r>
      <w:r w:rsidR="007F66F2" w:rsidRPr="007F66F2">
        <w:rPr>
          <w:color w:val="0070C0"/>
        </w:rPr>
        <w:t xml:space="preserve">due to </w:t>
      </w:r>
      <w:r w:rsidR="00C204EA" w:rsidRPr="00A87E0A">
        <w:rPr>
          <w:color w:val="000000"/>
        </w:rPr>
        <w:t xml:space="preserve">the nature of the self-report </w:t>
      </w:r>
      <w:r w:rsidR="00C204EA" w:rsidRPr="007F66F2">
        <w:rPr>
          <w:color w:val="0070C0"/>
        </w:rPr>
        <w:t>u</w:t>
      </w:r>
      <w:r w:rsidR="007F66F2" w:rsidRPr="007F66F2">
        <w:rPr>
          <w:color w:val="0070C0"/>
        </w:rPr>
        <w:t xml:space="preserve">tilized, thereby </w:t>
      </w:r>
      <w:r w:rsidR="007F66F2">
        <w:rPr>
          <w:color w:val="0070C0"/>
        </w:rPr>
        <w:t>biasing</w:t>
      </w:r>
      <w:r w:rsidR="00C204EA" w:rsidRPr="007F66F2">
        <w:rPr>
          <w:color w:val="0070C0"/>
        </w:rPr>
        <w:t xml:space="preserve"> </w:t>
      </w:r>
      <w:r w:rsidR="00C204EA" w:rsidRPr="00A87E0A">
        <w:rPr>
          <w:color w:val="000000"/>
        </w:rPr>
        <w:t xml:space="preserve">the results. </w:t>
      </w:r>
      <w:r w:rsidR="00264F47" w:rsidRPr="00264F47">
        <w:rPr>
          <w:color w:val="0070C0"/>
        </w:rPr>
        <w:t xml:space="preserve">Hence, </w:t>
      </w:r>
      <w:r w:rsidR="00C204EA" w:rsidRPr="00A87E0A">
        <w:rPr>
          <w:color w:val="000000"/>
        </w:rPr>
        <w:t xml:space="preserve">future studies should </w:t>
      </w:r>
      <w:r w:rsidR="00264F47" w:rsidRPr="00264F47">
        <w:rPr>
          <w:color w:val="0070C0"/>
        </w:rPr>
        <w:t xml:space="preserve">employ alternative </w:t>
      </w:r>
      <w:r w:rsidR="00C204EA" w:rsidRPr="00A87E0A">
        <w:rPr>
          <w:color w:val="000000"/>
        </w:rPr>
        <w:t>data</w:t>
      </w:r>
      <w:r w:rsidR="00264F47">
        <w:rPr>
          <w:color w:val="000000"/>
        </w:rPr>
        <w:t xml:space="preserve"> collection methods</w:t>
      </w:r>
      <w:r w:rsidR="00C204EA" w:rsidRPr="00A87E0A">
        <w:rPr>
          <w:color w:val="000000"/>
        </w:rPr>
        <w:t>, such as third</w:t>
      </w:r>
      <w:r w:rsidR="00264F47">
        <w:rPr>
          <w:color w:val="000000"/>
        </w:rPr>
        <w:t>-</w:t>
      </w:r>
      <w:r w:rsidR="00264F47" w:rsidRPr="00264F47">
        <w:rPr>
          <w:color w:val="0070C0"/>
        </w:rPr>
        <w:t>party</w:t>
      </w:r>
      <w:r w:rsidR="00C204EA" w:rsidRPr="00A87E0A">
        <w:rPr>
          <w:color w:val="000000"/>
        </w:rPr>
        <w:t xml:space="preserve"> </w:t>
      </w:r>
      <w:r w:rsidR="00264F47">
        <w:rPr>
          <w:color w:val="000000"/>
        </w:rPr>
        <w:t xml:space="preserve">judgments concerning </w:t>
      </w:r>
      <w:r w:rsidR="00C204EA" w:rsidRPr="00A87E0A">
        <w:rPr>
          <w:color w:val="000000"/>
        </w:rPr>
        <w:t>participants</w:t>
      </w:r>
      <w:r w:rsidR="00264F47">
        <w:rPr>
          <w:color w:val="000000"/>
        </w:rPr>
        <w:t xml:space="preserve">, </w:t>
      </w:r>
      <w:r w:rsidR="00264F47" w:rsidRPr="00264F47">
        <w:rPr>
          <w:color w:val="0070C0"/>
        </w:rPr>
        <w:t xml:space="preserve">and develop pencil-and-paper instrument </w:t>
      </w:r>
      <w:r w:rsidR="00264F47" w:rsidRPr="00B40160">
        <w:rPr>
          <w:color w:val="0070C0"/>
        </w:rPr>
        <w:t xml:space="preserve">research. </w:t>
      </w:r>
      <w:r w:rsidR="00B40160" w:rsidRPr="00B40160">
        <w:rPr>
          <w:color w:val="0070C0"/>
        </w:rPr>
        <w:t xml:space="preserve">2) </w:t>
      </w:r>
      <w:r w:rsidR="00D86D10">
        <w:rPr>
          <w:color w:val="0070C0"/>
        </w:rPr>
        <w:t xml:space="preserve">Sample representativeness: the sample size does not allow for the generalization of results, along with the incidental online sampling utilized, prompting caution regarding the generalization of population parameters. 3) </w:t>
      </w:r>
      <w:r w:rsidR="001D11CC">
        <w:rPr>
          <w:color w:val="0070C0"/>
        </w:rPr>
        <w:t xml:space="preserve">The lack of objective measures of patience: </w:t>
      </w:r>
      <w:r w:rsidR="00FB4D9E">
        <w:rPr>
          <w:color w:val="0070C0"/>
        </w:rPr>
        <w:t xml:space="preserve">although it could be considered a limitation, the development of a new instrument would constitute a contribution to the scientific, academic, </w:t>
      </w:r>
      <w:r w:rsidR="004C56C8">
        <w:rPr>
          <w:color w:val="0070C0"/>
        </w:rPr>
        <w:t>and clinical community focused on these topics.</w:t>
      </w:r>
    </w:p>
    <w:p w14:paraId="5700FB78" w14:textId="479C24B6" w:rsidR="00501139" w:rsidRDefault="004E16CB" w:rsidP="00B32669">
      <w:pPr>
        <w:pStyle w:val="Prrafocomn"/>
        <w:rPr>
          <w:color w:val="000000"/>
        </w:rPr>
      </w:pPr>
      <w:r w:rsidRPr="00941F9F">
        <w:rPr>
          <w:color w:val="0070C0"/>
          <w:highlight w:val="yellow"/>
        </w:rPr>
        <w:t xml:space="preserve">It is worth noting that, there is a need for more scales </w:t>
      </w:r>
      <w:r w:rsidR="00EF5B3A" w:rsidRPr="00941F9F">
        <w:rPr>
          <w:color w:val="0070C0"/>
          <w:highlight w:val="yellow"/>
        </w:rPr>
        <w:t xml:space="preserve">measuring positive variables, </w:t>
      </w:r>
      <w:r w:rsidR="009F20A2" w:rsidRPr="00941F9F">
        <w:rPr>
          <w:color w:val="0070C0"/>
          <w:highlight w:val="yellow"/>
        </w:rPr>
        <w:t xml:space="preserve">especially in Latin America. Clinical practice and research could be significantly enhanced by having valid and reliable psychological </w:t>
      </w:r>
      <w:r w:rsidR="00F87D2B" w:rsidRPr="00941F9F">
        <w:rPr>
          <w:color w:val="0070C0"/>
          <w:highlight w:val="yellow"/>
        </w:rPr>
        <w:t xml:space="preserve">instruments that also measure positive human characteristics. The studies on patience have gained significance in research over the last decade, </w:t>
      </w:r>
      <w:r w:rsidR="000D5BCF">
        <w:rPr>
          <w:color w:val="0070C0"/>
          <w:highlight w:val="yellow"/>
        </w:rPr>
        <w:t xml:space="preserve">serving as a clinical indicator of psychological health. Furthermore, at the international, regional, </w:t>
      </w:r>
      <w:r w:rsidR="00F87D2B" w:rsidRPr="00941F9F">
        <w:rPr>
          <w:color w:val="0070C0"/>
          <w:highlight w:val="yellow"/>
        </w:rPr>
        <w:t xml:space="preserve">and local level, it would be possible to expand patience studies by collaborating with researchers from other relevant disciplines and conducting joint efforts across countries to understand how this </w:t>
      </w:r>
      <w:r w:rsidR="00AA007A" w:rsidRPr="00941F9F">
        <w:rPr>
          <w:color w:val="0070C0"/>
          <w:highlight w:val="yellow"/>
        </w:rPr>
        <w:t>variable</w:t>
      </w:r>
      <w:r w:rsidR="00F87D2B" w:rsidRPr="00941F9F">
        <w:rPr>
          <w:color w:val="0070C0"/>
          <w:highlight w:val="yellow"/>
        </w:rPr>
        <w:t xml:space="preserve"> behaves in different </w:t>
      </w:r>
      <w:r w:rsidR="00941F9F" w:rsidRPr="00941F9F">
        <w:rPr>
          <w:color w:val="0070C0"/>
          <w:highlight w:val="yellow"/>
        </w:rPr>
        <w:t xml:space="preserve">contexts and in relation to other study variables. </w:t>
      </w:r>
      <w:r w:rsidR="00383632">
        <w:rPr>
          <w:color w:val="0070C0"/>
          <w:highlight w:val="yellow"/>
        </w:rPr>
        <w:t>Additionally</w:t>
      </w:r>
      <w:r w:rsidR="00941F9F" w:rsidRPr="00941F9F">
        <w:rPr>
          <w:color w:val="0070C0"/>
          <w:highlight w:val="yellow"/>
        </w:rPr>
        <w:t>, promoting intervention programs in patience could be facilitated by having scales that measure the effectiveness of interventions in this area.</w:t>
      </w:r>
    </w:p>
    <w:p w14:paraId="6AA80973" w14:textId="38C775DA" w:rsidR="00597392" w:rsidRPr="00B32669" w:rsidRDefault="00C204EA" w:rsidP="00B32669">
      <w:pPr>
        <w:pStyle w:val="Prrafocomn"/>
        <w:rPr>
          <w:color w:val="0070C0"/>
        </w:rPr>
      </w:pPr>
      <w:r w:rsidRPr="00A87E0A">
        <w:rPr>
          <w:color w:val="000000"/>
        </w:rPr>
        <w:t xml:space="preserve"> In conclusion the Brief Patience-G Scale has good psychometric properties, and its use is recommended for Spanish-speaking university students</w:t>
      </w:r>
      <w:r w:rsidR="00597392">
        <w:rPr>
          <w:color w:val="000000"/>
        </w:rPr>
        <w:t>.</w:t>
      </w:r>
    </w:p>
    <w:p w14:paraId="13FA8237" w14:textId="2E07572C" w:rsidR="007E3B8D" w:rsidRPr="002C3A8D" w:rsidRDefault="007E3B8D" w:rsidP="00C204EA">
      <w:pPr>
        <w:pStyle w:val="Prrafocomn"/>
      </w:pPr>
      <w:r w:rsidRPr="00E25900">
        <w:br w:type="page"/>
      </w:r>
    </w:p>
    <w:p w14:paraId="6CD8B4A8" w14:textId="34F0BCF8" w:rsidR="006F7E7E" w:rsidRPr="00303B41" w:rsidRDefault="00CE7D65" w:rsidP="007A7CDC">
      <w:pPr>
        <w:pStyle w:val="Ttulosinternos"/>
        <w:rPr>
          <w:lang w:val="es-CO"/>
        </w:rPr>
      </w:pPr>
      <w:r w:rsidRPr="00303B41">
        <w:rPr>
          <w:lang w:val="es-CO"/>
        </w:rPr>
        <w:lastRenderedPageBreak/>
        <w:t>References</w:t>
      </w:r>
    </w:p>
    <w:p w14:paraId="56D79893" w14:textId="77777777" w:rsidR="00DF1FBD" w:rsidRPr="00C04065" w:rsidRDefault="00DF1FBD" w:rsidP="00DF1FBD">
      <w:pPr>
        <w:ind w:left="720" w:hanging="720"/>
        <w:jc w:val="both"/>
        <w:rPr>
          <w:lang w:val="es-CO"/>
        </w:rPr>
      </w:pPr>
      <w:r w:rsidRPr="00842485">
        <w:rPr>
          <w:lang w:val="es-CO"/>
        </w:rPr>
        <w:t xml:space="preserve">Abad, F. J., Olea, J., Ponsoda, V., &amp; García, C. (2011). </w:t>
      </w:r>
      <w:r w:rsidRPr="00A87E0A">
        <w:rPr>
          <w:i/>
          <w:iCs/>
          <w:lang w:val="es-MX"/>
        </w:rPr>
        <w:t>Medición en ciencias sociales y de la salud</w:t>
      </w:r>
      <w:r w:rsidRPr="00A87E0A">
        <w:rPr>
          <w:lang w:val="es-MX"/>
        </w:rPr>
        <w:t xml:space="preserve"> [</w:t>
      </w:r>
      <w:r w:rsidRPr="00C04065">
        <w:rPr>
          <w:lang w:val="es-MX"/>
        </w:rPr>
        <w:t>Measurement in social and health sciences]. Síntesis.</w:t>
      </w:r>
    </w:p>
    <w:p w14:paraId="037F7CD5" w14:textId="77777777" w:rsidR="00EF5757" w:rsidRPr="001B4694" w:rsidRDefault="00EF5757" w:rsidP="00EF5757">
      <w:pPr>
        <w:ind w:left="720" w:hanging="720"/>
        <w:jc w:val="both"/>
        <w:rPr>
          <w:lang w:val="en-US"/>
        </w:rPr>
      </w:pPr>
      <w:r w:rsidRPr="003A12A3">
        <w:rPr>
          <w:color w:val="0070C0"/>
          <w:lang w:val="en-US"/>
        </w:rPr>
        <w:t xml:space="preserve">American Educational Research Association, American Psychological Association, &amp; National Council on Measurement in Education. </w:t>
      </w:r>
      <w:r w:rsidRPr="003A12A3">
        <w:rPr>
          <w:color w:val="0070C0"/>
        </w:rPr>
        <w:t xml:space="preserve">(2018). </w:t>
      </w:r>
      <w:r w:rsidRPr="006D19FF">
        <w:rPr>
          <w:i/>
          <w:iCs/>
          <w:color w:val="0070C0"/>
        </w:rPr>
        <w:t>Estándares para pruebas educativas y psicológicas</w:t>
      </w:r>
      <w:r w:rsidRPr="003A12A3">
        <w:rPr>
          <w:color w:val="0070C0"/>
        </w:rPr>
        <w:t xml:space="preserve"> (M. Lieve, Trans.). Washington, DC: American Educational Research Association. </w:t>
      </w:r>
      <w:r w:rsidRPr="003A12A3">
        <w:rPr>
          <w:color w:val="0070C0"/>
          <w:lang w:val="en-US"/>
        </w:rPr>
        <w:t>(Original work published 2014). chrome-</w:t>
      </w:r>
      <w:r w:rsidRPr="00C93CCF">
        <w:rPr>
          <w:color w:val="0070C0"/>
          <w:sz w:val="16"/>
          <w:szCs w:val="16"/>
          <w:lang w:val="en-US"/>
        </w:rPr>
        <w:t>extension://efaidnbmnnnibpcajpcglclefindmkaj/https://www.testingstandards.net/uploads/7/6/6/4/76643089/9780935302745_web.pdf</w:t>
      </w:r>
    </w:p>
    <w:p w14:paraId="02DD8BAD" w14:textId="055674CE" w:rsidR="00DF1FBD" w:rsidRPr="00C04065" w:rsidRDefault="00DF1FBD" w:rsidP="00DF1FBD">
      <w:pPr>
        <w:ind w:left="720" w:hanging="720"/>
        <w:jc w:val="both"/>
        <w:rPr>
          <w:lang w:val="en-US"/>
        </w:rPr>
      </w:pPr>
      <w:r w:rsidRPr="00C04065">
        <w:rPr>
          <w:lang w:val="es-MX"/>
        </w:rPr>
        <w:t xml:space="preserve">Ato, M., López, J. J., &amp; Benavente, A. (2013). Un sistema de clasificación de los diseños de </w:t>
      </w:r>
      <w:r w:rsidRPr="00C04065">
        <w:rPr>
          <w:lang w:val="es-CO"/>
        </w:rPr>
        <w:t xml:space="preserve">investigación en psicología [A classification system for research designs in psychology]. </w:t>
      </w:r>
      <w:r w:rsidRPr="00C04065">
        <w:rPr>
          <w:i/>
          <w:iCs/>
          <w:lang w:val="en-US"/>
        </w:rPr>
        <w:t>Anales de Psicología, 29</w:t>
      </w:r>
      <w:r w:rsidRPr="00C04065">
        <w:rPr>
          <w:lang w:val="en-US"/>
        </w:rPr>
        <w:t>(3), 1038-1059. doi:10.6018/analesps.29.3.178511.</w:t>
      </w:r>
    </w:p>
    <w:p w14:paraId="14C2F2C8" w14:textId="77777777" w:rsidR="00DF1FBD" w:rsidRPr="00C04065" w:rsidRDefault="00DF1FBD" w:rsidP="00DF1FBD">
      <w:pPr>
        <w:ind w:left="720" w:hanging="720"/>
        <w:jc w:val="both"/>
        <w:rPr>
          <w:lang w:val="en-US"/>
        </w:rPr>
      </w:pPr>
      <w:r w:rsidRPr="00C04065">
        <w:rPr>
          <w:lang w:val="en-US"/>
        </w:rPr>
        <w:t xml:space="preserve">Azizi Ziabari, L. S., Valikhani, A., Abouata-Amlashi, M., &amp; Ireland, M. (2019). Patience mediates the relationship between mindfulness and pain in patients with cardiovascular diseases. </w:t>
      </w:r>
      <w:r w:rsidRPr="00C04065">
        <w:rPr>
          <w:i/>
          <w:iCs/>
          <w:lang w:val="en-US"/>
        </w:rPr>
        <w:t>Mental Health, Religion &amp; Culture, 22</w:t>
      </w:r>
      <w:r w:rsidRPr="00C04065">
        <w:rPr>
          <w:lang w:val="en-US"/>
        </w:rPr>
        <w:t>(3), 319-329. doi: 10.1080/13674676.2019.1622518</w:t>
      </w:r>
    </w:p>
    <w:p w14:paraId="2A1282D5" w14:textId="3B8362DD" w:rsidR="00DF1FBD" w:rsidRPr="00C04065" w:rsidRDefault="00DF1FBD" w:rsidP="00DF1FBD">
      <w:pPr>
        <w:ind w:left="720" w:hanging="720"/>
        <w:jc w:val="both"/>
        <w:rPr>
          <w:lang w:val="en-US"/>
        </w:rPr>
      </w:pPr>
      <w:r w:rsidRPr="00C04065">
        <w:rPr>
          <w:lang w:val="en-US"/>
        </w:rPr>
        <w:t xml:space="preserve">Baumgartner, H., &amp; Hombur, C. (1996). Applications of structural equation modeling in marketing and consumer research: A review. </w:t>
      </w:r>
      <w:r w:rsidRPr="00C04065">
        <w:rPr>
          <w:i/>
          <w:iCs/>
          <w:lang w:val="en-US"/>
        </w:rPr>
        <w:t>International Journal of Research in Marketing, 13</w:t>
      </w:r>
      <w:r w:rsidRPr="00C04065">
        <w:rPr>
          <w:lang w:val="en-US"/>
        </w:rPr>
        <w:t xml:space="preserve">, 139-161. </w:t>
      </w:r>
      <w:hyperlink r:id="rId14" w:history="1">
        <w:r w:rsidRPr="00C04065">
          <w:rPr>
            <w:rStyle w:val="Hipervnculo"/>
            <w:color w:val="auto"/>
            <w:u w:val="none"/>
            <w:lang w:val="en-US"/>
          </w:rPr>
          <w:t>https://doi.org/10.1016/0167-8116(95)00038-0</w:t>
        </w:r>
      </w:hyperlink>
    </w:p>
    <w:p w14:paraId="15FD473C" w14:textId="77777777" w:rsidR="00DF1FBD" w:rsidRPr="00C04065" w:rsidRDefault="00DF1FBD" w:rsidP="00DF1FBD">
      <w:pPr>
        <w:ind w:left="720" w:hanging="720"/>
        <w:jc w:val="both"/>
        <w:rPr>
          <w:lang w:val="en-US"/>
        </w:rPr>
      </w:pPr>
      <w:r w:rsidRPr="00C04065">
        <w:rPr>
          <w:lang w:val="en-US"/>
        </w:rPr>
        <w:t xml:space="preserve">Blount, S., &amp; Janicik, G. A. (1999). </w:t>
      </w:r>
      <w:r w:rsidRPr="00C04065">
        <w:rPr>
          <w:i/>
          <w:iCs/>
          <w:lang w:val="en-US"/>
        </w:rPr>
        <w:t>Comparing social accounts of patience and impatience</w:t>
      </w:r>
      <w:r w:rsidRPr="00C04065">
        <w:rPr>
          <w:lang w:val="en-US"/>
        </w:rPr>
        <w:t>. Manuscrito inédito, University of Chicago.</w:t>
      </w:r>
    </w:p>
    <w:p w14:paraId="03951CF7" w14:textId="77777777" w:rsidR="00DF1FBD" w:rsidRPr="00C04065" w:rsidRDefault="00DF1FBD" w:rsidP="00DF1FBD">
      <w:pPr>
        <w:ind w:left="720" w:hanging="720"/>
        <w:jc w:val="both"/>
        <w:rPr>
          <w:lang w:val="en-US"/>
        </w:rPr>
      </w:pPr>
      <w:r w:rsidRPr="00C04065">
        <w:rPr>
          <w:lang w:val="en-US"/>
        </w:rPr>
        <w:t xml:space="preserve">Blount, S., &amp; Janicik, G. A. (2000). </w:t>
      </w:r>
      <w:r w:rsidRPr="00C04065">
        <w:rPr>
          <w:i/>
          <w:iCs/>
          <w:lang w:val="en-US"/>
        </w:rPr>
        <w:t>What makes us patient? The role of emotion in sociotemporal evaluation</w:t>
      </w:r>
      <w:r w:rsidRPr="00C04065">
        <w:rPr>
          <w:lang w:val="en-US"/>
        </w:rPr>
        <w:t>. Manuscrito inédito, University of Chicago.</w:t>
      </w:r>
    </w:p>
    <w:p w14:paraId="37D28110" w14:textId="77777777" w:rsidR="00DF1FBD" w:rsidRPr="00303B41" w:rsidRDefault="00DF1FBD" w:rsidP="00DF1FBD">
      <w:pPr>
        <w:ind w:left="720" w:hanging="720"/>
        <w:jc w:val="both"/>
        <w:rPr>
          <w:lang w:val="es-CO"/>
        </w:rPr>
      </w:pPr>
      <w:r w:rsidRPr="00C04065">
        <w:rPr>
          <w:lang w:val="en-US"/>
        </w:rPr>
        <w:t xml:space="preserve">Brislin, R. W. (1986). The wording and translation of research instruments. En W. J. Lonner &amp; W. Berry (Eds.), </w:t>
      </w:r>
      <w:r w:rsidRPr="00C04065">
        <w:rPr>
          <w:i/>
          <w:iCs/>
          <w:lang w:val="en-US"/>
        </w:rPr>
        <w:t>Field methods in cross-cultural research</w:t>
      </w:r>
      <w:r w:rsidRPr="00C04065">
        <w:rPr>
          <w:lang w:val="en-US"/>
        </w:rPr>
        <w:t xml:space="preserve"> (pp. 137-164). </w:t>
      </w:r>
      <w:r w:rsidRPr="00C04065">
        <w:t>SAGE.</w:t>
      </w:r>
    </w:p>
    <w:p w14:paraId="0E532AD5" w14:textId="77777777" w:rsidR="00DF1FBD" w:rsidRPr="00C04065" w:rsidRDefault="00DF1FBD" w:rsidP="00DF1FBD">
      <w:pPr>
        <w:ind w:left="720" w:hanging="720"/>
        <w:jc w:val="both"/>
        <w:rPr>
          <w:lang w:val="en-US"/>
        </w:rPr>
      </w:pPr>
      <w:r w:rsidRPr="00C04065">
        <w:rPr>
          <w:lang w:val="es-MX"/>
        </w:rPr>
        <w:t xml:space="preserve">Caycho-Rodríguez, T. (2017). Tamaño del efecto e intervalos de confianza para correlaciones: aportes a Montes Hidalgo y Tomás-Sábado [Effect size and confidence intervals for correlations: Contributions to Montes Hidalgo y Tomás-Sábado]. </w:t>
      </w:r>
      <w:r w:rsidRPr="00C04065">
        <w:rPr>
          <w:i/>
          <w:iCs/>
          <w:lang w:val="en-US"/>
        </w:rPr>
        <w:t>Enfermería Clínica, 27</w:t>
      </w:r>
      <w:r w:rsidRPr="00C04065">
        <w:rPr>
          <w:lang w:val="en-US"/>
        </w:rPr>
        <w:t>(5), 331-332. doi: 10.1016/j.enfcli.2017.07.001</w:t>
      </w:r>
    </w:p>
    <w:p w14:paraId="22042602" w14:textId="77777777" w:rsidR="00DF1FBD" w:rsidRPr="00C04065" w:rsidRDefault="00DF1FBD" w:rsidP="00DF1FBD">
      <w:pPr>
        <w:ind w:left="720" w:hanging="720"/>
        <w:jc w:val="both"/>
        <w:rPr>
          <w:lang w:val="en-US"/>
        </w:rPr>
      </w:pPr>
      <w:r w:rsidRPr="00C04065">
        <w:rPr>
          <w:lang w:val="en-US"/>
        </w:rPr>
        <w:t xml:space="preserve">Cronbach, L. J. (1951). Coefficient alpha and the internal Structure of tests. </w:t>
      </w:r>
      <w:r w:rsidRPr="00C04065">
        <w:rPr>
          <w:i/>
          <w:iCs/>
          <w:lang w:val="en-US"/>
        </w:rPr>
        <w:t>Psychometrika,</w:t>
      </w:r>
      <w:r w:rsidRPr="00C04065">
        <w:rPr>
          <w:lang w:val="en-US"/>
        </w:rPr>
        <w:t xml:space="preserve"> </w:t>
      </w:r>
      <w:r w:rsidRPr="00C04065">
        <w:rPr>
          <w:i/>
          <w:iCs/>
          <w:lang w:val="en-US"/>
        </w:rPr>
        <w:t>16</w:t>
      </w:r>
      <w:r w:rsidRPr="00C04065">
        <w:rPr>
          <w:lang w:val="en-US"/>
        </w:rPr>
        <w:t>(3), 297-334. doi:10.1007/BF02310555</w:t>
      </w:r>
    </w:p>
    <w:p w14:paraId="74AB0186" w14:textId="77777777" w:rsidR="00DF1FBD" w:rsidRPr="00C04065" w:rsidRDefault="00DF1FBD" w:rsidP="00DF1FBD">
      <w:pPr>
        <w:ind w:left="720" w:hanging="720"/>
        <w:jc w:val="both"/>
        <w:rPr>
          <w:lang w:val="en-US"/>
        </w:rPr>
      </w:pPr>
      <w:r w:rsidRPr="00C04065">
        <w:rPr>
          <w:lang w:val="en-US"/>
        </w:rPr>
        <w:t xml:space="preserve">Curry, O. S., Price, M. E., &amp; Price, J. G. (2008). Patience is a virtue: Cooperative people have lower discount rates. </w:t>
      </w:r>
      <w:r w:rsidRPr="00C04065">
        <w:rPr>
          <w:i/>
          <w:iCs/>
          <w:lang w:val="en-US"/>
        </w:rPr>
        <w:t>Personality and Individual Differences, 44</w:t>
      </w:r>
      <w:r w:rsidRPr="00C04065">
        <w:rPr>
          <w:lang w:val="en-US"/>
        </w:rPr>
        <w:t>(3), 780-785. doi: 10.1016/j.paid.2007.09.023</w:t>
      </w:r>
      <w:bookmarkStart w:id="12" w:name="_Hlk120874927"/>
    </w:p>
    <w:p w14:paraId="0F3D2D9B" w14:textId="77777777" w:rsidR="00DF1FBD" w:rsidRPr="00C04065" w:rsidRDefault="00DF1FBD" w:rsidP="00DF1FBD">
      <w:pPr>
        <w:ind w:left="720" w:hanging="720"/>
        <w:jc w:val="both"/>
        <w:rPr>
          <w:lang w:val="en-US"/>
        </w:rPr>
      </w:pPr>
      <w:r w:rsidRPr="00C04065">
        <w:rPr>
          <w:lang w:val="en-US"/>
        </w:rPr>
        <w:t xml:space="preserve">Deng, J. J., &amp; Li, T. (2016). Development and validation of the Buddhist Patience Questionnaire. </w:t>
      </w:r>
      <w:r w:rsidRPr="00C04065">
        <w:rPr>
          <w:i/>
          <w:iCs/>
          <w:lang w:val="en-US"/>
        </w:rPr>
        <w:t>Mental Health, Religion &amp; Culture, 19</w:t>
      </w:r>
      <w:r w:rsidRPr="00C04065">
        <w:rPr>
          <w:lang w:val="en-US"/>
        </w:rPr>
        <w:t>(8), 807-817. doi: 10.1080/13674676.2016.1266473</w:t>
      </w:r>
      <w:bookmarkEnd w:id="12"/>
    </w:p>
    <w:p w14:paraId="1DB27B28" w14:textId="77777777" w:rsidR="00DF1FBD" w:rsidRPr="00C04065" w:rsidRDefault="00DF1FBD" w:rsidP="00DF1FBD">
      <w:pPr>
        <w:ind w:left="720" w:hanging="720"/>
        <w:jc w:val="both"/>
        <w:rPr>
          <w:lang w:val="en-US"/>
        </w:rPr>
      </w:pPr>
      <w:r w:rsidRPr="00C04065">
        <w:rPr>
          <w:lang w:val="en-US"/>
        </w:rPr>
        <w:t xml:space="preserve">Eliüşük, A., &amp; Arslan, C. (2017). Investigation of Patience Tendency Levels in Terms of Self-determination, Self-compassion and Personality Features. </w:t>
      </w:r>
      <w:r w:rsidRPr="00C04065">
        <w:rPr>
          <w:i/>
          <w:iCs/>
          <w:lang w:val="en-US"/>
        </w:rPr>
        <w:t>Universal Journal of Educational Research, 5</w:t>
      </w:r>
      <w:r w:rsidRPr="00C04065">
        <w:rPr>
          <w:lang w:val="en-US"/>
        </w:rPr>
        <w:t>(9), 1632-1645. doi: 10.13189/ujer.2017.050921</w:t>
      </w:r>
    </w:p>
    <w:p w14:paraId="6AA84FAA" w14:textId="77777777" w:rsidR="00DF1FBD" w:rsidRPr="00C04065" w:rsidRDefault="00DF1FBD" w:rsidP="00DF1FBD">
      <w:pPr>
        <w:ind w:left="720" w:hanging="720"/>
        <w:jc w:val="both"/>
        <w:rPr>
          <w:lang w:val="es-CO"/>
        </w:rPr>
      </w:pPr>
      <w:r w:rsidRPr="00C04065">
        <w:rPr>
          <w:lang w:val="en-US"/>
        </w:rPr>
        <w:t xml:space="preserve">Ferguson, C. J. (2016). An effect size primer: A guide for clinicians and researchers. In A. E. Kazdin (Ed.), </w:t>
      </w:r>
      <w:r w:rsidRPr="00C04065">
        <w:rPr>
          <w:i/>
          <w:iCs/>
          <w:lang w:val="en-US"/>
        </w:rPr>
        <w:t>Methodological issues and strategies in clinical research</w:t>
      </w:r>
      <w:r w:rsidRPr="00C04065">
        <w:rPr>
          <w:lang w:val="en-US"/>
        </w:rPr>
        <w:t xml:space="preserve"> (pp. 301-310. </w:t>
      </w:r>
      <w:r w:rsidRPr="00C04065">
        <w:t>American Psychological Association. doi: 10.1037/14805-020</w:t>
      </w:r>
    </w:p>
    <w:p w14:paraId="1B732A12" w14:textId="77777777" w:rsidR="00DF1FBD" w:rsidRPr="00C04065" w:rsidRDefault="00DF1FBD" w:rsidP="00DF1FBD">
      <w:pPr>
        <w:ind w:left="720" w:hanging="720"/>
        <w:jc w:val="both"/>
        <w:rPr>
          <w:lang w:val="en-US"/>
        </w:rPr>
      </w:pPr>
      <w:r w:rsidRPr="00C04065">
        <w:rPr>
          <w:lang w:val="es-MX"/>
        </w:rPr>
        <w:t xml:space="preserve">García-Cadena, C. H., Daniel-González, L., Valle de la O, A., Caycho-Rodríguez, </w:t>
      </w:r>
      <w:r w:rsidRPr="00C04065">
        <w:t xml:space="preserve">T., &amp; Téllez López, A. (2018). </w:t>
      </w:r>
      <w:r w:rsidRPr="00C04065">
        <w:rPr>
          <w:lang w:val="en-US"/>
        </w:rPr>
        <w:t xml:space="preserve">Construct validity of a new scale for assessing anger proneness (APS-G). </w:t>
      </w:r>
      <w:r w:rsidRPr="00C04065">
        <w:rPr>
          <w:i/>
          <w:iCs/>
          <w:lang w:val="en-US"/>
        </w:rPr>
        <w:t>Salud Mental, 41</w:t>
      </w:r>
      <w:r w:rsidRPr="00C04065">
        <w:rPr>
          <w:lang w:val="en-US"/>
        </w:rPr>
        <w:t>(5), 229-236. doi: 10.17711/SM.0185-3325.2018.034</w:t>
      </w:r>
    </w:p>
    <w:p w14:paraId="5B979135" w14:textId="77777777" w:rsidR="00DF1FBD" w:rsidRPr="00C04065" w:rsidRDefault="00DF1FBD" w:rsidP="00DF1FBD">
      <w:pPr>
        <w:ind w:left="720" w:hanging="720"/>
        <w:jc w:val="both"/>
        <w:rPr>
          <w:lang w:val="en-US"/>
        </w:rPr>
      </w:pPr>
      <w:r w:rsidRPr="00C04065">
        <w:rPr>
          <w:lang w:val="en-US"/>
        </w:rPr>
        <w:t xml:space="preserve">IAAP &amp; IUPsyS (2008). Universal Declaration of Ethical Principles for Psychologists. Available from the International Union of Psychological Science Web site: </w:t>
      </w:r>
      <w:hyperlink r:id="rId15" w:history="1">
        <w:r w:rsidRPr="00C04065">
          <w:rPr>
            <w:rStyle w:val="Hipervnculo"/>
            <w:color w:val="auto"/>
            <w:u w:val="none"/>
            <w:lang w:val="en-US"/>
          </w:rPr>
          <w:t>https://www.iupsys.net/about/governance/universal-declaration-of-ethical-principles-for-psychologists.html</w:t>
        </w:r>
      </w:hyperlink>
    </w:p>
    <w:p w14:paraId="4B54649D" w14:textId="77777777" w:rsidR="00DF1FBD" w:rsidRPr="00C04065" w:rsidRDefault="00DF1FBD" w:rsidP="00DF1FBD">
      <w:pPr>
        <w:ind w:left="720" w:hanging="720"/>
        <w:jc w:val="both"/>
        <w:rPr>
          <w:lang w:val="en-US"/>
        </w:rPr>
      </w:pPr>
      <w:r w:rsidRPr="00C04065">
        <w:rPr>
          <w:lang w:val="en-US"/>
        </w:rPr>
        <w:t xml:space="preserve">Kantor, J. R., &amp; Smith, N. W. (1975). </w:t>
      </w:r>
      <w:r w:rsidRPr="00C04065">
        <w:rPr>
          <w:i/>
          <w:iCs/>
          <w:lang w:val="en-US"/>
        </w:rPr>
        <w:t>The Science of Psychology: An Interbehavioral Survey</w:t>
      </w:r>
      <w:r w:rsidRPr="00C04065">
        <w:rPr>
          <w:lang w:val="en-US"/>
        </w:rPr>
        <w:t>. Principia Press.</w:t>
      </w:r>
    </w:p>
    <w:p w14:paraId="58C7342A" w14:textId="77777777" w:rsidR="00DF1FBD" w:rsidRPr="00C04065" w:rsidRDefault="00DF1FBD" w:rsidP="00DF1FBD">
      <w:pPr>
        <w:ind w:left="720" w:hanging="720"/>
        <w:jc w:val="both"/>
        <w:rPr>
          <w:lang w:val="en-US"/>
        </w:rPr>
      </w:pPr>
      <w:r w:rsidRPr="00C04065">
        <w:rPr>
          <w:lang w:val="en-US"/>
        </w:rPr>
        <w:t xml:space="preserve">Khormaei, F., Farmani, A., &amp; Soltani, E. (2014a). The Patience Scale: Instrument development and estimates of psychometric properties. </w:t>
      </w:r>
      <w:r w:rsidRPr="00C04065">
        <w:rPr>
          <w:i/>
          <w:iCs/>
          <w:lang w:val="en-US"/>
        </w:rPr>
        <w:t>Educational Measurement, 5</w:t>
      </w:r>
      <w:r w:rsidRPr="00C04065">
        <w:rPr>
          <w:lang w:val="en-US"/>
        </w:rPr>
        <w:t xml:space="preserve">(17), 50-67. </w:t>
      </w:r>
      <w:hyperlink r:id="rId16" w:history="1">
        <w:r w:rsidRPr="00C04065">
          <w:rPr>
            <w:lang w:val="en-US"/>
          </w:rPr>
          <w:t>https://doi.org/10.22054/jem.2015.324</w:t>
        </w:r>
      </w:hyperlink>
    </w:p>
    <w:p w14:paraId="033C348B" w14:textId="2C76FF03" w:rsidR="00DF1FBD" w:rsidRPr="00C04065" w:rsidRDefault="00DF1FBD" w:rsidP="00DF1FBD">
      <w:pPr>
        <w:ind w:left="720" w:hanging="720"/>
        <w:jc w:val="both"/>
        <w:rPr>
          <w:lang w:val="en-US"/>
        </w:rPr>
      </w:pPr>
      <w:r w:rsidRPr="00C04065">
        <w:rPr>
          <w:lang w:val="en-US"/>
        </w:rPr>
        <w:t xml:space="preserve">Khormaie, F., Farmani, A., &amp; Soltani, E. (2014b). Investigating the Prediction Role of Patience as a Moral Construct and Personality Characteristics in the Hopelessness of University Students. </w:t>
      </w:r>
      <w:r w:rsidRPr="00C04065">
        <w:rPr>
          <w:i/>
          <w:iCs/>
          <w:lang w:val="en-US"/>
        </w:rPr>
        <w:t>Medical Ethics Journal, 8</w:t>
      </w:r>
      <w:r w:rsidRPr="00C04065">
        <w:rPr>
          <w:lang w:val="en-US"/>
        </w:rPr>
        <w:t xml:space="preserve">(28), 167-199. </w:t>
      </w:r>
      <w:hyperlink r:id="rId17" w:history="1">
        <w:r w:rsidRPr="00C04065">
          <w:rPr>
            <w:rStyle w:val="Hipervnculo"/>
            <w:color w:val="auto"/>
            <w:u w:val="none"/>
            <w:lang w:val="en-US"/>
          </w:rPr>
          <w:t>https://api.semanticscholar.org/CorpusID:147013782</w:t>
        </w:r>
      </w:hyperlink>
    </w:p>
    <w:p w14:paraId="4919A5E6" w14:textId="77777777" w:rsidR="00381FF4" w:rsidRPr="00D24ED0" w:rsidRDefault="00381FF4" w:rsidP="00381FF4">
      <w:pPr>
        <w:ind w:left="720" w:hanging="720"/>
        <w:jc w:val="both"/>
        <w:rPr>
          <w:color w:val="0070C0"/>
          <w:lang w:val="en-US"/>
        </w:rPr>
      </w:pPr>
      <w:r w:rsidRPr="008D7599">
        <w:rPr>
          <w:color w:val="0070C0"/>
          <w:lang w:val="en-US"/>
        </w:rPr>
        <w:t xml:space="preserve">Khormaei, F., Farmani, A., &amp; Yazdani, F. (2017). </w:t>
      </w:r>
      <w:r w:rsidRPr="006644E8">
        <w:rPr>
          <w:color w:val="0070C0"/>
          <w:lang w:val="es-CO"/>
        </w:rPr>
        <w:t xml:space="preserve">Predecir el autocontrol sobre la base de la paciencia y sus componentes entre estudiantes de secundaria. </w:t>
      </w:r>
      <w:r w:rsidRPr="00D24ED0">
        <w:rPr>
          <w:i/>
          <w:iCs/>
          <w:color w:val="0070C0"/>
          <w:lang w:val="en-US"/>
        </w:rPr>
        <w:t>Journal of Practice in Clinical Psychology</w:t>
      </w:r>
      <w:r>
        <w:rPr>
          <w:i/>
          <w:iCs/>
          <w:color w:val="0070C0"/>
          <w:lang w:val="en-US"/>
        </w:rPr>
        <w:t>,</w:t>
      </w:r>
      <w:r w:rsidRPr="00D24ED0">
        <w:rPr>
          <w:i/>
          <w:iCs/>
          <w:color w:val="0070C0"/>
          <w:lang w:val="en-US"/>
        </w:rPr>
        <w:t xml:space="preserve"> 5</w:t>
      </w:r>
      <w:r w:rsidRPr="00D24ED0">
        <w:rPr>
          <w:color w:val="0070C0"/>
          <w:lang w:val="en-US"/>
        </w:rPr>
        <w:t>(1), 11-16</w:t>
      </w:r>
      <w:r>
        <w:rPr>
          <w:color w:val="0070C0"/>
          <w:lang w:val="en-US"/>
        </w:rPr>
        <w:t xml:space="preserve">. </w:t>
      </w:r>
      <w:hyperlink r:id="rId18" w:history="1">
        <w:r w:rsidRPr="00D24ED0">
          <w:rPr>
            <w:color w:val="0070C0"/>
            <w:lang w:val="en-US"/>
          </w:rPr>
          <w:t>http://jpcp.uswr.ac.ir/article-1-310-en.html</w:t>
        </w:r>
      </w:hyperlink>
    </w:p>
    <w:p w14:paraId="0EC844B2" w14:textId="4E46E45B" w:rsidR="00DF1FBD" w:rsidRPr="00C04065" w:rsidRDefault="00DF1FBD" w:rsidP="00DF1FBD">
      <w:pPr>
        <w:ind w:left="720" w:hanging="720"/>
        <w:jc w:val="both"/>
        <w:rPr>
          <w:lang w:val="en-US"/>
        </w:rPr>
      </w:pPr>
      <w:r w:rsidRPr="00C04065">
        <w:rPr>
          <w:lang w:val="en-US"/>
        </w:rPr>
        <w:t xml:space="preserve">Kline, R. B. (2011). </w:t>
      </w:r>
      <w:r w:rsidRPr="00C04065">
        <w:rPr>
          <w:i/>
          <w:iCs/>
          <w:lang w:val="en-US"/>
        </w:rPr>
        <w:t>Principles and practice of structural equation modeling</w:t>
      </w:r>
      <w:r w:rsidRPr="00C04065">
        <w:rPr>
          <w:lang w:val="en-US"/>
        </w:rPr>
        <w:t>. Guilford Press.</w:t>
      </w:r>
    </w:p>
    <w:p w14:paraId="71D72A2E" w14:textId="77777777" w:rsidR="00DF1FBD" w:rsidRPr="00C04065" w:rsidRDefault="00DF1FBD" w:rsidP="00DF1FBD">
      <w:pPr>
        <w:ind w:left="720" w:hanging="720"/>
        <w:jc w:val="both"/>
        <w:rPr>
          <w:lang w:val="fr-FR"/>
        </w:rPr>
      </w:pPr>
      <w:r w:rsidRPr="00C04065">
        <w:rPr>
          <w:lang w:val="en-US"/>
        </w:rPr>
        <w:t xml:space="preserve">Lawshe, C. H. (1975). A quantitative approach to content validity. </w:t>
      </w:r>
      <w:r w:rsidRPr="00C04065">
        <w:rPr>
          <w:i/>
          <w:iCs/>
          <w:lang w:val="fr-FR"/>
        </w:rPr>
        <w:t>Personnel Psychology, 28</w:t>
      </w:r>
      <w:r w:rsidRPr="00C04065">
        <w:rPr>
          <w:lang w:val="fr-FR"/>
        </w:rPr>
        <w:t xml:space="preserve">(4), 563-575. </w:t>
      </w:r>
      <w:hyperlink r:id="rId19" w:tgtFrame="_blank" w:history="1">
        <w:r w:rsidRPr="00C04065">
          <w:rPr>
            <w:shd w:val="clear" w:color="auto" w:fill="FFFFFF"/>
            <w:lang w:val="fr-FR"/>
          </w:rPr>
          <w:t>https://doi.org/10.1111/j.1744-6570.1975.tb01393.x</w:t>
        </w:r>
      </w:hyperlink>
      <w:bookmarkStart w:id="13" w:name="_Hlk120875083"/>
    </w:p>
    <w:p w14:paraId="561630BC" w14:textId="77777777" w:rsidR="00DF1FBD" w:rsidRPr="00C04065" w:rsidRDefault="00DF1FBD" w:rsidP="00DF1FBD">
      <w:pPr>
        <w:ind w:left="720" w:hanging="720"/>
        <w:jc w:val="both"/>
        <w:rPr>
          <w:lang w:val="en-US"/>
        </w:rPr>
      </w:pPr>
      <w:r w:rsidRPr="00C04065">
        <w:rPr>
          <w:lang w:val="fr-FR"/>
        </w:rPr>
        <w:t xml:space="preserve">Mardia, K. V. (1971). </w:t>
      </w:r>
      <w:r w:rsidRPr="00C04065">
        <w:rPr>
          <w:lang w:val="en-US"/>
        </w:rPr>
        <w:t xml:space="preserve">Measures of multivariate skewness and kurtosis with applications. </w:t>
      </w:r>
      <w:r w:rsidRPr="00C04065">
        <w:rPr>
          <w:i/>
          <w:iCs/>
          <w:lang w:val="en-US"/>
        </w:rPr>
        <w:t>Biometrika, 57</w:t>
      </w:r>
      <w:r w:rsidRPr="00C04065">
        <w:rPr>
          <w:lang w:val="en-US"/>
        </w:rPr>
        <w:t>(3), 519–530. doi:10.1093/biomet/57.3.519</w:t>
      </w:r>
      <w:bookmarkEnd w:id="13"/>
    </w:p>
    <w:p w14:paraId="76558BAD" w14:textId="77777777" w:rsidR="00DF1FBD" w:rsidRPr="00C04065" w:rsidRDefault="00DF1FBD" w:rsidP="00DF1FBD">
      <w:pPr>
        <w:ind w:left="720" w:hanging="720"/>
        <w:jc w:val="both"/>
        <w:rPr>
          <w:lang w:val="en-US"/>
        </w:rPr>
      </w:pPr>
      <w:r w:rsidRPr="00C04065">
        <w:rPr>
          <w:lang w:val="en-US"/>
        </w:rPr>
        <w:t xml:space="preserve">McDonald, R. P. (1999). </w:t>
      </w:r>
      <w:r w:rsidRPr="00C04065">
        <w:rPr>
          <w:i/>
          <w:iCs/>
          <w:lang w:val="en-US"/>
        </w:rPr>
        <w:t>Test theory: A unified treatment</w:t>
      </w:r>
      <w:r w:rsidRPr="00C04065">
        <w:rPr>
          <w:lang w:val="en-US"/>
        </w:rPr>
        <w:t>. Erlbaum.</w:t>
      </w:r>
    </w:p>
    <w:p w14:paraId="2BD58698" w14:textId="77777777" w:rsidR="00DF1FBD" w:rsidRPr="00C04065" w:rsidRDefault="00DF1FBD" w:rsidP="00DF1FBD">
      <w:pPr>
        <w:ind w:left="720" w:hanging="720"/>
        <w:jc w:val="both"/>
        <w:rPr>
          <w:lang w:val="en-US"/>
        </w:rPr>
      </w:pPr>
      <w:r w:rsidRPr="00C04065">
        <w:rPr>
          <w:lang w:val="en-US"/>
        </w:rPr>
        <w:t xml:space="preserve">Mehrabian, A. (1999). </w:t>
      </w:r>
      <w:r w:rsidRPr="00C04065">
        <w:rPr>
          <w:i/>
          <w:iCs/>
          <w:lang w:val="en-US"/>
        </w:rPr>
        <w:t>Manual for the Revised Achieving Tendency (MACH) and Disciplined Goal Orientation (CGO) Scales</w:t>
      </w:r>
      <w:r w:rsidRPr="00C04065">
        <w:rPr>
          <w:lang w:val="en-US"/>
        </w:rPr>
        <w:t>. Alta Mesa.</w:t>
      </w:r>
    </w:p>
    <w:p w14:paraId="144A122C" w14:textId="77777777" w:rsidR="00DF1FBD" w:rsidRPr="00C04065" w:rsidRDefault="00DF1FBD" w:rsidP="00DF1FBD">
      <w:pPr>
        <w:ind w:left="720" w:hanging="720"/>
        <w:jc w:val="both"/>
        <w:rPr>
          <w:lang w:val="en-US"/>
        </w:rPr>
      </w:pPr>
      <w:r w:rsidRPr="00C04065">
        <w:rPr>
          <w:lang w:val="en-US"/>
        </w:rPr>
        <w:t>Meier, A. N. (2019). Emotions, risk attitudes, and patience</w:t>
      </w:r>
      <w:r w:rsidRPr="00C04065">
        <w:rPr>
          <w:i/>
          <w:iCs/>
          <w:lang w:val="en-US"/>
        </w:rPr>
        <w:t>. SOEPpapers on Multidisciplinary Panel Data Research</w:t>
      </w:r>
      <w:r w:rsidRPr="00C04065">
        <w:rPr>
          <w:lang w:val="en-US"/>
        </w:rPr>
        <w:t xml:space="preserve">, No. 1041. Deutsches Institut für Wirtschaftsforschung (DIW). </w:t>
      </w:r>
      <w:hyperlink r:id="rId20" w:history="1">
        <w:r w:rsidRPr="00C04065">
          <w:rPr>
            <w:rStyle w:val="Hipervnculo"/>
            <w:color w:val="auto"/>
            <w:u w:val="none"/>
            <w:lang w:val="en-US"/>
          </w:rPr>
          <w:t>http://hdl.handle.net/10419/201563</w:t>
        </w:r>
      </w:hyperlink>
      <w:bookmarkStart w:id="14" w:name="_Hlk120875165"/>
    </w:p>
    <w:p w14:paraId="72403186" w14:textId="4C743105" w:rsidR="00DF1FBD" w:rsidRPr="00C04065" w:rsidRDefault="00DF1FBD" w:rsidP="00DF1FBD">
      <w:pPr>
        <w:ind w:left="720" w:hanging="720"/>
        <w:jc w:val="both"/>
        <w:rPr>
          <w:lang w:val="en-US"/>
        </w:rPr>
      </w:pPr>
      <w:r w:rsidRPr="00C04065">
        <w:rPr>
          <w:lang w:val="en-US"/>
        </w:rPr>
        <w:t xml:space="preserve">Morris, K. (2013). Revising the Declaration of Helsinki. </w:t>
      </w:r>
      <w:r w:rsidRPr="00C04065">
        <w:rPr>
          <w:i/>
          <w:iCs/>
          <w:lang w:val="en-US"/>
        </w:rPr>
        <w:t>World Report, 381</w:t>
      </w:r>
      <w:r w:rsidRPr="00C04065">
        <w:rPr>
          <w:lang w:val="en-US"/>
        </w:rPr>
        <w:t xml:space="preserve">, 1889-1890. </w:t>
      </w:r>
      <w:hyperlink r:id="rId21" w:history="1">
        <w:r w:rsidRPr="00C04065">
          <w:rPr>
            <w:rStyle w:val="Hipervnculo"/>
            <w:color w:val="auto"/>
            <w:u w:val="none"/>
            <w:lang w:val="en-US"/>
          </w:rPr>
          <w:t>https://doi.org/10.1016/S0140-6736(13)60951-4</w:t>
        </w:r>
      </w:hyperlink>
    </w:p>
    <w:p w14:paraId="2BCE2B2D" w14:textId="77777777" w:rsidR="00F644C7" w:rsidRPr="00C93CCF" w:rsidRDefault="00F644C7" w:rsidP="00F644C7">
      <w:pPr>
        <w:ind w:left="720" w:hanging="720"/>
        <w:jc w:val="both"/>
        <w:rPr>
          <w:lang w:val="es-CO"/>
        </w:rPr>
      </w:pPr>
      <w:r w:rsidRPr="00F727F0">
        <w:rPr>
          <w:color w:val="0070C0"/>
          <w:lang w:val="es-CO" w:eastAsia="es-CO"/>
        </w:rPr>
        <w:t xml:space="preserve">Muñiz, J., &amp; Fonseca-Pedrero, E. (2019). </w:t>
      </w:r>
      <w:r w:rsidRPr="007B3ED4">
        <w:rPr>
          <w:color w:val="0070C0"/>
          <w:lang w:val="es-CO" w:eastAsia="es-CO"/>
        </w:rPr>
        <w:t xml:space="preserve">Diez pasos para la construcción de un test. </w:t>
      </w:r>
      <w:r w:rsidRPr="005455FA">
        <w:rPr>
          <w:i/>
          <w:iCs/>
          <w:color w:val="0070C0"/>
          <w:lang w:val="es-CO" w:eastAsia="es-CO"/>
        </w:rPr>
        <w:t>Psicothema</w:t>
      </w:r>
      <w:r w:rsidRPr="00C93CCF">
        <w:rPr>
          <w:color w:val="0070C0"/>
          <w:lang w:val="es-CO" w:eastAsia="es-CO"/>
        </w:rPr>
        <w:t>, 31(1), 7-16. doi: 10.7334/psicothema2018.291</w:t>
      </w:r>
    </w:p>
    <w:p w14:paraId="48EF1BAB" w14:textId="1C12A808" w:rsidR="00DF1FBD" w:rsidRPr="00C04065" w:rsidRDefault="00DF1FBD" w:rsidP="00DF1FBD">
      <w:pPr>
        <w:ind w:left="720" w:hanging="720"/>
        <w:jc w:val="both"/>
        <w:rPr>
          <w:lang w:val="es-CO"/>
        </w:rPr>
      </w:pPr>
      <w:r w:rsidRPr="00C04065">
        <w:t xml:space="preserve">Núñez, J. L., Martín-Albo, J., &amp; Navarro, J. G. (2005). </w:t>
      </w:r>
      <w:r w:rsidRPr="00C04065">
        <w:rPr>
          <w:lang w:val="fr-FR"/>
        </w:rPr>
        <w:t xml:space="preserve">Validación de la versión española de la Échelle de Motivation en Éducation [Validity of the Spanish version of the Échelle de Motivation en </w:t>
      </w:r>
      <w:bookmarkStart w:id="15" w:name="_Hlk67233981"/>
      <w:r w:rsidRPr="00C04065">
        <w:rPr>
          <w:lang w:val="fr-FR"/>
        </w:rPr>
        <w:t>Éducation</w:t>
      </w:r>
      <w:bookmarkEnd w:id="15"/>
      <w:r w:rsidRPr="00C04065">
        <w:rPr>
          <w:lang w:val="fr-FR"/>
        </w:rPr>
        <w:t xml:space="preserve">]. </w:t>
      </w:r>
      <w:r w:rsidRPr="00C04065">
        <w:rPr>
          <w:i/>
          <w:iCs/>
          <w:lang w:val="es-MX"/>
        </w:rPr>
        <w:t>Psicothema, 17</w:t>
      </w:r>
      <w:r w:rsidRPr="00C04065">
        <w:rPr>
          <w:lang w:val="es-MX"/>
        </w:rPr>
        <w:t>(2), 344-349.</w:t>
      </w:r>
      <w:bookmarkStart w:id="16" w:name="_Hlk120875214"/>
      <w:bookmarkEnd w:id="14"/>
      <w:r w:rsidRPr="00C04065">
        <w:rPr>
          <w:lang w:val="es-MX"/>
        </w:rPr>
        <w:t xml:space="preserve"> </w:t>
      </w:r>
      <w:hyperlink r:id="rId22" w:history="1">
        <w:r w:rsidRPr="00C04065">
          <w:rPr>
            <w:rStyle w:val="Hipervnculo"/>
            <w:color w:val="auto"/>
            <w:u w:val="none"/>
            <w:lang w:val="es-MX"/>
          </w:rPr>
          <w:t>https://www.redalyc.org/articulo.oa?id=72717225</w:t>
        </w:r>
      </w:hyperlink>
    </w:p>
    <w:p w14:paraId="3F12639F" w14:textId="77777777" w:rsidR="00DF1FBD" w:rsidRPr="00C04065" w:rsidRDefault="00DF1FBD" w:rsidP="00DF1FBD">
      <w:pPr>
        <w:ind w:left="720" w:hanging="720"/>
        <w:jc w:val="both"/>
        <w:rPr>
          <w:lang w:val="en-US"/>
        </w:rPr>
      </w:pPr>
      <w:r w:rsidRPr="00C04065">
        <w:rPr>
          <w:lang w:val="es-MX"/>
        </w:rPr>
        <w:t xml:space="preserve">Pardo, A., Ruiz, M. A., &amp; San Martín, R. (2010). </w:t>
      </w:r>
      <w:r w:rsidRPr="00C04065">
        <w:rPr>
          <w:i/>
          <w:iCs/>
          <w:lang w:val="es-MX"/>
        </w:rPr>
        <w:t>Análisis de datos en ciencias sociales y de la salud II</w:t>
      </w:r>
      <w:r w:rsidRPr="00C04065">
        <w:rPr>
          <w:lang w:val="es-MX"/>
        </w:rPr>
        <w:t xml:space="preserve">. </w:t>
      </w:r>
      <w:r w:rsidRPr="00C04065">
        <w:rPr>
          <w:lang w:val="en-US"/>
        </w:rPr>
        <w:t>[Data Analysis in Social and Health Sciences II].</w:t>
      </w:r>
      <w:r w:rsidRPr="00C04065">
        <w:rPr>
          <w:i/>
          <w:iCs/>
          <w:lang w:val="en-US"/>
        </w:rPr>
        <w:t xml:space="preserve">  </w:t>
      </w:r>
      <w:r w:rsidRPr="00C04065">
        <w:rPr>
          <w:lang w:val="en-US"/>
        </w:rPr>
        <w:t>Síntesis.</w:t>
      </w:r>
      <w:bookmarkEnd w:id="16"/>
    </w:p>
    <w:p w14:paraId="13015AB5" w14:textId="420442BF" w:rsidR="00DF1FBD" w:rsidRPr="00C04065" w:rsidRDefault="00DF1FBD" w:rsidP="00DF1FBD">
      <w:pPr>
        <w:ind w:left="720" w:hanging="720"/>
        <w:jc w:val="both"/>
        <w:rPr>
          <w:lang w:val="es-CO"/>
        </w:rPr>
      </w:pPr>
      <w:r w:rsidRPr="00C04065">
        <w:rPr>
          <w:lang w:val="en-US"/>
        </w:rPr>
        <w:t xml:space="preserve">Ribes-Iñesta, E. (2009). </w:t>
      </w:r>
      <w:r w:rsidRPr="00C04065">
        <w:rPr>
          <w:lang w:val="es-MX"/>
        </w:rPr>
        <w:t xml:space="preserve">La personalidad como organización de los estilos interactivos [Personality as the Organization of Interactive Styles]. </w:t>
      </w:r>
      <w:r w:rsidRPr="00C04065">
        <w:rPr>
          <w:i/>
          <w:iCs/>
          <w:lang w:val="es-MX"/>
        </w:rPr>
        <w:t>Revista Mexicana de Psicología, 26</w:t>
      </w:r>
      <w:r w:rsidRPr="00C04065">
        <w:rPr>
          <w:lang w:val="es-MX"/>
        </w:rPr>
        <w:t>(2), 145-161.</w:t>
      </w:r>
      <w:bookmarkStart w:id="17" w:name="_Hlk120875268"/>
      <w:r w:rsidRPr="00C04065">
        <w:rPr>
          <w:lang w:val="es-MX"/>
        </w:rPr>
        <w:t xml:space="preserve"> </w:t>
      </w:r>
      <w:hyperlink r:id="rId23" w:history="1">
        <w:r w:rsidRPr="00C04065">
          <w:rPr>
            <w:rStyle w:val="Hipervnculo"/>
            <w:color w:val="auto"/>
            <w:u w:val="none"/>
            <w:lang w:val="es-MX"/>
          </w:rPr>
          <w:t>https://www.redalyc.org/articulo.oa?id=243016315002</w:t>
        </w:r>
      </w:hyperlink>
    </w:p>
    <w:p w14:paraId="2C1EFB05" w14:textId="3779C6D3" w:rsidR="00DF1FBD" w:rsidRPr="00C04065" w:rsidRDefault="00DF1FBD" w:rsidP="00DF1FBD">
      <w:pPr>
        <w:ind w:left="720" w:hanging="720"/>
        <w:jc w:val="both"/>
      </w:pPr>
      <w:r w:rsidRPr="00C04065">
        <w:rPr>
          <w:lang w:val="es-MX"/>
        </w:rPr>
        <w:t xml:space="preserve">Rodríguez, M., &amp; Ruiz, M. (2008). Atenuación de la asimetría y de la curtosis de las puntuaciones observadas mediante transformaciones de variables: Incidencia sobre la estructura factorial </w:t>
      </w:r>
      <w:r w:rsidRPr="00C04065">
        <w:t xml:space="preserve">[The reduction of skewness and kurtosis of observed variables by data transformation: Effect on factor structure]. </w:t>
      </w:r>
      <w:r w:rsidRPr="00C04065">
        <w:rPr>
          <w:i/>
          <w:iCs/>
        </w:rPr>
        <w:t>Psicológica, 29</w:t>
      </w:r>
      <w:r w:rsidRPr="00C04065">
        <w:t>(2), 205-227.</w:t>
      </w:r>
      <w:bookmarkEnd w:id="17"/>
      <w:r w:rsidRPr="00C04065">
        <w:t xml:space="preserve"> </w:t>
      </w:r>
      <w:hyperlink r:id="rId24" w:history="1">
        <w:r w:rsidRPr="00C04065">
          <w:rPr>
            <w:rStyle w:val="Hipervnculo"/>
            <w:color w:val="auto"/>
            <w:u w:val="none"/>
          </w:rPr>
          <w:t>https://www.redalyc.org/articulo.oa?id=16929206</w:t>
        </w:r>
      </w:hyperlink>
    </w:p>
    <w:p w14:paraId="17978DEC" w14:textId="77777777" w:rsidR="00DF1FBD" w:rsidRPr="00C04065" w:rsidRDefault="00DF1FBD" w:rsidP="00DF1FBD">
      <w:pPr>
        <w:ind w:left="720" w:hanging="720"/>
        <w:jc w:val="both"/>
        <w:rPr>
          <w:lang w:val="en-US"/>
        </w:rPr>
      </w:pPr>
      <w:r w:rsidRPr="00C04065">
        <w:t xml:space="preserve">Schnitker, S. A. (2012). </w:t>
      </w:r>
      <w:r w:rsidRPr="00C04065">
        <w:rPr>
          <w:lang w:val="en-US"/>
        </w:rPr>
        <w:t xml:space="preserve">An examination of patience and well-being. </w:t>
      </w:r>
      <w:r w:rsidRPr="00C04065">
        <w:rPr>
          <w:i/>
          <w:iCs/>
          <w:lang w:val="en-US"/>
        </w:rPr>
        <w:t>The Journal of Positive Psychology, 7</w:t>
      </w:r>
      <w:r w:rsidRPr="00C04065">
        <w:rPr>
          <w:lang w:val="en-US"/>
        </w:rPr>
        <w:t>(4), 263-280. doi: 10.1080/17439760.2012.697185</w:t>
      </w:r>
    </w:p>
    <w:p w14:paraId="5D80734D" w14:textId="77777777" w:rsidR="00636970" w:rsidRDefault="00DF1FBD" w:rsidP="00636970">
      <w:pPr>
        <w:ind w:left="720" w:hanging="720"/>
        <w:jc w:val="both"/>
        <w:rPr>
          <w:lang w:val="en-US"/>
        </w:rPr>
      </w:pPr>
      <w:r w:rsidRPr="00C04065">
        <w:rPr>
          <w:lang w:val="en-US"/>
        </w:rPr>
        <w:t xml:space="preserve">Schnitker, S. A., &amp; Emmons, R. A. (2007). Patience as a virtue: Religious and psychological perspectives. </w:t>
      </w:r>
      <w:r w:rsidRPr="00C04065">
        <w:rPr>
          <w:i/>
          <w:iCs/>
          <w:lang w:val="en-US"/>
        </w:rPr>
        <w:t>Research in the Social Scientific Study of Religion, 18</w:t>
      </w:r>
      <w:r w:rsidRPr="00C04065">
        <w:rPr>
          <w:lang w:val="en-US"/>
        </w:rPr>
        <w:t>, 177-207. doi:10.1163/ej. 9789004158511.i-301.69</w:t>
      </w:r>
      <w:bookmarkStart w:id="18" w:name="_Hlk46748962"/>
    </w:p>
    <w:p w14:paraId="297DCF0C" w14:textId="2DEF504C" w:rsidR="00636970" w:rsidRDefault="00636970" w:rsidP="00DF1FBD">
      <w:pPr>
        <w:ind w:left="720" w:hanging="720"/>
        <w:jc w:val="both"/>
        <w:rPr>
          <w:lang w:val="en-US"/>
        </w:rPr>
      </w:pPr>
      <w:r w:rsidRPr="00D24ED0">
        <w:rPr>
          <w:color w:val="0070C0"/>
          <w:lang w:val="en-US"/>
        </w:rPr>
        <w:lastRenderedPageBreak/>
        <w:t xml:space="preserve">Schnitker, S.A., Felke, T. J., Fernandez, N. A., Redmond, N., &amp; Blews, A.E. (2017). Efficacy of self-control and patience interventions in adolescents. </w:t>
      </w:r>
      <w:r w:rsidRPr="005455FA">
        <w:rPr>
          <w:i/>
          <w:iCs/>
          <w:color w:val="0070C0"/>
          <w:lang w:val="en-US"/>
        </w:rPr>
        <w:t>Applied Developmental Science,</w:t>
      </w:r>
      <w:r w:rsidRPr="00D24ED0">
        <w:rPr>
          <w:color w:val="0070C0"/>
          <w:lang w:val="en-US"/>
        </w:rPr>
        <w:t xml:space="preserve"> 21(3), 165-183. https://doi.org/10.1080/10888691.2016.1178578</w:t>
      </w:r>
    </w:p>
    <w:p w14:paraId="22C6D435" w14:textId="18199BE1" w:rsidR="00DF1FBD" w:rsidRPr="00C04065" w:rsidRDefault="00DF1FBD" w:rsidP="00DF1FBD">
      <w:pPr>
        <w:ind w:left="720" w:hanging="720"/>
        <w:jc w:val="both"/>
        <w:rPr>
          <w:lang w:val="en-US"/>
        </w:rPr>
      </w:pPr>
      <w:r w:rsidRPr="00C04065">
        <w:rPr>
          <w:lang w:val="en-US"/>
        </w:rPr>
        <w:t xml:space="preserve">Schnitker, S. A., Houltberg, B., Dyrness, W., &amp; Redmond, N. (2017). The Virtue of Patience, Spirituality, and Suffering: Integrating Lessons from Positive Psychology, Psychology of Religion, and Christian Theology. </w:t>
      </w:r>
      <w:r w:rsidRPr="00C04065">
        <w:rPr>
          <w:i/>
          <w:iCs/>
          <w:lang w:val="en-US"/>
        </w:rPr>
        <w:t>Psychology of Religion and Spirituality, 9</w:t>
      </w:r>
      <w:r w:rsidRPr="00C04065">
        <w:rPr>
          <w:lang w:val="en-US"/>
        </w:rPr>
        <w:t>(3), 264-275.</w:t>
      </w:r>
      <w:bookmarkEnd w:id="18"/>
      <w:r w:rsidRPr="00C04065">
        <w:rPr>
          <w:lang w:val="en-US"/>
        </w:rPr>
        <w:t xml:space="preserve"> </w:t>
      </w:r>
      <w:hyperlink r:id="rId25" w:history="1">
        <w:r w:rsidRPr="00C04065">
          <w:rPr>
            <w:rStyle w:val="Hipervnculo"/>
            <w:color w:val="auto"/>
            <w:u w:val="none"/>
            <w:lang w:val="en-US"/>
          </w:rPr>
          <w:t>https://doi.org/10.1037/rel0000099</w:t>
        </w:r>
      </w:hyperlink>
    </w:p>
    <w:p w14:paraId="49BD6555" w14:textId="404A89B2" w:rsidR="00DF1FBD" w:rsidRPr="00C04065" w:rsidRDefault="00DF1FBD" w:rsidP="00DF1FBD">
      <w:pPr>
        <w:ind w:left="720" w:hanging="720"/>
        <w:jc w:val="both"/>
        <w:rPr>
          <w:lang w:val="en-US"/>
        </w:rPr>
      </w:pPr>
      <w:r w:rsidRPr="00C04065">
        <w:rPr>
          <w:lang w:val="en-US"/>
        </w:rPr>
        <w:t xml:space="preserve">Schnitker, S. A., Ro, D.B., Foster, J. D., Abernethy, A. D., Currier, J. M., vanOyen Witvliet, C., Root Luna, L. M., Putman, K. M., VanHarn, K., &amp; Carter, J. (2020). Patient patients: Increased patience associated with decreased depressive symptoms in psychiatric treatment. </w:t>
      </w:r>
      <w:r w:rsidRPr="00C04065">
        <w:rPr>
          <w:i/>
          <w:iCs/>
          <w:lang w:val="en-US"/>
        </w:rPr>
        <w:t>The Journal of Positive Psychology, 15</w:t>
      </w:r>
      <w:r w:rsidRPr="00C04065">
        <w:rPr>
          <w:lang w:val="en-US"/>
        </w:rPr>
        <w:t>(3), 300-313. doi: 10.1080/17439760.2019.1610482</w:t>
      </w:r>
      <w:bookmarkStart w:id="19" w:name="_Hlk37003467"/>
    </w:p>
    <w:p w14:paraId="32983FEB" w14:textId="77777777" w:rsidR="00DF1FBD" w:rsidRPr="00C04065" w:rsidRDefault="00DF1FBD" w:rsidP="00DF1FBD">
      <w:pPr>
        <w:ind w:left="720" w:hanging="720"/>
        <w:jc w:val="both"/>
        <w:rPr>
          <w:lang w:val="es-CO"/>
        </w:rPr>
      </w:pPr>
      <w:r w:rsidRPr="00C04065">
        <w:rPr>
          <w:lang w:val="en-US"/>
        </w:rPr>
        <w:t xml:space="preserve">Mexican Society of Psychology. </w:t>
      </w:r>
      <w:r w:rsidRPr="00C04065">
        <w:t xml:space="preserve">(2010). </w:t>
      </w:r>
      <w:r w:rsidRPr="00C04065">
        <w:rPr>
          <w:i/>
          <w:iCs/>
        </w:rPr>
        <w:t>Código Ético del Psicólogo</w:t>
      </w:r>
      <w:r w:rsidRPr="00C04065">
        <w:t xml:space="preserve"> [Psychologist's Code of Ethics]. México, D.F.: Trillas.</w:t>
      </w:r>
    </w:p>
    <w:p w14:paraId="5BB3BEEE" w14:textId="77777777" w:rsidR="00DF1FBD" w:rsidRPr="00C04065" w:rsidRDefault="00DF1FBD" w:rsidP="00DF1FBD">
      <w:pPr>
        <w:ind w:left="720" w:hanging="720"/>
        <w:jc w:val="both"/>
        <w:rPr>
          <w:lang w:val="en-US"/>
        </w:rPr>
      </w:pPr>
      <w:r w:rsidRPr="00C04065">
        <w:t xml:space="preserve">Tabachnick, B. G., &amp; Fidell, L. S. (2007). </w:t>
      </w:r>
      <w:r w:rsidRPr="00C04065">
        <w:rPr>
          <w:i/>
          <w:iCs/>
          <w:lang w:val="en-US"/>
        </w:rPr>
        <w:t>Using multivariate Statistics (5a. ed.).</w:t>
      </w:r>
      <w:r w:rsidRPr="00C04065">
        <w:rPr>
          <w:lang w:val="en-US"/>
        </w:rPr>
        <w:t xml:space="preserve"> Allyn &amp; Bacon.</w:t>
      </w:r>
    </w:p>
    <w:p w14:paraId="2F4B5589" w14:textId="77777777" w:rsidR="00DF1FBD" w:rsidRPr="00C04065" w:rsidRDefault="00DF1FBD" w:rsidP="00DF1FBD">
      <w:pPr>
        <w:ind w:left="720" w:hanging="720"/>
        <w:jc w:val="both"/>
        <w:rPr>
          <w:lang w:val="en-US"/>
        </w:rPr>
      </w:pPr>
      <w:r w:rsidRPr="00C04065">
        <w:rPr>
          <w:lang w:val="en-US"/>
        </w:rPr>
        <w:t>Valikhani</w:t>
      </w:r>
      <w:bookmarkEnd w:id="19"/>
      <w:r w:rsidRPr="00C04065">
        <w:rPr>
          <w:lang w:val="en-US"/>
        </w:rPr>
        <w:t xml:space="preserve">, A., Moustafa, A., &amp; Karimi, A. (2017). Examining patience as a psycho-religious construct in Iranian patients with cardiovascular diseases: a pilot study. </w:t>
      </w:r>
      <w:r w:rsidRPr="00C04065">
        <w:rPr>
          <w:i/>
          <w:iCs/>
          <w:lang w:val="en-US"/>
        </w:rPr>
        <w:t>Mental Health, Religion &amp; Culture, 20</w:t>
      </w:r>
      <w:r w:rsidRPr="00C04065">
        <w:rPr>
          <w:lang w:val="en-US"/>
        </w:rPr>
        <w:t>(7), 617-625. doi: 10.1080/13674676.2017.1367372</w:t>
      </w:r>
    </w:p>
    <w:p w14:paraId="69343779" w14:textId="7B82619E" w:rsidR="007C3C14" w:rsidRPr="00C04065" w:rsidRDefault="00DF1FBD" w:rsidP="00DF1FBD">
      <w:pPr>
        <w:ind w:left="720" w:hanging="720"/>
        <w:jc w:val="both"/>
        <w:rPr>
          <w:lang w:val="en-US"/>
        </w:rPr>
      </w:pPr>
      <w:r w:rsidRPr="00C04065">
        <w:rPr>
          <w:lang w:val="en-US"/>
        </w:rPr>
        <w:t xml:space="preserve">Wainwright, W. (2018). Monotheism. En E. N. Zalta (Ed.), </w:t>
      </w:r>
      <w:r w:rsidRPr="00C04065">
        <w:rPr>
          <w:i/>
          <w:iCs/>
          <w:lang w:val="en-US"/>
        </w:rPr>
        <w:t>The Stanford Encyclopedia of Philosophy</w:t>
      </w:r>
      <w:r w:rsidRPr="00C04065">
        <w:rPr>
          <w:lang w:val="en-US"/>
        </w:rPr>
        <w:t>. Retrieved from URL = &lt;https://plato.stanford.edu/archives/fall2018/entries/monotheism/&gt;.</w:t>
      </w:r>
    </w:p>
    <w:p w14:paraId="16CE82A1" w14:textId="4D959E71" w:rsidR="00594317" w:rsidRPr="00C04065" w:rsidRDefault="00594317" w:rsidP="00CE7D65">
      <w:pPr>
        <w:ind w:left="720" w:hanging="720"/>
        <w:jc w:val="both"/>
        <w:rPr>
          <w:lang w:val="en-US"/>
        </w:rPr>
      </w:pPr>
    </w:p>
    <w:p w14:paraId="5CA55FC8" w14:textId="77777777" w:rsidR="00CE7D65" w:rsidRPr="00C04065" w:rsidRDefault="00CE7D65" w:rsidP="00CE7D65">
      <w:pPr>
        <w:ind w:left="720" w:hanging="720"/>
        <w:jc w:val="both"/>
        <w:rPr>
          <w:lang w:val="en-US"/>
        </w:rPr>
      </w:pPr>
    </w:p>
    <w:p w14:paraId="2B09FC6A" w14:textId="567745E5" w:rsidR="00594317" w:rsidRPr="00C04065" w:rsidRDefault="00594317" w:rsidP="007C3C14">
      <w:pPr>
        <w:shd w:val="clear" w:color="auto" w:fill="FFFFFF"/>
        <w:jc w:val="right"/>
        <w:rPr>
          <w:i/>
          <w:iCs/>
          <w:sz w:val="20"/>
          <w:szCs w:val="20"/>
          <w:lang w:val="en-US"/>
        </w:rPr>
      </w:pPr>
      <w:r w:rsidRPr="00C04065">
        <w:rPr>
          <w:i/>
          <w:iCs/>
          <w:sz w:val="20"/>
          <w:szCs w:val="20"/>
          <w:lang w:val="en-US"/>
        </w:rPr>
        <w:t xml:space="preserve">Received: </w:t>
      </w:r>
    </w:p>
    <w:p w14:paraId="0C84C4CC" w14:textId="38C145D9" w:rsidR="00594317" w:rsidRPr="00C04065" w:rsidRDefault="00594317" w:rsidP="007C3C14">
      <w:pPr>
        <w:shd w:val="clear" w:color="auto" w:fill="FFFFFF"/>
        <w:jc w:val="right"/>
        <w:rPr>
          <w:i/>
          <w:iCs/>
          <w:sz w:val="20"/>
          <w:szCs w:val="20"/>
          <w:lang w:val="en-US"/>
        </w:rPr>
      </w:pPr>
      <w:r w:rsidRPr="00C04065">
        <w:rPr>
          <w:i/>
          <w:iCs/>
          <w:sz w:val="20"/>
          <w:szCs w:val="20"/>
          <w:lang w:val="en-US"/>
        </w:rPr>
        <w:t>Accepted:</w:t>
      </w:r>
      <w:r w:rsidR="007C3C14" w:rsidRPr="00C04065">
        <w:rPr>
          <w:rFonts w:ascii="Segoe UI" w:hAnsi="Segoe UI" w:cs="Segoe UI"/>
          <w:sz w:val="21"/>
          <w:szCs w:val="21"/>
          <w:shd w:val="clear" w:color="auto" w:fill="FFFFFF"/>
          <w:lang w:val="en-US"/>
        </w:rPr>
        <w:t xml:space="preserve"> </w:t>
      </w:r>
    </w:p>
    <w:p w14:paraId="2E2DA350" w14:textId="3CFA910E" w:rsidR="002B644E" w:rsidRPr="00B65695" w:rsidRDefault="002B644E" w:rsidP="00B65695">
      <w:pPr>
        <w:rPr>
          <w:i/>
          <w:sz w:val="28"/>
          <w:szCs w:val="28"/>
          <w:lang w:val="en-US"/>
        </w:rPr>
      </w:pPr>
    </w:p>
    <w:sectPr w:rsidR="002B644E" w:rsidRPr="00B65695" w:rsidSect="003366A8">
      <w:headerReference w:type="even" r:id="rId26"/>
      <w:headerReference w:type="default" r:id="rId27"/>
      <w:footerReference w:type="even" r:id="rId28"/>
      <w:footerReference w:type="default" r:id="rId29"/>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93C12" w14:textId="77777777" w:rsidR="003366A8" w:rsidRDefault="003366A8" w:rsidP="00C413D4">
      <w:r>
        <w:separator/>
      </w:r>
    </w:p>
  </w:endnote>
  <w:endnote w:type="continuationSeparator" w:id="0">
    <w:p w14:paraId="75C30C45" w14:textId="77777777" w:rsidR="003366A8" w:rsidRDefault="003366A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936F2" w14:textId="77777777" w:rsidR="003366A8" w:rsidRDefault="003366A8" w:rsidP="00C413D4">
      <w:r>
        <w:separator/>
      </w:r>
    </w:p>
  </w:footnote>
  <w:footnote w:type="continuationSeparator" w:id="0">
    <w:p w14:paraId="247CB714" w14:textId="77777777" w:rsidR="003366A8" w:rsidRDefault="003366A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Encabezad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720324314">
    <w:abstractNumId w:val="4"/>
  </w:num>
  <w:num w:numId="2" w16cid:durableId="1850833879">
    <w:abstractNumId w:val="5"/>
  </w:num>
  <w:num w:numId="3" w16cid:durableId="1908147978">
    <w:abstractNumId w:val="6"/>
  </w:num>
  <w:num w:numId="4" w16cid:durableId="1632246315">
    <w:abstractNumId w:val="7"/>
  </w:num>
  <w:num w:numId="5" w16cid:durableId="1634672905">
    <w:abstractNumId w:val="9"/>
  </w:num>
  <w:num w:numId="6" w16cid:durableId="1500150470">
    <w:abstractNumId w:val="0"/>
  </w:num>
  <w:num w:numId="7" w16cid:durableId="1149785248">
    <w:abstractNumId w:val="1"/>
  </w:num>
  <w:num w:numId="8" w16cid:durableId="1578710137">
    <w:abstractNumId w:val="2"/>
  </w:num>
  <w:num w:numId="9" w16cid:durableId="504829082">
    <w:abstractNumId w:val="3"/>
  </w:num>
  <w:num w:numId="10" w16cid:durableId="939486868">
    <w:abstractNumId w:val="8"/>
  </w:num>
  <w:num w:numId="11" w16cid:durableId="1100300101">
    <w:abstractNumId w:val="10"/>
  </w:num>
  <w:num w:numId="12" w16cid:durableId="1315380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01DAE"/>
    <w:rsid w:val="000365CA"/>
    <w:rsid w:val="00076F0A"/>
    <w:rsid w:val="000816AC"/>
    <w:rsid w:val="000C0045"/>
    <w:rsid w:val="000D5BCF"/>
    <w:rsid w:val="00100923"/>
    <w:rsid w:val="00102F74"/>
    <w:rsid w:val="001253E7"/>
    <w:rsid w:val="00127870"/>
    <w:rsid w:val="00132FFC"/>
    <w:rsid w:val="001516ED"/>
    <w:rsid w:val="00153DC5"/>
    <w:rsid w:val="00155D9E"/>
    <w:rsid w:val="0015691C"/>
    <w:rsid w:val="00176F16"/>
    <w:rsid w:val="0018137D"/>
    <w:rsid w:val="0019446F"/>
    <w:rsid w:val="001C37A1"/>
    <w:rsid w:val="001D11CC"/>
    <w:rsid w:val="001F7509"/>
    <w:rsid w:val="00201628"/>
    <w:rsid w:val="00234E5C"/>
    <w:rsid w:val="00240726"/>
    <w:rsid w:val="0024200C"/>
    <w:rsid w:val="00246D04"/>
    <w:rsid w:val="002624E0"/>
    <w:rsid w:val="00264F47"/>
    <w:rsid w:val="00271502"/>
    <w:rsid w:val="00277074"/>
    <w:rsid w:val="00294547"/>
    <w:rsid w:val="00297AFB"/>
    <w:rsid w:val="002B2297"/>
    <w:rsid w:val="002B644E"/>
    <w:rsid w:val="002C009C"/>
    <w:rsid w:val="002C1EB1"/>
    <w:rsid w:val="002C3A8D"/>
    <w:rsid w:val="002C7C6D"/>
    <w:rsid w:val="002C7DF0"/>
    <w:rsid w:val="002D1053"/>
    <w:rsid w:val="002E0320"/>
    <w:rsid w:val="002F070D"/>
    <w:rsid w:val="002F257B"/>
    <w:rsid w:val="002F38C8"/>
    <w:rsid w:val="002F40A6"/>
    <w:rsid w:val="00302C5C"/>
    <w:rsid w:val="00303B41"/>
    <w:rsid w:val="0033600D"/>
    <w:rsid w:val="003366A8"/>
    <w:rsid w:val="003611D1"/>
    <w:rsid w:val="0037680C"/>
    <w:rsid w:val="00380DEC"/>
    <w:rsid w:val="00381FF4"/>
    <w:rsid w:val="00383632"/>
    <w:rsid w:val="003909A7"/>
    <w:rsid w:val="003C1FAE"/>
    <w:rsid w:val="003C4AA4"/>
    <w:rsid w:val="003E4B06"/>
    <w:rsid w:val="0042142D"/>
    <w:rsid w:val="00430C97"/>
    <w:rsid w:val="004434AD"/>
    <w:rsid w:val="00447E89"/>
    <w:rsid w:val="00475FC0"/>
    <w:rsid w:val="00483D6B"/>
    <w:rsid w:val="0048651A"/>
    <w:rsid w:val="00491E9A"/>
    <w:rsid w:val="00494F1F"/>
    <w:rsid w:val="004C0823"/>
    <w:rsid w:val="004C1FD8"/>
    <w:rsid w:val="004C2A6E"/>
    <w:rsid w:val="004C4F28"/>
    <w:rsid w:val="004C505E"/>
    <w:rsid w:val="004C56C8"/>
    <w:rsid w:val="004D5719"/>
    <w:rsid w:val="004E16CB"/>
    <w:rsid w:val="00501139"/>
    <w:rsid w:val="00507B29"/>
    <w:rsid w:val="00542090"/>
    <w:rsid w:val="00575541"/>
    <w:rsid w:val="00576894"/>
    <w:rsid w:val="005813E0"/>
    <w:rsid w:val="0058227A"/>
    <w:rsid w:val="00585D55"/>
    <w:rsid w:val="0059034C"/>
    <w:rsid w:val="00590BAE"/>
    <w:rsid w:val="00594317"/>
    <w:rsid w:val="00597392"/>
    <w:rsid w:val="005B5614"/>
    <w:rsid w:val="005F33C6"/>
    <w:rsid w:val="00607A13"/>
    <w:rsid w:val="0061199D"/>
    <w:rsid w:val="0062236C"/>
    <w:rsid w:val="00625FBD"/>
    <w:rsid w:val="00636970"/>
    <w:rsid w:val="006453FB"/>
    <w:rsid w:val="006556E2"/>
    <w:rsid w:val="006570DF"/>
    <w:rsid w:val="00683194"/>
    <w:rsid w:val="00691C35"/>
    <w:rsid w:val="006937D3"/>
    <w:rsid w:val="006A1BA2"/>
    <w:rsid w:val="006B0812"/>
    <w:rsid w:val="006B088F"/>
    <w:rsid w:val="006B5439"/>
    <w:rsid w:val="006C21BC"/>
    <w:rsid w:val="006C5727"/>
    <w:rsid w:val="006D53D9"/>
    <w:rsid w:val="006F6924"/>
    <w:rsid w:val="006F7E7E"/>
    <w:rsid w:val="00700F77"/>
    <w:rsid w:val="00704ECD"/>
    <w:rsid w:val="00724F5C"/>
    <w:rsid w:val="00725279"/>
    <w:rsid w:val="0074214E"/>
    <w:rsid w:val="00742E4A"/>
    <w:rsid w:val="007518ED"/>
    <w:rsid w:val="00753370"/>
    <w:rsid w:val="007572C7"/>
    <w:rsid w:val="00770AE4"/>
    <w:rsid w:val="00781170"/>
    <w:rsid w:val="0078702D"/>
    <w:rsid w:val="00795D57"/>
    <w:rsid w:val="007A7C7C"/>
    <w:rsid w:val="007A7CDC"/>
    <w:rsid w:val="007C3C14"/>
    <w:rsid w:val="007D5AD8"/>
    <w:rsid w:val="007E34D6"/>
    <w:rsid w:val="007E3B8D"/>
    <w:rsid w:val="007F66F2"/>
    <w:rsid w:val="00805C64"/>
    <w:rsid w:val="008114AC"/>
    <w:rsid w:val="008151AB"/>
    <w:rsid w:val="00816268"/>
    <w:rsid w:val="00824D3A"/>
    <w:rsid w:val="00842485"/>
    <w:rsid w:val="00856BB5"/>
    <w:rsid w:val="00863414"/>
    <w:rsid w:val="00865073"/>
    <w:rsid w:val="00872EFD"/>
    <w:rsid w:val="00873013"/>
    <w:rsid w:val="00880120"/>
    <w:rsid w:val="008A38ED"/>
    <w:rsid w:val="008B0F10"/>
    <w:rsid w:val="008C1645"/>
    <w:rsid w:val="008C409A"/>
    <w:rsid w:val="008C775E"/>
    <w:rsid w:val="008D509E"/>
    <w:rsid w:val="008D7599"/>
    <w:rsid w:val="009032D5"/>
    <w:rsid w:val="00903DEB"/>
    <w:rsid w:val="00941F9F"/>
    <w:rsid w:val="0095316E"/>
    <w:rsid w:val="00977250"/>
    <w:rsid w:val="009850BE"/>
    <w:rsid w:val="00993241"/>
    <w:rsid w:val="009A583F"/>
    <w:rsid w:val="009B3EF3"/>
    <w:rsid w:val="009D2551"/>
    <w:rsid w:val="009E37BF"/>
    <w:rsid w:val="009F20A2"/>
    <w:rsid w:val="00A30076"/>
    <w:rsid w:val="00A30790"/>
    <w:rsid w:val="00A457D0"/>
    <w:rsid w:val="00A516C7"/>
    <w:rsid w:val="00A577EC"/>
    <w:rsid w:val="00A62218"/>
    <w:rsid w:val="00A741BB"/>
    <w:rsid w:val="00A82FD4"/>
    <w:rsid w:val="00A846F7"/>
    <w:rsid w:val="00A84A99"/>
    <w:rsid w:val="00A871FB"/>
    <w:rsid w:val="00A93146"/>
    <w:rsid w:val="00A96141"/>
    <w:rsid w:val="00AA007A"/>
    <w:rsid w:val="00AB7DD1"/>
    <w:rsid w:val="00AD3238"/>
    <w:rsid w:val="00AE48D4"/>
    <w:rsid w:val="00AE4F9D"/>
    <w:rsid w:val="00B02133"/>
    <w:rsid w:val="00B06283"/>
    <w:rsid w:val="00B3217B"/>
    <w:rsid w:val="00B32669"/>
    <w:rsid w:val="00B35B61"/>
    <w:rsid w:val="00B36805"/>
    <w:rsid w:val="00B40160"/>
    <w:rsid w:val="00B4078E"/>
    <w:rsid w:val="00B46515"/>
    <w:rsid w:val="00B511FB"/>
    <w:rsid w:val="00B60E75"/>
    <w:rsid w:val="00B6522A"/>
    <w:rsid w:val="00B65695"/>
    <w:rsid w:val="00B7151F"/>
    <w:rsid w:val="00B74D71"/>
    <w:rsid w:val="00B83A6E"/>
    <w:rsid w:val="00B845A1"/>
    <w:rsid w:val="00B9678D"/>
    <w:rsid w:val="00BC2AFB"/>
    <w:rsid w:val="00BC4A9D"/>
    <w:rsid w:val="00BD26F5"/>
    <w:rsid w:val="00BF547C"/>
    <w:rsid w:val="00BF59E7"/>
    <w:rsid w:val="00C04065"/>
    <w:rsid w:val="00C204EA"/>
    <w:rsid w:val="00C413D4"/>
    <w:rsid w:val="00C43335"/>
    <w:rsid w:val="00C46A17"/>
    <w:rsid w:val="00C53B2E"/>
    <w:rsid w:val="00C64ECF"/>
    <w:rsid w:val="00C83B76"/>
    <w:rsid w:val="00C84812"/>
    <w:rsid w:val="00CA3BFF"/>
    <w:rsid w:val="00CA3C92"/>
    <w:rsid w:val="00CB631E"/>
    <w:rsid w:val="00CB6829"/>
    <w:rsid w:val="00CE7D65"/>
    <w:rsid w:val="00CF4E1F"/>
    <w:rsid w:val="00CF5D21"/>
    <w:rsid w:val="00D036FE"/>
    <w:rsid w:val="00D12199"/>
    <w:rsid w:val="00D512CF"/>
    <w:rsid w:val="00D609BB"/>
    <w:rsid w:val="00D86D10"/>
    <w:rsid w:val="00D94A3F"/>
    <w:rsid w:val="00DB4A71"/>
    <w:rsid w:val="00DB6400"/>
    <w:rsid w:val="00DC1D14"/>
    <w:rsid w:val="00DE1119"/>
    <w:rsid w:val="00DF1FBD"/>
    <w:rsid w:val="00DF67C6"/>
    <w:rsid w:val="00E061CC"/>
    <w:rsid w:val="00E25900"/>
    <w:rsid w:val="00E26883"/>
    <w:rsid w:val="00E3671F"/>
    <w:rsid w:val="00E416F6"/>
    <w:rsid w:val="00E449A9"/>
    <w:rsid w:val="00E507B7"/>
    <w:rsid w:val="00E55124"/>
    <w:rsid w:val="00E6670B"/>
    <w:rsid w:val="00E97D42"/>
    <w:rsid w:val="00E97D84"/>
    <w:rsid w:val="00EA0C07"/>
    <w:rsid w:val="00EA6646"/>
    <w:rsid w:val="00EA79D0"/>
    <w:rsid w:val="00EB213C"/>
    <w:rsid w:val="00ED2663"/>
    <w:rsid w:val="00EF5757"/>
    <w:rsid w:val="00EF5B3A"/>
    <w:rsid w:val="00F21272"/>
    <w:rsid w:val="00F644C7"/>
    <w:rsid w:val="00F64E19"/>
    <w:rsid w:val="00F87D2B"/>
    <w:rsid w:val="00F968A2"/>
    <w:rsid w:val="00FB0419"/>
    <w:rsid w:val="00FB4D9E"/>
    <w:rsid w:val="00FC5C57"/>
    <w:rsid w:val="00FD2D27"/>
    <w:rsid w:val="00FE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A1"/>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39990604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35625328">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image" Target="media/image5.png"/><Relationship Id="rId18" Type="http://schemas.openxmlformats.org/officeDocument/2006/relationships/hyperlink" Target="http://jpcp.uswr.ac.ir/article-1-310-en.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S0140-6736(13)60951-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api.semanticscholar.org/CorpusID:147013782" TargetMode="External"/><Relationship Id="rId25" Type="http://schemas.openxmlformats.org/officeDocument/2006/relationships/hyperlink" Target="https://doi.org/10.1037/rel0000099" TargetMode="External"/><Relationship Id="rId2" Type="http://schemas.openxmlformats.org/officeDocument/2006/relationships/numbering" Target="numbering.xml"/><Relationship Id="rId16" Type="http://schemas.openxmlformats.org/officeDocument/2006/relationships/hyperlink" Target="https://doi.org/10.22054/jem.2015.324" TargetMode="External"/><Relationship Id="rId20" Type="http://schemas.openxmlformats.org/officeDocument/2006/relationships/hyperlink" Target="http://hdl.handle.net/10419/20156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redalyc.org/articulo.oa?id=16929206" TargetMode="External"/><Relationship Id="rId5" Type="http://schemas.openxmlformats.org/officeDocument/2006/relationships/webSettings" Target="webSettings.xml"/><Relationship Id="rId15" Type="http://schemas.openxmlformats.org/officeDocument/2006/relationships/hyperlink" Target="https://www.iupsys.net/about/governance/universal-declaration-of-ethical-principles-for-psychologists.html" TargetMode="External"/><Relationship Id="rId23" Type="http://schemas.openxmlformats.org/officeDocument/2006/relationships/hyperlink" Target="https://www.redalyc.org/articulo.oa?id=243016315002" TargetMode="External"/><Relationship Id="rId28"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https://psycnet.apa.org/doi/10.1111/j.1744-6570.1975.tb01393.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0167-8116(95)00038-0" TargetMode="External"/><Relationship Id="rId22" Type="http://schemas.openxmlformats.org/officeDocument/2006/relationships/hyperlink" Target="https://www.redalyc.org/articulo.oa?id=72717225"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19</Pages>
  <Words>7231</Words>
  <Characters>39776</Characters>
  <Application>Microsoft Office Word</Application>
  <DocSecurity>0</DocSecurity>
  <Lines>331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cp:lastModifiedBy>
  <cp:revision>111</cp:revision>
  <cp:lastPrinted>2020-04-16T16:22:00Z</cp:lastPrinted>
  <dcterms:created xsi:type="dcterms:W3CDTF">2023-12-19T18:42:00Z</dcterms:created>
  <dcterms:modified xsi:type="dcterms:W3CDTF">2024-04-23T23:25:00Z</dcterms:modified>
</cp:coreProperties>
</file>