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E9E5" w14:textId="77777777" w:rsidR="001C1F03" w:rsidRDefault="00153DC5" w:rsidP="00296B03">
      <w:pPr>
        <w:spacing w:line="360" w:lineRule="auto"/>
        <w:jc w:val="center"/>
        <w:rPr>
          <w:b/>
          <w:sz w:val="28"/>
          <w:szCs w:val="28"/>
        </w:rPr>
      </w:pPr>
      <w:r w:rsidRPr="002B2297">
        <w:rPr>
          <w:lang w:val="en-US"/>
        </w:rPr>
        <w:t xml:space="preserve"> </w:t>
      </w:r>
      <w:proofErr w:type="spellStart"/>
      <w:r w:rsidR="001C1F03">
        <w:rPr>
          <w:b/>
          <w:sz w:val="28"/>
          <w:szCs w:val="28"/>
        </w:rPr>
        <w:t>Attitudes</w:t>
      </w:r>
      <w:proofErr w:type="spellEnd"/>
      <w:r w:rsidR="001C1F03">
        <w:rPr>
          <w:b/>
          <w:sz w:val="28"/>
          <w:szCs w:val="28"/>
        </w:rPr>
        <w:t xml:space="preserve"> </w:t>
      </w:r>
      <w:proofErr w:type="spellStart"/>
      <w:r w:rsidR="001C1F03">
        <w:rPr>
          <w:b/>
          <w:sz w:val="28"/>
          <w:szCs w:val="28"/>
        </w:rPr>
        <w:t>Toward</w:t>
      </w:r>
      <w:proofErr w:type="spellEnd"/>
      <w:r w:rsidR="001C1F03">
        <w:rPr>
          <w:b/>
          <w:sz w:val="28"/>
          <w:szCs w:val="28"/>
        </w:rPr>
        <w:t xml:space="preserve"> </w:t>
      </w:r>
      <w:proofErr w:type="spellStart"/>
      <w:r w:rsidR="001C1F03">
        <w:rPr>
          <w:b/>
          <w:sz w:val="28"/>
          <w:szCs w:val="28"/>
        </w:rPr>
        <w:t>Brazilian</w:t>
      </w:r>
      <w:proofErr w:type="spellEnd"/>
      <w:r w:rsidR="001C1F03">
        <w:rPr>
          <w:b/>
          <w:sz w:val="28"/>
          <w:szCs w:val="28"/>
        </w:rPr>
        <w:t xml:space="preserve"> </w:t>
      </w:r>
      <w:proofErr w:type="spellStart"/>
      <w:r w:rsidR="001C1F03">
        <w:rPr>
          <w:b/>
          <w:sz w:val="28"/>
          <w:szCs w:val="28"/>
        </w:rPr>
        <w:t>Women</w:t>
      </w:r>
      <w:proofErr w:type="spellEnd"/>
      <w:r w:rsidR="001C1F03">
        <w:rPr>
          <w:b/>
          <w:sz w:val="28"/>
          <w:szCs w:val="28"/>
        </w:rPr>
        <w:t xml:space="preserve">: </w:t>
      </w:r>
      <w:proofErr w:type="spellStart"/>
      <w:r w:rsidR="001C1F03">
        <w:rPr>
          <w:b/>
          <w:sz w:val="28"/>
          <w:szCs w:val="28"/>
        </w:rPr>
        <w:t>Impacts</w:t>
      </w:r>
      <w:proofErr w:type="spellEnd"/>
      <w:r w:rsidR="001C1F03">
        <w:rPr>
          <w:b/>
          <w:sz w:val="28"/>
          <w:szCs w:val="28"/>
        </w:rPr>
        <w:t xml:space="preserve"> </w:t>
      </w:r>
      <w:proofErr w:type="spellStart"/>
      <w:r w:rsidR="001C1F03">
        <w:rPr>
          <w:b/>
          <w:sz w:val="28"/>
          <w:szCs w:val="28"/>
        </w:rPr>
        <w:t>of</w:t>
      </w:r>
      <w:proofErr w:type="spellEnd"/>
      <w:r w:rsidR="001C1F03">
        <w:rPr>
          <w:b/>
          <w:sz w:val="28"/>
          <w:szCs w:val="28"/>
        </w:rPr>
        <w:t xml:space="preserve"> </w:t>
      </w:r>
      <w:proofErr w:type="spellStart"/>
      <w:r w:rsidR="001C1F03">
        <w:rPr>
          <w:b/>
          <w:sz w:val="28"/>
          <w:szCs w:val="28"/>
        </w:rPr>
        <w:t>Sociodemographic</w:t>
      </w:r>
      <w:proofErr w:type="spellEnd"/>
      <w:r w:rsidR="001C1F03">
        <w:rPr>
          <w:b/>
          <w:sz w:val="28"/>
          <w:szCs w:val="28"/>
        </w:rPr>
        <w:t xml:space="preserve"> Variables and </w:t>
      </w:r>
      <w:proofErr w:type="spellStart"/>
      <w:r w:rsidR="001C1F03">
        <w:rPr>
          <w:b/>
          <w:sz w:val="28"/>
          <w:szCs w:val="28"/>
        </w:rPr>
        <w:t>Ambivalent</w:t>
      </w:r>
      <w:proofErr w:type="spellEnd"/>
      <w:r w:rsidR="001C1F03">
        <w:rPr>
          <w:b/>
          <w:sz w:val="28"/>
          <w:szCs w:val="28"/>
        </w:rPr>
        <w:t xml:space="preserve"> </w:t>
      </w:r>
      <w:proofErr w:type="spellStart"/>
      <w:r w:rsidR="001C1F03">
        <w:rPr>
          <w:b/>
          <w:sz w:val="28"/>
          <w:szCs w:val="28"/>
        </w:rPr>
        <w:t>Sexism</w:t>
      </w:r>
      <w:proofErr w:type="spellEnd"/>
    </w:p>
    <w:p w14:paraId="6C942DCA" w14:textId="71B3D8A5" w:rsidR="00B845A1" w:rsidRPr="009E37BF" w:rsidRDefault="00B845A1" w:rsidP="001C1F03">
      <w:pPr>
        <w:pStyle w:val="Titulodeartculo"/>
        <w:rPr>
          <w:i/>
          <w:sz w:val="28"/>
          <w:szCs w:val="28"/>
          <w:lang w:val="en-US"/>
        </w:rPr>
      </w:pPr>
    </w:p>
    <w:p w14:paraId="0BAD9FA3" w14:textId="098C1666" w:rsidR="00C413D4" w:rsidRPr="009E37BF" w:rsidRDefault="00C413D4" w:rsidP="00C413D4">
      <w:pPr>
        <w:rPr>
          <w:rFonts w:ascii="Times" w:hAnsi="Times"/>
          <w:i/>
          <w:sz w:val="28"/>
          <w:szCs w:val="28"/>
          <w:lang w:val="en-US"/>
        </w:rPr>
      </w:pPr>
      <w:r w:rsidRPr="00E25900">
        <w:rPr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0A29C03" wp14:editId="61C057E6">
                <wp:simplePos x="0" y="0"/>
                <wp:positionH relativeFrom="column">
                  <wp:posOffset>0</wp:posOffset>
                </wp:positionH>
                <wp:positionV relativeFrom="paragraph">
                  <wp:posOffset>66674</wp:posOffset>
                </wp:positionV>
                <wp:extent cx="61722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A7680" id="Straight Connector 8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5.25pt" to="48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" strokecolor="windowText" strokeweight="2pt">
                <o:lock v:ext="edit" shapetype="f"/>
              </v:line>
            </w:pict>
          </mc:Fallback>
        </mc:AlternateContent>
      </w:r>
    </w:p>
    <w:p w14:paraId="1B312314" w14:textId="77777777" w:rsidR="00C413D4" w:rsidRPr="009E37BF" w:rsidRDefault="00C413D4" w:rsidP="00C413D4">
      <w:pPr>
        <w:rPr>
          <w:b/>
          <w:sz w:val="20"/>
          <w:szCs w:val="20"/>
          <w:lang w:val="en-US"/>
        </w:rPr>
      </w:pPr>
    </w:p>
    <w:p w14:paraId="61F0B918" w14:textId="7AB7DCB9" w:rsidR="00C43335" w:rsidRPr="00E25900" w:rsidRDefault="00C413D4" w:rsidP="00C43335">
      <w:pPr>
        <w:pStyle w:val="TtuloResumen"/>
        <w:rPr>
          <w:lang w:val="en-US"/>
        </w:rPr>
      </w:pPr>
      <w:r w:rsidRPr="00E25900">
        <w:rPr>
          <w:lang w:val="en-US"/>
        </w:rPr>
        <w:t>Abstract</w:t>
      </w:r>
    </w:p>
    <w:p w14:paraId="547103FF" w14:textId="62FB6812" w:rsidR="00C413D4" w:rsidRPr="00E25900" w:rsidRDefault="001C1F03" w:rsidP="001C1F03">
      <w:pPr>
        <w:jc w:val="both"/>
        <w:rPr>
          <w:sz w:val="20"/>
          <w:szCs w:val="20"/>
          <w:lang w:val="en-US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, and </w:t>
      </w:r>
      <w:proofErr w:type="spellStart"/>
      <w:r>
        <w:t>gender</w:t>
      </w:r>
      <w:proofErr w:type="spellEnd"/>
      <w:r>
        <w:t xml:space="preserve">. </w:t>
      </w:r>
      <w:proofErr w:type="spellStart"/>
      <w:r>
        <w:t>Study</w:t>
      </w:r>
      <w:proofErr w:type="spellEnd"/>
      <w:r>
        <w:t xml:space="preserve"> 1 (N= 224, Age mean = 32.46)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moderated</w:t>
      </w:r>
      <w:proofErr w:type="spellEnd"/>
      <w:r>
        <w:t xml:space="preserve"> </w:t>
      </w:r>
      <w:proofErr w:type="spellStart"/>
      <w:r>
        <w:t>age’s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.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men</w:t>
      </w:r>
      <w:proofErr w:type="spellEnd"/>
      <w:r>
        <w:t xml:space="preserve">,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chance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traditionalist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. In </w:t>
      </w:r>
      <w:proofErr w:type="spellStart"/>
      <w:r>
        <w:t>Study</w:t>
      </w:r>
      <w:proofErr w:type="spellEnd"/>
      <w:r>
        <w:t xml:space="preserve"> 2 (N= 261, Age mean = 29.14), </w:t>
      </w:r>
      <w:proofErr w:type="spellStart"/>
      <w:r>
        <w:t>we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a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variables and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.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are more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egalitarian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impact</w:t>
      </w:r>
      <w:proofErr w:type="spellEnd"/>
      <w:r>
        <w:t>.</w:t>
      </w:r>
    </w:p>
    <w:p w14:paraId="0EB33005" w14:textId="77777777" w:rsidR="00C413D4" w:rsidRPr="00E25900" w:rsidRDefault="00C413D4" w:rsidP="00C413D4">
      <w:pPr>
        <w:rPr>
          <w:b/>
          <w:sz w:val="20"/>
          <w:szCs w:val="20"/>
          <w:lang w:val="en-US"/>
        </w:rPr>
      </w:pPr>
      <w:r w:rsidRPr="00E25900">
        <w:rPr>
          <w:b/>
          <w:sz w:val="20"/>
          <w:szCs w:val="20"/>
          <w:lang w:val="en-US"/>
        </w:rPr>
        <w:t>Keywords</w:t>
      </w:r>
    </w:p>
    <w:p w14:paraId="60AD1F55" w14:textId="77777777" w:rsidR="001C1F03" w:rsidRDefault="001C1F03" w:rsidP="001C1F03"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gender</w:t>
      </w:r>
      <w:proofErr w:type="spellEnd"/>
      <w:r>
        <w:t>.</w:t>
      </w:r>
    </w:p>
    <w:p w14:paraId="3C2A8692" w14:textId="46796CA0" w:rsidR="00153DC5" w:rsidRPr="00E25900" w:rsidRDefault="00153DC5" w:rsidP="007A7C7C">
      <w:pPr>
        <w:jc w:val="both"/>
        <w:rPr>
          <w:bCs/>
          <w:sz w:val="20"/>
          <w:szCs w:val="20"/>
          <w:lang w:val="en-US"/>
        </w:rPr>
      </w:pPr>
    </w:p>
    <w:p w14:paraId="1D18B459" w14:textId="208350E7" w:rsidR="009E37BF" w:rsidRPr="00EA5C75" w:rsidRDefault="009E37BF" w:rsidP="009E37B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/>
          <w:sz w:val="20"/>
          <w:szCs w:val="20"/>
          <w:lang w:val="en-US"/>
        </w:rPr>
      </w:pPr>
      <w:r w:rsidRPr="00EA5C75">
        <w:rPr>
          <w:b/>
          <w:smallCaps/>
          <w:color w:val="000000"/>
          <w:sz w:val="20"/>
          <w:szCs w:val="20"/>
          <w:lang w:val="en-US"/>
        </w:rPr>
        <w:t>Resumen</w:t>
      </w:r>
    </w:p>
    <w:p w14:paraId="21F174E4" w14:textId="61D477BE" w:rsidR="001C1F03" w:rsidRDefault="001C1F03" w:rsidP="009E37BF">
      <w:pPr>
        <w:jc w:val="both"/>
      </w:pPr>
      <w:r w:rsidRPr="00587410">
        <w:t>El presente estudio investigó las relaciones entre las actitudes hacia las mujeres, el sexismo ambivalente, la edad y el género. El Estudio 1 (N= 224, Media de edad = 32,46) mostró que el género moderaba el impacto de la edad en las actitudes. Solo en los hombres, la mayor edad aumentaba la probabilidad de actitudes tradicionalistas. En el Estudio 2 (N= 261, Media de edad = 29,14), probamos un modelo con estas variables y el sexismo ambivalente, que resultó significativo. Sin embargo, solo el sexismo influyó en las actitudes. Basándonos en estos resultados, algunos grupos son más propensos a expresar actitudes igualitarias o tradicionalistas hacia las mujeres, el sexismo ambivalente es uno de los mecanismos psicológicos responsables de este impacto</w:t>
      </w:r>
      <w:r>
        <w:t>.</w:t>
      </w:r>
    </w:p>
    <w:p w14:paraId="126AA7B0" w14:textId="72CDF9F7" w:rsidR="009E37BF" w:rsidRPr="00EA5C75" w:rsidRDefault="009E37BF" w:rsidP="009E37BF">
      <w:pPr>
        <w:jc w:val="both"/>
        <w:rPr>
          <w:b/>
          <w:sz w:val="20"/>
          <w:szCs w:val="20"/>
          <w:lang w:val="en-US"/>
        </w:rPr>
      </w:pPr>
      <w:r w:rsidRPr="00EA5C75">
        <w:rPr>
          <w:b/>
          <w:sz w:val="20"/>
          <w:szCs w:val="20"/>
          <w:lang w:val="en-US"/>
        </w:rPr>
        <w:t>Palabras clave</w:t>
      </w:r>
    </w:p>
    <w:p w14:paraId="6E988BAE" w14:textId="77777777" w:rsidR="001C1F03" w:rsidRPr="00300558" w:rsidRDefault="001C1F03" w:rsidP="001C1F03">
      <w:pPr>
        <w:jc w:val="both"/>
      </w:pPr>
      <w:r>
        <w:t>a</w:t>
      </w:r>
      <w:r w:rsidRPr="00300558">
        <w:t>ctitudes hacia las mujeres, sexismo, edad, género</w:t>
      </w:r>
    </w:p>
    <w:p w14:paraId="3B35E00C" w14:textId="77777777" w:rsidR="00483D6B" w:rsidRPr="009E37BF" w:rsidRDefault="00483D6B" w:rsidP="00B6522A">
      <w:pPr>
        <w:rPr>
          <w:b/>
          <w:lang w:val="pt-BR"/>
        </w:rPr>
      </w:pPr>
    </w:p>
    <w:p w14:paraId="378D0900" w14:textId="77777777" w:rsidR="001C1F03" w:rsidRDefault="0059034C" w:rsidP="001C1F03">
      <w:pPr>
        <w:spacing w:line="360" w:lineRule="auto"/>
        <w:jc w:val="center"/>
        <w:rPr>
          <w:bCs/>
        </w:rPr>
      </w:pPr>
      <w:r w:rsidRPr="009E37BF">
        <w:br w:type="page"/>
      </w:r>
      <w:proofErr w:type="spellStart"/>
      <w:r w:rsidR="001C1F03" w:rsidRPr="001C1F03">
        <w:rPr>
          <w:bCs/>
        </w:rPr>
        <w:lastRenderedPageBreak/>
        <w:t>Attitudes</w:t>
      </w:r>
      <w:proofErr w:type="spellEnd"/>
      <w:r w:rsidR="001C1F03" w:rsidRPr="001C1F03">
        <w:rPr>
          <w:bCs/>
        </w:rPr>
        <w:t xml:space="preserve"> </w:t>
      </w:r>
      <w:proofErr w:type="spellStart"/>
      <w:r w:rsidR="001C1F03" w:rsidRPr="001C1F03">
        <w:rPr>
          <w:bCs/>
        </w:rPr>
        <w:t>Toward</w:t>
      </w:r>
      <w:proofErr w:type="spellEnd"/>
      <w:r w:rsidR="001C1F03" w:rsidRPr="001C1F03">
        <w:rPr>
          <w:bCs/>
        </w:rPr>
        <w:t xml:space="preserve"> </w:t>
      </w:r>
      <w:proofErr w:type="spellStart"/>
      <w:r w:rsidR="001C1F03" w:rsidRPr="001C1F03">
        <w:rPr>
          <w:bCs/>
        </w:rPr>
        <w:t>Brazilian</w:t>
      </w:r>
      <w:proofErr w:type="spellEnd"/>
      <w:r w:rsidR="001C1F03" w:rsidRPr="001C1F03">
        <w:rPr>
          <w:bCs/>
        </w:rPr>
        <w:t xml:space="preserve"> </w:t>
      </w:r>
      <w:proofErr w:type="spellStart"/>
      <w:r w:rsidR="001C1F03" w:rsidRPr="001C1F03">
        <w:rPr>
          <w:bCs/>
        </w:rPr>
        <w:t>Women</w:t>
      </w:r>
      <w:proofErr w:type="spellEnd"/>
      <w:r w:rsidR="001C1F03" w:rsidRPr="001C1F03">
        <w:rPr>
          <w:bCs/>
        </w:rPr>
        <w:t xml:space="preserve">: </w:t>
      </w:r>
      <w:proofErr w:type="spellStart"/>
      <w:r w:rsidR="001C1F03" w:rsidRPr="001C1F03">
        <w:rPr>
          <w:bCs/>
        </w:rPr>
        <w:t>Impacts</w:t>
      </w:r>
      <w:proofErr w:type="spellEnd"/>
      <w:r w:rsidR="001C1F03" w:rsidRPr="001C1F03">
        <w:rPr>
          <w:bCs/>
        </w:rPr>
        <w:t xml:space="preserve"> </w:t>
      </w:r>
      <w:proofErr w:type="spellStart"/>
      <w:r w:rsidR="001C1F03" w:rsidRPr="001C1F03">
        <w:rPr>
          <w:bCs/>
        </w:rPr>
        <w:t>of</w:t>
      </w:r>
      <w:proofErr w:type="spellEnd"/>
      <w:r w:rsidR="001C1F03" w:rsidRPr="001C1F03">
        <w:rPr>
          <w:bCs/>
        </w:rPr>
        <w:t xml:space="preserve"> </w:t>
      </w:r>
      <w:proofErr w:type="spellStart"/>
      <w:r w:rsidR="001C1F03" w:rsidRPr="001C1F03">
        <w:rPr>
          <w:bCs/>
        </w:rPr>
        <w:t>Sociodemographic</w:t>
      </w:r>
      <w:proofErr w:type="spellEnd"/>
      <w:r w:rsidR="001C1F03" w:rsidRPr="001C1F03">
        <w:rPr>
          <w:bCs/>
        </w:rPr>
        <w:t xml:space="preserve"> Variables and </w:t>
      </w:r>
      <w:proofErr w:type="spellStart"/>
      <w:r w:rsidR="001C1F03" w:rsidRPr="001C1F03">
        <w:rPr>
          <w:bCs/>
        </w:rPr>
        <w:t>Ambivalent</w:t>
      </w:r>
      <w:proofErr w:type="spellEnd"/>
      <w:r w:rsidR="001C1F03" w:rsidRPr="001C1F03">
        <w:rPr>
          <w:bCs/>
        </w:rPr>
        <w:t xml:space="preserve"> </w:t>
      </w:r>
      <w:proofErr w:type="spellStart"/>
      <w:r w:rsidR="001C1F03" w:rsidRPr="001C1F03">
        <w:rPr>
          <w:bCs/>
        </w:rPr>
        <w:t>Sexism</w:t>
      </w:r>
      <w:proofErr w:type="spellEnd"/>
    </w:p>
    <w:p w14:paraId="780D5D80" w14:textId="77777777" w:rsidR="003C1D5D" w:rsidRPr="001C1F03" w:rsidRDefault="003C1D5D" w:rsidP="001C1F03">
      <w:pPr>
        <w:spacing w:line="360" w:lineRule="auto"/>
        <w:jc w:val="center"/>
        <w:rPr>
          <w:bCs/>
        </w:rPr>
      </w:pPr>
    </w:p>
    <w:p w14:paraId="4FA726CB" w14:textId="389F25BC" w:rsidR="006A1BA2" w:rsidRDefault="00153DC5" w:rsidP="001C1F03">
      <w:pPr>
        <w:pStyle w:val="Ttuloprincipiodeartculo"/>
      </w:pPr>
      <w:proofErr w:type="spellStart"/>
      <w:r w:rsidRPr="001C1F03">
        <w:t>Introduction</w:t>
      </w:r>
      <w:proofErr w:type="spellEnd"/>
    </w:p>
    <w:p w14:paraId="6060B5A7" w14:textId="77777777" w:rsidR="00B70F11" w:rsidRPr="001C1F03" w:rsidRDefault="00B70F11" w:rsidP="001C1F03">
      <w:pPr>
        <w:pStyle w:val="Ttuloprincipiodeartculo"/>
      </w:pPr>
    </w:p>
    <w:p w14:paraId="5726C45A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Since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differentiate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as a </w:t>
      </w:r>
      <w:proofErr w:type="spellStart"/>
      <w:r>
        <w:t>man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woman</w:t>
      </w:r>
      <w:proofErr w:type="spellEnd"/>
      <w:r>
        <w:t xml:space="preserve"> (Lima et al., 2017).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-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inequality-is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 </w:t>
      </w:r>
      <w:proofErr w:type="spellStart"/>
      <w:r>
        <w:t>structuring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impacting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legal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creation</w:t>
      </w:r>
      <w:proofErr w:type="spellEnd"/>
      <w:r>
        <w:t xml:space="preserve"> and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legal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genders</w:t>
      </w:r>
      <w:proofErr w:type="spellEnd"/>
      <w:r>
        <w:t xml:space="preserve">)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disparities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(Hazel &amp; </w:t>
      </w:r>
      <w:proofErr w:type="spellStart"/>
      <w:r>
        <w:t>Kleyman</w:t>
      </w:r>
      <w:proofErr w:type="spellEnd"/>
      <w:r>
        <w:t xml:space="preserve">, 2019). </w:t>
      </w:r>
    </w:p>
    <w:p w14:paraId="05478598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Among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variables,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idea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masculinity</w:t>
      </w:r>
      <w:proofErr w:type="spellEnd"/>
      <w:r>
        <w:t xml:space="preserve"> and </w:t>
      </w:r>
      <w:proofErr w:type="spellStart"/>
      <w:r>
        <w:t>femininity</w:t>
      </w:r>
      <w:proofErr w:type="spellEnd"/>
      <w:r>
        <w:t xml:space="preserve"> are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male and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roles </w:t>
      </w:r>
      <w:proofErr w:type="spellStart"/>
      <w:r>
        <w:t>accepted</w:t>
      </w:r>
      <w:proofErr w:type="spellEnd"/>
      <w:r>
        <w:t xml:space="preserve"> and </w:t>
      </w:r>
      <w:proofErr w:type="spellStart"/>
      <w:r>
        <w:t>reproduced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social </w:t>
      </w:r>
      <w:proofErr w:type="spellStart"/>
      <w:r>
        <w:t>norms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Multifactorial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, </w:t>
      </w:r>
      <w:proofErr w:type="spellStart"/>
      <w:r>
        <w:t>postulated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Spence</w:t>
      </w:r>
      <w:proofErr w:type="spellEnd"/>
      <w:r>
        <w:t xml:space="preserve"> (1985; 1993), </w:t>
      </w:r>
      <w:proofErr w:type="spellStart"/>
      <w:r>
        <w:t>proposes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conventions</w:t>
      </w:r>
      <w:proofErr w:type="spellEnd"/>
      <w:r>
        <w:t xml:space="preserve"> and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culture,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encompasses</w:t>
      </w:r>
      <w:proofErr w:type="spellEnd"/>
      <w:r>
        <w:t xml:space="preserve"> </w:t>
      </w:r>
      <w:proofErr w:type="spellStart"/>
      <w:r>
        <w:t>attributes</w:t>
      </w:r>
      <w:proofErr w:type="spellEnd"/>
      <w:r>
        <w:t xml:space="preserve">, </w:t>
      </w:r>
      <w:proofErr w:type="spellStart"/>
      <w:r>
        <w:t>attitudes</w:t>
      </w:r>
      <w:proofErr w:type="spellEnd"/>
      <w:r>
        <w:t xml:space="preserve">, </w:t>
      </w:r>
      <w:proofErr w:type="spellStart"/>
      <w:r>
        <w:t>preferences</w:t>
      </w:r>
      <w:proofErr w:type="spellEnd"/>
      <w:r>
        <w:t xml:space="preserve">, and </w:t>
      </w:r>
      <w:proofErr w:type="spellStart"/>
      <w:r>
        <w:t>behaviors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women</w:t>
      </w:r>
      <w:proofErr w:type="spellEnd"/>
      <w:r>
        <w:t xml:space="preserve">. </w:t>
      </w:r>
    </w:p>
    <w:p w14:paraId="23DCC3FB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Despite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analyzed</w:t>
      </w:r>
      <w:proofErr w:type="spellEnd"/>
      <w:r>
        <w:t xml:space="preserve"> as a </w:t>
      </w:r>
      <w:proofErr w:type="gramStart"/>
      <w:r>
        <w:t>single</w:t>
      </w:r>
      <w:proofErr w:type="gramEnd"/>
      <w:r>
        <w:t xml:space="preserve"> global and </w:t>
      </w:r>
      <w:proofErr w:type="spellStart"/>
      <w:r>
        <w:t>immutable</w:t>
      </w:r>
      <w:proofErr w:type="spellEnd"/>
      <w:r>
        <w:t xml:space="preserve"> </w:t>
      </w:r>
      <w:proofErr w:type="spellStart"/>
      <w:r>
        <w:t>construct</w:t>
      </w:r>
      <w:proofErr w:type="spellEnd"/>
      <w:r>
        <w:t xml:space="preserve">, </w:t>
      </w:r>
      <w:proofErr w:type="spellStart"/>
      <w:r>
        <w:t>nor</w:t>
      </w:r>
      <w:proofErr w:type="spellEnd"/>
      <w:r>
        <w:t xml:space="preserve"> can </w:t>
      </w:r>
      <w:proofErr w:type="spellStart"/>
      <w:r>
        <w:t>it</w:t>
      </w:r>
      <w:proofErr w:type="spellEnd"/>
      <w:r>
        <w:t xml:space="preserve"> be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individual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behave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: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variable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ignored</w:t>
      </w:r>
      <w:proofErr w:type="spellEnd"/>
      <w:r>
        <w:t xml:space="preserve">.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roles </w:t>
      </w:r>
      <w:proofErr w:type="spellStart"/>
      <w:r>
        <w:t>have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found</w:t>
      </w:r>
      <w:proofErr w:type="spellEnd"/>
      <w:r>
        <w:t xml:space="preserve"> a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motherhood</w:t>
      </w:r>
      <w:proofErr w:type="spellEnd"/>
      <w:r>
        <w:t xml:space="preserve"> and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mental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fulfilling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social roles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care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) (</w:t>
      </w:r>
      <w:proofErr w:type="spellStart"/>
      <w:r>
        <w:t>Zanello</w:t>
      </w:r>
      <w:proofErr w:type="spellEnd"/>
      <w:r>
        <w:t xml:space="preserve"> et al., 2015).</w:t>
      </w:r>
    </w:p>
    <w:p w14:paraId="67572AA8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The</w:t>
      </w:r>
      <w:proofErr w:type="spellEnd"/>
      <w:r>
        <w:t xml:space="preserve"> American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(ACHA, 2018) data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stress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stressors</w:t>
      </w:r>
      <w:proofErr w:type="spellEnd"/>
      <w:r>
        <w:t xml:space="preserve">, </w:t>
      </w:r>
      <w:proofErr w:type="spellStart"/>
      <w:r>
        <w:t>recognized</w:t>
      </w:r>
      <w:proofErr w:type="spellEnd"/>
      <w:r>
        <w:t xml:space="preserve"> as a “</w:t>
      </w:r>
      <w:proofErr w:type="spellStart"/>
      <w:r>
        <w:t>woman's</w:t>
      </w:r>
      <w:proofErr w:type="spellEnd"/>
      <w:r>
        <w:t xml:space="preserve"> role”,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Eisenbarth</w:t>
      </w:r>
      <w:proofErr w:type="spellEnd"/>
      <w:r>
        <w:t xml:space="preserve">, (2019) </w:t>
      </w:r>
      <w:proofErr w:type="gramStart"/>
      <w:r>
        <w:t>shows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denial</w:t>
      </w:r>
      <w:proofErr w:type="spellEnd"/>
      <w:r>
        <w:t xml:space="preserve"> and </w:t>
      </w:r>
      <w:proofErr w:type="spellStart"/>
      <w:r>
        <w:t>self-blame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predicted</w:t>
      </w:r>
      <w:proofErr w:type="spellEnd"/>
      <w:r>
        <w:t xml:space="preserve"> </w:t>
      </w:r>
      <w:proofErr w:type="spellStart"/>
      <w:r>
        <w:t>perceived</w:t>
      </w:r>
      <w:proofErr w:type="spellEnd"/>
      <w:r>
        <w:t xml:space="preserve"> stress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  <w:proofErr w:type="spellStart"/>
      <w:r>
        <w:t>Anbumalar</w:t>
      </w:r>
      <w:proofErr w:type="spellEnd"/>
      <w:r>
        <w:t xml:space="preserve"> et al. (2017)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are </w:t>
      </w:r>
      <w:proofErr w:type="spellStart"/>
      <w:r>
        <w:t>stressed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and </w:t>
      </w:r>
      <w:proofErr w:type="spellStart"/>
      <w:r>
        <w:t>health-related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observe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construct</w:t>
      </w:r>
      <w:proofErr w:type="spellEnd"/>
      <w:r>
        <w:t xml:space="preserve">. </w:t>
      </w:r>
    </w:p>
    <w:p w14:paraId="160C4AE5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Multifactorial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, a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roles,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person's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socially</w:t>
      </w:r>
      <w:proofErr w:type="spellEnd"/>
      <w:r>
        <w:t xml:space="preserve"> </w:t>
      </w:r>
      <w:proofErr w:type="spellStart"/>
      <w:r>
        <w:t>desirable</w:t>
      </w:r>
      <w:proofErr w:type="spellEnd"/>
      <w:r>
        <w:t xml:space="preserve"> roles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lastRenderedPageBreak/>
        <w:t>women</w:t>
      </w:r>
      <w:proofErr w:type="spellEnd"/>
      <w:r>
        <w:t xml:space="preserve"> (Ye &amp; Robertson, 2012). </w:t>
      </w:r>
      <w:proofErr w:type="spellStart"/>
      <w:r>
        <w:t>Spence</w:t>
      </w:r>
      <w:proofErr w:type="spellEnd"/>
      <w:r>
        <w:t xml:space="preserve"> (1993)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poles: </w:t>
      </w:r>
      <w:proofErr w:type="spellStart"/>
      <w:r>
        <w:t>egalitarian</w:t>
      </w:r>
      <w:proofErr w:type="spellEnd"/>
      <w:r>
        <w:t xml:space="preserve"> (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women</w:t>
      </w:r>
      <w:proofErr w:type="spellEnd"/>
      <w:r>
        <w:t xml:space="preserve"> can </w:t>
      </w:r>
      <w:proofErr w:type="spellStart"/>
      <w:r>
        <w:t>exercise</w:t>
      </w:r>
      <w:proofErr w:type="spellEnd"/>
      <w:r>
        <w:t xml:space="preserve"> similar roles in </w:t>
      </w:r>
      <w:proofErr w:type="spellStart"/>
      <w:r>
        <w:t>society</w:t>
      </w:r>
      <w:proofErr w:type="spellEnd"/>
      <w:r>
        <w:t xml:space="preserve">) and </w:t>
      </w:r>
      <w:proofErr w:type="spellStart"/>
      <w:r>
        <w:t>traditional</w:t>
      </w:r>
      <w:proofErr w:type="spellEnd"/>
      <w:r>
        <w:t xml:space="preserve"> (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different</w:t>
      </w:r>
      <w:proofErr w:type="spellEnd"/>
      <w:r>
        <w:t xml:space="preserve"> roles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).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can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interpret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role in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context</w:t>
      </w:r>
      <w:proofErr w:type="spellEnd"/>
      <w:r>
        <w:t xml:space="preserve">: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cognitive and </w:t>
      </w:r>
      <w:proofErr w:type="spellStart"/>
      <w:r>
        <w:t>affective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predispose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(Allport, 1935; Newcomb et al., 1965).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can lead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 (Miller &amp; </w:t>
      </w:r>
      <w:proofErr w:type="spellStart"/>
      <w:r>
        <w:t>Borgida</w:t>
      </w:r>
      <w:proofErr w:type="spellEnd"/>
      <w:r>
        <w:t xml:space="preserve">, 2019),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severe </w:t>
      </w:r>
      <w:proofErr w:type="spellStart"/>
      <w:r>
        <w:t>consequences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femicide</w:t>
      </w:r>
      <w:proofErr w:type="spellEnd"/>
      <w:r>
        <w:t xml:space="preserve"> (WHO, 2019).</w:t>
      </w:r>
    </w:p>
    <w:p w14:paraId="70A20130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, </w:t>
      </w:r>
      <w:proofErr w:type="spellStart"/>
      <w:r>
        <w:t>Spence</w:t>
      </w:r>
      <w:proofErr w:type="spellEnd"/>
      <w:r>
        <w:t xml:space="preserve"> and </w:t>
      </w:r>
      <w:proofErr w:type="spellStart"/>
      <w:r>
        <w:t>Helmreich</w:t>
      </w:r>
      <w:proofErr w:type="spellEnd"/>
      <w:r>
        <w:t xml:space="preserve"> (1978) </w:t>
      </w:r>
      <w:proofErr w:type="spellStart"/>
      <w:r>
        <w:t>classified</w:t>
      </w:r>
      <w:proofErr w:type="spellEnd"/>
      <w:r>
        <w:t xml:space="preserve"> </w:t>
      </w:r>
      <w:proofErr w:type="spellStart"/>
      <w:r>
        <w:t>masculinity</w:t>
      </w:r>
      <w:proofErr w:type="spellEnd"/>
      <w:r>
        <w:t xml:space="preserve"> as </w:t>
      </w:r>
      <w:proofErr w:type="spellStart"/>
      <w:r>
        <w:t>aggressive</w:t>
      </w:r>
      <w:proofErr w:type="spellEnd"/>
      <w:r>
        <w:t xml:space="preserve">, competitive and </w:t>
      </w:r>
      <w:proofErr w:type="spellStart"/>
      <w:r>
        <w:t>dominant</w:t>
      </w:r>
      <w:proofErr w:type="spellEnd"/>
      <w:r>
        <w:t xml:space="preserve">, </w:t>
      </w:r>
      <w:proofErr w:type="spellStart"/>
      <w:r>
        <w:t>defining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as </w:t>
      </w:r>
      <w:proofErr w:type="spellStart"/>
      <w:r>
        <w:t>instrumentality</w:t>
      </w:r>
      <w:proofErr w:type="spellEnd"/>
      <w:r>
        <w:t xml:space="preserve">, and </w:t>
      </w:r>
      <w:proofErr w:type="spellStart"/>
      <w:r>
        <w:t>femininity</w:t>
      </w:r>
      <w:proofErr w:type="spellEnd"/>
      <w:r>
        <w:t xml:space="preserve"> as </w:t>
      </w:r>
      <w:proofErr w:type="spellStart"/>
      <w:r>
        <w:t>kind</w:t>
      </w:r>
      <w:proofErr w:type="spellEnd"/>
      <w:r>
        <w:t xml:space="preserve">, </w:t>
      </w:r>
      <w:proofErr w:type="spellStart"/>
      <w:r>
        <w:t>understanding</w:t>
      </w:r>
      <w:proofErr w:type="spellEnd"/>
      <w:r>
        <w:t xml:space="preserve"> and </w:t>
      </w:r>
      <w:proofErr w:type="spellStart"/>
      <w:r>
        <w:t>loving</w:t>
      </w:r>
      <w:proofErr w:type="spellEnd"/>
      <w:r>
        <w:t xml:space="preserve">, </w:t>
      </w:r>
      <w:proofErr w:type="spellStart"/>
      <w:r>
        <w:t>calling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expressiveness</w:t>
      </w:r>
      <w:proofErr w:type="spellEnd"/>
      <w:r>
        <w:t xml:space="preserve">. </w:t>
      </w:r>
      <w:proofErr w:type="spellStart"/>
      <w:r>
        <w:t>Corroborating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, </w:t>
      </w:r>
      <w:proofErr w:type="spellStart"/>
      <w:r>
        <w:t>Glick</w:t>
      </w:r>
      <w:proofErr w:type="spellEnd"/>
      <w:r>
        <w:t xml:space="preserve"> and Fiske (1996)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stereotypes</w:t>
      </w:r>
      <w:proofErr w:type="spellEnd"/>
      <w:r>
        <w:t xml:space="preserve"> as competitive </w:t>
      </w:r>
      <w:proofErr w:type="spellStart"/>
      <w:r>
        <w:t>for</w:t>
      </w:r>
      <w:proofErr w:type="spellEnd"/>
      <w:r>
        <w:t xml:space="preserve"> male </w:t>
      </w:r>
      <w:proofErr w:type="spellStart"/>
      <w:r>
        <w:t>behavior</w:t>
      </w:r>
      <w:proofErr w:type="spellEnd"/>
      <w:r>
        <w:t xml:space="preserve"> and </w:t>
      </w:r>
      <w:proofErr w:type="spellStart"/>
      <w:r>
        <w:t>warm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in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>.</w:t>
      </w:r>
    </w:p>
    <w:p w14:paraId="12149204" w14:textId="77777777" w:rsidR="001C1F03" w:rsidRDefault="001C1F03" w:rsidP="001C1F03">
      <w:pPr>
        <w:spacing w:line="360" w:lineRule="auto"/>
        <w:ind w:firstLine="720"/>
        <w:jc w:val="both"/>
      </w:pPr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theorized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Glick</w:t>
      </w:r>
      <w:proofErr w:type="spellEnd"/>
      <w:r>
        <w:t xml:space="preserve"> and Fiske (1996)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: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are inferior and </w:t>
      </w:r>
      <w:proofErr w:type="spellStart"/>
      <w:r>
        <w:t>unworthy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,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negative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dominated</w:t>
      </w:r>
      <w:proofErr w:type="spellEnd"/>
      <w:r>
        <w:t xml:space="preserve"> and </w:t>
      </w:r>
      <w:proofErr w:type="spellStart"/>
      <w:r>
        <w:t>submissive</w:t>
      </w:r>
      <w:proofErr w:type="spellEnd"/>
      <w:r>
        <w:t xml:space="preserve">.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stereotyped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positive </w:t>
      </w:r>
      <w:proofErr w:type="spellStart"/>
      <w:r>
        <w:t>affect</w:t>
      </w:r>
      <w:proofErr w:type="spellEnd"/>
      <w:r>
        <w:t xml:space="preserve"> and a </w:t>
      </w:r>
      <w:proofErr w:type="spellStart"/>
      <w:r>
        <w:t>paternalistic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: </w:t>
      </w:r>
      <w:proofErr w:type="spellStart"/>
      <w:r>
        <w:t>Women</w:t>
      </w:r>
      <w:proofErr w:type="spellEnd"/>
      <w:r>
        <w:t xml:space="preserve"> are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weak</w:t>
      </w:r>
      <w:proofErr w:type="spellEnd"/>
      <w:r>
        <w:t xml:space="preserve"> and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protected</w:t>
      </w:r>
      <w:proofErr w:type="spellEnd"/>
      <w:r>
        <w:t xml:space="preserve"> (Barreto &amp; Doyle, 2023). </w:t>
      </w:r>
    </w:p>
    <w:p w14:paraId="3A32556E" w14:textId="77777777" w:rsidR="001C1F03" w:rsidRDefault="001C1F03" w:rsidP="001C1F03">
      <w:pPr>
        <w:spacing w:line="360" w:lineRule="auto"/>
        <w:ind w:firstLine="720"/>
        <w:jc w:val="both"/>
      </w:pP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and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ideologies</w:t>
      </w:r>
      <w:proofErr w:type="spellEnd"/>
      <w:r>
        <w:t xml:space="preserve"> </w:t>
      </w:r>
      <w:proofErr w:type="spellStart"/>
      <w:r>
        <w:t>complementing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in </w:t>
      </w:r>
      <w:proofErr w:type="spellStart"/>
      <w:r>
        <w:t>justifying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favors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 (</w:t>
      </w:r>
      <w:proofErr w:type="spellStart"/>
      <w:r>
        <w:t>Glick</w:t>
      </w:r>
      <w:proofErr w:type="spellEnd"/>
      <w:r>
        <w:t xml:space="preserve"> &amp; Fiske,</w:t>
      </w:r>
      <w:hyperlink r:id="rId8" w:anchor="ref-CR12">
        <w:r>
          <w:t xml:space="preserve"> </w:t>
        </w:r>
      </w:hyperlink>
      <w:hyperlink r:id="rId9" w:anchor="ref-CR12">
        <w:r>
          <w:t>2001</w:t>
        </w:r>
      </w:hyperlink>
      <w:r>
        <w:t xml:space="preserve">). </w:t>
      </w:r>
      <w:proofErr w:type="spellStart"/>
      <w:r>
        <w:t>Accordingly</w:t>
      </w:r>
      <w:proofErr w:type="spellEnd"/>
      <w:r>
        <w:t xml:space="preserve">,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antagonistic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viewing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as competitive and </w:t>
      </w:r>
      <w:proofErr w:type="spellStart"/>
      <w:r>
        <w:t>claiming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try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dominate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sexuality</w:t>
      </w:r>
      <w:proofErr w:type="spellEnd"/>
      <w:r>
        <w:t xml:space="preserve"> (Connor et al.,</w:t>
      </w:r>
      <w:hyperlink r:id="rId10" w:anchor="ref-CR8">
        <w:r>
          <w:t xml:space="preserve"> </w:t>
        </w:r>
      </w:hyperlink>
      <w:hyperlink r:id="rId11" w:anchor="ref-CR8">
        <w:r>
          <w:t>2017</w:t>
        </w:r>
      </w:hyperlink>
      <w:r>
        <w:t xml:space="preserve">). </w:t>
      </w:r>
    </w:p>
    <w:p w14:paraId="38043CB8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attitudinal</w:t>
      </w:r>
      <w:proofErr w:type="spellEnd"/>
      <w:r>
        <w:t xml:space="preserve"> </w:t>
      </w:r>
      <w:proofErr w:type="spellStart"/>
      <w:r>
        <w:t>constructs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rPr>
          <w:color w:val="FF0000"/>
        </w:rPr>
        <w:t xml:space="preserve"> </w:t>
      </w:r>
      <w:proofErr w:type="spellStart"/>
      <w:r>
        <w:t>suggested</w:t>
      </w:r>
      <w:proofErr w:type="spellEnd"/>
      <w:r>
        <w:t xml:space="preserve"> negative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menstruation</w:t>
      </w:r>
      <w:proofErr w:type="spellEnd"/>
      <w:r>
        <w:t xml:space="preserve"> are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(</w:t>
      </w:r>
      <w:proofErr w:type="spellStart"/>
      <w:r>
        <w:t>Chrisler</w:t>
      </w:r>
      <w:proofErr w:type="spellEnd"/>
      <w:r>
        <w:t xml:space="preserve"> et al.,</w:t>
      </w:r>
      <w:hyperlink r:id="rId12" w:anchor="ref-CR13">
        <w:r>
          <w:t xml:space="preserve"> </w:t>
        </w:r>
      </w:hyperlink>
      <w:hyperlink r:id="rId13" w:anchor="ref-CR13">
        <w:r>
          <w:t>2014</w:t>
        </w:r>
      </w:hyperlink>
      <w:r>
        <w:t xml:space="preserve">; </w:t>
      </w:r>
      <w:proofErr w:type="spellStart"/>
      <w:r>
        <w:t>Eyring</w:t>
      </w:r>
      <w:proofErr w:type="spellEnd"/>
      <w:r>
        <w:t xml:space="preserve"> et al., 2023; </w:t>
      </w:r>
      <w:proofErr w:type="spellStart"/>
      <w:r>
        <w:t>Erchull</w:t>
      </w:r>
      <w:proofErr w:type="spellEnd"/>
      <w:r>
        <w:t>,</w:t>
      </w:r>
      <w:hyperlink r:id="rId14" w:anchor="ref-CR23">
        <w:r>
          <w:t xml:space="preserve"> 2020</w:t>
        </w:r>
      </w:hyperlink>
      <w:r>
        <w:t xml:space="preserve">).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positively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justification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positive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(Herrero </w:t>
      </w:r>
      <w:r>
        <w:lastRenderedPageBreak/>
        <w:t xml:space="preserve">et al., 2017), and </w:t>
      </w:r>
      <w:proofErr w:type="spellStart"/>
      <w:r>
        <w:t>victim-blaming</w:t>
      </w:r>
      <w:proofErr w:type="spellEnd"/>
      <w:r>
        <w:t xml:space="preserve"> (Martín-Fernández et al., 2018).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</w:p>
    <w:p w14:paraId="1F943EBB" w14:textId="495A52B3" w:rsidR="001C1F03" w:rsidRDefault="001C1F03" w:rsidP="00296B03">
      <w:pPr>
        <w:spacing w:line="360" w:lineRule="auto"/>
        <w:ind w:firstLine="720"/>
        <w:jc w:val="both"/>
      </w:pPr>
      <w:proofErr w:type="spellStart"/>
      <w:r>
        <w:t>But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?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factor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variable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sociodemographic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Morelli et al., 2016). </w:t>
      </w:r>
      <w:proofErr w:type="spellStart"/>
      <w:r>
        <w:t>Specifically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and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gramStart"/>
      <w:r>
        <w:t>show</w:t>
      </w:r>
      <w:proofErr w:type="gram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teenager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(De Lemus et al., 2010; Ferragut et al., 2013).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gramStart"/>
      <w:r>
        <w:t>shows</w:t>
      </w:r>
      <w:proofErr w:type="gram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blamed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target </w:t>
      </w:r>
      <w:proofErr w:type="spellStart"/>
      <w:r>
        <w:t>of</w:t>
      </w:r>
      <w:proofErr w:type="spellEnd"/>
      <w:r>
        <w:t xml:space="preserve"> sexual </w:t>
      </w:r>
      <w:proofErr w:type="spellStart"/>
      <w:r>
        <w:t>harassment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and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impacting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(De </w:t>
      </w:r>
      <w:proofErr w:type="spellStart"/>
      <w:r>
        <w:t>Judicibus</w:t>
      </w:r>
      <w:proofErr w:type="spellEnd"/>
      <w:r>
        <w:t xml:space="preserve"> &amp; McCabe, 2001).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sociodemographic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and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(</w:t>
      </w:r>
      <w:proofErr w:type="spellStart"/>
      <w:r>
        <w:t>Bahtiyar-Saygan</w:t>
      </w:r>
      <w:proofErr w:type="spellEnd"/>
      <w:r>
        <w:t xml:space="preserve"> &amp; </w:t>
      </w:r>
      <w:proofErr w:type="spellStart"/>
      <w:r>
        <w:t>Sakallı-Uğurlu</w:t>
      </w:r>
      <w:proofErr w:type="spellEnd"/>
      <w:r>
        <w:t xml:space="preserve">, 2019; </w:t>
      </w:r>
      <w:proofErr w:type="spellStart"/>
      <w:r>
        <w:t>Cowie</w:t>
      </w:r>
      <w:proofErr w:type="spellEnd"/>
      <w:r>
        <w:t xml:space="preserve"> et al., 2019).</w:t>
      </w:r>
    </w:p>
    <w:p w14:paraId="7D8E6CD7" w14:textId="77777777" w:rsidR="006D0583" w:rsidRPr="00296B03" w:rsidRDefault="006D0583" w:rsidP="00296B03">
      <w:pPr>
        <w:spacing w:line="360" w:lineRule="auto"/>
        <w:ind w:firstLine="720"/>
        <w:jc w:val="both"/>
      </w:pPr>
    </w:p>
    <w:p w14:paraId="049635A0" w14:textId="291B8399" w:rsidR="001C1F03" w:rsidRPr="001C1F03" w:rsidRDefault="001C1F03" w:rsidP="001C1F03">
      <w:pPr>
        <w:spacing w:line="480" w:lineRule="auto"/>
        <w:rPr>
          <w:b/>
          <w:i/>
          <w:iCs/>
        </w:rPr>
      </w:pPr>
      <w:proofErr w:type="spellStart"/>
      <w:r w:rsidRPr="001C1F03">
        <w:rPr>
          <w:b/>
          <w:i/>
          <w:iCs/>
        </w:rPr>
        <w:t>The</w:t>
      </w:r>
      <w:proofErr w:type="spellEnd"/>
      <w:r w:rsidRPr="001C1F03">
        <w:rPr>
          <w:b/>
          <w:i/>
          <w:iCs/>
        </w:rPr>
        <w:t xml:space="preserve"> </w:t>
      </w:r>
      <w:proofErr w:type="spellStart"/>
      <w:r w:rsidRPr="001C1F03">
        <w:rPr>
          <w:b/>
          <w:i/>
          <w:iCs/>
        </w:rPr>
        <w:t>Present</w:t>
      </w:r>
      <w:proofErr w:type="spellEnd"/>
      <w:r w:rsidRPr="001C1F03">
        <w:rPr>
          <w:b/>
          <w:i/>
          <w:iCs/>
        </w:rPr>
        <w:t xml:space="preserve"> </w:t>
      </w:r>
      <w:proofErr w:type="spellStart"/>
      <w:r w:rsidRPr="001C1F03">
        <w:rPr>
          <w:b/>
          <w:i/>
          <w:iCs/>
        </w:rPr>
        <w:t>Research</w:t>
      </w:r>
      <w:proofErr w:type="spellEnd"/>
    </w:p>
    <w:p w14:paraId="1193FD37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social, as </w:t>
      </w:r>
      <w:proofErr w:type="spellStart"/>
      <w:r>
        <w:t>the</w:t>
      </w:r>
      <w:proofErr w:type="spellEnd"/>
      <w:r>
        <w:t xml:space="preserve"> country has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country,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2.9%,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grew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7.2%, and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line </w:t>
      </w:r>
      <w:proofErr w:type="spellStart"/>
      <w:r>
        <w:t>reached</w:t>
      </w:r>
      <w:proofErr w:type="spellEnd"/>
      <w:r>
        <w:t xml:space="preserve"> 899,485,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102 </w:t>
      </w:r>
      <w:proofErr w:type="spellStart"/>
      <w:r>
        <w:t>calls</w:t>
      </w:r>
      <w:proofErr w:type="spellEnd"/>
      <w:r>
        <w:t xml:space="preserve"> per </w:t>
      </w:r>
      <w:proofErr w:type="spellStart"/>
      <w:r>
        <w:t>hour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sexual </w:t>
      </w:r>
      <w:proofErr w:type="spellStart"/>
      <w:r>
        <w:t>harassment</w:t>
      </w:r>
      <w:proofErr w:type="spellEnd"/>
      <w:r>
        <w:t xml:space="preserve"> </w:t>
      </w:r>
      <w:proofErr w:type="spellStart"/>
      <w:r>
        <w:t>grew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49.7% in 2022 (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Yearbook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Security, 2023).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comprehend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cognitive variables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gender-norms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social </w:t>
      </w:r>
      <w:proofErr w:type="spellStart"/>
      <w:r>
        <w:t>life</w:t>
      </w:r>
      <w:proofErr w:type="spellEnd"/>
      <w:r>
        <w:t xml:space="preserve"> in South </w:t>
      </w:r>
      <w:proofErr w:type="spellStart"/>
      <w:r>
        <w:t>America's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populous</w:t>
      </w:r>
      <w:proofErr w:type="spellEnd"/>
      <w:r>
        <w:t xml:space="preserve"> country, </w:t>
      </w:r>
      <w:proofErr w:type="spellStart"/>
      <w:r>
        <w:t>Brazil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has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levels</w:t>
      </w:r>
      <w:proofErr w:type="spellEnd"/>
      <w:r>
        <w:t>.</w:t>
      </w:r>
    </w:p>
    <w:p w14:paraId="7565E265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. International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sociodemographic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can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 (</w:t>
      </w:r>
      <w:proofErr w:type="spellStart"/>
      <w:r>
        <w:t>Eyring</w:t>
      </w:r>
      <w:proofErr w:type="spellEnd"/>
      <w:r>
        <w:t xml:space="preserve"> et al., 2023; Ferragut et al., 2013).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and </w:t>
      </w:r>
      <w:proofErr w:type="spellStart"/>
      <w:r>
        <w:t>sociological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and variables are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and </w:t>
      </w:r>
      <w:proofErr w:type="spellStart"/>
      <w:r>
        <w:t>behaviors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?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pointed</w:t>
      </w:r>
      <w:proofErr w:type="spellEnd"/>
      <w:r>
        <w:t xml:space="preserve"> Alves et al. (2021)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persists</w:t>
      </w:r>
      <w:proofErr w:type="spellEnd"/>
      <w:r>
        <w:t xml:space="preserve"> and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,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perceived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corroborated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data </w:t>
      </w:r>
      <w:proofErr w:type="spellStart"/>
      <w:r>
        <w:t>on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as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, and </w:t>
      </w:r>
      <w:proofErr w:type="spellStart"/>
      <w:r>
        <w:t>gender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>.</w:t>
      </w:r>
    </w:p>
    <w:p w14:paraId="6F7D5219" w14:textId="77777777" w:rsidR="001C1F03" w:rsidRPr="001C1F03" w:rsidRDefault="001C1F03" w:rsidP="001C1F03">
      <w:pPr>
        <w:spacing w:line="360" w:lineRule="auto"/>
        <w:ind w:firstLine="720"/>
        <w:jc w:val="center"/>
        <w:rPr>
          <w:b/>
        </w:rPr>
      </w:pPr>
      <w:proofErr w:type="spellStart"/>
      <w:r w:rsidRPr="001C1F03">
        <w:rPr>
          <w:b/>
        </w:rPr>
        <w:t>Study</w:t>
      </w:r>
      <w:proofErr w:type="spellEnd"/>
      <w:r w:rsidRPr="001C1F03">
        <w:rPr>
          <w:b/>
        </w:rPr>
        <w:t xml:space="preserve"> 1</w:t>
      </w:r>
    </w:p>
    <w:p w14:paraId="35C3805E" w14:textId="77777777" w:rsidR="001C1F03" w:rsidRDefault="001C1F03" w:rsidP="001C1F03">
      <w:pPr>
        <w:spacing w:line="360" w:lineRule="auto"/>
        <w:ind w:firstLine="720"/>
        <w:jc w:val="both"/>
        <w:rPr>
          <w:bCs/>
        </w:rPr>
      </w:pPr>
      <w:r w:rsidRPr="001C1F03">
        <w:rPr>
          <w:bCs/>
        </w:rPr>
        <w:lastRenderedPageBreak/>
        <w:t xml:space="preserve">In </w:t>
      </w:r>
      <w:proofErr w:type="spellStart"/>
      <w:r w:rsidRPr="001C1F03">
        <w:rPr>
          <w:bCs/>
        </w:rPr>
        <w:t>this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study</w:t>
      </w:r>
      <w:proofErr w:type="spellEnd"/>
      <w:r w:rsidRPr="001C1F03">
        <w:rPr>
          <w:bCs/>
        </w:rPr>
        <w:t xml:space="preserve">, </w:t>
      </w:r>
      <w:proofErr w:type="spellStart"/>
      <w:r w:rsidRPr="001C1F03">
        <w:rPr>
          <w:bCs/>
        </w:rPr>
        <w:t>we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aimed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to</w:t>
      </w:r>
      <w:proofErr w:type="spellEnd"/>
      <w:r w:rsidRPr="001C1F03">
        <w:rPr>
          <w:bCs/>
        </w:rPr>
        <w:t xml:space="preserve"> explore </w:t>
      </w:r>
      <w:proofErr w:type="spellStart"/>
      <w:r w:rsidRPr="001C1F03">
        <w:rPr>
          <w:bCs/>
        </w:rPr>
        <w:t>the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relations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between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age</w:t>
      </w:r>
      <w:proofErr w:type="spellEnd"/>
      <w:r w:rsidRPr="001C1F03">
        <w:rPr>
          <w:bCs/>
        </w:rPr>
        <w:t xml:space="preserve">, </w:t>
      </w:r>
      <w:proofErr w:type="spellStart"/>
      <w:r w:rsidRPr="001C1F03">
        <w:rPr>
          <w:bCs/>
        </w:rPr>
        <w:t>gender</w:t>
      </w:r>
      <w:proofErr w:type="spellEnd"/>
      <w:r w:rsidRPr="001C1F03">
        <w:rPr>
          <w:bCs/>
        </w:rPr>
        <w:t xml:space="preserve"> and </w:t>
      </w:r>
      <w:proofErr w:type="spellStart"/>
      <w:r w:rsidRPr="001C1F03">
        <w:rPr>
          <w:bCs/>
        </w:rPr>
        <w:t>attitudes</w:t>
      </w:r>
      <w:proofErr w:type="spellEnd"/>
      <w:r w:rsidRPr="001C1F03">
        <w:rPr>
          <w:bCs/>
        </w:rPr>
        <w:t xml:space="preserve">. </w:t>
      </w:r>
      <w:proofErr w:type="spellStart"/>
      <w:r w:rsidRPr="001C1F03">
        <w:rPr>
          <w:bCs/>
        </w:rPr>
        <w:t>Specifically</w:t>
      </w:r>
      <w:proofErr w:type="spellEnd"/>
      <w:r w:rsidRPr="001C1F03">
        <w:rPr>
          <w:bCs/>
        </w:rPr>
        <w:t xml:space="preserve">, </w:t>
      </w:r>
      <w:proofErr w:type="spellStart"/>
      <w:r w:rsidRPr="001C1F03">
        <w:rPr>
          <w:bCs/>
        </w:rPr>
        <w:t>we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also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observed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gender’s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moderating</w:t>
      </w:r>
      <w:proofErr w:type="spellEnd"/>
      <w:r w:rsidRPr="001C1F03">
        <w:rPr>
          <w:bCs/>
        </w:rPr>
        <w:t xml:space="preserve"> role </w:t>
      </w:r>
      <w:proofErr w:type="spellStart"/>
      <w:r w:rsidRPr="001C1F03">
        <w:rPr>
          <w:bCs/>
        </w:rPr>
        <w:t>on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age’s</w:t>
      </w:r>
      <w:proofErr w:type="spellEnd"/>
      <w:r w:rsidRPr="001C1F03">
        <w:rPr>
          <w:bCs/>
        </w:rPr>
        <w:t xml:space="preserve"> </w:t>
      </w:r>
      <w:proofErr w:type="spellStart"/>
      <w:r w:rsidRPr="001C1F03">
        <w:rPr>
          <w:bCs/>
        </w:rPr>
        <w:t>impact</w:t>
      </w:r>
      <w:proofErr w:type="spellEnd"/>
      <w:r w:rsidRPr="001C1F03">
        <w:rPr>
          <w:bCs/>
        </w:rPr>
        <w:t xml:space="preserve"> in </w:t>
      </w:r>
      <w:proofErr w:type="spellStart"/>
      <w:r w:rsidRPr="001C1F03">
        <w:rPr>
          <w:bCs/>
        </w:rPr>
        <w:t>attitudes</w:t>
      </w:r>
      <w:proofErr w:type="spellEnd"/>
      <w:r>
        <w:rPr>
          <w:bCs/>
        </w:rPr>
        <w:t>.</w:t>
      </w:r>
    </w:p>
    <w:p w14:paraId="48689733" w14:textId="77777777" w:rsidR="001C1F03" w:rsidRDefault="001C1F03" w:rsidP="001C1F03">
      <w:pPr>
        <w:spacing w:line="360" w:lineRule="auto"/>
        <w:ind w:firstLine="720"/>
        <w:jc w:val="both"/>
      </w:pPr>
    </w:p>
    <w:p w14:paraId="2254AC27" w14:textId="06CA9A42" w:rsidR="006F7E7E" w:rsidRDefault="001516ED" w:rsidP="001516ED">
      <w:pPr>
        <w:pStyle w:val="Ttulosinternos"/>
      </w:pPr>
      <w:r w:rsidRPr="00E25900">
        <w:t>Method</w:t>
      </w:r>
    </w:p>
    <w:p w14:paraId="1854C083" w14:textId="77777777" w:rsidR="001C1F03" w:rsidRPr="001C1F03" w:rsidRDefault="001C1F03" w:rsidP="001C1F03">
      <w:pPr>
        <w:spacing w:line="480" w:lineRule="auto"/>
        <w:rPr>
          <w:b/>
          <w:i/>
        </w:rPr>
      </w:pPr>
      <w:proofErr w:type="spellStart"/>
      <w:r w:rsidRPr="001C1F03">
        <w:rPr>
          <w:b/>
          <w:i/>
        </w:rPr>
        <w:t>Participants</w:t>
      </w:r>
      <w:proofErr w:type="spellEnd"/>
    </w:p>
    <w:p w14:paraId="066A12F9" w14:textId="77777777" w:rsidR="001C1F03" w:rsidRDefault="001C1F03" w:rsidP="001C1F03">
      <w:pPr>
        <w:spacing w:line="360" w:lineRule="auto"/>
        <w:ind w:firstLine="709"/>
        <w:jc w:val="both"/>
      </w:pPr>
      <w:proofErr w:type="spellStart"/>
      <w:r>
        <w:t>Two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 </w:t>
      </w:r>
      <w:proofErr w:type="spellStart"/>
      <w:r>
        <w:t>twenty-four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composed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18 and 62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(M= 32.46, SD= 10.87).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mostly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(82%), </w:t>
      </w:r>
      <w:proofErr w:type="gramStart"/>
      <w:r>
        <w:t>single</w:t>
      </w:r>
      <w:proofErr w:type="gramEnd"/>
      <w:r>
        <w:t xml:space="preserve"> (38.4%), heterosexual (79.5%), </w:t>
      </w:r>
      <w:proofErr w:type="spellStart"/>
      <w:r>
        <w:t>had</w:t>
      </w:r>
      <w:proofErr w:type="spellEnd"/>
      <w:r>
        <w:t xml:space="preserve"> incomplete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(27.2%), and </w:t>
      </w:r>
      <w:proofErr w:type="spellStart"/>
      <w:r>
        <w:t>were</w:t>
      </w:r>
      <w:proofErr w:type="spellEnd"/>
      <w:r>
        <w:t xml:space="preserve"> in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(69.2%).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Web </w:t>
      </w:r>
      <w:proofErr w:type="spellStart"/>
      <w:r>
        <w:t>power</w:t>
      </w:r>
      <w:proofErr w:type="spellEnd"/>
      <w:r>
        <w:t xml:space="preserve"> (Zhang &amp; </w:t>
      </w:r>
      <w:proofErr w:type="gramStart"/>
      <w:r>
        <w:t>Yuan</w:t>
      </w:r>
      <w:proofErr w:type="gramEnd"/>
      <w:r>
        <w:t xml:space="preserve">, 2018),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MacCallum</w:t>
      </w:r>
      <w:proofErr w:type="spellEnd"/>
      <w:r>
        <w:t xml:space="preserve"> et al. (1996) </w:t>
      </w:r>
      <w:proofErr w:type="spellStart"/>
      <w:r>
        <w:t>model</w:t>
      </w:r>
      <w:proofErr w:type="spellEnd"/>
      <w:r>
        <w:t xml:space="preserve"> and </w:t>
      </w:r>
      <w:proofErr w:type="spellStart"/>
      <w:r>
        <w:t>estimating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in factor </w:t>
      </w:r>
      <w:proofErr w:type="spellStart"/>
      <w:r>
        <w:t>analysis</w:t>
      </w:r>
      <w:proofErr w:type="spellEnd"/>
      <w:r>
        <w:t xml:space="preserve">. </w:t>
      </w:r>
    </w:p>
    <w:p w14:paraId="46CAABAC" w14:textId="77777777" w:rsidR="006D0583" w:rsidRDefault="006D0583" w:rsidP="001C1F03">
      <w:pPr>
        <w:spacing w:line="360" w:lineRule="auto"/>
        <w:ind w:firstLine="709"/>
        <w:jc w:val="both"/>
      </w:pPr>
    </w:p>
    <w:p w14:paraId="2E668278" w14:textId="77777777" w:rsidR="001C1F03" w:rsidRPr="001C1F03" w:rsidRDefault="001C1F03" w:rsidP="001C1F03">
      <w:pPr>
        <w:spacing w:line="360" w:lineRule="auto"/>
        <w:jc w:val="both"/>
        <w:rPr>
          <w:b/>
          <w:i/>
        </w:rPr>
      </w:pPr>
      <w:r w:rsidRPr="001C1F03">
        <w:rPr>
          <w:b/>
          <w:i/>
        </w:rPr>
        <w:t>Instruments</w:t>
      </w:r>
    </w:p>
    <w:p w14:paraId="2DA80F49" w14:textId="77777777" w:rsidR="001C1F03" w:rsidRDefault="001C1F03" w:rsidP="001C1F03">
      <w:pPr>
        <w:spacing w:line="360" w:lineRule="auto"/>
        <w:ind w:firstLine="709"/>
        <w:jc w:val="both"/>
        <w:rPr>
          <w:b/>
          <w:i/>
        </w:rPr>
      </w:pPr>
      <w:proofErr w:type="spellStart"/>
      <w:r>
        <w:rPr>
          <w:b/>
          <w:i/>
        </w:rPr>
        <w:t>Attitudes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Toward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Women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Scale</w:t>
      </w:r>
      <w:proofErr w:type="spellEnd"/>
      <w:r>
        <w:rPr>
          <w:b/>
          <w:i/>
        </w:rPr>
        <w:t xml:space="preserve"> (AWS, </w:t>
      </w:r>
      <w:proofErr w:type="spellStart"/>
      <w:r>
        <w:rPr>
          <w:b/>
          <w:i/>
        </w:rPr>
        <w:t>Spence</w:t>
      </w:r>
      <w:proofErr w:type="spellEnd"/>
      <w:r>
        <w:rPr>
          <w:b/>
          <w:i/>
        </w:rPr>
        <w:t xml:space="preserve"> and </w:t>
      </w:r>
      <w:proofErr w:type="spellStart"/>
      <w:r>
        <w:rPr>
          <w:b/>
          <w:i/>
        </w:rPr>
        <w:t>Helmrich</w:t>
      </w:r>
      <w:proofErr w:type="spellEnd"/>
      <w:r>
        <w:rPr>
          <w:b/>
          <w:i/>
        </w:rPr>
        <w:t>, 1972)</w:t>
      </w:r>
    </w:p>
    <w:p w14:paraId="235F2742" w14:textId="77777777" w:rsidR="001C1F03" w:rsidRDefault="001C1F03" w:rsidP="001C1F03">
      <w:pPr>
        <w:spacing w:line="360" w:lineRule="auto"/>
        <w:ind w:firstLine="709"/>
        <w:jc w:val="both"/>
      </w:pPr>
      <w:r>
        <w:t xml:space="preserve">A 15-item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answered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5-point Likert </w:t>
      </w:r>
      <w:proofErr w:type="spellStart"/>
      <w:r>
        <w:t>scale</w:t>
      </w:r>
      <w:proofErr w:type="spellEnd"/>
      <w:r>
        <w:t xml:space="preserve">, </w:t>
      </w:r>
      <w:proofErr w:type="spellStart"/>
      <w:r>
        <w:t>ranging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 =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Disagree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5 =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describe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roles a </w:t>
      </w:r>
      <w:proofErr w:type="spellStart"/>
      <w:r>
        <w:t>woman</w:t>
      </w:r>
      <w:proofErr w:type="spellEnd"/>
      <w:r>
        <w:t xml:space="preserve"> can </w:t>
      </w:r>
      <w:proofErr w:type="spellStart"/>
      <w:r>
        <w:t>play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and social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more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“</w:t>
      </w:r>
      <w:proofErr w:type="spellStart"/>
      <w:r>
        <w:t>housewife</w:t>
      </w:r>
      <w:proofErr w:type="spellEnd"/>
      <w:r>
        <w:t xml:space="preserve">”).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AWS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Portuguese.</w:t>
      </w:r>
    </w:p>
    <w:p w14:paraId="1471CA3F" w14:textId="77777777" w:rsidR="001C1F03" w:rsidRDefault="001C1F03" w:rsidP="001C1F03">
      <w:pPr>
        <w:spacing w:line="360" w:lineRule="auto"/>
        <w:ind w:firstLine="709"/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and cultural </w:t>
      </w:r>
      <w:proofErr w:type="spellStart"/>
      <w:r>
        <w:t>adaptation</w:t>
      </w:r>
      <w:proofErr w:type="spellEnd"/>
      <w:r w:rsidRPr="00124FE3">
        <w:t xml:space="preserve">, </w:t>
      </w:r>
      <w:proofErr w:type="spellStart"/>
      <w:r w:rsidRPr="00124FE3">
        <w:t>th</w:t>
      </w:r>
      <w:r w:rsidRPr="00124FE3">
        <w:rPr>
          <w:bCs/>
          <w:iCs/>
        </w:rPr>
        <w:t>e</w:t>
      </w:r>
      <w:proofErr w:type="spellEnd"/>
      <w:r w:rsidRPr="00124FE3">
        <w:rPr>
          <w:bCs/>
          <w:iCs/>
        </w:rPr>
        <w:t xml:space="preserve"> </w:t>
      </w:r>
      <w:r>
        <w:t xml:space="preserve">AWS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Portuguese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judges</w:t>
      </w:r>
      <w:proofErr w:type="spellEnd"/>
      <w:r>
        <w:t xml:space="preserve">. </w:t>
      </w:r>
      <w:proofErr w:type="spellStart"/>
      <w:r>
        <w:t>Afterward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psychologists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. </w:t>
      </w:r>
      <w:proofErr w:type="spellStart"/>
      <w:r>
        <w:t>Afterward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a cognitive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consisted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cognitive interviews,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Delphi </w:t>
      </w:r>
      <w:proofErr w:type="spellStart"/>
      <w:r>
        <w:t>method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rounds.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proposes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respondents</w:t>
      </w:r>
      <w:proofErr w:type="spellEnd"/>
      <w:r>
        <w:t xml:space="preserve"> </w:t>
      </w:r>
      <w:proofErr w:type="spellStart"/>
      <w:r>
        <w:t>verbalize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mental </w:t>
      </w:r>
      <w:proofErr w:type="spellStart"/>
      <w:r>
        <w:t>process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are </w:t>
      </w:r>
      <w:proofErr w:type="spellStart"/>
      <w:r>
        <w:t>understandable</w:t>
      </w:r>
      <w:proofErr w:type="spellEnd"/>
      <w:r>
        <w:t xml:space="preserve"> and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worded</w:t>
      </w:r>
      <w:proofErr w:type="spellEnd"/>
      <w:r>
        <w:t xml:space="preserve"> (Boateng et al., 2018). </w:t>
      </w:r>
      <w:proofErr w:type="spellStart"/>
      <w:r>
        <w:t>The</w:t>
      </w:r>
      <w:proofErr w:type="spellEnd"/>
      <w:r>
        <w:t xml:space="preserve"> non-</w:t>
      </w:r>
      <w:proofErr w:type="spellStart"/>
      <w:r>
        <w:t>probabilistic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ten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and </w:t>
      </w:r>
      <w:proofErr w:type="spellStart"/>
      <w:r>
        <w:t>tenth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clarity</w:t>
      </w:r>
      <w:proofErr w:type="spellEnd"/>
      <w:r>
        <w:t xml:space="preserve">. 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adjustments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interview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’ final </w:t>
      </w:r>
      <w:proofErr w:type="spellStart"/>
      <w:r>
        <w:t>version</w:t>
      </w:r>
      <w:proofErr w:type="spellEnd"/>
      <w:r>
        <w:t>.</w:t>
      </w:r>
    </w:p>
    <w:p w14:paraId="6C68A05C" w14:textId="77777777" w:rsidR="001C1F03" w:rsidRDefault="001C1F03" w:rsidP="001C1F03">
      <w:pPr>
        <w:spacing w:line="360" w:lineRule="auto"/>
        <w:ind w:firstLine="709"/>
        <w:jc w:val="both"/>
      </w:pPr>
      <w:r>
        <w:lastRenderedPageBreak/>
        <w:t xml:space="preserve">After data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a Kaiser-Meyer-</w:t>
      </w:r>
      <w:proofErr w:type="spellStart"/>
      <w:r>
        <w:t>Olkim</w:t>
      </w:r>
      <w:proofErr w:type="spellEnd"/>
      <w:r>
        <w:t xml:space="preserve"> (KMO) 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0.91 and </w:t>
      </w:r>
      <w:proofErr w:type="spellStart"/>
      <w:r>
        <w:t>Bartlett's</w:t>
      </w:r>
      <w:proofErr w:type="spellEnd"/>
      <w:r>
        <w:t xml:space="preserve"> Test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Sphericity</w:t>
      </w:r>
      <w:proofErr w:type="spellEnd"/>
      <w:r>
        <w:t xml:space="preserve"> [X² (105) = 2500.2 p &lt; 0.001].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unidimensionality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pointed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one</w:t>
      </w:r>
      <w:proofErr w:type="spellEnd"/>
      <w:r>
        <w:t xml:space="preserve">-factor </w:t>
      </w:r>
      <w:proofErr w:type="spellStart"/>
      <w:r>
        <w:t>organization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:  </w:t>
      </w:r>
      <w:proofErr w:type="spellStart"/>
      <w:r>
        <w:t>UniCo</w:t>
      </w:r>
      <w:proofErr w:type="spellEnd"/>
      <w:r>
        <w:t xml:space="preserve">: 0.96, ECV: 0.86 and MIREAL: 0.18.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loadings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0.30, and no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consistency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Cronbach's</w:t>
      </w:r>
      <w:proofErr w:type="spellEnd"/>
      <w:r>
        <w:t xml:space="preserve"> </w:t>
      </w:r>
      <w:proofErr w:type="spellStart"/>
      <w:r>
        <w:t>alpha</w:t>
      </w:r>
      <w:proofErr w:type="spellEnd"/>
      <w:r>
        <w:t xml:space="preserve"> (0.89) and McDonald's Omega (0.90).</w:t>
      </w:r>
    </w:p>
    <w:p w14:paraId="04DCE296" w14:textId="77777777" w:rsidR="001C1F03" w:rsidRDefault="001C1F03" w:rsidP="001C1F03">
      <w:pPr>
        <w:spacing w:line="360" w:lineRule="auto"/>
        <w:ind w:firstLine="709"/>
        <w:jc w:val="both"/>
      </w:pPr>
      <w:proofErr w:type="spellStart"/>
      <w:r>
        <w:t>Besides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, a </w:t>
      </w:r>
      <w:proofErr w:type="spellStart"/>
      <w:r>
        <w:t>sociodemographic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characterize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, marital </w:t>
      </w:r>
      <w:proofErr w:type="gramStart"/>
      <w:r>
        <w:t>status</w:t>
      </w:r>
      <w:proofErr w:type="gramEnd"/>
      <w:r>
        <w:t xml:space="preserve">, sexual </w:t>
      </w:r>
      <w:proofErr w:type="spellStart"/>
      <w:r>
        <w:t>orientation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socioeconomic</w:t>
      </w:r>
      <w:proofErr w:type="spellEnd"/>
      <w:r>
        <w:t xml:space="preserve"> status and </w:t>
      </w:r>
      <w:proofErr w:type="spellStart"/>
      <w:r>
        <w:t>religiosity</w:t>
      </w:r>
      <w:proofErr w:type="spellEnd"/>
      <w:r>
        <w:t>.</w:t>
      </w:r>
    </w:p>
    <w:p w14:paraId="69585333" w14:textId="77777777" w:rsidR="006D0583" w:rsidRDefault="006D0583" w:rsidP="001C1F03">
      <w:pPr>
        <w:spacing w:line="360" w:lineRule="auto"/>
        <w:ind w:firstLine="709"/>
        <w:jc w:val="both"/>
      </w:pPr>
    </w:p>
    <w:p w14:paraId="28ED3D08" w14:textId="77777777" w:rsidR="001C1F03" w:rsidRPr="001C1F03" w:rsidRDefault="001C1F03" w:rsidP="001C1F03">
      <w:pPr>
        <w:spacing w:line="360" w:lineRule="auto"/>
        <w:jc w:val="both"/>
        <w:rPr>
          <w:b/>
          <w:i/>
        </w:rPr>
      </w:pPr>
      <w:proofErr w:type="spellStart"/>
      <w:r w:rsidRPr="001C1F03">
        <w:rPr>
          <w:b/>
          <w:i/>
        </w:rPr>
        <w:t>Procedures</w:t>
      </w:r>
      <w:proofErr w:type="spellEnd"/>
    </w:p>
    <w:p w14:paraId="304B19A6" w14:textId="77777777" w:rsidR="001C1F03" w:rsidRDefault="001C1F03" w:rsidP="001C1F03">
      <w:pPr>
        <w:spacing w:line="360" w:lineRule="auto"/>
        <w:ind w:firstLine="709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step </w:t>
      </w:r>
      <w:proofErr w:type="spellStart"/>
      <w:r>
        <w:t>consisted</w:t>
      </w:r>
      <w:proofErr w:type="spellEnd"/>
      <w:r>
        <w:t xml:space="preserve"> in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University’s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. Once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and </w:t>
      </w:r>
      <w:proofErr w:type="spellStart"/>
      <w:r>
        <w:t>approved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and cultural </w:t>
      </w:r>
      <w:proofErr w:type="spellStart"/>
      <w:r>
        <w:t>adaptation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. Data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January</w:t>
      </w:r>
      <w:proofErr w:type="spellEnd"/>
      <w:r>
        <w:t xml:space="preserve"> and June 2020,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gramStart"/>
      <w:r>
        <w:t>in social</w:t>
      </w:r>
      <w:proofErr w:type="gramEnd"/>
      <w:r>
        <w:t xml:space="preserve"> media (Facebook, Instagram, and email).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a digital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human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>.</w:t>
      </w:r>
    </w:p>
    <w:p w14:paraId="599B025F" w14:textId="77777777" w:rsidR="006D0583" w:rsidRDefault="006D0583" w:rsidP="001C1F03">
      <w:pPr>
        <w:spacing w:line="360" w:lineRule="auto"/>
        <w:ind w:firstLine="709"/>
        <w:jc w:val="both"/>
      </w:pPr>
    </w:p>
    <w:p w14:paraId="4C23C28E" w14:textId="77777777" w:rsidR="001C1F03" w:rsidRPr="001C1F03" w:rsidRDefault="001C1F03" w:rsidP="001C1F03">
      <w:pPr>
        <w:spacing w:line="360" w:lineRule="auto"/>
        <w:jc w:val="both"/>
        <w:rPr>
          <w:b/>
          <w:i/>
        </w:rPr>
      </w:pPr>
      <w:r w:rsidRPr="001C1F03">
        <w:rPr>
          <w:b/>
          <w:i/>
        </w:rPr>
        <w:t xml:space="preserve">Data </w:t>
      </w:r>
      <w:proofErr w:type="spellStart"/>
      <w:r w:rsidRPr="001C1F03">
        <w:rPr>
          <w:b/>
          <w:i/>
        </w:rPr>
        <w:t>analysis</w:t>
      </w:r>
      <w:proofErr w:type="spellEnd"/>
    </w:p>
    <w:p w14:paraId="12EBA5D8" w14:textId="77777777" w:rsidR="001C1F03" w:rsidRDefault="001C1F03" w:rsidP="001C1F03">
      <w:pPr>
        <w:spacing w:line="360" w:lineRule="auto"/>
        <w:jc w:val="both"/>
      </w:pPr>
      <w:r>
        <w:rPr>
          <w:b/>
          <w:i/>
        </w:rPr>
        <w:tab/>
      </w:r>
      <w:r>
        <w:t xml:space="preserve">SPSS and </w:t>
      </w:r>
      <w:proofErr w:type="spellStart"/>
      <w:r>
        <w:t>Process</w:t>
      </w:r>
      <w:proofErr w:type="spellEnd"/>
      <w:r>
        <w:t xml:space="preserve"> Macro v4.1 (Hayes, 2022)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: descriptive </w:t>
      </w:r>
      <w:proofErr w:type="spellStart"/>
      <w:r>
        <w:t>statistics</w:t>
      </w:r>
      <w:proofErr w:type="spellEnd"/>
      <w:r>
        <w:t xml:space="preserve">, </w:t>
      </w:r>
      <w:proofErr w:type="spellStart"/>
      <w:r>
        <w:t>bivariate</w:t>
      </w:r>
      <w:proofErr w:type="spellEnd"/>
      <w:r>
        <w:t xml:space="preserve"> </w:t>
      </w:r>
      <w:proofErr w:type="spellStart"/>
      <w:r>
        <w:t>correlations</w:t>
      </w:r>
      <w:proofErr w:type="spellEnd"/>
      <w:r>
        <w:t xml:space="preserve"> (</w:t>
      </w:r>
      <w:proofErr w:type="spellStart"/>
      <w:r>
        <w:t>to</w:t>
      </w:r>
      <w:proofErr w:type="spellEnd"/>
      <w:r>
        <w:t xml:space="preserve"> observe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and </w:t>
      </w:r>
      <w:proofErr w:type="spellStart"/>
      <w:r>
        <w:t>attitudes</w:t>
      </w:r>
      <w:proofErr w:type="spellEnd"/>
      <w:r>
        <w:t xml:space="preserve">), and </w:t>
      </w:r>
      <w:proofErr w:type="spellStart"/>
      <w:r>
        <w:t>moderation</w:t>
      </w:r>
      <w:proofErr w:type="spellEnd"/>
      <w:r>
        <w:t xml:space="preserve"> (</w:t>
      </w:r>
      <w:proofErr w:type="spellStart"/>
      <w:r>
        <w:t>aiming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moderating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).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moderation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Cribari</w:t>
      </w:r>
      <w:proofErr w:type="spellEnd"/>
      <w:r>
        <w:t xml:space="preserve">-Neto </w:t>
      </w:r>
      <w:proofErr w:type="spellStart"/>
      <w:r>
        <w:t>heteroscedasticity-consistence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>.</w:t>
      </w:r>
    </w:p>
    <w:p w14:paraId="3D898B43" w14:textId="77777777" w:rsidR="006D0583" w:rsidRDefault="006D0583" w:rsidP="001C1F03">
      <w:pPr>
        <w:spacing w:line="360" w:lineRule="auto"/>
        <w:jc w:val="both"/>
      </w:pPr>
    </w:p>
    <w:p w14:paraId="7546044A" w14:textId="77777777" w:rsidR="001C1F03" w:rsidRDefault="001C1F03" w:rsidP="00296B03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Results</w:t>
      </w:r>
      <w:proofErr w:type="spellEnd"/>
    </w:p>
    <w:p w14:paraId="1A1F8D43" w14:textId="77777777" w:rsidR="001C1F03" w:rsidRDefault="001C1F03" w:rsidP="001C1F03">
      <w:pPr>
        <w:spacing w:line="360" w:lineRule="auto"/>
        <w:jc w:val="both"/>
        <w:rPr>
          <w:b/>
          <w:i/>
        </w:rPr>
      </w:pPr>
      <w:proofErr w:type="spellStart"/>
      <w:r>
        <w:rPr>
          <w:b/>
          <w:i/>
        </w:rPr>
        <w:t>Bivariate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Correlations</w:t>
      </w:r>
      <w:proofErr w:type="spellEnd"/>
    </w:p>
    <w:p w14:paraId="477AF8EA" w14:textId="77777777" w:rsidR="001C1F03" w:rsidRDefault="001C1F03" w:rsidP="001C1F03">
      <w:pPr>
        <w:spacing w:line="360" w:lineRule="auto"/>
        <w:ind w:firstLine="720"/>
        <w:jc w:val="both"/>
      </w:pPr>
      <w:proofErr w:type="spellStart"/>
      <w:r>
        <w:t>Initially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and </w:t>
      </w:r>
      <w:proofErr w:type="spellStart"/>
      <w:r>
        <w:t>sociodemographic</w:t>
      </w:r>
      <w:proofErr w:type="spellEnd"/>
      <w:r>
        <w:t xml:space="preserve"> variables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(</w:t>
      </w:r>
      <w:r>
        <w:rPr>
          <w:b/>
        </w:rPr>
        <w:t>Table 1</w:t>
      </w:r>
      <w:r>
        <w:t xml:space="preserve">), and a positive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(r = 0.15, p &lt; 0.01)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male </w:t>
      </w:r>
      <w:proofErr w:type="spellStart"/>
      <w:r>
        <w:t>gender</w:t>
      </w:r>
      <w:proofErr w:type="spellEnd"/>
      <w:r>
        <w:t xml:space="preserve"> (r = 0.13, p &lt; 0.05).</w:t>
      </w:r>
    </w:p>
    <w:p w14:paraId="2CF8DF70" w14:textId="77777777" w:rsidR="001C1F03" w:rsidRDefault="001C1F03" w:rsidP="001C1F03">
      <w:pPr>
        <w:spacing w:line="360" w:lineRule="auto"/>
        <w:ind w:firstLine="720"/>
        <w:jc w:val="both"/>
      </w:pPr>
    </w:p>
    <w:p w14:paraId="6D731AD4" w14:textId="77777777" w:rsidR="001C1F03" w:rsidRPr="001C1F03" w:rsidRDefault="001C1F03" w:rsidP="001C1F03">
      <w:pPr>
        <w:spacing w:line="360" w:lineRule="auto"/>
        <w:rPr>
          <w:bCs/>
        </w:rPr>
      </w:pPr>
      <w:r w:rsidRPr="001C1F03">
        <w:rPr>
          <w:bCs/>
        </w:rPr>
        <w:t xml:space="preserve">Table 1. </w:t>
      </w:r>
    </w:p>
    <w:p w14:paraId="73D9290E" w14:textId="77777777" w:rsidR="001C1F03" w:rsidRPr="001C1F03" w:rsidRDefault="001C1F03" w:rsidP="001C1F03">
      <w:pPr>
        <w:spacing w:line="360" w:lineRule="auto"/>
        <w:rPr>
          <w:i/>
          <w:iCs/>
        </w:rPr>
      </w:pPr>
      <w:r w:rsidRPr="001C1F03">
        <w:rPr>
          <w:i/>
          <w:iCs/>
        </w:rPr>
        <w:lastRenderedPageBreak/>
        <w:t xml:space="preserve">Mean, Standard </w:t>
      </w:r>
      <w:proofErr w:type="spellStart"/>
      <w:r w:rsidRPr="001C1F03">
        <w:rPr>
          <w:i/>
          <w:iCs/>
        </w:rPr>
        <w:t>Deviations</w:t>
      </w:r>
      <w:proofErr w:type="spellEnd"/>
      <w:r w:rsidRPr="001C1F03">
        <w:rPr>
          <w:i/>
          <w:iCs/>
        </w:rPr>
        <w:t xml:space="preserve"> and </w:t>
      </w:r>
      <w:proofErr w:type="spellStart"/>
      <w:r w:rsidRPr="001C1F03">
        <w:rPr>
          <w:i/>
          <w:iCs/>
        </w:rPr>
        <w:t>Bivariate</w:t>
      </w:r>
      <w:proofErr w:type="spellEnd"/>
      <w:r w:rsidRPr="001C1F03">
        <w:rPr>
          <w:i/>
          <w:iCs/>
        </w:rPr>
        <w:t xml:space="preserve"> </w:t>
      </w:r>
      <w:proofErr w:type="spellStart"/>
      <w:r w:rsidRPr="001C1F03">
        <w:rPr>
          <w:i/>
          <w:iCs/>
        </w:rPr>
        <w:t>Correlations</w:t>
      </w:r>
      <w:proofErr w:type="spellEnd"/>
      <w:r w:rsidRPr="001C1F03">
        <w:rPr>
          <w:i/>
          <w:iCs/>
        </w:rPr>
        <w:t>.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740"/>
        <w:gridCol w:w="1095"/>
        <w:gridCol w:w="1035"/>
        <w:gridCol w:w="945"/>
      </w:tblGrid>
      <w:tr w:rsidR="001C1F03" w14:paraId="516CCD10" w14:textId="77777777" w:rsidTr="008C5BB3">
        <w:tc>
          <w:tcPr>
            <w:tcW w:w="420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E99B" w14:textId="77777777" w:rsidR="001C1F03" w:rsidRDefault="001C1F03" w:rsidP="008C5BB3">
            <w:pPr>
              <w:widowControl w:val="0"/>
              <w:jc w:val="center"/>
            </w:pPr>
            <w:r>
              <w:t>Variables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D254" w14:textId="77777777" w:rsidR="001C1F03" w:rsidRDefault="001C1F03" w:rsidP="008C5BB3">
            <w:pPr>
              <w:widowControl w:val="0"/>
              <w:jc w:val="center"/>
            </w:pPr>
            <w:r>
              <w:t>Mean</w:t>
            </w:r>
          </w:p>
          <w:p w14:paraId="5CEF8D19" w14:textId="77777777" w:rsidR="001C1F03" w:rsidRDefault="001C1F03" w:rsidP="008C5BB3">
            <w:pPr>
              <w:widowControl w:val="0"/>
              <w:jc w:val="center"/>
            </w:pPr>
            <w:r>
              <w:t>(SD)</w:t>
            </w:r>
          </w:p>
        </w:tc>
        <w:tc>
          <w:tcPr>
            <w:tcW w:w="109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D4D7" w14:textId="77777777" w:rsidR="001C1F03" w:rsidRDefault="001C1F03" w:rsidP="008C5BB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375C" w14:textId="77777777" w:rsidR="001C1F03" w:rsidRDefault="001C1F03" w:rsidP="008C5BB3">
            <w:pPr>
              <w:widowControl w:val="0"/>
              <w:jc w:val="center"/>
            </w:pPr>
            <w:r>
              <w:t>2</w:t>
            </w:r>
          </w:p>
        </w:tc>
        <w:tc>
          <w:tcPr>
            <w:tcW w:w="94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BCFC" w14:textId="77777777" w:rsidR="001C1F03" w:rsidRDefault="001C1F03" w:rsidP="008C5BB3">
            <w:pPr>
              <w:widowControl w:val="0"/>
              <w:jc w:val="center"/>
            </w:pPr>
            <w:r>
              <w:t>3</w:t>
            </w:r>
          </w:p>
        </w:tc>
      </w:tr>
      <w:tr w:rsidR="001C1F03" w14:paraId="5B3F8A98" w14:textId="77777777" w:rsidTr="008C5BB3">
        <w:tc>
          <w:tcPr>
            <w:tcW w:w="4200" w:type="dxa"/>
            <w:tcBorders>
              <w:left w:val="nil"/>
              <w:bottom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BD85" w14:textId="77777777" w:rsidR="001C1F03" w:rsidRDefault="001C1F03" w:rsidP="008C5BB3">
            <w:pPr>
              <w:widowControl w:val="0"/>
              <w:jc w:val="center"/>
            </w:pPr>
            <w:r>
              <w:t xml:space="preserve">1- </w:t>
            </w:r>
            <w:proofErr w:type="spellStart"/>
            <w:r>
              <w:t>Attitudes</w:t>
            </w:r>
            <w:proofErr w:type="spellEnd"/>
            <w:r>
              <w:t xml:space="preserve"> </w:t>
            </w:r>
            <w:proofErr w:type="spellStart"/>
            <w:r>
              <w:t>towards</w:t>
            </w:r>
            <w:proofErr w:type="spellEnd"/>
            <w:r>
              <w:t xml:space="preserve"> </w:t>
            </w:r>
            <w:proofErr w:type="spellStart"/>
            <w:r>
              <w:t>Women</w:t>
            </w:r>
            <w:proofErr w:type="spellEnd"/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87EE" w14:textId="77777777" w:rsidR="001C1F03" w:rsidRDefault="001C1F03" w:rsidP="008C5BB3">
            <w:pPr>
              <w:widowControl w:val="0"/>
              <w:jc w:val="center"/>
            </w:pPr>
            <w:r>
              <w:t>1.44</w:t>
            </w:r>
          </w:p>
          <w:p w14:paraId="258DB5E4" w14:textId="77777777" w:rsidR="001C1F03" w:rsidRDefault="001C1F03" w:rsidP="008C5BB3">
            <w:pPr>
              <w:widowControl w:val="0"/>
              <w:jc w:val="center"/>
            </w:pPr>
            <w:r>
              <w:t>(0.46)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AC0B" w14:textId="77777777" w:rsidR="001C1F03" w:rsidRDefault="001C1F03" w:rsidP="008C5BB3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left w:val="nil"/>
              <w:bottom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EF06" w14:textId="77777777" w:rsidR="001C1F03" w:rsidRDefault="001C1F03" w:rsidP="008C5BB3">
            <w:pPr>
              <w:widowControl w:val="0"/>
              <w:jc w:val="center"/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8888" w14:textId="77777777" w:rsidR="001C1F03" w:rsidRDefault="001C1F03" w:rsidP="008C5BB3">
            <w:pPr>
              <w:widowControl w:val="0"/>
              <w:jc w:val="center"/>
            </w:pPr>
          </w:p>
        </w:tc>
      </w:tr>
      <w:tr w:rsidR="001C1F03" w14:paraId="38E3C6E0" w14:textId="77777777" w:rsidTr="008C5BB3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C41C" w14:textId="77777777" w:rsidR="001C1F03" w:rsidRDefault="001C1F03" w:rsidP="008C5BB3">
            <w:pPr>
              <w:widowControl w:val="0"/>
              <w:jc w:val="center"/>
            </w:pPr>
            <w:r>
              <w:t>2- Age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264F" w14:textId="77777777" w:rsidR="001C1F03" w:rsidRDefault="001C1F03" w:rsidP="008C5BB3">
            <w:pPr>
              <w:widowControl w:val="0"/>
              <w:jc w:val="center"/>
            </w:pPr>
            <w:r>
              <w:t>31.17</w:t>
            </w:r>
          </w:p>
          <w:p w14:paraId="19CE9120" w14:textId="77777777" w:rsidR="001C1F03" w:rsidRDefault="001C1F03" w:rsidP="008C5BB3">
            <w:pPr>
              <w:widowControl w:val="0"/>
              <w:jc w:val="center"/>
            </w:pPr>
            <w:r>
              <w:t>(10.99)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25BC" w14:textId="77777777" w:rsidR="001C1F03" w:rsidRDefault="001C1F03" w:rsidP="008C5BB3">
            <w:pPr>
              <w:widowControl w:val="0"/>
              <w:jc w:val="center"/>
            </w:pPr>
            <w:r>
              <w:t>.15**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5E1B" w14:textId="77777777" w:rsidR="001C1F03" w:rsidRDefault="001C1F03" w:rsidP="008C5BB3">
            <w:pPr>
              <w:widowControl w:val="0"/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3695" w14:textId="77777777" w:rsidR="001C1F03" w:rsidRDefault="001C1F03" w:rsidP="008C5BB3">
            <w:pPr>
              <w:widowControl w:val="0"/>
              <w:jc w:val="center"/>
            </w:pPr>
          </w:p>
        </w:tc>
      </w:tr>
      <w:tr w:rsidR="001C1F03" w14:paraId="362068F6" w14:textId="77777777" w:rsidTr="008C5BB3">
        <w:tc>
          <w:tcPr>
            <w:tcW w:w="4200" w:type="dxa"/>
            <w:tcBorders>
              <w:top w:val="nil"/>
              <w:left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4390" w14:textId="77777777" w:rsidR="001C1F03" w:rsidRDefault="001C1F03" w:rsidP="008C5BB3">
            <w:pPr>
              <w:widowControl w:val="0"/>
              <w:jc w:val="center"/>
            </w:pPr>
            <w:r>
              <w:t xml:space="preserve">3- </w:t>
            </w:r>
            <w:proofErr w:type="spellStart"/>
            <w:r>
              <w:t>Gender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AA06" w14:textId="77777777" w:rsidR="001C1F03" w:rsidRDefault="001C1F03" w:rsidP="008C5BB3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A9A8" w14:textId="77777777" w:rsidR="001C1F03" w:rsidRDefault="001C1F03" w:rsidP="008C5BB3">
            <w:pPr>
              <w:widowControl w:val="0"/>
              <w:jc w:val="center"/>
            </w:pPr>
            <w:r>
              <w:t>.13*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6713" w14:textId="77777777" w:rsidR="001C1F03" w:rsidRDefault="001C1F03" w:rsidP="008C5BB3">
            <w:pPr>
              <w:widowControl w:val="0"/>
              <w:jc w:val="center"/>
            </w:pPr>
            <w:r>
              <w:t>.03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23F6" w14:textId="77777777" w:rsidR="001C1F03" w:rsidRDefault="001C1F03" w:rsidP="008C5BB3">
            <w:pPr>
              <w:widowControl w:val="0"/>
              <w:jc w:val="center"/>
            </w:pPr>
            <w:r>
              <w:t>-</w:t>
            </w:r>
          </w:p>
        </w:tc>
      </w:tr>
    </w:tbl>
    <w:p w14:paraId="146781FB" w14:textId="77777777" w:rsidR="001C1F03" w:rsidRDefault="001C1F03" w:rsidP="001C1F03">
      <w:pPr>
        <w:spacing w:line="480" w:lineRule="auto"/>
      </w:pPr>
      <w:r>
        <w:t xml:space="preserve">Note: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coded</w:t>
      </w:r>
      <w:proofErr w:type="spellEnd"/>
      <w:r>
        <w:t xml:space="preserve"> as: 0 = </w:t>
      </w:r>
      <w:proofErr w:type="spellStart"/>
      <w:r>
        <w:t>Women</w:t>
      </w:r>
      <w:proofErr w:type="spellEnd"/>
      <w:r>
        <w:t xml:space="preserve">, 1 = </w:t>
      </w:r>
      <w:proofErr w:type="spellStart"/>
      <w:r>
        <w:t>Men</w:t>
      </w:r>
      <w:proofErr w:type="spellEnd"/>
      <w:r>
        <w:t>.</w:t>
      </w:r>
    </w:p>
    <w:p w14:paraId="24E44999" w14:textId="77777777" w:rsidR="006D0583" w:rsidRDefault="006D0583" w:rsidP="001C1F03">
      <w:pPr>
        <w:spacing w:line="480" w:lineRule="auto"/>
      </w:pPr>
    </w:p>
    <w:p w14:paraId="51C220A2" w14:textId="77777777" w:rsidR="001C1F03" w:rsidRDefault="001C1F03" w:rsidP="001C1F03">
      <w:pPr>
        <w:spacing w:line="480" w:lineRule="auto"/>
        <w:rPr>
          <w:b/>
          <w:i/>
        </w:rPr>
      </w:pPr>
      <w:proofErr w:type="spellStart"/>
      <w:r>
        <w:rPr>
          <w:b/>
          <w:i/>
        </w:rPr>
        <w:t>Moderation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Analysis</w:t>
      </w:r>
      <w:proofErr w:type="spellEnd"/>
    </w:p>
    <w:p w14:paraId="0D67F5A8" w14:textId="01AB463C" w:rsidR="001C1F03" w:rsidRDefault="001C1F03" w:rsidP="001C1F03">
      <w:pPr>
        <w:spacing w:line="360" w:lineRule="auto"/>
        <w:ind w:firstLine="720"/>
        <w:jc w:val="both"/>
      </w:pP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moderating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and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. As can be </w:t>
      </w:r>
      <w:proofErr w:type="spellStart"/>
      <w:r>
        <w:t>seen</w:t>
      </w:r>
      <w:proofErr w:type="spellEnd"/>
      <w:r>
        <w:t xml:space="preserve"> in </w:t>
      </w:r>
      <w:r>
        <w:rPr>
          <w:b/>
        </w:rPr>
        <w:t>Table 2</w:t>
      </w:r>
      <w:r>
        <w:t xml:space="preserve"> and </w:t>
      </w:r>
      <w:r>
        <w:rPr>
          <w:b/>
        </w:rPr>
        <w:t>Figure 1</w:t>
      </w:r>
      <w:r>
        <w:t xml:space="preserve">, </w:t>
      </w:r>
      <w:proofErr w:type="spellStart"/>
      <w:r>
        <w:t>moderation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(b = 0.03, t = 2.36, p = 0.02):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has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more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in </w:t>
      </w:r>
      <w:proofErr w:type="spellStart"/>
      <w:r>
        <w:t>men</w:t>
      </w:r>
      <w:proofErr w:type="spellEnd"/>
      <w:r>
        <w:t>.</w:t>
      </w:r>
    </w:p>
    <w:p w14:paraId="6005212C" w14:textId="77777777" w:rsidR="006D0583" w:rsidRDefault="006D0583" w:rsidP="001C1F03">
      <w:pPr>
        <w:spacing w:line="360" w:lineRule="auto"/>
        <w:ind w:firstLine="720"/>
        <w:jc w:val="both"/>
      </w:pPr>
    </w:p>
    <w:p w14:paraId="6847ED32" w14:textId="77777777" w:rsidR="001C1F03" w:rsidRPr="00670533" w:rsidRDefault="001C1F03" w:rsidP="00670533">
      <w:pPr>
        <w:rPr>
          <w:bCs/>
        </w:rPr>
      </w:pPr>
      <w:r w:rsidRPr="00670533">
        <w:rPr>
          <w:bCs/>
        </w:rPr>
        <w:t xml:space="preserve">Table 2. </w:t>
      </w:r>
    </w:p>
    <w:p w14:paraId="2A6375BA" w14:textId="77777777" w:rsidR="001C1F03" w:rsidRPr="00670533" w:rsidRDefault="001C1F03" w:rsidP="00670533">
      <w:pPr>
        <w:rPr>
          <w:i/>
          <w:iCs/>
        </w:rPr>
      </w:pPr>
      <w:proofErr w:type="spellStart"/>
      <w:r w:rsidRPr="00670533">
        <w:rPr>
          <w:i/>
          <w:iCs/>
        </w:rPr>
        <w:t>Moderation</w:t>
      </w:r>
      <w:proofErr w:type="spellEnd"/>
      <w:r w:rsidRPr="00670533">
        <w:rPr>
          <w:i/>
          <w:iCs/>
        </w:rPr>
        <w:t xml:space="preserve"> </w:t>
      </w:r>
      <w:proofErr w:type="spellStart"/>
      <w:r w:rsidRPr="00670533">
        <w:rPr>
          <w:i/>
          <w:iCs/>
        </w:rPr>
        <w:t>Model</w:t>
      </w:r>
      <w:proofErr w:type="spellEnd"/>
      <w:r w:rsidRPr="00670533">
        <w:rPr>
          <w:i/>
          <w:iCs/>
        </w:rPr>
        <w:t xml:space="preserve"> </w:t>
      </w:r>
      <w:proofErr w:type="spellStart"/>
      <w:r w:rsidRPr="00670533">
        <w:rPr>
          <w:i/>
          <w:iCs/>
        </w:rPr>
        <w:t>Effects</w:t>
      </w:r>
      <w:proofErr w:type="spellEnd"/>
      <w:r w:rsidRPr="00670533">
        <w:rPr>
          <w:i/>
          <w:iCs/>
        </w:rPr>
        <w:t>.</w:t>
      </w:r>
    </w:p>
    <w:tbl>
      <w:tblPr>
        <w:tblW w:w="849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1650"/>
        <w:gridCol w:w="1740"/>
        <w:gridCol w:w="996"/>
        <w:gridCol w:w="993"/>
      </w:tblGrid>
      <w:tr w:rsidR="001C1F03" w14:paraId="6922123E" w14:textId="77777777" w:rsidTr="008C5BB3"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44A81CE3" w14:textId="77777777" w:rsidR="001C1F03" w:rsidRDefault="001C1F03" w:rsidP="008C5BB3">
            <w:pPr>
              <w:spacing w:line="360" w:lineRule="auto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</w:tcBorders>
          </w:tcPr>
          <w:p w14:paraId="006912C6" w14:textId="77777777" w:rsidR="001C1F03" w:rsidRDefault="001C1F03" w:rsidP="008C5BB3">
            <w:pPr>
              <w:spacing w:line="360" w:lineRule="auto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Coefficient</w:t>
            </w:r>
            <w:proofErr w:type="spellEnd"/>
            <w:r>
              <w:rPr>
                <w:b/>
                <w:i/>
              </w:rPr>
              <w:t xml:space="preserve"> (b)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 w14:paraId="5A01F565" w14:textId="77777777" w:rsidR="001C1F03" w:rsidRDefault="001C1F03" w:rsidP="008C5BB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Standard Error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182FF7C4" w14:textId="77777777" w:rsidR="001C1F03" w:rsidRDefault="001C1F03" w:rsidP="008C5BB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340D46D" w14:textId="77777777" w:rsidR="001C1F03" w:rsidRDefault="001C1F03" w:rsidP="008C5BB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1C1F03" w14:paraId="291ED00B" w14:textId="77777777" w:rsidTr="008C5BB3">
        <w:tc>
          <w:tcPr>
            <w:tcW w:w="3118" w:type="dxa"/>
            <w:tcBorders>
              <w:top w:val="single" w:sz="4" w:space="0" w:color="000000"/>
            </w:tcBorders>
          </w:tcPr>
          <w:p w14:paraId="5B22BAA7" w14:textId="77777777" w:rsidR="001C1F03" w:rsidRDefault="001C1F03" w:rsidP="008C5BB3">
            <w:pPr>
              <w:spacing w:line="360" w:lineRule="auto"/>
              <w:jc w:val="center"/>
            </w:pPr>
            <w:proofErr w:type="spellStart"/>
            <w:r>
              <w:t>Constant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</w:tcBorders>
            <w:vAlign w:val="center"/>
          </w:tcPr>
          <w:p w14:paraId="5E5F7940" w14:textId="77777777" w:rsidR="001C1F03" w:rsidRDefault="001C1F03" w:rsidP="008C5BB3">
            <w:pPr>
              <w:spacing w:line="360" w:lineRule="auto"/>
              <w:jc w:val="center"/>
            </w:pPr>
            <w:r>
              <w:t>1.51</w:t>
            </w:r>
          </w:p>
        </w:tc>
        <w:tc>
          <w:tcPr>
            <w:tcW w:w="1740" w:type="dxa"/>
            <w:tcBorders>
              <w:top w:val="single" w:sz="4" w:space="0" w:color="000000"/>
            </w:tcBorders>
            <w:vAlign w:val="center"/>
          </w:tcPr>
          <w:p w14:paraId="0FBB6B43" w14:textId="77777777" w:rsidR="001C1F03" w:rsidRDefault="001C1F03" w:rsidP="008C5BB3">
            <w:pPr>
              <w:spacing w:line="360" w:lineRule="auto"/>
              <w:jc w:val="center"/>
            </w:pPr>
            <w:r>
              <w:t>0.03</w:t>
            </w:r>
          </w:p>
        </w:tc>
        <w:tc>
          <w:tcPr>
            <w:tcW w:w="996" w:type="dxa"/>
            <w:tcBorders>
              <w:top w:val="single" w:sz="4" w:space="0" w:color="000000"/>
            </w:tcBorders>
            <w:vAlign w:val="center"/>
          </w:tcPr>
          <w:p w14:paraId="240EA91B" w14:textId="77777777" w:rsidR="001C1F03" w:rsidRDefault="001C1F03" w:rsidP="008C5BB3">
            <w:pPr>
              <w:spacing w:line="360" w:lineRule="auto"/>
              <w:jc w:val="center"/>
            </w:pPr>
            <w:r>
              <w:t>46.76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617A3A63" w14:textId="77777777" w:rsidR="001C1F03" w:rsidRDefault="001C1F03" w:rsidP="008C5BB3">
            <w:pPr>
              <w:spacing w:line="360" w:lineRule="auto"/>
              <w:jc w:val="center"/>
            </w:pPr>
            <w:r>
              <w:t>0.01</w:t>
            </w:r>
          </w:p>
        </w:tc>
      </w:tr>
      <w:tr w:rsidR="001C1F03" w14:paraId="5EB809C9" w14:textId="77777777" w:rsidTr="008C5BB3">
        <w:tc>
          <w:tcPr>
            <w:tcW w:w="3118" w:type="dxa"/>
            <w:shd w:val="clear" w:color="auto" w:fill="CCCCCC"/>
          </w:tcPr>
          <w:p w14:paraId="1E1FF4F0" w14:textId="77777777" w:rsidR="001C1F03" w:rsidRDefault="001C1F03" w:rsidP="008C5BB3">
            <w:pPr>
              <w:spacing w:line="360" w:lineRule="auto"/>
              <w:jc w:val="center"/>
            </w:pPr>
            <w:r>
              <w:t>Age (X)</w:t>
            </w:r>
          </w:p>
        </w:tc>
        <w:tc>
          <w:tcPr>
            <w:tcW w:w="1650" w:type="dxa"/>
            <w:shd w:val="clear" w:color="auto" w:fill="CCCCCC"/>
            <w:vAlign w:val="center"/>
          </w:tcPr>
          <w:p w14:paraId="4B0464D7" w14:textId="77777777" w:rsidR="001C1F03" w:rsidRDefault="001C1F03" w:rsidP="008C5BB3">
            <w:pPr>
              <w:spacing w:line="360" w:lineRule="auto"/>
              <w:jc w:val="center"/>
            </w:pPr>
            <w:r>
              <w:t>0.01</w:t>
            </w:r>
          </w:p>
        </w:tc>
        <w:tc>
          <w:tcPr>
            <w:tcW w:w="1740" w:type="dxa"/>
            <w:shd w:val="clear" w:color="auto" w:fill="CCCCCC"/>
            <w:vAlign w:val="center"/>
          </w:tcPr>
          <w:p w14:paraId="029D7B27" w14:textId="77777777" w:rsidR="001C1F03" w:rsidRDefault="001C1F03" w:rsidP="008C5BB3">
            <w:pPr>
              <w:spacing w:line="360" w:lineRule="auto"/>
              <w:jc w:val="center"/>
            </w:pPr>
            <w:r>
              <w:t>0.01</w:t>
            </w:r>
          </w:p>
        </w:tc>
        <w:tc>
          <w:tcPr>
            <w:tcW w:w="996" w:type="dxa"/>
            <w:shd w:val="clear" w:color="auto" w:fill="CCCCCC"/>
            <w:vAlign w:val="center"/>
          </w:tcPr>
          <w:p w14:paraId="6E8A41FC" w14:textId="77777777" w:rsidR="001C1F03" w:rsidRDefault="001C1F03" w:rsidP="008C5BB3">
            <w:pPr>
              <w:spacing w:line="360" w:lineRule="auto"/>
              <w:jc w:val="center"/>
            </w:pPr>
            <w:r>
              <w:t>1.62</w:t>
            </w:r>
          </w:p>
        </w:tc>
        <w:tc>
          <w:tcPr>
            <w:tcW w:w="993" w:type="dxa"/>
            <w:shd w:val="clear" w:color="auto" w:fill="CCCCCC"/>
            <w:vAlign w:val="center"/>
          </w:tcPr>
          <w:p w14:paraId="491250F1" w14:textId="77777777" w:rsidR="001C1F03" w:rsidRDefault="001C1F03" w:rsidP="008C5BB3">
            <w:pPr>
              <w:spacing w:line="360" w:lineRule="auto"/>
              <w:jc w:val="center"/>
            </w:pPr>
            <w:r>
              <w:t>0.10</w:t>
            </w:r>
          </w:p>
        </w:tc>
      </w:tr>
      <w:tr w:rsidR="001C1F03" w14:paraId="5B5905F4" w14:textId="77777777" w:rsidTr="008C5BB3">
        <w:tc>
          <w:tcPr>
            <w:tcW w:w="3118" w:type="dxa"/>
          </w:tcPr>
          <w:p w14:paraId="555C54DC" w14:textId="77777777" w:rsidR="001C1F03" w:rsidRDefault="001C1F03" w:rsidP="008C5BB3">
            <w:pPr>
              <w:spacing w:line="360" w:lineRule="auto"/>
              <w:jc w:val="center"/>
            </w:pPr>
            <w:proofErr w:type="spellStart"/>
            <w:r>
              <w:t>Gender</w:t>
            </w:r>
            <w:proofErr w:type="spellEnd"/>
            <w:r>
              <w:t xml:space="preserve"> (W)</w:t>
            </w:r>
          </w:p>
        </w:tc>
        <w:tc>
          <w:tcPr>
            <w:tcW w:w="1650" w:type="dxa"/>
            <w:vAlign w:val="center"/>
          </w:tcPr>
          <w:p w14:paraId="52306AE4" w14:textId="77777777" w:rsidR="001C1F03" w:rsidRDefault="001C1F03" w:rsidP="008C5BB3">
            <w:pPr>
              <w:spacing w:line="360" w:lineRule="auto"/>
              <w:jc w:val="center"/>
            </w:pPr>
            <w:r>
              <w:t>0.14</w:t>
            </w:r>
          </w:p>
        </w:tc>
        <w:tc>
          <w:tcPr>
            <w:tcW w:w="1740" w:type="dxa"/>
            <w:vAlign w:val="center"/>
          </w:tcPr>
          <w:p w14:paraId="2681870B" w14:textId="77777777" w:rsidR="001C1F03" w:rsidRDefault="001C1F03" w:rsidP="008C5BB3">
            <w:pPr>
              <w:spacing w:line="360" w:lineRule="auto"/>
              <w:jc w:val="center"/>
            </w:pPr>
            <w:r>
              <w:t>0.09</w:t>
            </w:r>
          </w:p>
        </w:tc>
        <w:tc>
          <w:tcPr>
            <w:tcW w:w="996" w:type="dxa"/>
            <w:vAlign w:val="center"/>
          </w:tcPr>
          <w:p w14:paraId="52267F25" w14:textId="77777777" w:rsidR="001C1F03" w:rsidRDefault="001C1F03" w:rsidP="008C5BB3">
            <w:pPr>
              <w:spacing w:line="360" w:lineRule="auto"/>
              <w:jc w:val="center"/>
            </w:pPr>
            <w:r>
              <w:t>1.52</w:t>
            </w:r>
          </w:p>
        </w:tc>
        <w:tc>
          <w:tcPr>
            <w:tcW w:w="993" w:type="dxa"/>
            <w:vAlign w:val="center"/>
          </w:tcPr>
          <w:p w14:paraId="29E89997" w14:textId="77777777" w:rsidR="001C1F03" w:rsidRDefault="001C1F03" w:rsidP="008C5BB3">
            <w:pPr>
              <w:spacing w:line="360" w:lineRule="auto"/>
              <w:jc w:val="center"/>
            </w:pPr>
            <w:r>
              <w:t>0.12</w:t>
            </w:r>
          </w:p>
        </w:tc>
      </w:tr>
      <w:tr w:rsidR="001C1F03" w14:paraId="49924FB6" w14:textId="77777777" w:rsidTr="008C5BB3">
        <w:tc>
          <w:tcPr>
            <w:tcW w:w="3118" w:type="dxa"/>
            <w:tcBorders>
              <w:bottom w:val="single" w:sz="4" w:space="0" w:color="000000"/>
            </w:tcBorders>
            <w:shd w:val="clear" w:color="auto" w:fill="CCCCCC"/>
          </w:tcPr>
          <w:p w14:paraId="01464227" w14:textId="77777777" w:rsidR="001C1F03" w:rsidRDefault="001C1F03" w:rsidP="008C5BB3">
            <w:pPr>
              <w:spacing w:line="360" w:lineRule="auto"/>
              <w:jc w:val="center"/>
            </w:pPr>
            <w:r>
              <w:t xml:space="preserve">Age * </w:t>
            </w:r>
            <w:proofErr w:type="spellStart"/>
            <w:r>
              <w:t>Gender</w:t>
            </w:r>
            <w:proofErr w:type="spellEnd"/>
            <w:r>
              <w:t xml:space="preserve"> (X*W)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7F6483D8" w14:textId="77777777" w:rsidR="001C1F03" w:rsidRDefault="001C1F03" w:rsidP="008C5BB3">
            <w:pPr>
              <w:spacing w:line="360" w:lineRule="auto"/>
              <w:jc w:val="center"/>
            </w:pPr>
            <w:r>
              <w:t>0.03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4E22DFB8" w14:textId="77777777" w:rsidR="001C1F03" w:rsidRDefault="001C1F03" w:rsidP="008C5BB3">
            <w:pPr>
              <w:spacing w:line="360" w:lineRule="auto"/>
              <w:jc w:val="center"/>
            </w:pPr>
            <w:r>
              <w:t>0.01</w:t>
            </w:r>
          </w:p>
        </w:tc>
        <w:tc>
          <w:tcPr>
            <w:tcW w:w="996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2AED6A97" w14:textId="77777777" w:rsidR="001C1F03" w:rsidRDefault="001C1F03" w:rsidP="008C5BB3">
            <w:pPr>
              <w:spacing w:line="360" w:lineRule="auto"/>
              <w:jc w:val="center"/>
            </w:pPr>
            <w:r>
              <w:t>2.36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711EE70A" w14:textId="77777777" w:rsidR="001C1F03" w:rsidRDefault="001C1F03" w:rsidP="008C5BB3">
            <w:pPr>
              <w:spacing w:line="360" w:lineRule="auto"/>
              <w:jc w:val="center"/>
            </w:pPr>
            <w:r>
              <w:t>0.02</w:t>
            </w:r>
          </w:p>
        </w:tc>
      </w:tr>
      <w:tr w:rsidR="001C1F03" w14:paraId="26C5905A" w14:textId="77777777" w:rsidTr="008C5BB3">
        <w:tc>
          <w:tcPr>
            <w:tcW w:w="849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D08D44F" w14:textId="77777777" w:rsidR="001C1F03" w:rsidRDefault="001C1F03" w:rsidP="008C5BB3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Conditional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Effects</w:t>
            </w:r>
            <w:proofErr w:type="spellEnd"/>
            <w:r>
              <w:rPr>
                <w:b/>
              </w:rPr>
              <w:t xml:space="preserve"> (W)</w:t>
            </w:r>
          </w:p>
        </w:tc>
      </w:tr>
      <w:tr w:rsidR="001C1F03" w14:paraId="235D3F1F" w14:textId="77777777" w:rsidTr="008C5BB3">
        <w:tc>
          <w:tcPr>
            <w:tcW w:w="3118" w:type="dxa"/>
            <w:tcBorders>
              <w:top w:val="single" w:sz="4" w:space="0" w:color="000000"/>
            </w:tcBorders>
            <w:shd w:val="clear" w:color="auto" w:fill="CCCCCC"/>
          </w:tcPr>
          <w:p w14:paraId="043F8246" w14:textId="77777777" w:rsidR="001C1F03" w:rsidRDefault="001C1F03" w:rsidP="008C5BB3">
            <w:pPr>
              <w:spacing w:line="360" w:lineRule="auto"/>
              <w:jc w:val="center"/>
            </w:pPr>
            <w:proofErr w:type="spellStart"/>
            <w:r>
              <w:t>Women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</w:tcBorders>
            <w:shd w:val="clear" w:color="auto" w:fill="CCCCCC"/>
          </w:tcPr>
          <w:p w14:paraId="1375660A" w14:textId="77777777" w:rsidR="001C1F03" w:rsidRDefault="001C1F03" w:rsidP="008C5BB3">
            <w:pPr>
              <w:spacing w:line="360" w:lineRule="auto"/>
              <w:jc w:val="center"/>
            </w:pPr>
            <w:r>
              <w:t>0.01</w:t>
            </w:r>
          </w:p>
        </w:tc>
        <w:tc>
          <w:tcPr>
            <w:tcW w:w="1740" w:type="dxa"/>
            <w:tcBorders>
              <w:top w:val="single" w:sz="4" w:space="0" w:color="000000"/>
            </w:tcBorders>
            <w:shd w:val="clear" w:color="auto" w:fill="CCCCCC"/>
          </w:tcPr>
          <w:p w14:paraId="19D8405D" w14:textId="77777777" w:rsidR="001C1F03" w:rsidRDefault="001C1F03" w:rsidP="008C5BB3">
            <w:pPr>
              <w:spacing w:line="360" w:lineRule="auto"/>
              <w:jc w:val="center"/>
            </w:pPr>
            <w:r>
              <w:t>0.01</w:t>
            </w:r>
          </w:p>
        </w:tc>
        <w:tc>
          <w:tcPr>
            <w:tcW w:w="996" w:type="dxa"/>
            <w:tcBorders>
              <w:top w:val="single" w:sz="4" w:space="0" w:color="000000"/>
            </w:tcBorders>
            <w:shd w:val="clear" w:color="auto" w:fill="CCCCCC"/>
          </w:tcPr>
          <w:p w14:paraId="1829E224" w14:textId="77777777" w:rsidR="001C1F03" w:rsidRDefault="001C1F03" w:rsidP="008C5BB3">
            <w:pPr>
              <w:spacing w:line="360" w:lineRule="auto"/>
              <w:jc w:val="center"/>
            </w:pPr>
            <w:r>
              <w:t>1.62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CCCCCC"/>
          </w:tcPr>
          <w:p w14:paraId="19D534F4" w14:textId="77777777" w:rsidR="001C1F03" w:rsidRDefault="001C1F03" w:rsidP="008C5BB3">
            <w:pPr>
              <w:spacing w:line="360" w:lineRule="auto"/>
              <w:jc w:val="center"/>
            </w:pPr>
            <w:r>
              <w:t>0.10</w:t>
            </w:r>
          </w:p>
        </w:tc>
      </w:tr>
      <w:tr w:rsidR="001C1F03" w14:paraId="29FCC298" w14:textId="77777777" w:rsidTr="008C5BB3">
        <w:tc>
          <w:tcPr>
            <w:tcW w:w="3118" w:type="dxa"/>
            <w:tcBorders>
              <w:bottom w:val="single" w:sz="4" w:space="0" w:color="000000"/>
            </w:tcBorders>
          </w:tcPr>
          <w:p w14:paraId="4B4B50DE" w14:textId="77777777" w:rsidR="001C1F03" w:rsidRDefault="001C1F03" w:rsidP="008C5BB3">
            <w:pPr>
              <w:spacing w:line="360" w:lineRule="auto"/>
              <w:jc w:val="center"/>
            </w:pPr>
            <w:proofErr w:type="spellStart"/>
            <w:r>
              <w:t>Men</w:t>
            </w:r>
            <w:proofErr w:type="spellEnd"/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236A2EDD" w14:textId="77777777" w:rsidR="001C1F03" w:rsidRDefault="001C1F03" w:rsidP="008C5BB3">
            <w:pPr>
              <w:spacing w:line="360" w:lineRule="auto"/>
              <w:jc w:val="center"/>
            </w:pPr>
            <w:r>
              <w:t>0.03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3B94A270" w14:textId="77777777" w:rsidR="001C1F03" w:rsidRDefault="001C1F03" w:rsidP="008C5BB3">
            <w:pPr>
              <w:spacing w:line="360" w:lineRule="auto"/>
              <w:jc w:val="center"/>
            </w:pPr>
            <w:r>
              <w:t>0.01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14:paraId="50286779" w14:textId="77777777" w:rsidR="001C1F03" w:rsidRDefault="001C1F03" w:rsidP="008C5BB3">
            <w:pPr>
              <w:spacing w:line="360" w:lineRule="auto"/>
              <w:jc w:val="center"/>
            </w:pPr>
            <w:r>
              <w:t>2.86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39165D0E" w14:textId="77777777" w:rsidR="001C1F03" w:rsidRDefault="001C1F03" w:rsidP="008C5BB3">
            <w:pPr>
              <w:spacing w:line="360" w:lineRule="auto"/>
              <w:jc w:val="center"/>
            </w:pPr>
            <w:r>
              <w:t>0.01</w:t>
            </w:r>
          </w:p>
        </w:tc>
      </w:tr>
    </w:tbl>
    <w:p w14:paraId="7F2DBA65" w14:textId="77777777" w:rsidR="001C1F03" w:rsidRPr="001C1F03" w:rsidRDefault="001C1F03" w:rsidP="001C1F03">
      <w:pPr>
        <w:spacing w:line="360" w:lineRule="auto"/>
        <w:ind w:firstLine="720"/>
        <w:jc w:val="both"/>
        <w:rPr>
          <w:bCs/>
        </w:rPr>
      </w:pPr>
    </w:p>
    <w:p w14:paraId="287B2E72" w14:textId="5A37FA95" w:rsidR="001C1F03" w:rsidRPr="00E25900" w:rsidRDefault="00670533" w:rsidP="00670533">
      <w:pPr>
        <w:pStyle w:val="Ttulosinternos"/>
        <w:jc w:val="left"/>
      </w:pPr>
      <w:r>
        <w:rPr>
          <w:noProof/>
        </w:rPr>
        <w:lastRenderedPageBreak/>
        <w:drawing>
          <wp:inline distT="114300" distB="114300" distL="114300" distR="114300" wp14:anchorId="309515EC" wp14:editId="6276D8DF">
            <wp:extent cx="5731200" cy="4559300"/>
            <wp:effectExtent l="0" t="0" r="0" b="0"/>
            <wp:docPr id="1240161674" name="Imagem 1240161674" descr="Gráfic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61674" name="Imagem 1240161674" descr="Gráfico&#10;&#10;Descrição gerada automaticament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5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535628" w14:textId="15893EE2" w:rsidR="00670533" w:rsidRDefault="00670533" w:rsidP="00670533">
      <w:pPr>
        <w:spacing w:line="360" w:lineRule="auto"/>
      </w:pPr>
      <w:r w:rsidRPr="00670533">
        <w:rPr>
          <w:bCs/>
          <w:i/>
          <w:iCs/>
        </w:rPr>
        <w:t xml:space="preserve">Figure 1. </w:t>
      </w:r>
      <w:r>
        <w:t xml:space="preserve">Age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gender</w:t>
      </w:r>
      <w:proofErr w:type="spellEnd"/>
      <w:r>
        <w:t>.</w:t>
      </w:r>
    </w:p>
    <w:p w14:paraId="7F1CF8FF" w14:textId="77777777" w:rsidR="00670533" w:rsidRDefault="00670533" w:rsidP="00670533">
      <w:pPr>
        <w:spacing w:line="360" w:lineRule="auto"/>
      </w:pPr>
    </w:p>
    <w:p w14:paraId="2B8EE7C1" w14:textId="77777777" w:rsidR="00670533" w:rsidRDefault="00670533" w:rsidP="00670533">
      <w:pPr>
        <w:spacing w:line="480" w:lineRule="auto"/>
        <w:rPr>
          <w:b/>
        </w:rPr>
      </w:pPr>
      <w:proofErr w:type="spellStart"/>
      <w:r>
        <w:rPr>
          <w:b/>
        </w:rPr>
        <w:t>Partial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Discussion</w:t>
      </w:r>
      <w:proofErr w:type="spellEnd"/>
    </w:p>
    <w:p w14:paraId="245DA245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explore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and </w:t>
      </w:r>
      <w:proofErr w:type="spellStart"/>
      <w:r>
        <w:t>attitudes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gender’s</w:t>
      </w:r>
      <w:proofErr w:type="spellEnd"/>
      <w:r>
        <w:t xml:space="preserve"> </w:t>
      </w:r>
      <w:proofErr w:type="spellStart"/>
      <w:r>
        <w:t>moderating</w:t>
      </w:r>
      <w:proofErr w:type="spellEnd"/>
      <w:r>
        <w:t xml:space="preserve"> role.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moderated</w:t>
      </w:r>
      <w:proofErr w:type="spellEnd"/>
      <w:r>
        <w:t xml:space="preserve"> </w:t>
      </w:r>
      <w:proofErr w:type="spellStart"/>
      <w:r>
        <w:t>age’s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: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men</w:t>
      </w:r>
      <w:proofErr w:type="spellEnd"/>
      <w:r>
        <w:t xml:space="preserve">,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chance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traditionalist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. In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ages</w:t>
      </w:r>
      <w:proofErr w:type="spellEnd"/>
      <w:r>
        <w:t xml:space="preserve">, </w:t>
      </w:r>
      <w:proofErr w:type="spellStart"/>
      <w:r>
        <w:t>traditional</w:t>
      </w:r>
      <w:proofErr w:type="spellEnd"/>
      <w:r>
        <w:t xml:space="preserve"> and conservative </w:t>
      </w:r>
      <w:proofErr w:type="spellStart"/>
      <w:r>
        <w:t>values</w:t>
      </w:r>
      <w:proofErr w:type="spellEnd"/>
      <w:r>
        <w:t xml:space="preserve"> are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(Gouveia et al., 2015).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rape </w:t>
      </w:r>
      <w:proofErr w:type="spellStart"/>
      <w:r>
        <w:t>myth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gramStart"/>
      <w:r>
        <w:t>shows</w:t>
      </w:r>
      <w:proofErr w:type="gram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(Sierra et al., 2010). 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variable,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scenario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more </w:t>
      </w:r>
      <w:proofErr w:type="spellStart"/>
      <w:r>
        <w:t>worrying</w:t>
      </w:r>
      <w:proofErr w:type="spellEnd"/>
      <w:r>
        <w:t xml:space="preserve">. </w:t>
      </w:r>
    </w:p>
    <w:p w14:paraId="3726EBA9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Dickman</w:t>
      </w:r>
      <w:proofErr w:type="spellEnd"/>
      <w:r>
        <w:t xml:space="preserve">-Burnett et al. (2021)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victim-blame</w:t>
      </w:r>
      <w:proofErr w:type="spellEnd"/>
      <w:r>
        <w:t xml:space="preserve"> </w:t>
      </w:r>
      <w:proofErr w:type="gramStart"/>
      <w:r>
        <w:t>show</w:t>
      </w:r>
      <w:proofErr w:type="gramEnd"/>
      <w:r>
        <w:t xml:space="preserve"> </w:t>
      </w:r>
      <w:proofErr w:type="spellStart"/>
      <w:r>
        <w:t>higher</w:t>
      </w:r>
      <w:proofErr w:type="spellEnd"/>
      <w:r>
        <w:t xml:space="preserve"> scores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traditionalism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traditionalism</w:t>
      </w:r>
      <w:proofErr w:type="spellEnd"/>
      <w:r>
        <w:t xml:space="preserve"> and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scores are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traditionalists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rape </w:t>
      </w:r>
      <w:proofErr w:type="spellStart"/>
      <w:r>
        <w:t>justification</w:t>
      </w:r>
      <w:proofErr w:type="spellEnd"/>
      <w:r>
        <w:t xml:space="preserve">. Bolton </w:t>
      </w:r>
      <w:r>
        <w:lastRenderedPageBreak/>
        <w:t xml:space="preserve">&amp; </w:t>
      </w:r>
      <w:proofErr w:type="spellStart"/>
      <w:r>
        <w:t>DiLalla</w:t>
      </w:r>
      <w:proofErr w:type="spellEnd"/>
      <w:r>
        <w:t xml:space="preserve"> (2007)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rape can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accidentally</w:t>
      </w:r>
      <w:proofErr w:type="spellEnd"/>
      <w:r>
        <w:t xml:space="preserve"> are more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rape </w:t>
      </w:r>
      <w:proofErr w:type="spellStart"/>
      <w:r>
        <w:t>laws</w:t>
      </w:r>
      <w:proofErr w:type="spellEnd"/>
      <w:r>
        <w:t xml:space="preserve"> are </w:t>
      </w:r>
      <w:proofErr w:type="spellStart"/>
      <w:r>
        <w:t>unfair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hold</w:t>
      </w:r>
      <w:proofErr w:type="spellEnd"/>
      <w:r>
        <w:t xml:space="preserve"> onto rape </w:t>
      </w:r>
      <w:proofErr w:type="spellStart"/>
      <w:r>
        <w:t>justifying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rape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implicit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sexual </w:t>
      </w:r>
      <w:proofErr w:type="spellStart"/>
      <w:r>
        <w:t>violence</w:t>
      </w:r>
      <w:proofErr w:type="spellEnd"/>
      <w:r>
        <w:t xml:space="preserve"> and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likelihood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sexual </w:t>
      </w:r>
      <w:proofErr w:type="spellStart"/>
      <w:r>
        <w:t>violence</w:t>
      </w:r>
      <w:proofErr w:type="spellEnd"/>
      <w:r>
        <w:t xml:space="preserve"> (Nunes et al., 2013).  Lev-Wiesel (2004) </w:t>
      </w:r>
      <w:proofErr w:type="spellStart"/>
      <w:r>
        <w:t>conducted</w:t>
      </w:r>
      <w:proofErr w:type="spellEnd"/>
      <w:r>
        <w:t xml:space="preserve">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men’s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rape and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rapists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impulsive and </w:t>
      </w:r>
      <w:proofErr w:type="spellStart"/>
      <w:r>
        <w:t>lacked</w:t>
      </w:r>
      <w:proofErr w:type="spellEnd"/>
      <w:r>
        <w:t xml:space="preserve"> control,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contradicting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rape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act</w:t>
      </w:r>
      <w:proofErr w:type="spellEnd"/>
      <w:r>
        <w:t>.</w:t>
      </w:r>
    </w:p>
    <w:p w14:paraId="6B2B8DE1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variable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role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Brazilians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has </w:t>
      </w:r>
      <w:proofErr w:type="spellStart"/>
      <w:r>
        <w:t>correlated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contexts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a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and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. </w:t>
      </w:r>
    </w:p>
    <w:p w14:paraId="4A735B78" w14:textId="77777777" w:rsidR="008131AB" w:rsidRDefault="008131AB" w:rsidP="00670533">
      <w:pPr>
        <w:spacing w:line="360" w:lineRule="auto"/>
        <w:ind w:firstLine="720"/>
        <w:jc w:val="both"/>
      </w:pPr>
    </w:p>
    <w:p w14:paraId="685F0D93" w14:textId="77777777" w:rsidR="00670533" w:rsidRDefault="00670533" w:rsidP="00670533">
      <w:pPr>
        <w:spacing w:line="480" w:lineRule="auto"/>
        <w:ind w:firstLine="709"/>
        <w:jc w:val="center"/>
        <w:rPr>
          <w:b/>
        </w:rPr>
      </w:pPr>
      <w:proofErr w:type="spellStart"/>
      <w:r>
        <w:rPr>
          <w:b/>
        </w:rPr>
        <w:t>Study</w:t>
      </w:r>
      <w:proofErr w:type="spellEnd"/>
      <w:r>
        <w:rPr>
          <w:b/>
        </w:rPr>
        <w:t xml:space="preserve"> 2</w:t>
      </w:r>
    </w:p>
    <w:p w14:paraId="2198BD3C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variable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, </w:t>
      </w:r>
      <w:proofErr w:type="spellStart"/>
      <w:r>
        <w:t>aiming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test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explanatory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</w:p>
    <w:p w14:paraId="1D37D742" w14:textId="77777777" w:rsidR="006D0583" w:rsidRDefault="006D0583" w:rsidP="00670533">
      <w:pPr>
        <w:spacing w:line="480" w:lineRule="auto"/>
        <w:jc w:val="center"/>
        <w:rPr>
          <w:b/>
        </w:rPr>
      </w:pPr>
    </w:p>
    <w:p w14:paraId="7BA07D43" w14:textId="2EAC25EE" w:rsidR="00670533" w:rsidRDefault="00670533" w:rsidP="00670533">
      <w:pPr>
        <w:spacing w:line="480" w:lineRule="auto"/>
        <w:jc w:val="center"/>
        <w:rPr>
          <w:b/>
        </w:rPr>
      </w:pPr>
      <w:proofErr w:type="spellStart"/>
      <w:r>
        <w:rPr>
          <w:b/>
        </w:rPr>
        <w:t>Method</w:t>
      </w:r>
      <w:proofErr w:type="spellEnd"/>
    </w:p>
    <w:p w14:paraId="56F264B5" w14:textId="77777777" w:rsidR="00670533" w:rsidRDefault="00670533" w:rsidP="00670533">
      <w:pPr>
        <w:spacing w:line="480" w:lineRule="auto"/>
        <w:rPr>
          <w:b/>
          <w:i/>
        </w:rPr>
      </w:pPr>
      <w:proofErr w:type="spellStart"/>
      <w:r>
        <w:rPr>
          <w:b/>
          <w:i/>
        </w:rPr>
        <w:t>Participants</w:t>
      </w:r>
      <w:proofErr w:type="spellEnd"/>
    </w:p>
    <w:p w14:paraId="2C0E46DA" w14:textId="77777777" w:rsidR="00670533" w:rsidRDefault="00670533" w:rsidP="00670533">
      <w:pPr>
        <w:spacing w:line="360" w:lineRule="auto"/>
        <w:ind w:firstLine="709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composed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261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population</w:t>
      </w:r>
      <w:proofErr w:type="spellEnd"/>
      <w:r>
        <w:t xml:space="preserve">. Age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18 and 69 </w:t>
      </w:r>
      <w:proofErr w:type="spellStart"/>
      <w:r>
        <w:t>years</w:t>
      </w:r>
      <w:proofErr w:type="spellEnd"/>
      <w:r>
        <w:t xml:space="preserve"> (M = 29.14, SD = 10.14, SE = 0.62).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(75.8%), </w:t>
      </w:r>
      <w:proofErr w:type="gramStart"/>
      <w:r>
        <w:t>single</w:t>
      </w:r>
      <w:proofErr w:type="gramEnd"/>
      <w:r>
        <w:t xml:space="preserve"> (43.6%), and heterosexual (73%).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incomplete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(41.7%), and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(58.7%).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a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0.90, </w:t>
      </w:r>
      <w:proofErr w:type="spellStart"/>
      <w:r>
        <w:t>indicating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and RMSEA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hypothesized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(Zhang &amp; </w:t>
      </w:r>
      <w:proofErr w:type="gramStart"/>
      <w:r>
        <w:t>Yuan</w:t>
      </w:r>
      <w:proofErr w:type="gramEnd"/>
      <w:r>
        <w:t>, 2018).</w:t>
      </w:r>
    </w:p>
    <w:p w14:paraId="0EAA313D" w14:textId="77777777" w:rsidR="008131AB" w:rsidRDefault="008131AB" w:rsidP="00670533">
      <w:pPr>
        <w:spacing w:line="360" w:lineRule="auto"/>
        <w:ind w:firstLine="709"/>
        <w:jc w:val="both"/>
        <w:rPr>
          <w:b/>
          <w:i/>
        </w:rPr>
      </w:pPr>
    </w:p>
    <w:p w14:paraId="3AC0DD88" w14:textId="77777777" w:rsidR="00670533" w:rsidRDefault="00670533" w:rsidP="00670533">
      <w:pPr>
        <w:spacing w:line="360" w:lineRule="auto"/>
        <w:jc w:val="both"/>
        <w:rPr>
          <w:b/>
          <w:i/>
        </w:rPr>
      </w:pPr>
      <w:r>
        <w:rPr>
          <w:b/>
          <w:i/>
        </w:rPr>
        <w:t>Instruments</w:t>
      </w:r>
    </w:p>
    <w:p w14:paraId="13FF7710" w14:textId="77777777" w:rsidR="00670533" w:rsidRDefault="00670533" w:rsidP="00670533">
      <w:pPr>
        <w:spacing w:line="360" w:lineRule="auto"/>
        <w:jc w:val="both"/>
      </w:pPr>
      <w:r>
        <w:rPr>
          <w:b/>
          <w:i/>
        </w:rPr>
        <w:tab/>
      </w:r>
      <w:proofErr w:type="spellStart"/>
      <w:r>
        <w:t>Besides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AWS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sociodemographic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measure</w:t>
      </w:r>
      <w:proofErr w:type="spellEnd"/>
      <w:r>
        <w:t>.</w:t>
      </w:r>
    </w:p>
    <w:p w14:paraId="4A874D52" w14:textId="77777777" w:rsidR="00670533" w:rsidRDefault="00670533" w:rsidP="00670533">
      <w:pPr>
        <w:spacing w:line="360" w:lineRule="auto"/>
        <w:ind w:firstLine="709"/>
        <w:jc w:val="both"/>
        <w:rPr>
          <w:b/>
          <w:i/>
        </w:rPr>
      </w:pPr>
      <w:proofErr w:type="spellStart"/>
      <w:r>
        <w:rPr>
          <w:b/>
          <w:i/>
        </w:rPr>
        <w:t>Ambivalent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Sexism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Inventory</w:t>
      </w:r>
      <w:proofErr w:type="spellEnd"/>
      <w:r>
        <w:rPr>
          <w:b/>
          <w:i/>
        </w:rPr>
        <w:t xml:space="preserve"> (ISA) (</w:t>
      </w:r>
      <w:proofErr w:type="spellStart"/>
      <w:r>
        <w:rPr>
          <w:b/>
          <w:i/>
        </w:rPr>
        <w:t>Glick</w:t>
      </w:r>
      <w:proofErr w:type="spellEnd"/>
      <w:r>
        <w:rPr>
          <w:b/>
          <w:i/>
        </w:rPr>
        <w:t xml:space="preserve"> and Fiske, 1996) </w:t>
      </w:r>
    </w:p>
    <w:p w14:paraId="43AE1895" w14:textId="77777777" w:rsidR="00670533" w:rsidRDefault="00670533" w:rsidP="00670533">
      <w:pPr>
        <w:spacing w:line="360" w:lineRule="auto"/>
        <w:ind w:firstLine="709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Inventory</w:t>
      </w:r>
      <w:proofErr w:type="spellEnd"/>
      <w:r>
        <w:t xml:space="preserve"> (ISA)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validated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Formiga</w:t>
      </w:r>
      <w:proofErr w:type="spellEnd"/>
      <w:r>
        <w:t xml:space="preserve"> et al. (2002).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composed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22 </w:t>
      </w:r>
      <w:proofErr w:type="spellStart"/>
      <w:r>
        <w:t>items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lastRenderedPageBreak/>
        <w:t>appreciate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do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wanted</w:t>
      </w:r>
      <w:proofErr w:type="spellEnd"/>
      <w:r>
        <w:t xml:space="preserve"> and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)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: </w:t>
      </w:r>
      <w:proofErr w:type="spellStart"/>
      <w:r>
        <w:t>benevolent</w:t>
      </w:r>
      <w:proofErr w:type="spellEnd"/>
      <w:r>
        <w:t xml:space="preserve"> (α = 0.66) and </w:t>
      </w:r>
      <w:proofErr w:type="spellStart"/>
      <w:r>
        <w:t>hostile</w:t>
      </w:r>
      <w:proofErr w:type="spellEnd"/>
      <w:r>
        <w:t xml:space="preserve"> (α = 0.77).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answered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Likert-</w:t>
      </w:r>
      <w:proofErr w:type="spellStart"/>
      <w:r>
        <w:t>type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ranging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 =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Disagree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4 =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. </w:t>
      </w:r>
    </w:p>
    <w:p w14:paraId="62F57527" w14:textId="77777777" w:rsidR="008131AB" w:rsidRDefault="008131AB" w:rsidP="00670533">
      <w:pPr>
        <w:spacing w:line="360" w:lineRule="auto"/>
        <w:ind w:firstLine="709"/>
        <w:jc w:val="both"/>
        <w:rPr>
          <w:b/>
          <w:i/>
        </w:rPr>
      </w:pPr>
    </w:p>
    <w:p w14:paraId="7AF00DF9" w14:textId="29D66A51" w:rsidR="008131AB" w:rsidRDefault="00670533" w:rsidP="00670533">
      <w:pPr>
        <w:spacing w:line="360" w:lineRule="auto"/>
        <w:jc w:val="both"/>
        <w:rPr>
          <w:b/>
          <w:i/>
        </w:rPr>
      </w:pPr>
      <w:proofErr w:type="spellStart"/>
      <w:r>
        <w:rPr>
          <w:b/>
          <w:i/>
        </w:rPr>
        <w:t>Procedures</w:t>
      </w:r>
      <w:proofErr w:type="spellEnd"/>
      <w:r>
        <w:rPr>
          <w:b/>
          <w:i/>
        </w:rPr>
        <w:t xml:space="preserve"> </w:t>
      </w:r>
    </w:p>
    <w:p w14:paraId="42F08E30" w14:textId="77777777" w:rsidR="00670533" w:rsidRDefault="00670533" w:rsidP="00670533">
      <w:pPr>
        <w:spacing w:line="360" w:lineRule="auto"/>
        <w:ind w:firstLine="709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</w:p>
    <w:p w14:paraId="6CE79F30" w14:textId="77777777" w:rsidR="008131AB" w:rsidRDefault="008131AB" w:rsidP="00670533">
      <w:pPr>
        <w:spacing w:line="360" w:lineRule="auto"/>
        <w:ind w:firstLine="709"/>
        <w:jc w:val="both"/>
      </w:pPr>
    </w:p>
    <w:p w14:paraId="218BA7CC" w14:textId="77777777" w:rsidR="00670533" w:rsidRDefault="00670533" w:rsidP="00670533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Data </w:t>
      </w:r>
      <w:proofErr w:type="spellStart"/>
      <w:r>
        <w:rPr>
          <w:b/>
          <w:i/>
        </w:rPr>
        <w:t>analysis</w:t>
      </w:r>
      <w:proofErr w:type="spellEnd"/>
    </w:p>
    <w:p w14:paraId="05B10738" w14:textId="77777777" w:rsidR="00670533" w:rsidRDefault="00670533" w:rsidP="00670533">
      <w:pPr>
        <w:spacing w:line="360" w:lineRule="auto"/>
        <w:ind w:firstLine="709"/>
        <w:jc w:val="both"/>
        <w:rPr>
          <w:b/>
        </w:rPr>
      </w:pPr>
      <w:proofErr w:type="spellStart"/>
      <w:r>
        <w:t>For</w:t>
      </w:r>
      <w:proofErr w:type="spellEnd"/>
      <w:r>
        <w:t xml:space="preserve"> data </w:t>
      </w:r>
      <w:proofErr w:type="spellStart"/>
      <w:r>
        <w:t>tabulation</w:t>
      </w:r>
      <w:proofErr w:type="spellEnd"/>
      <w:r>
        <w:t xml:space="preserve"> and </w:t>
      </w:r>
      <w:proofErr w:type="spellStart"/>
      <w:r>
        <w:t>analysis</w:t>
      </w:r>
      <w:proofErr w:type="spellEnd"/>
      <w:r>
        <w:t xml:space="preserve">, SPSS 24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. </w:t>
      </w:r>
      <w:proofErr w:type="spellStart"/>
      <w:r>
        <w:t>Specifically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bivariate</w:t>
      </w:r>
      <w:proofErr w:type="spellEnd"/>
      <w:r>
        <w:t xml:space="preserve"> </w:t>
      </w:r>
      <w:proofErr w:type="spellStart"/>
      <w:r>
        <w:t>correlations</w:t>
      </w:r>
      <w:proofErr w:type="spellEnd"/>
      <w:r>
        <w:t xml:space="preserve">, and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regression</w:t>
      </w:r>
      <w:proofErr w:type="spellEnd"/>
      <w:r>
        <w:t xml:space="preserve"> (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) </w:t>
      </w:r>
      <w:proofErr w:type="spellStart"/>
      <w:r>
        <w:t>aiming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observe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variables. </w:t>
      </w:r>
    </w:p>
    <w:p w14:paraId="130E9431" w14:textId="1601A9CC" w:rsidR="008131AB" w:rsidRPr="008131AB" w:rsidRDefault="00670533" w:rsidP="008131AB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Results</w:t>
      </w:r>
      <w:proofErr w:type="spellEnd"/>
    </w:p>
    <w:p w14:paraId="745B1BA0" w14:textId="77777777" w:rsidR="00670533" w:rsidRDefault="00670533" w:rsidP="00670533">
      <w:pPr>
        <w:spacing w:line="360" w:lineRule="auto"/>
        <w:jc w:val="both"/>
        <w:rPr>
          <w:b/>
        </w:rPr>
      </w:pPr>
      <w:proofErr w:type="spellStart"/>
      <w:r>
        <w:rPr>
          <w:b/>
        </w:rPr>
        <w:t>Bivariate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Correlations</w:t>
      </w:r>
      <w:proofErr w:type="spellEnd"/>
    </w:p>
    <w:p w14:paraId="663FBBD7" w14:textId="77777777" w:rsidR="00670533" w:rsidRDefault="00670533" w:rsidP="00670533">
      <w:pPr>
        <w:spacing w:line="360" w:lineRule="auto"/>
        <w:ind w:firstLine="720"/>
        <w:jc w:val="both"/>
      </w:pPr>
      <w:r>
        <w:t xml:space="preserve">As </w:t>
      </w:r>
      <w:proofErr w:type="spellStart"/>
      <w:r>
        <w:t>showed</w:t>
      </w:r>
      <w:proofErr w:type="spellEnd"/>
      <w:r>
        <w:t xml:space="preserve"> in </w:t>
      </w:r>
      <w:r>
        <w:rPr>
          <w:b/>
        </w:rPr>
        <w:t>Table 3</w:t>
      </w:r>
      <w:r>
        <w:t xml:space="preserve">, </w:t>
      </w:r>
      <w:proofErr w:type="spellStart"/>
      <w:r>
        <w:t>the</w:t>
      </w:r>
      <w:proofErr w:type="spellEnd"/>
      <w:r>
        <w:t xml:space="preserve"> AWS </w:t>
      </w:r>
      <w:proofErr w:type="spellStart"/>
      <w:r>
        <w:t>had</w:t>
      </w:r>
      <w:proofErr w:type="spellEnd"/>
      <w:r>
        <w:t xml:space="preserve"> positive </w:t>
      </w:r>
      <w:proofErr w:type="spellStart"/>
      <w:r>
        <w:t>correlations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(r = 0.52, p &lt; 0.01) and </w:t>
      </w:r>
      <w:proofErr w:type="spellStart"/>
      <w:r>
        <w:t>benevolent</w:t>
      </w:r>
      <w:proofErr w:type="spellEnd"/>
      <w:r>
        <w:t xml:space="preserve"> (r = 0.46, p &lt; 0.01) </w:t>
      </w:r>
      <w:proofErr w:type="spellStart"/>
      <w:r>
        <w:t>sexism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age</w:t>
      </w:r>
      <w:proofErr w:type="spellEnd"/>
      <w:r>
        <w:t xml:space="preserve"> (r = 0.14, p &lt; 0.05).</w:t>
      </w:r>
    </w:p>
    <w:p w14:paraId="6124FA36" w14:textId="77777777" w:rsidR="00670533" w:rsidRDefault="00670533" w:rsidP="00670533">
      <w:pPr>
        <w:spacing w:line="360" w:lineRule="auto"/>
        <w:ind w:firstLine="720"/>
        <w:jc w:val="both"/>
        <w:rPr>
          <w:b/>
        </w:rPr>
      </w:pPr>
    </w:p>
    <w:p w14:paraId="6589737F" w14:textId="77777777" w:rsidR="00670533" w:rsidRPr="00670533" w:rsidRDefault="00670533" w:rsidP="00670533">
      <w:pPr>
        <w:rPr>
          <w:bCs/>
        </w:rPr>
      </w:pPr>
      <w:r w:rsidRPr="00670533">
        <w:rPr>
          <w:bCs/>
        </w:rPr>
        <w:t xml:space="preserve">Table 3. </w:t>
      </w:r>
    </w:p>
    <w:p w14:paraId="6520B377" w14:textId="77777777" w:rsidR="00670533" w:rsidRDefault="00670533" w:rsidP="00670533">
      <w:pPr>
        <w:rPr>
          <w:i/>
        </w:rPr>
      </w:pPr>
      <w:proofErr w:type="spellStart"/>
      <w:r>
        <w:rPr>
          <w:i/>
        </w:rPr>
        <w:t>Means</w:t>
      </w:r>
      <w:proofErr w:type="spellEnd"/>
      <w:r>
        <w:rPr>
          <w:i/>
        </w:rPr>
        <w:t xml:space="preserve">, Standard </w:t>
      </w:r>
      <w:proofErr w:type="spellStart"/>
      <w:r>
        <w:rPr>
          <w:i/>
        </w:rPr>
        <w:t>Deviations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Bivariate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Correlations</w:t>
      </w:r>
      <w:proofErr w:type="spellEnd"/>
    </w:p>
    <w:tbl>
      <w:tblPr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575"/>
        <w:gridCol w:w="1005"/>
        <w:gridCol w:w="915"/>
        <w:gridCol w:w="975"/>
        <w:gridCol w:w="1065"/>
        <w:gridCol w:w="1290"/>
      </w:tblGrid>
      <w:tr w:rsidR="00670533" w14:paraId="6CA6844F" w14:textId="77777777" w:rsidTr="008C5BB3">
        <w:trPr>
          <w:trHeight w:val="1144"/>
        </w:trPr>
        <w:tc>
          <w:tcPr>
            <w:tcW w:w="2160" w:type="dxa"/>
            <w:tcBorders>
              <w:top w:val="single" w:sz="8" w:space="0" w:color="808080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BE63" w14:textId="77777777" w:rsidR="00670533" w:rsidRDefault="00670533" w:rsidP="008C5BB3">
            <w:pPr>
              <w:widowControl w:val="0"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Variables</w:t>
            </w:r>
          </w:p>
        </w:tc>
        <w:tc>
          <w:tcPr>
            <w:tcW w:w="1575" w:type="dxa"/>
            <w:tcBorders>
              <w:top w:val="single" w:sz="8" w:space="0" w:color="808080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B3DC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Mean</w:t>
            </w:r>
          </w:p>
          <w:p w14:paraId="1F9DB4DF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(SD)</w:t>
            </w:r>
          </w:p>
        </w:tc>
        <w:tc>
          <w:tcPr>
            <w:tcW w:w="1005" w:type="dxa"/>
            <w:tcBorders>
              <w:top w:val="single" w:sz="8" w:space="0" w:color="808080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A077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8" w:space="0" w:color="808080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935A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2</w:t>
            </w:r>
          </w:p>
        </w:tc>
        <w:tc>
          <w:tcPr>
            <w:tcW w:w="975" w:type="dxa"/>
            <w:tcBorders>
              <w:top w:val="single" w:sz="8" w:space="0" w:color="808080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BE48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8" w:space="0" w:color="808080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CF89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4</w:t>
            </w:r>
          </w:p>
        </w:tc>
        <w:tc>
          <w:tcPr>
            <w:tcW w:w="1290" w:type="dxa"/>
            <w:tcBorders>
              <w:top w:val="single" w:sz="8" w:space="0" w:color="808080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8C84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5</w:t>
            </w:r>
          </w:p>
        </w:tc>
      </w:tr>
      <w:tr w:rsidR="00670533" w14:paraId="22D5A892" w14:textId="77777777" w:rsidTr="008C5BB3">
        <w:tc>
          <w:tcPr>
            <w:tcW w:w="2160" w:type="dxa"/>
            <w:tcBorders>
              <w:top w:val="single" w:sz="8" w:space="0" w:color="808080"/>
              <w:left w:val="single" w:sz="8" w:space="0" w:color="FFFFFF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BB51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1- AWS</w:t>
            </w:r>
          </w:p>
        </w:tc>
        <w:tc>
          <w:tcPr>
            <w:tcW w:w="1575" w:type="dxa"/>
            <w:tcBorders>
              <w:top w:val="single" w:sz="8" w:space="0" w:color="808080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EC90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1.32</w:t>
            </w:r>
          </w:p>
          <w:p w14:paraId="35843DDC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(0.33)</w:t>
            </w:r>
          </w:p>
        </w:tc>
        <w:tc>
          <w:tcPr>
            <w:tcW w:w="1005" w:type="dxa"/>
            <w:tcBorders>
              <w:top w:val="single" w:sz="8" w:space="0" w:color="808080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E9D4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8" w:space="0" w:color="808080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39BD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  <w:tc>
          <w:tcPr>
            <w:tcW w:w="975" w:type="dxa"/>
            <w:tcBorders>
              <w:top w:val="single" w:sz="8" w:space="0" w:color="808080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EBB1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  <w:tc>
          <w:tcPr>
            <w:tcW w:w="1065" w:type="dxa"/>
            <w:tcBorders>
              <w:top w:val="single" w:sz="8" w:space="0" w:color="808080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ABA8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  <w:tc>
          <w:tcPr>
            <w:tcW w:w="1290" w:type="dxa"/>
            <w:tcBorders>
              <w:top w:val="single" w:sz="8" w:space="0" w:color="808080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3B5F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</w:tr>
      <w:tr w:rsidR="00670533" w14:paraId="13D6596D" w14:textId="77777777" w:rsidTr="008C5BB3"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A295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 xml:space="preserve">2- </w:t>
            </w:r>
            <w:proofErr w:type="spellStart"/>
            <w:r>
              <w:t>Hostile</w:t>
            </w:r>
            <w:proofErr w:type="spellEnd"/>
            <w:r>
              <w:t xml:space="preserve"> </w:t>
            </w:r>
            <w:proofErr w:type="spellStart"/>
            <w:r>
              <w:t>Sexism</w:t>
            </w:r>
            <w:proofErr w:type="spellEnd"/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A1B27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1.70</w:t>
            </w:r>
          </w:p>
          <w:p w14:paraId="03D065BD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(0.60)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AA78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0.52**</w:t>
            </w:r>
          </w:p>
        </w:tc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C13E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46E9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14E4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23CE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</w:tr>
      <w:tr w:rsidR="00670533" w14:paraId="784F3E43" w14:textId="77777777" w:rsidTr="008C5BB3"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57EE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 xml:space="preserve">3- </w:t>
            </w:r>
            <w:proofErr w:type="spellStart"/>
            <w:r>
              <w:t>Benevolent</w:t>
            </w:r>
            <w:proofErr w:type="spellEnd"/>
            <w:r>
              <w:t xml:space="preserve"> </w:t>
            </w:r>
            <w:proofErr w:type="spellStart"/>
            <w:r>
              <w:t>Sexism</w:t>
            </w:r>
            <w:proofErr w:type="spellEnd"/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1B2D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1.90</w:t>
            </w:r>
          </w:p>
          <w:p w14:paraId="14AA85C3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(0.58)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A396B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0.46**</w:t>
            </w:r>
          </w:p>
        </w:tc>
        <w:tc>
          <w:tcPr>
            <w:tcW w:w="91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A4D3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0.61**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FC4E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2B62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D096C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</w:tr>
      <w:tr w:rsidR="00670533" w14:paraId="6429E090" w14:textId="77777777" w:rsidTr="008C5BB3"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7BDD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lastRenderedPageBreak/>
              <w:t>4- Age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99F1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29.14</w:t>
            </w:r>
          </w:p>
          <w:p w14:paraId="2A7E5F0F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(10.14)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983E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0.14*</w:t>
            </w:r>
          </w:p>
        </w:tc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5B8A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0.15*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8EE2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0.16**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2E19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3F2F" w14:textId="77777777" w:rsidR="00670533" w:rsidRDefault="00670533" w:rsidP="008C5BB3">
            <w:pPr>
              <w:widowControl w:val="0"/>
              <w:spacing w:line="480" w:lineRule="auto"/>
              <w:jc w:val="center"/>
            </w:pPr>
          </w:p>
        </w:tc>
      </w:tr>
      <w:tr w:rsidR="00670533" w14:paraId="52BC4213" w14:textId="77777777" w:rsidTr="008C5BB3"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80808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E322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 xml:space="preserve">5- </w:t>
            </w:r>
            <w:proofErr w:type="spellStart"/>
            <w:r>
              <w:t>Gender</w:t>
            </w:r>
            <w:proofErr w:type="spellEnd"/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80808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5BA1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80808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05E1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0.01</w:t>
            </w:r>
          </w:p>
        </w:tc>
        <w:tc>
          <w:tcPr>
            <w:tcW w:w="915" w:type="dxa"/>
            <w:tcBorders>
              <w:top w:val="single" w:sz="8" w:space="0" w:color="FFFFFF"/>
              <w:left w:val="nil"/>
              <w:bottom w:val="single" w:sz="8" w:space="0" w:color="80808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7324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0.21**</w:t>
            </w:r>
          </w:p>
        </w:tc>
        <w:tc>
          <w:tcPr>
            <w:tcW w:w="975" w:type="dxa"/>
            <w:tcBorders>
              <w:top w:val="single" w:sz="8" w:space="0" w:color="FFFFFF"/>
              <w:left w:val="nil"/>
              <w:bottom w:val="single" w:sz="8" w:space="0" w:color="80808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DCDC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0.07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80808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A0E9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-0.09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80808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054D" w14:textId="77777777" w:rsidR="00670533" w:rsidRDefault="00670533" w:rsidP="008C5BB3">
            <w:pPr>
              <w:widowControl w:val="0"/>
              <w:spacing w:line="480" w:lineRule="auto"/>
              <w:jc w:val="center"/>
            </w:pPr>
            <w:r>
              <w:t>-</w:t>
            </w:r>
          </w:p>
        </w:tc>
      </w:tr>
    </w:tbl>
    <w:p w14:paraId="1B3FAA59" w14:textId="77777777" w:rsidR="00670533" w:rsidRDefault="00670533" w:rsidP="00670533">
      <w:pPr>
        <w:jc w:val="both"/>
        <w:rPr>
          <w:b/>
          <w:sz w:val="18"/>
          <w:szCs w:val="18"/>
        </w:rPr>
      </w:pPr>
    </w:p>
    <w:p w14:paraId="0C50378E" w14:textId="6DCF1E77" w:rsidR="00670533" w:rsidRDefault="00670533" w:rsidP="00670533">
      <w:pPr>
        <w:spacing w:line="480" w:lineRule="auto"/>
        <w:jc w:val="both"/>
      </w:pPr>
      <w:r>
        <w:rPr>
          <w:b/>
        </w:rPr>
        <w:t xml:space="preserve">Note: </w:t>
      </w:r>
      <w:r>
        <w:t>*p &lt; 0,05</w:t>
      </w:r>
      <w:r>
        <w:tab/>
        <w:t>**p &lt; 0,01</w:t>
      </w:r>
    </w:p>
    <w:p w14:paraId="388BD570" w14:textId="77777777" w:rsidR="00E13085" w:rsidRDefault="00E13085" w:rsidP="00670533">
      <w:pPr>
        <w:spacing w:line="480" w:lineRule="auto"/>
        <w:jc w:val="both"/>
        <w:rPr>
          <w:b/>
        </w:rPr>
      </w:pPr>
    </w:p>
    <w:p w14:paraId="7C7004E5" w14:textId="77777777" w:rsidR="00670533" w:rsidRDefault="00670533" w:rsidP="00670533">
      <w:pPr>
        <w:spacing w:line="480" w:lineRule="auto"/>
        <w:rPr>
          <w:b/>
        </w:rPr>
      </w:pPr>
      <w:proofErr w:type="spellStart"/>
      <w:r>
        <w:rPr>
          <w:b/>
        </w:rPr>
        <w:t>Multiple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Regression</w:t>
      </w:r>
      <w:proofErr w:type="spellEnd"/>
    </w:p>
    <w:p w14:paraId="7078BBE0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Finally</w:t>
      </w:r>
      <w:proofErr w:type="spellEnd"/>
      <w:r>
        <w:t xml:space="preserve">, a predictive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and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 and </w:t>
      </w:r>
      <w:proofErr w:type="spellStart"/>
      <w:r>
        <w:t>gender</w:t>
      </w:r>
      <w:proofErr w:type="spellEnd"/>
      <w:r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psychometrically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(R</w:t>
      </w:r>
      <w:r>
        <w:rPr>
          <w:vertAlign w:val="superscript"/>
        </w:rPr>
        <w:t>2</w:t>
      </w:r>
      <w:r>
        <w:t xml:space="preserve"> = 0.32, </w:t>
      </w:r>
      <w:proofErr w:type="spellStart"/>
      <w:r>
        <w:t>df</w:t>
      </w:r>
      <w:proofErr w:type="spellEnd"/>
      <w:r>
        <w:t xml:space="preserve"> = 256, F = 30.07, p &lt; 0.01),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(</w:t>
      </w:r>
      <w:r>
        <w:rPr>
          <w:b/>
        </w:rPr>
        <w:t>Table 4</w:t>
      </w:r>
      <w:r>
        <w:t>).</w:t>
      </w:r>
    </w:p>
    <w:p w14:paraId="62CC75C9" w14:textId="77777777" w:rsidR="00670533" w:rsidRDefault="00670533" w:rsidP="00670533">
      <w:pPr>
        <w:spacing w:line="360" w:lineRule="auto"/>
        <w:jc w:val="center"/>
        <w:rPr>
          <w:b/>
        </w:rPr>
      </w:pPr>
    </w:p>
    <w:p w14:paraId="58CF9222" w14:textId="77777777" w:rsidR="00670533" w:rsidRPr="00670533" w:rsidRDefault="00670533" w:rsidP="00670533">
      <w:pPr>
        <w:rPr>
          <w:bCs/>
        </w:rPr>
      </w:pPr>
      <w:r w:rsidRPr="00670533">
        <w:rPr>
          <w:bCs/>
        </w:rPr>
        <w:t>Table 4.</w:t>
      </w:r>
    </w:p>
    <w:p w14:paraId="2E2614B2" w14:textId="77777777" w:rsidR="00670533" w:rsidRPr="00670533" w:rsidRDefault="00670533" w:rsidP="00670533">
      <w:pPr>
        <w:rPr>
          <w:i/>
        </w:rPr>
      </w:pPr>
      <w:proofErr w:type="spellStart"/>
      <w:r w:rsidRPr="00670533">
        <w:rPr>
          <w:i/>
        </w:rPr>
        <w:t>Multiple</w:t>
      </w:r>
      <w:proofErr w:type="spellEnd"/>
      <w:r w:rsidRPr="00670533">
        <w:rPr>
          <w:i/>
        </w:rPr>
        <w:t xml:space="preserve"> </w:t>
      </w:r>
      <w:proofErr w:type="spellStart"/>
      <w:r w:rsidRPr="00670533">
        <w:rPr>
          <w:i/>
        </w:rPr>
        <w:t>Regression</w:t>
      </w:r>
      <w:proofErr w:type="spellEnd"/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6"/>
        <w:gridCol w:w="2256"/>
        <w:gridCol w:w="2257"/>
        <w:gridCol w:w="2257"/>
      </w:tblGrid>
      <w:tr w:rsidR="00670533" w14:paraId="50A7E0C6" w14:textId="77777777" w:rsidTr="008C5BB3">
        <w:tc>
          <w:tcPr>
            <w:tcW w:w="2256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AB30" w14:textId="77777777" w:rsidR="00670533" w:rsidRDefault="00670533" w:rsidP="008C5BB3">
            <w:pPr>
              <w:widowControl w:val="0"/>
              <w:jc w:val="center"/>
            </w:pPr>
            <w:r>
              <w:t>Variable</w:t>
            </w:r>
          </w:p>
        </w:tc>
        <w:tc>
          <w:tcPr>
            <w:tcW w:w="2256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FE99" w14:textId="77777777" w:rsidR="00670533" w:rsidRDefault="00670533" w:rsidP="008C5BB3">
            <w:pPr>
              <w:widowControl w:val="0"/>
              <w:jc w:val="center"/>
            </w:pPr>
            <w:r>
              <w:t>β</w:t>
            </w:r>
          </w:p>
        </w:tc>
        <w:tc>
          <w:tcPr>
            <w:tcW w:w="2256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E2DD" w14:textId="77777777" w:rsidR="00670533" w:rsidRDefault="00670533" w:rsidP="008C5BB3">
            <w:pPr>
              <w:widowControl w:val="0"/>
              <w:jc w:val="center"/>
            </w:pPr>
            <w:r>
              <w:t>t</w:t>
            </w:r>
          </w:p>
        </w:tc>
        <w:tc>
          <w:tcPr>
            <w:tcW w:w="2256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035D" w14:textId="77777777" w:rsidR="00670533" w:rsidRDefault="00670533" w:rsidP="008C5BB3">
            <w:pPr>
              <w:widowControl w:val="0"/>
              <w:jc w:val="center"/>
            </w:pPr>
            <w:r>
              <w:t>p</w:t>
            </w:r>
          </w:p>
        </w:tc>
      </w:tr>
      <w:tr w:rsidR="00670533" w14:paraId="2F48EEF2" w14:textId="77777777" w:rsidTr="008C5BB3">
        <w:tc>
          <w:tcPr>
            <w:tcW w:w="2256" w:type="dxa"/>
            <w:tcBorders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6EB8A" w14:textId="77777777" w:rsidR="00670533" w:rsidRDefault="00670533" w:rsidP="008C5BB3">
            <w:pPr>
              <w:widowControl w:val="0"/>
              <w:jc w:val="center"/>
            </w:pPr>
            <w:proofErr w:type="spellStart"/>
            <w:r>
              <w:t>Hostile</w:t>
            </w:r>
            <w:proofErr w:type="spellEnd"/>
            <w:r>
              <w:t xml:space="preserve"> </w:t>
            </w:r>
            <w:proofErr w:type="spellStart"/>
            <w:r>
              <w:t>Sexism</w:t>
            </w:r>
            <w:proofErr w:type="spellEnd"/>
          </w:p>
        </w:tc>
        <w:tc>
          <w:tcPr>
            <w:tcW w:w="2256" w:type="dxa"/>
            <w:tcBorders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DE48" w14:textId="77777777" w:rsidR="00670533" w:rsidRDefault="00670533" w:rsidP="008C5BB3">
            <w:pPr>
              <w:widowControl w:val="0"/>
              <w:jc w:val="center"/>
            </w:pPr>
            <w:r>
              <w:t>0.40</w:t>
            </w:r>
          </w:p>
        </w:tc>
        <w:tc>
          <w:tcPr>
            <w:tcW w:w="2256" w:type="dxa"/>
            <w:tcBorders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3F22" w14:textId="77777777" w:rsidR="00670533" w:rsidRDefault="00670533" w:rsidP="008C5BB3">
            <w:pPr>
              <w:widowControl w:val="0"/>
              <w:jc w:val="center"/>
            </w:pPr>
            <w:r>
              <w:t>5.96</w:t>
            </w:r>
          </w:p>
        </w:tc>
        <w:tc>
          <w:tcPr>
            <w:tcW w:w="2256" w:type="dxa"/>
            <w:tcBorders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C00F" w14:textId="77777777" w:rsidR="00670533" w:rsidRDefault="00670533" w:rsidP="008C5BB3">
            <w:pPr>
              <w:widowControl w:val="0"/>
              <w:jc w:val="center"/>
            </w:pPr>
            <w:r>
              <w:t>&lt; 0.001</w:t>
            </w:r>
          </w:p>
        </w:tc>
      </w:tr>
      <w:tr w:rsidR="00670533" w14:paraId="591CFE79" w14:textId="77777777" w:rsidTr="008C5BB3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782F" w14:textId="77777777" w:rsidR="00670533" w:rsidRDefault="00670533" w:rsidP="008C5BB3">
            <w:pPr>
              <w:widowControl w:val="0"/>
              <w:jc w:val="center"/>
            </w:pPr>
            <w:proofErr w:type="spellStart"/>
            <w:r>
              <w:t>Benevolent</w:t>
            </w:r>
            <w:proofErr w:type="spellEnd"/>
            <w:r>
              <w:t xml:space="preserve"> </w:t>
            </w:r>
            <w:proofErr w:type="spellStart"/>
            <w:r>
              <w:t>Sexism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65460" w14:textId="77777777" w:rsidR="00670533" w:rsidRDefault="00670533" w:rsidP="008C5BB3">
            <w:pPr>
              <w:widowControl w:val="0"/>
              <w:jc w:val="center"/>
            </w:pPr>
            <w:r>
              <w:t>0.22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D4A4" w14:textId="77777777" w:rsidR="00670533" w:rsidRDefault="00670533" w:rsidP="008C5BB3">
            <w:pPr>
              <w:widowControl w:val="0"/>
              <w:jc w:val="center"/>
            </w:pPr>
            <w:r>
              <w:t>3.35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9BC0" w14:textId="77777777" w:rsidR="00670533" w:rsidRDefault="00670533" w:rsidP="008C5BB3">
            <w:pPr>
              <w:widowControl w:val="0"/>
              <w:jc w:val="center"/>
            </w:pPr>
            <w:r>
              <w:t>0.001</w:t>
            </w:r>
          </w:p>
        </w:tc>
      </w:tr>
      <w:tr w:rsidR="00670533" w14:paraId="12AD22F7" w14:textId="77777777" w:rsidTr="008C5BB3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4D1C" w14:textId="77777777" w:rsidR="00670533" w:rsidRDefault="00670533" w:rsidP="008C5BB3">
            <w:pPr>
              <w:widowControl w:val="0"/>
              <w:jc w:val="center"/>
            </w:pPr>
            <w:r>
              <w:t>Age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0D40" w14:textId="77777777" w:rsidR="00670533" w:rsidRDefault="00670533" w:rsidP="008C5BB3">
            <w:pPr>
              <w:widowControl w:val="0"/>
              <w:jc w:val="center"/>
            </w:pPr>
            <w:r>
              <w:t>0.04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478A" w14:textId="77777777" w:rsidR="00670533" w:rsidRDefault="00670533" w:rsidP="008C5BB3">
            <w:pPr>
              <w:widowControl w:val="0"/>
              <w:jc w:val="center"/>
            </w:pPr>
            <w:r>
              <w:t>0.80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3334" w14:textId="77777777" w:rsidR="00670533" w:rsidRDefault="00670533" w:rsidP="008C5BB3">
            <w:pPr>
              <w:widowControl w:val="0"/>
              <w:jc w:val="center"/>
            </w:pPr>
            <w:r>
              <w:t>0.422</w:t>
            </w:r>
          </w:p>
        </w:tc>
      </w:tr>
      <w:tr w:rsidR="00670533" w14:paraId="71283112" w14:textId="77777777" w:rsidTr="008C5BB3">
        <w:tc>
          <w:tcPr>
            <w:tcW w:w="22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25BD" w14:textId="77777777" w:rsidR="00670533" w:rsidRDefault="00670533" w:rsidP="008C5BB3">
            <w:pPr>
              <w:widowControl w:val="0"/>
              <w:jc w:val="center"/>
            </w:pPr>
            <w:proofErr w:type="spellStart"/>
            <w:r>
              <w:t>Gender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8C7E" w14:textId="77777777" w:rsidR="00670533" w:rsidRDefault="00670533" w:rsidP="008C5BB3">
            <w:pPr>
              <w:widowControl w:val="0"/>
              <w:jc w:val="center"/>
            </w:pPr>
            <w:r>
              <w:t>-0.08</w:t>
            </w: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8687" w14:textId="77777777" w:rsidR="00670533" w:rsidRDefault="00670533" w:rsidP="008C5BB3">
            <w:pPr>
              <w:widowControl w:val="0"/>
              <w:jc w:val="center"/>
            </w:pPr>
            <w:r>
              <w:t>-1.540</w:t>
            </w: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D131" w14:textId="77777777" w:rsidR="00670533" w:rsidRDefault="00670533" w:rsidP="008C5BB3">
            <w:pPr>
              <w:widowControl w:val="0"/>
              <w:jc w:val="center"/>
            </w:pPr>
            <w:r>
              <w:t>0.125</w:t>
            </w:r>
          </w:p>
        </w:tc>
      </w:tr>
    </w:tbl>
    <w:p w14:paraId="2DEF6B70" w14:textId="77777777" w:rsidR="00670533" w:rsidRDefault="00670533" w:rsidP="00670533">
      <w:pPr>
        <w:spacing w:line="480" w:lineRule="auto"/>
      </w:pPr>
    </w:p>
    <w:p w14:paraId="54F970BE" w14:textId="77777777" w:rsidR="00670533" w:rsidRDefault="00670533" w:rsidP="00670533">
      <w:pPr>
        <w:spacing w:line="480" w:lineRule="auto"/>
        <w:rPr>
          <w:b/>
        </w:rPr>
      </w:pPr>
      <w:proofErr w:type="spellStart"/>
      <w:r>
        <w:rPr>
          <w:b/>
        </w:rPr>
        <w:t>Partial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Discussion</w:t>
      </w:r>
      <w:proofErr w:type="spellEnd"/>
    </w:p>
    <w:p w14:paraId="006706B0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a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and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. </w:t>
      </w:r>
      <w:proofErr w:type="spellStart"/>
      <w:r>
        <w:t>Research</w:t>
      </w:r>
      <w:proofErr w:type="spellEnd"/>
      <w:r>
        <w:t xml:space="preserve"> has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endorsing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as a predictor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inequalities</w:t>
      </w:r>
      <w:proofErr w:type="spellEnd"/>
      <w:r>
        <w:t xml:space="preserve"> (Connor &amp; Fiske, 2019; </w:t>
      </w:r>
      <w:proofErr w:type="spellStart"/>
      <w:r>
        <w:t>Hammond</w:t>
      </w:r>
      <w:proofErr w:type="spellEnd"/>
      <w:r>
        <w:t xml:space="preserve"> &amp; </w:t>
      </w:r>
      <w:proofErr w:type="spellStart"/>
      <w:r>
        <w:t>Overall</w:t>
      </w:r>
      <w:proofErr w:type="spellEnd"/>
      <w:r>
        <w:t xml:space="preserve">, 2016; </w:t>
      </w:r>
      <w:proofErr w:type="spellStart"/>
      <w:r>
        <w:t>Hammond</w:t>
      </w:r>
      <w:proofErr w:type="spellEnd"/>
      <w:r>
        <w:t xml:space="preserve"> et al., 2018). </w:t>
      </w:r>
      <w:proofErr w:type="spellStart"/>
      <w:r>
        <w:t>Angelone</w:t>
      </w:r>
      <w:proofErr w:type="spellEnd"/>
      <w:r>
        <w:t xml:space="preserve"> et al. (2015)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a negative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traditionalism</w:t>
      </w:r>
      <w:proofErr w:type="spellEnd"/>
      <w:r>
        <w:t xml:space="preserve">,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likelihood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victims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sexual </w:t>
      </w:r>
      <w:proofErr w:type="spellStart"/>
      <w:r>
        <w:t>violence</w:t>
      </w:r>
      <w:proofErr w:type="spellEnd"/>
      <w:r>
        <w:t xml:space="preserve">: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victims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disclose</w:t>
      </w:r>
      <w:proofErr w:type="spellEnd"/>
      <w:r>
        <w:t xml:space="preserve">. </w:t>
      </w:r>
    </w:p>
    <w:p w14:paraId="0B78435D" w14:textId="77777777" w:rsidR="00670533" w:rsidRPr="00A41767" w:rsidRDefault="00670533" w:rsidP="00670533">
      <w:pPr>
        <w:spacing w:line="360" w:lineRule="auto"/>
        <w:ind w:firstLine="720"/>
        <w:jc w:val="both"/>
      </w:pPr>
      <w:proofErr w:type="spellStart"/>
      <w:r w:rsidRPr="00A41767">
        <w:lastRenderedPageBreak/>
        <w:t>Hostile</w:t>
      </w:r>
      <w:proofErr w:type="spellEnd"/>
      <w:r w:rsidRPr="00A41767">
        <w:t xml:space="preserve"> </w:t>
      </w:r>
      <w:proofErr w:type="spellStart"/>
      <w:r w:rsidRPr="00A41767">
        <w:t>sexism</w:t>
      </w:r>
      <w:proofErr w:type="spellEnd"/>
      <w:r w:rsidRPr="00A41767">
        <w:t xml:space="preserve"> leads </w:t>
      </w:r>
      <w:proofErr w:type="spellStart"/>
      <w:r w:rsidRPr="00A41767">
        <w:t>men</w:t>
      </w:r>
      <w:proofErr w:type="spellEnd"/>
      <w:r w:rsidRPr="00A41767">
        <w:t xml:space="preserve"> </w:t>
      </w:r>
      <w:proofErr w:type="spellStart"/>
      <w:r w:rsidRPr="00A41767">
        <w:t>to</w:t>
      </w:r>
      <w:proofErr w:type="spellEnd"/>
      <w:r w:rsidRPr="00A41767">
        <w:t xml:space="preserve"> </w:t>
      </w:r>
      <w:proofErr w:type="spellStart"/>
      <w:r w:rsidRPr="00A41767">
        <w:t>view</w:t>
      </w:r>
      <w:proofErr w:type="spellEnd"/>
      <w:r w:rsidRPr="00A41767">
        <w:t xml:space="preserve"> </w:t>
      </w:r>
      <w:proofErr w:type="spellStart"/>
      <w:r w:rsidRPr="00A41767">
        <w:t>women</w:t>
      </w:r>
      <w:proofErr w:type="spellEnd"/>
      <w:r w:rsidRPr="00A41767">
        <w:t xml:space="preserve"> as </w:t>
      </w:r>
      <w:proofErr w:type="spellStart"/>
      <w:r w:rsidRPr="00A41767">
        <w:t>objects</w:t>
      </w:r>
      <w:proofErr w:type="spellEnd"/>
      <w:r w:rsidRPr="00A41767">
        <w:t xml:space="preserve"> (</w:t>
      </w:r>
      <w:proofErr w:type="spellStart"/>
      <w:r w:rsidRPr="00A41767">
        <w:t>Cikara</w:t>
      </w:r>
      <w:proofErr w:type="spellEnd"/>
      <w:r w:rsidRPr="00A41767">
        <w:t xml:space="preserve"> et al.,</w:t>
      </w:r>
      <w:hyperlink r:id="rId16" w:anchor="ref-CR10">
        <w:r w:rsidRPr="00A41767">
          <w:t xml:space="preserve"> 201</w:t>
        </w:r>
      </w:hyperlink>
      <w:r w:rsidRPr="00A41767">
        <w:t xml:space="preserve">1) and </w:t>
      </w:r>
      <w:proofErr w:type="spellStart"/>
      <w:r w:rsidRPr="00A41767">
        <w:t>is</w:t>
      </w:r>
      <w:proofErr w:type="spellEnd"/>
      <w:r w:rsidRPr="00A41767">
        <w:t xml:space="preserve"> </w:t>
      </w:r>
      <w:proofErr w:type="spellStart"/>
      <w:r w:rsidRPr="00A41767">
        <w:t>correlated</w:t>
      </w:r>
      <w:proofErr w:type="spellEnd"/>
      <w:r w:rsidRPr="00A41767">
        <w:t xml:space="preserve"> </w:t>
      </w:r>
      <w:proofErr w:type="spellStart"/>
      <w:r w:rsidRPr="00A41767">
        <w:t>with</w:t>
      </w:r>
      <w:proofErr w:type="spellEnd"/>
      <w:r w:rsidRPr="00A41767">
        <w:t xml:space="preserve"> </w:t>
      </w:r>
      <w:proofErr w:type="spellStart"/>
      <w:r w:rsidRPr="00A41767">
        <w:t>men’s</w:t>
      </w:r>
      <w:proofErr w:type="spellEnd"/>
      <w:r w:rsidRPr="00A41767">
        <w:t xml:space="preserve"> </w:t>
      </w:r>
      <w:proofErr w:type="spellStart"/>
      <w:r w:rsidRPr="00A41767">
        <w:t>proclivity</w:t>
      </w:r>
      <w:proofErr w:type="spellEnd"/>
      <w:r w:rsidRPr="00A41767">
        <w:t xml:space="preserve"> </w:t>
      </w:r>
      <w:proofErr w:type="spellStart"/>
      <w:r w:rsidRPr="00A41767">
        <w:t>towards</w:t>
      </w:r>
      <w:proofErr w:type="spellEnd"/>
      <w:r w:rsidRPr="00A41767">
        <w:t xml:space="preserve"> sexual </w:t>
      </w:r>
      <w:proofErr w:type="spellStart"/>
      <w:r w:rsidRPr="00A41767">
        <w:t>harassment</w:t>
      </w:r>
      <w:proofErr w:type="spellEnd"/>
      <w:r w:rsidRPr="00A41767">
        <w:t xml:space="preserve"> and </w:t>
      </w:r>
      <w:proofErr w:type="spellStart"/>
      <w:r w:rsidRPr="00A41767">
        <w:t>aggression</w:t>
      </w:r>
      <w:proofErr w:type="spellEnd"/>
      <w:r w:rsidRPr="00A41767">
        <w:t xml:space="preserve"> </w:t>
      </w:r>
      <w:proofErr w:type="spellStart"/>
      <w:r w:rsidRPr="00A41767">
        <w:t>against</w:t>
      </w:r>
      <w:proofErr w:type="spellEnd"/>
      <w:r w:rsidRPr="00A41767">
        <w:t xml:space="preserve"> </w:t>
      </w:r>
      <w:proofErr w:type="spellStart"/>
      <w:r w:rsidRPr="00A41767">
        <w:t>an</w:t>
      </w:r>
      <w:proofErr w:type="spellEnd"/>
      <w:r w:rsidRPr="00A41767">
        <w:t xml:space="preserve"> </w:t>
      </w:r>
      <w:proofErr w:type="spellStart"/>
      <w:r w:rsidRPr="00A41767">
        <w:t>intimate</w:t>
      </w:r>
      <w:proofErr w:type="spellEnd"/>
      <w:r w:rsidRPr="00A41767">
        <w:t xml:space="preserve"> </w:t>
      </w:r>
      <w:proofErr w:type="spellStart"/>
      <w:r w:rsidRPr="00A41767">
        <w:t>partner</w:t>
      </w:r>
      <w:proofErr w:type="spellEnd"/>
      <w:r w:rsidRPr="00A41767">
        <w:t xml:space="preserve"> (Zapata-</w:t>
      </w:r>
      <w:proofErr w:type="spellStart"/>
      <w:r w:rsidRPr="00A41767">
        <w:t>Calvente</w:t>
      </w:r>
      <w:proofErr w:type="spellEnd"/>
      <w:r w:rsidRPr="00A41767">
        <w:t xml:space="preserve"> et al.,</w:t>
      </w:r>
      <w:hyperlink r:id="rId17" w:anchor="ref-CR67">
        <w:r w:rsidRPr="00A41767">
          <w:t xml:space="preserve"> 2019</w:t>
        </w:r>
      </w:hyperlink>
      <w:r w:rsidRPr="00A41767">
        <w:t xml:space="preserve">). </w:t>
      </w:r>
      <w:proofErr w:type="spellStart"/>
      <w:r w:rsidRPr="00A41767">
        <w:t>Studies</w:t>
      </w:r>
      <w:proofErr w:type="spellEnd"/>
      <w:r w:rsidRPr="00A41767">
        <w:t xml:space="preserve"> in </w:t>
      </w:r>
      <w:proofErr w:type="spellStart"/>
      <w:r w:rsidRPr="00A41767">
        <w:t>different</w:t>
      </w:r>
      <w:proofErr w:type="spellEnd"/>
      <w:r w:rsidRPr="00A41767">
        <w:t xml:space="preserve"> </w:t>
      </w:r>
      <w:proofErr w:type="spellStart"/>
      <w:r w:rsidRPr="00A41767">
        <w:t>countries</w:t>
      </w:r>
      <w:proofErr w:type="spellEnd"/>
      <w:r w:rsidRPr="00A41767">
        <w:t xml:space="preserve"> </w:t>
      </w:r>
      <w:proofErr w:type="spellStart"/>
      <w:r w:rsidRPr="00A41767">
        <w:t>showed</w:t>
      </w:r>
      <w:proofErr w:type="spellEnd"/>
      <w:r w:rsidRPr="00A41767">
        <w:t xml:space="preserve"> </w:t>
      </w:r>
      <w:proofErr w:type="spellStart"/>
      <w:r w:rsidRPr="00A41767">
        <w:t>that</w:t>
      </w:r>
      <w:proofErr w:type="spellEnd"/>
      <w:r w:rsidRPr="00A41767">
        <w:t xml:space="preserve"> </w:t>
      </w:r>
      <w:proofErr w:type="spellStart"/>
      <w:r w:rsidRPr="00A41767">
        <w:t>the</w:t>
      </w:r>
      <w:proofErr w:type="spellEnd"/>
      <w:r w:rsidRPr="00A41767">
        <w:t xml:space="preserve"> </w:t>
      </w:r>
      <w:proofErr w:type="spellStart"/>
      <w:r w:rsidRPr="00A41767">
        <w:t>endorsement</w:t>
      </w:r>
      <w:proofErr w:type="spellEnd"/>
      <w:r w:rsidRPr="00A41767">
        <w:t xml:space="preserve"> </w:t>
      </w:r>
      <w:proofErr w:type="spellStart"/>
      <w:r w:rsidRPr="00A41767">
        <w:t>of</w:t>
      </w:r>
      <w:proofErr w:type="spellEnd"/>
      <w:r w:rsidRPr="00A41767">
        <w:t xml:space="preserve"> </w:t>
      </w:r>
      <w:proofErr w:type="spellStart"/>
      <w:r w:rsidRPr="00A41767">
        <w:t>benevolent</w:t>
      </w:r>
      <w:proofErr w:type="spellEnd"/>
      <w:r w:rsidRPr="00A41767">
        <w:t xml:space="preserve"> </w:t>
      </w:r>
      <w:proofErr w:type="spellStart"/>
      <w:r w:rsidRPr="00A41767">
        <w:t>sexism</w:t>
      </w:r>
      <w:proofErr w:type="spellEnd"/>
      <w:r w:rsidRPr="00A41767">
        <w:t xml:space="preserve"> </w:t>
      </w:r>
      <w:proofErr w:type="spellStart"/>
      <w:r w:rsidRPr="00A41767">
        <w:t>predicted</w:t>
      </w:r>
      <w:proofErr w:type="spellEnd"/>
      <w:r w:rsidRPr="00A41767">
        <w:t xml:space="preserve"> </w:t>
      </w:r>
      <w:proofErr w:type="spellStart"/>
      <w:r w:rsidRPr="00A41767">
        <w:t>life</w:t>
      </w:r>
      <w:proofErr w:type="spellEnd"/>
      <w:r w:rsidRPr="00A41767">
        <w:t xml:space="preserve"> </w:t>
      </w:r>
      <w:proofErr w:type="spellStart"/>
      <w:r w:rsidRPr="00A41767">
        <w:t>satisfaction</w:t>
      </w:r>
      <w:proofErr w:type="spellEnd"/>
      <w:r w:rsidRPr="00A41767">
        <w:t xml:space="preserve"> </w:t>
      </w:r>
      <w:proofErr w:type="spellStart"/>
      <w:r w:rsidRPr="00A41767">
        <w:t>for</w:t>
      </w:r>
      <w:proofErr w:type="spellEnd"/>
      <w:r w:rsidRPr="00A41767">
        <w:t xml:space="preserve"> </w:t>
      </w:r>
      <w:proofErr w:type="spellStart"/>
      <w:r w:rsidRPr="00A41767">
        <w:t>both</w:t>
      </w:r>
      <w:proofErr w:type="spellEnd"/>
      <w:r w:rsidRPr="00A41767">
        <w:t xml:space="preserve"> </w:t>
      </w:r>
      <w:proofErr w:type="spellStart"/>
      <w:r w:rsidRPr="00A41767">
        <w:t>genders</w:t>
      </w:r>
      <w:proofErr w:type="spellEnd"/>
      <w:r w:rsidRPr="00A41767">
        <w:t xml:space="preserve">, </w:t>
      </w:r>
      <w:proofErr w:type="spellStart"/>
      <w:r w:rsidRPr="00A41767">
        <w:t>either</w:t>
      </w:r>
      <w:proofErr w:type="spellEnd"/>
      <w:r w:rsidRPr="00A41767">
        <w:t xml:space="preserve"> </w:t>
      </w:r>
      <w:proofErr w:type="spellStart"/>
      <w:r w:rsidRPr="00A41767">
        <w:t>directly</w:t>
      </w:r>
      <w:proofErr w:type="spellEnd"/>
      <w:r w:rsidRPr="00A41767">
        <w:t xml:space="preserve"> </w:t>
      </w:r>
      <w:proofErr w:type="spellStart"/>
      <w:r w:rsidRPr="00A41767">
        <w:t>or</w:t>
      </w:r>
      <w:proofErr w:type="spellEnd"/>
      <w:r w:rsidRPr="00A41767">
        <w:t xml:space="preserve"> </w:t>
      </w:r>
      <w:proofErr w:type="spellStart"/>
      <w:r w:rsidRPr="00A41767">
        <w:t>through</w:t>
      </w:r>
      <w:proofErr w:type="spellEnd"/>
      <w:r w:rsidRPr="00A41767">
        <w:t xml:space="preserve"> </w:t>
      </w:r>
      <w:proofErr w:type="spellStart"/>
      <w:r w:rsidRPr="00A41767">
        <w:t>the</w:t>
      </w:r>
      <w:proofErr w:type="spellEnd"/>
      <w:r w:rsidRPr="00A41767">
        <w:t xml:space="preserve"> </w:t>
      </w:r>
      <w:proofErr w:type="spellStart"/>
      <w:r w:rsidRPr="00A41767">
        <w:t>mediation</w:t>
      </w:r>
      <w:proofErr w:type="spellEnd"/>
      <w:r w:rsidRPr="00A41767">
        <w:t xml:space="preserve"> </w:t>
      </w:r>
      <w:proofErr w:type="spellStart"/>
      <w:r w:rsidRPr="00A41767">
        <w:t>of</w:t>
      </w:r>
      <w:proofErr w:type="spellEnd"/>
      <w:r w:rsidRPr="00A41767">
        <w:t xml:space="preserve"> </w:t>
      </w:r>
      <w:proofErr w:type="spellStart"/>
      <w:r w:rsidRPr="00A41767">
        <w:t>justification</w:t>
      </w:r>
      <w:proofErr w:type="spellEnd"/>
      <w:r w:rsidRPr="00A41767">
        <w:t xml:space="preserve"> </w:t>
      </w:r>
      <w:proofErr w:type="spellStart"/>
      <w:r w:rsidRPr="00A41767">
        <w:t>mechanisms</w:t>
      </w:r>
      <w:proofErr w:type="spellEnd"/>
      <w:r w:rsidRPr="00A41767">
        <w:t xml:space="preserve"> (</w:t>
      </w:r>
      <w:proofErr w:type="spellStart"/>
      <w:r w:rsidRPr="00A41767">
        <w:t>Waddell</w:t>
      </w:r>
      <w:proofErr w:type="spellEnd"/>
      <w:r w:rsidRPr="00A41767">
        <w:t xml:space="preserve"> et al., 2019).</w:t>
      </w:r>
    </w:p>
    <w:p w14:paraId="25393E3B" w14:textId="77777777" w:rsidR="008131AB" w:rsidRDefault="008131AB" w:rsidP="00670533">
      <w:pPr>
        <w:spacing w:line="480" w:lineRule="auto"/>
        <w:jc w:val="center"/>
        <w:rPr>
          <w:b/>
        </w:rPr>
      </w:pPr>
    </w:p>
    <w:p w14:paraId="1FBD0DD2" w14:textId="08AB0DB3" w:rsidR="00670533" w:rsidRDefault="00670533" w:rsidP="00670533">
      <w:pPr>
        <w:spacing w:line="480" w:lineRule="auto"/>
        <w:jc w:val="center"/>
        <w:rPr>
          <w:b/>
        </w:rPr>
      </w:pPr>
      <w:r>
        <w:rPr>
          <w:b/>
        </w:rPr>
        <w:t xml:space="preserve">General </w:t>
      </w:r>
      <w:proofErr w:type="spellStart"/>
      <w:r>
        <w:rPr>
          <w:b/>
        </w:rPr>
        <w:t>Discussion</w:t>
      </w:r>
      <w:proofErr w:type="spellEnd"/>
      <w:r>
        <w:rPr>
          <w:b/>
        </w:rPr>
        <w:t xml:space="preserve">  </w:t>
      </w:r>
    </w:p>
    <w:p w14:paraId="32C7FAA3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(</w:t>
      </w:r>
      <w:proofErr w:type="spellStart"/>
      <w:r>
        <w:t>gender</w:t>
      </w:r>
      <w:proofErr w:type="spellEnd"/>
      <w:r>
        <w:t xml:space="preserve"> roles),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and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moderated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and </w:t>
      </w:r>
      <w:proofErr w:type="spellStart"/>
      <w:r>
        <w:t>attitudes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accounted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variables lose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. </w:t>
      </w:r>
    </w:p>
    <w:p w14:paraId="3CE70323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Initially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AWS’ </w:t>
      </w:r>
      <w:proofErr w:type="spellStart"/>
      <w:r>
        <w:t>Brazilian</w:t>
      </w:r>
      <w:proofErr w:type="spellEnd"/>
      <w:r>
        <w:t xml:space="preserve"> Portuguese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consistency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Cronbach’s</w:t>
      </w:r>
      <w:proofErr w:type="spellEnd"/>
      <w:r>
        <w:t xml:space="preserve"> Alpha (</w:t>
      </w:r>
      <w:proofErr w:type="spellStart"/>
      <w:r>
        <w:t>DeVellis</w:t>
      </w:r>
      <w:proofErr w:type="spellEnd"/>
      <w:r>
        <w:t xml:space="preserve">, 2017), as </w:t>
      </w:r>
      <w:proofErr w:type="spellStart"/>
      <w:r>
        <w:t>well</w:t>
      </w:r>
      <w:proofErr w:type="spellEnd"/>
      <w:r>
        <w:t xml:space="preserve"> as McDonald's Omega (ω) (</w:t>
      </w:r>
      <w:proofErr w:type="spellStart"/>
      <w:r>
        <w:t>Revelle</w:t>
      </w:r>
      <w:proofErr w:type="spellEnd"/>
      <w:r>
        <w:t xml:space="preserve"> &amp; </w:t>
      </w:r>
      <w:proofErr w:type="spellStart"/>
      <w:r>
        <w:t>Zinbarg</w:t>
      </w:r>
      <w:proofErr w:type="spellEnd"/>
      <w:r>
        <w:t xml:space="preserve">, 2009). In </w:t>
      </w:r>
      <w:proofErr w:type="spellStart"/>
      <w:r>
        <w:t>Whatley’s</w:t>
      </w:r>
      <w:proofErr w:type="spellEnd"/>
      <w:r>
        <w:t xml:space="preserve"> (2008)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alpha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=0.81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, and </w:t>
      </w:r>
      <w:proofErr w:type="spellStart"/>
      <w:r>
        <w:t>Delevi</w:t>
      </w:r>
      <w:proofErr w:type="spellEnd"/>
      <w:r>
        <w:t xml:space="preserve"> and </w:t>
      </w:r>
      <w:proofErr w:type="spellStart"/>
      <w:r>
        <w:t>Bugay</w:t>
      </w:r>
      <w:proofErr w:type="spellEnd"/>
      <w:r>
        <w:t xml:space="preserve"> (2013)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alpha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=0.80.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observe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Portuguese has similar </w:t>
      </w:r>
      <w:proofErr w:type="spellStart"/>
      <w:r>
        <w:t>reliability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and can be </w:t>
      </w:r>
      <w:proofErr w:type="spellStart"/>
      <w:r>
        <w:t>used</w:t>
      </w:r>
      <w:proofErr w:type="spellEnd"/>
      <w:r>
        <w:t xml:space="preserve"> in future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>.</w:t>
      </w:r>
    </w:p>
    <w:p w14:paraId="05703597" w14:textId="77777777" w:rsidR="00670533" w:rsidRDefault="00670533" w:rsidP="00670533">
      <w:pPr>
        <w:spacing w:line="360" w:lineRule="auto"/>
        <w:ind w:firstLine="720"/>
        <w:jc w:val="both"/>
      </w:pPr>
      <w:r>
        <w:t xml:space="preserve">In general,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sociodemographic</w:t>
      </w:r>
      <w:proofErr w:type="spellEnd"/>
      <w:r>
        <w:t xml:space="preserve"> variables </w:t>
      </w:r>
      <w:proofErr w:type="spellStart"/>
      <w:r>
        <w:t>gender</w:t>
      </w:r>
      <w:proofErr w:type="spellEnd"/>
      <w:r>
        <w:t xml:space="preserve"> and </w:t>
      </w:r>
      <w:proofErr w:type="spellStart"/>
      <w:r>
        <w:t>age</w:t>
      </w:r>
      <w:proofErr w:type="spellEnd"/>
      <w:r>
        <w:t xml:space="preserve"> are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constructs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Brazilians</w:t>
      </w:r>
      <w:proofErr w:type="spellEnd"/>
      <w:r>
        <w:t xml:space="preserve">’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men’s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chance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traditionalist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. Age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variable, as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middle-</w:t>
      </w:r>
      <w:proofErr w:type="gramStart"/>
      <w:r>
        <w:t>age</w:t>
      </w:r>
      <w:proofErr w:type="spellEnd"/>
      <w:r>
        <w:t xml:space="preserve">  (</w:t>
      </w:r>
      <w:proofErr w:type="gramEnd"/>
      <w:r>
        <w:t xml:space="preserve">Fernández et al., 2004). In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boys</w:t>
      </w:r>
      <w:proofErr w:type="spellEnd"/>
      <w:r>
        <w:t xml:space="preserve"> </w:t>
      </w:r>
      <w:proofErr w:type="gramStart"/>
      <w:r>
        <w:t>show</w:t>
      </w:r>
      <w:proofErr w:type="gramEnd"/>
      <w:r>
        <w:t xml:space="preserve">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In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and </w:t>
      </w:r>
      <w:proofErr w:type="spellStart"/>
      <w:r>
        <w:t>adolescence</w:t>
      </w:r>
      <w:proofErr w:type="spellEnd"/>
      <w:r>
        <w:t xml:space="preserve">,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scored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on</w:t>
      </w:r>
      <w:proofErr w:type="spellEnd"/>
      <w:r>
        <w:t xml:space="preserve">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 (Ferragut et al., 2017). </w:t>
      </w:r>
    </w:p>
    <w:p w14:paraId="3CC491CF" w14:textId="77777777" w:rsidR="00670533" w:rsidRDefault="00670533" w:rsidP="00670533">
      <w:pPr>
        <w:spacing w:line="360" w:lineRule="auto"/>
        <w:ind w:firstLine="720"/>
        <w:jc w:val="both"/>
      </w:pPr>
      <w:r>
        <w:t xml:space="preserve"> </w:t>
      </w:r>
      <w:proofErr w:type="spellStart"/>
      <w:r>
        <w:t>Second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Brazilians</w:t>
      </w:r>
      <w:proofErr w:type="spellEnd"/>
      <w:r>
        <w:t xml:space="preserve">’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corroborate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Begun</w:t>
      </w:r>
      <w:proofErr w:type="spellEnd"/>
      <w:r>
        <w:t xml:space="preserve"> (2014),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and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positive </w:t>
      </w:r>
      <w:proofErr w:type="spellStart"/>
      <w:r>
        <w:t>correlations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sexism’s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sustains</w:t>
      </w:r>
      <w:proofErr w:type="spellEnd"/>
      <w:r>
        <w:t xml:space="preserve"> </w:t>
      </w:r>
      <w:proofErr w:type="spellStart"/>
      <w:r>
        <w:t>men’s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putting</w:t>
      </w:r>
      <w:proofErr w:type="spellEnd"/>
      <w:r>
        <w:t xml:space="preserve"> forward </w:t>
      </w:r>
      <w:proofErr w:type="spellStart"/>
      <w:r>
        <w:t>the</w:t>
      </w:r>
      <w:proofErr w:type="spellEnd"/>
      <w:r>
        <w:t xml:space="preserve"> idea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and </w:t>
      </w:r>
      <w:proofErr w:type="spellStart"/>
      <w:r>
        <w:t>men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lastRenderedPageBreak/>
        <w:t>dominant</w:t>
      </w:r>
      <w:proofErr w:type="spellEnd"/>
      <w:r>
        <w:t xml:space="preserve">, heterosexual, </w:t>
      </w:r>
      <w:proofErr w:type="spellStart"/>
      <w:r>
        <w:t>physically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, and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feminine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and </w:t>
      </w:r>
      <w:proofErr w:type="spellStart"/>
      <w:r>
        <w:t>attitude</w:t>
      </w:r>
      <w:proofErr w:type="spellEnd"/>
      <w:r>
        <w:t xml:space="preserve"> (</w:t>
      </w:r>
      <w:proofErr w:type="spellStart"/>
      <w:r>
        <w:t>Borgogna</w:t>
      </w:r>
      <w:proofErr w:type="spellEnd"/>
      <w:r>
        <w:t xml:space="preserve"> &amp; McDermott, 2022).  </w:t>
      </w:r>
    </w:p>
    <w:p w14:paraId="5C1A95A1" w14:textId="77777777" w:rsidR="00670533" w:rsidRDefault="00670533" w:rsidP="00670533">
      <w:pPr>
        <w:spacing w:line="360" w:lineRule="auto"/>
        <w:ind w:firstLine="720"/>
        <w:jc w:val="both"/>
      </w:pPr>
      <w:r>
        <w:t xml:space="preserve"> In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Cross et al. (2018),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more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endorsed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more </w:t>
      </w:r>
      <w:proofErr w:type="spellStart"/>
      <w:r>
        <w:t>aggressive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couples</w:t>
      </w:r>
      <w:proofErr w:type="spellEnd"/>
      <w:r>
        <w:t xml:space="preserve">’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and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discussions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perceived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, </w:t>
      </w:r>
      <w:proofErr w:type="spellStart"/>
      <w:r>
        <w:t>low</w:t>
      </w:r>
      <w:proofErr w:type="spellEnd"/>
      <w:r>
        <w:t xml:space="preserve"> in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gramStart"/>
      <w:r>
        <w:t>show</w:t>
      </w:r>
      <w:proofErr w:type="gram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endorse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enact</w:t>
      </w:r>
      <w:proofErr w:type="spellEnd"/>
      <w:r>
        <w:t xml:space="preserve"> </w:t>
      </w:r>
      <w:proofErr w:type="spellStart"/>
      <w:r>
        <w:t>aggression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do so in </w:t>
      </w:r>
      <w:proofErr w:type="spellStart"/>
      <w:r>
        <w:t>contexts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fears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exploit</w:t>
      </w:r>
      <w:proofErr w:type="spellEnd"/>
      <w:r>
        <w:t xml:space="preserve"> </w:t>
      </w:r>
      <w:proofErr w:type="spellStart"/>
      <w:r>
        <w:t>men’s</w:t>
      </w:r>
      <w:proofErr w:type="spellEnd"/>
      <w:r>
        <w:t xml:space="preserve"> </w:t>
      </w:r>
      <w:proofErr w:type="spellStart"/>
      <w:r>
        <w:t>relational</w:t>
      </w:r>
      <w:proofErr w:type="spellEnd"/>
      <w:r>
        <w:t xml:space="preserve"> </w:t>
      </w:r>
      <w:proofErr w:type="spellStart"/>
      <w:r>
        <w:t>dependence</w:t>
      </w:r>
      <w:proofErr w:type="spellEnd"/>
      <w:r>
        <w:t xml:space="preserve"> and </w:t>
      </w:r>
      <w:proofErr w:type="spellStart"/>
      <w:r>
        <w:t>undermine</w:t>
      </w:r>
      <w:proofErr w:type="spellEnd"/>
      <w:r>
        <w:t xml:space="preserve"> </w:t>
      </w:r>
      <w:proofErr w:type="spellStart"/>
      <w:r>
        <w:t>men’s</w:t>
      </w:r>
      <w:proofErr w:type="spellEnd"/>
      <w:r>
        <w:t xml:space="preserve"> </w:t>
      </w:r>
      <w:proofErr w:type="spellStart"/>
      <w:r>
        <w:t>power</w:t>
      </w:r>
      <w:proofErr w:type="spellEnd"/>
      <w:r>
        <w:t>.</w:t>
      </w:r>
    </w:p>
    <w:p w14:paraId="02EB1CC1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Therefore</w:t>
      </w:r>
      <w:proofErr w:type="spellEnd"/>
      <w:r>
        <w:t xml:space="preserve">,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can be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roles </w:t>
      </w:r>
      <w:proofErr w:type="spellStart"/>
      <w:r>
        <w:t>by</w:t>
      </w:r>
      <w:proofErr w:type="spellEnd"/>
      <w:r>
        <w:t xml:space="preserve"> </w:t>
      </w:r>
      <w:proofErr w:type="spellStart"/>
      <w:r>
        <w:t>punishing</w:t>
      </w:r>
      <w:proofErr w:type="spellEnd"/>
      <w:r>
        <w:t xml:space="preserve"> </w:t>
      </w:r>
      <w:proofErr w:type="spellStart"/>
      <w:r>
        <w:t>norm-violating</w:t>
      </w:r>
      <w:proofErr w:type="spellEnd"/>
      <w:r>
        <w:t xml:space="preserve"> and competitive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silently</w:t>
      </w:r>
      <w:proofErr w:type="spellEnd"/>
      <w:r>
        <w:t xml:space="preserve"> </w:t>
      </w:r>
      <w:proofErr w:type="spellStart"/>
      <w:r>
        <w:t>reward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conform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(</w:t>
      </w:r>
      <w:proofErr w:type="spellStart"/>
      <w:r>
        <w:t>Bahtiyar-Saygan</w:t>
      </w:r>
      <w:proofErr w:type="spellEnd"/>
      <w:r>
        <w:t xml:space="preserve"> &amp; </w:t>
      </w:r>
      <w:proofErr w:type="spellStart"/>
      <w:r>
        <w:t>Sakallı-Uğurlu</w:t>
      </w:r>
      <w:proofErr w:type="spellEnd"/>
      <w:r>
        <w:t xml:space="preserve">, 2019). </w:t>
      </w:r>
    </w:p>
    <w:p w14:paraId="10BAD4BC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Spence</w:t>
      </w:r>
      <w:proofErr w:type="spellEnd"/>
      <w:r>
        <w:t xml:space="preserve"> and </w:t>
      </w:r>
      <w:proofErr w:type="spellStart"/>
      <w:r>
        <w:t>Helmreich</w:t>
      </w:r>
      <w:proofErr w:type="spellEnd"/>
      <w:r>
        <w:t xml:space="preserve"> (1980) in </w:t>
      </w:r>
      <w:proofErr w:type="spellStart"/>
      <w:r>
        <w:t>their</w:t>
      </w:r>
      <w:proofErr w:type="spellEnd"/>
      <w:r>
        <w:t xml:space="preserve"> Multifactorial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assesses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endorsement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more </w:t>
      </w:r>
      <w:proofErr w:type="spellStart"/>
      <w:r>
        <w:t>progressive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roles,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affirm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in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endorse more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 xml:space="preserve"> and </w:t>
      </w:r>
      <w:proofErr w:type="spellStart"/>
      <w:r>
        <w:t>beliefs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stereotypes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and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culturally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inequalities</w:t>
      </w:r>
      <w:proofErr w:type="spellEnd"/>
      <w:r>
        <w:t xml:space="preserve">. </w:t>
      </w:r>
    </w:p>
    <w:p w14:paraId="6A7FE1C0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Additionally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roles </w:t>
      </w:r>
      <w:proofErr w:type="spellStart"/>
      <w:r>
        <w:t>fosters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 in </w:t>
      </w:r>
      <w:proofErr w:type="spellStart"/>
      <w:r>
        <w:t>men's</w:t>
      </w:r>
      <w:proofErr w:type="spellEnd"/>
      <w:r>
        <w:t xml:space="preserve"> </w:t>
      </w:r>
      <w:proofErr w:type="spellStart"/>
      <w:r>
        <w:t>superiority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encompasses</w:t>
      </w:r>
      <w:proofErr w:type="spellEnd"/>
      <w:r>
        <w:t xml:space="preserve"> a set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stereotypes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cognitive, </w:t>
      </w:r>
      <w:proofErr w:type="spellStart"/>
      <w:r>
        <w:t>affective</w:t>
      </w:r>
      <w:proofErr w:type="spellEnd"/>
      <w:r>
        <w:t xml:space="preserve">, and </w:t>
      </w:r>
      <w:proofErr w:type="spellStart"/>
      <w:r>
        <w:t>attitudinal</w:t>
      </w:r>
      <w:proofErr w:type="spellEnd"/>
      <w:r>
        <w:t xml:space="preserve"> </w:t>
      </w:r>
      <w:proofErr w:type="spellStart"/>
      <w:r>
        <w:t>assessments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roles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 (Expósito et al., 1998; </w:t>
      </w:r>
      <w:proofErr w:type="spellStart"/>
      <w:r>
        <w:t>Glick</w:t>
      </w:r>
      <w:proofErr w:type="spellEnd"/>
      <w:r>
        <w:t xml:space="preserve"> e Fiske, 1996).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stereotypes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, </w:t>
      </w:r>
      <w:proofErr w:type="spellStart"/>
      <w:r>
        <w:t>revealing</w:t>
      </w:r>
      <w:proofErr w:type="spellEnd"/>
      <w:r>
        <w:t xml:space="preserve"> a </w:t>
      </w:r>
      <w:proofErr w:type="spellStart"/>
      <w:r>
        <w:t>potent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serves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inequalities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domains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life</w:t>
      </w:r>
      <w:proofErr w:type="spellEnd"/>
      <w:r>
        <w:t xml:space="preserve"> (Tavares et al., 2023).</w:t>
      </w:r>
    </w:p>
    <w:p w14:paraId="2763B916" w14:textId="77777777" w:rsidR="00E13085" w:rsidRDefault="00E13085" w:rsidP="00670533">
      <w:pPr>
        <w:spacing w:line="360" w:lineRule="auto"/>
        <w:ind w:firstLine="720"/>
        <w:jc w:val="both"/>
      </w:pPr>
    </w:p>
    <w:p w14:paraId="47046F19" w14:textId="77777777" w:rsidR="00670533" w:rsidRDefault="00670533" w:rsidP="00670533">
      <w:pPr>
        <w:spacing w:line="360" w:lineRule="auto"/>
        <w:ind w:firstLine="720"/>
        <w:jc w:val="both"/>
        <w:rPr>
          <w:b/>
        </w:rPr>
      </w:pPr>
      <w:proofErr w:type="spellStart"/>
      <w:r>
        <w:rPr>
          <w:b/>
        </w:rPr>
        <w:t>Limitations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Contributions</w:t>
      </w:r>
      <w:proofErr w:type="spellEnd"/>
    </w:p>
    <w:p w14:paraId="1026DE96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Although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</w:t>
      </w:r>
      <w:proofErr w:type="spellStart"/>
      <w:r>
        <w:t>composed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A similar </w:t>
      </w:r>
      <w:proofErr w:type="spellStart"/>
      <w:r>
        <w:t>study</w:t>
      </w:r>
      <w:proofErr w:type="spellEnd"/>
      <w:r>
        <w:t xml:space="preserve"> (</w:t>
      </w:r>
      <w:proofErr w:type="spellStart"/>
      <w:r>
        <w:t>Delevi</w:t>
      </w:r>
      <w:proofErr w:type="spellEnd"/>
      <w:r>
        <w:t xml:space="preserve"> &amp; </w:t>
      </w:r>
      <w:proofErr w:type="spellStart"/>
      <w:r>
        <w:t>Bugay</w:t>
      </w:r>
      <w:proofErr w:type="spellEnd"/>
      <w:r>
        <w:t xml:space="preserve">, 2013)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are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surveys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a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a more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limitation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cross-</w:t>
      </w:r>
      <w:r>
        <w:lastRenderedPageBreak/>
        <w:t>sectional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sensitive </w:t>
      </w:r>
      <w:proofErr w:type="spellStart"/>
      <w:r>
        <w:t>topic</w:t>
      </w:r>
      <w:proofErr w:type="spellEnd"/>
      <w:r>
        <w:t xml:space="preserve">,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social </w:t>
      </w:r>
      <w:proofErr w:type="spellStart"/>
      <w:r>
        <w:t>desirability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constructs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>.</w:t>
      </w:r>
    </w:p>
    <w:p w14:paraId="3E35E56D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Considering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future </w:t>
      </w:r>
      <w:proofErr w:type="spellStart"/>
      <w:r>
        <w:t>studies</w:t>
      </w:r>
      <w:proofErr w:type="spellEnd"/>
      <w:r>
        <w:t xml:space="preserve"> can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AWS in </w:t>
      </w:r>
      <w:proofErr w:type="spellStart"/>
      <w:r>
        <w:t>exclusively</w:t>
      </w:r>
      <w:proofErr w:type="spellEnd"/>
      <w:r>
        <w:t xml:space="preserve"> male </w:t>
      </w:r>
      <w:proofErr w:type="spellStart"/>
      <w:r>
        <w:t>samples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as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underlie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justification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aggression</w:t>
      </w:r>
      <w:proofErr w:type="spellEnd"/>
      <w:r>
        <w:t xml:space="preserve">. </w:t>
      </w:r>
      <w:proofErr w:type="spellStart"/>
      <w:r>
        <w:t>Additionally</w:t>
      </w:r>
      <w:proofErr w:type="spellEnd"/>
      <w:r>
        <w:t xml:space="preserve">, experimental </w:t>
      </w:r>
      <w:proofErr w:type="spellStart"/>
      <w:r>
        <w:t>research</w:t>
      </w:r>
      <w:proofErr w:type="spellEnd"/>
      <w:r>
        <w:t xml:space="preserve"> can observe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stimuli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campaigns</w:t>
      </w:r>
      <w:proofErr w:type="spellEnd"/>
      <w:r>
        <w:t xml:space="preserve">) can </w:t>
      </w:r>
      <w:proofErr w:type="spellStart"/>
      <w:r>
        <w:t>promote</w:t>
      </w:r>
      <w:proofErr w:type="spellEnd"/>
      <w:r>
        <w:t xml:space="preserve"> more </w:t>
      </w:r>
      <w:proofErr w:type="spellStart"/>
      <w:r>
        <w:t>egalitarian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short and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term</w:t>
      </w:r>
      <w:proofErr w:type="spellEnd"/>
      <w:r>
        <w:t>.</w:t>
      </w:r>
    </w:p>
    <w:p w14:paraId="34AF64A2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variables </w:t>
      </w:r>
      <w:proofErr w:type="spellStart"/>
      <w:r>
        <w:t>correlate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 </w:t>
      </w:r>
      <w:proofErr w:type="spellStart"/>
      <w:r>
        <w:t>serious</w:t>
      </w:r>
      <w:proofErr w:type="spellEnd"/>
      <w:r>
        <w:t xml:space="preserve"> societal </w:t>
      </w:r>
      <w:proofErr w:type="spellStart"/>
      <w:r>
        <w:t>problem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2022.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rape cases in </w:t>
      </w:r>
      <w:proofErr w:type="spellStart"/>
      <w:r>
        <w:t>history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rape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vulnerable), </w:t>
      </w:r>
      <w:proofErr w:type="spellStart"/>
      <w:r>
        <w:t>with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74,000 cases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88.7%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victims</w:t>
      </w:r>
      <w:proofErr w:type="spellEnd"/>
      <w:r>
        <w:t xml:space="preserve"> are </w:t>
      </w:r>
      <w:proofErr w:type="spellStart"/>
      <w:r>
        <w:t>female</w:t>
      </w:r>
      <w:proofErr w:type="spellEnd"/>
      <w:r>
        <w:t xml:space="preserve">.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femicide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6.1% in 2022, </w:t>
      </w:r>
      <w:proofErr w:type="spellStart"/>
      <w:r>
        <w:t>resulting</w:t>
      </w:r>
      <w:proofErr w:type="spellEnd"/>
      <w:r>
        <w:t xml:space="preserve"> in 1,437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killed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criminal </w:t>
      </w:r>
      <w:proofErr w:type="spellStart"/>
      <w:r>
        <w:t>modalities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harassment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rape and </w:t>
      </w:r>
      <w:proofErr w:type="spellStart"/>
      <w:r>
        <w:t>femicides</w:t>
      </w:r>
      <w:proofErr w:type="spellEnd"/>
      <w:r>
        <w:t xml:space="preserve"> (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Yearbook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Security, 2023). </w:t>
      </w:r>
    </w:p>
    <w:p w14:paraId="648FC0BD" w14:textId="77777777" w:rsidR="008131AB" w:rsidRDefault="008131AB" w:rsidP="00670533">
      <w:pPr>
        <w:spacing w:line="360" w:lineRule="auto"/>
        <w:ind w:firstLine="720"/>
        <w:jc w:val="both"/>
      </w:pPr>
    </w:p>
    <w:p w14:paraId="47B4731E" w14:textId="77777777" w:rsidR="00670533" w:rsidRDefault="00670533" w:rsidP="00670533">
      <w:pPr>
        <w:spacing w:line="360" w:lineRule="auto"/>
        <w:ind w:firstLine="720"/>
        <w:jc w:val="center"/>
        <w:rPr>
          <w:b/>
        </w:rPr>
      </w:pPr>
      <w:proofErr w:type="spellStart"/>
      <w:r>
        <w:rPr>
          <w:b/>
        </w:rPr>
        <w:t>Conclusions</w:t>
      </w:r>
      <w:proofErr w:type="spellEnd"/>
    </w:p>
    <w:p w14:paraId="70B11EB0" w14:textId="77777777" w:rsidR="00670533" w:rsidRDefault="00670533" w:rsidP="00670533">
      <w:pPr>
        <w:spacing w:line="360" w:lineRule="auto"/>
        <w:ind w:firstLine="720"/>
        <w:jc w:val="both"/>
      </w:pPr>
      <w:proofErr w:type="spellStart"/>
      <w:r>
        <w:t>We</w:t>
      </w:r>
      <w:proofErr w:type="spellEnd"/>
      <w:r>
        <w:t xml:space="preserve"> can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,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Brazilian’s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are more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egalitarian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investigates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and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psychometric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use in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women's</w:t>
      </w:r>
      <w:proofErr w:type="spellEnd"/>
      <w:r>
        <w:t xml:space="preserve"> social roles in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: </w:t>
      </w:r>
      <w:proofErr w:type="spellStart"/>
      <w:r>
        <w:t>participants</w:t>
      </w:r>
      <w:proofErr w:type="spellEnd"/>
      <w:r>
        <w:t xml:space="preserve"> endorse </w:t>
      </w:r>
      <w:proofErr w:type="spellStart"/>
      <w:r>
        <w:t>certain</w:t>
      </w:r>
      <w:proofErr w:type="spellEnd"/>
      <w:r>
        <w:t xml:space="preserve"> social </w:t>
      </w:r>
      <w:proofErr w:type="spellStart"/>
      <w:r>
        <w:t>categories</w:t>
      </w:r>
      <w:proofErr w:type="spellEnd"/>
      <w:r>
        <w:t xml:space="preserve"> as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naturalized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sociocultural </w:t>
      </w:r>
      <w:proofErr w:type="spellStart"/>
      <w:r>
        <w:t>structure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status</w:t>
      </w:r>
      <w:proofErr w:type="gramEnd"/>
      <w:r>
        <w:t xml:space="preserve"> quo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dominant</w:t>
      </w:r>
      <w:proofErr w:type="spellEnd"/>
      <w:r>
        <w:t xml:space="preserve"> </w:t>
      </w:r>
      <w:proofErr w:type="spellStart"/>
      <w:r>
        <w:t>groups</w:t>
      </w:r>
      <w:proofErr w:type="spellEnd"/>
      <w:r>
        <w:t>.</w:t>
      </w:r>
    </w:p>
    <w:p w14:paraId="13FA8237" w14:textId="58E3C074" w:rsidR="007E3B8D" w:rsidRDefault="00670533" w:rsidP="008131AB">
      <w:pPr>
        <w:spacing w:line="360" w:lineRule="auto"/>
        <w:ind w:firstLine="720"/>
        <w:jc w:val="both"/>
      </w:pPr>
      <w:r>
        <w:t xml:space="preserve">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more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are favorable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social roles.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targets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 </w:t>
      </w:r>
      <w:proofErr w:type="spellStart"/>
      <w:r>
        <w:t>inherited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patriarchal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</w:t>
      </w:r>
    </w:p>
    <w:p w14:paraId="23775132" w14:textId="77777777" w:rsidR="008131AB" w:rsidRPr="008131AB" w:rsidRDefault="008131AB" w:rsidP="008131AB">
      <w:pPr>
        <w:spacing w:line="360" w:lineRule="auto"/>
        <w:ind w:firstLine="720"/>
        <w:jc w:val="both"/>
        <w:rPr>
          <w:b/>
        </w:rPr>
      </w:pPr>
    </w:p>
    <w:p w14:paraId="6CD8B4A8" w14:textId="34F0BCF8" w:rsidR="006F7E7E" w:rsidRPr="00E25900" w:rsidRDefault="00CE7D65" w:rsidP="007A7CDC">
      <w:pPr>
        <w:pStyle w:val="Ttulosinternos"/>
      </w:pPr>
      <w:r w:rsidRPr="00E25900">
        <w:lastRenderedPageBreak/>
        <w:t>References</w:t>
      </w:r>
    </w:p>
    <w:p w14:paraId="58B33D00" w14:textId="77777777" w:rsidR="00670533" w:rsidRDefault="00670533" w:rsidP="00670533">
      <w:pPr>
        <w:tabs>
          <w:tab w:val="left" w:pos="2655"/>
        </w:tabs>
        <w:spacing w:line="360" w:lineRule="auto"/>
        <w:rPr>
          <w:i/>
        </w:rPr>
      </w:pPr>
      <w:r>
        <w:t xml:space="preserve">Allport, G. W. (1935). </w:t>
      </w:r>
      <w:proofErr w:type="spellStart"/>
      <w:r>
        <w:t>Attitudes</w:t>
      </w:r>
      <w:proofErr w:type="spellEnd"/>
      <w:r>
        <w:t xml:space="preserve">. In C. M. Murchison (Ed.),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  </w:t>
      </w:r>
    </w:p>
    <w:p w14:paraId="6F3812F2" w14:textId="77777777" w:rsidR="00670533" w:rsidRDefault="00670533" w:rsidP="00670533">
      <w:pPr>
        <w:tabs>
          <w:tab w:val="left" w:pos="2655"/>
        </w:tabs>
        <w:spacing w:line="360" w:lineRule="auto"/>
        <w:ind w:left="566"/>
      </w:pPr>
      <w:proofErr w:type="spellStart"/>
      <w:r>
        <w:rPr>
          <w:i/>
        </w:rPr>
        <w:t>Psychology</w:t>
      </w:r>
      <w:proofErr w:type="spellEnd"/>
      <w:r>
        <w:rPr>
          <w:i/>
        </w:rPr>
        <w:t>.</w:t>
      </w:r>
      <w:r>
        <w:t xml:space="preserve"> Clark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553BC7F9" w14:textId="77777777" w:rsidR="00670533" w:rsidRDefault="00670533" w:rsidP="00670533">
      <w:pPr>
        <w:tabs>
          <w:tab w:val="left" w:pos="2655"/>
        </w:tabs>
        <w:spacing w:line="360" w:lineRule="auto"/>
      </w:pPr>
      <w:r>
        <w:t xml:space="preserve">Alves, N., Souza, L., Maia, L., Silva, R., &amp; Gomes, A. (2021). A </w:t>
      </w:r>
      <w:proofErr w:type="spellStart"/>
      <w:r>
        <w:t>mulher</w:t>
      </w:r>
      <w:proofErr w:type="spellEnd"/>
      <w:r>
        <w:t xml:space="preserve"> no Facebook: </w:t>
      </w:r>
      <w:proofErr w:type="spellStart"/>
      <w:r>
        <w:t>uma</w:t>
      </w:r>
      <w:proofErr w:type="spellEnd"/>
      <w:r>
        <w:t xml:space="preserve"> </w:t>
      </w:r>
    </w:p>
    <w:p w14:paraId="7173713F" w14:textId="77777777" w:rsidR="00670533" w:rsidRDefault="00670533" w:rsidP="00670533">
      <w:pPr>
        <w:tabs>
          <w:tab w:val="left" w:pos="2655"/>
        </w:tabs>
        <w:spacing w:line="360" w:lineRule="auto"/>
        <w:ind w:left="566"/>
      </w:pPr>
      <w:proofErr w:type="spellStart"/>
      <w:r>
        <w:t>análise</w:t>
      </w:r>
      <w:proofErr w:type="spellEnd"/>
      <w:r>
        <w:t xml:space="preserve"> a partir do sexismo ambivalente. </w:t>
      </w:r>
      <w:proofErr w:type="spellStart"/>
      <w:r>
        <w:rPr>
          <w:i/>
        </w:rPr>
        <w:t>Intercom</w:t>
      </w:r>
      <w:proofErr w:type="spellEnd"/>
      <w:r>
        <w:rPr>
          <w:i/>
        </w:rPr>
        <w:t xml:space="preserve"> - RBCC, </w:t>
      </w:r>
      <w:r>
        <w:t>44 (1), 131-1414. https://doi.org/10.1590/1809-5844202116.</w:t>
      </w:r>
    </w:p>
    <w:p w14:paraId="74CC7D43" w14:textId="77777777" w:rsidR="00670533" w:rsidRDefault="00670533" w:rsidP="00670533">
      <w:pPr>
        <w:tabs>
          <w:tab w:val="left" w:pos="2655"/>
        </w:tabs>
        <w:spacing w:line="360" w:lineRule="auto"/>
      </w:pPr>
      <w:r>
        <w:t xml:space="preserve">American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(ACHA, 2018). American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</w:p>
    <w:p w14:paraId="63EE6B73" w14:textId="77777777" w:rsidR="00670533" w:rsidRDefault="00670533" w:rsidP="00670533">
      <w:pPr>
        <w:tabs>
          <w:tab w:val="left" w:pos="2655"/>
        </w:tabs>
        <w:spacing w:line="360" w:lineRule="auto"/>
        <w:ind w:left="566"/>
      </w:pPr>
      <w:proofErr w:type="spellStart"/>
      <w:r>
        <w:t>Association-National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II: Reference </w:t>
      </w:r>
      <w:proofErr w:type="spellStart"/>
      <w:r>
        <w:t>Group</w:t>
      </w:r>
      <w:proofErr w:type="spellEnd"/>
      <w:r>
        <w:t xml:space="preserve"> Executive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2017. Hanover, MD: American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.</w:t>
      </w:r>
    </w:p>
    <w:p w14:paraId="4C9CFB36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Anbumalar</w:t>
      </w:r>
      <w:proofErr w:type="spellEnd"/>
      <w:r>
        <w:t xml:space="preserve">, C., </w:t>
      </w:r>
      <w:proofErr w:type="spellStart"/>
      <w:r>
        <w:t>Dorathy</w:t>
      </w:r>
      <w:proofErr w:type="spellEnd"/>
      <w:r>
        <w:t xml:space="preserve">, A., </w:t>
      </w:r>
      <w:proofErr w:type="spellStart"/>
      <w:r>
        <w:t>Jaswanti</w:t>
      </w:r>
      <w:proofErr w:type="spellEnd"/>
      <w:r>
        <w:t xml:space="preserve"> V., Priya, D., &amp; </w:t>
      </w:r>
      <w:proofErr w:type="spellStart"/>
      <w:r>
        <w:t>Reniangelin</w:t>
      </w:r>
      <w:proofErr w:type="spellEnd"/>
      <w:r>
        <w:t xml:space="preserve">, D. (2017).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Perceived</w:t>
      </w:r>
      <w:proofErr w:type="spellEnd"/>
      <w:r>
        <w:t xml:space="preserve"> Stress </w:t>
      </w:r>
      <w:proofErr w:type="spellStart"/>
      <w:r>
        <w:t>levels</w:t>
      </w:r>
      <w:proofErr w:type="spellEnd"/>
      <w:r>
        <w:t xml:space="preserve"> and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International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4</w:t>
      </w:r>
      <w:r>
        <w:t>(4)</w:t>
      </w:r>
      <w:r>
        <w:rPr>
          <w:i/>
        </w:rPr>
        <w:t xml:space="preserve">. </w:t>
      </w:r>
      <w:r>
        <w:t>https://doi.org/</w:t>
      </w:r>
      <w:hyperlink r:id="rId18">
        <w:r>
          <w:t>10.25215/0404.103</w:t>
        </w:r>
      </w:hyperlink>
    </w:p>
    <w:p w14:paraId="3D5E17B1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Bahtiyar-Saygan</w:t>
      </w:r>
      <w:proofErr w:type="spellEnd"/>
      <w:r>
        <w:t xml:space="preserve">, B., &amp; </w:t>
      </w:r>
      <w:proofErr w:type="spellStart"/>
      <w:r>
        <w:t>Sakallı-Uğurlu</w:t>
      </w:r>
      <w:proofErr w:type="spellEnd"/>
      <w:r>
        <w:t xml:space="preserve">, N. (2019).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childlessness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in </w:t>
      </w:r>
      <w:proofErr w:type="spellStart"/>
      <w:r>
        <w:t>Turkey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Issues</w:t>
      </w:r>
      <w:r>
        <w:t xml:space="preserve">, </w:t>
      </w:r>
      <w:r>
        <w:rPr>
          <w:i/>
        </w:rPr>
        <w:t>40</w:t>
      </w:r>
      <w:r>
        <w:t>(17), 2499–2527.  https://doi.org/10.1177/0192513X19860168</w:t>
      </w:r>
    </w:p>
    <w:p w14:paraId="5DBFA94E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Angelone</w:t>
      </w:r>
      <w:proofErr w:type="spellEnd"/>
      <w:r>
        <w:t xml:space="preserve">, D. J., Mitchell, D., &amp; Grossi, L. (2015). </w:t>
      </w:r>
      <w:proofErr w:type="spellStart"/>
      <w:r>
        <w:t>Men’s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acquaintance</w:t>
      </w:r>
      <w:proofErr w:type="spellEnd"/>
      <w:r>
        <w:t xml:space="preserve"> </w:t>
      </w:r>
    </w:p>
    <w:p w14:paraId="1CCF0488" w14:textId="77777777" w:rsidR="00670533" w:rsidRDefault="00670533" w:rsidP="00670533">
      <w:pPr>
        <w:tabs>
          <w:tab w:val="left" w:pos="2655"/>
        </w:tabs>
        <w:spacing w:line="360" w:lineRule="auto"/>
        <w:ind w:left="850"/>
      </w:pPr>
      <w:r>
        <w:t xml:space="preserve">rape: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, </w:t>
      </w:r>
      <w:proofErr w:type="spellStart"/>
      <w:r>
        <w:t>victim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, and </w:t>
      </w:r>
      <w:proofErr w:type="spellStart"/>
      <w:r>
        <w:t>gender</w:t>
      </w:r>
      <w:proofErr w:type="spellEnd"/>
      <w:r>
        <w:t xml:space="preserve"> role </w:t>
      </w:r>
      <w:proofErr w:type="spellStart"/>
      <w:r>
        <w:t>attitudes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Interpersonal </w:t>
      </w:r>
      <w:proofErr w:type="spellStart"/>
      <w:r>
        <w:rPr>
          <w:i/>
        </w:rPr>
        <w:t>Violence</w:t>
      </w:r>
      <w:proofErr w:type="spellEnd"/>
      <w:r>
        <w:t xml:space="preserve">, </w:t>
      </w:r>
      <w:r>
        <w:rPr>
          <w:i/>
        </w:rPr>
        <w:t>30</w:t>
      </w:r>
      <w:r>
        <w:t>(13), 2278–2303. https://doi.org/10.1177/0886260514552448</w:t>
      </w:r>
    </w:p>
    <w:p w14:paraId="4CED9E29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Barreto, M., &amp; Doyle, D. M. (2023). </w:t>
      </w:r>
      <w:proofErr w:type="spellStart"/>
      <w:r>
        <w:t>Benevolent</w:t>
      </w:r>
      <w:proofErr w:type="spellEnd"/>
      <w:r>
        <w:t xml:space="preserve"> and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in a </w:t>
      </w:r>
      <w:proofErr w:type="spellStart"/>
      <w:r>
        <w:t>shifting</w:t>
      </w:r>
      <w:proofErr w:type="spellEnd"/>
      <w:r>
        <w:t xml:space="preserve"> global </w:t>
      </w:r>
      <w:proofErr w:type="spellStart"/>
      <w:r>
        <w:t>context</w:t>
      </w:r>
      <w:proofErr w:type="spellEnd"/>
      <w:r>
        <w:t xml:space="preserve">. </w:t>
      </w:r>
      <w:proofErr w:type="spellStart"/>
      <w:r>
        <w:rPr>
          <w:i/>
        </w:rPr>
        <w:t>Nature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Reviews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Psychology</w:t>
      </w:r>
      <w:proofErr w:type="spellEnd"/>
      <w:r>
        <w:t xml:space="preserve">, </w:t>
      </w:r>
      <w:r>
        <w:rPr>
          <w:i/>
        </w:rPr>
        <w:t>2</w:t>
      </w:r>
      <w:r>
        <w:t>(2), 98–111. https://doi.org/10.1038/s44159-022-00136-x</w:t>
      </w:r>
    </w:p>
    <w:p w14:paraId="52D9730B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Begun</w:t>
      </w:r>
      <w:proofErr w:type="spellEnd"/>
      <w:r>
        <w:t xml:space="preserve">, S. (2014).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antichoice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: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reproductive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policy</w:t>
      </w:r>
      <w:proofErr w:type="spellEnd"/>
      <w:r>
        <w:t xml:space="preserve">. </w:t>
      </w:r>
      <w:proofErr w:type="spellStart"/>
      <w:r>
        <w:rPr>
          <w:i/>
        </w:rPr>
        <w:t>Contraception</w:t>
      </w:r>
      <w:proofErr w:type="spellEnd"/>
      <w:r>
        <w:t xml:space="preserve">, </w:t>
      </w:r>
      <w:r>
        <w:rPr>
          <w:i/>
        </w:rPr>
        <w:t>90</w:t>
      </w:r>
      <w:r>
        <w:t xml:space="preserve">(3), 301–302. https://doi.org/10.1016/j.contraception.2014.05.034 </w:t>
      </w:r>
    </w:p>
    <w:p w14:paraId="7B1F5944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Boateng, G., </w:t>
      </w:r>
      <w:proofErr w:type="spellStart"/>
      <w:r>
        <w:t>Neilands</w:t>
      </w:r>
      <w:proofErr w:type="spellEnd"/>
      <w:r>
        <w:t xml:space="preserve">, T., </w:t>
      </w:r>
      <w:proofErr w:type="spellStart"/>
      <w:r>
        <w:t>Frongillo</w:t>
      </w:r>
      <w:proofErr w:type="spellEnd"/>
      <w:r>
        <w:t xml:space="preserve">, E., Melgar-Quiñonez, H., &amp; Young, S. (2018).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and </w:t>
      </w:r>
      <w:proofErr w:type="spellStart"/>
      <w:r>
        <w:t>Validating</w:t>
      </w:r>
      <w:proofErr w:type="spellEnd"/>
      <w:r>
        <w:t xml:space="preserve"> </w:t>
      </w:r>
      <w:proofErr w:type="spellStart"/>
      <w:r>
        <w:t>Scales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Social, and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: A Primer. </w:t>
      </w:r>
      <w:proofErr w:type="spellStart"/>
      <w:r>
        <w:rPr>
          <w:i/>
        </w:rPr>
        <w:t>Frontiers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Public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t>,</w:t>
      </w:r>
      <w:r>
        <w:rPr>
          <w:i/>
        </w:rPr>
        <w:t xml:space="preserve"> 6</w:t>
      </w:r>
      <w:r>
        <w:t>(149).</w:t>
      </w:r>
      <w:hyperlink r:id="rId19">
        <w:r>
          <w:t xml:space="preserve"> https://doi.org/10.3389/fpubh.2018.00149</w:t>
        </w:r>
      </w:hyperlink>
    </w:p>
    <w:p w14:paraId="7CB07199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lastRenderedPageBreak/>
        <w:t xml:space="preserve">Bolton, K., &amp; </w:t>
      </w:r>
      <w:proofErr w:type="spellStart"/>
      <w:r>
        <w:t>DiLalla</w:t>
      </w:r>
      <w:proofErr w:type="spellEnd"/>
      <w:r>
        <w:t xml:space="preserve">, D. (2007). </w:t>
      </w:r>
      <w:proofErr w:type="spellStart"/>
      <w:r>
        <w:t>Men’s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unintentional</w:t>
      </w:r>
      <w:proofErr w:type="spellEnd"/>
      <w:r>
        <w:t xml:space="preserve"> rape: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psychometric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Masculinity</w:t>
      </w:r>
      <w:proofErr w:type="spellEnd"/>
      <w:r>
        <w:t xml:space="preserve">, </w:t>
      </w:r>
      <w:r>
        <w:rPr>
          <w:i/>
        </w:rPr>
        <w:t>8</w:t>
      </w:r>
      <w:r>
        <w:t>(4), 201–214. https://doi.org/10.1037/1524-9220.8.4.201</w:t>
      </w:r>
    </w:p>
    <w:p w14:paraId="1802EA01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Borgogna</w:t>
      </w:r>
      <w:proofErr w:type="spellEnd"/>
      <w:r>
        <w:t xml:space="preserve">, N., &amp; McDermott, R. (2022).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masculinity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time in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women</w:t>
      </w:r>
      <w:proofErr w:type="spellEnd"/>
      <w:r>
        <w:t xml:space="preserve">?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</w:t>
      </w:r>
      <w:proofErr w:type="spellEnd"/>
      <w:r>
        <w:rPr>
          <w:i/>
        </w:rPr>
        <w:t xml:space="preserve"> &amp; </w:t>
      </w:r>
      <w:proofErr w:type="spellStart"/>
      <w:proofErr w:type="gramStart"/>
      <w:r>
        <w:rPr>
          <w:i/>
        </w:rPr>
        <w:t>Masculinities</w:t>
      </w:r>
      <w:proofErr w:type="spellEnd"/>
      <w:r>
        <w:rPr>
          <w:i/>
        </w:rPr>
        <w:t>,  23</w:t>
      </w:r>
      <w:proofErr w:type="gramEnd"/>
      <w:r>
        <w:t>(3).</w:t>
      </w:r>
      <w:r>
        <w:rPr>
          <w:i/>
        </w:rPr>
        <w:t xml:space="preserve"> </w:t>
      </w:r>
      <w:r>
        <w:t>https://doi.org/10.1037/men000039</w:t>
      </w:r>
    </w:p>
    <w:p w14:paraId="42D7DFBC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Cikara</w:t>
      </w:r>
      <w:proofErr w:type="spellEnd"/>
      <w:r>
        <w:t xml:space="preserve">, M., </w:t>
      </w:r>
      <w:proofErr w:type="spellStart"/>
      <w:r>
        <w:t>Eberhardt</w:t>
      </w:r>
      <w:proofErr w:type="spellEnd"/>
      <w:r>
        <w:t xml:space="preserve">, J., &amp; Fiske, S. (2011).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: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and Neural Responses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Sexualized</w:t>
      </w:r>
      <w:proofErr w:type="spellEnd"/>
      <w:r>
        <w:t xml:space="preserve"> Targets.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Cognitive </w:t>
      </w:r>
      <w:proofErr w:type="spellStart"/>
      <w:r>
        <w:rPr>
          <w:i/>
        </w:rPr>
        <w:t>Neuroscience</w:t>
      </w:r>
      <w:proofErr w:type="spellEnd"/>
      <w:r>
        <w:rPr>
          <w:i/>
        </w:rPr>
        <w:t xml:space="preserve">, </w:t>
      </w:r>
      <w:proofErr w:type="gramStart"/>
      <w:r>
        <w:rPr>
          <w:i/>
        </w:rPr>
        <w:t>23</w:t>
      </w:r>
      <w:r>
        <w:t>,(</w:t>
      </w:r>
      <w:proofErr w:type="gramEnd"/>
      <w:r>
        <w:t>3), 540–551.  https://doi.org/10.1162/jocn.2010.21497</w:t>
      </w:r>
    </w:p>
    <w:p w14:paraId="6EAF120D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Connor, R. A., &amp; Fiske, S. T. (2019).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Minding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Gap: </w:t>
      </w:r>
      <w:proofErr w:type="spellStart"/>
      <w:r>
        <w:t>How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E</w:t>
      </w:r>
      <w:r>
        <w:rPr>
          <w:i/>
        </w:rPr>
        <w:t>xplanations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Income</w:t>
      </w:r>
      <w:proofErr w:type="spellEnd"/>
      <w:r>
        <w:rPr>
          <w:i/>
        </w:rPr>
        <w:t xml:space="preserve"> Gap. </w:t>
      </w:r>
      <w:proofErr w:type="spellStart"/>
      <w:r>
        <w:t>Psychology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Quarterly</w:t>
      </w:r>
      <w:proofErr w:type="spellEnd"/>
      <w:r>
        <w:t>, 43(1), 22-36. https://doi.org/10.1177/0361684318815468</w:t>
      </w:r>
    </w:p>
    <w:p w14:paraId="4D5465FF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Connor, R. A., </w:t>
      </w:r>
      <w:proofErr w:type="spellStart"/>
      <w:r>
        <w:t>Glick</w:t>
      </w:r>
      <w:proofErr w:type="spellEnd"/>
      <w:r>
        <w:t xml:space="preserve">, P., &amp; Fiske, S. T. (2017).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twenty-first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. In C. G. </w:t>
      </w:r>
      <w:proofErr w:type="spellStart"/>
      <w:r>
        <w:t>Sibley</w:t>
      </w:r>
      <w:proofErr w:type="spellEnd"/>
      <w:r>
        <w:t xml:space="preserve"> &amp; F. K. Barlow (Eds.),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Cambridge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prejudice</w:t>
      </w:r>
      <w:proofErr w:type="spellEnd"/>
      <w:r>
        <w:t xml:space="preserve"> (pp. 295–320).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https://doi.org/10.1017/9781316161579.013</w:t>
      </w:r>
    </w:p>
    <w:p w14:paraId="39D9C96B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Cowie</w:t>
      </w:r>
      <w:proofErr w:type="spellEnd"/>
      <w:r>
        <w:t xml:space="preserve">, L. J., </w:t>
      </w:r>
      <w:proofErr w:type="spellStart"/>
      <w:r>
        <w:t>Greaves</w:t>
      </w:r>
      <w:proofErr w:type="spellEnd"/>
      <w:r>
        <w:t xml:space="preserve">, L. M., &amp; </w:t>
      </w:r>
      <w:proofErr w:type="spellStart"/>
      <w:r>
        <w:t>Sibley</w:t>
      </w:r>
      <w:proofErr w:type="spellEnd"/>
      <w:r>
        <w:t xml:space="preserve">, C. G. (2019). </w:t>
      </w:r>
      <w:proofErr w:type="spellStart"/>
      <w:r>
        <w:t>Sexuality</w:t>
      </w:r>
      <w:proofErr w:type="spellEnd"/>
      <w:r>
        <w:t xml:space="preserve"> and </w:t>
      </w:r>
      <w:proofErr w:type="spellStart"/>
      <w:r>
        <w:t>sexism</w:t>
      </w:r>
      <w:proofErr w:type="spellEnd"/>
      <w:r>
        <w:t xml:space="preserve">: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and sexual </w:t>
      </w:r>
      <w:proofErr w:type="spellStart"/>
      <w:r>
        <w:t>identity</w:t>
      </w:r>
      <w:proofErr w:type="spellEnd"/>
      <w:r>
        <w:t xml:space="preserve">. </w:t>
      </w:r>
      <w:proofErr w:type="spellStart"/>
      <w:r>
        <w:rPr>
          <w:i/>
        </w:rPr>
        <w:t>Personality</w:t>
      </w:r>
      <w:proofErr w:type="spellEnd"/>
      <w:r>
        <w:rPr>
          <w:i/>
        </w:rPr>
        <w:t xml:space="preserve"> and Individual </w:t>
      </w:r>
      <w:proofErr w:type="spellStart"/>
      <w:r>
        <w:rPr>
          <w:i/>
        </w:rPr>
        <w:t>Differences</w:t>
      </w:r>
      <w:proofErr w:type="spellEnd"/>
      <w:r>
        <w:t xml:space="preserve">, </w:t>
      </w:r>
      <w:r>
        <w:rPr>
          <w:i/>
        </w:rPr>
        <w:t>148</w:t>
      </w:r>
      <w:r>
        <w:t>, 85–89. https://doi.org/10.1016/j.paid.2019.05.023</w:t>
      </w:r>
    </w:p>
    <w:p w14:paraId="7310E948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Chrisler</w:t>
      </w:r>
      <w:proofErr w:type="spellEnd"/>
      <w:r>
        <w:t xml:space="preserve">, Joan., Gorman, J., </w:t>
      </w:r>
      <w:proofErr w:type="spellStart"/>
      <w:r>
        <w:t>Marván</w:t>
      </w:r>
      <w:proofErr w:type="spellEnd"/>
      <w:r>
        <w:t xml:space="preserve">, M., &amp; Johnston - Robledo. I. (2014).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Reproductive </w:t>
      </w:r>
      <w:proofErr w:type="spellStart"/>
      <w:r>
        <w:t>Life</w:t>
      </w:r>
      <w:proofErr w:type="spellEnd"/>
      <w:r>
        <w:t xml:space="preserve">: A </w:t>
      </w:r>
      <w:proofErr w:type="spellStart"/>
      <w:r>
        <w:t>Semantic</w:t>
      </w:r>
      <w:proofErr w:type="spellEnd"/>
      <w:r>
        <w:t xml:space="preserve">, Cross-Cultural </w:t>
      </w:r>
      <w:proofErr w:type="spellStart"/>
      <w:r>
        <w:t>Approach</w:t>
      </w:r>
      <w:proofErr w:type="spellEnd"/>
      <w:r>
        <w:t xml:space="preserve">. 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Women</w:t>
      </w:r>
      <w:proofErr w:type="spellEnd"/>
      <w:r>
        <w:rPr>
          <w:i/>
        </w:rPr>
        <w:t xml:space="preserve"> International, 35 </w:t>
      </w:r>
      <w:r>
        <w:t>(6). https://doi.org/10.1080/07399332.2012.740113</w:t>
      </w:r>
    </w:p>
    <w:p w14:paraId="6AD26012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Cross, E. J., </w:t>
      </w:r>
      <w:proofErr w:type="spellStart"/>
      <w:r>
        <w:t>Overall</w:t>
      </w:r>
      <w:proofErr w:type="spellEnd"/>
      <w:r>
        <w:t xml:space="preserve">, N. C., Low, R. S. T., &amp; </w:t>
      </w:r>
      <w:proofErr w:type="spellStart"/>
      <w:r>
        <w:t>McNulty</w:t>
      </w:r>
      <w:proofErr w:type="spellEnd"/>
      <w:r>
        <w:t xml:space="preserve">, J. K. (2019).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interdependence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power</w:t>
      </w:r>
      <w:proofErr w:type="spellEnd"/>
      <w:r>
        <w:t xml:space="preserve">: </w:t>
      </w:r>
      <w:proofErr w:type="spellStart"/>
      <w:r>
        <w:t>Men’s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, </w:t>
      </w:r>
      <w:proofErr w:type="spellStart"/>
      <w:r>
        <w:t>biased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, and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aggression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Personality</w:t>
      </w:r>
      <w:proofErr w:type="spellEnd"/>
      <w:r>
        <w:rPr>
          <w:i/>
        </w:rPr>
        <w:t xml:space="preserve"> and Social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117</w:t>
      </w:r>
      <w:r>
        <w:t>(2), 338–363. https://doi.org/10.1037/pspi0000167</w:t>
      </w:r>
    </w:p>
    <w:p w14:paraId="23BC888E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De Lemus, S., Moya, M., &amp; </w:t>
      </w:r>
      <w:proofErr w:type="spellStart"/>
      <w:r>
        <w:t>Glick</w:t>
      </w:r>
      <w:proofErr w:type="spellEnd"/>
      <w:r>
        <w:t xml:space="preserve">, P. (2010).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correlates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: </w:t>
      </w:r>
      <w:proofErr w:type="spellStart"/>
      <w:r>
        <w:t>Adolescents</w:t>
      </w:r>
      <w:proofErr w:type="spellEnd"/>
      <w:r>
        <w:t xml:space="preserve">’ </w:t>
      </w:r>
      <w:proofErr w:type="spellStart"/>
      <w:r>
        <w:t>romantic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predicts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in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in </w:t>
      </w:r>
      <w:proofErr w:type="spellStart"/>
      <w:r>
        <w:t>girls</w:t>
      </w:r>
      <w:proofErr w:type="spellEnd"/>
      <w:r>
        <w:t xml:space="preserve">. </w:t>
      </w:r>
      <w:r>
        <w:rPr>
          <w:i/>
        </w:rPr>
        <w:t>Sex Roles,63</w:t>
      </w:r>
      <w:r>
        <w:t>, 214–225. https://doi.org/10.1007/s11199010-9786-2</w:t>
      </w:r>
    </w:p>
    <w:p w14:paraId="12CF665D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lastRenderedPageBreak/>
        <w:t xml:space="preserve">De </w:t>
      </w:r>
      <w:proofErr w:type="spellStart"/>
      <w:r>
        <w:t>Judicibus</w:t>
      </w:r>
      <w:proofErr w:type="spellEnd"/>
      <w:r>
        <w:t xml:space="preserve">, M., &amp; McCabe, M. P. (2001). </w:t>
      </w:r>
      <w:proofErr w:type="spellStart"/>
      <w:r>
        <w:t>Blaming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target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sexual </w:t>
      </w:r>
      <w:proofErr w:type="spellStart"/>
      <w:r>
        <w:t>harassment</w:t>
      </w:r>
      <w:proofErr w:type="spellEnd"/>
      <w:r>
        <w:t xml:space="preserve">: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role,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, and </w:t>
      </w:r>
      <w:proofErr w:type="spellStart"/>
      <w:r>
        <w:t>work</w:t>
      </w:r>
      <w:proofErr w:type="spellEnd"/>
      <w:r>
        <w:t xml:space="preserve"> role. </w:t>
      </w:r>
      <w:r>
        <w:rPr>
          <w:i/>
        </w:rPr>
        <w:t>Sex Roles 44</w:t>
      </w:r>
      <w:r>
        <w:t>(7-8), 401–417. https://doi.org/10.1023/A:1011926027920</w:t>
      </w:r>
    </w:p>
    <w:p w14:paraId="3996A8CB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Delevi</w:t>
      </w:r>
      <w:proofErr w:type="spellEnd"/>
      <w:r>
        <w:t xml:space="preserve">, R., &amp; </w:t>
      </w:r>
      <w:proofErr w:type="spellStart"/>
      <w:r>
        <w:t>Bugay</w:t>
      </w:r>
      <w:proofErr w:type="spellEnd"/>
      <w:r>
        <w:t xml:space="preserve">, A. (2013).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 and </w:t>
      </w:r>
      <w:proofErr w:type="spellStart"/>
      <w:r>
        <w:t>validity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15-item short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(AWS)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International </w:t>
      </w:r>
      <w:proofErr w:type="spellStart"/>
      <w:r>
        <w:rPr>
          <w:i/>
        </w:rPr>
        <w:t>Women's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Studies</w:t>
      </w:r>
      <w:proofErr w:type="spellEnd"/>
      <w:r>
        <w:rPr>
          <w:i/>
        </w:rPr>
        <w:t>, 14</w:t>
      </w:r>
      <w:r>
        <w:t>(1), 263-272. https://vc.bridgew.edu/cgi/viewcontent.cgi?referer=https://scholar.google.com.br/&amp;httpsredir=1&amp;article=1663&amp;context=jiws</w:t>
      </w:r>
    </w:p>
    <w:p w14:paraId="63D657A0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DeVellis</w:t>
      </w:r>
      <w:proofErr w:type="spellEnd"/>
      <w:r>
        <w:t xml:space="preserve">, R. (2017). </w:t>
      </w:r>
      <w:proofErr w:type="spellStart"/>
      <w:r>
        <w:rPr>
          <w:i/>
        </w:rPr>
        <w:t>Scale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theory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applications</w:t>
      </w:r>
      <w:proofErr w:type="spellEnd"/>
      <w:r>
        <w:t>. Sage.</w:t>
      </w:r>
    </w:p>
    <w:p w14:paraId="30EC73D6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Dickman</w:t>
      </w:r>
      <w:proofErr w:type="spellEnd"/>
      <w:r>
        <w:t xml:space="preserve">-Burnett, V., Fisher, B., </w:t>
      </w:r>
      <w:proofErr w:type="spellStart"/>
      <w:r>
        <w:t>Dariotis</w:t>
      </w:r>
      <w:proofErr w:type="spellEnd"/>
      <w:r>
        <w:t xml:space="preserve">, J., &amp; </w:t>
      </w:r>
      <w:proofErr w:type="spellStart"/>
      <w:r>
        <w:t>Geaman</w:t>
      </w:r>
      <w:proofErr w:type="spellEnd"/>
      <w:r>
        <w:t xml:space="preserve">, M. (2021).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Sexual </w:t>
      </w:r>
      <w:proofErr w:type="spellStart"/>
      <w:r>
        <w:t>Violence</w:t>
      </w:r>
      <w:proofErr w:type="spellEnd"/>
      <w:r>
        <w:t xml:space="preserve">: </w:t>
      </w:r>
      <w:proofErr w:type="spellStart"/>
      <w:r>
        <w:t>Identifying</w:t>
      </w:r>
      <w:proofErr w:type="spellEnd"/>
      <w:r>
        <w:t xml:space="preserve"> </w:t>
      </w:r>
      <w:proofErr w:type="spellStart"/>
      <w:proofErr w:type="gramStart"/>
      <w:r>
        <w:t>Clusters</w:t>
      </w:r>
      <w:proofErr w:type="spellEnd"/>
      <w:proofErr w:type="gram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. </w:t>
      </w:r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Violence</w:t>
      </w:r>
      <w:proofErr w:type="spellEnd"/>
      <w:r>
        <w:rPr>
          <w:i/>
        </w:rPr>
        <w:t>, 20 (</w:t>
      </w:r>
      <w:r>
        <w:t>4), 389-401, https://doi.org/10.1080/15388220.2021.1920422</w:t>
      </w:r>
    </w:p>
    <w:p w14:paraId="7A24A2FE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Eisenbarth</w:t>
      </w:r>
      <w:proofErr w:type="spellEnd"/>
      <w:r>
        <w:t xml:space="preserve">, C. A. (2019).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stress: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</w:t>
      </w:r>
      <w:proofErr w:type="spellStart"/>
      <w:r>
        <w:rPr>
          <w:i/>
        </w:rPr>
        <w:t>College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t xml:space="preserve">, </w:t>
      </w:r>
      <w:r>
        <w:rPr>
          <w:i/>
        </w:rPr>
        <w:t>53</w:t>
      </w:r>
      <w:r>
        <w:t>(2), 151-162. https://doi.org/10.1371/journal.pone.0255634</w:t>
      </w:r>
    </w:p>
    <w:p w14:paraId="6A8DEAB3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Erchull</w:t>
      </w:r>
      <w:proofErr w:type="spellEnd"/>
      <w:r>
        <w:t>, M.J. (2020). “</w:t>
      </w:r>
      <w:proofErr w:type="spellStart"/>
      <w:r>
        <w:t>You</w:t>
      </w:r>
      <w:proofErr w:type="spellEnd"/>
      <w:r>
        <w:t xml:space="preserve"> Will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Is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”: Boys, </w:t>
      </w:r>
      <w:proofErr w:type="spellStart"/>
      <w:r>
        <w:t>Men</w:t>
      </w:r>
      <w:proofErr w:type="spellEnd"/>
      <w:r>
        <w:t xml:space="preserve">, and </w:t>
      </w:r>
      <w:proofErr w:type="spellStart"/>
      <w:r>
        <w:t>Menstruation</w:t>
      </w:r>
      <w:proofErr w:type="spellEnd"/>
      <w:r>
        <w:t xml:space="preserve">. In: </w:t>
      </w:r>
      <w:proofErr w:type="spellStart"/>
      <w:r>
        <w:t>Bobel</w:t>
      </w:r>
      <w:proofErr w:type="spellEnd"/>
      <w:r>
        <w:t xml:space="preserve">, C., Winkler, I.T., </w:t>
      </w:r>
      <w:proofErr w:type="spellStart"/>
      <w:r>
        <w:t>Fahs</w:t>
      </w:r>
      <w:proofErr w:type="spellEnd"/>
      <w:r>
        <w:t xml:space="preserve">, B., </w:t>
      </w:r>
      <w:proofErr w:type="spellStart"/>
      <w:r>
        <w:t>Hasson</w:t>
      </w:r>
      <w:proofErr w:type="spellEnd"/>
      <w:r>
        <w:t xml:space="preserve">, K.A., </w:t>
      </w:r>
      <w:proofErr w:type="spellStart"/>
      <w:r>
        <w:t>Kissling</w:t>
      </w:r>
      <w:proofErr w:type="spellEnd"/>
      <w:r>
        <w:t>, E.A., Roberts, TA. (</w:t>
      </w:r>
      <w:proofErr w:type="spellStart"/>
      <w:r>
        <w:t>eds</w:t>
      </w:r>
      <w:proofErr w:type="spellEnd"/>
      <w:r>
        <w:t xml:space="preserve">)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Palgrave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Critical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Menstruation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Studies</w:t>
      </w:r>
      <w:proofErr w:type="spellEnd"/>
      <w:r>
        <w:rPr>
          <w:i/>
        </w:rPr>
        <w:t xml:space="preserve">. </w:t>
      </w:r>
      <w:proofErr w:type="spellStart"/>
      <w:r>
        <w:t>Palgrave</w:t>
      </w:r>
      <w:proofErr w:type="spellEnd"/>
      <w:r>
        <w:t xml:space="preserve"> Macmillan.</w:t>
      </w:r>
    </w:p>
    <w:p w14:paraId="6171BBC1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Eyring</w:t>
      </w:r>
      <w:proofErr w:type="spellEnd"/>
      <w:r>
        <w:t xml:space="preserve">, J., Crandall, A., &amp; Magnusson, B. (2023). A </w:t>
      </w:r>
      <w:proofErr w:type="spellStart"/>
      <w:r>
        <w:t>Modified</w:t>
      </w:r>
      <w:proofErr w:type="spellEnd"/>
      <w:r>
        <w:t xml:space="preserve"> Menstrual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: Heteronormative </w:t>
      </w:r>
      <w:proofErr w:type="spellStart"/>
      <w:r>
        <w:t>Attitudes</w:t>
      </w:r>
      <w:proofErr w:type="spellEnd"/>
      <w:r>
        <w:t xml:space="preserve">, </w:t>
      </w:r>
      <w:proofErr w:type="spellStart"/>
      <w:r>
        <w:t>Sexism</w:t>
      </w:r>
      <w:proofErr w:type="spellEnd"/>
      <w:r>
        <w:t xml:space="preserve">, and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Menstruation</w:t>
      </w:r>
      <w:proofErr w:type="spellEnd"/>
      <w:r>
        <w:t xml:space="preserve"> in Male and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. </w:t>
      </w:r>
      <w:r>
        <w:rPr>
          <w:i/>
        </w:rPr>
        <w:t xml:space="preserve">Archives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Sexual </w:t>
      </w:r>
      <w:proofErr w:type="spellStart"/>
      <w:r>
        <w:rPr>
          <w:i/>
        </w:rPr>
        <w:t>Behavior</w:t>
      </w:r>
      <w:proofErr w:type="spellEnd"/>
      <w:r>
        <w:rPr>
          <w:i/>
        </w:rPr>
        <w:t>, 52</w:t>
      </w:r>
      <w:r>
        <w:t xml:space="preserve"> (4), 1-13. https://doi.org/10.1007/s10508-023-02565-y</w:t>
      </w:r>
    </w:p>
    <w:p w14:paraId="633CB613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Expósito, F., Moya, M., &amp; </w:t>
      </w:r>
      <w:proofErr w:type="spellStart"/>
      <w:r>
        <w:t>Glick</w:t>
      </w:r>
      <w:proofErr w:type="spellEnd"/>
      <w:r>
        <w:t xml:space="preserve">, P. (1998). Sexismo ambivalente: medición y correlatos. </w:t>
      </w:r>
      <w:r>
        <w:rPr>
          <w:i/>
        </w:rPr>
        <w:t>Revista de Psicología Social, 13</w:t>
      </w:r>
      <w:r>
        <w:t>, 159-169. https://doi.org/10.1174/021347498760350641</w:t>
      </w:r>
    </w:p>
    <w:p w14:paraId="2B21E460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Fernández, M., Castro, Y., </w:t>
      </w:r>
      <w:proofErr w:type="gramStart"/>
      <w:r>
        <w:t>&amp;  Lorenzo</w:t>
      </w:r>
      <w:proofErr w:type="gramEnd"/>
      <w:r>
        <w:t xml:space="preserve">, M. (2004).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in a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. </w:t>
      </w:r>
      <w:r>
        <w:rPr>
          <w:i/>
        </w:rPr>
        <w:t xml:space="preserve">Social </w:t>
      </w:r>
      <w:proofErr w:type="spellStart"/>
      <w:r>
        <w:rPr>
          <w:i/>
        </w:rPr>
        <w:t>Indicators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66,</w:t>
      </w:r>
      <w:r>
        <w:t xml:space="preserve"> 197–211. https://doi.org/10.1023/B:SOCI.0000003553.30419.f1</w:t>
      </w:r>
    </w:p>
    <w:p w14:paraId="4E42F8D0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>Ferragut, M., Blanca, M., Ortiz-Tallo, M.</w:t>
      </w:r>
      <w:proofErr w:type="gramStart"/>
      <w:r>
        <w:t>,  &amp;</w:t>
      </w:r>
      <w:proofErr w:type="gramEnd"/>
      <w:r>
        <w:t xml:space="preserve"> </w:t>
      </w:r>
      <w:proofErr w:type="spellStart"/>
      <w:r>
        <w:t>Bendayan</w:t>
      </w:r>
      <w:proofErr w:type="spellEnd"/>
      <w:r>
        <w:t xml:space="preserve">, R. (2017).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and </w:t>
      </w:r>
      <w:proofErr w:type="spellStart"/>
      <w:r>
        <w:t>beliefs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adolescence</w:t>
      </w:r>
      <w:proofErr w:type="spellEnd"/>
      <w:r>
        <w:t xml:space="preserve">: A longitudinal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,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lastRenderedPageBreak/>
        <w:t>Developmental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Psychology</w:t>
      </w:r>
      <w:proofErr w:type="spellEnd"/>
      <w:r>
        <w:t>, 14 (1), 32-43. https://doi.org/10.1080/17405629.2016.1144508</w:t>
      </w:r>
    </w:p>
    <w:p w14:paraId="7A501767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Ferragut, M., Blanca, M., &amp; Ortiz-Tallo, M.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as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in pre </w:t>
      </w:r>
      <w:proofErr w:type="spellStart"/>
      <w:r>
        <w:t>adolescents</w:t>
      </w:r>
      <w:proofErr w:type="spellEnd"/>
      <w:r>
        <w:t xml:space="preserve">. (2013). </w:t>
      </w:r>
      <w:proofErr w:type="spellStart"/>
      <w:r>
        <w:rPr>
          <w:i/>
        </w:rPr>
        <w:t>Psicothema</w:t>
      </w:r>
      <w:proofErr w:type="spellEnd"/>
      <w:r>
        <w:rPr>
          <w:i/>
        </w:rPr>
        <w:t>, 25,</w:t>
      </w:r>
      <w:r>
        <w:t xml:space="preserve"> (1), 38-42. https://doi.org/10.7334/psicothema2012.85.</w:t>
      </w:r>
    </w:p>
    <w:p w14:paraId="6D9ED46F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Formiga</w:t>
      </w:r>
      <w:proofErr w:type="spellEnd"/>
      <w:r>
        <w:t>, N., Gouveia, V.</w:t>
      </w:r>
      <w:proofErr w:type="gramStart"/>
      <w:r>
        <w:t>,  &amp;</w:t>
      </w:r>
      <w:proofErr w:type="gramEnd"/>
      <w:r>
        <w:t xml:space="preserve"> Santos, M. (2002). </w:t>
      </w:r>
      <w:proofErr w:type="spellStart"/>
      <w:r>
        <w:t>Inventário</w:t>
      </w:r>
      <w:proofErr w:type="spellEnd"/>
      <w:r>
        <w:t xml:space="preserve"> de sexismo ambivalente: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adaptação</w:t>
      </w:r>
      <w:proofErr w:type="spellEnd"/>
      <w:r>
        <w:t xml:space="preserve"> e </w:t>
      </w:r>
      <w:proofErr w:type="spellStart"/>
      <w:r>
        <w:t>relação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o </w:t>
      </w:r>
      <w:proofErr w:type="spellStart"/>
      <w:r>
        <w:t>gênero</w:t>
      </w:r>
      <w:proofErr w:type="spellEnd"/>
      <w:r>
        <w:t>.</w:t>
      </w:r>
      <w:r>
        <w:rPr>
          <w:i/>
        </w:rPr>
        <w:t xml:space="preserve"> </w:t>
      </w:r>
      <w:proofErr w:type="spellStart"/>
      <w:r>
        <w:rPr>
          <w:i/>
        </w:rPr>
        <w:t>Psicologia</w:t>
      </w:r>
      <w:proofErr w:type="spellEnd"/>
      <w:r>
        <w:rPr>
          <w:i/>
        </w:rPr>
        <w:t xml:space="preserve"> em </w:t>
      </w:r>
      <w:proofErr w:type="spellStart"/>
      <w:r>
        <w:rPr>
          <w:i/>
        </w:rPr>
        <w:t>Estudo</w:t>
      </w:r>
      <w:proofErr w:type="spellEnd"/>
      <w:r>
        <w:rPr>
          <w:i/>
        </w:rPr>
        <w:t>, 7</w:t>
      </w:r>
      <w:r>
        <w:t>(1), 103-111.</w:t>
      </w:r>
      <w:hyperlink r:id="rId20">
        <w:r>
          <w:t xml:space="preserve"> https://doi.org/10.1590/S1413-73722002000100013</w:t>
        </w:r>
      </w:hyperlink>
    </w:p>
    <w:p w14:paraId="014896A5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Fórum Brasileiro de </w:t>
      </w:r>
      <w:proofErr w:type="spellStart"/>
      <w:r>
        <w:t>Segurança</w:t>
      </w:r>
      <w:proofErr w:type="spellEnd"/>
      <w:r>
        <w:t xml:space="preserve"> Pública. (2023).</w:t>
      </w:r>
      <w:r>
        <w:rPr>
          <w:i/>
        </w:rPr>
        <w:t xml:space="preserve"> </w:t>
      </w:r>
      <w:proofErr w:type="spellStart"/>
      <w:r>
        <w:rPr>
          <w:i/>
        </w:rPr>
        <w:t>Anuário</w:t>
      </w:r>
      <w:proofErr w:type="spellEnd"/>
      <w:r>
        <w:rPr>
          <w:i/>
        </w:rPr>
        <w:t xml:space="preserve"> Brasileiro de </w:t>
      </w:r>
      <w:proofErr w:type="spellStart"/>
      <w:r>
        <w:rPr>
          <w:i/>
        </w:rPr>
        <w:t>Segurança</w:t>
      </w:r>
      <w:proofErr w:type="spellEnd"/>
      <w:r>
        <w:rPr>
          <w:i/>
        </w:rPr>
        <w:t xml:space="preserve"> Pública 2023</w:t>
      </w:r>
      <w:r>
        <w:t>. Recuperado de: https://forumseguranca.org.br/anuario-brasileiro-seguranca-publica/</w:t>
      </w:r>
    </w:p>
    <w:p w14:paraId="58C7F635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Gouveia, V., </w:t>
      </w:r>
      <w:proofErr w:type="spellStart"/>
      <w:r>
        <w:t>Milfont</w:t>
      </w:r>
      <w:proofErr w:type="spellEnd"/>
      <w:r>
        <w:t xml:space="preserve">, T., Coelho, J., &amp; </w:t>
      </w:r>
      <w:proofErr w:type="spellStart"/>
      <w:r>
        <w:t>Filho</w:t>
      </w:r>
      <w:proofErr w:type="spellEnd"/>
      <w:r>
        <w:t xml:space="preserve">, J.  (2015). Valores, </w:t>
      </w:r>
      <w:proofErr w:type="spellStart"/>
      <w:r>
        <w:t>atitudes</w:t>
      </w:r>
      <w:proofErr w:type="spellEnd"/>
      <w:r>
        <w:t xml:space="preserve"> e </w:t>
      </w:r>
      <w:proofErr w:type="spellStart"/>
      <w:r>
        <w:t>emoções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promoção</w:t>
      </w:r>
      <w:proofErr w:type="spellEnd"/>
      <w:r>
        <w:t xml:space="preserve"> de </w:t>
      </w:r>
      <w:proofErr w:type="spellStart"/>
      <w:r>
        <w:t>comportamentos</w:t>
      </w:r>
      <w:proofErr w:type="spellEnd"/>
      <w:r>
        <w:t xml:space="preserve"> </w:t>
      </w:r>
      <w:proofErr w:type="spellStart"/>
      <w:r>
        <w:t>pró-ambientais</w:t>
      </w:r>
      <w:proofErr w:type="spellEnd"/>
      <w:r>
        <w:t xml:space="preserve"> </w:t>
      </w:r>
      <w:proofErr w:type="spellStart"/>
      <w:r>
        <w:t>sustentáveis</w:t>
      </w:r>
      <w:proofErr w:type="spellEnd"/>
      <w:r>
        <w:t xml:space="preserve">. In S. </w:t>
      </w:r>
      <w:proofErr w:type="spellStart"/>
      <w:r>
        <w:t>Gondim</w:t>
      </w:r>
      <w:proofErr w:type="spellEnd"/>
      <w:r>
        <w:t xml:space="preserve"> &amp; E. </w:t>
      </w:r>
      <w:proofErr w:type="spellStart"/>
      <w:r>
        <w:t>Loiola</w:t>
      </w:r>
      <w:proofErr w:type="spellEnd"/>
      <w:r>
        <w:t xml:space="preserve"> (</w:t>
      </w:r>
      <w:proofErr w:type="spellStart"/>
      <w:r>
        <w:t>Orgs</w:t>
      </w:r>
      <w:proofErr w:type="spellEnd"/>
      <w:r>
        <w:t xml:space="preserve">.), </w:t>
      </w:r>
      <w:proofErr w:type="spellStart"/>
      <w:r>
        <w:rPr>
          <w:i/>
        </w:rPr>
        <w:t>Emoções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aprendizagem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comportamento</w:t>
      </w:r>
      <w:proofErr w:type="spellEnd"/>
      <w:r>
        <w:rPr>
          <w:i/>
        </w:rPr>
        <w:t xml:space="preserve"> social: </w:t>
      </w:r>
      <w:proofErr w:type="spellStart"/>
      <w:r>
        <w:rPr>
          <w:i/>
        </w:rPr>
        <w:t>conhecendo</w:t>
      </w:r>
      <w:proofErr w:type="spellEnd"/>
      <w:r>
        <w:rPr>
          <w:i/>
        </w:rPr>
        <w:t xml:space="preserve"> para </w:t>
      </w:r>
      <w:proofErr w:type="spellStart"/>
      <w:r>
        <w:rPr>
          <w:i/>
        </w:rPr>
        <w:t>melhor</w:t>
      </w:r>
      <w:proofErr w:type="spellEnd"/>
      <w:r>
        <w:rPr>
          <w:i/>
        </w:rPr>
        <w:t xml:space="preserve"> educar nos contextos escolares e de </w:t>
      </w:r>
      <w:proofErr w:type="spellStart"/>
      <w:r>
        <w:rPr>
          <w:i/>
        </w:rPr>
        <w:t>trabalho</w:t>
      </w:r>
      <w:proofErr w:type="spellEnd"/>
      <w:r>
        <w:t xml:space="preserve"> (pp. 257-295).  Casa do Psicólogo.</w:t>
      </w:r>
    </w:p>
    <w:p w14:paraId="0A3D26ED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Glick</w:t>
      </w:r>
      <w:proofErr w:type="spellEnd"/>
      <w:r>
        <w:t xml:space="preserve">, P., &amp; Fiske, S. T. (1996).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Inventory</w:t>
      </w:r>
      <w:proofErr w:type="spellEnd"/>
      <w:r>
        <w:t xml:space="preserve">: </w:t>
      </w:r>
      <w:proofErr w:type="spellStart"/>
      <w:r>
        <w:t>Differentiating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and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Personality</w:t>
      </w:r>
      <w:proofErr w:type="spellEnd"/>
      <w:r>
        <w:rPr>
          <w:i/>
        </w:rPr>
        <w:t xml:space="preserve"> and Social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70</w:t>
      </w:r>
      <w:r>
        <w:t>(3), 491-512. https://doi.org/</w:t>
      </w:r>
      <w:hyperlink r:id="rId21">
        <w:r>
          <w:t xml:space="preserve"> 10.1037/0022-3514.70.3.491</w:t>
        </w:r>
      </w:hyperlink>
    </w:p>
    <w:p w14:paraId="670AFE9A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Glick</w:t>
      </w:r>
      <w:proofErr w:type="spellEnd"/>
      <w:r>
        <w:t xml:space="preserve">, P., &amp; Fiske, S. T. (2001).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alliance</w:t>
      </w:r>
      <w:proofErr w:type="spellEnd"/>
      <w:r>
        <w:t xml:space="preserve">: </w:t>
      </w:r>
      <w:proofErr w:type="spellStart"/>
      <w:r>
        <w:t>Hostile</w:t>
      </w:r>
      <w:proofErr w:type="spellEnd"/>
      <w:r>
        <w:t xml:space="preserve"> and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as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justifications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>.</w:t>
      </w:r>
      <w:r>
        <w:rPr>
          <w:i/>
        </w:rPr>
        <w:t xml:space="preserve"> American </w:t>
      </w:r>
      <w:proofErr w:type="spellStart"/>
      <w:r>
        <w:rPr>
          <w:i/>
        </w:rPr>
        <w:t>Psychologist</w:t>
      </w:r>
      <w:proofErr w:type="spellEnd"/>
      <w:r>
        <w:rPr>
          <w:i/>
        </w:rPr>
        <w:t>, 56</w:t>
      </w:r>
      <w:r>
        <w:t>(2), 109–118. https://doi.org/10.1037/0003-066X.56.2.109</w:t>
      </w:r>
    </w:p>
    <w:p w14:paraId="2BD6561A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Hayes, A. (2022). </w:t>
      </w:r>
      <w:proofErr w:type="spellStart"/>
      <w:r>
        <w:rPr>
          <w:i/>
        </w:rPr>
        <w:t>Introduction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Mediation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Moderation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Conditional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: A </w:t>
      </w:r>
      <w:proofErr w:type="spellStart"/>
      <w:r>
        <w:rPr>
          <w:i/>
        </w:rPr>
        <w:t>Regression-Based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</w:t>
      </w:r>
      <w:proofErr w:type="spellEnd"/>
      <w:r>
        <w:t xml:space="preserve">. </w:t>
      </w:r>
      <w:proofErr w:type="spellStart"/>
      <w:r>
        <w:t>Gilford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58B1FC75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Hammond</w:t>
      </w:r>
      <w:proofErr w:type="spellEnd"/>
      <w:r>
        <w:t xml:space="preserve">, M., &amp; </w:t>
      </w:r>
      <w:proofErr w:type="spellStart"/>
      <w:r>
        <w:t>Overall</w:t>
      </w:r>
      <w:proofErr w:type="spellEnd"/>
      <w:r>
        <w:t xml:space="preserve">, N. (2017). Dynamics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Causes, </w:t>
      </w:r>
      <w:proofErr w:type="spellStart"/>
      <w:r>
        <w:t>Consequences</w:t>
      </w:r>
      <w:proofErr w:type="spellEnd"/>
      <w:r>
        <w:t xml:space="preserve">, and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. </w:t>
      </w:r>
      <w:proofErr w:type="spellStart"/>
      <w:r>
        <w:rPr>
          <w:i/>
        </w:rPr>
        <w:t>Current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Directions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Psychological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Science</w:t>
      </w:r>
      <w:proofErr w:type="spellEnd"/>
      <w:r>
        <w:rPr>
          <w:i/>
        </w:rPr>
        <w:t>, 26</w:t>
      </w:r>
      <w:r>
        <w:t>(2), 120-125. https://doi.org/10.1177/0963721416686213</w:t>
      </w:r>
    </w:p>
    <w:p w14:paraId="3F2F0C9D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Hammond</w:t>
      </w:r>
      <w:proofErr w:type="spellEnd"/>
      <w:r>
        <w:t xml:space="preserve">, M., </w:t>
      </w:r>
      <w:proofErr w:type="spellStart"/>
      <w:r>
        <w:t>Milojev</w:t>
      </w:r>
      <w:proofErr w:type="spellEnd"/>
      <w:r>
        <w:t xml:space="preserve">, P., Huang, Y., &amp; </w:t>
      </w:r>
      <w:proofErr w:type="spellStart"/>
      <w:r>
        <w:t>Sibley</w:t>
      </w:r>
      <w:proofErr w:type="spellEnd"/>
      <w:r>
        <w:t xml:space="preserve">, C. (2018). </w:t>
      </w:r>
      <w:proofErr w:type="spellStart"/>
      <w:r>
        <w:t>Benevolent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Ages</w:t>
      </w:r>
      <w:proofErr w:type="spellEnd"/>
      <w:r>
        <w:t xml:space="preserve">. </w:t>
      </w:r>
      <w:r>
        <w:rPr>
          <w:i/>
        </w:rPr>
        <w:t xml:space="preserve">Social </w:t>
      </w:r>
      <w:proofErr w:type="spellStart"/>
      <w:r>
        <w:rPr>
          <w:i/>
        </w:rPr>
        <w:t>Psychological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Personality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Science</w:t>
      </w:r>
      <w:proofErr w:type="spellEnd"/>
      <w:r>
        <w:rPr>
          <w:i/>
        </w:rPr>
        <w:t>, 9</w:t>
      </w:r>
      <w:r>
        <w:t>(7), 863-874. https://doi.org/10.1177/1948550617727588</w:t>
      </w:r>
    </w:p>
    <w:p w14:paraId="0B03C366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lastRenderedPageBreak/>
        <w:t xml:space="preserve">Hazel, K. &amp; </w:t>
      </w:r>
      <w:proofErr w:type="spellStart"/>
      <w:r>
        <w:t>Kleyman</w:t>
      </w:r>
      <w:proofErr w:type="spellEnd"/>
      <w:r>
        <w:t xml:space="preserve">, K. (2019) </w:t>
      </w:r>
      <w:proofErr w:type="spellStart"/>
      <w:r>
        <w:t>Gender</w:t>
      </w:r>
      <w:proofErr w:type="spellEnd"/>
      <w:r>
        <w:t xml:space="preserve"> and sex </w:t>
      </w:r>
      <w:proofErr w:type="spellStart"/>
      <w:r>
        <w:t>inequalities</w:t>
      </w:r>
      <w:proofErr w:type="spellEnd"/>
      <w:r>
        <w:t xml:space="preserve">: </w:t>
      </w:r>
      <w:proofErr w:type="spellStart"/>
      <w:r>
        <w:t>Implications</w:t>
      </w:r>
      <w:proofErr w:type="spellEnd"/>
      <w:r>
        <w:t xml:space="preserve"> and </w:t>
      </w:r>
      <w:proofErr w:type="spellStart"/>
      <w:r>
        <w:t>resistance</w:t>
      </w:r>
      <w:proofErr w:type="spellEnd"/>
      <w:r>
        <w:t xml:space="preserve">. 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Prevention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Intervention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Community</w:t>
      </w:r>
      <w:proofErr w:type="spellEnd"/>
      <w:r>
        <w:rPr>
          <w:i/>
        </w:rPr>
        <w:t>, 48(4),</w:t>
      </w:r>
      <w:r>
        <w:t xml:space="preserve"> 281-292. https://doi.org/</w:t>
      </w:r>
      <w:hyperlink r:id="rId22">
        <w:r>
          <w:t>10.1080/10852352.2019.1627079</w:t>
        </w:r>
      </w:hyperlink>
    </w:p>
    <w:p w14:paraId="2A6BC3CC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Herrero, J., Rodríguez, F. J., &amp; Torres, A. (2017). </w:t>
      </w:r>
      <w:proofErr w:type="spellStart"/>
      <w:r>
        <w:t>Acceptability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in 51 </w:t>
      </w:r>
      <w:proofErr w:type="spellStart"/>
      <w:r>
        <w:t>societies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and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gramStart"/>
      <w:r>
        <w:t>in social</w:t>
      </w:r>
      <w:proofErr w:type="gramEnd"/>
      <w:r>
        <w:t xml:space="preserve"> </w:t>
      </w:r>
      <w:proofErr w:type="spellStart"/>
      <w:r>
        <w:t>relationships</w:t>
      </w:r>
      <w:proofErr w:type="spellEnd"/>
      <w:r>
        <w:t xml:space="preserve">. </w:t>
      </w:r>
      <w:proofErr w:type="spellStart"/>
      <w:r>
        <w:rPr>
          <w:i/>
        </w:rPr>
        <w:t>Violence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Against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Women</w:t>
      </w:r>
      <w:proofErr w:type="spellEnd"/>
      <w:r>
        <w:rPr>
          <w:i/>
        </w:rPr>
        <w:t>, 23</w:t>
      </w:r>
      <w:r>
        <w:t>, 351-367. https://doi.org/10.1177/1077801216642870</w:t>
      </w:r>
    </w:p>
    <w:p w14:paraId="0343353E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Lev-Wiesel, R. (2004). Male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rape and </w:t>
      </w:r>
      <w:proofErr w:type="spellStart"/>
      <w:r>
        <w:t>rapists</w:t>
      </w:r>
      <w:proofErr w:type="spellEnd"/>
      <w:r>
        <w:t>.</w:t>
      </w:r>
      <w:r>
        <w:rPr>
          <w:i/>
        </w:rPr>
        <w:t xml:space="preserve"> Child and </w:t>
      </w:r>
      <w:proofErr w:type="spellStart"/>
      <w:r>
        <w:rPr>
          <w:i/>
        </w:rPr>
        <w:t>Adolescent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>, 21</w:t>
      </w:r>
      <w:r>
        <w:t>(3), 199–210. https://doi.org/10.1023/B:CASW.0000028452.94800.cchttps://doi.org/10.1023/B:CASW.0000028452.94800.cc</w:t>
      </w:r>
    </w:p>
    <w:p w14:paraId="445E2D9E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Lima, F., </w:t>
      </w:r>
      <w:proofErr w:type="spellStart"/>
      <w:r>
        <w:t>Voig</w:t>
      </w:r>
      <w:proofErr w:type="spellEnd"/>
      <w:r>
        <w:t xml:space="preserve">, A., </w:t>
      </w:r>
      <w:proofErr w:type="spellStart"/>
      <w:r>
        <w:t>Feijó</w:t>
      </w:r>
      <w:proofErr w:type="spellEnd"/>
      <w:r>
        <w:t xml:space="preserve">, M., Camargo, M., &amp; Cardoso, H.  (2017). A </w:t>
      </w:r>
      <w:proofErr w:type="spellStart"/>
      <w:r>
        <w:t>influência</w:t>
      </w:r>
      <w:proofErr w:type="spellEnd"/>
      <w:r>
        <w:t xml:space="preserve"> da </w:t>
      </w:r>
      <w:proofErr w:type="spellStart"/>
      <w:r>
        <w:t>construção</w:t>
      </w:r>
      <w:proofErr w:type="spellEnd"/>
      <w:r>
        <w:t xml:space="preserve"> de papéis </w:t>
      </w:r>
      <w:proofErr w:type="spellStart"/>
      <w:r>
        <w:t>sociais</w:t>
      </w:r>
      <w:proofErr w:type="spellEnd"/>
      <w:r>
        <w:t xml:space="preserve"> de </w:t>
      </w:r>
      <w:proofErr w:type="spellStart"/>
      <w:r>
        <w:t>gênero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escolha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. </w:t>
      </w:r>
      <w:r>
        <w:rPr>
          <w:i/>
        </w:rPr>
        <w:t xml:space="preserve">Revista Brasileira de </w:t>
      </w:r>
      <w:proofErr w:type="spellStart"/>
      <w:r>
        <w:rPr>
          <w:i/>
        </w:rPr>
        <w:t>Psicologia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Educação</w:t>
      </w:r>
      <w:proofErr w:type="spellEnd"/>
      <w:r>
        <w:t xml:space="preserve">, </w:t>
      </w:r>
      <w:r>
        <w:rPr>
          <w:i/>
        </w:rPr>
        <w:t>19</w:t>
      </w:r>
      <w:r>
        <w:t>(1), 33-50.</w:t>
      </w:r>
      <w:hyperlink r:id="rId23">
        <w:r>
          <w:t xml:space="preserve"> https://doi.org/10715/rbpe 0.3</w:t>
        </w:r>
      </w:hyperlink>
    </w:p>
    <w:p w14:paraId="6C08D2AD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MacCallum</w:t>
      </w:r>
      <w:proofErr w:type="spellEnd"/>
      <w:r>
        <w:t xml:space="preserve">, R. C., Browne, M. W., &amp; </w:t>
      </w:r>
      <w:proofErr w:type="spellStart"/>
      <w:r>
        <w:t>Sugawara</w:t>
      </w:r>
      <w:proofErr w:type="spellEnd"/>
      <w:r>
        <w:t xml:space="preserve">, H. M. (1996).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covariance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. </w:t>
      </w:r>
      <w:proofErr w:type="spellStart"/>
      <w:r>
        <w:rPr>
          <w:i/>
        </w:rPr>
        <w:t>Psychological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>, 1</w:t>
      </w:r>
      <w:r>
        <w:t>, 130-149. https://doi.org/10.1037/1082-989X.1.2.130</w:t>
      </w:r>
    </w:p>
    <w:p w14:paraId="2987243F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>Martin-</w:t>
      </w:r>
      <w:proofErr w:type="spellStart"/>
      <w:r>
        <w:t>Fernandez</w:t>
      </w:r>
      <w:proofErr w:type="spellEnd"/>
      <w:r>
        <w:t xml:space="preserve">, M., Gracia, E., &amp; Lila, M. (2018).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Victim-Blaming</w:t>
      </w:r>
      <w:proofErr w:type="spellEnd"/>
      <w:r>
        <w:t xml:space="preserve"> </w:t>
      </w:r>
    </w:p>
    <w:p w14:paraId="40863FDB" w14:textId="77777777" w:rsidR="00670533" w:rsidRDefault="00670533" w:rsidP="00670533">
      <w:pPr>
        <w:tabs>
          <w:tab w:val="left" w:pos="2655"/>
        </w:tabs>
        <w:spacing w:line="360" w:lineRule="auto"/>
        <w:ind w:left="850"/>
      </w:pPr>
      <w:proofErr w:type="spellStart"/>
      <w:r>
        <w:t>Attitudes</w:t>
      </w:r>
      <w:proofErr w:type="spellEnd"/>
      <w:r>
        <w:t xml:space="preserve"> in Cases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: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Validation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VB-IPVAW.  </w:t>
      </w:r>
      <w:proofErr w:type="spellStart"/>
      <w:r>
        <w:rPr>
          <w:i/>
        </w:rPr>
        <w:t>Scale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Psychosocial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Intervention</w:t>
      </w:r>
      <w:proofErr w:type="spellEnd"/>
      <w:r>
        <w:rPr>
          <w:i/>
        </w:rPr>
        <w:t>, 27</w:t>
      </w:r>
      <w:r>
        <w:t xml:space="preserve"> (3), 133-143. https://doi.org/10.5093/pi2018a18</w:t>
      </w:r>
    </w:p>
    <w:p w14:paraId="794C8C85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Miller, A., &amp; </w:t>
      </w:r>
      <w:proofErr w:type="spellStart"/>
      <w:r>
        <w:t>Borgida</w:t>
      </w:r>
      <w:proofErr w:type="spellEnd"/>
      <w:r>
        <w:t xml:space="preserve">, E. (2019). </w:t>
      </w:r>
      <w:proofErr w:type="spellStart"/>
      <w:r>
        <w:t>The</w:t>
      </w:r>
      <w:proofErr w:type="spellEnd"/>
      <w:r>
        <w:t xml:space="preserve"> temporal </w:t>
      </w:r>
      <w:proofErr w:type="spellStart"/>
      <w:r>
        <w:t>dimension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justification</w:t>
      </w:r>
      <w:proofErr w:type="spellEnd"/>
      <w:r>
        <w:t xml:space="preserve">: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2016 </w:t>
      </w:r>
      <w:proofErr w:type="spellStart"/>
      <w:r>
        <w:t>election</w:t>
      </w:r>
      <w:proofErr w:type="spellEnd"/>
      <w:r>
        <w:t xml:space="preserve">. </w:t>
      </w:r>
      <w:proofErr w:type="spellStart"/>
      <w:r>
        <w:rPr>
          <w:i/>
        </w:rPr>
        <w:t>Personality</w:t>
      </w:r>
      <w:proofErr w:type="spellEnd"/>
      <w:r>
        <w:rPr>
          <w:i/>
        </w:rPr>
        <w:t xml:space="preserve"> and Social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Bulletin</w:t>
      </w:r>
      <w:proofErr w:type="spellEnd"/>
      <w:r>
        <w:rPr>
          <w:i/>
        </w:rPr>
        <w:t>, 45(7)</w:t>
      </w:r>
      <w:r>
        <w:t xml:space="preserve"> 1057– 1067. https://doi.org/10.1177/0146167218804547</w:t>
      </w:r>
    </w:p>
    <w:p w14:paraId="08B7D3F7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Morelli M, Bianchi D, </w:t>
      </w:r>
      <w:proofErr w:type="spellStart"/>
      <w:r>
        <w:t>Baiocco</w:t>
      </w:r>
      <w:proofErr w:type="spellEnd"/>
      <w:r>
        <w:t xml:space="preserve"> R, </w:t>
      </w:r>
      <w:proofErr w:type="spellStart"/>
      <w:r>
        <w:t>Pezzuti</w:t>
      </w:r>
      <w:proofErr w:type="spellEnd"/>
      <w:r>
        <w:t xml:space="preserve"> L, </w:t>
      </w:r>
      <w:proofErr w:type="spellStart"/>
      <w:r>
        <w:t>Chirumbolo</w:t>
      </w:r>
      <w:proofErr w:type="spellEnd"/>
      <w:r>
        <w:t xml:space="preserve"> A. Sexting,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 and </w:t>
      </w:r>
      <w:proofErr w:type="spellStart"/>
      <w:r>
        <w:t>dating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adolescents</w:t>
      </w:r>
      <w:proofErr w:type="spellEnd"/>
      <w:r>
        <w:t xml:space="preserve"> and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. (2016). </w:t>
      </w:r>
      <w:proofErr w:type="spellStart"/>
      <w:r>
        <w:rPr>
          <w:i/>
        </w:rPr>
        <w:t>Psicothema</w:t>
      </w:r>
      <w:proofErr w:type="spellEnd"/>
      <w:r>
        <w:rPr>
          <w:i/>
        </w:rPr>
        <w:t>.</w:t>
      </w:r>
      <w:r>
        <w:t xml:space="preserve"> </w:t>
      </w:r>
      <w:r>
        <w:rPr>
          <w:i/>
        </w:rPr>
        <w:t>28</w:t>
      </w:r>
      <w:r>
        <w:t xml:space="preserve"> (2), 137-42. https://doi.org/10.7334/psicothema2015.193</w:t>
      </w:r>
    </w:p>
    <w:p w14:paraId="0F4B51C5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Newcomb, T., Turner, R., </w:t>
      </w:r>
      <w:proofErr w:type="gramStart"/>
      <w:r>
        <w:t>&amp;  Converse</w:t>
      </w:r>
      <w:proofErr w:type="gramEnd"/>
      <w:r>
        <w:t xml:space="preserve">, P. (1965). </w:t>
      </w:r>
      <w:r>
        <w:rPr>
          <w:i/>
        </w:rPr>
        <w:t xml:space="preserve">Social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Human </w:t>
      </w:r>
      <w:proofErr w:type="spellStart"/>
      <w:r>
        <w:rPr>
          <w:i/>
        </w:rPr>
        <w:t>Interaction</w:t>
      </w:r>
      <w:proofErr w:type="spellEnd"/>
      <w:r>
        <w:rPr>
          <w:i/>
        </w:rPr>
        <w:t xml:space="preserve">. </w:t>
      </w:r>
      <w:r>
        <w:t xml:space="preserve">Holt, </w:t>
      </w:r>
      <w:proofErr w:type="spellStart"/>
      <w:r>
        <w:t>Rinehart</w:t>
      </w:r>
      <w:proofErr w:type="spellEnd"/>
      <w:r>
        <w:t xml:space="preserve"> and </w:t>
      </w:r>
      <w:proofErr w:type="spellStart"/>
      <w:r>
        <w:t>Wiston</w:t>
      </w:r>
      <w:proofErr w:type="spellEnd"/>
      <w:r>
        <w:t xml:space="preserve">. </w:t>
      </w:r>
    </w:p>
    <w:p w14:paraId="578CBE65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Nunes, K., Hermann, C., &amp; </w:t>
      </w:r>
      <w:proofErr w:type="spellStart"/>
      <w:r>
        <w:t>Ratcliffe</w:t>
      </w:r>
      <w:proofErr w:type="spellEnd"/>
      <w:r>
        <w:t xml:space="preserve">, K. (2013). </w:t>
      </w:r>
      <w:proofErr w:type="spellStart"/>
      <w:r>
        <w:t>Implicit</w:t>
      </w:r>
      <w:proofErr w:type="spellEnd"/>
      <w:r>
        <w:t xml:space="preserve"> and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rape are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sexual </w:t>
      </w:r>
      <w:proofErr w:type="spellStart"/>
      <w:r>
        <w:t>aggression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Interpersonal </w:t>
      </w:r>
      <w:proofErr w:type="spellStart"/>
      <w:r>
        <w:rPr>
          <w:i/>
        </w:rPr>
        <w:t>Violence</w:t>
      </w:r>
      <w:proofErr w:type="spellEnd"/>
      <w:r>
        <w:rPr>
          <w:i/>
        </w:rPr>
        <w:t>, 28(</w:t>
      </w:r>
      <w:r>
        <w:t>13), 2657–2675. https://doi.org/10.1177/0886260513487995</w:t>
      </w:r>
    </w:p>
    <w:p w14:paraId="4D70FBA3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lastRenderedPageBreak/>
        <w:t>Revelle</w:t>
      </w:r>
      <w:proofErr w:type="spellEnd"/>
      <w:r>
        <w:t xml:space="preserve">, W., &amp; </w:t>
      </w:r>
      <w:proofErr w:type="spellStart"/>
      <w:r>
        <w:t>Zinbarg</w:t>
      </w:r>
      <w:proofErr w:type="spellEnd"/>
      <w:r>
        <w:t xml:space="preserve">, </w:t>
      </w:r>
      <w:proofErr w:type="gramStart"/>
      <w:r>
        <w:t>R.(</w:t>
      </w:r>
      <w:proofErr w:type="gramEnd"/>
      <w:r>
        <w:t xml:space="preserve">2009). </w:t>
      </w:r>
      <w:proofErr w:type="spellStart"/>
      <w:r>
        <w:t>Coefficients</w:t>
      </w:r>
      <w:proofErr w:type="spellEnd"/>
      <w:r>
        <w:t xml:space="preserve"> </w:t>
      </w:r>
      <w:proofErr w:type="spellStart"/>
      <w:r>
        <w:t>alpha</w:t>
      </w:r>
      <w:proofErr w:type="spellEnd"/>
      <w:r>
        <w:t xml:space="preserve">, beta, omega,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glb</w:t>
      </w:r>
      <w:proofErr w:type="spellEnd"/>
      <w:r>
        <w:t xml:space="preserve">: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Sijtsma</w:t>
      </w:r>
      <w:proofErr w:type="spellEnd"/>
      <w:r>
        <w:t xml:space="preserve">. </w:t>
      </w:r>
      <w:proofErr w:type="spellStart"/>
      <w:r>
        <w:rPr>
          <w:i/>
        </w:rPr>
        <w:t>Psychometrika</w:t>
      </w:r>
      <w:proofErr w:type="spellEnd"/>
      <w:r>
        <w:rPr>
          <w:i/>
        </w:rPr>
        <w:t>, 74</w:t>
      </w:r>
      <w:r>
        <w:t>(1)</w:t>
      </w:r>
      <w:r>
        <w:rPr>
          <w:i/>
        </w:rPr>
        <w:t>,</w:t>
      </w:r>
      <w:r>
        <w:t xml:space="preserve"> 145–154.</w:t>
      </w:r>
      <w:hyperlink r:id="rId24">
        <w:r>
          <w:t xml:space="preserve"> https://doi.org/10.1007/s11336-008-9102-z</w:t>
        </w:r>
      </w:hyperlink>
    </w:p>
    <w:p w14:paraId="027278FB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Sierra, J., Santos-Iglesias, P., Gutiérrez-Quintanilla, R., Bermúdez, M., &amp; </w:t>
      </w:r>
      <w:proofErr w:type="spellStart"/>
      <w:r>
        <w:t>Buela</w:t>
      </w:r>
      <w:proofErr w:type="spellEnd"/>
      <w:r>
        <w:t xml:space="preserve">-Casal, G. (2010).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Rape-</w:t>
      </w:r>
      <w:proofErr w:type="spellStart"/>
      <w:r>
        <w:t>Supportive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: </w:t>
      </w:r>
      <w:proofErr w:type="spellStart"/>
      <w:r>
        <w:t>Sociodemographic</w:t>
      </w:r>
      <w:proofErr w:type="spellEnd"/>
      <w:r>
        <w:t xml:space="preserve"> Variables, </w:t>
      </w:r>
      <w:proofErr w:type="spellStart"/>
      <w:r>
        <w:t>Aggressive</w:t>
      </w:r>
      <w:proofErr w:type="spellEnd"/>
      <w:r>
        <w:t xml:space="preserve"> </w:t>
      </w:r>
      <w:proofErr w:type="spellStart"/>
      <w:r>
        <w:t>Personality</w:t>
      </w:r>
      <w:proofErr w:type="spellEnd"/>
      <w:r>
        <w:t xml:space="preserve">, and </w:t>
      </w:r>
      <w:proofErr w:type="spellStart"/>
      <w:r>
        <w:t>Sexist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Spanish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13</w:t>
      </w:r>
      <w:r>
        <w:t>(1), 202-209. https://doi.org/10.1017/S1138741600003784</w:t>
      </w:r>
    </w:p>
    <w:p w14:paraId="7C97E3B6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Spence</w:t>
      </w:r>
      <w:proofErr w:type="spellEnd"/>
      <w:r>
        <w:t xml:space="preserve">, J., &amp; </w:t>
      </w:r>
      <w:proofErr w:type="spellStart"/>
      <w:r>
        <w:t>Helmreich</w:t>
      </w:r>
      <w:proofErr w:type="spellEnd"/>
      <w:r>
        <w:t xml:space="preserve">, R.  (1972).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roles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rPr>
          <w:i/>
        </w:rPr>
        <w:t>Catalog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Selected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2,</w:t>
      </w:r>
      <w:r>
        <w:t xml:space="preserve"> 66–67</w:t>
      </w:r>
      <w:r>
        <w:rPr>
          <w:i/>
        </w:rPr>
        <w:t>.</w:t>
      </w:r>
      <w:hyperlink r:id="rId25">
        <w:r>
          <w:rPr>
            <w:i/>
          </w:rPr>
          <w:t xml:space="preserve"> </w:t>
        </w:r>
      </w:hyperlink>
      <w:hyperlink r:id="rId26">
        <w:r>
          <w:t>https://doi.org</w:t>
        </w:r>
      </w:hyperlink>
      <w:hyperlink r:id="rId27">
        <w:r>
          <w:rPr>
            <w:i/>
          </w:rPr>
          <w:t>/</w:t>
        </w:r>
      </w:hyperlink>
      <w:hyperlink r:id="rId28">
        <w:r>
          <w:t>10.1037/t16385-000</w:t>
        </w:r>
      </w:hyperlink>
    </w:p>
    <w:p w14:paraId="6A07B59A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Spence</w:t>
      </w:r>
      <w:proofErr w:type="spellEnd"/>
      <w:r>
        <w:t xml:space="preserve">, J. T., &amp; </w:t>
      </w:r>
      <w:proofErr w:type="spellStart"/>
      <w:r>
        <w:t>Helmreich</w:t>
      </w:r>
      <w:proofErr w:type="spellEnd"/>
      <w:r>
        <w:t xml:space="preserve">, R. L. (1980). Masculine </w:t>
      </w:r>
      <w:proofErr w:type="spellStart"/>
      <w:r>
        <w:t>instrumentality</w:t>
      </w:r>
      <w:proofErr w:type="spellEnd"/>
      <w:r>
        <w:t xml:space="preserve"> and </w:t>
      </w:r>
      <w:proofErr w:type="spellStart"/>
      <w:r>
        <w:t>feminine</w:t>
      </w:r>
      <w:proofErr w:type="spellEnd"/>
      <w:r>
        <w:t xml:space="preserve"> </w:t>
      </w:r>
      <w:proofErr w:type="spellStart"/>
      <w:r>
        <w:t>expressiveness</w:t>
      </w:r>
      <w:proofErr w:type="spellEnd"/>
      <w:r>
        <w:t xml:space="preserve">: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sex role </w:t>
      </w:r>
      <w:proofErr w:type="spellStart"/>
      <w:r>
        <w:t>attitudes</w:t>
      </w:r>
      <w:proofErr w:type="spellEnd"/>
      <w:r>
        <w:t xml:space="preserve"> and </w:t>
      </w:r>
      <w:proofErr w:type="spellStart"/>
      <w:r>
        <w:t>behaviors</w:t>
      </w:r>
      <w:proofErr w:type="spellEnd"/>
      <w:r>
        <w:t xml:space="preserve">.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Quarterly</w:t>
      </w:r>
      <w:proofErr w:type="spellEnd"/>
      <w:r>
        <w:rPr>
          <w:i/>
        </w:rPr>
        <w:t>, 5</w:t>
      </w:r>
      <w:r>
        <w:t>(2), 147–163. https://doi.org/10.1111/j.1471-6402.1980.tb00951.x</w:t>
      </w:r>
    </w:p>
    <w:p w14:paraId="44CEC8DC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Spence</w:t>
      </w:r>
      <w:proofErr w:type="spellEnd"/>
      <w:r>
        <w:t xml:space="preserve">, J. T. (1985).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masculinity</w:t>
      </w:r>
      <w:proofErr w:type="spellEnd"/>
      <w:r>
        <w:t xml:space="preserve"> and </w:t>
      </w:r>
      <w:proofErr w:type="spellStart"/>
      <w:r>
        <w:t>femininity</w:t>
      </w:r>
      <w:proofErr w:type="spellEnd"/>
      <w:r>
        <w:t xml:space="preserve">. In T. B. </w:t>
      </w:r>
      <w:proofErr w:type="spellStart"/>
      <w:r>
        <w:t>Sonderegger</w:t>
      </w:r>
      <w:proofErr w:type="spellEnd"/>
      <w:r>
        <w:t xml:space="preserve"> (Eds.), </w:t>
      </w:r>
      <w:r>
        <w:rPr>
          <w:i/>
        </w:rPr>
        <w:t xml:space="preserve">Nebraska </w:t>
      </w:r>
      <w:proofErr w:type="spellStart"/>
      <w:r>
        <w:rPr>
          <w:i/>
        </w:rPr>
        <w:t>Symposium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Motivation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Gender</w:t>
      </w:r>
      <w:proofErr w:type="spellEnd"/>
      <w:r>
        <w:t xml:space="preserve"> (pp. 59-96).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Nebraska </w:t>
      </w:r>
      <w:proofErr w:type="spellStart"/>
      <w:r>
        <w:t>Press</w:t>
      </w:r>
      <w:proofErr w:type="spellEnd"/>
      <w:r>
        <w:t>.</w:t>
      </w:r>
    </w:p>
    <w:p w14:paraId="4BFC79B0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Spence</w:t>
      </w:r>
      <w:proofErr w:type="spellEnd"/>
      <w:r>
        <w:t xml:space="preserve">, J. T. (1993). </w:t>
      </w:r>
      <w:proofErr w:type="spellStart"/>
      <w:r>
        <w:t>Gender-related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 and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: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multifactorial </w:t>
      </w:r>
      <w:proofErr w:type="spellStart"/>
      <w:r>
        <w:t>theory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Personality</w:t>
      </w:r>
      <w:proofErr w:type="spellEnd"/>
      <w:r>
        <w:rPr>
          <w:i/>
        </w:rPr>
        <w:t xml:space="preserve"> and Social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64</w:t>
      </w:r>
      <w:r>
        <w:t>(4), 624–635.</w:t>
      </w:r>
      <w:hyperlink r:id="rId29">
        <w:r>
          <w:t xml:space="preserve"> https://doi.org/10.1037/0022-3514.64.4.624</w:t>
        </w:r>
      </w:hyperlink>
    </w:p>
    <w:p w14:paraId="2FD51FA4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Spence</w:t>
      </w:r>
      <w:proofErr w:type="spellEnd"/>
      <w:r>
        <w:t xml:space="preserve">, J. T. &amp; </w:t>
      </w:r>
      <w:proofErr w:type="spellStart"/>
      <w:r>
        <w:t>Helmreich</w:t>
      </w:r>
      <w:proofErr w:type="spellEnd"/>
      <w:r>
        <w:t xml:space="preserve">, R. L. (1978). </w:t>
      </w:r>
      <w:proofErr w:type="spellStart"/>
      <w:r>
        <w:rPr>
          <w:i/>
        </w:rPr>
        <w:t>Masculinity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femininity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dimensions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correlates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antecedents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University</w:t>
      </w:r>
      <w:proofErr w:type="spellEnd"/>
      <w:r>
        <w:t xml:space="preserve"> of Texas </w:t>
      </w:r>
      <w:proofErr w:type="spellStart"/>
      <w:r>
        <w:t>Press</w:t>
      </w:r>
      <w:proofErr w:type="spellEnd"/>
      <w:r>
        <w:t>.</w:t>
      </w:r>
    </w:p>
    <w:p w14:paraId="1E2BB417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Tavares, M., Lima, D., Paiva, T., Pereira, C., &amp; Pimentel, C. (2023). </w:t>
      </w:r>
      <w:proofErr w:type="spellStart"/>
      <w:r>
        <w:t>Cyberagressão</w:t>
      </w:r>
      <w:proofErr w:type="spellEnd"/>
      <w:r>
        <w:t xml:space="preserve"> contra </w:t>
      </w:r>
      <w:proofErr w:type="spellStart"/>
      <w:r>
        <w:t>mulheres</w:t>
      </w:r>
      <w:proofErr w:type="spellEnd"/>
      <w:r>
        <w:t xml:space="preserve"> e o papel do sexismo, In C. Pimentel., T. Mariano., &amp; Santos, I (Eds.), </w:t>
      </w:r>
      <w:proofErr w:type="spellStart"/>
      <w:r>
        <w:rPr>
          <w:i/>
        </w:rPr>
        <w:t>Psicologia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Mídia</w:t>
      </w:r>
      <w:proofErr w:type="spellEnd"/>
      <w:r>
        <w:rPr>
          <w:i/>
        </w:rPr>
        <w:t xml:space="preserve">: Fundamentos </w:t>
      </w:r>
      <w:proofErr w:type="spellStart"/>
      <w:r>
        <w:rPr>
          <w:i/>
        </w:rPr>
        <w:t>teoricos</w:t>
      </w:r>
      <w:proofErr w:type="spellEnd"/>
      <w:r>
        <w:rPr>
          <w:i/>
        </w:rPr>
        <w:t xml:space="preserve"> e tópicos </w:t>
      </w:r>
      <w:proofErr w:type="spellStart"/>
      <w:r>
        <w:rPr>
          <w:i/>
        </w:rPr>
        <w:t>atuais</w:t>
      </w:r>
      <w:proofErr w:type="spellEnd"/>
      <w:r>
        <w:rPr>
          <w:i/>
        </w:rPr>
        <w:t xml:space="preserve"> </w:t>
      </w:r>
      <w:r>
        <w:t xml:space="preserve">(1ª </w:t>
      </w:r>
      <w:proofErr w:type="spellStart"/>
      <w:r>
        <w:t>ed</w:t>
      </w:r>
      <w:proofErr w:type="spellEnd"/>
      <w:r>
        <w:t xml:space="preserve">, pp. 440). </w:t>
      </w:r>
      <w:proofErr w:type="spellStart"/>
      <w:r>
        <w:t>Dialética</w:t>
      </w:r>
      <w:proofErr w:type="spellEnd"/>
      <w:r>
        <w:t>.</w:t>
      </w:r>
    </w:p>
    <w:p w14:paraId="0DA8A436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Waddell</w:t>
      </w:r>
      <w:proofErr w:type="spellEnd"/>
      <w:r>
        <w:t xml:space="preserve">, N., </w:t>
      </w:r>
      <w:proofErr w:type="spellStart"/>
      <w:r>
        <w:t>Sibley</w:t>
      </w:r>
      <w:proofErr w:type="spellEnd"/>
      <w:r>
        <w:t xml:space="preserve">, C.G. &amp; Osborne, D. (2019). </w:t>
      </w:r>
      <w:proofErr w:type="spellStart"/>
      <w:r>
        <w:t>Better</w:t>
      </w:r>
      <w:proofErr w:type="spellEnd"/>
      <w:r>
        <w:t xml:space="preserve"> off Alone?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Moderates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Between </w:t>
      </w:r>
      <w:proofErr w:type="spellStart"/>
      <w:r>
        <w:t>Relationship</w:t>
      </w:r>
      <w:proofErr w:type="spellEnd"/>
      <w:r>
        <w:t xml:space="preserve"> </w:t>
      </w:r>
      <w:proofErr w:type="gramStart"/>
      <w:r>
        <w:t>Status</w:t>
      </w:r>
      <w:proofErr w:type="gramEnd"/>
      <w:r>
        <w:t xml:space="preserve"> and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Heterosexual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Men</w:t>
      </w:r>
      <w:proofErr w:type="spellEnd"/>
      <w:r>
        <w:t xml:space="preserve">. </w:t>
      </w:r>
      <w:r>
        <w:rPr>
          <w:i/>
        </w:rPr>
        <w:t>Sex Roles, 80,</w:t>
      </w:r>
      <w:r>
        <w:t xml:space="preserve"> 347–361. https://doi.org/10.1007/s11199-018-0935-3</w:t>
      </w:r>
    </w:p>
    <w:p w14:paraId="19B05488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Whatley</w:t>
      </w:r>
      <w:proofErr w:type="spellEnd"/>
      <w:r>
        <w:t xml:space="preserve">, M. A. (2008).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Dimensionality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15 </w:t>
      </w:r>
      <w:proofErr w:type="spellStart"/>
      <w:r>
        <w:t>Item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. </w:t>
      </w:r>
      <w:proofErr w:type="spellStart"/>
      <w:r>
        <w:rPr>
          <w:i/>
        </w:rPr>
        <w:t>Race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Class</w:t>
      </w:r>
      <w:proofErr w:type="spellEnd"/>
      <w:r>
        <w:rPr>
          <w:i/>
        </w:rPr>
        <w:t>, 15</w:t>
      </w:r>
      <w:r>
        <w:t xml:space="preserve">(1-2), 265-273. </w:t>
      </w:r>
      <w:hyperlink r:id="rId30">
        <w:r>
          <w:t>https://www.jstor.org/stable/4167537</w:t>
        </w:r>
      </w:hyperlink>
    </w:p>
    <w:p w14:paraId="1CA79FA1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lastRenderedPageBreak/>
        <w:t>World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[WHO], and Human </w:t>
      </w:r>
      <w:proofErr w:type="spellStart"/>
      <w:r>
        <w:t>Reproduction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[HRP], (2019).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and Sexual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-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Brief</w:t>
      </w:r>
      <w:proofErr w:type="spellEnd"/>
      <w:r>
        <w:t>. Geneva: WHO.</w:t>
      </w:r>
    </w:p>
    <w:p w14:paraId="65A39C22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Ye, L. &amp; Robertson, A. (2012).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: </w:t>
      </w:r>
      <w:proofErr w:type="spellStart"/>
      <w:proofErr w:type="gram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 xml:space="preserve">’ </w:t>
      </w:r>
      <w:proofErr w:type="spellStart"/>
      <w:r>
        <w:t>Perceptions</w:t>
      </w:r>
      <w:proofErr w:type="spellEnd"/>
      <w:r>
        <w:t>?</w:t>
      </w:r>
      <w:proofErr w:type="gramEnd"/>
      <w: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Business </w:t>
      </w:r>
      <w:proofErr w:type="spellStart"/>
      <w:r>
        <w:rPr>
          <w:i/>
        </w:rPr>
        <w:t>Diversity</w:t>
      </w:r>
      <w:proofErr w:type="spellEnd"/>
      <w:r>
        <w:t xml:space="preserve">, </w:t>
      </w:r>
      <w:r>
        <w:rPr>
          <w:i/>
        </w:rPr>
        <w:t>12</w:t>
      </w:r>
      <w:r>
        <w:t xml:space="preserve">(3), 81-92. </w:t>
      </w:r>
      <w:hyperlink r:id="rId31">
        <w:r>
          <w:t>http://www.na-businesspress.com/JBD/ye_abstract.html</w:t>
        </w:r>
      </w:hyperlink>
    </w:p>
    <w:p w14:paraId="50A9AA7A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proofErr w:type="spellStart"/>
      <w:r>
        <w:t>Zanello</w:t>
      </w:r>
      <w:proofErr w:type="spellEnd"/>
      <w:r>
        <w:t xml:space="preserve">, V., </w:t>
      </w:r>
      <w:proofErr w:type="spellStart"/>
      <w:r>
        <w:t>Fiuza</w:t>
      </w:r>
      <w:proofErr w:type="spellEnd"/>
      <w:r>
        <w:t xml:space="preserve">, G., &amp; Costa, H. (2015). </w:t>
      </w:r>
      <w:proofErr w:type="spellStart"/>
      <w:r>
        <w:t>Saúde</w:t>
      </w:r>
      <w:proofErr w:type="spellEnd"/>
      <w:r>
        <w:t xml:space="preserve"> mental e </w:t>
      </w:r>
      <w:proofErr w:type="spellStart"/>
      <w:r>
        <w:t>gênero</w:t>
      </w:r>
      <w:proofErr w:type="spellEnd"/>
      <w:r>
        <w:t xml:space="preserve">: </w:t>
      </w:r>
      <w:proofErr w:type="spellStart"/>
      <w:r>
        <w:t>facetasgendradas</w:t>
      </w:r>
      <w:proofErr w:type="spellEnd"/>
      <w:r>
        <w:t xml:space="preserve"> do </w:t>
      </w:r>
      <w:proofErr w:type="spellStart"/>
      <w:r>
        <w:t>sofrimento</w:t>
      </w:r>
      <w:proofErr w:type="spellEnd"/>
      <w:r>
        <w:t xml:space="preserve"> psíquico. </w:t>
      </w:r>
      <w:r>
        <w:rPr>
          <w:i/>
        </w:rPr>
        <w:t xml:space="preserve">Fractal: Revista de </w:t>
      </w:r>
      <w:proofErr w:type="spellStart"/>
      <w:r>
        <w:rPr>
          <w:i/>
        </w:rPr>
        <w:t>Psicologia</w:t>
      </w:r>
      <w:proofErr w:type="spellEnd"/>
      <w:r>
        <w:t xml:space="preserve">, </w:t>
      </w:r>
      <w:r>
        <w:rPr>
          <w:i/>
        </w:rPr>
        <w:t>27</w:t>
      </w:r>
      <w:r>
        <w:t>(3), 238-246.</w:t>
      </w:r>
      <w:hyperlink r:id="rId32">
        <w:r>
          <w:t xml:space="preserve"> https://doi.org/10.1590/1984-0292/1483</w:t>
        </w:r>
      </w:hyperlink>
      <w:r>
        <w:t>.</w:t>
      </w:r>
    </w:p>
    <w:p w14:paraId="17FDFA44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>Zapata-</w:t>
      </w:r>
      <w:proofErr w:type="spellStart"/>
      <w:r>
        <w:t>Calvente</w:t>
      </w:r>
      <w:proofErr w:type="spellEnd"/>
      <w:r>
        <w:t xml:space="preserve">, A. L., Megías, J. L., Moya, M., &amp; </w:t>
      </w:r>
      <w:proofErr w:type="spellStart"/>
      <w:r>
        <w:t>Schoebi</w:t>
      </w:r>
      <w:proofErr w:type="spellEnd"/>
      <w:r>
        <w:t xml:space="preserve">, D. (2019). </w:t>
      </w:r>
      <w:proofErr w:type="spellStart"/>
      <w:r>
        <w:t>Gender-Related</w:t>
      </w:r>
      <w:proofErr w:type="spellEnd"/>
      <w:r>
        <w:t xml:space="preserve"> </w:t>
      </w:r>
      <w:proofErr w:type="spellStart"/>
      <w:r>
        <w:t>Ideological</w:t>
      </w:r>
      <w:proofErr w:type="spellEnd"/>
      <w:r>
        <w:t xml:space="preserve"> and </w:t>
      </w:r>
      <w:proofErr w:type="spellStart"/>
      <w:r>
        <w:t>Structural</w:t>
      </w:r>
      <w:proofErr w:type="spellEnd"/>
      <w:r>
        <w:t xml:space="preserve"> Macrosocial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Quarterly</w:t>
      </w:r>
      <w:proofErr w:type="spellEnd"/>
      <w:r>
        <w:rPr>
          <w:i/>
        </w:rPr>
        <w:t>, 43</w:t>
      </w:r>
      <w:r>
        <w:t>(3), 317–334. https://doi.org/10.1177/0361684319839367</w:t>
      </w:r>
    </w:p>
    <w:p w14:paraId="0576C46B" w14:textId="77777777" w:rsidR="00670533" w:rsidRDefault="00670533" w:rsidP="00670533">
      <w:pPr>
        <w:tabs>
          <w:tab w:val="left" w:pos="2655"/>
        </w:tabs>
        <w:spacing w:line="360" w:lineRule="auto"/>
        <w:ind w:left="850" w:hanging="690"/>
      </w:pPr>
      <w:r>
        <w:t xml:space="preserve"> Zhang, Z., &amp; </w:t>
      </w:r>
      <w:proofErr w:type="gramStart"/>
      <w:r>
        <w:t>Yuan</w:t>
      </w:r>
      <w:proofErr w:type="gramEnd"/>
      <w:r>
        <w:t xml:space="preserve">, K.-H. (2018). </w:t>
      </w:r>
      <w:proofErr w:type="spellStart"/>
      <w:r>
        <w:rPr>
          <w:i/>
        </w:rPr>
        <w:t>Practical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statistical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power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using</w:t>
      </w:r>
      <w:proofErr w:type="spellEnd"/>
      <w:r>
        <w:rPr>
          <w:i/>
        </w:rPr>
        <w:t xml:space="preserve"> web </w:t>
      </w:r>
      <w:proofErr w:type="spellStart"/>
      <w:r>
        <w:rPr>
          <w:i/>
        </w:rPr>
        <w:t>power</w:t>
      </w:r>
      <w:proofErr w:type="spellEnd"/>
      <w:r>
        <w:rPr>
          <w:i/>
        </w:rPr>
        <w:t xml:space="preserve"> and R</w:t>
      </w:r>
      <w:r>
        <w:t xml:space="preserve">. ISDSA </w:t>
      </w:r>
      <w:proofErr w:type="spellStart"/>
      <w:r>
        <w:t>Press</w:t>
      </w:r>
      <w:proofErr w:type="spellEnd"/>
      <w:r>
        <w:t>.</w:t>
      </w:r>
    </w:p>
    <w:p w14:paraId="16CE82A1" w14:textId="4D959E71" w:rsidR="00594317" w:rsidRPr="00E25900" w:rsidRDefault="00594317" w:rsidP="00CE7D65">
      <w:pPr>
        <w:ind w:left="720" w:hanging="720"/>
        <w:jc w:val="both"/>
        <w:rPr>
          <w:lang w:val="en-US"/>
        </w:rPr>
      </w:pPr>
    </w:p>
    <w:p w14:paraId="5CA55FC8" w14:textId="77777777" w:rsidR="00CE7D65" w:rsidRPr="00E25900" w:rsidRDefault="00CE7D65" w:rsidP="00CE7D65">
      <w:pPr>
        <w:ind w:left="720" w:hanging="720"/>
        <w:jc w:val="both"/>
        <w:rPr>
          <w:lang w:val="en-US"/>
        </w:rPr>
      </w:pPr>
    </w:p>
    <w:p w14:paraId="2B09FC6A" w14:textId="567745E5" w:rsidR="00594317" w:rsidRPr="0015691C" w:rsidRDefault="00594317" w:rsidP="007C3C14">
      <w:pPr>
        <w:shd w:val="clear" w:color="auto" w:fill="FFFFFF"/>
        <w:jc w:val="right"/>
        <w:rPr>
          <w:i/>
          <w:iCs/>
          <w:sz w:val="20"/>
          <w:szCs w:val="20"/>
          <w:lang w:val="en-US"/>
        </w:rPr>
      </w:pPr>
      <w:r w:rsidRPr="006F6924">
        <w:rPr>
          <w:i/>
          <w:iCs/>
          <w:sz w:val="20"/>
          <w:szCs w:val="20"/>
          <w:lang w:val="en-US"/>
        </w:rPr>
        <w:t>Received</w:t>
      </w:r>
      <w:r w:rsidRPr="0015691C">
        <w:rPr>
          <w:i/>
          <w:iCs/>
          <w:sz w:val="20"/>
          <w:szCs w:val="20"/>
          <w:lang w:val="en-US"/>
        </w:rPr>
        <w:t xml:space="preserve">: </w:t>
      </w:r>
    </w:p>
    <w:p w14:paraId="0C84C4CC" w14:textId="38C145D9" w:rsidR="00594317" w:rsidRPr="0015691C" w:rsidRDefault="00594317" w:rsidP="007C3C14">
      <w:pPr>
        <w:shd w:val="clear" w:color="auto" w:fill="FFFFFF"/>
        <w:jc w:val="right"/>
        <w:rPr>
          <w:i/>
          <w:iCs/>
          <w:sz w:val="20"/>
          <w:szCs w:val="20"/>
          <w:lang w:val="en-US"/>
        </w:rPr>
      </w:pPr>
      <w:r w:rsidRPr="0015691C">
        <w:rPr>
          <w:i/>
          <w:iCs/>
          <w:sz w:val="20"/>
          <w:szCs w:val="20"/>
          <w:lang w:val="en-US"/>
        </w:rPr>
        <w:t>Accepted:</w:t>
      </w:r>
      <w:r w:rsidR="007C3C14" w:rsidRPr="0015691C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 </w:t>
      </w:r>
    </w:p>
    <w:p w14:paraId="2E2DA350" w14:textId="3466EFA2" w:rsidR="002B644E" w:rsidRPr="00F5102B" w:rsidRDefault="002B644E" w:rsidP="00F5102B">
      <w:pPr>
        <w:rPr>
          <w:i/>
          <w:sz w:val="28"/>
          <w:szCs w:val="28"/>
          <w:lang w:val="en-US"/>
        </w:rPr>
      </w:pPr>
    </w:p>
    <w:sectPr w:rsidR="002B644E" w:rsidRPr="00F5102B" w:rsidSect="0059034C">
      <w:headerReference w:type="even" r:id="rId33"/>
      <w:headerReference w:type="default" r:id="rId34"/>
      <w:footerReference w:type="even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1BBC" w14:textId="77777777" w:rsidR="00783E44" w:rsidRDefault="00783E44" w:rsidP="00C413D4">
      <w:r>
        <w:separator/>
      </w:r>
    </w:p>
  </w:endnote>
  <w:endnote w:type="continuationSeparator" w:id="0">
    <w:p w14:paraId="6268FB6C" w14:textId="77777777" w:rsidR="00783E44" w:rsidRDefault="00783E44" w:rsidP="00C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406568728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EBE6B2B" w14:textId="77777777" w:rsidR="007C3C14" w:rsidRDefault="007C3C14" w:rsidP="0059034C">
        <w:pPr>
          <w:pStyle w:val="Rodap"/>
          <w:ind w:left="3960" w:firstLine="3960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14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7A222F7A" w14:textId="77777777" w:rsidR="007C3C14" w:rsidRDefault="007C3C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722862390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C78B845" w14:textId="77777777" w:rsidR="007C3C14" w:rsidRDefault="007C3C14" w:rsidP="00C413D4">
        <w:pPr>
          <w:pStyle w:val="Rodap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15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4E421D5C" w14:textId="77777777" w:rsidR="007C3C14" w:rsidRDefault="007C3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753D" w14:textId="77777777" w:rsidR="00783E44" w:rsidRDefault="00783E44" w:rsidP="00C413D4">
      <w:r>
        <w:separator/>
      </w:r>
    </w:p>
  </w:footnote>
  <w:footnote w:type="continuationSeparator" w:id="0">
    <w:p w14:paraId="0C437A8E" w14:textId="77777777" w:rsidR="00783E44" w:rsidRDefault="00783E44" w:rsidP="00C4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0193" w14:textId="23941C5B" w:rsidR="007C3C14" w:rsidRPr="00B02133" w:rsidRDefault="00B02133" w:rsidP="0059034C">
    <w:pPr>
      <w:pStyle w:val="Cabealho"/>
      <w:jc w:val="center"/>
      <w:rPr>
        <w:rFonts w:ascii="Times" w:hAnsi="Times" w:cs="Times New Roman (Body CS)"/>
        <w:iCs/>
        <w:smallCaps/>
        <w:sz w:val="20"/>
        <w:szCs w:val="20"/>
        <w:lang w:val="es-AR"/>
      </w:rPr>
    </w:pPr>
    <w:proofErr w:type="spellStart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>Manuscript</w:t>
    </w:r>
    <w:proofErr w:type="spellEnd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 xml:space="preserve"> </w:t>
    </w:r>
    <w:proofErr w:type="spellStart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>submission</w:t>
    </w:r>
    <w:proofErr w:type="spellEnd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 xml:space="preserve"> </w:t>
    </w:r>
    <w:proofErr w:type="spellStart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>model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0CEF" w14:textId="2BDE3CB7" w:rsidR="007C3C14" w:rsidRDefault="007C3C14" w:rsidP="00C413D4">
    <w:pPr>
      <w:pStyle w:val="Cabealho"/>
      <w:jc w:val="right"/>
      <w:rPr>
        <w:rFonts w:ascii="Times" w:hAnsi="Times"/>
        <w:i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0062F7D" wp14:editId="07028590">
          <wp:simplePos x="0" y="0"/>
          <wp:positionH relativeFrom="column">
            <wp:posOffset>64655</wp:posOffset>
          </wp:positionH>
          <wp:positionV relativeFrom="paragraph">
            <wp:posOffset>-253538</wp:posOffset>
          </wp:positionV>
          <wp:extent cx="681164" cy="628073"/>
          <wp:effectExtent l="0" t="0" r="5080" b="0"/>
          <wp:wrapNone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61"/>
                  <a:stretch/>
                </pic:blipFill>
                <pic:spPr bwMode="auto"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i/>
        <w:sz w:val="18"/>
        <w:szCs w:val="18"/>
        <w:lang w:val="es-ES"/>
      </w:rPr>
      <w:t>Revista Interamericana de Psicología/</w:t>
    </w:r>
    <w:proofErr w:type="spellStart"/>
    <w:r>
      <w:rPr>
        <w:rFonts w:ascii="Times" w:hAnsi="Times"/>
        <w:b/>
        <w:i/>
        <w:sz w:val="18"/>
        <w:szCs w:val="18"/>
        <w:lang w:val="es-ES"/>
      </w:rPr>
      <w:t>Interamerican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Journal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of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Psychology</w:t>
    </w:r>
    <w:proofErr w:type="spellEnd"/>
  </w:p>
  <w:p w14:paraId="4669E1FB" w14:textId="63BBF008" w:rsidR="007C3C14" w:rsidRDefault="00977250" w:rsidP="00977250">
    <w:pPr>
      <w:pStyle w:val="Cabealho"/>
      <w:jc w:val="right"/>
    </w:pPr>
    <w:proofErr w:type="spellStart"/>
    <w:r w:rsidRPr="00977250">
      <w:rPr>
        <w:rFonts w:ascii="Times" w:hAnsi="Times"/>
        <w:i/>
        <w:sz w:val="18"/>
        <w:szCs w:val="18"/>
        <w:lang w:val="es-ES"/>
      </w:rPr>
      <w:t>Manuscript</w:t>
    </w:r>
    <w:proofErr w:type="spellEnd"/>
    <w:r w:rsidRPr="00977250">
      <w:rPr>
        <w:rFonts w:ascii="Times" w:hAnsi="Times"/>
        <w:i/>
        <w:sz w:val="18"/>
        <w:szCs w:val="18"/>
        <w:lang w:val="es-ES"/>
      </w:rPr>
      <w:t xml:space="preserve"> </w:t>
    </w:r>
    <w:proofErr w:type="spellStart"/>
    <w:r w:rsidRPr="00977250">
      <w:rPr>
        <w:rFonts w:ascii="Times" w:hAnsi="Times"/>
        <w:i/>
        <w:sz w:val="18"/>
        <w:szCs w:val="18"/>
        <w:lang w:val="es-ES"/>
      </w:rPr>
      <w:t>submission</w:t>
    </w:r>
    <w:proofErr w:type="spellEnd"/>
    <w:r w:rsidRPr="00977250">
      <w:rPr>
        <w:rFonts w:ascii="Times" w:hAnsi="Times"/>
        <w:i/>
        <w:sz w:val="18"/>
        <w:szCs w:val="18"/>
        <w:lang w:val="es-ES"/>
      </w:rPr>
      <w:t xml:space="preserve"> </w:t>
    </w:r>
    <w:proofErr w:type="spellStart"/>
    <w:r w:rsidRPr="00977250">
      <w:rPr>
        <w:rFonts w:ascii="Times" w:hAnsi="Times"/>
        <w:i/>
        <w:sz w:val="18"/>
        <w:szCs w:val="18"/>
        <w:lang w:val="es-ES"/>
      </w:rPr>
      <w:t>model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367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5EFE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969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07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D8F8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140B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C9F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EB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2D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6C8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C5207D"/>
    <w:multiLevelType w:val="hybridMultilevel"/>
    <w:tmpl w:val="3B8E02C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C728C5"/>
    <w:multiLevelType w:val="hybridMultilevel"/>
    <w:tmpl w:val="7D20A51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31621971">
    <w:abstractNumId w:val="4"/>
  </w:num>
  <w:num w:numId="2" w16cid:durableId="797064587">
    <w:abstractNumId w:val="5"/>
  </w:num>
  <w:num w:numId="3" w16cid:durableId="1975520701">
    <w:abstractNumId w:val="6"/>
  </w:num>
  <w:num w:numId="4" w16cid:durableId="1095784230">
    <w:abstractNumId w:val="7"/>
  </w:num>
  <w:num w:numId="5" w16cid:durableId="787314683">
    <w:abstractNumId w:val="9"/>
  </w:num>
  <w:num w:numId="6" w16cid:durableId="1671909992">
    <w:abstractNumId w:val="0"/>
  </w:num>
  <w:num w:numId="7" w16cid:durableId="764692382">
    <w:abstractNumId w:val="1"/>
  </w:num>
  <w:num w:numId="8" w16cid:durableId="1963608373">
    <w:abstractNumId w:val="2"/>
  </w:num>
  <w:num w:numId="9" w16cid:durableId="1570383371">
    <w:abstractNumId w:val="3"/>
  </w:num>
  <w:num w:numId="10" w16cid:durableId="338234755">
    <w:abstractNumId w:val="8"/>
  </w:num>
  <w:num w:numId="11" w16cid:durableId="1688823134">
    <w:abstractNumId w:val="10"/>
  </w:num>
  <w:num w:numId="12" w16cid:durableId="851602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4"/>
    <w:rsid w:val="00001B4E"/>
    <w:rsid w:val="000365CA"/>
    <w:rsid w:val="00076F0A"/>
    <w:rsid w:val="001253E7"/>
    <w:rsid w:val="00127870"/>
    <w:rsid w:val="001516ED"/>
    <w:rsid w:val="00153DC5"/>
    <w:rsid w:val="0015691C"/>
    <w:rsid w:val="001C1F03"/>
    <w:rsid w:val="001F7509"/>
    <w:rsid w:val="00234E5C"/>
    <w:rsid w:val="00246D04"/>
    <w:rsid w:val="002624E0"/>
    <w:rsid w:val="00271502"/>
    <w:rsid w:val="00294547"/>
    <w:rsid w:val="00296B03"/>
    <w:rsid w:val="00297AFB"/>
    <w:rsid w:val="002B2297"/>
    <w:rsid w:val="002B644E"/>
    <w:rsid w:val="002C009C"/>
    <w:rsid w:val="002C1EB1"/>
    <w:rsid w:val="002C3A8D"/>
    <w:rsid w:val="002C7C6D"/>
    <w:rsid w:val="002C7DF0"/>
    <w:rsid w:val="002D1053"/>
    <w:rsid w:val="002E0320"/>
    <w:rsid w:val="002E2767"/>
    <w:rsid w:val="002F070D"/>
    <w:rsid w:val="002F257B"/>
    <w:rsid w:val="002F38C8"/>
    <w:rsid w:val="00302C5C"/>
    <w:rsid w:val="003909A7"/>
    <w:rsid w:val="003C1D5D"/>
    <w:rsid w:val="003C4AA4"/>
    <w:rsid w:val="003E4B06"/>
    <w:rsid w:val="0042142D"/>
    <w:rsid w:val="00430C97"/>
    <w:rsid w:val="00447A2D"/>
    <w:rsid w:val="00447E89"/>
    <w:rsid w:val="00475FC0"/>
    <w:rsid w:val="00483D6B"/>
    <w:rsid w:val="0048651A"/>
    <w:rsid w:val="00491E9A"/>
    <w:rsid w:val="004C0823"/>
    <w:rsid w:val="004C1FD8"/>
    <w:rsid w:val="004C2A6E"/>
    <w:rsid w:val="004D5719"/>
    <w:rsid w:val="00507B29"/>
    <w:rsid w:val="00542090"/>
    <w:rsid w:val="00575541"/>
    <w:rsid w:val="00576894"/>
    <w:rsid w:val="005813E0"/>
    <w:rsid w:val="0059034C"/>
    <w:rsid w:val="00594317"/>
    <w:rsid w:val="005B5614"/>
    <w:rsid w:val="0061199D"/>
    <w:rsid w:val="00670533"/>
    <w:rsid w:val="006937D3"/>
    <w:rsid w:val="006A1BA2"/>
    <w:rsid w:val="006B0812"/>
    <w:rsid w:val="006B088F"/>
    <w:rsid w:val="006C21BC"/>
    <w:rsid w:val="006D0583"/>
    <w:rsid w:val="006F6924"/>
    <w:rsid w:val="006F7E7E"/>
    <w:rsid w:val="00700F77"/>
    <w:rsid w:val="00704ECD"/>
    <w:rsid w:val="00724F5C"/>
    <w:rsid w:val="0074214E"/>
    <w:rsid w:val="00742E4A"/>
    <w:rsid w:val="00770AE4"/>
    <w:rsid w:val="00783E44"/>
    <w:rsid w:val="0078702D"/>
    <w:rsid w:val="00795D57"/>
    <w:rsid w:val="007A7C7C"/>
    <w:rsid w:val="007A7CDC"/>
    <w:rsid w:val="007C3C14"/>
    <w:rsid w:val="007E34D6"/>
    <w:rsid w:val="007E3B8D"/>
    <w:rsid w:val="008114AC"/>
    <w:rsid w:val="008131AB"/>
    <w:rsid w:val="008151AB"/>
    <w:rsid w:val="00816268"/>
    <w:rsid w:val="00824D3A"/>
    <w:rsid w:val="00863414"/>
    <w:rsid w:val="00872EFD"/>
    <w:rsid w:val="00880120"/>
    <w:rsid w:val="008B0F10"/>
    <w:rsid w:val="008C409A"/>
    <w:rsid w:val="008C775E"/>
    <w:rsid w:val="008D509E"/>
    <w:rsid w:val="009032D5"/>
    <w:rsid w:val="00903DEB"/>
    <w:rsid w:val="00977250"/>
    <w:rsid w:val="009850BE"/>
    <w:rsid w:val="00993241"/>
    <w:rsid w:val="009A583F"/>
    <w:rsid w:val="009B3EF3"/>
    <w:rsid w:val="009D2551"/>
    <w:rsid w:val="009E37BF"/>
    <w:rsid w:val="00A30790"/>
    <w:rsid w:val="00A457D0"/>
    <w:rsid w:val="00A516C7"/>
    <w:rsid w:val="00A62218"/>
    <w:rsid w:val="00A741BB"/>
    <w:rsid w:val="00A871FB"/>
    <w:rsid w:val="00A93146"/>
    <w:rsid w:val="00A96141"/>
    <w:rsid w:val="00AD3238"/>
    <w:rsid w:val="00AE48D4"/>
    <w:rsid w:val="00B02133"/>
    <w:rsid w:val="00B06283"/>
    <w:rsid w:val="00B35B61"/>
    <w:rsid w:val="00B511FB"/>
    <w:rsid w:val="00B60E75"/>
    <w:rsid w:val="00B6522A"/>
    <w:rsid w:val="00B70F11"/>
    <w:rsid w:val="00B74D71"/>
    <w:rsid w:val="00B83A6E"/>
    <w:rsid w:val="00B845A1"/>
    <w:rsid w:val="00B9678D"/>
    <w:rsid w:val="00BC2AFB"/>
    <w:rsid w:val="00BD26F5"/>
    <w:rsid w:val="00BF59E7"/>
    <w:rsid w:val="00C413D4"/>
    <w:rsid w:val="00C43335"/>
    <w:rsid w:val="00C64ECF"/>
    <w:rsid w:val="00C84812"/>
    <w:rsid w:val="00CA3BFF"/>
    <w:rsid w:val="00CA3C92"/>
    <w:rsid w:val="00CB631E"/>
    <w:rsid w:val="00CE7D65"/>
    <w:rsid w:val="00CF4E1F"/>
    <w:rsid w:val="00CF5D21"/>
    <w:rsid w:val="00D609BB"/>
    <w:rsid w:val="00D94A3F"/>
    <w:rsid w:val="00DB4A71"/>
    <w:rsid w:val="00DB6400"/>
    <w:rsid w:val="00DE1119"/>
    <w:rsid w:val="00E13085"/>
    <w:rsid w:val="00E25900"/>
    <w:rsid w:val="00E26883"/>
    <w:rsid w:val="00E3671F"/>
    <w:rsid w:val="00E416F6"/>
    <w:rsid w:val="00E449A9"/>
    <w:rsid w:val="00E55124"/>
    <w:rsid w:val="00E97D42"/>
    <w:rsid w:val="00EA6646"/>
    <w:rsid w:val="00EB213C"/>
    <w:rsid w:val="00ED2663"/>
    <w:rsid w:val="00F21272"/>
    <w:rsid w:val="00F5102B"/>
    <w:rsid w:val="00FB0419"/>
    <w:rsid w:val="00FC5C57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9C3C52"/>
  <w15:docId w15:val="{8FCAC009-270A-EF49-97C9-725FD9F5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2D"/>
    <w:rPr>
      <w:rFonts w:ascii="Times New Roman" w:eastAsia="Times New Roman" w:hAnsi="Times New Roman" w:cs="Times New Roman"/>
      <w:lang w:val="es-AR" w:eastAsia="es-ES_tradn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13D4"/>
  </w:style>
  <w:style w:type="paragraph" w:styleId="Rodap">
    <w:name w:val="footer"/>
    <w:basedOn w:val="Normal"/>
    <w:link w:val="Rodap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413D4"/>
  </w:style>
  <w:style w:type="character" w:customStyle="1" w:styleId="label3">
    <w:name w:val="label3"/>
    <w:basedOn w:val="Fontepargpadro"/>
    <w:rsid w:val="00C413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3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C413D4"/>
  </w:style>
  <w:style w:type="paragraph" w:styleId="Corpodetexto">
    <w:name w:val="Body Text"/>
    <w:basedOn w:val="Normal"/>
    <w:link w:val="CorpodetextoCh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C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fim">
    <w:name w:val="endnote reference"/>
    <w:basedOn w:val="Fontepargpadro"/>
    <w:uiPriority w:val="99"/>
    <w:semiHidden/>
    <w:unhideWhenUsed/>
    <w:rsid w:val="007A7C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2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elacomgrade">
    <w:name w:val="Table Grid"/>
    <w:basedOn w:val="Tabe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1516ED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7E3B8D"/>
    <w:pPr>
      <w:spacing w:before="100" w:beforeAutospacing="1" w:after="100" w:afterAutospacing="1" w:line="360" w:lineRule="auto"/>
      <w:contextualSpacing/>
      <w:jc w:val="both"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C43335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ontepargpadro"/>
    <w:link w:val="Ttulosinternos"/>
    <w:rsid w:val="001516ED"/>
    <w:rPr>
      <w:rFonts w:ascii="Times New Roman" w:eastAsia="Times New Roman" w:hAnsi="Times New Roman" w:cs="Times New Roman"/>
      <w:b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1C1F03"/>
    <w:pPr>
      <w:jc w:val="center"/>
      <w:outlineLvl w:val="0"/>
    </w:pPr>
    <w:rPr>
      <w:b/>
      <w:bCs/>
      <w:lang w:val="pt-BR"/>
    </w:rPr>
  </w:style>
  <w:style w:type="character" w:customStyle="1" w:styleId="TitulodeartculoCar">
    <w:name w:val="Titulo de artículo Car"/>
    <w:basedOn w:val="Fontepargpadro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ontepargpadro"/>
    <w:link w:val="Ttuloprincipiodeartculo"/>
    <w:rsid w:val="001C1F03"/>
    <w:rPr>
      <w:rFonts w:ascii="Times New Roman" w:eastAsia="Times New Roman" w:hAnsi="Times New Roman" w:cs="Times New Roman"/>
      <w:b/>
      <w:bCs/>
      <w:lang w:val="pt-BR" w:eastAsia="es-ES_tradnl"/>
    </w:rPr>
  </w:style>
  <w:style w:type="character" w:customStyle="1" w:styleId="TtuloResumenCar">
    <w:name w:val="Título Resumen Car"/>
    <w:basedOn w:val="Fontepargpadro"/>
    <w:link w:val="TtuloResumen"/>
    <w:rsid w:val="00C43335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oPendente">
    <w:name w:val="Unresolved Mention"/>
    <w:basedOn w:val="Fontepargpadro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651A"/>
  </w:style>
  <w:style w:type="table" w:customStyle="1" w:styleId="TableNormal">
    <w:name w:val="Table Normal"/>
    <w:rsid w:val="00A931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78702D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ontepargpadro"/>
    <w:link w:val="SubtituloInterno1"/>
    <w:rsid w:val="0078702D"/>
    <w:rPr>
      <w:rFonts w:ascii="Times New Roman" w:eastAsia="Times New Roman" w:hAnsi="Times New Roman" w:cs="Times New Roman"/>
      <w:i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springer.com/article/10.1007/s10508-023-02565-y" TargetMode="External"/><Relationship Id="rId18" Type="http://schemas.openxmlformats.org/officeDocument/2006/relationships/hyperlink" Target="https://doi.org/10.25215/0404.103" TargetMode="External"/><Relationship Id="rId26" Type="http://schemas.openxmlformats.org/officeDocument/2006/relationships/hyperlink" Target="https://doi.org/10.1037/t16385-000" TargetMode="External"/><Relationship Id="rId21" Type="http://schemas.openxmlformats.org/officeDocument/2006/relationships/hyperlink" Target="https://doi.org/10.1037/0022-3514.70.3.491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ink.springer.com/article/10.1007/s10508-023-02565-y" TargetMode="External"/><Relationship Id="rId17" Type="http://schemas.openxmlformats.org/officeDocument/2006/relationships/hyperlink" Target="https://link.springer.com/article/10.1007/s12552-021-09341-4" TargetMode="External"/><Relationship Id="rId25" Type="http://schemas.openxmlformats.org/officeDocument/2006/relationships/hyperlink" Target="https://doi.org/10.1037/t16385-000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article/10.1007/s12552-021-09341-4" TargetMode="External"/><Relationship Id="rId20" Type="http://schemas.openxmlformats.org/officeDocument/2006/relationships/hyperlink" Target="https://doi.org/10.1590/S1413-73722002000100013" TargetMode="External"/><Relationship Id="rId29" Type="http://schemas.openxmlformats.org/officeDocument/2006/relationships/hyperlink" Target="https://doi.org/10.1037/0022-3514.64.4.6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article/10.1007/s11199-023-01348-y" TargetMode="External"/><Relationship Id="rId24" Type="http://schemas.openxmlformats.org/officeDocument/2006/relationships/hyperlink" Target="https://doi.org/10.1007/s11336-008-9102-z" TargetMode="External"/><Relationship Id="rId32" Type="http://schemas.openxmlformats.org/officeDocument/2006/relationships/hyperlink" Target="https://doi.org/10.1590/1984-0292/148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doi.org/10.30715/rbpe" TargetMode="External"/><Relationship Id="rId28" Type="http://schemas.openxmlformats.org/officeDocument/2006/relationships/hyperlink" Target="https://doi.org/10.1037/t16385-000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ink.springer.com/article/10.1007/s11199-023-01348-y" TargetMode="External"/><Relationship Id="rId19" Type="http://schemas.openxmlformats.org/officeDocument/2006/relationships/hyperlink" Target="https://doi.org/10.3389/fpubh.2018.00149" TargetMode="External"/><Relationship Id="rId31" Type="http://schemas.openxmlformats.org/officeDocument/2006/relationships/hyperlink" Target="http://www.na-businesspress.com/JBD/ye_abstrac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11199-023-01348-y" TargetMode="External"/><Relationship Id="rId14" Type="http://schemas.openxmlformats.org/officeDocument/2006/relationships/hyperlink" Target="https://link.springer.com/article/10.1007/s10508-023-02565-y" TargetMode="External"/><Relationship Id="rId22" Type="http://schemas.openxmlformats.org/officeDocument/2006/relationships/hyperlink" Target="https://doi.org/10.1080/10852352.2019.1627079" TargetMode="External"/><Relationship Id="rId27" Type="http://schemas.openxmlformats.org/officeDocument/2006/relationships/hyperlink" Target="https://doi.org/10.1037/t16385-000" TargetMode="External"/><Relationship Id="rId30" Type="http://schemas.openxmlformats.org/officeDocument/2006/relationships/hyperlink" Target="https://www.jstor.org/stable/4167537" TargetMode="External"/><Relationship Id="rId35" Type="http://schemas.openxmlformats.org/officeDocument/2006/relationships/footer" Target="footer1.xml"/><Relationship Id="rId8" Type="http://schemas.openxmlformats.org/officeDocument/2006/relationships/hyperlink" Target="https://link.springer.com/article/10.1007/s11199-023-01348-y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journal.si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D33B0-915B-054D-B36D-9219832A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21</Pages>
  <Words>6565</Words>
  <Characters>35452</Characters>
  <Application>Microsoft Office Word</Application>
  <DocSecurity>0</DocSecurity>
  <Lines>295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Débora Cristina Lima</cp:lastModifiedBy>
  <cp:revision>18</cp:revision>
  <cp:lastPrinted>2020-04-16T16:22:00Z</cp:lastPrinted>
  <dcterms:created xsi:type="dcterms:W3CDTF">2020-09-09T19:59:00Z</dcterms:created>
  <dcterms:modified xsi:type="dcterms:W3CDTF">2023-12-29T19:06:00Z</dcterms:modified>
</cp:coreProperties>
</file>