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AC7A0" w14:textId="77777777" w:rsidR="00632BDD" w:rsidRPr="00632BDD" w:rsidRDefault="00632BDD" w:rsidP="00632BDD">
      <w:pPr>
        <w:pStyle w:val="Titulodeartculo"/>
        <w:rPr>
          <w:lang w:eastAsia="pt-BR"/>
        </w:rPr>
      </w:pPr>
      <w:r w:rsidRPr="00632BDD">
        <w:t>Relaciones entre apoyo social, salud autopercibida y satisfacción vital: una comparación entre estudiantes universitarios heterosexuales y LGB+ en Chile</w:t>
      </w:r>
    </w:p>
    <w:p w14:paraId="1EF04885" w14:textId="77777777" w:rsidR="00632BDD" w:rsidRPr="00632BDD" w:rsidRDefault="00632BDD" w:rsidP="00632BD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75E7EA2" w14:textId="6E16FB29" w:rsidR="00632BDD" w:rsidRDefault="00632BDD" w:rsidP="00632BDD">
      <w:pPr>
        <w:spacing w:line="360" w:lineRule="auto"/>
        <w:jc w:val="center"/>
        <w:rPr>
          <w:rFonts w:ascii="Times New Roman" w:hAnsi="Times New Roman" w:cs="Times New Roman"/>
          <w:b/>
          <w:bCs/>
          <w:lang w:val="es-AR"/>
        </w:rPr>
      </w:pPr>
      <w:r>
        <w:rPr>
          <w:rFonts w:ascii="Times New Roman" w:hAnsi="Times New Roman" w:cs="Times New Roman"/>
          <w:b/>
          <w:bCs/>
          <w:lang w:val="es-AR"/>
        </w:rPr>
        <w:t>Material suplementario</w:t>
      </w:r>
    </w:p>
    <w:p w14:paraId="34D95E5C" w14:textId="20E2C9A5" w:rsidR="00B17228" w:rsidRPr="00632BDD" w:rsidRDefault="00B17228" w:rsidP="00632BDD">
      <w:pPr>
        <w:spacing w:line="360" w:lineRule="auto"/>
        <w:jc w:val="center"/>
        <w:rPr>
          <w:rFonts w:ascii="Times New Roman" w:hAnsi="Times New Roman" w:cs="Times New Roman"/>
          <w:b/>
          <w:bCs/>
          <w:lang w:val="es-AR"/>
        </w:rPr>
      </w:pPr>
      <w:r w:rsidRPr="00632BDD">
        <w:rPr>
          <w:rFonts w:ascii="Times New Roman" w:hAnsi="Times New Roman" w:cs="Times New Roman"/>
          <w:b/>
          <w:bCs/>
          <w:lang w:val="es-AR"/>
        </w:rPr>
        <w:t>Análisis de invarianza</w:t>
      </w:r>
    </w:p>
    <w:p w14:paraId="7FB1276B" w14:textId="77777777" w:rsidR="00B17228" w:rsidRPr="00632BDD" w:rsidRDefault="00B17228" w:rsidP="00632BDD">
      <w:pPr>
        <w:spacing w:line="360" w:lineRule="auto"/>
        <w:rPr>
          <w:rFonts w:ascii="Times New Roman" w:hAnsi="Times New Roman" w:cs="Times New Roman"/>
          <w:lang w:val="es-AR"/>
        </w:rPr>
      </w:pPr>
    </w:p>
    <w:p w14:paraId="2AD20A40" w14:textId="1205B303" w:rsidR="00B17228" w:rsidRPr="00632BDD" w:rsidRDefault="00B17228" w:rsidP="00632BDD">
      <w:pPr>
        <w:spacing w:line="360" w:lineRule="auto"/>
        <w:ind w:firstLine="708"/>
        <w:rPr>
          <w:rFonts w:ascii="Times New Roman" w:hAnsi="Times New Roman" w:cs="Times New Roman"/>
          <w:lang w:val="es-AR"/>
        </w:rPr>
      </w:pPr>
      <w:r w:rsidRPr="00632BDD">
        <w:rPr>
          <w:rFonts w:ascii="Times New Roman" w:hAnsi="Times New Roman" w:cs="Times New Roman"/>
          <w:lang w:val="es-AR"/>
        </w:rPr>
        <w:t xml:space="preserve">Con el fin de evitar interpretaciones erróneas o sesgadas en las diferencias entre subgrupos (Caycho, 2017), se realizó un análisis de invarianza. Se siguieron los pasos establecidos por Van de </w:t>
      </w:r>
      <w:proofErr w:type="spellStart"/>
      <w:r w:rsidRPr="00632BDD">
        <w:rPr>
          <w:rFonts w:ascii="Times New Roman" w:hAnsi="Times New Roman" w:cs="Times New Roman"/>
          <w:lang w:val="es-AR"/>
        </w:rPr>
        <w:t>Schoot</w:t>
      </w:r>
      <w:proofErr w:type="spellEnd"/>
      <w:r w:rsidRPr="00632BDD">
        <w:rPr>
          <w:rFonts w:ascii="Times New Roman" w:hAnsi="Times New Roman" w:cs="Times New Roman"/>
          <w:lang w:val="es-AR"/>
        </w:rPr>
        <w:t xml:space="preserve"> y colaboradores (2012), al evaluar los índices de ajuste de muestra total y luego, de los modelos según subgrupos. Después, se realizaron tres tipos de análisis de invarianza: 1) configuracional, 2) escalar, y 3) métrica. Luego, se compararon los modelos progresivamente más restrictivos difieren entre sí mediante la diferencia entre los Índices de Ajuste Comparativo (∆CFI), con valores menores o iguales a -.01, que indicarían invarianza (Cheung &amp; </w:t>
      </w:r>
      <w:proofErr w:type="spellStart"/>
      <w:r w:rsidRPr="00632BDD">
        <w:rPr>
          <w:rFonts w:ascii="Times New Roman" w:hAnsi="Times New Roman" w:cs="Times New Roman"/>
          <w:lang w:val="es-AR"/>
        </w:rPr>
        <w:t>Rensvold</w:t>
      </w:r>
      <w:proofErr w:type="spellEnd"/>
      <w:r w:rsidRPr="00632BDD">
        <w:rPr>
          <w:rFonts w:ascii="Times New Roman" w:hAnsi="Times New Roman" w:cs="Times New Roman"/>
          <w:lang w:val="es-AR"/>
        </w:rPr>
        <w:t>, 2002).</w:t>
      </w:r>
    </w:p>
    <w:p w14:paraId="5EB00A32" w14:textId="77777777" w:rsidR="00802D92" w:rsidRPr="00632BDD" w:rsidRDefault="00802D92" w:rsidP="00632BDD">
      <w:pPr>
        <w:spacing w:line="360" w:lineRule="auto"/>
        <w:rPr>
          <w:rFonts w:ascii="Times New Roman" w:hAnsi="Times New Roman" w:cs="Times New Roman"/>
          <w:lang w:val="es-AR"/>
        </w:rPr>
      </w:pPr>
    </w:p>
    <w:p w14:paraId="7DE99A67" w14:textId="77777777" w:rsidR="00802D92" w:rsidRPr="00632BDD" w:rsidRDefault="00802D92" w:rsidP="00632BDD">
      <w:pPr>
        <w:pStyle w:val="SubtituloInterno"/>
        <w:rPr>
          <w:highlight w:val="yellow"/>
          <w:lang w:val="es-ES_tradnl"/>
        </w:rPr>
      </w:pPr>
      <w:r w:rsidRPr="00632BDD">
        <w:rPr>
          <w:lang w:val="es-CL"/>
        </w:rPr>
        <w:t xml:space="preserve">Análisis de invarianza </w:t>
      </w:r>
    </w:p>
    <w:p w14:paraId="05D55171" w14:textId="77777777" w:rsidR="00802D92" w:rsidRPr="00632BDD" w:rsidRDefault="00802D92" w:rsidP="00802D92">
      <w:pPr>
        <w:pStyle w:val="Prrafocomn"/>
        <w:rPr>
          <w:lang w:val="es-AR"/>
        </w:rPr>
      </w:pPr>
      <w:r w:rsidRPr="00632BDD">
        <w:rPr>
          <w:lang w:val="es-AR"/>
        </w:rPr>
        <w:t>Se obtuvo un buen índice de ajuste del modelo en toda la muestra (χ2= 506.982, p &lt; .01; CFI = 0.949; TLI= 0.941; RMSEA= 0.059 [IC .053 - .065]). Al comparar los modelos para estudiantes heterosexuales y LGB+, ambos presentan un buen ajuste. Para la submuestra de estudiantes heterosexuales los valores de ajuste fueron χ2= 347.230, p &lt;.01; CFI = 0.953; TLI= 0.945; RMSEA= 0.061, IC 90% [0.051 - 0.070]), y para estudiantes LGB+, χ2=269.747, p &lt;.01; CFI = 0.937; TLI= 0.926; RMSEA= 0.062, IC 90% [0.046 - 0.076]).</w:t>
      </w:r>
    </w:p>
    <w:p w14:paraId="63A1FE71" w14:textId="77777777" w:rsidR="00802D92" w:rsidRPr="00632BDD" w:rsidRDefault="00802D92" w:rsidP="00802D92">
      <w:pPr>
        <w:pStyle w:val="Prrafocomn"/>
        <w:rPr>
          <w:lang w:val="es-AR"/>
        </w:rPr>
      </w:pPr>
      <w:r w:rsidRPr="00632BDD">
        <w:rPr>
          <w:lang w:val="es-AR"/>
        </w:rPr>
        <w:t xml:space="preserve">Después, se llevaron a cabo tres tipos de análisis de invarianza: configuracional, métrica y escalar, </w:t>
      </w:r>
      <w:proofErr w:type="spellStart"/>
      <w:r w:rsidRPr="00632BDD">
        <w:rPr>
          <w:lang w:val="es-AR"/>
        </w:rPr>
        <w:t>detalladados</w:t>
      </w:r>
      <w:proofErr w:type="spellEnd"/>
      <w:r w:rsidRPr="00632BDD">
        <w:rPr>
          <w:lang w:val="es-AR"/>
        </w:rPr>
        <w:t xml:space="preserve"> en la Tabla 5. Estos análisis evidenciaron que las propiedades de medida de las escalas utilizadas son independientes de las características de los grupos evaluados y no del constructo que el instrumento mide (Caycho, 2017). Así, se obtuvieron buenos ajustes del modelo en el análisis de invarianza configuracional (χ2 = 740.553, p &lt; .001; RMSEA = 0.064, IC 90% [0.057 - 0.070]; CFI = 0.941; TLI = 0.931), métrica (χ2 = 754.671, p &lt; .001; RMSEA = 0.062, IC 90% [0.056 - 0.069]; CFI = 0.941; TLI = 0.934) y escalar (χ2 = 787.529, p &lt; .001; RMSEA = 0.062, IC 90% [0.056 - 0.069]; CFI = 0.939; TLI = 0.934). </w:t>
      </w:r>
    </w:p>
    <w:p w14:paraId="58AB1D33" w14:textId="5D256055" w:rsidR="00802D92" w:rsidRPr="00632BDD" w:rsidRDefault="00802D92" w:rsidP="00802D92">
      <w:pPr>
        <w:pStyle w:val="Prrafocomn"/>
        <w:rPr>
          <w:lang w:val="es-AR"/>
        </w:rPr>
      </w:pPr>
      <w:r w:rsidRPr="00632BDD">
        <w:rPr>
          <w:lang w:val="es-AR"/>
        </w:rPr>
        <w:lastRenderedPageBreak/>
        <w:t>Luego, se evaluó si los modelos progresivamente más restrictivos difieren entre sí. Inicialmente, la evaluación de la invarianza métrica y configuracional entre subgrupos no presentó una diferencia estadísticamente significativa entre ambos grupos (χ2 = 14.118, p = 0.589). En este sentido, se obtuvieron valores de ∆CFI iguales a cero, indicando similitud en la estructura del instrumento entre estudiantes heterosexuales y LGB+ (Tabla 5). Al contrastar la invarianza métrica y escalar, se obtuvieron diferencias estadísticamente significativas entre ambos grupos (χ2 = 32.858, p = 0.0077) y una ∆CFI menor a -.010 (∆CFI = -.002). Por tanto, se infiere que la interpretación de las relaciones entre el constructo latente y los indicadores es consistente en ambos grupos. Estos resultados dan cuenta de la presencia de invarianza métrica y escalar, por lo que la estructura del instrumento utilizado es similar en estudiantes heterosexuales y LGB+.</w:t>
      </w:r>
    </w:p>
    <w:p w14:paraId="3F6AC3E2" w14:textId="77777777" w:rsidR="00802D92" w:rsidRPr="00632BDD" w:rsidRDefault="00802D92">
      <w:pPr>
        <w:rPr>
          <w:rFonts w:ascii="Times New Roman" w:hAnsi="Times New Roman" w:cs="Times New Roman"/>
          <w:lang w:val="es-AR"/>
        </w:rPr>
      </w:pPr>
    </w:p>
    <w:p w14:paraId="50DB292D" w14:textId="77777777" w:rsidR="00C67739" w:rsidRPr="00632BDD" w:rsidRDefault="00C67739" w:rsidP="00C67739">
      <w:pPr>
        <w:keepNext/>
        <w:suppressAutoHyphens/>
        <w:spacing w:line="0" w:lineRule="atLeast"/>
        <w:rPr>
          <w:rFonts w:ascii="Times New Roman" w:hAnsi="Times New Roman" w:cs="Times New Roman"/>
          <w:sz w:val="20"/>
          <w:szCs w:val="20"/>
          <w:u w:color="44546A"/>
        </w:rPr>
      </w:pPr>
      <w:r w:rsidRPr="00632BDD">
        <w:rPr>
          <w:rFonts w:ascii="Times New Roman" w:hAnsi="Times New Roman" w:cs="Times New Roman"/>
          <w:sz w:val="20"/>
          <w:szCs w:val="20"/>
          <w:u w:color="44546A"/>
        </w:rPr>
        <w:t>Tabla 5</w:t>
      </w:r>
    </w:p>
    <w:p w14:paraId="02C792EC" w14:textId="77777777" w:rsidR="00C67739" w:rsidRPr="00632BDD" w:rsidRDefault="00C67739" w:rsidP="00C67739">
      <w:pPr>
        <w:keepNext/>
        <w:suppressAutoHyphens/>
        <w:spacing w:line="0" w:lineRule="atLeast"/>
        <w:rPr>
          <w:rFonts w:ascii="Times New Roman" w:hAnsi="Times New Roman" w:cs="Times New Roman"/>
          <w:i/>
          <w:iCs/>
          <w:sz w:val="20"/>
          <w:szCs w:val="20"/>
          <w:u w:color="44546A"/>
        </w:rPr>
      </w:pPr>
      <w:r w:rsidRPr="00632BDD">
        <w:rPr>
          <w:rFonts w:ascii="Times New Roman" w:hAnsi="Times New Roman" w:cs="Times New Roman"/>
          <w:i/>
          <w:iCs/>
          <w:sz w:val="20"/>
          <w:szCs w:val="20"/>
          <w:u w:color="44546A"/>
        </w:rPr>
        <w:t>Indicadores de ajuste de modelos de invarianza configuracional, métrica y escalar.</w:t>
      </w: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790"/>
        <w:gridCol w:w="605"/>
        <w:gridCol w:w="851"/>
        <w:gridCol w:w="709"/>
        <w:gridCol w:w="590"/>
        <w:gridCol w:w="830"/>
        <w:gridCol w:w="706"/>
        <w:gridCol w:w="425"/>
        <w:gridCol w:w="992"/>
        <w:gridCol w:w="851"/>
      </w:tblGrid>
      <w:tr w:rsidR="00C67739" w:rsidRPr="00632BDD" w14:paraId="63B682FE" w14:textId="77777777" w:rsidTr="005558DF">
        <w:trPr>
          <w:trHeight w:val="315"/>
        </w:trPr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C069B" w14:textId="77777777" w:rsidR="00C67739" w:rsidRPr="00632BDD" w:rsidRDefault="00C67739" w:rsidP="005558D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es-CL"/>
              </w:rPr>
            </w:pPr>
            <w:r w:rsidRPr="00632BDD">
              <w:rPr>
                <w:rFonts w:ascii="Times New Roman" w:hAnsi="Times New Roman" w:cs="Times New Roman"/>
                <w:sz w:val="20"/>
                <w:szCs w:val="20"/>
                <w:lang w:eastAsia="es-CL"/>
              </w:rPr>
              <w:t>Modelo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BDC" w14:textId="77777777" w:rsidR="00C67739" w:rsidRPr="00632BDD" w:rsidRDefault="00C67739" w:rsidP="005558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CL"/>
              </w:rPr>
            </w:pPr>
            <w:r w:rsidRPr="00632BDD">
              <w:rPr>
                <w:rFonts w:ascii="Times New Roman" w:hAnsi="Times New Roman" w:cs="Times New Roman"/>
                <w:sz w:val="20"/>
                <w:szCs w:val="20"/>
                <w:lang w:eastAsia="es-CL"/>
              </w:rPr>
              <w:t>χ2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31F57" w14:textId="77777777" w:rsidR="00C67739" w:rsidRPr="00632BDD" w:rsidRDefault="00C67739" w:rsidP="005558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CL"/>
              </w:rPr>
            </w:pPr>
            <w:proofErr w:type="spellStart"/>
            <w:r w:rsidRPr="00632BDD">
              <w:rPr>
                <w:rFonts w:ascii="Times New Roman" w:hAnsi="Times New Roman" w:cs="Times New Roman"/>
                <w:sz w:val="20"/>
                <w:szCs w:val="20"/>
                <w:lang w:eastAsia="es-CL"/>
              </w:rPr>
              <w:t>gl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64430" w14:textId="77777777" w:rsidR="00C67739" w:rsidRPr="00632BDD" w:rsidRDefault="00C67739" w:rsidP="005558D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s-CL"/>
              </w:rPr>
            </w:pPr>
            <w:r w:rsidRPr="00632BDD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s-CL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2E1BE" w14:textId="77777777" w:rsidR="00C67739" w:rsidRPr="00632BDD" w:rsidRDefault="00C67739" w:rsidP="005558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CL"/>
              </w:rPr>
            </w:pPr>
            <w:r w:rsidRPr="00632BDD">
              <w:rPr>
                <w:rFonts w:ascii="Times New Roman" w:hAnsi="Times New Roman" w:cs="Times New Roman"/>
                <w:sz w:val="20"/>
                <w:szCs w:val="20"/>
                <w:lang w:eastAsia="es-CL"/>
              </w:rPr>
              <w:t>CFI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B1D0D" w14:textId="77777777" w:rsidR="00C67739" w:rsidRPr="00632BDD" w:rsidRDefault="00C67739" w:rsidP="005558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CL"/>
              </w:rPr>
            </w:pPr>
            <w:r w:rsidRPr="00632BDD">
              <w:rPr>
                <w:rFonts w:ascii="Times New Roman" w:hAnsi="Times New Roman" w:cs="Times New Roman"/>
                <w:sz w:val="20"/>
                <w:szCs w:val="20"/>
                <w:lang w:eastAsia="es-CL"/>
              </w:rPr>
              <w:t>TLI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64C45" w14:textId="77777777" w:rsidR="00C67739" w:rsidRPr="00632BDD" w:rsidRDefault="00C67739" w:rsidP="005558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CL"/>
              </w:rPr>
            </w:pPr>
            <w:r w:rsidRPr="00632BDD">
              <w:rPr>
                <w:rFonts w:ascii="Times New Roman" w:hAnsi="Times New Roman" w:cs="Times New Roman"/>
                <w:sz w:val="20"/>
                <w:szCs w:val="20"/>
                <w:lang w:eastAsia="es-CL"/>
              </w:rPr>
              <w:t>RMSEA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8D706" w14:textId="77777777" w:rsidR="00C67739" w:rsidRPr="00632BDD" w:rsidRDefault="00C67739" w:rsidP="005558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CL"/>
              </w:rPr>
            </w:pPr>
            <w:r w:rsidRPr="00632BDD">
              <w:rPr>
                <w:rFonts w:ascii="Times New Roman" w:hAnsi="Times New Roman" w:cs="Times New Roman"/>
                <w:sz w:val="20"/>
                <w:szCs w:val="20"/>
                <w:lang w:eastAsia="es-CL"/>
              </w:rPr>
              <w:t>∆χ2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DC07F" w14:textId="77777777" w:rsidR="00C67739" w:rsidRPr="00632BDD" w:rsidRDefault="00C67739" w:rsidP="005558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CL"/>
              </w:rPr>
            </w:pPr>
            <w:r w:rsidRPr="00632BDD">
              <w:rPr>
                <w:rFonts w:ascii="Times New Roman" w:hAnsi="Times New Roman" w:cs="Times New Roman"/>
                <w:sz w:val="20"/>
                <w:szCs w:val="20"/>
                <w:lang w:eastAsia="es-CL"/>
              </w:rPr>
              <w:t>∆</w:t>
            </w:r>
            <w:proofErr w:type="spellStart"/>
            <w:r w:rsidRPr="00632BDD">
              <w:rPr>
                <w:rFonts w:ascii="Times New Roman" w:hAnsi="Times New Roman" w:cs="Times New Roman"/>
                <w:sz w:val="20"/>
                <w:szCs w:val="20"/>
                <w:lang w:eastAsia="es-CL"/>
              </w:rPr>
              <w:t>gl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AE8E44" w14:textId="77777777" w:rsidR="00C67739" w:rsidRPr="00632BDD" w:rsidRDefault="00C67739" w:rsidP="005558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CL"/>
              </w:rPr>
            </w:pPr>
            <w:r w:rsidRPr="00632BDD">
              <w:rPr>
                <w:rFonts w:ascii="Times New Roman" w:hAnsi="Times New Roman" w:cs="Times New Roman"/>
                <w:sz w:val="20"/>
                <w:szCs w:val="20"/>
                <w:lang w:eastAsia="es-CL"/>
              </w:rPr>
              <w:t>∆valor-</w:t>
            </w:r>
            <w:r w:rsidRPr="00632BDD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s-CL"/>
              </w:rPr>
              <w:t>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4C782" w14:textId="77777777" w:rsidR="00C67739" w:rsidRPr="00632BDD" w:rsidRDefault="00C67739" w:rsidP="005558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CL"/>
              </w:rPr>
            </w:pPr>
            <w:r w:rsidRPr="00632BDD">
              <w:rPr>
                <w:rFonts w:ascii="Times New Roman" w:hAnsi="Times New Roman" w:cs="Times New Roman"/>
                <w:sz w:val="20"/>
                <w:szCs w:val="20"/>
                <w:lang w:eastAsia="es-CL"/>
              </w:rPr>
              <w:t>∆CFI</w:t>
            </w:r>
          </w:p>
        </w:tc>
      </w:tr>
      <w:tr w:rsidR="00C67739" w:rsidRPr="00632BDD" w14:paraId="7AAC47D4" w14:textId="77777777" w:rsidTr="005558DF">
        <w:trPr>
          <w:trHeight w:val="315"/>
        </w:trPr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6BCC3006" w14:textId="77777777" w:rsidR="00C67739" w:rsidRPr="00632BDD" w:rsidRDefault="00C67739" w:rsidP="005558D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es-CL"/>
              </w:rPr>
            </w:pPr>
            <w:r w:rsidRPr="00632BDD">
              <w:rPr>
                <w:rFonts w:ascii="Times New Roman" w:hAnsi="Times New Roman" w:cs="Times New Roman"/>
                <w:sz w:val="20"/>
                <w:szCs w:val="20"/>
                <w:lang w:eastAsia="es-CL"/>
              </w:rPr>
              <w:t>Configuracional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B49A6" w14:textId="77777777" w:rsidR="00C67739" w:rsidRPr="00632BDD" w:rsidRDefault="00C67739" w:rsidP="005558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CL"/>
              </w:rPr>
            </w:pPr>
            <w:r w:rsidRPr="00632BDD">
              <w:rPr>
                <w:rFonts w:ascii="Times New Roman" w:hAnsi="Times New Roman" w:cs="Times New Roman"/>
                <w:sz w:val="20"/>
                <w:szCs w:val="20"/>
                <w:lang w:eastAsia="es-CL"/>
              </w:rPr>
              <w:t>740.553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51556" w14:textId="77777777" w:rsidR="00C67739" w:rsidRPr="00632BDD" w:rsidRDefault="00C67739" w:rsidP="005558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CL"/>
              </w:rPr>
            </w:pPr>
            <w:r w:rsidRPr="00632BDD">
              <w:rPr>
                <w:rFonts w:ascii="Times New Roman" w:hAnsi="Times New Roman" w:cs="Times New Roman"/>
                <w:sz w:val="20"/>
                <w:szCs w:val="20"/>
                <w:lang w:eastAsia="es-CL"/>
              </w:rPr>
              <w:t>358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04848" w14:textId="77777777" w:rsidR="00C67739" w:rsidRPr="00632BDD" w:rsidRDefault="00C67739" w:rsidP="005558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CL"/>
              </w:rPr>
            </w:pPr>
            <w:r w:rsidRPr="00632BDD">
              <w:rPr>
                <w:rFonts w:ascii="Times New Roman" w:hAnsi="Times New Roman" w:cs="Times New Roman"/>
                <w:sz w:val="20"/>
                <w:szCs w:val="20"/>
                <w:lang w:eastAsia="es-CL"/>
              </w:rPr>
              <w:t>&lt; 0.001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1A2F0" w14:textId="77777777" w:rsidR="00C67739" w:rsidRPr="00632BDD" w:rsidRDefault="00C67739" w:rsidP="005558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CL"/>
              </w:rPr>
            </w:pPr>
            <w:r w:rsidRPr="00632BDD">
              <w:rPr>
                <w:rFonts w:ascii="Times New Roman" w:hAnsi="Times New Roman" w:cs="Times New Roman"/>
                <w:sz w:val="20"/>
                <w:szCs w:val="20"/>
                <w:lang w:eastAsia="es-CL"/>
              </w:rPr>
              <w:t>0.941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48E2D" w14:textId="77777777" w:rsidR="00C67739" w:rsidRPr="00632BDD" w:rsidRDefault="00C67739" w:rsidP="005558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CL"/>
              </w:rPr>
            </w:pPr>
            <w:r w:rsidRPr="00632BDD">
              <w:rPr>
                <w:rFonts w:ascii="Times New Roman" w:hAnsi="Times New Roman" w:cs="Times New Roman"/>
                <w:sz w:val="20"/>
                <w:szCs w:val="20"/>
                <w:lang w:eastAsia="es-CL"/>
              </w:rPr>
              <w:t>0.931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F4F01" w14:textId="77777777" w:rsidR="00C67739" w:rsidRPr="00632BDD" w:rsidRDefault="00C67739" w:rsidP="005558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CL"/>
              </w:rPr>
            </w:pPr>
            <w:r w:rsidRPr="00632BDD">
              <w:rPr>
                <w:rFonts w:ascii="Times New Roman" w:hAnsi="Times New Roman" w:cs="Times New Roman"/>
                <w:sz w:val="20"/>
                <w:szCs w:val="20"/>
                <w:lang w:eastAsia="es-CL"/>
              </w:rPr>
              <w:t>0.064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6C08A" w14:textId="77777777" w:rsidR="00C67739" w:rsidRPr="00632BDD" w:rsidRDefault="00C67739" w:rsidP="005558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CL"/>
              </w:rPr>
            </w:pPr>
            <w:r w:rsidRPr="00632BDD">
              <w:rPr>
                <w:rFonts w:ascii="Times New Roman" w:hAnsi="Times New Roman" w:cs="Times New Roman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54C8B" w14:textId="77777777" w:rsidR="00C67739" w:rsidRPr="00632BDD" w:rsidRDefault="00C67739" w:rsidP="005558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CL"/>
              </w:rPr>
            </w:pPr>
            <w:r w:rsidRPr="00632BDD">
              <w:rPr>
                <w:rFonts w:ascii="Times New Roman" w:hAnsi="Times New Roman" w:cs="Times New Roman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6453E" w14:textId="77777777" w:rsidR="00C67739" w:rsidRPr="00632BDD" w:rsidRDefault="00C67739" w:rsidP="005558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CL"/>
              </w:rPr>
            </w:pPr>
            <w:r w:rsidRPr="00632BDD">
              <w:rPr>
                <w:rFonts w:ascii="Times New Roman" w:hAnsi="Times New Roman" w:cs="Times New Roman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B1FB4" w14:textId="77777777" w:rsidR="00C67739" w:rsidRPr="00632BDD" w:rsidRDefault="00C67739" w:rsidP="005558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CL"/>
              </w:rPr>
            </w:pPr>
            <w:r w:rsidRPr="00632BDD">
              <w:rPr>
                <w:rFonts w:ascii="Times New Roman" w:hAnsi="Times New Roman" w:cs="Times New Roman"/>
                <w:sz w:val="20"/>
                <w:szCs w:val="20"/>
                <w:lang w:eastAsia="es-CL"/>
              </w:rPr>
              <w:t>-</w:t>
            </w:r>
          </w:p>
        </w:tc>
      </w:tr>
      <w:tr w:rsidR="00C67739" w:rsidRPr="00632BDD" w14:paraId="1D869E42" w14:textId="77777777" w:rsidTr="005558DF">
        <w:trPr>
          <w:trHeight w:val="315"/>
        </w:trPr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E4C9191" w14:textId="77777777" w:rsidR="00C67739" w:rsidRPr="00632BDD" w:rsidRDefault="00C67739" w:rsidP="005558D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es-CL"/>
              </w:rPr>
            </w:pPr>
            <w:r w:rsidRPr="00632BDD">
              <w:rPr>
                <w:rFonts w:ascii="Times New Roman" w:hAnsi="Times New Roman" w:cs="Times New Roman"/>
                <w:sz w:val="20"/>
                <w:szCs w:val="20"/>
                <w:lang w:eastAsia="es-CL"/>
              </w:rPr>
              <w:t>Escalar</w:t>
            </w:r>
          </w:p>
        </w:tc>
        <w:tc>
          <w:tcPr>
            <w:tcW w:w="7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43C4" w14:textId="77777777" w:rsidR="00C67739" w:rsidRPr="00632BDD" w:rsidRDefault="00C67739" w:rsidP="005558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CL"/>
              </w:rPr>
            </w:pPr>
            <w:r w:rsidRPr="00632BDD">
              <w:rPr>
                <w:rFonts w:ascii="Times New Roman" w:hAnsi="Times New Roman" w:cs="Times New Roman"/>
                <w:sz w:val="20"/>
                <w:szCs w:val="20"/>
                <w:lang w:eastAsia="es-CL"/>
              </w:rPr>
              <w:t>787.529</w:t>
            </w:r>
          </w:p>
        </w:tc>
        <w:tc>
          <w:tcPr>
            <w:tcW w:w="6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972BF" w14:textId="77777777" w:rsidR="00C67739" w:rsidRPr="00632BDD" w:rsidRDefault="00C67739" w:rsidP="005558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CL"/>
              </w:rPr>
            </w:pPr>
            <w:r w:rsidRPr="00632BDD">
              <w:rPr>
                <w:rFonts w:ascii="Times New Roman" w:hAnsi="Times New Roman" w:cs="Times New Roman"/>
                <w:sz w:val="20"/>
                <w:szCs w:val="20"/>
                <w:lang w:eastAsia="es-CL"/>
              </w:rPr>
              <w:t>390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3DA3D" w14:textId="77777777" w:rsidR="00C67739" w:rsidRPr="00632BDD" w:rsidRDefault="00C67739" w:rsidP="005558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CL"/>
              </w:rPr>
            </w:pPr>
            <w:r w:rsidRPr="00632BDD">
              <w:rPr>
                <w:rFonts w:ascii="Times New Roman" w:hAnsi="Times New Roman" w:cs="Times New Roman"/>
                <w:sz w:val="20"/>
                <w:szCs w:val="20"/>
                <w:lang w:eastAsia="es-CL"/>
              </w:rPr>
              <w:t>&lt; 0.001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80943" w14:textId="77777777" w:rsidR="00C67739" w:rsidRPr="00632BDD" w:rsidRDefault="00C67739" w:rsidP="005558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CL"/>
              </w:rPr>
            </w:pPr>
            <w:r w:rsidRPr="00632BDD">
              <w:rPr>
                <w:rFonts w:ascii="Times New Roman" w:hAnsi="Times New Roman" w:cs="Times New Roman"/>
                <w:sz w:val="20"/>
                <w:szCs w:val="20"/>
                <w:lang w:eastAsia="es-CL"/>
              </w:rPr>
              <w:t>0.939</w:t>
            </w:r>
          </w:p>
        </w:tc>
        <w:tc>
          <w:tcPr>
            <w:tcW w:w="5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82489" w14:textId="77777777" w:rsidR="00C67739" w:rsidRPr="00632BDD" w:rsidRDefault="00C67739" w:rsidP="005558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CL"/>
              </w:rPr>
            </w:pPr>
            <w:r w:rsidRPr="00632BDD">
              <w:rPr>
                <w:rFonts w:ascii="Times New Roman" w:hAnsi="Times New Roman" w:cs="Times New Roman"/>
                <w:sz w:val="20"/>
                <w:szCs w:val="20"/>
                <w:lang w:eastAsia="es-CL"/>
              </w:rPr>
              <w:t>0.934</w:t>
            </w:r>
          </w:p>
        </w:tc>
        <w:tc>
          <w:tcPr>
            <w:tcW w:w="8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E6366" w14:textId="77777777" w:rsidR="00C67739" w:rsidRPr="00632BDD" w:rsidRDefault="00C67739" w:rsidP="005558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CL"/>
              </w:rPr>
            </w:pPr>
            <w:r w:rsidRPr="00632BDD">
              <w:rPr>
                <w:rFonts w:ascii="Times New Roman" w:hAnsi="Times New Roman" w:cs="Times New Roman"/>
                <w:sz w:val="20"/>
                <w:szCs w:val="20"/>
                <w:lang w:eastAsia="es-CL"/>
              </w:rPr>
              <w:t>0.062</w:t>
            </w:r>
          </w:p>
        </w:tc>
        <w:tc>
          <w:tcPr>
            <w:tcW w:w="7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832C4" w14:textId="77777777" w:rsidR="00C67739" w:rsidRPr="00632BDD" w:rsidRDefault="00C67739" w:rsidP="005558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CL"/>
              </w:rPr>
            </w:pPr>
            <w:r w:rsidRPr="00632BDD">
              <w:rPr>
                <w:rFonts w:ascii="Times New Roman" w:hAnsi="Times New Roman" w:cs="Times New Roman"/>
                <w:sz w:val="20"/>
                <w:szCs w:val="20"/>
                <w:lang w:eastAsia="es-CL"/>
              </w:rPr>
              <w:t>46.976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08D01" w14:textId="77777777" w:rsidR="00C67739" w:rsidRPr="00632BDD" w:rsidRDefault="00C67739" w:rsidP="005558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CL"/>
              </w:rPr>
            </w:pPr>
            <w:r w:rsidRPr="00632BDD">
              <w:rPr>
                <w:rFonts w:ascii="Times New Roman" w:hAnsi="Times New Roman" w:cs="Times New Roman"/>
                <w:sz w:val="20"/>
                <w:szCs w:val="20"/>
                <w:lang w:eastAsia="es-CL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E2653" w14:textId="77777777" w:rsidR="00C67739" w:rsidRPr="00632BDD" w:rsidRDefault="00C67739" w:rsidP="005558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CL"/>
              </w:rPr>
            </w:pPr>
            <w:r w:rsidRPr="00632BDD">
              <w:rPr>
                <w:rFonts w:ascii="Times New Roman" w:hAnsi="Times New Roman" w:cs="Times New Roman"/>
                <w:sz w:val="20"/>
                <w:szCs w:val="20"/>
                <w:lang w:eastAsia="es-CL"/>
              </w:rPr>
              <w:t>.000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0F228" w14:textId="77777777" w:rsidR="00C67739" w:rsidRPr="00632BDD" w:rsidRDefault="00C67739" w:rsidP="005558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CL"/>
              </w:rPr>
            </w:pPr>
            <w:r w:rsidRPr="00632BDD">
              <w:rPr>
                <w:rFonts w:ascii="Times New Roman" w:hAnsi="Times New Roman" w:cs="Times New Roman"/>
                <w:sz w:val="20"/>
                <w:szCs w:val="20"/>
                <w:lang w:eastAsia="es-CL"/>
              </w:rPr>
              <w:t>-0.002</w:t>
            </w:r>
          </w:p>
        </w:tc>
      </w:tr>
      <w:tr w:rsidR="00C67739" w:rsidRPr="00632BDD" w14:paraId="0E1708F3" w14:textId="77777777" w:rsidTr="005558DF">
        <w:trPr>
          <w:trHeight w:val="315"/>
        </w:trPr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721205" w14:textId="77777777" w:rsidR="00C67739" w:rsidRPr="00632BDD" w:rsidRDefault="00C67739" w:rsidP="005558D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es-CL"/>
              </w:rPr>
            </w:pPr>
            <w:r w:rsidRPr="00632BDD">
              <w:rPr>
                <w:rFonts w:ascii="Times New Roman" w:hAnsi="Times New Roman" w:cs="Times New Roman"/>
                <w:sz w:val="20"/>
                <w:szCs w:val="20"/>
                <w:lang w:eastAsia="es-CL"/>
              </w:rPr>
              <w:t>Métrica</w:t>
            </w:r>
          </w:p>
        </w:tc>
        <w:tc>
          <w:tcPr>
            <w:tcW w:w="7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A2950" w14:textId="77777777" w:rsidR="00C67739" w:rsidRPr="00632BDD" w:rsidRDefault="00C67739" w:rsidP="005558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CL"/>
              </w:rPr>
            </w:pPr>
            <w:r w:rsidRPr="00632BDD">
              <w:rPr>
                <w:rFonts w:ascii="Times New Roman" w:hAnsi="Times New Roman" w:cs="Times New Roman"/>
                <w:sz w:val="20"/>
                <w:szCs w:val="20"/>
                <w:lang w:eastAsia="es-CL"/>
              </w:rPr>
              <w:t>754.671</w:t>
            </w:r>
          </w:p>
        </w:tc>
        <w:tc>
          <w:tcPr>
            <w:tcW w:w="60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FBBFA" w14:textId="77777777" w:rsidR="00C67739" w:rsidRPr="00632BDD" w:rsidRDefault="00C67739" w:rsidP="005558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CL"/>
              </w:rPr>
            </w:pPr>
            <w:r w:rsidRPr="00632BDD">
              <w:rPr>
                <w:rFonts w:ascii="Times New Roman" w:hAnsi="Times New Roman" w:cs="Times New Roman"/>
                <w:sz w:val="20"/>
                <w:szCs w:val="20"/>
                <w:lang w:eastAsia="es-CL"/>
              </w:rPr>
              <w:t>374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B3E77" w14:textId="77777777" w:rsidR="00C67739" w:rsidRPr="00632BDD" w:rsidRDefault="00C67739" w:rsidP="005558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CL"/>
              </w:rPr>
            </w:pPr>
            <w:r w:rsidRPr="00632BDD">
              <w:rPr>
                <w:rFonts w:ascii="Times New Roman" w:hAnsi="Times New Roman" w:cs="Times New Roman"/>
                <w:sz w:val="20"/>
                <w:szCs w:val="20"/>
                <w:lang w:eastAsia="es-CL"/>
              </w:rPr>
              <w:t>&lt; 0.001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80A23" w14:textId="77777777" w:rsidR="00C67739" w:rsidRPr="00632BDD" w:rsidRDefault="00C67739" w:rsidP="005558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CL"/>
              </w:rPr>
            </w:pPr>
            <w:r w:rsidRPr="00632BDD">
              <w:rPr>
                <w:rFonts w:ascii="Times New Roman" w:hAnsi="Times New Roman" w:cs="Times New Roman"/>
                <w:sz w:val="20"/>
                <w:szCs w:val="20"/>
                <w:lang w:eastAsia="es-CL"/>
              </w:rPr>
              <w:t>0.941</w:t>
            </w:r>
          </w:p>
        </w:tc>
        <w:tc>
          <w:tcPr>
            <w:tcW w:w="5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9AF51" w14:textId="77777777" w:rsidR="00C67739" w:rsidRPr="00632BDD" w:rsidRDefault="00C67739" w:rsidP="005558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CL"/>
              </w:rPr>
            </w:pPr>
            <w:r w:rsidRPr="00632BDD">
              <w:rPr>
                <w:rFonts w:ascii="Times New Roman" w:hAnsi="Times New Roman" w:cs="Times New Roman"/>
                <w:sz w:val="20"/>
                <w:szCs w:val="20"/>
                <w:lang w:eastAsia="es-CL"/>
              </w:rPr>
              <w:t>0.934</w:t>
            </w:r>
          </w:p>
        </w:tc>
        <w:tc>
          <w:tcPr>
            <w:tcW w:w="8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77EA8" w14:textId="77777777" w:rsidR="00C67739" w:rsidRPr="00632BDD" w:rsidRDefault="00C67739" w:rsidP="005558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CL"/>
              </w:rPr>
            </w:pPr>
            <w:r w:rsidRPr="00632BDD">
              <w:rPr>
                <w:rFonts w:ascii="Times New Roman" w:hAnsi="Times New Roman" w:cs="Times New Roman"/>
                <w:sz w:val="20"/>
                <w:szCs w:val="20"/>
                <w:lang w:eastAsia="es-CL"/>
              </w:rPr>
              <w:t>0.062</w:t>
            </w:r>
          </w:p>
        </w:tc>
        <w:tc>
          <w:tcPr>
            <w:tcW w:w="70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2D0C4" w14:textId="77777777" w:rsidR="00C67739" w:rsidRPr="00632BDD" w:rsidRDefault="00C67739" w:rsidP="005558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CL"/>
              </w:rPr>
            </w:pPr>
            <w:r w:rsidRPr="00632BDD">
              <w:rPr>
                <w:rFonts w:ascii="Times New Roman" w:hAnsi="Times New Roman" w:cs="Times New Roman"/>
                <w:sz w:val="20"/>
                <w:szCs w:val="20"/>
                <w:lang w:eastAsia="es-CL"/>
              </w:rPr>
              <w:t>14.118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FD1F6" w14:textId="77777777" w:rsidR="00C67739" w:rsidRPr="00632BDD" w:rsidRDefault="00C67739" w:rsidP="005558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CL"/>
              </w:rPr>
            </w:pPr>
            <w:r w:rsidRPr="00632BDD">
              <w:rPr>
                <w:rFonts w:ascii="Times New Roman" w:hAnsi="Times New Roman" w:cs="Times New Roman"/>
                <w:sz w:val="20"/>
                <w:szCs w:val="20"/>
                <w:lang w:eastAsia="es-CL"/>
              </w:rPr>
              <w:t>16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68D48" w14:textId="77777777" w:rsidR="00C67739" w:rsidRPr="00632BDD" w:rsidRDefault="00C67739" w:rsidP="005558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CL"/>
              </w:rPr>
            </w:pPr>
            <w:r w:rsidRPr="00632BDD">
              <w:rPr>
                <w:rFonts w:ascii="Times New Roman" w:hAnsi="Times New Roman" w:cs="Times New Roman"/>
                <w:sz w:val="20"/>
                <w:szCs w:val="20"/>
                <w:lang w:eastAsia="es-CL"/>
              </w:rPr>
              <w:t>.000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6BE81" w14:textId="77777777" w:rsidR="00C67739" w:rsidRPr="00632BDD" w:rsidRDefault="00C67739" w:rsidP="005558D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s-CL"/>
              </w:rPr>
            </w:pPr>
            <w:r w:rsidRPr="00632BDD">
              <w:rPr>
                <w:rFonts w:ascii="Times New Roman" w:hAnsi="Times New Roman" w:cs="Times New Roman"/>
                <w:sz w:val="20"/>
                <w:szCs w:val="20"/>
                <w:lang w:eastAsia="es-CL"/>
              </w:rPr>
              <w:t>0.000</w:t>
            </w:r>
          </w:p>
        </w:tc>
      </w:tr>
    </w:tbl>
    <w:p w14:paraId="24BEFA97" w14:textId="77777777" w:rsidR="00C67739" w:rsidRDefault="00C67739" w:rsidP="00C67739">
      <w:pPr>
        <w:pStyle w:val="Prrafocomn"/>
        <w:ind w:firstLine="0"/>
        <w:rPr>
          <w:i/>
          <w:iCs/>
          <w:lang w:val="es-AR"/>
        </w:rPr>
      </w:pPr>
    </w:p>
    <w:p w14:paraId="7429ED16" w14:textId="77777777" w:rsidR="00632BDD" w:rsidRDefault="00632BDD" w:rsidP="00C67739">
      <w:pPr>
        <w:pStyle w:val="Prrafocomn"/>
        <w:ind w:firstLine="0"/>
        <w:rPr>
          <w:i/>
          <w:iCs/>
          <w:lang w:val="es-AR"/>
        </w:rPr>
      </w:pPr>
    </w:p>
    <w:p w14:paraId="53328382" w14:textId="77777777" w:rsidR="00632BDD" w:rsidRPr="00632BDD" w:rsidRDefault="00632BDD" w:rsidP="00632BDD">
      <w:pPr>
        <w:pStyle w:val="Prrafocomn"/>
        <w:ind w:firstLine="0"/>
        <w:jc w:val="center"/>
        <w:rPr>
          <w:b/>
          <w:bCs/>
          <w:lang w:val="es-AR"/>
        </w:rPr>
      </w:pPr>
      <w:r w:rsidRPr="00632BDD">
        <w:rPr>
          <w:b/>
          <w:bCs/>
          <w:lang w:val="es-AR"/>
        </w:rPr>
        <w:t>Referencias</w:t>
      </w:r>
    </w:p>
    <w:p w14:paraId="04708BE8" w14:textId="77777777" w:rsidR="00632BDD" w:rsidRDefault="00632BDD" w:rsidP="00632BDD">
      <w:pPr>
        <w:pStyle w:val="Prrafocomn"/>
        <w:ind w:left="567" w:hanging="567"/>
        <w:rPr>
          <w:lang w:val="es-AR"/>
        </w:rPr>
      </w:pPr>
      <w:r w:rsidRPr="00632BDD">
        <w:rPr>
          <w:lang w:val="es-AR"/>
        </w:rPr>
        <w:t xml:space="preserve">Caycho, T. (2017). Importancia del análisis de invarianza factorial en estudios comparativos en Ciencias de la Salud. </w:t>
      </w:r>
      <w:r w:rsidRPr="00632BDD">
        <w:rPr>
          <w:i/>
          <w:iCs/>
          <w:lang w:val="es-AR"/>
        </w:rPr>
        <w:t>Educación Médica Superior, 31</w:t>
      </w:r>
      <w:r w:rsidRPr="00632BDD">
        <w:rPr>
          <w:lang w:val="es-AR"/>
        </w:rPr>
        <w:t>(2).</w:t>
      </w:r>
    </w:p>
    <w:p w14:paraId="427E5EEF" w14:textId="75884419" w:rsidR="00632BDD" w:rsidRDefault="00632BDD" w:rsidP="00632BDD">
      <w:pPr>
        <w:pStyle w:val="Prrafocomn"/>
        <w:ind w:left="567" w:hanging="567"/>
        <w:rPr>
          <w:lang w:val="es-AR"/>
        </w:rPr>
      </w:pPr>
      <w:r w:rsidRPr="00370354">
        <w:t xml:space="preserve">Cheung, G. W., &amp; </w:t>
      </w:r>
      <w:proofErr w:type="spellStart"/>
      <w:r w:rsidRPr="00370354">
        <w:t>Rensvold</w:t>
      </w:r>
      <w:proofErr w:type="spellEnd"/>
      <w:r w:rsidRPr="00370354">
        <w:t xml:space="preserve">, R. B. (2002). Evaluating goodness of fit indexes for testing measurement invariance. </w:t>
      </w:r>
      <w:proofErr w:type="spellStart"/>
      <w:r w:rsidRPr="00632BDD">
        <w:rPr>
          <w:i/>
          <w:iCs/>
          <w:lang w:val="es-AR"/>
        </w:rPr>
        <w:t>Structural</w:t>
      </w:r>
      <w:proofErr w:type="spellEnd"/>
      <w:r w:rsidRPr="00632BDD">
        <w:rPr>
          <w:i/>
          <w:iCs/>
          <w:lang w:val="es-AR"/>
        </w:rPr>
        <w:t xml:space="preserve"> </w:t>
      </w:r>
      <w:proofErr w:type="spellStart"/>
      <w:r w:rsidRPr="00632BDD">
        <w:rPr>
          <w:i/>
          <w:iCs/>
          <w:lang w:val="es-AR"/>
        </w:rPr>
        <w:t>Equation</w:t>
      </w:r>
      <w:proofErr w:type="spellEnd"/>
      <w:r w:rsidRPr="00632BDD">
        <w:rPr>
          <w:i/>
          <w:iCs/>
          <w:lang w:val="es-AR"/>
        </w:rPr>
        <w:t xml:space="preserve"> </w:t>
      </w:r>
      <w:proofErr w:type="spellStart"/>
      <w:r w:rsidRPr="00632BDD">
        <w:rPr>
          <w:i/>
          <w:iCs/>
          <w:lang w:val="es-AR"/>
        </w:rPr>
        <w:t>Modeling</w:t>
      </w:r>
      <w:proofErr w:type="spellEnd"/>
      <w:r w:rsidRPr="00632BDD">
        <w:rPr>
          <w:i/>
          <w:iCs/>
          <w:lang w:val="es-AR"/>
        </w:rPr>
        <w:t>, 9</w:t>
      </w:r>
      <w:r w:rsidRPr="00632BDD">
        <w:rPr>
          <w:lang w:val="es-AR"/>
        </w:rPr>
        <w:t>(2), 233–255. https://doi.org/10.1207/S15328007SEM0902_5</w:t>
      </w:r>
    </w:p>
    <w:p w14:paraId="03E1C1DA" w14:textId="26F447BB" w:rsidR="00C67739" w:rsidRPr="00632BDD" w:rsidRDefault="00C67739" w:rsidP="00632BDD">
      <w:pPr>
        <w:pStyle w:val="Prrafocomn"/>
        <w:ind w:left="567" w:hanging="567"/>
        <w:rPr>
          <w:i/>
          <w:iCs/>
          <w:lang w:val="es-AR"/>
        </w:rPr>
      </w:pPr>
      <w:r w:rsidRPr="00632BDD">
        <w:rPr>
          <w:lang w:val="es-CL"/>
        </w:rPr>
        <w:t xml:space="preserve">Van de </w:t>
      </w:r>
      <w:proofErr w:type="spellStart"/>
      <w:r w:rsidRPr="00632BDD">
        <w:rPr>
          <w:lang w:val="es-CL"/>
        </w:rPr>
        <w:t>Schoot</w:t>
      </w:r>
      <w:proofErr w:type="spellEnd"/>
      <w:r w:rsidRPr="00632BDD">
        <w:rPr>
          <w:lang w:val="es-CL"/>
        </w:rPr>
        <w:t xml:space="preserve">, R., </w:t>
      </w:r>
      <w:proofErr w:type="spellStart"/>
      <w:r w:rsidRPr="00632BDD">
        <w:rPr>
          <w:lang w:val="es-CL"/>
        </w:rPr>
        <w:t>Lugtig</w:t>
      </w:r>
      <w:proofErr w:type="spellEnd"/>
      <w:r w:rsidRPr="00632BDD">
        <w:rPr>
          <w:lang w:val="es-CL"/>
        </w:rPr>
        <w:t xml:space="preserve">, P. &amp; </w:t>
      </w:r>
      <w:proofErr w:type="spellStart"/>
      <w:r w:rsidRPr="00632BDD">
        <w:rPr>
          <w:lang w:val="es-CL"/>
        </w:rPr>
        <w:t>Hox</w:t>
      </w:r>
      <w:proofErr w:type="spellEnd"/>
      <w:r w:rsidRPr="00632BDD">
        <w:rPr>
          <w:lang w:val="es-CL"/>
        </w:rPr>
        <w:t xml:space="preserve">, J. (2012). </w:t>
      </w:r>
      <w:r w:rsidRPr="00632BDD">
        <w:t xml:space="preserve">A checklist for testing measurement invariance. </w:t>
      </w:r>
      <w:r w:rsidRPr="00632BDD">
        <w:rPr>
          <w:i/>
          <w:iCs/>
        </w:rPr>
        <w:t>European Journal of Developmental Psychology, 9</w:t>
      </w:r>
      <w:r w:rsidRPr="00632BDD">
        <w:t>(4). https://doi.org/10.1080/17405629.2012.686740</w:t>
      </w:r>
    </w:p>
    <w:p w14:paraId="03E3AFC7" w14:textId="77777777" w:rsidR="00C67739" w:rsidRPr="00632BDD" w:rsidRDefault="00C67739">
      <w:pPr>
        <w:rPr>
          <w:rFonts w:ascii="Times New Roman" w:hAnsi="Times New Roman" w:cs="Times New Roman"/>
          <w:lang w:val="es-AR"/>
        </w:rPr>
      </w:pPr>
    </w:p>
    <w:sectPr w:rsidR="00C67739" w:rsidRPr="00632B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28"/>
    <w:rsid w:val="00370354"/>
    <w:rsid w:val="00632BDD"/>
    <w:rsid w:val="0076099F"/>
    <w:rsid w:val="00802D92"/>
    <w:rsid w:val="00A716BB"/>
    <w:rsid w:val="00B17228"/>
    <w:rsid w:val="00B63C06"/>
    <w:rsid w:val="00C6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CCF6E"/>
  <w15:chartTrackingRefBased/>
  <w15:docId w15:val="{BF440376-ED12-9442-8ADB-E2294203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comn">
    <w:name w:val="Párrafo común"/>
    <w:basedOn w:val="Normal"/>
    <w:qFormat/>
    <w:rsid w:val="00802D92"/>
    <w:pPr>
      <w:spacing w:line="360" w:lineRule="auto"/>
      <w:ind w:firstLine="708"/>
      <w:contextualSpacing/>
      <w:jc w:val="both"/>
    </w:pPr>
    <w:rPr>
      <w:rFonts w:ascii="Times New Roman" w:eastAsia="Times New Roman" w:hAnsi="Times New Roman" w:cs="Times New Roman"/>
      <w:kern w:val="0"/>
      <w:lang w:val="en-US" w:eastAsia="es-ES_tradnl"/>
      <w14:ligatures w14:val="none"/>
    </w:rPr>
  </w:style>
  <w:style w:type="paragraph" w:customStyle="1" w:styleId="SubtituloInterno">
    <w:name w:val="Subtitulo Interno"/>
    <w:basedOn w:val="Normal"/>
    <w:autoRedefine/>
    <w:qFormat/>
    <w:rsid w:val="00802D92"/>
    <w:pPr>
      <w:spacing w:line="360" w:lineRule="auto"/>
      <w:contextualSpacing/>
      <w:jc w:val="both"/>
      <w:outlineLvl w:val="1"/>
    </w:pPr>
    <w:rPr>
      <w:rFonts w:ascii="Times New Roman" w:eastAsia="Times New Roman" w:hAnsi="Times New Roman" w:cs="Times New Roman"/>
      <w:b/>
      <w:i/>
      <w:kern w:val="0"/>
      <w:lang w:val="en-US" w:eastAsia="es-ES_tradnl"/>
      <w14:ligatures w14:val="none"/>
    </w:rPr>
  </w:style>
  <w:style w:type="paragraph" w:customStyle="1" w:styleId="Titulodeartculo">
    <w:name w:val="Titulo de artículo"/>
    <w:basedOn w:val="Normal"/>
    <w:link w:val="TitulodeartculoCar"/>
    <w:autoRedefine/>
    <w:qFormat/>
    <w:rsid w:val="00632BDD"/>
    <w:pPr>
      <w:spacing w:line="360" w:lineRule="auto"/>
      <w:jc w:val="center"/>
      <w:outlineLvl w:val="0"/>
    </w:pPr>
    <w:rPr>
      <w:rFonts w:ascii="Times New Roman" w:eastAsia="Times New Roman" w:hAnsi="Times New Roman" w:cs="Times New Roman"/>
      <w:b/>
      <w:noProof/>
      <w:kern w:val="0"/>
      <w:lang w:eastAsia="es-ES_tradnl"/>
      <w14:ligatures w14:val="none"/>
    </w:rPr>
  </w:style>
  <w:style w:type="character" w:customStyle="1" w:styleId="TitulodeartculoCar">
    <w:name w:val="Titulo de artículo Car"/>
    <w:basedOn w:val="Fuentedeprrafopredeter"/>
    <w:link w:val="Titulodeartculo"/>
    <w:rsid w:val="00632BDD"/>
    <w:rPr>
      <w:rFonts w:ascii="Times New Roman" w:eastAsia="Times New Roman" w:hAnsi="Times New Roman" w:cs="Times New Roman"/>
      <w:b/>
      <w:noProof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612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 Orellana</dc:creator>
  <cp:keywords/>
  <dc:description/>
  <cp:lastModifiedBy>Ligia Orellana</cp:lastModifiedBy>
  <cp:revision>9</cp:revision>
  <dcterms:created xsi:type="dcterms:W3CDTF">2024-01-03T20:27:00Z</dcterms:created>
  <dcterms:modified xsi:type="dcterms:W3CDTF">2024-01-05T19:35:00Z</dcterms:modified>
</cp:coreProperties>
</file>