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FD0BB" w14:textId="02DC4F8F" w:rsidR="00BB3BD1" w:rsidRPr="00AB33F4" w:rsidRDefault="00BB3BD1" w:rsidP="00AD612A">
      <w:pPr>
        <w:spacing w:line="360" w:lineRule="auto"/>
        <w:ind w:left="709" w:hanging="709"/>
        <w:jc w:val="center"/>
        <w:rPr>
          <w:b/>
          <w:lang w:val="en-US"/>
        </w:rPr>
      </w:pPr>
      <w:r w:rsidRPr="00AB33F4">
        <w:rPr>
          <w:b/>
          <w:lang w:val="en-US"/>
        </w:rPr>
        <w:t>The homophobia course in the life of older gay men in Brazil: their social representations</w:t>
      </w:r>
    </w:p>
    <w:p w14:paraId="2B172E1D" w14:textId="77777777" w:rsidR="00AD612A" w:rsidRPr="00AB33F4" w:rsidRDefault="00AD612A" w:rsidP="00AD612A">
      <w:pPr>
        <w:spacing w:line="360" w:lineRule="auto"/>
        <w:ind w:left="709"/>
        <w:jc w:val="both"/>
        <w:rPr>
          <w:lang w:val="en-US"/>
        </w:rPr>
      </w:pPr>
      <w:r w:rsidRPr="00AB33F4">
        <w:rPr>
          <w:b/>
          <w:bCs/>
          <w:lang w:val="en-US"/>
        </w:rPr>
        <w:t>Keywords:</w:t>
      </w:r>
      <w:r w:rsidRPr="00AB33F4">
        <w:rPr>
          <w:lang w:val="en-US"/>
        </w:rPr>
        <w:t xml:space="preserve"> homophobia; old gay men; social representations; internalized homophobia. </w:t>
      </w:r>
    </w:p>
    <w:p w14:paraId="2FD8CC02" w14:textId="77777777" w:rsidR="00AD612A" w:rsidRPr="00AB33F4" w:rsidRDefault="00AD612A" w:rsidP="00AD612A">
      <w:pPr>
        <w:spacing w:line="360" w:lineRule="auto"/>
        <w:ind w:left="709" w:hanging="709"/>
        <w:jc w:val="center"/>
        <w:rPr>
          <w:b/>
          <w:lang w:val="en-US"/>
        </w:rPr>
      </w:pPr>
    </w:p>
    <w:p w14:paraId="5E787C4A" w14:textId="2E23DD06" w:rsidR="00C246C5" w:rsidRPr="00AB33F4" w:rsidRDefault="00C14585" w:rsidP="00AD612A">
      <w:pPr>
        <w:pStyle w:val="Articletitle"/>
        <w:rPr>
          <w:sz w:val="24"/>
        </w:rPr>
      </w:pPr>
      <w:r w:rsidRPr="00AB33F4">
        <w:rPr>
          <w:sz w:val="24"/>
        </w:rPr>
        <w:br w:type="page"/>
      </w:r>
    </w:p>
    <w:p w14:paraId="0FEC615B" w14:textId="77777777" w:rsidR="00194EB8" w:rsidRPr="00AB33F4" w:rsidRDefault="00194EB8" w:rsidP="00E648EF">
      <w:pPr>
        <w:spacing w:line="360" w:lineRule="auto"/>
        <w:jc w:val="center"/>
        <w:rPr>
          <w:b/>
          <w:lang w:val="en-US"/>
        </w:rPr>
      </w:pPr>
      <w:r w:rsidRPr="00AB33F4">
        <w:rPr>
          <w:b/>
          <w:lang w:val="en-US"/>
        </w:rPr>
        <w:lastRenderedPageBreak/>
        <w:t>The homophobia course in the life of older gay men in Brazil: their social representations</w:t>
      </w:r>
    </w:p>
    <w:p w14:paraId="64262C9B" w14:textId="7C52AE00" w:rsidR="00194EB8" w:rsidRPr="00AB33F4" w:rsidRDefault="00194EB8" w:rsidP="00E648EF">
      <w:pPr>
        <w:spacing w:line="360" w:lineRule="auto"/>
        <w:jc w:val="both"/>
        <w:rPr>
          <w:lang w:val="en-US"/>
        </w:rPr>
      </w:pPr>
      <w:r w:rsidRPr="00AB33F4">
        <w:rPr>
          <w:b/>
          <w:bCs/>
          <w:lang w:val="en-US"/>
        </w:rPr>
        <w:t>Abstract:</w:t>
      </w:r>
      <w:r w:rsidRPr="00AB33F4">
        <w:rPr>
          <w:lang w:val="en-US"/>
        </w:rPr>
        <w:t xml:space="preserve"> this study aims at understanding the social representations of homophobia among older gay men. Method: a number of 20 older gay men</w:t>
      </w:r>
      <w:r w:rsidRPr="00AB33F4">
        <w:rPr>
          <w:shd w:val="clear" w:color="auto" w:fill="FFFFFF"/>
          <w:lang w:val="en-US"/>
        </w:rPr>
        <w:t xml:space="preserve"> aged between 60 and 75 years old participated of the study</w:t>
      </w:r>
      <w:r w:rsidRPr="00AB33F4">
        <w:rPr>
          <w:rFonts w:eastAsia="Calibri"/>
          <w:lang w:val="en-US"/>
        </w:rPr>
        <w:t>; the average age was 63.25 years old (SD=3.58). In the data collection, a semi-structured interview about homophobia was used; they were analyzed on IRAMUTEQ, which compiles the descendant hierarchical classification. Results: the corpus was divided into three classes of social representations. The first representation comprises images of prejudice within society. The second one presents social representations involving reports of internalized homophobia and the experiencing of prejudice. The third one shows social representations about physical and identity violations. Conclusion: the social representations of homophobia show how the participants lead their actions in society, being based upon risk and protection issues to face the objective and subjective difficulties present in their social representations.</w:t>
      </w:r>
    </w:p>
    <w:p w14:paraId="3F6633E5" w14:textId="2E072BC0" w:rsidR="00194EB8" w:rsidRPr="00AB33F4" w:rsidRDefault="00194EB8" w:rsidP="00E648EF">
      <w:pPr>
        <w:spacing w:line="360" w:lineRule="auto"/>
        <w:jc w:val="both"/>
        <w:rPr>
          <w:lang w:val="en-US"/>
        </w:rPr>
      </w:pPr>
      <w:r w:rsidRPr="00AB33F4">
        <w:rPr>
          <w:b/>
          <w:bCs/>
          <w:lang w:val="en-US"/>
        </w:rPr>
        <w:t>Keywords:</w:t>
      </w:r>
      <w:r w:rsidRPr="00AB33F4">
        <w:rPr>
          <w:lang w:val="en-US"/>
        </w:rPr>
        <w:t xml:space="preserve"> homophobia; old gay men; social representations; internalized homophobia. </w:t>
      </w:r>
    </w:p>
    <w:p w14:paraId="32D2775D" w14:textId="77777777" w:rsidR="00E648EF" w:rsidRPr="00AB33F4" w:rsidRDefault="00E648EF" w:rsidP="00E648EF">
      <w:pPr>
        <w:spacing w:line="360" w:lineRule="auto"/>
        <w:jc w:val="both"/>
        <w:rPr>
          <w:lang w:val="en-US"/>
        </w:rPr>
      </w:pPr>
    </w:p>
    <w:p w14:paraId="671FF198" w14:textId="77777777" w:rsidR="00E648EF" w:rsidRPr="00AB33F4" w:rsidRDefault="00E648EF" w:rsidP="00E648EF">
      <w:pPr>
        <w:pStyle w:val="Abstract"/>
        <w:spacing w:before="0" w:after="0"/>
        <w:ind w:left="0" w:right="0"/>
        <w:jc w:val="center"/>
        <w:rPr>
          <w:b/>
          <w:bCs/>
          <w:sz w:val="24"/>
          <w:lang w:val="pt-BR"/>
        </w:rPr>
      </w:pPr>
      <w:r w:rsidRPr="00AB33F4">
        <w:rPr>
          <w:b/>
          <w:bCs/>
          <w:sz w:val="24"/>
          <w:lang w:val="pt-BR"/>
        </w:rPr>
        <w:t>O percurso da homofobia na vida de homens gays idosos no Brasil: suas representações sociais</w:t>
      </w:r>
    </w:p>
    <w:p w14:paraId="4F843972" w14:textId="5374D0C0" w:rsidR="00E648EF" w:rsidRPr="00AB33F4" w:rsidRDefault="00E648EF" w:rsidP="00E648EF">
      <w:pPr>
        <w:pStyle w:val="Abstract"/>
        <w:spacing w:before="0" w:after="0"/>
        <w:ind w:left="0" w:right="0"/>
        <w:jc w:val="both"/>
        <w:rPr>
          <w:sz w:val="24"/>
          <w:lang w:val="pt-BR"/>
        </w:rPr>
      </w:pPr>
      <w:r w:rsidRPr="00AB33F4">
        <w:rPr>
          <w:b/>
          <w:bCs/>
          <w:sz w:val="24"/>
          <w:lang w:val="pt-BR"/>
        </w:rPr>
        <w:t>Resumo:</w:t>
      </w:r>
      <w:r w:rsidRPr="00AB33F4">
        <w:rPr>
          <w:sz w:val="24"/>
          <w:lang w:val="pt-BR"/>
        </w:rPr>
        <w:t xml:space="preserve"> este estudo te</w:t>
      </w:r>
      <w:r w:rsidRPr="00AB33F4">
        <w:rPr>
          <w:sz w:val="24"/>
          <w:lang w:val="pt-BR"/>
        </w:rPr>
        <w:t>ve</w:t>
      </w:r>
      <w:r w:rsidRPr="00AB33F4">
        <w:rPr>
          <w:sz w:val="24"/>
          <w:lang w:val="pt-BR"/>
        </w:rPr>
        <w:t xml:space="preserve"> como objetivo compreender as representações sociais da homofobia entre homens gays </w:t>
      </w:r>
      <w:r w:rsidRPr="00AB33F4">
        <w:rPr>
          <w:sz w:val="24"/>
          <w:lang w:val="pt-BR"/>
        </w:rPr>
        <w:t>idosos</w:t>
      </w:r>
      <w:r w:rsidRPr="00AB33F4">
        <w:rPr>
          <w:sz w:val="24"/>
          <w:lang w:val="pt-BR"/>
        </w:rPr>
        <w:t xml:space="preserve">. Método: participaram do estudo 20 </w:t>
      </w:r>
      <w:r w:rsidRPr="00AB33F4">
        <w:rPr>
          <w:sz w:val="24"/>
          <w:lang w:val="pt-BR"/>
        </w:rPr>
        <w:t>homens</w:t>
      </w:r>
      <w:r w:rsidRPr="00AB33F4">
        <w:rPr>
          <w:sz w:val="24"/>
          <w:lang w:val="pt-BR"/>
        </w:rPr>
        <w:t xml:space="preserve"> gays com idade entre 60 e 75 anos; a idade média foi de 63,25 anos (DP=3,58). Na coleta de dados foi utilizada entrevista semiestruturada sobre homofobia; analisad</w:t>
      </w:r>
      <w:r w:rsidRPr="00AB33F4">
        <w:rPr>
          <w:sz w:val="24"/>
          <w:lang w:val="pt-BR"/>
        </w:rPr>
        <w:t>a</w:t>
      </w:r>
      <w:r w:rsidRPr="00AB33F4">
        <w:rPr>
          <w:sz w:val="24"/>
          <w:lang w:val="pt-BR"/>
        </w:rPr>
        <w:t xml:space="preserve">s </w:t>
      </w:r>
      <w:r w:rsidRPr="00AB33F4">
        <w:rPr>
          <w:sz w:val="24"/>
          <w:lang w:val="pt-BR"/>
        </w:rPr>
        <w:t>estraves do</w:t>
      </w:r>
      <w:r w:rsidRPr="00AB33F4">
        <w:rPr>
          <w:sz w:val="24"/>
          <w:lang w:val="pt-BR"/>
        </w:rPr>
        <w:t xml:space="preserve"> IRAMUTEQ, que compila a </w:t>
      </w:r>
      <w:r w:rsidRPr="00AB33F4">
        <w:rPr>
          <w:sz w:val="24"/>
          <w:lang w:val="pt-BR"/>
        </w:rPr>
        <w:t>C</w:t>
      </w:r>
      <w:r w:rsidRPr="00AB33F4">
        <w:rPr>
          <w:sz w:val="24"/>
          <w:lang w:val="pt-BR"/>
        </w:rPr>
        <w:t xml:space="preserve">lassificação </w:t>
      </w:r>
      <w:r w:rsidRPr="00AB33F4">
        <w:rPr>
          <w:sz w:val="24"/>
          <w:lang w:val="pt-BR"/>
        </w:rPr>
        <w:t>H</w:t>
      </w:r>
      <w:r w:rsidRPr="00AB33F4">
        <w:rPr>
          <w:sz w:val="24"/>
          <w:lang w:val="pt-BR"/>
        </w:rPr>
        <w:t xml:space="preserve">ierárquica </w:t>
      </w:r>
      <w:r w:rsidRPr="00AB33F4">
        <w:rPr>
          <w:sz w:val="24"/>
          <w:lang w:val="pt-BR"/>
        </w:rPr>
        <w:t>D</w:t>
      </w:r>
      <w:r w:rsidRPr="00AB33F4">
        <w:rPr>
          <w:sz w:val="24"/>
          <w:lang w:val="pt-BR"/>
        </w:rPr>
        <w:t>escendente. Resultados: o corpus foi dividido em três classes de representações sociais. A primeira representação compreende imagens de preconceito na sociedade. A segunda apresenta representações sociais envolvendo relatos de homofobia internalizada e vivência de preconceito. A terceira mostra representações sociais sobre violações físicas e de identidade. Conclusão: as representações sociais da homofobia mostram como os participantes conduzem suas ações na sociedade, baseando-se em questões de risco e proteção para enfrentar as dificuldades objetivas e subjetivas presentes em suas representações sociais.</w:t>
      </w:r>
    </w:p>
    <w:p w14:paraId="4F450D81" w14:textId="415749CF" w:rsidR="00266354" w:rsidRPr="00AB33F4" w:rsidRDefault="00E648EF" w:rsidP="00E648EF">
      <w:pPr>
        <w:pStyle w:val="Abstract"/>
        <w:spacing w:before="0" w:after="0"/>
        <w:ind w:left="0" w:right="0"/>
        <w:jc w:val="both"/>
        <w:rPr>
          <w:sz w:val="24"/>
          <w:lang w:val="pt-BR"/>
        </w:rPr>
      </w:pPr>
      <w:r w:rsidRPr="00AB33F4">
        <w:rPr>
          <w:b/>
          <w:bCs/>
          <w:sz w:val="24"/>
          <w:lang w:val="pt-BR"/>
        </w:rPr>
        <w:t>Palavras-chave</w:t>
      </w:r>
      <w:r w:rsidRPr="00AB33F4">
        <w:rPr>
          <w:sz w:val="24"/>
          <w:lang w:val="pt-BR"/>
        </w:rPr>
        <w:t xml:space="preserve">: homofobia; </w:t>
      </w:r>
      <w:r w:rsidRPr="00AB33F4">
        <w:rPr>
          <w:sz w:val="24"/>
          <w:lang w:val="pt-BR"/>
        </w:rPr>
        <w:t>idosos</w:t>
      </w:r>
      <w:r w:rsidRPr="00AB33F4">
        <w:rPr>
          <w:sz w:val="24"/>
          <w:lang w:val="pt-BR"/>
        </w:rPr>
        <w:t xml:space="preserve"> gays; representações sociais; homofobia internalizada.</w:t>
      </w:r>
    </w:p>
    <w:p w14:paraId="448989BA" w14:textId="6B7589DF" w:rsidR="00194EB8" w:rsidRPr="00AB33F4" w:rsidRDefault="00194EB8" w:rsidP="00AD612A">
      <w:pPr>
        <w:pStyle w:val="Keywords"/>
        <w:rPr>
          <w:sz w:val="24"/>
          <w:lang w:val="pt-BR"/>
        </w:rPr>
      </w:pPr>
    </w:p>
    <w:p w14:paraId="6BC8DED0" w14:textId="77777777" w:rsidR="00E648EF" w:rsidRPr="00AB33F4" w:rsidRDefault="00E648EF" w:rsidP="00AD612A">
      <w:pPr>
        <w:spacing w:line="360" w:lineRule="auto"/>
        <w:jc w:val="both"/>
        <w:rPr>
          <w:b/>
          <w:lang w:val="en-US"/>
        </w:rPr>
      </w:pPr>
    </w:p>
    <w:p w14:paraId="28E6DFB3" w14:textId="77777777" w:rsidR="00AB33F4" w:rsidRDefault="00AB33F4">
      <w:pPr>
        <w:spacing w:line="240" w:lineRule="auto"/>
        <w:rPr>
          <w:b/>
          <w:lang w:val="en-US"/>
        </w:rPr>
      </w:pPr>
      <w:r>
        <w:rPr>
          <w:b/>
          <w:lang w:val="en-US"/>
        </w:rPr>
        <w:br w:type="page"/>
      </w:r>
    </w:p>
    <w:p w14:paraId="3177F289" w14:textId="1F01F37E" w:rsidR="00850F3E" w:rsidRPr="00AB33F4" w:rsidRDefault="00850F3E" w:rsidP="00E648EF">
      <w:pPr>
        <w:spacing w:line="360" w:lineRule="auto"/>
        <w:jc w:val="center"/>
        <w:rPr>
          <w:b/>
          <w:lang w:val="en-US"/>
        </w:rPr>
      </w:pPr>
      <w:r w:rsidRPr="00AB33F4">
        <w:rPr>
          <w:b/>
          <w:lang w:val="en-US"/>
        </w:rPr>
        <w:lastRenderedPageBreak/>
        <w:t>Introduction</w:t>
      </w:r>
    </w:p>
    <w:p w14:paraId="1E2928F0" w14:textId="77777777" w:rsidR="005A0B93" w:rsidRPr="00AB33F4" w:rsidRDefault="00850F3E" w:rsidP="00AD612A">
      <w:pPr>
        <w:spacing w:line="360" w:lineRule="auto"/>
        <w:ind w:firstLine="709"/>
        <w:jc w:val="both"/>
      </w:pPr>
      <w:r w:rsidRPr="00AB33F4">
        <w:rPr>
          <w:lang w:val="en-US"/>
        </w:rPr>
        <w:t xml:space="preserve">Since a very early age, homosexual people suffer from issues related to their sexual orientation. Those issues might involve aspects like religiosity, conservatism, heteronormativity and machismo, which are disseminated as socially appropriate (Cerqueira-Santos, Sá, Carvalho, &amp; Silveira, 2017; </w:t>
      </w:r>
      <w:proofErr w:type="spellStart"/>
      <w:r w:rsidRPr="00AB33F4">
        <w:rPr>
          <w:lang w:val="en-US"/>
        </w:rPr>
        <w:t>Cazelatto</w:t>
      </w:r>
      <w:proofErr w:type="spellEnd"/>
      <w:r w:rsidRPr="00AB33F4">
        <w:rPr>
          <w:lang w:val="en-US"/>
        </w:rPr>
        <w:t xml:space="preserve"> &amp; Cardin, 2016). The homosexual people born around the middle of the twentieth century lived within a context of religious, military, and psychopathological repression that has impacts on their mental health (</w:t>
      </w:r>
      <w:proofErr w:type="spellStart"/>
      <w:r w:rsidRPr="00AB33F4">
        <w:rPr>
          <w:lang w:val="en-US"/>
        </w:rPr>
        <w:t>Quinalha</w:t>
      </w:r>
      <w:proofErr w:type="spellEnd"/>
      <w:r w:rsidRPr="00AB33F4">
        <w:rPr>
          <w:lang w:val="en-US"/>
        </w:rPr>
        <w:t>, 2018).</w:t>
      </w:r>
      <w:r w:rsidR="005A0B93" w:rsidRPr="00AB33F4">
        <w:rPr>
          <w:lang w:val="en-US"/>
        </w:rPr>
        <w:t xml:space="preserve"> </w:t>
      </w:r>
      <w:r w:rsidR="005A0B93" w:rsidRPr="00AB33F4">
        <w:t>The psychopathological context attributes negative visibility to LGBTQIA+ people. Activism brings disruptions from the pathologizing medical discourse, as an alternative to the quality of life and integral health of such minorities (Santos &amp; Araújo, 2021).</w:t>
      </w:r>
    </w:p>
    <w:p w14:paraId="5CACBAEA" w14:textId="77777777" w:rsidR="00850F3E" w:rsidRPr="00AB33F4" w:rsidRDefault="00850F3E" w:rsidP="00AD612A">
      <w:pPr>
        <w:spacing w:line="360" w:lineRule="auto"/>
        <w:ind w:firstLine="709"/>
        <w:jc w:val="both"/>
        <w:rPr>
          <w:lang w:val="en-US"/>
        </w:rPr>
      </w:pPr>
      <w:r w:rsidRPr="00AB33F4">
        <w:rPr>
          <w:lang w:val="en-US"/>
        </w:rPr>
        <w:t xml:space="preserve">Homophobia was openly institutionalized, and the homosexuals were considered deviated people. Passamani (2008) cited once that the Brazilian society is culturally homophobic. In this context, homophobia is defined as a hostile attitude towards homosexual people. That attitude stems from the perception of those people as inferior and abnormal human beings (Borrillo, 2009). This negative attitude can be manifested in a subtle or in an explicit way. That can occur by means of off-color jokes, in a mocking tone, as well as by means of physical aggression, which may result in murdering (Costa &amp; </w:t>
      </w:r>
      <w:proofErr w:type="spellStart"/>
      <w:r w:rsidRPr="00AB33F4">
        <w:rPr>
          <w:lang w:val="en-US"/>
        </w:rPr>
        <w:t>Nardí</w:t>
      </w:r>
      <w:proofErr w:type="spellEnd"/>
      <w:r w:rsidRPr="00AB33F4">
        <w:rPr>
          <w:lang w:val="en-US"/>
        </w:rPr>
        <w:t>, 2015; Borrillo, 2009). That is also expressed routinely in a negative way by authorities who influence on the society’s way of thinking. Culturally, people absorb heteronormativity, the prejudice lasts on the society due to the institutions that defend those normative, religious, and conservative values (</w:t>
      </w:r>
      <w:proofErr w:type="spellStart"/>
      <w:r w:rsidRPr="00AB33F4">
        <w:rPr>
          <w:lang w:val="en-US"/>
        </w:rPr>
        <w:t>Cazelatto</w:t>
      </w:r>
      <w:proofErr w:type="spellEnd"/>
      <w:r w:rsidRPr="00AB33F4">
        <w:rPr>
          <w:lang w:val="en-US"/>
        </w:rPr>
        <w:t xml:space="preserve"> &amp; Cardin, 2016; Passamani, 2008). </w:t>
      </w:r>
    </w:p>
    <w:p w14:paraId="698B7A72" w14:textId="2A06DABD" w:rsidR="00850F3E" w:rsidRPr="00AB33F4" w:rsidRDefault="00850F3E" w:rsidP="00AD612A">
      <w:pPr>
        <w:spacing w:line="360" w:lineRule="auto"/>
        <w:ind w:firstLine="709"/>
        <w:jc w:val="both"/>
        <w:rPr>
          <w:lang w:val="en-US"/>
        </w:rPr>
      </w:pPr>
      <w:r w:rsidRPr="00AB33F4">
        <w:rPr>
          <w:lang w:val="en-US"/>
        </w:rPr>
        <w:t>Homophobia is a discrimination act, which, in sociological terms, means an uneven feeling and depreciative treatment towards a certain individual, based on certain unconscious values or settings (</w:t>
      </w:r>
      <w:proofErr w:type="spellStart"/>
      <w:r w:rsidRPr="00AB33F4">
        <w:rPr>
          <w:lang w:val="en-US"/>
        </w:rPr>
        <w:t>Misoch</w:t>
      </w:r>
      <w:proofErr w:type="spellEnd"/>
      <w:r w:rsidRPr="00AB33F4">
        <w:rPr>
          <w:lang w:val="en-US"/>
        </w:rPr>
        <w:t xml:space="preserve">, 2017). This way, the above-mentioned author affirms that the sexual desire for people of the same sex is highlighted as something far from the social norm, and that is the first stigmatizing signal. It is known that the term homophobia became worldwide popular, but, when its etymology is analyzed, one can notice its incoherence with the real meaning used. Therefore, it is more appropriate to understand the homophobia from the psychology of the prejudice perspective, rather than from the psychopathology view (Costa &amp; Nardi, 2015). </w:t>
      </w:r>
      <w:r w:rsidR="005A0B93" w:rsidRPr="00AB33F4">
        <w:rPr>
          <w:lang w:val="en-US"/>
        </w:rPr>
        <w:t>The psychology of prejudice studies society based on attitudes, stigmas, social representations, social and historical issues and social influence.</w:t>
      </w:r>
    </w:p>
    <w:p w14:paraId="26E566A5" w14:textId="77777777" w:rsidR="00850F3E" w:rsidRPr="00AB33F4" w:rsidRDefault="00850F3E" w:rsidP="00AD612A">
      <w:pPr>
        <w:spacing w:line="360" w:lineRule="auto"/>
        <w:ind w:firstLine="709"/>
        <w:jc w:val="both"/>
        <w:rPr>
          <w:lang w:val="en-US"/>
        </w:rPr>
      </w:pPr>
      <w:r w:rsidRPr="00AB33F4">
        <w:rPr>
          <w:lang w:val="en-US"/>
        </w:rPr>
        <w:t xml:space="preserve">This way, many psychologists of social psychology prefer to use the terminology “prejudice against sexual diversity” to refer to all the negative attitudes towards lesbians, gays, homosexuals, bisexuals, transexuals and cross-dressers - LGBT (Costa &amp; Nardi, 2015; </w:t>
      </w:r>
      <w:proofErr w:type="spellStart"/>
      <w:r w:rsidRPr="00AB33F4">
        <w:rPr>
          <w:lang w:val="en-US"/>
        </w:rPr>
        <w:lastRenderedPageBreak/>
        <w:t>Cazelatto</w:t>
      </w:r>
      <w:proofErr w:type="spellEnd"/>
      <w:r w:rsidRPr="00AB33F4">
        <w:rPr>
          <w:lang w:val="en-US"/>
        </w:rPr>
        <w:t xml:space="preserve"> &amp; Cardin, 2016). However, in this study, the term “homophobia” is used, since it is already popularized in the common sense and in the LGBT community.</w:t>
      </w:r>
    </w:p>
    <w:p w14:paraId="499F8BC0" w14:textId="77777777" w:rsidR="00850F3E" w:rsidRPr="00AB33F4" w:rsidRDefault="00850F3E" w:rsidP="00AD612A">
      <w:pPr>
        <w:spacing w:line="360" w:lineRule="auto"/>
        <w:ind w:firstLine="709"/>
        <w:jc w:val="both"/>
        <w:rPr>
          <w:lang w:val="en-US"/>
        </w:rPr>
      </w:pPr>
      <w:r w:rsidRPr="00AB33F4">
        <w:rPr>
          <w:lang w:val="en-US"/>
        </w:rPr>
        <w:t>A systematic review divulged that the studies about homophobia in psychology increased in the second decade of the twenty-first century, and they are discussed from psychosocial, health, education, and public policies issues (Sobral, Silva, &amp; Fernandes, 2019). A study carried out with psychologists identified a low prejudice level; even so, there were professionals that justified their narratives based upon psychological and ethic-moralistic issues (</w:t>
      </w:r>
      <w:proofErr w:type="spellStart"/>
      <w:r w:rsidRPr="00AB33F4">
        <w:rPr>
          <w:lang w:val="en-US"/>
        </w:rPr>
        <w:t>Gaspodini</w:t>
      </w:r>
      <w:proofErr w:type="spellEnd"/>
      <w:r w:rsidRPr="00AB33F4">
        <w:rPr>
          <w:lang w:val="en-US"/>
        </w:rPr>
        <w:t xml:space="preserve"> &amp; Falcke, 2018).</w:t>
      </w:r>
    </w:p>
    <w:p w14:paraId="08C12D5B" w14:textId="77777777" w:rsidR="00850F3E" w:rsidRPr="00AB33F4" w:rsidRDefault="00850F3E" w:rsidP="00AD612A">
      <w:pPr>
        <w:spacing w:line="360" w:lineRule="auto"/>
        <w:ind w:firstLine="709"/>
        <w:jc w:val="both"/>
        <w:rPr>
          <w:lang w:val="en-US"/>
        </w:rPr>
      </w:pPr>
      <w:r w:rsidRPr="00AB33F4">
        <w:rPr>
          <w:lang w:val="en-US"/>
        </w:rPr>
        <w:t xml:space="preserve">Previous studies show that the conservatism contributes to prejudiced positions (Santos, Araújo, Cerqueira-Santos, &amp; Negreiros, 2018; Mott, 2016). The neutral discourse about LGBT issues would be a way to keep conservatism (Russo &amp; Russo, 2021). Brazil has one of the highest discrimination taxes against LGBT people, according to a survey of the </w:t>
      </w:r>
      <w:proofErr w:type="spellStart"/>
      <w:r w:rsidRPr="00AB33F4">
        <w:rPr>
          <w:i/>
          <w:iCs/>
          <w:lang w:val="en-US"/>
        </w:rPr>
        <w:t>Diretoria</w:t>
      </w:r>
      <w:proofErr w:type="spellEnd"/>
      <w:r w:rsidRPr="00AB33F4">
        <w:rPr>
          <w:i/>
          <w:iCs/>
          <w:lang w:val="en-US"/>
        </w:rPr>
        <w:t xml:space="preserve"> de </w:t>
      </w:r>
      <w:proofErr w:type="spellStart"/>
      <w:r w:rsidRPr="00AB33F4">
        <w:rPr>
          <w:i/>
          <w:iCs/>
          <w:lang w:val="en-US"/>
        </w:rPr>
        <w:t>Análise</w:t>
      </w:r>
      <w:proofErr w:type="spellEnd"/>
      <w:r w:rsidRPr="00AB33F4">
        <w:rPr>
          <w:i/>
          <w:iCs/>
          <w:lang w:val="en-US"/>
        </w:rPr>
        <w:t xml:space="preserve"> de </w:t>
      </w:r>
      <w:proofErr w:type="spellStart"/>
      <w:r w:rsidRPr="00AB33F4">
        <w:rPr>
          <w:i/>
          <w:iCs/>
          <w:lang w:val="en-US"/>
        </w:rPr>
        <w:t>Políticas</w:t>
      </w:r>
      <w:proofErr w:type="spellEnd"/>
      <w:r w:rsidRPr="00AB33F4">
        <w:rPr>
          <w:i/>
          <w:iCs/>
          <w:lang w:val="en-US"/>
        </w:rPr>
        <w:t xml:space="preserve"> </w:t>
      </w:r>
      <w:proofErr w:type="spellStart"/>
      <w:r w:rsidRPr="00AB33F4">
        <w:rPr>
          <w:i/>
          <w:iCs/>
          <w:lang w:val="en-US"/>
        </w:rPr>
        <w:t>Públicas</w:t>
      </w:r>
      <w:proofErr w:type="spellEnd"/>
      <w:r w:rsidRPr="00AB33F4">
        <w:rPr>
          <w:i/>
          <w:iCs/>
          <w:lang w:val="en-US"/>
        </w:rPr>
        <w:t xml:space="preserve"> da </w:t>
      </w:r>
      <w:proofErr w:type="spellStart"/>
      <w:r w:rsidRPr="00AB33F4">
        <w:rPr>
          <w:i/>
          <w:iCs/>
          <w:lang w:val="en-US"/>
        </w:rPr>
        <w:t>Fundação</w:t>
      </w:r>
      <w:proofErr w:type="spellEnd"/>
      <w:r w:rsidRPr="00AB33F4">
        <w:rPr>
          <w:i/>
          <w:iCs/>
          <w:lang w:val="en-US"/>
        </w:rPr>
        <w:t xml:space="preserve"> Getúlio Vargas</w:t>
      </w:r>
      <w:r w:rsidRPr="00AB33F4">
        <w:rPr>
          <w:lang w:val="en-US"/>
        </w:rPr>
        <w:t xml:space="preserve"> (Directory of Public Polices Analysis of Foundation Getúlio Vargas), the Brazilian states of São Paulo and Rio de Janeiro have the greatest quantity of complaints of homophobia for being among the most populous in Brazil (DAPP, 2018). The hotline known in Brazil as “Disque 100” is a service for formal complaints regarding violence in various contexts, including the violence against the LGBT population. Discrimination and physical and psychological violence are the most frequent ones; most of those complaints are made by people who are between 18 and 35 years old, and most of the people accused of homophobia are men (</w:t>
      </w:r>
      <w:proofErr w:type="spellStart"/>
      <w:r w:rsidRPr="00AB33F4">
        <w:rPr>
          <w:lang w:val="en-US"/>
        </w:rPr>
        <w:t>Ministério</w:t>
      </w:r>
      <w:proofErr w:type="spellEnd"/>
      <w:r w:rsidRPr="00AB33F4">
        <w:rPr>
          <w:lang w:val="en-US"/>
        </w:rPr>
        <w:t xml:space="preserve"> de </w:t>
      </w:r>
      <w:proofErr w:type="spellStart"/>
      <w:r w:rsidRPr="00AB33F4">
        <w:rPr>
          <w:lang w:val="en-US"/>
        </w:rPr>
        <w:t>Desenvolvimento</w:t>
      </w:r>
      <w:proofErr w:type="spellEnd"/>
      <w:r w:rsidRPr="00AB33F4">
        <w:rPr>
          <w:lang w:val="en-US"/>
        </w:rPr>
        <w:t xml:space="preserve"> Humano, 2018).</w:t>
      </w:r>
    </w:p>
    <w:p w14:paraId="75F59F0C" w14:textId="77777777" w:rsidR="00850F3E" w:rsidRPr="00AB33F4" w:rsidRDefault="00850F3E" w:rsidP="00AD612A">
      <w:pPr>
        <w:spacing w:line="360" w:lineRule="auto"/>
        <w:ind w:firstLine="709"/>
        <w:jc w:val="both"/>
        <w:rPr>
          <w:lang w:val="en-US"/>
        </w:rPr>
      </w:pPr>
      <w:r w:rsidRPr="00AB33F4">
        <w:rPr>
          <w:lang w:val="en-US"/>
        </w:rPr>
        <w:t xml:space="preserve">A very important achievement occurred on June 13, 2019, when the Brazilian Supreme Federal Court approved the criminalization of </w:t>
      </w:r>
      <w:proofErr w:type="spellStart"/>
      <w:r w:rsidRPr="00AB33F4">
        <w:rPr>
          <w:lang w:val="en-US"/>
        </w:rPr>
        <w:t>LGBTphobia</w:t>
      </w:r>
      <w:proofErr w:type="spellEnd"/>
      <w:r w:rsidRPr="00AB33F4">
        <w:rPr>
          <w:lang w:val="en-US"/>
        </w:rPr>
        <w:t>. That became an important mechanism for the fight against prejudice and for the affirmation of rights (</w:t>
      </w:r>
      <w:r w:rsidRPr="00AB33F4">
        <w:rPr>
          <w:shd w:val="clear" w:color="auto" w:fill="FFFFFF"/>
          <w:lang w:val="en-US"/>
        </w:rPr>
        <w:t xml:space="preserve">British Broadcasting </w:t>
      </w:r>
      <w:r w:rsidRPr="00AB33F4">
        <w:rPr>
          <w:lang w:val="en-US"/>
        </w:rPr>
        <w:t>C</w:t>
      </w:r>
      <w:r w:rsidRPr="00AB33F4">
        <w:rPr>
          <w:shd w:val="clear" w:color="auto" w:fill="FFFFFF"/>
          <w:lang w:val="en-US"/>
        </w:rPr>
        <w:t>orporation</w:t>
      </w:r>
      <w:r w:rsidRPr="00AB33F4">
        <w:rPr>
          <w:lang w:val="en-US"/>
        </w:rPr>
        <w:t xml:space="preserve">, 2019). Studies highlight the importance of those achievements to a proper aging process of LGBT people (de Vries et al., 2019; Oliveira et al., 2020; Santos &amp; Araújo, 2020). The homophobia hinders the access to public services of health and psychosocial care (Emlet et al., 2020; Ribeiro-Gonçalves, Pereira, Costa, &amp; Leal, 2021). </w:t>
      </w:r>
    </w:p>
    <w:p w14:paraId="6AE388E4" w14:textId="77777777" w:rsidR="00850F3E" w:rsidRPr="00AB33F4" w:rsidRDefault="00850F3E" w:rsidP="00AD612A">
      <w:pPr>
        <w:spacing w:line="360" w:lineRule="auto"/>
        <w:ind w:firstLine="709"/>
        <w:jc w:val="both"/>
        <w:rPr>
          <w:lang w:val="en-US"/>
        </w:rPr>
      </w:pPr>
      <w:r w:rsidRPr="00AB33F4">
        <w:rPr>
          <w:lang w:val="en-US"/>
        </w:rPr>
        <w:t xml:space="preserve">Various studies carried out with homosexual people present a high level of internalized homophobia, which impacts directly on the perception of health (Barefoot, Rickard, Smalley, &amp; Warren, 2015; </w:t>
      </w:r>
      <w:proofErr w:type="spellStart"/>
      <w:r w:rsidRPr="00AB33F4">
        <w:rPr>
          <w:lang w:val="en-US"/>
        </w:rPr>
        <w:t>Meanley</w:t>
      </w:r>
      <w:proofErr w:type="spellEnd"/>
      <w:r w:rsidRPr="00AB33F4">
        <w:rPr>
          <w:lang w:val="en-US"/>
        </w:rPr>
        <w:t xml:space="preserve"> et al., 2020). In this sense, it is important to recognize how important the rights are. For example, </w:t>
      </w:r>
      <w:proofErr w:type="gramStart"/>
      <w:r w:rsidRPr="00AB33F4">
        <w:rPr>
          <w:lang w:val="en-US"/>
        </w:rPr>
        <w:t>a research</w:t>
      </w:r>
      <w:proofErr w:type="gramEnd"/>
      <w:r w:rsidRPr="00AB33F4">
        <w:rPr>
          <w:lang w:val="en-US"/>
        </w:rPr>
        <w:t xml:space="preserve"> with LGBT people of various ages revealed that the internalized homophobia had low association with negative results of mental health, which could be justified by recent variables, with some laws and public polices directed to that public, </w:t>
      </w:r>
      <w:r w:rsidRPr="00AB33F4">
        <w:rPr>
          <w:lang w:val="en-US"/>
        </w:rPr>
        <w:lastRenderedPageBreak/>
        <w:t>which causes a reduction on the levels of prejudice against sexual diversity (</w:t>
      </w:r>
      <w:proofErr w:type="spellStart"/>
      <w:r w:rsidRPr="00AB33F4">
        <w:rPr>
          <w:lang w:val="en-US"/>
        </w:rPr>
        <w:t>Paveltchuk</w:t>
      </w:r>
      <w:proofErr w:type="spellEnd"/>
      <w:r w:rsidRPr="00AB33F4">
        <w:rPr>
          <w:lang w:val="en-US"/>
        </w:rPr>
        <w:t xml:space="preserve"> &amp; Borsa, 2019). </w:t>
      </w:r>
    </w:p>
    <w:p w14:paraId="360784A5" w14:textId="77777777" w:rsidR="00850F3E" w:rsidRPr="00AB33F4" w:rsidRDefault="00850F3E" w:rsidP="00AD612A">
      <w:pPr>
        <w:spacing w:line="360" w:lineRule="auto"/>
        <w:ind w:firstLine="709"/>
        <w:jc w:val="both"/>
        <w:rPr>
          <w:lang w:val="en-US"/>
        </w:rPr>
      </w:pPr>
      <w:r w:rsidRPr="00AB33F4">
        <w:rPr>
          <w:lang w:val="en-US"/>
        </w:rPr>
        <w:t xml:space="preserve">The family, who should be a supporting basis, is the first place where the prejudice occurs. There are cases that involve being forced to leave the family’s home, and social, psychological, and physical violence (Braga, Oliveira, Silva, Mello, &amp; Silva, 2018; Diniz &amp; Marra, 2019). Due to the fear of the prejudice, many homosexual people absorb heteronormativity social and culturally, and neglect their sexuality, internalizing the homophobia (Santos &amp; Araújo, 2020; Mota, 2012; Antunes, 2017). </w:t>
      </w:r>
    </w:p>
    <w:p w14:paraId="5978847B" w14:textId="77777777" w:rsidR="00850F3E" w:rsidRPr="00AB33F4" w:rsidRDefault="00850F3E" w:rsidP="00AD612A">
      <w:pPr>
        <w:spacing w:line="360" w:lineRule="auto"/>
        <w:ind w:firstLine="709"/>
        <w:jc w:val="both"/>
        <w:rPr>
          <w:lang w:val="en-US"/>
        </w:rPr>
      </w:pPr>
      <w:r w:rsidRPr="00AB33F4">
        <w:rPr>
          <w:lang w:val="en-US"/>
        </w:rPr>
        <w:t xml:space="preserve">Therefore, Moura, Nascimento and Barros (2017) discuss some of the topics concerning homosexuality. To those authors, in many social places, the problem is not being gay, but being feminine. The effeminate gays are stereotyped as being promiscuous; they are outside heteronormativity, and the ones who do not meet that standard are diminished as if there were a hegemonic model of man and of masculinity (Cardiel, 2020; </w:t>
      </w:r>
      <w:proofErr w:type="spellStart"/>
      <w:r w:rsidRPr="00AB33F4">
        <w:rPr>
          <w:lang w:val="en-US"/>
        </w:rPr>
        <w:t>Eccel</w:t>
      </w:r>
      <w:proofErr w:type="spellEnd"/>
      <w:r w:rsidRPr="00AB33F4">
        <w:rPr>
          <w:lang w:val="en-US"/>
        </w:rPr>
        <w:t xml:space="preserve">, Saraiva, &amp; </w:t>
      </w:r>
      <w:proofErr w:type="spellStart"/>
      <w:r w:rsidRPr="00AB33F4">
        <w:rPr>
          <w:lang w:val="en-US"/>
        </w:rPr>
        <w:t>Carieri</w:t>
      </w:r>
      <w:proofErr w:type="spellEnd"/>
      <w:r w:rsidRPr="00AB33F4">
        <w:rPr>
          <w:lang w:val="en-US"/>
        </w:rPr>
        <w:t xml:space="preserve">, 2015). Because of homophobia, many men live “in the closet”. A study on regrets of older gay men revealed that in interpersonal, sexual, and work relations, aging and psychological coping are affected by the heteronormativity culture and by the homophobia stigma (Myrick, 2020). </w:t>
      </w:r>
    </w:p>
    <w:p w14:paraId="7F7F5B04" w14:textId="525DAFD8" w:rsidR="00850F3E" w:rsidRPr="00AB33F4" w:rsidRDefault="00850F3E" w:rsidP="00AD612A">
      <w:pPr>
        <w:spacing w:line="360" w:lineRule="auto"/>
        <w:ind w:firstLine="709"/>
        <w:jc w:val="both"/>
        <w:rPr>
          <w:lang w:val="en-US"/>
        </w:rPr>
      </w:pPr>
      <w:r w:rsidRPr="00AB33F4">
        <w:rPr>
          <w:lang w:val="en-US"/>
        </w:rPr>
        <w:t>The intersectional factors such as age, color, sexuality, social class, and region where one lives contribute to the formation of identities and subjectivities</w:t>
      </w:r>
      <w:r w:rsidR="000E56A6" w:rsidRPr="00AB33F4">
        <w:rPr>
          <w:lang w:val="en-US"/>
        </w:rPr>
        <w:t xml:space="preserve"> (Araújo, 2022)</w:t>
      </w:r>
      <w:r w:rsidRPr="00AB33F4">
        <w:rPr>
          <w:lang w:val="en-US"/>
        </w:rPr>
        <w:t>. It is necessary to understand the sexual prejudice among the minority of older gays, in face of the above-mentioned markers, which increase vulnerabilities and social exclusion, towards a course that segments them as a marginalized social group (Alves &amp; Araújo, 2020). Thus, the risk factors that involve homosexuality and aging intensify according to the intersectional minorities of each other.</w:t>
      </w:r>
    </w:p>
    <w:p w14:paraId="53D39DB7" w14:textId="77777777" w:rsidR="00850F3E" w:rsidRPr="00AB33F4" w:rsidRDefault="00850F3E" w:rsidP="00AD612A">
      <w:pPr>
        <w:spacing w:line="360" w:lineRule="auto"/>
        <w:ind w:firstLine="709"/>
        <w:jc w:val="both"/>
        <w:rPr>
          <w:lang w:val="en-US"/>
        </w:rPr>
      </w:pPr>
      <w:r w:rsidRPr="00AB33F4">
        <w:rPr>
          <w:lang w:val="en-US"/>
        </w:rPr>
        <w:t xml:space="preserve">When we consider the psychosocial aspects that interfere negatively with the homosexual life, it becomes relevant to understand such phenomenon in the older gay population. People aging more than 60 years old are considered old in countries under development, and older than 65 years old, in developed countries. This way, Oliveira et al (2020, p. 238) describe the “old person being as a subject permeated by the power of time, which transforms their corporal dimensions, followed by historical, social and cultural changes” (excerpt originally published in Portuguese, translated by us). At this point, it is known that homophobia is part of the life course of gay men. There is evidence suggesting that homophobia causes many difficulties to the old homosexual population, including aspects of mental health and aging (Motta, 2012). </w:t>
      </w:r>
    </w:p>
    <w:p w14:paraId="785659A8" w14:textId="77777777" w:rsidR="00850F3E" w:rsidRPr="00AB33F4" w:rsidRDefault="00850F3E" w:rsidP="00AD612A">
      <w:pPr>
        <w:spacing w:line="360" w:lineRule="auto"/>
        <w:ind w:firstLine="709"/>
        <w:jc w:val="both"/>
        <w:rPr>
          <w:lang w:val="en-US"/>
        </w:rPr>
      </w:pPr>
      <w:r w:rsidRPr="00AB33F4">
        <w:rPr>
          <w:lang w:val="en-US"/>
        </w:rPr>
        <w:lastRenderedPageBreak/>
        <w:t>Therefore, we can reflect about how homophobia has always been present in the life of Brazilian gay men who were born during a dictatorial period, when homophobia was defended by important social institutions (</w:t>
      </w:r>
      <w:proofErr w:type="spellStart"/>
      <w:r w:rsidRPr="00AB33F4">
        <w:rPr>
          <w:lang w:val="en-US"/>
        </w:rPr>
        <w:t>Quinalha</w:t>
      </w:r>
      <w:proofErr w:type="spellEnd"/>
      <w:r w:rsidRPr="00AB33F4">
        <w:rPr>
          <w:lang w:val="en-US"/>
        </w:rPr>
        <w:t>, 2018). This way, some aspects of how homophobia affects the life of the gay men have been presented. It is relevant to understand how the social representations of homophobia justify and guide their lives’ nuances, considering the fact that an old gay man may have had to face and construct his identity by permeating discrimination, negative stereotypes, social exclusion, and violence experiences. Their social-historical development influences the way to represent homophobia socially. It is necessary to understand such phenomenon aiming to recognize the difficulties that they have had and the ones that they face in the present, so that ways to reduce the invisibility of the older gay man are evaluated and essential services are adequately provided.</w:t>
      </w:r>
    </w:p>
    <w:p w14:paraId="23BA7C9E" w14:textId="77777777" w:rsidR="00850F3E" w:rsidRPr="00AB33F4" w:rsidRDefault="00850F3E" w:rsidP="00AD612A">
      <w:pPr>
        <w:spacing w:line="360" w:lineRule="auto"/>
        <w:ind w:firstLine="709"/>
        <w:jc w:val="both"/>
        <w:rPr>
          <w:lang w:val="en-US"/>
        </w:rPr>
      </w:pPr>
      <w:r w:rsidRPr="00AB33F4">
        <w:rPr>
          <w:lang w:val="en-US"/>
        </w:rPr>
        <w:t xml:space="preserve">The social representations are formed within the daily life by means of social communication. The elements that constitute the social representations constitute a relationship among the subject, the group to which they </w:t>
      </w:r>
      <w:proofErr w:type="spellStart"/>
      <w:r w:rsidRPr="00AB33F4">
        <w:rPr>
          <w:lang w:val="en-US"/>
        </w:rPr>
        <w:t>they</w:t>
      </w:r>
      <w:proofErr w:type="spellEnd"/>
      <w:r w:rsidRPr="00AB33F4">
        <w:rPr>
          <w:lang w:val="en-US"/>
        </w:rPr>
        <w:t xml:space="preserve"> belong, and the object. The social representation is formed by elements related to informative, cognitive, and normative aspects, beliefs, values, opinions, attitudes, images and ideological issues (</w:t>
      </w:r>
      <w:proofErr w:type="spellStart"/>
      <w:r w:rsidRPr="00AB33F4">
        <w:rPr>
          <w:lang w:val="en-US"/>
        </w:rPr>
        <w:t>Jodelet</w:t>
      </w:r>
      <w:proofErr w:type="spellEnd"/>
      <w:r w:rsidRPr="00AB33F4">
        <w:rPr>
          <w:lang w:val="en-US"/>
        </w:rPr>
        <w:t xml:space="preserve">, 2001). The social representations are formed from a </w:t>
      </w:r>
      <w:proofErr w:type="spellStart"/>
      <w:r w:rsidRPr="00AB33F4">
        <w:rPr>
          <w:lang w:val="en-US"/>
        </w:rPr>
        <w:t>sociocognitive</w:t>
      </w:r>
      <w:proofErr w:type="spellEnd"/>
      <w:r w:rsidRPr="00AB33F4">
        <w:rPr>
          <w:lang w:val="en-US"/>
        </w:rPr>
        <w:t xml:space="preserve"> process named as anchorage and objectification (Moscovici, 2017). </w:t>
      </w:r>
    </w:p>
    <w:p w14:paraId="1D8E1430" w14:textId="1418D0CB" w:rsidR="00850F3E" w:rsidRPr="00AB33F4" w:rsidRDefault="00850F3E" w:rsidP="00E648EF">
      <w:pPr>
        <w:spacing w:line="360" w:lineRule="auto"/>
        <w:ind w:firstLine="708"/>
        <w:jc w:val="both"/>
        <w:rPr>
          <w:shd w:val="clear" w:color="auto" w:fill="FFFFFF"/>
          <w:lang w:val="en-US"/>
        </w:rPr>
      </w:pPr>
      <w:r w:rsidRPr="00AB33F4">
        <w:rPr>
          <w:lang w:val="en-US"/>
        </w:rPr>
        <w:t>This way, thinking about homophobia as a representational object is bringing the reality of how that practical knowledge is instrumentalized in the daily life of the older gay man, once it considers the fact that the knowledge of the common sense leads to the practices in social relations, for as the subject thinks of an object, they process a whole framework</w:t>
      </w:r>
      <w:r w:rsidRPr="00AB33F4">
        <w:rPr>
          <w:shd w:val="clear" w:color="auto" w:fill="FFFFFF"/>
          <w:lang w:val="en-US"/>
        </w:rPr>
        <w:t xml:space="preserve"> to explain an object (</w:t>
      </w:r>
      <w:proofErr w:type="spellStart"/>
      <w:r w:rsidRPr="00AB33F4">
        <w:rPr>
          <w:shd w:val="clear" w:color="auto" w:fill="FFFFFF"/>
          <w:lang w:val="en-US"/>
        </w:rPr>
        <w:t>Jodelet</w:t>
      </w:r>
      <w:proofErr w:type="spellEnd"/>
      <w:r w:rsidRPr="00AB33F4">
        <w:rPr>
          <w:shd w:val="clear" w:color="auto" w:fill="FFFFFF"/>
          <w:lang w:val="en-US"/>
        </w:rPr>
        <w:t>, 2001). Therefore, the present study aims at understanding the social representations of homophobia among older gay men.</w:t>
      </w:r>
    </w:p>
    <w:p w14:paraId="6EA92790" w14:textId="77777777" w:rsidR="00850F3E" w:rsidRPr="00AB33F4" w:rsidRDefault="00850F3E" w:rsidP="00E648EF">
      <w:pPr>
        <w:spacing w:line="360" w:lineRule="auto"/>
        <w:jc w:val="center"/>
        <w:rPr>
          <w:b/>
          <w:lang w:val="en-US"/>
        </w:rPr>
      </w:pPr>
      <w:r w:rsidRPr="00AB33F4">
        <w:rPr>
          <w:b/>
          <w:lang w:val="en-US"/>
        </w:rPr>
        <w:t>Method</w:t>
      </w:r>
    </w:p>
    <w:p w14:paraId="6A5FAD01" w14:textId="77777777" w:rsidR="00850F3E" w:rsidRPr="00AB33F4" w:rsidRDefault="00850F3E" w:rsidP="00AD612A">
      <w:pPr>
        <w:spacing w:line="360" w:lineRule="auto"/>
        <w:rPr>
          <w:i/>
          <w:lang w:val="en-US"/>
        </w:rPr>
      </w:pPr>
      <w:r w:rsidRPr="00AB33F4">
        <w:rPr>
          <w:i/>
          <w:lang w:val="en-US"/>
        </w:rPr>
        <w:t>Study type</w:t>
      </w:r>
    </w:p>
    <w:p w14:paraId="1CF23486" w14:textId="170EBFB5" w:rsidR="00850F3E" w:rsidRPr="00AB33F4" w:rsidRDefault="00850F3E" w:rsidP="00E648EF">
      <w:pPr>
        <w:spacing w:line="360" w:lineRule="auto"/>
        <w:ind w:firstLine="708"/>
        <w:rPr>
          <w:lang w:val="en-US"/>
        </w:rPr>
      </w:pPr>
      <w:r w:rsidRPr="00AB33F4">
        <w:rPr>
          <w:lang w:val="en-US"/>
        </w:rPr>
        <w:t xml:space="preserve">This is a qualitative, descriptive-exploratory, cross-sectional study. </w:t>
      </w:r>
    </w:p>
    <w:p w14:paraId="12D5B73F" w14:textId="77777777" w:rsidR="00850F3E" w:rsidRPr="00AB33F4" w:rsidRDefault="00850F3E" w:rsidP="00AD612A">
      <w:pPr>
        <w:spacing w:line="360" w:lineRule="auto"/>
        <w:rPr>
          <w:i/>
          <w:lang w:val="en-US"/>
        </w:rPr>
      </w:pPr>
      <w:r w:rsidRPr="00AB33F4">
        <w:rPr>
          <w:i/>
          <w:lang w:val="en-US"/>
        </w:rPr>
        <w:t>Participants</w:t>
      </w:r>
    </w:p>
    <w:p w14:paraId="2BE3B910" w14:textId="77777777" w:rsidR="00850F3E" w:rsidRPr="00AB33F4" w:rsidRDefault="00850F3E" w:rsidP="00AD612A">
      <w:pPr>
        <w:pStyle w:val="PargrafodaLista"/>
        <w:spacing w:line="360" w:lineRule="auto"/>
        <w:ind w:left="0" w:firstLine="644"/>
        <w:rPr>
          <w:rFonts w:ascii="Times New Roman" w:hAnsi="Times New Roman"/>
          <w:sz w:val="24"/>
          <w:szCs w:val="24"/>
          <w:lang w:val="en-US"/>
        </w:rPr>
      </w:pPr>
      <w:r w:rsidRPr="00AB33F4">
        <w:rPr>
          <w:rFonts w:ascii="Times New Roman" w:hAnsi="Times New Roman"/>
          <w:sz w:val="24"/>
          <w:szCs w:val="24"/>
          <w:lang w:val="en-US"/>
        </w:rPr>
        <w:t>In this study, 20 older gay men aged between 60 and 75 years old, average of 63.25 (SD=3.58), participated. The synthesis of the sociodemographic data of the participants can be seen in Table 1.</w:t>
      </w:r>
    </w:p>
    <w:p w14:paraId="6B725913" w14:textId="77777777" w:rsidR="00AD612A" w:rsidRPr="00AB33F4" w:rsidRDefault="00AD612A" w:rsidP="00AD612A">
      <w:pPr>
        <w:spacing w:line="360" w:lineRule="auto"/>
        <w:rPr>
          <w:i/>
          <w:iCs/>
          <w:lang w:val="en-US"/>
        </w:rPr>
      </w:pPr>
      <w:r w:rsidRPr="00AB33F4">
        <w:rPr>
          <w:i/>
          <w:iCs/>
          <w:lang w:val="en-US"/>
        </w:rPr>
        <w:t>Table 1.</w:t>
      </w:r>
    </w:p>
    <w:p w14:paraId="1C10EF44" w14:textId="1CD02F9B" w:rsidR="00AD612A" w:rsidRPr="00AB33F4" w:rsidRDefault="00AD612A" w:rsidP="00AD612A">
      <w:pPr>
        <w:spacing w:line="360" w:lineRule="auto"/>
        <w:rPr>
          <w:lang w:val="en-US"/>
        </w:rPr>
      </w:pPr>
      <w:r w:rsidRPr="00AB33F4">
        <w:rPr>
          <w:lang w:val="en-US"/>
        </w:rPr>
        <w:t>Sociodemographic data of the old gay 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51"/>
        <w:gridCol w:w="2289"/>
        <w:gridCol w:w="2252"/>
      </w:tblGrid>
      <w:tr w:rsidR="00AB33F4" w:rsidRPr="00AB33F4" w14:paraId="37761DC8" w14:textId="77777777" w:rsidTr="00FC78C9">
        <w:trPr>
          <w:jc w:val="center"/>
        </w:trPr>
        <w:tc>
          <w:tcPr>
            <w:tcW w:w="9210" w:type="dxa"/>
            <w:gridSpan w:val="4"/>
            <w:tcBorders>
              <w:left w:val="nil"/>
              <w:bottom w:val="single" w:sz="4" w:space="0" w:color="auto"/>
              <w:right w:val="nil"/>
            </w:tcBorders>
            <w:shd w:val="clear" w:color="auto" w:fill="auto"/>
            <w:vAlign w:val="center"/>
          </w:tcPr>
          <w:p w14:paraId="50B7D513" w14:textId="77777777" w:rsidR="00AD612A" w:rsidRPr="00AB33F4" w:rsidRDefault="00AD612A" w:rsidP="00AD612A">
            <w:pPr>
              <w:pStyle w:val="PargrafodaLista"/>
              <w:spacing w:line="240" w:lineRule="auto"/>
              <w:ind w:left="0"/>
              <w:jc w:val="center"/>
              <w:rPr>
                <w:rFonts w:ascii="Times New Roman" w:hAnsi="Times New Roman"/>
                <w:b/>
                <w:sz w:val="24"/>
                <w:szCs w:val="24"/>
              </w:rPr>
            </w:pPr>
            <w:r w:rsidRPr="00AB33F4">
              <w:rPr>
                <w:rFonts w:ascii="Times New Roman" w:hAnsi="Times New Roman"/>
                <w:b/>
                <w:sz w:val="24"/>
                <w:szCs w:val="24"/>
                <w:lang w:val="en-US"/>
              </w:rPr>
              <w:t>Sociodemographic data</w:t>
            </w:r>
            <w:r w:rsidRPr="00AB33F4">
              <w:rPr>
                <w:rFonts w:ascii="Times New Roman" w:hAnsi="Times New Roman"/>
                <w:b/>
                <w:sz w:val="24"/>
                <w:szCs w:val="24"/>
              </w:rPr>
              <w:t xml:space="preserve"> (N= 20)</w:t>
            </w:r>
          </w:p>
        </w:tc>
      </w:tr>
      <w:tr w:rsidR="00AB33F4" w:rsidRPr="00AB33F4" w14:paraId="7AD6C95D" w14:textId="77777777" w:rsidTr="00FC78C9">
        <w:trPr>
          <w:jc w:val="center"/>
        </w:trPr>
        <w:tc>
          <w:tcPr>
            <w:tcW w:w="2302" w:type="dxa"/>
            <w:tcBorders>
              <w:left w:val="nil"/>
              <w:bottom w:val="nil"/>
              <w:right w:val="nil"/>
            </w:tcBorders>
            <w:shd w:val="clear" w:color="auto" w:fill="auto"/>
          </w:tcPr>
          <w:p w14:paraId="4961605E" w14:textId="77777777" w:rsidR="00AD612A" w:rsidRPr="00AB33F4" w:rsidRDefault="00AD612A" w:rsidP="00AD612A">
            <w:pPr>
              <w:pStyle w:val="PargrafodaLista"/>
              <w:spacing w:line="240" w:lineRule="auto"/>
              <w:ind w:left="0"/>
              <w:rPr>
                <w:rFonts w:ascii="Times New Roman" w:hAnsi="Times New Roman"/>
                <w:b/>
                <w:sz w:val="24"/>
                <w:szCs w:val="24"/>
              </w:rPr>
            </w:pPr>
            <w:r w:rsidRPr="00AB33F4">
              <w:rPr>
                <w:rFonts w:ascii="Times New Roman" w:hAnsi="Times New Roman"/>
                <w:b/>
                <w:sz w:val="24"/>
                <w:szCs w:val="24"/>
              </w:rPr>
              <w:lastRenderedPageBreak/>
              <w:t>Marital status</w:t>
            </w:r>
          </w:p>
        </w:tc>
        <w:tc>
          <w:tcPr>
            <w:tcW w:w="2302" w:type="dxa"/>
            <w:tcBorders>
              <w:left w:val="nil"/>
              <w:bottom w:val="nil"/>
              <w:right w:val="single" w:sz="4" w:space="0" w:color="auto"/>
            </w:tcBorders>
            <w:shd w:val="clear" w:color="auto" w:fill="auto"/>
          </w:tcPr>
          <w:p w14:paraId="37BAC067" w14:textId="77777777" w:rsidR="00AD612A" w:rsidRPr="00AB33F4" w:rsidRDefault="00AD612A" w:rsidP="00AD612A">
            <w:pPr>
              <w:pStyle w:val="PargrafodaLista"/>
              <w:spacing w:line="240" w:lineRule="auto"/>
              <w:ind w:left="0"/>
              <w:jc w:val="center"/>
              <w:rPr>
                <w:rFonts w:ascii="Times New Roman" w:hAnsi="Times New Roman"/>
                <w:i/>
                <w:sz w:val="24"/>
                <w:szCs w:val="24"/>
              </w:rPr>
            </w:pPr>
          </w:p>
        </w:tc>
        <w:tc>
          <w:tcPr>
            <w:tcW w:w="2303" w:type="dxa"/>
            <w:tcBorders>
              <w:left w:val="single" w:sz="4" w:space="0" w:color="auto"/>
              <w:bottom w:val="nil"/>
              <w:right w:val="nil"/>
            </w:tcBorders>
            <w:shd w:val="clear" w:color="auto" w:fill="auto"/>
          </w:tcPr>
          <w:p w14:paraId="1274097C" w14:textId="77777777" w:rsidR="00AD612A" w:rsidRPr="00AB33F4" w:rsidRDefault="00AD612A" w:rsidP="00AD612A">
            <w:pPr>
              <w:pStyle w:val="PargrafodaLista"/>
              <w:spacing w:line="240" w:lineRule="auto"/>
              <w:ind w:left="0"/>
              <w:rPr>
                <w:rFonts w:ascii="Times New Roman" w:hAnsi="Times New Roman"/>
                <w:b/>
                <w:sz w:val="24"/>
                <w:szCs w:val="24"/>
              </w:rPr>
            </w:pPr>
            <w:proofErr w:type="spellStart"/>
            <w:r w:rsidRPr="00AB33F4">
              <w:rPr>
                <w:rFonts w:ascii="Times New Roman" w:hAnsi="Times New Roman"/>
                <w:b/>
                <w:sz w:val="24"/>
                <w:szCs w:val="24"/>
              </w:rPr>
              <w:t>Education</w:t>
            </w:r>
            <w:proofErr w:type="spellEnd"/>
          </w:p>
        </w:tc>
        <w:tc>
          <w:tcPr>
            <w:tcW w:w="2303" w:type="dxa"/>
            <w:tcBorders>
              <w:left w:val="nil"/>
              <w:bottom w:val="nil"/>
              <w:right w:val="nil"/>
            </w:tcBorders>
            <w:shd w:val="clear" w:color="auto" w:fill="auto"/>
          </w:tcPr>
          <w:p w14:paraId="089C9A44" w14:textId="77777777" w:rsidR="00AD612A" w:rsidRPr="00AB33F4" w:rsidRDefault="00AD612A" w:rsidP="00AD612A">
            <w:pPr>
              <w:pStyle w:val="PargrafodaLista"/>
              <w:spacing w:line="240" w:lineRule="auto"/>
              <w:ind w:left="0"/>
              <w:rPr>
                <w:rFonts w:ascii="Times New Roman" w:hAnsi="Times New Roman"/>
                <w:sz w:val="24"/>
                <w:szCs w:val="24"/>
              </w:rPr>
            </w:pPr>
          </w:p>
        </w:tc>
      </w:tr>
      <w:tr w:rsidR="00AB33F4" w:rsidRPr="00AB33F4" w14:paraId="43D16489" w14:textId="77777777" w:rsidTr="00AD612A">
        <w:trPr>
          <w:trHeight w:val="68"/>
          <w:jc w:val="center"/>
        </w:trPr>
        <w:tc>
          <w:tcPr>
            <w:tcW w:w="2302" w:type="dxa"/>
            <w:tcBorders>
              <w:top w:val="nil"/>
              <w:left w:val="nil"/>
              <w:bottom w:val="nil"/>
              <w:right w:val="nil"/>
            </w:tcBorders>
            <w:shd w:val="clear" w:color="auto" w:fill="auto"/>
            <w:vAlign w:val="center"/>
          </w:tcPr>
          <w:p w14:paraId="1CF7EA80" w14:textId="77777777" w:rsidR="00AD612A" w:rsidRPr="00AB33F4" w:rsidRDefault="00AD612A" w:rsidP="00AD612A">
            <w:pPr>
              <w:pStyle w:val="PargrafodaLista"/>
              <w:spacing w:line="240" w:lineRule="auto"/>
              <w:ind w:left="0"/>
              <w:jc w:val="right"/>
              <w:rPr>
                <w:rFonts w:ascii="Times New Roman" w:hAnsi="Times New Roman"/>
                <w:sz w:val="24"/>
                <w:szCs w:val="24"/>
              </w:rPr>
            </w:pPr>
            <w:r w:rsidRPr="00AB33F4">
              <w:rPr>
                <w:rFonts w:ascii="Times New Roman" w:hAnsi="Times New Roman"/>
                <w:sz w:val="24"/>
                <w:szCs w:val="24"/>
              </w:rPr>
              <w:t>Single</w:t>
            </w:r>
          </w:p>
        </w:tc>
        <w:tc>
          <w:tcPr>
            <w:tcW w:w="2302" w:type="dxa"/>
            <w:tcBorders>
              <w:top w:val="nil"/>
              <w:left w:val="nil"/>
              <w:bottom w:val="nil"/>
              <w:right w:val="single" w:sz="4" w:space="0" w:color="auto"/>
            </w:tcBorders>
            <w:shd w:val="clear" w:color="auto" w:fill="auto"/>
          </w:tcPr>
          <w:p w14:paraId="6DEBF1C3"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90%</w:t>
            </w:r>
          </w:p>
        </w:tc>
        <w:tc>
          <w:tcPr>
            <w:tcW w:w="2303" w:type="dxa"/>
            <w:tcBorders>
              <w:top w:val="nil"/>
              <w:left w:val="single" w:sz="4" w:space="0" w:color="auto"/>
              <w:bottom w:val="nil"/>
              <w:right w:val="nil"/>
            </w:tcBorders>
            <w:shd w:val="clear" w:color="auto" w:fill="auto"/>
            <w:vAlign w:val="center"/>
          </w:tcPr>
          <w:p w14:paraId="0FA6A7B3" w14:textId="77777777" w:rsidR="00AD612A" w:rsidRPr="00AB33F4" w:rsidRDefault="00AD612A" w:rsidP="00AD612A">
            <w:pPr>
              <w:pStyle w:val="PargrafodaLista"/>
              <w:spacing w:line="240" w:lineRule="auto"/>
              <w:ind w:left="0"/>
              <w:jc w:val="right"/>
              <w:rPr>
                <w:rFonts w:ascii="Times New Roman" w:hAnsi="Times New Roman"/>
                <w:sz w:val="24"/>
                <w:szCs w:val="24"/>
              </w:rPr>
            </w:pPr>
            <w:r w:rsidRPr="00AB33F4">
              <w:rPr>
                <w:rFonts w:ascii="Times New Roman" w:hAnsi="Times New Roman"/>
                <w:sz w:val="24"/>
                <w:szCs w:val="24"/>
              </w:rPr>
              <w:t xml:space="preserve">Primary </w:t>
            </w:r>
            <w:proofErr w:type="spellStart"/>
            <w:r w:rsidRPr="00AB33F4">
              <w:rPr>
                <w:rFonts w:ascii="Times New Roman" w:hAnsi="Times New Roman"/>
                <w:sz w:val="24"/>
                <w:szCs w:val="24"/>
              </w:rPr>
              <w:t>Education</w:t>
            </w:r>
            <w:proofErr w:type="spellEnd"/>
          </w:p>
        </w:tc>
        <w:tc>
          <w:tcPr>
            <w:tcW w:w="2303" w:type="dxa"/>
            <w:tcBorders>
              <w:top w:val="nil"/>
              <w:left w:val="nil"/>
              <w:bottom w:val="nil"/>
              <w:right w:val="nil"/>
            </w:tcBorders>
            <w:shd w:val="clear" w:color="auto" w:fill="auto"/>
            <w:vAlign w:val="center"/>
          </w:tcPr>
          <w:p w14:paraId="077C3A33"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5%</w:t>
            </w:r>
          </w:p>
        </w:tc>
      </w:tr>
      <w:tr w:rsidR="00AB33F4" w:rsidRPr="00AB33F4" w14:paraId="1898BFC3" w14:textId="77777777" w:rsidTr="00FC78C9">
        <w:trPr>
          <w:jc w:val="center"/>
        </w:trPr>
        <w:tc>
          <w:tcPr>
            <w:tcW w:w="2302" w:type="dxa"/>
            <w:tcBorders>
              <w:top w:val="nil"/>
              <w:left w:val="nil"/>
              <w:bottom w:val="nil"/>
              <w:right w:val="nil"/>
            </w:tcBorders>
            <w:shd w:val="clear" w:color="auto" w:fill="auto"/>
            <w:vAlign w:val="center"/>
          </w:tcPr>
          <w:p w14:paraId="530AA37A"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Married</w:t>
            </w:r>
            <w:proofErr w:type="spellEnd"/>
          </w:p>
        </w:tc>
        <w:tc>
          <w:tcPr>
            <w:tcW w:w="2302" w:type="dxa"/>
            <w:tcBorders>
              <w:top w:val="nil"/>
              <w:left w:val="nil"/>
              <w:bottom w:val="nil"/>
              <w:right w:val="single" w:sz="4" w:space="0" w:color="auto"/>
            </w:tcBorders>
            <w:shd w:val="clear" w:color="auto" w:fill="auto"/>
          </w:tcPr>
          <w:p w14:paraId="5A2E52A4"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10%</w:t>
            </w:r>
          </w:p>
        </w:tc>
        <w:tc>
          <w:tcPr>
            <w:tcW w:w="2303" w:type="dxa"/>
            <w:tcBorders>
              <w:top w:val="nil"/>
              <w:left w:val="single" w:sz="4" w:space="0" w:color="auto"/>
              <w:bottom w:val="nil"/>
              <w:right w:val="nil"/>
            </w:tcBorders>
            <w:shd w:val="clear" w:color="auto" w:fill="auto"/>
            <w:vAlign w:val="center"/>
          </w:tcPr>
          <w:p w14:paraId="3E2536D1" w14:textId="77777777" w:rsidR="00AD612A" w:rsidRPr="00AB33F4" w:rsidRDefault="00AD612A" w:rsidP="00AD612A">
            <w:pPr>
              <w:pStyle w:val="PargrafodaLista"/>
              <w:spacing w:line="240" w:lineRule="auto"/>
              <w:ind w:left="0"/>
              <w:jc w:val="right"/>
              <w:rPr>
                <w:rFonts w:ascii="Times New Roman" w:hAnsi="Times New Roman"/>
                <w:sz w:val="24"/>
                <w:szCs w:val="24"/>
              </w:rPr>
            </w:pPr>
            <w:r w:rsidRPr="00AB33F4">
              <w:rPr>
                <w:rFonts w:ascii="Times New Roman" w:hAnsi="Times New Roman"/>
                <w:sz w:val="24"/>
                <w:szCs w:val="24"/>
              </w:rPr>
              <w:t xml:space="preserve">High </w:t>
            </w:r>
            <w:proofErr w:type="spellStart"/>
            <w:r w:rsidRPr="00AB33F4">
              <w:rPr>
                <w:rFonts w:ascii="Times New Roman" w:hAnsi="Times New Roman"/>
                <w:sz w:val="24"/>
                <w:szCs w:val="24"/>
              </w:rPr>
              <w:t>School</w:t>
            </w:r>
            <w:proofErr w:type="spellEnd"/>
          </w:p>
        </w:tc>
        <w:tc>
          <w:tcPr>
            <w:tcW w:w="2303" w:type="dxa"/>
            <w:tcBorders>
              <w:top w:val="nil"/>
              <w:left w:val="nil"/>
              <w:bottom w:val="nil"/>
              <w:right w:val="nil"/>
            </w:tcBorders>
            <w:shd w:val="clear" w:color="auto" w:fill="auto"/>
            <w:vAlign w:val="center"/>
          </w:tcPr>
          <w:p w14:paraId="34B4D694"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35%</w:t>
            </w:r>
          </w:p>
        </w:tc>
      </w:tr>
      <w:tr w:rsidR="00AB33F4" w:rsidRPr="00AB33F4" w14:paraId="6F1A56CC" w14:textId="77777777" w:rsidTr="00FC78C9">
        <w:trPr>
          <w:jc w:val="center"/>
        </w:trPr>
        <w:tc>
          <w:tcPr>
            <w:tcW w:w="2302" w:type="dxa"/>
            <w:tcBorders>
              <w:top w:val="nil"/>
              <w:left w:val="nil"/>
              <w:bottom w:val="nil"/>
              <w:right w:val="nil"/>
            </w:tcBorders>
            <w:shd w:val="clear" w:color="auto" w:fill="auto"/>
          </w:tcPr>
          <w:p w14:paraId="37016712" w14:textId="77777777" w:rsidR="00AD612A" w:rsidRPr="00AB33F4" w:rsidRDefault="00AD612A" w:rsidP="00AD612A">
            <w:pPr>
              <w:pStyle w:val="PargrafodaLista"/>
              <w:spacing w:line="240" w:lineRule="auto"/>
              <w:ind w:left="0"/>
              <w:rPr>
                <w:rFonts w:ascii="Times New Roman" w:hAnsi="Times New Roman"/>
                <w:b/>
                <w:sz w:val="24"/>
                <w:szCs w:val="24"/>
              </w:rPr>
            </w:pPr>
            <w:proofErr w:type="spellStart"/>
            <w:r w:rsidRPr="00AB33F4">
              <w:rPr>
                <w:rFonts w:ascii="Times New Roman" w:hAnsi="Times New Roman"/>
                <w:b/>
                <w:sz w:val="24"/>
                <w:szCs w:val="24"/>
              </w:rPr>
              <w:t>Religion</w:t>
            </w:r>
            <w:proofErr w:type="spellEnd"/>
          </w:p>
        </w:tc>
        <w:tc>
          <w:tcPr>
            <w:tcW w:w="2302" w:type="dxa"/>
            <w:tcBorders>
              <w:top w:val="nil"/>
              <w:left w:val="nil"/>
              <w:bottom w:val="nil"/>
              <w:right w:val="single" w:sz="4" w:space="0" w:color="auto"/>
            </w:tcBorders>
            <w:shd w:val="clear" w:color="auto" w:fill="auto"/>
          </w:tcPr>
          <w:p w14:paraId="4BDBDF1A" w14:textId="77777777" w:rsidR="00AD612A" w:rsidRPr="00AB33F4" w:rsidRDefault="00AD612A" w:rsidP="00AD612A">
            <w:pPr>
              <w:pStyle w:val="PargrafodaLista"/>
              <w:spacing w:line="240" w:lineRule="auto"/>
              <w:ind w:left="0"/>
              <w:jc w:val="center"/>
              <w:rPr>
                <w:rFonts w:ascii="Times New Roman" w:hAnsi="Times New Roman"/>
                <w:sz w:val="24"/>
                <w:szCs w:val="24"/>
              </w:rPr>
            </w:pPr>
          </w:p>
        </w:tc>
        <w:tc>
          <w:tcPr>
            <w:tcW w:w="2303" w:type="dxa"/>
            <w:tcBorders>
              <w:top w:val="nil"/>
              <w:left w:val="single" w:sz="4" w:space="0" w:color="auto"/>
              <w:bottom w:val="nil"/>
              <w:right w:val="nil"/>
            </w:tcBorders>
            <w:shd w:val="clear" w:color="auto" w:fill="auto"/>
            <w:vAlign w:val="center"/>
          </w:tcPr>
          <w:p w14:paraId="4D0ABFD0"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Undergraduation</w:t>
            </w:r>
            <w:proofErr w:type="spellEnd"/>
          </w:p>
        </w:tc>
        <w:tc>
          <w:tcPr>
            <w:tcW w:w="2303" w:type="dxa"/>
            <w:tcBorders>
              <w:top w:val="nil"/>
              <w:left w:val="nil"/>
              <w:bottom w:val="nil"/>
              <w:right w:val="nil"/>
            </w:tcBorders>
            <w:shd w:val="clear" w:color="auto" w:fill="auto"/>
            <w:vAlign w:val="center"/>
          </w:tcPr>
          <w:p w14:paraId="306D6076"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30%</w:t>
            </w:r>
          </w:p>
        </w:tc>
      </w:tr>
      <w:tr w:rsidR="00AB33F4" w:rsidRPr="00AB33F4" w14:paraId="298DAA23" w14:textId="77777777" w:rsidTr="00FC78C9">
        <w:trPr>
          <w:jc w:val="center"/>
        </w:trPr>
        <w:tc>
          <w:tcPr>
            <w:tcW w:w="2302" w:type="dxa"/>
            <w:tcBorders>
              <w:top w:val="nil"/>
              <w:left w:val="nil"/>
              <w:bottom w:val="nil"/>
              <w:right w:val="nil"/>
            </w:tcBorders>
            <w:shd w:val="clear" w:color="auto" w:fill="auto"/>
            <w:vAlign w:val="center"/>
          </w:tcPr>
          <w:p w14:paraId="6080B855"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Catholic</w:t>
            </w:r>
            <w:proofErr w:type="spellEnd"/>
          </w:p>
        </w:tc>
        <w:tc>
          <w:tcPr>
            <w:tcW w:w="2302" w:type="dxa"/>
            <w:tcBorders>
              <w:top w:val="nil"/>
              <w:left w:val="nil"/>
              <w:bottom w:val="nil"/>
              <w:right w:val="single" w:sz="4" w:space="0" w:color="auto"/>
            </w:tcBorders>
            <w:shd w:val="clear" w:color="auto" w:fill="auto"/>
          </w:tcPr>
          <w:p w14:paraId="452C8832"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55%</w:t>
            </w:r>
          </w:p>
        </w:tc>
        <w:tc>
          <w:tcPr>
            <w:tcW w:w="2303" w:type="dxa"/>
            <w:tcBorders>
              <w:top w:val="nil"/>
              <w:left w:val="single" w:sz="4" w:space="0" w:color="auto"/>
              <w:bottom w:val="nil"/>
              <w:right w:val="nil"/>
            </w:tcBorders>
            <w:shd w:val="clear" w:color="auto" w:fill="auto"/>
            <w:vAlign w:val="center"/>
          </w:tcPr>
          <w:p w14:paraId="5871AE8B"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Graduation</w:t>
            </w:r>
            <w:proofErr w:type="spellEnd"/>
          </w:p>
        </w:tc>
        <w:tc>
          <w:tcPr>
            <w:tcW w:w="2303" w:type="dxa"/>
            <w:tcBorders>
              <w:top w:val="nil"/>
              <w:left w:val="nil"/>
              <w:bottom w:val="nil"/>
              <w:right w:val="nil"/>
            </w:tcBorders>
            <w:shd w:val="clear" w:color="auto" w:fill="auto"/>
            <w:vAlign w:val="center"/>
          </w:tcPr>
          <w:p w14:paraId="1C41F62C"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30%</w:t>
            </w:r>
          </w:p>
        </w:tc>
      </w:tr>
      <w:tr w:rsidR="00AB33F4" w:rsidRPr="00AB33F4" w14:paraId="0DC0D968" w14:textId="77777777" w:rsidTr="00FC78C9">
        <w:trPr>
          <w:jc w:val="center"/>
        </w:trPr>
        <w:tc>
          <w:tcPr>
            <w:tcW w:w="2302" w:type="dxa"/>
            <w:tcBorders>
              <w:top w:val="nil"/>
              <w:left w:val="nil"/>
              <w:bottom w:val="nil"/>
              <w:right w:val="nil"/>
            </w:tcBorders>
            <w:shd w:val="clear" w:color="auto" w:fill="auto"/>
            <w:vAlign w:val="center"/>
          </w:tcPr>
          <w:p w14:paraId="3AC4C460"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Spiritualism</w:t>
            </w:r>
            <w:proofErr w:type="spellEnd"/>
          </w:p>
        </w:tc>
        <w:tc>
          <w:tcPr>
            <w:tcW w:w="2302" w:type="dxa"/>
            <w:tcBorders>
              <w:top w:val="nil"/>
              <w:left w:val="nil"/>
              <w:bottom w:val="nil"/>
              <w:right w:val="single" w:sz="4" w:space="0" w:color="auto"/>
            </w:tcBorders>
            <w:shd w:val="clear" w:color="auto" w:fill="auto"/>
          </w:tcPr>
          <w:p w14:paraId="29AE718A"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15%</w:t>
            </w:r>
          </w:p>
        </w:tc>
        <w:tc>
          <w:tcPr>
            <w:tcW w:w="2303" w:type="dxa"/>
            <w:tcBorders>
              <w:top w:val="nil"/>
              <w:left w:val="single" w:sz="4" w:space="0" w:color="auto"/>
              <w:bottom w:val="nil"/>
              <w:right w:val="nil"/>
            </w:tcBorders>
            <w:shd w:val="clear" w:color="auto" w:fill="auto"/>
          </w:tcPr>
          <w:p w14:paraId="24468CBB" w14:textId="77777777" w:rsidR="00AD612A" w:rsidRPr="00AB33F4" w:rsidRDefault="00AD612A" w:rsidP="00AD612A">
            <w:pPr>
              <w:pStyle w:val="PargrafodaLista"/>
              <w:spacing w:line="240" w:lineRule="auto"/>
              <w:ind w:left="0"/>
              <w:rPr>
                <w:rFonts w:ascii="Times New Roman" w:hAnsi="Times New Roman"/>
                <w:b/>
                <w:sz w:val="24"/>
                <w:szCs w:val="24"/>
              </w:rPr>
            </w:pPr>
            <w:r w:rsidRPr="00AB33F4">
              <w:rPr>
                <w:rFonts w:ascii="Times New Roman" w:hAnsi="Times New Roman"/>
                <w:b/>
                <w:sz w:val="24"/>
                <w:szCs w:val="24"/>
              </w:rPr>
              <w:t xml:space="preserve">Lives </w:t>
            </w:r>
            <w:proofErr w:type="spellStart"/>
            <w:r w:rsidRPr="00AB33F4">
              <w:rPr>
                <w:rFonts w:ascii="Times New Roman" w:hAnsi="Times New Roman"/>
                <w:b/>
                <w:sz w:val="24"/>
                <w:szCs w:val="24"/>
              </w:rPr>
              <w:t>with</w:t>
            </w:r>
            <w:proofErr w:type="spellEnd"/>
          </w:p>
        </w:tc>
        <w:tc>
          <w:tcPr>
            <w:tcW w:w="2303" w:type="dxa"/>
            <w:tcBorders>
              <w:top w:val="nil"/>
              <w:left w:val="nil"/>
              <w:bottom w:val="nil"/>
              <w:right w:val="nil"/>
            </w:tcBorders>
            <w:shd w:val="clear" w:color="auto" w:fill="auto"/>
          </w:tcPr>
          <w:p w14:paraId="4191B45B" w14:textId="77777777" w:rsidR="00AD612A" w:rsidRPr="00AB33F4" w:rsidRDefault="00AD612A" w:rsidP="00AD612A">
            <w:pPr>
              <w:pStyle w:val="PargrafodaLista"/>
              <w:spacing w:line="240" w:lineRule="auto"/>
              <w:ind w:left="0"/>
              <w:jc w:val="center"/>
              <w:rPr>
                <w:rFonts w:ascii="Times New Roman" w:hAnsi="Times New Roman"/>
                <w:sz w:val="24"/>
                <w:szCs w:val="24"/>
              </w:rPr>
            </w:pPr>
          </w:p>
        </w:tc>
      </w:tr>
      <w:tr w:rsidR="00AB33F4" w:rsidRPr="00AB33F4" w14:paraId="3876EF4B" w14:textId="77777777" w:rsidTr="00FC78C9">
        <w:trPr>
          <w:jc w:val="center"/>
        </w:trPr>
        <w:tc>
          <w:tcPr>
            <w:tcW w:w="2302" w:type="dxa"/>
            <w:tcBorders>
              <w:top w:val="nil"/>
              <w:left w:val="nil"/>
              <w:bottom w:val="nil"/>
              <w:right w:val="nil"/>
            </w:tcBorders>
            <w:shd w:val="clear" w:color="auto" w:fill="auto"/>
            <w:vAlign w:val="center"/>
          </w:tcPr>
          <w:p w14:paraId="3A613629" w14:textId="77777777" w:rsidR="00AD612A" w:rsidRPr="00AB33F4" w:rsidRDefault="00AD612A" w:rsidP="00AD612A">
            <w:pPr>
              <w:pStyle w:val="PargrafodaLista"/>
              <w:spacing w:line="240" w:lineRule="auto"/>
              <w:ind w:left="0"/>
              <w:jc w:val="right"/>
              <w:rPr>
                <w:rFonts w:ascii="Times New Roman" w:hAnsi="Times New Roman"/>
                <w:sz w:val="24"/>
                <w:szCs w:val="24"/>
              </w:rPr>
            </w:pPr>
            <w:r w:rsidRPr="00AB33F4">
              <w:rPr>
                <w:rFonts w:ascii="Times New Roman" w:hAnsi="Times New Roman"/>
                <w:sz w:val="24"/>
                <w:szCs w:val="24"/>
              </w:rPr>
              <w:t>Umbanda</w:t>
            </w:r>
          </w:p>
        </w:tc>
        <w:tc>
          <w:tcPr>
            <w:tcW w:w="2302" w:type="dxa"/>
            <w:tcBorders>
              <w:top w:val="nil"/>
              <w:left w:val="nil"/>
              <w:bottom w:val="nil"/>
              <w:right w:val="single" w:sz="4" w:space="0" w:color="auto"/>
            </w:tcBorders>
            <w:shd w:val="clear" w:color="auto" w:fill="auto"/>
          </w:tcPr>
          <w:p w14:paraId="3E679265"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5%</w:t>
            </w:r>
          </w:p>
        </w:tc>
        <w:tc>
          <w:tcPr>
            <w:tcW w:w="2303" w:type="dxa"/>
            <w:tcBorders>
              <w:top w:val="nil"/>
              <w:left w:val="single" w:sz="4" w:space="0" w:color="auto"/>
              <w:bottom w:val="nil"/>
              <w:right w:val="nil"/>
            </w:tcBorders>
            <w:shd w:val="clear" w:color="auto" w:fill="auto"/>
          </w:tcPr>
          <w:p w14:paraId="2667FBD1"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Alone</w:t>
            </w:r>
            <w:proofErr w:type="spellEnd"/>
          </w:p>
        </w:tc>
        <w:tc>
          <w:tcPr>
            <w:tcW w:w="2303" w:type="dxa"/>
            <w:tcBorders>
              <w:top w:val="nil"/>
              <w:left w:val="nil"/>
              <w:bottom w:val="nil"/>
              <w:right w:val="nil"/>
            </w:tcBorders>
            <w:shd w:val="clear" w:color="auto" w:fill="auto"/>
          </w:tcPr>
          <w:p w14:paraId="7E345391"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65%</w:t>
            </w:r>
          </w:p>
        </w:tc>
      </w:tr>
      <w:tr w:rsidR="00AB33F4" w:rsidRPr="00AB33F4" w14:paraId="45FFA52B" w14:textId="77777777" w:rsidTr="00FC78C9">
        <w:trPr>
          <w:jc w:val="center"/>
        </w:trPr>
        <w:tc>
          <w:tcPr>
            <w:tcW w:w="2302" w:type="dxa"/>
            <w:tcBorders>
              <w:top w:val="nil"/>
              <w:left w:val="nil"/>
              <w:bottom w:val="nil"/>
              <w:right w:val="nil"/>
            </w:tcBorders>
            <w:shd w:val="clear" w:color="auto" w:fill="auto"/>
            <w:vAlign w:val="center"/>
          </w:tcPr>
          <w:p w14:paraId="45C6CF69"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Agnostic</w:t>
            </w:r>
            <w:proofErr w:type="spellEnd"/>
          </w:p>
        </w:tc>
        <w:tc>
          <w:tcPr>
            <w:tcW w:w="2302" w:type="dxa"/>
            <w:tcBorders>
              <w:top w:val="nil"/>
              <w:left w:val="nil"/>
              <w:bottom w:val="nil"/>
              <w:right w:val="single" w:sz="4" w:space="0" w:color="auto"/>
            </w:tcBorders>
            <w:shd w:val="clear" w:color="auto" w:fill="auto"/>
          </w:tcPr>
          <w:p w14:paraId="770FCDB3"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10%</w:t>
            </w:r>
          </w:p>
        </w:tc>
        <w:tc>
          <w:tcPr>
            <w:tcW w:w="2303" w:type="dxa"/>
            <w:tcBorders>
              <w:top w:val="nil"/>
              <w:left w:val="single" w:sz="4" w:space="0" w:color="auto"/>
              <w:bottom w:val="nil"/>
              <w:right w:val="nil"/>
            </w:tcBorders>
            <w:shd w:val="clear" w:color="auto" w:fill="auto"/>
          </w:tcPr>
          <w:p w14:paraId="34535512"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Spouse</w:t>
            </w:r>
            <w:proofErr w:type="spellEnd"/>
          </w:p>
        </w:tc>
        <w:tc>
          <w:tcPr>
            <w:tcW w:w="2303" w:type="dxa"/>
            <w:tcBorders>
              <w:top w:val="nil"/>
              <w:left w:val="nil"/>
              <w:bottom w:val="nil"/>
              <w:right w:val="nil"/>
            </w:tcBorders>
            <w:shd w:val="clear" w:color="auto" w:fill="auto"/>
          </w:tcPr>
          <w:p w14:paraId="7BF375EB"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10%</w:t>
            </w:r>
          </w:p>
        </w:tc>
      </w:tr>
      <w:tr w:rsidR="00AB33F4" w:rsidRPr="00AB33F4" w14:paraId="5AA6EC1B" w14:textId="77777777" w:rsidTr="00FC78C9">
        <w:trPr>
          <w:jc w:val="center"/>
        </w:trPr>
        <w:tc>
          <w:tcPr>
            <w:tcW w:w="2302" w:type="dxa"/>
            <w:tcBorders>
              <w:top w:val="nil"/>
              <w:left w:val="nil"/>
              <w:bottom w:val="nil"/>
              <w:right w:val="nil"/>
            </w:tcBorders>
            <w:shd w:val="clear" w:color="auto" w:fill="auto"/>
            <w:vAlign w:val="center"/>
          </w:tcPr>
          <w:p w14:paraId="7B703291"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Atheist</w:t>
            </w:r>
            <w:proofErr w:type="spellEnd"/>
          </w:p>
        </w:tc>
        <w:tc>
          <w:tcPr>
            <w:tcW w:w="2302" w:type="dxa"/>
            <w:tcBorders>
              <w:top w:val="nil"/>
              <w:left w:val="nil"/>
              <w:bottom w:val="nil"/>
              <w:right w:val="single" w:sz="4" w:space="0" w:color="auto"/>
            </w:tcBorders>
            <w:shd w:val="clear" w:color="auto" w:fill="auto"/>
          </w:tcPr>
          <w:p w14:paraId="1A50DD9D"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5%</w:t>
            </w:r>
          </w:p>
        </w:tc>
        <w:tc>
          <w:tcPr>
            <w:tcW w:w="2303" w:type="dxa"/>
            <w:tcBorders>
              <w:top w:val="nil"/>
              <w:left w:val="single" w:sz="4" w:space="0" w:color="auto"/>
              <w:bottom w:val="nil"/>
              <w:right w:val="nil"/>
            </w:tcBorders>
            <w:shd w:val="clear" w:color="auto" w:fill="auto"/>
          </w:tcPr>
          <w:p w14:paraId="2B528A1B"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Biological</w:t>
            </w:r>
            <w:proofErr w:type="spellEnd"/>
            <w:r w:rsidRPr="00AB33F4">
              <w:rPr>
                <w:rFonts w:ascii="Times New Roman" w:hAnsi="Times New Roman"/>
                <w:sz w:val="24"/>
                <w:szCs w:val="24"/>
              </w:rPr>
              <w:t xml:space="preserve"> </w:t>
            </w:r>
            <w:proofErr w:type="spellStart"/>
            <w:r w:rsidRPr="00AB33F4">
              <w:rPr>
                <w:rFonts w:ascii="Times New Roman" w:hAnsi="Times New Roman"/>
                <w:sz w:val="24"/>
                <w:szCs w:val="24"/>
              </w:rPr>
              <w:t>family</w:t>
            </w:r>
            <w:proofErr w:type="spellEnd"/>
          </w:p>
        </w:tc>
        <w:tc>
          <w:tcPr>
            <w:tcW w:w="2303" w:type="dxa"/>
            <w:tcBorders>
              <w:top w:val="nil"/>
              <w:left w:val="nil"/>
              <w:bottom w:val="nil"/>
              <w:right w:val="nil"/>
            </w:tcBorders>
            <w:shd w:val="clear" w:color="auto" w:fill="auto"/>
          </w:tcPr>
          <w:p w14:paraId="1888FEE2"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25%</w:t>
            </w:r>
          </w:p>
        </w:tc>
      </w:tr>
      <w:tr w:rsidR="00AB33F4" w:rsidRPr="00AB33F4" w14:paraId="68339520" w14:textId="77777777" w:rsidTr="00FC78C9">
        <w:trPr>
          <w:jc w:val="center"/>
        </w:trPr>
        <w:tc>
          <w:tcPr>
            <w:tcW w:w="2302" w:type="dxa"/>
            <w:tcBorders>
              <w:top w:val="nil"/>
              <w:left w:val="nil"/>
              <w:bottom w:val="nil"/>
              <w:right w:val="nil"/>
            </w:tcBorders>
            <w:shd w:val="clear" w:color="auto" w:fill="auto"/>
            <w:vAlign w:val="center"/>
          </w:tcPr>
          <w:p w14:paraId="50BCB700"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Others</w:t>
            </w:r>
            <w:proofErr w:type="spellEnd"/>
          </w:p>
        </w:tc>
        <w:tc>
          <w:tcPr>
            <w:tcW w:w="2302" w:type="dxa"/>
            <w:tcBorders>
              <w:top w:val="nil"/>
              <w:left w:val="nil"/>
              <w:bottom w:val="nil"/>
              <w:right w:val="single" w:sz="4" w:space="0" w:color="auto"/>
            </w:tcBorders>
            <w:shd w:val="clear" w:color="auto" w:fill="auto"/>
          </w:tcPr>
          <w:p w14:paraId="72C56A1E"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10%</w:t>
            </w:r>
          </w:p>
        </w:tc>
        <w:tc>
          <w:tcPr>
            <w:tcW w:w="2303" w:type="dxa"/>
            <w:tcBorders>
              <w:top w:val="nil"/>
              <w:left w:val="single" w:sz="4" w:space="0" w:color="auto"/>
              <w:bottom w:val="nil"/>
              <w:right w:val="nil"/>
            </w:tcBorders>
            <w:shd w:val="clear" w:color="auto" w:fill="auto"/>
          </w:tcPr>
          <w:p w14:paraId="1A84E90D" w14:textId="77777777" w:rsidR="00AD612A" w:rsidRPr="00AB33F4" w:rsidRDefault="00AD612A" w:rsidP="00AD612A">
            <w:pPr>
              <w:pStyle w:val="PargrafodaLista"/>
              <w:spacing w:line="240" w:lineRule="auto"/>
              <w:ind w:left="0"/>
              <w:rPr>
                <w:rFonts w:ascii="Times New Roman" w:hAnsi="Times New Roman"/>
                <w:b/>
                <w:sz w:val="24"/>
                <w:szCs w:val="24"/>
              </w:rPr>
            </w:pPr>
            <w:proofErr w:type="spellStart"/>
            <w:r w:rsidRPr="00AB33F4">
              <w:rPr>
                <w:rFonts w:ascii="Times New Roman" w:hAnsi="Times New Roman"/>
                <w:b/>
                <w:sz w:val="24"/>
                <w:szCs w:val="24"/>
              </w:rPr>
              <w:t>Work</w:t>
            </w:r>
            <w:proofErr w:type="spellEnd"/>
          </w:p>
        </w:tc>
        <w:tc>
          <w:tcPr>
            <w:tcW w:w="2303" w:type="dxa"/>
            <w:tcBorders>
              <w:top w:val="nil"/>
              <w:left w:val="nil"/>
              <w:bottom w:val="nil"/>
              <w:right w:val="nil"/>
            </w:tcBorders>
            <w:shd w:val="clear" w:color="auto" w:fill="auto"/>
          </w:tcPr>
          <w:p w14:paraId="77ED5DC7" w14:textId="77777777" w:rsidR="00AD612A" w:rsidRPr="00AB33F4" w:rsidRDefault="00AD612A" w:rsidP="00AD612A">
            <w:pPr>
              <w:pStyle w:val="PargrafodaLista"/>
              <w:spacing w:line="240" w:lineRule="auto"/>
              <w:ind w:left="0"/>
              <w:jc w:val="center"/>
              <w:rPr>
                <w:rFonts w:ascii="Times New Roman" w:hAnsi="Times New Roman"/>
                <w:sz w:val="24"/>
                <w:szCs w:val="24"/>
              </w:rPr>
            </w:pPr>
          </w:p>
        </w:tc>
      </w:tr>
      <w:tr w:rsidR="00AB33F4" w:rsidRPr="00AB33F4" w14:paraId="2DF3A545" w14:textId="77777777" w:rsidTr="00FC78C9">
        <w:trPr>
          <w:jc w:val="center"/>
        </w:trPr>
        <w:tc>
          <w:tcPr>
            <w:tcW w:w="2302" w:type="dxa"/>
            <w:tcBorders>
              <w:top w:val="nil"/>
              <w:left w:val="nil"/>
              <w:bottom w:val="nil"/>
              <w:right w:val="nil"/>
            </w:tcBorders>
            <w:shd w:val="clear" w:color="auto" w:fill="auto"/>
          </w:tcPr>
          <w:p w14:paraId="1DECD3F4" w14:textId="77777777" w:rsidR="00AD612A" w:rsidRPr="00AB33F4" w:rsidRDefault="00AD612A" w:rsidP="00AD612A">
            <w:pPr>
              <w:pStyle w:val="PargrafodaLista"/>
              <w:spacing w:line="240" w:lineRule="auto"/>
              <w:ind w:left="0"/>
              <w:rPr>
                <w:rFonts w:ascii="Times New Roman" w:hAnsi="Times New Roman"/>
                <w:b/>
                <w:sz w:val="24"/>
                <w:szCs w:val="24"/>
              </w:rPr>
            </w:pPr>
            <w:proofErr w:type="spellStart"/>
            <w:r w:rsidRPr="00AB33F4">
              <w:rPr>
                <w:rFonts w:ascii="Times New Roman" w:hAnsi="Times New Roman"/>
                <w:b/>
                <w:sz w:val="24"/>
                <w:szCs w:val="24"/>
              </w:rPr>
              <w:t>Children</w:t>
            </w:r>
            <w:proofErr w:type="spellEnd"/>
          </w:p>
        </w:tc>
        <w:tc>
          <w:tcPr>
            <w:tcW w:w="2302" w:type="dxa"/>
            <w:tcBorders>
              <w:top w:val="nil"/>
              <w:left w:val="nil"/>
              <w:bottom w:val="nil"/>
              <w:right w:val="single" w:sz="4" w:space="0" w:color="auto"/>
            </w:tcBorders>
            <w:shd w:val="clear" w:color="auto" w:fill="auto"/>
          </w:tcPr>
          <w:p w14:paraId="218BFDA0" w14:textId="77777777" w:rsidR="00AD612A" w:rsidRPr="00AB33F4" w:rsidRDefault="00AD612A" w:rsidP="00AD612A">
            <w:pPr>
              <w:pStyle w:val="PargrafodaLista"/>
              <w:spacing w:line="240" w:lineRule="auto"/>
              <w:ind w:left="0"/>
              <w:jc w:val="center"/>
              <w:rPr>
                <w:rFonts w:ascii="Times New Roman" w:hAnsi="Times New Roman"/>
                <w:sz w:val="24"/>
                <w:szCs w:val="24"/>
              </w:rPr>
            </w:pPr>
          </w:p>
        </w:tc>
        <w:tc>
          <w:tcPr>
            <w:tcW w:w="2303" w:type="dxa"/>
            <w:tcBorders>
              <w:top w:val="nil"/>
              <w:left w:val="single" w:sz="4" w:space="0" w:color="auto"/>
              <w:bottom w:val="nil"/>
              <w:right w:val="nil"/>
            </w:tcBorders>
            <w:shd w:val="clear" w:color="auto" w:fill="auto"/>
          </w:tcPr>
          <w:p w14:paraId="128DAFA1"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Retired</w:t>
            </w:r>
            <w:proofErr w:type="spellEnd"/>
          </w:p>
        </w:tc>
        <w:tc>
          <w:tcPr>
            <w:tcW w:w="2303" w:type="dxa"/>
            <w:tcBorders>
              <w:top w:val="nil"/>
              <w:left w:val="nil"/>
              <w:bottom w:val="nil"/>
              <w:right w:val="nil"/>
            </w:tcBorders>
            <w:shd w:val="clear" w:color="auto" w:fill="auto"/>
          </w:tcPr>
          <w:p w14:paraId="6097786C"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45%</w:t>
            </w:r>
          </w:p>
        </w:tc>
      </w:tr>
      <w:tr w:rsidR="00AB33F4" w:rsidRPr="00AB33F4" w14:paraId="64C3F431" w14:textId="77777777" w:rsidTr="00FC78C9">
        <w:trPr>
          <w:jc w:val="center"/>
        </w:trPr>
        <w:tc>
          <w:tcPr>
            <w:tcW w:w="2302" w:type="dxa"/>
            <w:tcBorders>
              <w:top w:val="nil"/>
              <w:left w:val="nil"/>
              <w:bottom w:val="nil"/>
              <w:right w:val="nil"/>
            </w:tcBorders>
            <w:shd w:val="clear" w:color="auto" w:fill="auto"/>
          </w:tcPr>
          <w:p w14:paraId="77182054" w14:textId="77777777" w:rsidR="00AD612A" w:rsidRPr="00AB33F4" w:rsidRDefault="00AD612A" w:rsidP="00AD612A">
            <w:pPr>
              <w:pStyle w:val="PargrafodaLista"/>
              <w:spacing w:line="240" w:lineRule="auto"/>
              <w:ind w:left="0"/>
              <w:jc w:val="right"/>
              <w:rPr>
                <w:rFonts w:ascii="Times New Roman" w:hAnsi="Times New Roman"/>
                <w:sz w:val="24"/>
                <w:szCs w:val="24"/>
              </w:rPr>
            </w:pPr>
            <w:r w:rsidRPr="00AB33F4">
              <w:rPr>
                <w:rFonts w:ascii="Times New Roman" w:hAnsi="Times New Roman"/>
                <w:sz w:val="24"/>
                <w:szCs w:val="24"/>
              </w:rPr>
              <w:t>Yes</w:t>
            </w:r>
          </w:p>
        </w:tc>
        <w:tc>
          <w:tcPr>
            <w:tcW w:w="2302" w:type="dxa"/>
            <w:tcBorders>
              <w:top w:val="nil"/>
              <w:left w:val="nil"/>
              <w:bottom w:val="nil"/>
              <w:right w:val="single" w:sz="4" w:space="0" w:color="auto"/>
            </w:tcBorders>
            <w:shd w:val="clear" w:color="auto" w:fill="auto"/>
          </w:tcPr>
          <w:p w14:paraId="739D35AB"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15%</w:t>
            </w:r>
          </w:p>
        </w:tc>
        <w:tc>
          <w:tcPr>
            <w:tcW w:w="2303" w:type="dxa"/>
            <w:tcBorders>
              <w:top w:val="nil"/>
              <w:left w:val="single" w:sz="4" w:space="0" w:color="auto"/>
              <w:bottom w:val="nil"/>
              <w:right w:val="nil"/>
            </w:tcBorders>
            <w:shd w:val="clear" w:color="auto" w:fill="auto"/>
          </w:tcPr>
          <w:p w14:paraId="7120C466"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Employed</w:t>
            </w:r>
            <w:proofErr w:type="spellEnd"/>
          </w:p>
        </w:tc>
        <w:tc>
          <w:tcPr>
            <w:tcW w:w="2303" w:type="dxa"/>
            <w:tcBorders>
              <w:top w:val="nil"/>
              <w:left w:val="nil"/>
              <w:bottom w:val="nil"/>
              <w:right w:val="nil"/>
            </w:tcBorders>
            <w:shd w:val="clear" w:color="auto" w:fill="auto"/>
          </w:tcPr>
          <w:p w14:paraId="111B70D2"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45%</w:t>
            </w:r>
          </w:p>
        </w:tc>
      </w:tr>
      <w:tr w:rsidR="00AB33F4" w:rsidRPr="00AB33F4" w14:paraId="51838CF5" w14:textId="77777777" w:rsidTr="00FC78C9">
        <w:trPr>
          <w:jc w:val="center"/>
        </w:trPr>
        <w:tc>
          <w:tcPr>
            <w:tcW w:w="2302" w:type="dxa"/>
            <w:tcBorders>
              <w:top w:val="nil"/>
              <w:left w:val="nil"/>
              <w:right w:val="nil"/>
            </w:tcBorders>
            <w:shd w:val="clear" w:color="auto" w:fill="auto"/>
          </w:tcPr>
          <w:p w14:paraId="4C7BD5B7" w14:textId="77777777" w:rsidR="00AD612A" w:rsidRPr="00AB33F4" w:rsidRDefault="00AD612A" w:rsidP="00AD612A">
            <w:pPr>
              <w:pStyle w:val="PargrafodaLista"/>
              <w:spacing w:line="240" w:lineRule="auto"/>
              <w:ind w:left="0"/>
              <w:jc w:val="right"/>
              <w:rPr>
                <w:rFonts w:ascii="Times New Roman" w:hAnsi="Times New Roman"/>
                <w:sz w:val="24"/>
                <w:szCs w:val="24"/>
              </w:rPr>
            </w:pPr>
            <w:r w:rsidRPr="00AB33F4">
              <w:rPr>
                <w:rFonts w:ascii="Times New Roman" w:hAnsi="Times New Roman"/>
                <w:sz w:val="24"/>
                <w:szCs w:val="24"/>
              </w:rPr>
              <w:t>No</w:t>
            </w:r>
          </w:p>
        </w:tc>
        <w:tc>
          <w:tcPr>
            <w:tcW w:w="2302" w:type="dxa"/>
            <w:tcBorders>
              <w:top w:val="nil"/>
              <w:left w:val="nil"/>
              <w:right w:val="single" w:sz="4" w:space="0" w:color="auto"/>
            </w:tcBorders>
            <w:shd w:val="clear" w:color="auto" w:fill="auto"/>
          </w:tcPr>
          <w:p w14:paraId="45C2A61F"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85%</w:t>
            </w:r>
          </w:p>
        </w:tc>
        <w:tc>
          <w:tcPr>
            <w:tcW w:w="2303" w:type="dxa"/>
            <w:tcBorders>
              <w:top w:val="nil"/>
              <w:left w:val="single" w:sz="4" w:space="0" w:color="auto"/>
              <w:right w:val="nil"/>
            </w:tcBorders>
            <w:shd w:val="clear" w:color="auto" w:fill="auto"/>
          </w:tcPr>
          <w:p w14:paraId="576BC887" w14:textId="77777777" w:rsidR="00AD612A" w:rsidRPr="00AB33F4" w:rsidRDefault="00AD612A" w:rsidP="00AD612A">
            <w:pPr>
              <w:pStyle w:val="PargrafodaLista"/>
              <w:spacing w:line="240" w:lineRule="auto"/>
              <w:ind w:left="0"/>
              <w:jc w:val="right"/>
              <w:rPr>
                <w:rFonts w:ascii="Times New Roman" w:hAnsi="Times New Roman"/>
                <w:sz w:val="24"/>
                <w:szCs w:val="24"/>
              </w:rPr>
            </w:pPr>
            <w:proofErr w:type="spellStart"/>
            <w:r w:rsidRPr="00AB33F4">
              <w:rPr>
                <w:rFonts w:ascii="Times New Roman" w:hAnsi="Times New Roman"/>
                <w:sz w:val="24"/>
                <w:szCs w:val="24"/>
              </w:rPr>
              <w:t>Trying</w:t>
            </w:r>
            <w:proofErr w:type="spellEnd"/>
            <w:r w:rsidRPr="00AB33F4">
              <w:rPr>
                <w:rFonts w:ascii="Times New Roman" w:hAnsi="Times New Roman"/>
                <w:sz w:val="24"/>
                <w:szCs w:val="24"/>
              </w:rPr>
              <w:t xml:space="preserve"> </w:t>
            </w:r>
            <w:proofErr w:type="spellStart"/>
            <w:r w:rsidRPr="00AB33F4">
              <w:rPr>
                <w:rFonts w:ascii="Times New Roman" w:hAnsi="Times New Roman"/>
                <w:sz w:val="24"/>
                <w:szCs w:val="24"/>
              </w:rPr>
              <w:t>to</w:t>
            </w:r>
            <w:proofErr w:type="spellEnd"/>
            <w:r w:rsidRPr="00AB33F4">
              <w:rPr>
                <w:rFonts w:ascii="Times New Roman" w:hAnsi="Times New Roman"/>
                <w:sz w:val="24"/>
                <w:szCs w:val="24"/>
              </w:rPr>
              <w:t xml:space="preserve"> retire</w:t>
            </w:r>
          </w:p>
        </w:tc>
        <w:tc>
          <w:tcPr>
            <w:tcW w:w="2303" w:type="dxa"/>
            <w:tcBorders>
              <w:top w:val="nil"/>
              <w:left w:val="nil"/>
              <w:right w:val="nil"/>
            </w:tcBorders>
            <w:shd w:val="clear" w:color="auto" w:fill="auto"/>
          </w:tcPr>
          <w:p w14:paraId="5CF8D801" w14:textId="77777777" w:rsidR="00AD612A" w:rsidRPr="00AB33F4" w:rsidRDefault="00AD612A" w:rsidP="00AD612A">
            <w:pPr>
              <w:pStyle w:val="PargrafodaLista"/>
              <w:spacing w:line="240" w:lineRule="auto"/>
              <w:ind w:left="0"/>
              <w:jc w:val="center"/>
              <w:rPr>
                <w:rFonts w:ascii="Times New Roman" w:hAnsi="Times New Roman"/>
                <w:sz w:val="24"/>
                <w:szCs w:val="24"/>
              </w:rPr>
            </w:pPr>
            <w:r w:rsidRPr="00AB33F4">
              <w:rPr>
                <w:rFonts w:ascii="Times New Roman" w:hAnsi="Times New Roman"/>
                <w:sz w:val="24"/>
                <w:szCs w:val="24"/>
              </w:rPr>
              <w:t>10%</w:t>
            </w:r>
          </w:p>
        </w:tc>
      </w:tr>
    </w:tbl>
    <w:p w14:paraId="3EC370BD" w14:textId="77777777" w:rsidR="00AD612A" w:rsidRPr="00AB33F4" w:rsidRDefault="00AD612A" w:rsidP="00AD612A">
      <w:pPr>
        <w:pStyle w:val="Newparagraph"/>
        <w:spacing w:line="360" w:lineRule="auto"/>
      </w:pPr>
    </w:p>
    <w:p w14:paraId="6A2FE648" w14:textId="77777777" w:rsidR="00850F3E" w:rsidRPr="00AB33F4" w:rsidRDefault="00850F3E" w:rsidP="00AD612A">
      <w:pPr>
        <w:spacing w:line="360" w:lineRule="auto"/>
        <w:rPr>
          <w:i/>
        </w:rPr>
      </w:pPr>
      <w:r w:rsidRPr="00AB33F4">
        <w:rPr>
          <w:i/>
        </w:rPr>
        <w:t>Instruments</w:t>
      </w:r>
    </w:p>
    <w:p w14:paraId="4AA24793" w14:textId="77777777" w:rsidR="00850F3E" w:rsidRPr="00AB33F4" w:rsidRDefault="00850F3E" w:rsidP="00AD612A">
      <w:pPr>
        <w:spacing w:line="360" w:lineRule="auto"/>
        <w:ind w:firstLine="708"/>
        <w:jc w:val="both"/>
        <w:rPr>
          <w:lang w:val="en-US"/>
        </w:rPr>
      </w:pPr>
      <w:r w:rsidRPr="00AB33F4">
        <w:rPr>
          <w:lang w:val="en-US"/>
        </w:rPr>
        <w:t>A sociodemographic survey was used, aiming to identify the main characteristics of the participants, from questions that included: age, religiosity, income, work, family contact, marital status and non-family bonds. After that, a semi-structured interview was carried out. The questions concerned homophobia, prejudice against sexual diversity, absorption of homophobia and experiences of prejudice that were mentioned during the interview, such as: What do you understand by homophobia? How do you notice homophobia in your life? Have you ever been present during prejudice actions against sexual diversity?</w:t>
      </w:r>
    </w:p>
    <w:p w14:paraId="4EA0B010" w14:textId="77777777" w:rsidR="00850F3E" w:rsidRPr="00AB33F4" w:rsidRDefault="00850F3E" w:rsidP="00AD612A">
      <w:pPr>
        <w:spacing w:line="360" w:lineRule="auto"/>
        <w:rPr>
          <w:i/>
          <w:lang w:val="en-US"/>
        </w:rPr>
      </w:pPr>
      <w:r w:rsidRPr="00AB33F4">
        <w:rPr>
          <w:i/>
          <w:lang w:val="en-US"/>
        </w:rPr>
        <w:t>Ethical and data collection procedures</w:t>
      </w:r>
    </w:p>
    <w:p w14:paraId="058F319B" w14:textId="036D72EC" w:rsidR="00850F3E" w:rsidRPr="00AB33F4" w:rsidRDefault="00850F3E" w:rsidP="00AD612A">
      <w:pPr>
        <w:pStyle w:val="PargrafodaLista"/>
        <w:spacing w:line="360" w:lineRule="auto"/>
        <w:ind w:left="0" w:firstLine="644"/>
        <w:rPr>
          <w:rFonts w:ascii="Times New Roman" w:hAnsi="Times New Roman"/>
          <w:sz w:val="24"/>
          <w:szCs w:val="24"/>
          <w:lang w:val="en-US"/>
        </w:rPr>
      </w:pPr>
      <w:r w:rsidRPr="00AB33F4">
        <w:rPr>
          <w:rFonts w:ascii="Times New Roman" w:hAnsi="Times New Roman"/>
          <w:sz w:val="24"/>
          <w:szCs w:val="24"/>
          <w:lang w:val="en-US"/>
        </w:rPr>
        <w:t>The present study was approved by the Research and Ethics Committee of XXXXXX, with CAEE: XXXXXX and opinion document number: XXXX. After that, the recruitment of the participants started. First if all, there was a first contact, with old gay men from social networks, which contain groups and pages with specific content for the LGBT public. During the identification, we checked whether the participants fu</w:t>
      </w:r>
      <w:r w:rsidR="000F36BA" w:rsidRPr="00AB33F4">
        <w:rPr>
          <w:rFonts w:ascii="Times New Roman" w:hAnsi="Times New Roman"/>
          <w:sz w:val="24"/>
          <w:szCs w:val="24"/>
          <w:lang w:val="en-US"/>
        </w:rPr>
        <w:t>lfilled the inclusion criteria; People of the male gender who declare themselves as gay and are over 60 years of age. A</w:t>
      </w:r>
      <w:r w:rsidRPr="00AB33F4">
        <w:rPr>
          <w:rFonts w:ascii="Times New Roman" w:hAnsi="Times New Roman"/>
          <w:sz w:val="24"/>
          <w:szCs w:val="24"/>
          <w:lang w:val="en-US"/>
        </w:rPr>
        <w:t xml:space="preserve">fter the confirmation, they were invited to participate of the study. Afterwards, we explained to the participants the scope of the study and the ethical aspects that protect the participant, such as anonymity and the fact that the results would be published in a scientific way. </w:t>
      </w:r>
    </w:p>
    <w:p w14:paraId="616EA7FA" w14:textId="5E0257C0" w:rsidR="00850F3E" w:rsidRPr="00AB33F4" w:rsidRDefault="00850F3E" w:rsidP="00AD612A">
      <w:pPr>
        <w:pStyle w:val="PargrafodaLista"/>
        <w:spacing w:line="360" w:lineRule="auto"/>
        <w:ind w:left="0" w:firstLine="644"/>
        <w:rPr>
          <w:rFonts w:ascii="Times New Roman" w:hAnsi="Times New Roman"/>
          <w:sz w:val="24"/>
          <w:szCs w:val="24"/>
          <w:lang w:val="en-US"/>
        </w:rPr>
      </w:pPr>
      <w:r w:rsidRPr="00AB33F4">
        <w:rPr>
          <w:rFonts w:ascii="Times New Roman" w:hAnsi="Times New Roman"/>
          <w:sz w:val="24"/>
          <w:szCs w:val="24"/>
          <w:lang w:val="en-US"/>
        </w:rPr>
        <w:t xml:space="preserve">After the participants agreed to participate, we arranged the interview with them. It occurred remotely or face-to-face, depending on the distance and on the participant’s availability. The data collection was based upon a former study with old gay men (Santos &amp; Araújo, 2020). The interviews were carried out by the same researcher, who was properly trained beforehand. The face-to-face collections were carried out at places that depended on the participants’ interest; some of them were conducted in the research laboratory, others occurred </w:t>
      </w:r>
      <w:r w:rsidRPr="00AB33F4">
        <w:rPr>
          <w:rFonts w:ascii="Times New Roman" w:hAnsi="Times New Roman"/>
          <w:sz w:val="24"/>
          <w:szCs w:val="24"/>
          <w:lang w:val="en-US"/>
        </w:rPr>
        <w:lastRenderedPageBreak/>
        <w:t xml:space="preserve">in public social places, and others happened at their own homes. Before starting the interview, the Informed Consent Form was presented. Afterwards, we asked their permission to record the interview. The sociodemographic characterization data were collected at the beginning of the talk, like an “ice-breaker”, to get acquainted with the participants’ profile. Subsequently, the semi-structured interview was carried out. Around 25% of the subjects previously selected refused to participate, including the ones who quitted. The interviews lasted around 50 minutes. </w:t>
      </w:r>
      <w:r w:rsidR="000F5DC8" w:rsidRPr="00AB33F4">
        <w:rPr>
          <w:rFonts w:ascii="Times New Roman" w:hAnsi="Times New Roman"/>
          <w:sz w:val="24"/>
          <w:szCs w:val="24"/>
          <w:lang w:val="en-US"/>
        </w:rPr>
        <w:t>Data collection was carried out between March and October 2020 and there was no remuneration for participating in the research.</w:t>
      </w:r>
    </w:p>
    <w:p w14:paraId="6D2F0326" w14:textId="77777777" w:rsidR="00850F3E" w:rsidRPr="00AB33F4" w:rsidRDefault="00850F3E" w:rsidP="00AD612A">
      <w:pPr>
        <w:spacing w:line="360" w:lineRule="auto"/>
        <w:rPr>
          <w:i/>
          <w:lang w:val="en-US"/>
        </w:rPr>
      </w:pPr>
      <w:r w:rsidRPr="00AB33F4">
        <w:rPr>
          <w:i/>
          <w:lang w:val="en-US"/>
        </w:rPr>
        <w:t>Data Analysis</w:t>
      </w:r>
    </w:p>
    <w:p w14:paraId="3F98C722" w14:textId="77777777" w:rsidR="00850F3E" w:rsidRPr="00AB33F4" w:rsidRDefault="00850F3E" w:rsidP="00AD612A">
      <w:pPr>
        <w:spacing w:line="360" w:lineRule="auto"/>
        <w:ind w:firstLine="708"/>
        <w:jc w:val="both"/>
        <w:rPr>
          <w:lang w:val="en-US"/>
        </w:rPr>
      </w:pPr>
      <w:r w:rsidRPr="00AB33F4">
        <w:rPr>
          <w:lang w:val="en-US"/>
        </w:rPr>
        <w:t xml:space="preserve">The data collected from the sociodemographic surveys were tabulated and analyzed on the </w:t>
      </w:r>
      <w:r w:rsidRPr="00AB33F4">
        <w:rPr>
          <w:i/>
          <w:lang w:val="en-US"/>
        </w:rPr>
        <w:t>software IBM SPSS</w:t>
      </w:r>
      <w:r w:rsidRPr="00AB33F4">
        <w:rPr>
          <w:lang w:val="en-US"/>
        </w:rPr>
        <w:t xml:space="preserve"> version 22, with descriptive statistics such as average, standard deviation and frequency. The data from the semi-structured interviews were organized on the application Notepad (.txt) and compiled on the software </w:t>
      </w:r>
      <w:r w:rsidRPr="00AB33F4">
        <w:rPr>
          <w:i/>
          <w:lang w:val="en-US"/>
        </w:rPr>
        <w:t>IRAMUTEQ</w:t>
      </w:r>
      <w:r w:rsidRPr="00AB33F4">
        <w:rPr>
          <w:lang w:val="en-US"/>
        </w:rPr>
        <w:t>, under the procedure of Descending Hierarchical Classification (DHC), which forms the dendrogram from the lexical classes in which the discourse was divided, considering the frequency and the chi-square (X²) (Reinert, 1990). The interpretation of the data is carried out from the paradigm of the social representations.</w:t>
      </w:r>
    </w:p>
    <w:p w14:paraId="2D63472F" w14:textId="77777777" w:rsidR="001D5CB3" w:rsidRPr="00AB33F4" w:rsidRDefault="001D5CB3" w:rsidP="00E648EF">
      <w:pPr>
        <w:spacing w:line="360" w:lineRule="auto"/>
        <w:jc w:val="center"/>
        <w:rPr>
          <w:b/>
          <w:lang w:val="en-US"/>
        </w:rPr>
      </w:pPr>
      <w:r w:rsidRPr="00AB33F4">
        <w:rPr>
          <w:b/>
          <w:lang w:val="en-US"/>
        </w:rPr>
        <w:t>Results</w:t>
      </w:r>
    </w:p>
    <w:p w14:paraId="54AEAEB7" w14:textId="77777777" w:rsidR="001D5CB3" w:rsidRPr="00AB33F4" w:rsidRDefault="001D5CB3" w:rsidP="00AD612A">
      <w:pPr>
        <w:spacing w:line="360" w:lineRule="auto"/>
        <w:jc w:val="both"/>
        <w:rPr>
          <w:bCs/>
          <w:lang w:val="en-US"/>
        </w:rPr>
      </w:pPr>
      <w:r w:rsidRPr="00AB33F4">
        <w:rPr>
          <w:b/>
          <w:lang w:val="en-US"/>
        </w:rPr>
        <w:tab/>
      </w:r>
      <w:r w:rsidRPr="00AB33F4">
        <w:rPr>
          <w:bCs/>
          <w:lang w:val="en-US"/>
        </w:rPr>
        <w:t xml:space="preserve">The 20 interviews were transcribed and organized to be inserted on IRAMUTEQ. The software conducted the descending hierarchical classification and compartmented the texts into text fragments. The textual corpus was formed by 1060 words that occurred 4346 times. Each text segment was formed by 35.06 words. Out of the 124 text segments, 101 were classified hierarchically to compose the dendrogram classes, representing 81.45% of the total corpus. </w:t>
      </w:r>
    </w:p>
    <w:p w14:paraId="4C7177C0" w14:textId="77777777" w:rsidR="001D5CB3" w:rsidRPr="00AB33F4" w:rsidRDefault="001D5CB3" w:rsidP="00AD612A">
      <w:pPr>
        <w:spacing w:line="360" w:lineRule="auto"/>
        <w:jc w:val="both"/>
        <w:rPr>
          <w:bCs/>
          <w:lang w:val="en-US"/>
        </w:rPr>
      </w:pPr>
      <w:r w:rsidRPr="00AB33F4">
        <w:rPr>
          <w:bCs/>
          <w:lang w:val="en-US"/>
        </w:rPr>
        <w:tab/>
        <w:t xml:space="preserve">The corpus was formed by three representational classes, which can be seen on the dendrogram in </w:t>
      </w:r>
      <w:r w:rsidRPr="00AB33F4">
        <w:rPr>
          <w:bCs/>
          <w:i/>
          <w:iCs/>
          <w:lang w:val="en-US"/>
        </w:rPr>
        <w:t>Figure 1</w:t>
      </w:r>
      <w:r w:rsidRPr="00AB33F4">
        <w:rPr>
          <w:bCs/>
          <w:lang w:val="en-US"/>
        </w:rPr>
        <w:t>. Classes 2 and 3 remained on the same partition, and Class 1 remained on a separate partition. It is important to point out that all the interviews, and therefore the terms collected and analyzed were originally in Brazilian Portuguese. After the research report was finished, it was translated to English.</w:t>
      </w:r>
    </w:p>
    <w:p w14:paraId="5A446105" w14:textId="3194D49D" w:rsidR="00AD612A" w:rsidRPr="00AB33F4" w:rsidRDefault="00AD612A" w:rsidP="00AD612A">
      <w:pPr>
        <w:spacing w:line="360" w:lineRule="auto"/>
        <w:jc w:val="both"/>
        <w:rPr>
          <w:i/>
          <w:iCs/>
        </w:rPr>
      </w:pPr>
      <w:r w:rsidRPr="00AB33F4">
        <w:rPr>
          <w:i/>
          <w:iCs/>
        </w:rPr>
        <w:t>Figure 1</w:t>
      </w:r>
    </w:p>
    <w:p w14:paraId="4C035541" w14:textId="0C4AEDE3" w:rsidR="00AD612A" w:rsidRPr="00AB33F4" w:rsidRDefault="00AD612A" w:rsidP="00AD612A">
      <w:pPr>
        <w:spacing w:line="360" w:lineRule="auto"/>
        <w:jc w:val="both"/>
        <w:rPr>
          <w:bCs/>
          <w:lang w:val="en-US"/>
        </w:rPr>
      </w:pPr>
      <w:r w:rsidRPr="00AB33F4">
        <w:rPr>
          <w:bCs/>
          <w:lang w:val="en-US"/>
        </w:rPr>
        <w:t>Dendrogram – The social representations of homophobia among old gay men</w:t>
      </w:r>
      <w:r w:rsidRPr="00AB33F4">
        <w:rPr>
          <w:bCs/>
          <w:noProof/>
          <w:lang w:val="en-US"/>
        </w:rPr>
        <w:t>.</w:t>
      </w:r>
    </w:p>
    <w:p w14:paraId="6C95DB1A" w14:textId="77777777" w:rsidR="00AD612A" w:rsidRPr="00AB33F4" w:rsidRDefault="00AD612A" w:rsidP="00AD612A">
      <w:pPr>
        <w:spacing w:line="360" w:lineRule="auto"/>
        <w:jc w:val="both"/>
        <w:rPr>
          <w:bCs/>
          <w:lang w:val="en-US"/>
        </w:rPr>
      </w:pPr>
    </w:p>
    <w:p w14:paraId="0EC17C34" w14:textId="77777777" w:rsidR="00AD612A" w:rsidRPr="00AB33F4" w:rsidRDefault="00AD612A" w:rsidP="00AB33F4">
      <w:pPr>
        <w:spacing w:line="360" w:lineRule="auto"/>
        <w:jc w:val="center"/>
        <w:rPr>
          <w:bCs/>
          <w:lang w:val="en-US"/>
        </w:rPr>
      </w:pPr>
      <w:r w:rsidRPr="00AB33F4">
        <w:rPr>
          <w:noProof/>
          <w:lang w:val="pt-BR" w:eastAsia="pt-BR"/>
        </w:rPr>
        <w:lastRenderedPageBreak/>
        <w:drawing>
          <wp:inline distT="0" distB="0" distL="0" distR="0" wp14:anchorId="2FA3DABB" wp14:editId="3C0AFDFE">
            <wp:extent cx="4901609" cy="5086076"/>
            <wp:effectExtent l="0" t="0" r="0" b="63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186" t="13659" r="31248" b="9624"/>
                    <a:stretch/>
                  </pic:blipFill>
                  <pic:spPr bwMode="auto">
                    <a:xfrm>
                      <a:off x="0" y="0"/>
                      <a:ext cx="4914168" cy="5099108"/>
                    </a:xfrm>
                    <a:prstGeom prst="rect">
                      <a:avLst/>
                    </a:prstGeom>
                    <a:ln>
                      <a:noFill/>
                    </a:ln>
                    <a:extLst>
                      <a:ext uri="{53640926-AAD7-44D8-BBD7-CCE9431645EC}">
                        <a14:shadowObscured xmlns:a14="http://schemas.microsoft.com/office/drawing/2010/main"/>
                      </a:ext>
                    </a:extLst>
                  </pic:spPr>
                </pic:pic>
              </a:graphicData>
            </a:graphic>
          </wp:inline>
        </w:drawing>
      </w:r>
    </w:p>
    <w:p w14:paraId="381E77ED" w14:textId="0CBECCBF" w:rsidR="001D5CB3" w:rsidRPr="00AB33F4" w:rsidRDefault="001D5CB3" w:rsidP="00AD612A">
      <w:pPr>
        <w:spacing w:line="360" w:lineRule="auto"/>
        <w:jc w:val="both"/>
        <w:rPr>
          <w:bCs/>
          <w:lang w:val="en-US"/>
        </w:rPr>
      </w:pPr>
      <w:r w:rsidRPr="00AB33F4">
        <w:rPr>
          <w:bCs/>
          <w:lang w:val="en-US"/>
        </w:rPr>
        <w:tab/>
        <w:t xml:space="preserve">Class 1 – “prejudiced images” was formed of 31.68% of the text segments. The class was named this way because the participants brought to the surface situational images of prejudice against gay men and, in some cases, the internalized homophobia is evident in their discourses. Some of them start their representation discourse emphasizing that they have not been through homophobic situations, justifying that by their discretion. Nevertheless, during the interviews, they mention moments in which they felt uncomfortable and stigmatized. It was evidenced that they see homophobia as an aspect that causes suffering. The following interview excerpt illustrates the social representations of this class. Fictional names of ancient gods were used to protect the participants’ identities. The excerpts presented were available in their respective classes. </w:t>
      </w:r>
    </w:p>
    <w:p w14:paraId="03EB9CD6" w14:textId="77777777" w:rsidR="001D5CB3" w:rsidRPr="00AB33F4" w:rsidRDefault="001D5CB3" w:rsidP="00AD612A">
      <w:pPr>
        <w:spacing w:line="360" w:lineRule="auto"/>
        <w:ind w:left="709"/>
        <w:jc w:val="both"/>
        <w:rPr>
          <w:lang w:val="en-US" w:eastAsia="pt-BR"/>
        </w:rPr>
      </w:pPr>
      <w:r w:rsidRPr="00AB33F4">
        <w:rPr>
          <w:lang w:val="en-US" w:eastAsia="pt-BR"/>
        </w:rPr>
        <w:t>“</w:t>
      </w:r>
      <w:r w:rsidRPr="00AB33F4">
        <w:rPr>
          <w:i/>
          <w:iCs/>
          <w:lang w:val="en-US" w:eastAsia="pt-BR"/>
        </w:rPr>
        <w:t xml:space="preserve">Thank God I’ve never been through that kind of situation, but there are some friends of ours that have been through discrimination situations, that rejection in some kind of situation, my discretion protects me a lot because I’m a teacher. I remembered a situation that happened a long time ago. I would even sue the person, I was going to </w:t>
      </w:r>
      <w:r w:rsidRPr="00AB33F4">
        <w:rPr>
          <w:i/>
          <w:iCs/>
          <w:lang w:val="en-US" w:eastAsia="pt-BR"/>
        </w:rPr>
        <w:lastRenderedPageBreak/>
        <w:t>give blood at the blood center and the doctor who was there making the collection of the blood, when she asked me if I was homosexual, I said I was, she said that she did not accept me giving blood because she didn’t need a fag’s blood, I got really sad, I came back walking, feeling like crying, feeling like dying</w:t>
      </w:r>
      <w:r w:rsidRPr="00AB33F4">
        <w:rPr>
          <w:lang w:val="en-US" w:eastAsia="pt-BR"/>
        </w:rPr>
        <w:t xml:space="preserve">” </w:t>
      </w:r>
      <w:r w:rsidRPr="00AB33F4">
        <w:rPr>
          <w:lang w:val="en-US"/>
        </w:rPr>
        <w:t>(Ares, 60 years old, catholic, graduated)</w:t>
      </w:r>
      <w:r w:rsidRPr="00AB33F4">
        <w:rPr>
          <w:lang w:val="en-US" w:eastAsia="pt-BR"/>
        </w:rPr>
        <w:t>.</w:t>
      </w:r>
    </w:p>
    <w:p w14:paraId="00EC7A23" w14:textId="77777777" w:rsidR="001D5CB3" w:rsidRPr="00AB33F4" w:rsidRDefault="001D5CB3" w:rsidP="00AD612A">
      <w:pPr>
        <w:spacing w:line="360" w:lineRule="auto"/>
        <w:ind w:firstLine="709"/>
        <w:jc w:val="both"/>
        <w:rPr>
          <w:bCs/>
          <w:lang w:val="en-US"/>
        </w:rPr>
      </w:pPr>
      <w:r w:rsidRPr="00AB33F4">
        <w:rPr>
          <w:lang w:val="en-US" w:eastAsia="pt-BR"/>
        </w:rPr>
        <w:t xml:space="preserve">The participants emphasize the existence of homophobia in the intragroup circle. Being discreet is the search of a positive view of oneself connected with the necessity to get away from the homosexuality stigma, i.e., of seeing oneself as someone who is socially accepted, for the way that the others well react in relation to the sexuality is uncertain. In the interviews, it can be noticed that the participants who admit homosexuality report that the disadvantages of being discreet surpass the disadvantages of the ones who are openly gays, because accepting oneself if fundamental for a more liberating sexual life, while discretion is marked by shame, hiding, and prejudice. Discretion is a social manifestation that stems from the practical knowledge of the homophobia social representations; the discreet gay absorbed the homophobia stigma, internalizing it. </w:t>
      </w:r>
    </w:p>
    <w:p w14:paraId="0B1653A1" w14:textId="77777777" w:rsidR="001D5CB3" w:rsidRPr="00AB33F4" w:rsidRDefault="001D5CB3" w:rsidP="00AD612A">
      <w:pPr>
        <w:spacing w:line="360" w:lineRule="auto"/>
        <w:ind w:left="709"/>
        <w:jc w:val="both"/>
        <w:rPr>
          <w:lang w:val="en-US"/>
        </w:rPr>
      </w:pPr>
      <w:r w:rsidRPr="00AB33F4">
        <w:rPr>
          <w:bCs/>
          <w:i/>
          <w:iCs/>
          <w:lang w:val="en-US"/>
        </w:rPr>
        <w:t>“Homophobia is something that we experience in a constant way, every day, in professional and in personal issues as well. There are actions that impose some rights</w:t>
      </w:r>
      <w:r w:rsidRPr="00AB33F4">
        <w:rPr>
          <w:i/>
          <w:iCs/>
          <w:lang w:val="en-US"/>
        </w:rPr>
        <w:t xml:space="preserve">, but we know that those actions are palliative in a prejudiced world and society. </w:t>
      </w:r>
      <w:proofErr w:type="gramStart"/>
      <w:r w:rsidRPr="00AB33F4">
        <w:rPr>
          <w:i/>
          <w:iCs/>
          <w:lang w:val="en-US"/>
        </w:rPr>
        <w:t>So</w:t>
      </w:r>
      <w:proofErr w:type="gramEnd"/>
      <w:r w:rsidRPr="00AB33F4">
        <w:rPr>
          <w:i/>
          <w:iCs/>
          <w:lang w:val="en-US"/>
        </w:rPr>
        <w:t xml:space="preserve"> it makes us, returning to the age aspect, it makes us afraid and have a negative perspective about all of those things</w:t>
      </w:r>
      <w:r w:rsidRPr="00AB33F4">
        <w:rPr>
          <w:lang w:val="en-US"/>
        </w:rPr>
        <w:t>” (Hefesto, 67 years old, atheist, graduated).</w:t>
      </w:r>
    </w:p>
    <w:p w14:paraId="729302D4" w14:textId="77777777" w:rsidR="001D5CB3" w:rsidRPr="00AB33F4" w:rsidRDefault="001D5CB3" w:rsidP="00AD612A">
      <w:pPr>
        <w:spacing w:line="360" w:lineRule="auto"/>
        <w:ind w:firstLine="709"/>
        <w:jc w:val="both"/>
        <w:rPr>
          <w:lang w:val="en-US"/>
        </w:rPr>
      </w:pPr>
      <w:r w:rsidRPr="00AB33F4">
        <w:rPr>
          <w:lang w:val="en-US"/>
        </w:rPr>
        <w:t>Class 2 (ST=38.61%) was the most representative of the textual corpus. It presents, in its representational content, various homophobic discourses seen in daily life, showing, directly, the “internalized homophobia”, term that names this class. The social representations anchor and objectify in the image of being a man as being virile and macho, bringing comparisons of the gender roles expected by the society. Utterances like: “gay is a man and does not need to be effeminate”; “it is not right for two men to walk holding hands, hugging or kissing”; “you do not need to expose your sexuality”. The speech of the following participants illustrates the social representations of homophobia in this class.</w:t>
      </w:r>
    </w:p>
    <w:p w14:paraId="0CE08554" w14:textId="77777777" w:rsidR="001D5CB3" w:rsidRPr="00AB33F4" w:rsidRDefault="001D5CB3" w:rsidP="00AD612A">
      <w:pPr>
        <w:spacing w:line="360" w:lineRule="auto"/>
        <w:ind w:left="709"/>
        <w:jc w:val="both"/>
        <w:rPr>
          <w:lang w:val="en-US"/>
        </w:rPr>
      </w:pPr>
      <w:r w:rsidRPr="00AB33F4">
        <w:rPr>
          <w:lang w:val="en-US"/>
        </w:rPr>
        <w:t>“</w:t>
      </w:r>
      <w:r w:rsidRPr="00AB33F4">
        <w:rPr>
          <w:i/>
          <w:iCs/>
          <w:lang w:val="en-US"/>
        </w:rPr>
        <w:t>I’ve always behaved normally, without the need to say if I was this or that. I see people fight for rights, but do you think it is correct, two men kissing? Two women? I don’t think it is [...] They are seeking for audience, but people don’t think it’s normal, it’s an offense against modesty [...]People aren’t prepared for this moral aggression, and that’s why they are judged, disrespected</w:t>
      </w:r>
      <w:r w:rsidRPr="00AB33F4">
        <w:rPr>
          <w:lang w:val="en-US"/>
        </w:rPr>
        <w:t>” (Zeus, 66 years old, catholic, high school).</w:t>
      </w:r>
    </w:p>
    <w:p w14:paraId="1C679E97" w14:textId="77777777" w:rsidR="001D5CB3" w:rsidRPr="00AB33F4" w:rsidRDefault="001D5CB3" w:rsidP="00AD612A">
      <w:pPr>
        <w:spacing w:line="360" w:lineRule="auto"/>
        <w:ind w:left="709"/>
        <w:jc w:val="both"/>
        <w:rPr>
          <w:lang w:val="en-US"/>
        </w:rPr>
      </w:pPr>
      <w:r w:rsidRPr="00AB33F4">
        <w:rPr>
          <w:i/>
          <w:iCs/>
          <w:lang w:val="en-US"/>
        </w:rPr>
        <w:lastRenderedPageBreak/>
        <w:t>“I don’t like effeminate, flamboyant people. I don’t think we need to be like that, we’re men, not women</w:t>
      </w:r>
      <w:r w:rsidRPr="00AB33F4">
        <w:rPr>
          <w:lang w:val="en-US"/>
        </w:rPr>
        <w:t>” (Alfeu, 64 years old, Umbanda follower, high school).</w:t>
      </w:r>
    </w:p>
    <w:p w14:paraId="4E3BCDBD" w14:textId="77777777" w:rsidR="001D5CB3" w:rsidRPr="00AB33F4" w:rsidRDefault="001D5CB3" w:rsidP="00AD612A">
      <w:pPr>
        <w:spacing w:line="360" w:lineRule="auto"/>
        <w:ind w:firstLine="709"/>
        <w:jc w:val="both"/>
        <w:rPr>
          <w:bCs/>
          <w:lang w:val="en-US"/>
        </w:rPr>
      </w:pPr>
      <w:r w:rsidRPr="00AB33F4">
        <w:rPr>
          <w:bCs/>
          <w:lang w:val="en-US"/>
        </w:rPr>
        <w:t xml:space="preserve">In this class, the old gay men’s social representations of homophobia show that the group does not believe in society’s changes, that it is the way it is, and that it will not change, for the standard is the one that is given, and not what the LGBT minorities present as an innovation. This way, some participants, for being religious, produce a heterosexist discourse, discrediting and invalidating their sexual needs. Despite of the assertive content about homosexuality that has been disseminated since the beginning of the LGBT movement and the </w:t>
      </w:r>
      <w:proofErr w:type="spellStart"/>
      <w:r w:rsidRPr="00AB33F4">
        <w:rPr>
          <w:bCs/>
          <w:lang w:val="en-US"/>
        </w:rPr>
        <w:t>depathologization</w:t>
      </w:r>
      <w:proofErr w:type="spellEnd"/>
      <w:r w:rsidRPr="00AB33F4">
        <w:rPr>
          <w:bCs/>
          <w:lang w:val="en-US"/>
        </w:rPr>
        <w:t xml:space="preserve"> of homosexuality by the World Health Organization, the part of the society that announces the discourse of homosexuality affirmation is still reduced. Even though the LGBT movements have achieved some rights, the notifications of prejudice are still common within society.</w:t>
      </w:r>
    </w:p>
    <w:p w14:paraId="67509F0E" w14:textId="77777777" w:rsidR="001D5CB3" w:rsidRPr="00AB33F4" w:rsidRDefault="001D5CB3" w:rsidP="00AD612A">
      <w:pPr>
        <w:spacing w:line="360" w:lineRule="auto"/>
        <w:ind w:firstLine="709"/>
        <w:jc w:val="both"/>
        <w:rPr>
          <w:lang w:val="en-US"/>
        </w:rPr>
      </w:pPr>
      <w:r w:rsidRPr="00AB33F4">
        <w:rPr>
          <w:bCs/>
          <w:lang w:val="en-US"/>
        </w:rPr>
        <w:t>Class 3, “physical and identity violations”, is formed of 29.7% of the text segments. This class presents social representations anchored on terms such as aggression, respect, kill, and violence. Some participants mention that they have been victims of discrimination acts (physical and psychological ones) by relatives and work mates. One of the participants reported that he was stabbed by a relative. This way, they refer to the lack of respect and the need of respect in society. Moreover, so that they have been not disrespected, they have to deserve respect, by behaving as a virile man. A participant describes his life related to homophobia: “</w:t>
      </w:r>
      <w:r w:rsidRPr="00AB33F4">
        <w:rPr>
          <w:bCs/>
          <w:i/>
          <w:iCs/>
          <w:lang w:val="en-US"/>
        </w:rPr>
        <w:t>my life was conflicting in relation to homosexuality, I was frequently attacked by my father. The prejudice is bigger when the person is effeminate, a cross-dresser</w:t>
      </w:r>
      <w:r w:rsidRPr="00AB33F4">
        <w:rPr>
          <w:i/>
          <w:iCs/>
          <w:lang w:val="en-US"/>
        </w:rPr>
        <w:t>. Homophobia is in the daily life, when someone doesn’t want to be seen with you because you’re gay</w:t>
      </w:r>
      <w:r w:rsidRPr="00AB33F4">
        <w:rPr>
          <w:lang w:val="en-US"/>
        </w:rPr>
        <w:t>” (</w:t>
      </w:r>
      <w:proofErr w:type="spellStart"/>
      <w:r w:rsidRPr="00AB33F4">
        <w:rPr>
          <w:lang w:val="en-US"/>
        </w:rPr>
        <w:t>Morfeu</w:t>
      </w:r>
      <w:proofErr w:type="spellEnd"/>
      <w:r w:rsidRPr="00AB33F4">
        <w:rPr>
          <w:lang w:val="en-US"/>
        </w:rPr>
        <w:t>, 75 years old, spiritualist, undergraduate).</w:t>
      </w:r>
    </w:p>
    <w:p w14:paraId="1AF2BC4C" w14:textId="77777777" w:rsidR="001D5CB3" w:rsidRPr="00AB33F4" w:rsidRDefault="001D5CB3" w:rsidP="00AD612A">
      <w:pPr>
        <w:spacing w:line="360" w:lineRule="auto"/>
        <w:ind w:firstLine="709"/>
        <w:jc w:val="both"/>
        <w:rPr>
          <w:lang w:val="en-US"/>
        </w:rPr>
      </w:pPr>
      <w:r w:rsidRPr="00AB33F4">
        <w:rPr>
          <w:lang w:val="en-US"/>
        </w:rPr>
        <w:t>The fear of dying is an objectified social representation in relation to homophobia. The homosexual person’s identity is performed by the social representation of homophobia; it acts as a justifier and a guide for the sake of survival. Another participant reports the homophobia related to his experience:</w:t>
      </w:r>
    </w:p>
    <w:p w14:paraId="6D2E6BC6" w14:textId="77777777" w:rsidR="001D5CB3" w:rsidRPr="00AB33F4" w:rsidRDefault="001D5CB3" w:rsidP="00AD612A">
      <w:pPr>
        <w:spacing w:line="360" w:lineRule="auto"/>
        <w:ind w:left="709"/>
        <w:jc w:val="both"/>
        <w:rPr>
          <w:lang w:val="en-US"/>
        </w:rPr>
      </w:pPr>
      <w:r w:rsidRPr="00AB33F4">
        <w:rPr>
          <w:lang w:val="en-US"/>
        </w:rPr>
        <w:t>“</w:t>
      </w:r>
      <w:r w:rsidRPr="00AB33F4">
        <w:rPr>
          <w:i/>
          <w:iCs/>
          <w:lang w:val="en-US"/>
        </w:rPr>
        <w:t>The biggest part of the problem is the violence against them, killing, when the person doesn’t like him and then kills him. You have to let the person be happy, so they are what they want to. It’s not because he’s gay that I’ll kill him or not. I’ve already seen, in a public road, the person blaming... shameless fag, tacky fag. I feel down because I can’t do anything to fight against that violence. Because if I defend him, they’ll think I am, too</w:t>
      </w:r>
      <w:r w:rsidRPr="00AB33F4">
        <w:rPr>
          <w:lang w:val="en-US"/>
        </w:rPr>
        <w:t>” (</w:t>
      </w:r>
      <w:proofErr w:type="spellStart"/>
      <w:r w:rsidRPr="00AB33F4">
        <w:rPr>
          <w:lang w:val="en-US"/>
        </w:rPr>
        <w:t>Zelo</w:t>
      </w:r>
      <w:proofErr w:type="spellEnd"/>
      <w:r w:rsidRPr="00AB33F4">
        <w:rPr>
          <w:lang w:val="en-US"/>
        </w:rPr>
        <w:t>, 60 years old, catholic, high school).</w:t>
      </w:r>
    </w:p>
    <w:p w14:paraId="28E985AA" w14:textId="77777777" w:rsidR="001D5CB3" w:rsidRPr="00AB33F4" w:rsidRDefault="001D5CB3" w:rsidP="00AD612A">
      <w:pPr>
        <w:spacing w:line="360" w:lineRule="auto"/>
        <w:ind w:firstLine="709"/>
        <w:jc w:val="both"/>
        <w:rPr>
          <w:lang w:val="en-US"/>
        </w:rPr>
      </w:pPr>
      <w:r w:rsidRPr="00AB33F4">
        <w:rPr>
          <w:lang w:val="en-US"/>
        </w:rPr>
        <w:lastRenderedPageBreak/>
        <w:t xml:space="preserve">The three classes present social representations that relate to the participants’ cognitive, social, cultural, and historical development. It can be noticed that the old gay men who are more religious, and the ones who live in smaller towns present a view anchored and objectified on heteronormative presuppositions, evidencing that the gays themselves have a homophobic discourse. Even though all of them consider the negative effects of homophobia, some believe that gays must protect themselves not to suffer because of homophobic acts, for the norm that guides them is conservative and religious. </w:t>
      </w:r>
    </w:p>
    <w:p w14:paraId="21B9929E" w14:textId="77777777" w:rsidR="001D5CB3" w:rsidRPr="00AB33F4" w:rsidRDefault="001D5CB3" w:rsidP="00AD612A">
      <w:pPr>
        <w:spacing w:line="360" w:lineRule="auto"/>
        <w:ind w:firstLine="709"/>
        <w:jc w:val="both"/>
        <w:rPr>
          <w:lang w:val="en-US"/>
        </w:rPr>
      </w:pPr>
      <w:r w:rsidRPr="00AB33F4">
        <w:rPr>
          <w:lang w:val="en-US"/>
        </w:rPr>
        <w:t>The social-historical context in which they developed the social representations of homophobia was repressive and determinist. In the sociodemographic data, one can notice their religious, educational, and family diversity, as well as aspects that they have in common, such as the fact that most of them are single and have good financial conditions.  The social representation of homophobia based on the homosexuality stigma (Classes 1 and 2) was more present in the dialogue of the old gay men from small towns. All the participants mentioned something that referred to physical, social or psychological violence (Class 3).</w:t>
      </w:r>
    </w:p>
    <w:p w14:paraId="673A724A" w14:textId="77777777" w:rsidR="001D5CB3" w:rsidRPr="00AB33F4" w:rsidRDefault="001D5CB3" w:rsidP="00AD612A">
      <w:pPr>
        <w:spacing w:line="360" w:lineRule="auto"/>
        <w:ind w:firstLine="709"/>
        <w:jc w:val="both"/>
        <w:rPr>
          <w:lang w:val="en-US"/>
        </w:rPr>
      </w:pPr>
      <w:r w:rsidRPr="00AB33F4">
        <w:rPr>
          <w:lang w:val="en-US"/>
        </w:rPr>
        <w:t>The subjectivities are suppressed and hidden to adapt to the heteronormative model valid in society, once adopting gender expressions inherent to the heterosexual sexual orientation may cause cases of violence, family rejection, difficulties to find a job, prejudice on health services, and bullying at school. Finally, it is a general strategy adopted so they do not suffer homophobia; those participants are homophobic to themselves (internalized homophobia), for fear, for lack of information or absence of biopsychosocial support.</w:t>
      </w:r>
    </w:p>
    <w:p w14:paraId="45F4C9ED" w14:textId="2CE457BE" w:rsidR="001D5CB3" w:rsidRPr="00AB33F4" w:rsidRDefault="001D5CB3" w:rsidP="00E648EF">
      <w:pPr>
        <w:spacing w:line="360" w:lineRule="auto"/>
        <w:jc w:val="center"/>
        <w:rPr>
          <w:b/>
          <w:lang w:val="en-US"/>
        </w:rPr>
      </w:pPr>
      <w:r w:rsidRPr="00AB33F4">
        <w:rPr>
          <w:b/>
          <w:lang w:val="en-US"/>
        </w:rPr>
        <w:t>Discussion</w:t>
      </w:r>
    </w:p>
    <w:p w14:paraId="5AF3560C" w14:textId="77777777" w:rsidR="001D5CB3" w:rsidRPr="00AB33F4" w:rsidRDefault="001D5CB3" w:rsidP="00AD612A">
      <w:pPr>
        <w:spacing w:line="360" w:lineRule="auto"/>
        <w:ind w:firstLine="709"/>
        <w:jc w:val="both"/>
        <w:rPr>
          <w:lang w:val="en-US"/>
        </w:rPr>
      </w:pPr>
      <w:r w:rsidRPr="00AB33F4">
        <w:rPr>
          <w:bCs/>
          <w:lang w:val="en-US"/>
        </w:rPr>
        <w:t>The social representation classes focused on three meanings: the identification of the situations of prejudice in society, the fear of discrimination and violations in general, and internalized homophobia. The social representation of homophobia anchored on the three aspects above-mentioned</w:t>
      </w:r>
      <w:r w:rsidRPr="00AB33F4">
        <w:rPr>
          <w:lang w:val="en-US"/>
        </w:rPr>
        <w:t xml:space="preserve"> affects the sexual identity as a guiding way to protect themselves from being victims of discrimination actions. The participants’ historical and cultural development is affected by the social characteristics that mark identity, as shown in Table 1. With the </w:t>
      </w:r>
      <w:proofErr w:type="spellStart"/>
      <w:r w:rsidRPr="00AB33F4">
        <w:rPr>
          <w:lang w:val="en-US"/>
        </w:rPr>
        <w:t>intersectionalities</w:t>
      </w:r>
      <w:proofErr w:type="spellEnd"/>
      <w:r w:rsidRPr="00AB33F4">
        <w:rPr>
          <w:lang w:val="en-US"/>
        </w:rPr>
        <w:t xml:space="preserve"> such as sexual orientation, social class, religiosity and age, the social representations are rigid and intergroup, and full of individual specificities. </w:t>
      </w:r>
    </w:p>
    <w:p w14:paraId="4438F91A" w14:textId="77777777" w:rsidR="001D5CB3" w:rsidRPr="00AB33F4" w:rsidRDefault="001D5CB3" w:rsidP="00AD612A">
      <w:pPr>
        <w:spacing w:line="360" w:lineRule="auto"/>
        <w:ind w:firstLine="709"/>
        <w:jc w:val="both"/>
        <w:rPr>
          <w:lang w:val="en-US"/>
        </w:rPr>
      </w:pPr>
      <w:r w:rsidRPr="00AB33F4">
        <w:rPr>
          <w:lang w:val="en-US"/>
        </w:rPr>
        <w:t xml:space="preserve">A possible justification may be the fact that there are core social representations, such as the image of the prejudice and the internalized homophobia, which were more evident in the textual corpus. Besides that, the peripheral social representations that bring aspects of the daily experience of the old gay men, such as homophobic situations faced during their lives. Among those, they mention being fired from work for being gay; marginalization when donating blood; </w:t>
      </w:r>
      <w:r w:rsidRPr="00AB33F4">
        <w:rPr>
          <w:lang w:val="en-US"/>
        </w:rPr>
        <w:lastRenderedPageBreak/>
        <w:t>financial extortion from relatives, parental physical aggression and rejection of rental agreement for being effeminate.</w:t>
      </w:r>
    </w:p>
    <w:p w14:paraId="58B9461E" w14:textId="77777777" w:rsidR="001D5CB3" w:rsidRPr="00AB33F4" w:rsidRDefault="001D5CB3" w:rsidP="00AD612A">
      <w:pPr>
        <w:spacing w:line="360" w:lineRule="auto"/>
        <w:ind w:firstLine="709"/>
        <w:jc w:val="both"/>
        <w:rPr>
          <w:lang w:val="en-US"/>
        </w:rPr>
      </w:pPr>
      <w:r w:rsidRPr="00AB33F4">
        <w:rPr>
          <w:lang w:val="en-US"/>
        </w:rPr>
        <w:t xml:space="preserve">In the social representations of the present study, internalized homophobia is justified by heteronormativity and by the prejudice noticed. Studies show that heteronormativity and conservatism cause prejudice against sexual diversity (Santos, Araújo, Cerqueira-Santos, &amp; Negreiros, 2018; Mott, 2016; </w:t>
      </w:r>
      <w:proofErr w:type="spellStart"/>
      <w:r w:rsidRPr="00AB33F4">
        <w:rPr>
          <w:lang w:val="en-US"/>
        </w:rPr>
        <w:t>Fazano</w:t>
      </w:r>
      <w:proofErr w:type="spellEnd"/>
      <w:r w:rsidRPr="00AB33F4">
        <w:rPr>
          <w:lang w:val="en-US"/>
        </w:rPr>
        <w:t xml:space="preserve">, Ribeiro, &amp; Prado, 2017; </w:t>
      </w:r>
      <w:proofErr w:type="spellStart"/>
      <w:r w:rsidRPr="00AB33F4">
        <w:rPr>
          <w:lang w:val="en-US"/>
        </w:rPr>
        <w:t>Cazelatto</w:t>
      </w:r>
      <w:proofErr w:type="spellEnd"/>
      <w:r w:rsidRPr="00AB33F4">
        <w:rPr>
          <w:lang w:val="en-US"/>
        </w:rPr>
        <w:t xml:space="preserve"> &amp; Cardin, 2016). Another influencing aspect is the cultural context in which they developed. Living in smaller or in rural towns increases the possibility of internalized homophobia, for they lived in a culture based on religiosity, conservatism, sexism and sexual prejudice (Bouchard, Potts, &amp; Lund, 2021; Barefoot, Rickard, Smalley, &amp; Warren, 2015). The search for metropolitan cities happens due to work opportunities and gay socialization (Cardiel, 2020). From the participants of this study, 55% lived most of their lives in smaller towns. Among the 45% who lived longer in metropolitan zones of Brazilian capitals, 40% left their birth towns trying to find better conditions to experience their sexuality. </w:t>
      </w:r>
    </w:p>
    <w:p w14:paraId="56C3C769" w14:textId="77777777" w:rsidR="001D5CB3" w:rsidRPr="00AB33F4" w:rsidRDefault="001D5CB3" w:rsidP="00AD612A">
      <w:pPr>
        <w:spacing w:line="360" w:lineRule="auto"/>
        <w:ind w:firstLine="709"/>
        <w:jc w:val="both"/>
        <w:rPr>
          <w:lang w:val="en-US"/>
        </w:rPr>
      </w:pPr>
      <w:r w:rsidRPr="00AB33F4">
        <w:rPr>
          <w:lang w:val="en-US"/>
        </w:rPr>
        <w:t>People with high educational and income levels experienced less the homophobia stigma (</w:t>
      </w:r>
      <w:proofErr w:type="spellStart"/>
      <w:r w:rsidRPr="00AB33F4">
        <w:rPr>
          <w:lang w:val="en-US"/>
        </w:rPr>
        <w:t>Paveltchuk</w:t>
      </w:r>
      <w:proofErr w:type="spellEnd"/>
      <w:r w:rsidRPr="00AB33F4">
        <w:rPr>
          <w:lang w:val="en-US"/>
        </w:rPr>
        <w:t xml:space="preserve"> &amp; Borsa, 2019). Another research did not find a significant statistical association between the educational level and the current internalization of homophobia (</w:t>
      </w:r>
      <w:proofErr w:type="spellStart"/>
      <w:r w:rsidRPr="00AB33F4">
        <w:rPr>
          <w:lang w:val="en-US"/>
        </w:rPr>
        <w:t>Meanley</w:t>
      </w:r>
      <w:proofErr w:type="spellEnd"/>
      <w:r w:rsidRPr="00AB33F4">
        <w:rPr>
          <w:lang w:val="en-US"/>
        </w:rPr>
        <w:t xml:space="preserve"> et al., 2020). In this study, the educational level of the participants is high; 60% had access to higher education and, even so, social representations related to identity hiding were evidenced. In numbers, 45% of the participants have their social representations that openly position them against some homosexual behaviors, such as walking holding hands, femininity and defending gay pride. Their position, in that case, can be understood as homophobic actions.</w:t>
      </w:r>
    </w:p>
    <w:p w14:paraId="2FC5F12B" w14:textId="77777777" w:rsidR="001D5CB3" w:rsidRPr="00AB33F4" w:rsidRDefault="001D5CB3" w:rsidP="00AD612A">
      <w:pPr>
        <w:spacing w:line="360" w:lineRule="auto"/>
        <w:ind w:firstLine="709"/>
        <w:jc w:val="both"/>
        <w:rPr>
          <w:lang w:val="en-US"/>
        </w:rPr>
      </w:pPr>
      <w:r w:rsidRPr="00AB33F4">
        <w:rPr>
          <w:lang w:val="en-US"/>
        </w:rPr>
        <w:t xml:space="preserve">The violence begins at home; studies record the absence of family support, rejection, forcing the son/daughter to leave home, torture, financial violence, psychological and sexual repression (Braga et al., 2018; Diniz &amp; Marra, 2019; </w:t>
      </w:r>
      <w:proofErr w:type="spellStart"/>
      <w:r w:rsidRPr="00AB33F4">
        <w:rPr>
          <w:lang w:val="en-US"/>
        </w:rPr>
        <w:t>Fazano</w:t>
      </w:r>
      <w:proofErr w:type="spellEnd"/>
      <w:r w:rsidRPr="00AB33F4">
        <w:rPr>
          <w:lang w:val="en-US"/>
        </w:rPr>
        <w:t xml:space="preserve">, Ribeiro, &amp; Prado, 2017; </w:t>
      </w:r>
      <w:proofErr w:type="spellStart"/>
      <w:r w:rsidRPr="00AB33F4">
        <w:rPr>
          <w:lang w:val="en-US"/>
        </w:rPr>
        <w:t>Cazelatto</w:t>
      </w:r>
      <w:proofErr w:type="spellEnd"/>
      <w:r w:rsidRPr="00AB33F4">
        <w:rPr>
          <w:lang w:val="en-US"/>
        </w:rPr>
        <w:t xml:space="preserve"> &amp; Cardin, 2016). Homosexual people whose parents are authoritarian are more prone to internalized homophobia public stigma, while reciprocal parenthoods produce resilience (</w:t>
      </w:r>
      <w:r w:rsidRPr="00AB33F4">
        <w:rPr>
          <w:shd w:val="clear" w:color="auto" w:fill="FFFFFF"/>
          <w:lang w:val="en-US"/>
        </w:rPr>
        <w:t>Liu, Chui, &amp; Chung, 2021</w:t>
      </w:r>
      <w:r w:rsidRPr="00AB33F4">
        <w:rPr>
          <w:lang w:val="en-US"/>
        </w:rPr>
        <w:t xml:space="preserve">). The participants of this study reported having a calm family relationship, and 35% of them live with their family. From that percentage of the ones who live with their families, 57.5% are informal caretakers of their mothers. Others report having been their parents’ caretakers until they died. </w:t>
      </w:r>
    </w:p>
    <w:p w14:paraId="57C1D948" w14:textId="6185146D" w:rsidR="001D5CB3" w:rsidRPr="00AB33F4" w:rsidRDefault="001D5CB3" w:rsidP="00AD612A">
      <w:pPr>
        <w:spacing w:line="360" w:lineRule="auto"/>
        <w:ind w:firstLine="709"/>
        <w:jc w:val="both"/>
        <w:rPr>
          <w:lang w:val="en-US"/>
        </w:rPr>
      </w:pPr>
      <w:r w:rsidRPr="00AB33F4">
        <w:rPr>
          <w:lang w:val="en-US"/>
        </w:rPr>
        <w:t xml:space="preserve">The fact is that a good family relationship does not mean that they truly live their sexuality. The sexual orientation remains protected, in a sense that one can by gay, but cannot have the behaviors of a gay person. The “closet” is not a simple act of trying to hide who you </w:t>
      </w:r>
      <w:r w:rsidRPr="00AB33F4">
        <w:rPr>
          <w:lang w:val="en-US"/>
        </w:rPr>
        <w:lastRenderedPageBreak/>
        <w:t xml:space="preserve">are, but a way of self-defense against the sexual prejudice (Mota, 2012). </w:t>
      </w:r>
      <w:proofErr w:type="gramStart"/>
      <w:r w:rsidRPr="00AB33F4">
        <w:rPr>
          <w:lang w:val="en-US"/>
        </w:rPr>
        <w:t>A research</w:t>
      </w:r>
      <w:proofErr w:type="gramEnd"/>
      <w:r w:rsidRPr="00AB33F4">
        <w:rPr>
          <w:lang w:val="en-US"/>
        </w:rPr>
        <w:t xml:space="preserve"> points out that the internalized homophobia and the discrimination experiences affect the capacity of having a complete and productive life (</w:t>
      </w:r>
      <w:proofErr w:type="spellStart"/>
      <w:r w:rsidRPr="00AB33F4">
        <w:rPr>
          <w:lang w:val="en-US"/>
        </w:rPr>
        <w:t>Meanley</w:t>
      </w:r>
      <w:proofErr w:type="spellEnd"/>
      <w:r w:rsidRPr="00AB33F4">
        <w:rPr>
          <w:lang w:val="en-US"/>
        </w:rPr>
        <w:t xml:space="preserve"> et al., 2020</w:t>
      </w:r>
      <w:r w:rsidR="00BF1DAD" w:rsidRPr="00AB33F4">
        <w:rPr>
          <w:lang w:val="en-US"/>
        </w:rPr>
        <w:t>; Rabelo &amp; Davi, 2020</w:t>
      </w:r>
      <w:r w:rsidRPr="00AB33F4">
        <w:rPr>
          <w:lang w:val="en-US"/>
        </w:rPr>
        <w:t>). Abnegation and identity repression are frustration indicators (Marciano &amp; Nimrod, 2021). Gays who are victims of homophobic bullying in childhood tend to develop more severe anxiety and depression in adult life. Psychological intervention and family support are essential to reduce mental health problems</w:t>
      </w:r>
      <w:r w:rsidRPr="00AB33F4">
        <w:rPr>
          <w:shd w:val="clear" w:color="auto" w:fill="FFFFFF"/>
          <w:lang w:val="en-US"/>
        </w:rPr>
        <w:t xml:space="preserve"> (Wang et al., 2018). </w:t>
      </w:r>
      <w:r w:rsidR="00D671B4" w:rsidRPr="00AB33F4">
        <w:rPr>
          <w:shd w:val="clear" w:color="auto" w:fill="FFFFFF"/>
          <w:lang w:val="en-US"/>
        </w:rPr>
        <w:t>Among the study participants, psychological and verbal violence was more common, in addition to internalized violence, however four participants reported physical violence from family members.</w:t>
      </w:r>
    </w:p>
    <w:p w14:paraId="42B9971E" w14:textId="77777777" w:rsidR="001D5CB3" w:rsidRPr="00AB33F4" w:rsidRDefault="001D5CB3" w:rsidP="00AD612A">
      <w:pPr>
        <w:spacing w:line="360" w:lineRule="auto"/>
        <w:ind w:firstLine="709"/>
        <w:jc w:val="both"/>
        <w:rPr>
          <w:lang w:val="en-US"/>
        </w:rPr>
      </w:pPr>
      <w:r w:rsidRPr="00AB33F4">
        <w:rPr>
          <w:lang w:val="en-US"/>
        </w:rPr>
        <w:t xml:space="preserve">The perception of prejudice since childhood activates the internalized homophobia stigma that causes internal and external repression, in which a homosexual person feels forced to present a heterosexual image. The process of producing heteronormative behaviors </w:t>
      </w:r>
      <w:proofErr w:type="gramStart"/>
      <w:r w:rsidRPr="00AB33F4">
        <w:rPr>
          <w:lang w:val="en-US"/>
        </w:rPr>
        <w:t>are</w:t>
      </w:r>
      <w:proofErr w:type="gramEnd"/>
      <w:r w:rsidRPr="00AB33F4">
        <w:rPr>
          <w:lang w:val="en-US"/>
        </w:rPr>
        <w:t xml:space="preserve"> so intense due to the social heteronormative influence that homosexuality is there, repressed, hidden, and impossible to be experimented (Antunes, 2017; Oliveira et al., 2020). As a result, the manifestation of prejudiced discourses appears, based on the representation that “you can be gay, but you cannot be effeminate”. </w:t>
      </w:r>
    </w:p>
    <w:p w14:paraId="64E72C51" w14:textId="77777777" w:rsidR="001D5CB3" w:rsidRPr="00AB33F4" w:rsidRDefault="001D5CB3" w:rsidP="00AD612A">
      <w:pPr>
        <w:spacing w:line="360" w:lineRule="auto"/>
        <w:ind w:firstLine="709"/>
        <w:jc w:val="both"/>
        <w:rPr>
          <w:lang w:val="en-US"/>
        </w:rPr>
      </w:pPr>
      <w:r w:rsidRPr="00AB33F4">
        <w:rPr>
          <w:lang w:val="en-US"/>
        </w:rPr>
        <w:t xml:space="preserve">Studies indicate that people with a high level of internalized homophobia have less sexual satisfaction (Cerqueira- Santos, Sá, Carvalho, &amp; Silveira, 2017; Silveira &amp; Cerqueira-Santos, 2019). </w:t>
      </w:r>
      <w:proofErr w:type="gramStart"/>
      <w:r w:rsidRPr="00AB33F4">
        <w:rPr>
          <w:lang w:val="en-US"/>
        </w:rPr>
        <w:t>A research</w:t>
      </w:r>
      <w:proofErr w:type="gramEnd"/>
      <w:r w:rsidRPr="00AB33F4">
        <w:rPr>
          <w:lang w:val="en-US"/>
        </w:rPr>
        <w:t xml:space="preserve"> proved that internalized homophobia is a predictor of heterosexual conjugal intention (Shi, Xu, &amp; Zheng, 2020). In this study, a big part of the old gay man report difficulties to have intimate relationships, and the homophobia influences on those difficulties. They point out that they use relationship applications, but that their intention is not only sex, but also the search for a companion to share experiences. Living homosexuality on Internet is a way to avoid homophobia in places for dating that require exposition. The preference to the use of information technologies is constant in the life of the old gay man, mainly to the closeted ones. Searching for online relationships, personal life remains protected; the hiding culture is seen as being safer (Marciano &amp; Nimrod, 2021). Another barrier pointed out by the participants of this study is the representation of the old gay man as a male provider that keeps the partner, being it an aspect of intragroup prejudice.</w:t>
      </w:r>
    </w:p>
    <w:p w14:paraId="139C1823" w14:textId="77777777" w:rsidR="001D5CB3" w:rsidRPr="00AB33F4" w:rsidRDefault="001D5CB3" w:rsidP="00AD612A">
      <w:pPr>
        <w:spacing w:line="360" w:lineRule="auto"/>
        <w:ind w:firstLine="709"/>
        <w:jc w:val="both"/>
        <w:rPr>
          <w:lang w:val="en-US"/>
        </w:rPr>
      </w:pPr>
      <w:proofErr w:type="gramStart"/>
      <w:r w:rsidRPr="00AB33F4">
        <w:rPr>
          <w:lang w:val="en-US"/>
        </w:rPr>
        <w:t>A research of social representations</w:t>
      </w:r>
      <w:proofErr w:type="gramEnd"/>
      <w:r w:rsidRPr="00AB33F4">
        <w:rPr>
          <w:lang w:val="en-US"/>
        </w:rPr>
        <w:t xml:space="preserve"> about homosexuality demonstrated that the most relevant evocation associated was “prejudice”, an objectification in the aspect that is present in the life course of homosexual people (Santos &amp; Araújo, 2020). In </w:t>
      </w:r>
      <w:proofErr w:type="gramStart"/>
      <w:r w:rsidRPr="00AB33F4">
        <w:rPr>
          <w:lang w:val="en-US"/>
        </w:rPr>
        <w:t>a research</w:t>
      </w:r>
      <w:proofErr w:type="gramEnd"/>
      <w:r w:rsidRPr="00AB33F4">
        <w:rPr>
          <w:lang w:val="en-US"/>
        </w:rPr>
        <w:t>, the participants of the ethnical and racial minorities reported having higher internalized homophobia (</w:t>
      </w:r>
      <w:proofErr w:type="spellStart"/>
      <w:r w:rsidRPr="00AB33F4">
        <w:rPr>
          <w:lang w:val="en-US"/>
        </w:rPr>
        <w:t>Meanley</w:t>
      </w:r>
      <w:proofErr w:type="spellEnd"/>
      <w:r w:rsidRPr="00AB33F4">
        <w:rPr>
          <w:lang w:val="en-US"/>
        </w:rPr>
        <w:t xml:space="preserve"> </w:t>
      </w:r>
      <w:r w:rsidRPr="00AB33F4">
        <w:rPr>
          <w:lang w:val="en-US"/>
        </w:rPr>
        <w:lastRenderedPageBreak/>
        <w:t>et al., 2020). The above-mentioned study identified that the oldest people had a higher level of internalized homophobia.</w:t>
      </w:r>
    </w:p>
    <w:p w14:paraId="6656C217" w14:textId="77777777" w:rsidR="001D5CB3" w:rsidRPr="00AB33F4" w:rsidRDefault="001D5CB3" w:rsidP="00AD612A">
      <w:pPr>
        <w:spacing w:line="360" w:lineRule="auto"/>
        <w:ind w:firstLine="709"/>
        <w:jc w:val="both"/>
        <w:rPr>
          <w:lang w:val="en-US"/>
        </w:rPr>
      </w:pPr>
      <w:r w:rsidRPr="00AB33F4">
        <w:rPr>
          <w:lang w:val="en-US"/>
        </w:rPr>
        <w:t>The social representations of homophobia exhibit the dimensions on the violations that concern old gay man. They may face financial exploitation, physical and emotional abuse (Bouchard, Potts, &amp; Lund, 2021). In the work context, it is common to hide one’s identity to avoid discrimination, and then, old gay men consider it a hostile environment, remarked by insults, harassment and dismissal (Cardiel, 2020). The aging of gay men born in the middle of the twentieth century is marked by homophobia, with oppression, hiding, marginalization and invisibility.</w:t>
      </w:r>
    </w:p>
    <w:p w14:paraId="2960E238" w14:textId="41EA5191" w:rsidR="001D5CB3" w:rsidRPr="00AB33F4" w:rsidRDefault="001D5CB3" w:rsidP="00AD612A">
      <w:pPr>
        <w:spacing w:line="360" w:lineRule="auto"/>
        <w:ind w:firstLine="709"/>
        <w:jc w:val="both"/>
        <w:rPr>
          <w:lang w:val="en-US"/>
        </w:rPr>
      </w:pPr>
      <w:r w:rsidRPr="00AB33F4">
        <w:rPr>
          <w:lang w:val="en-US"/>
        </w:rPr>
        <w:t xml:space="preserve">Even after the political achievements, the prejudice remains within the society (de Vries et al., 2019). Therefore, Borrillo (2017, p. 20) affirms that “the search for new and alternative rights is more than never necessary to make us stop being disciplined subjects and we become sculptors of our own existence” (original text published in Portuguese, translated into English by us). The old men develop strategies and resilience during aging to deal with the harms of the discrimination, like the stress and the anxiety in old age (Batista &amp; Pereira, 2020; </w:t>
      </w:r>
      <w:r w:rsidRPr="00AB33F4">
        <w:rPr>
          <w:shd w:val="clear" w:color="auto" w:fill="FFFFFF"/>
          <w:lang w:val="en-US"/>
        </w:rPr>
        <w:t>Halkitis et al., 2017</w:t>
      </w:r>
      <w:r w:rsidRPr="00AB33F4">
        <w:rPr>
          <w:lang w:val="en-US"/>
        </w:rPr>
        <w:t>).</w:t>
      </w:r>
      <w:r w:rsidR="0049680E" w:rsidRPr="00AB33F4">
        <w:rPr>
          <w:lang w:val="en-US"/>
        </w:rPr>
        <w:t xml:space="preserve"> The support of the World Health Organization in not considering homosexuality as a pathology and the insertion of policies to combat homophobia are essential in the achievements of LGBTQIA+ people (Araújo, 2021)</w:t>
      </w:r>
      <w:r w:rsidR="00D671B4" w:rsidRPr="00AB33F4">
        <w:rPr>
          <w:lang w:val="en-US"/>
        </w:rPr>
        <w:t>, however, even after 30 years, the social representation of homophobia still points to the experience of stressors</w:t>
      </w:r>
      <w:r w:rsidR="0049680E" w:rsidRPr="00AB33F4">
        <w:rPr>
          <w:lang w:val="en-US"/>
        </w:rPr>
        <w:t>.</w:t>
      </w:r>
    </w:p>
    <w:p w14:paraId="04D34D79" w14:textId="77777777" w:rsidR="001D5CB3" w:rsidRPr="00AB33F4" w:rsidRDefault="001D5CB3" w:rsidP="00AD612A">
      <w:pPr>
        <w:spacing w:line="360" w:lineRule="auto"/>
        <w:ind w:firstLine="708"/>
        <w:jc w:val="both"/>
        <w:rPr>
          <w:lang w:val="en-US"/>
        </w:rPr>
      </w:pPr>
      <w:r w:rsidRPr="00AB33F4">
        <w:rPr>
          <w:lang w:val="en-US"/>
        </w:rPr>
        <w:t>It was identified that, despite the object of this study is homophobia, the social representations and the studies researched in the data bases evidenced the internalized homophobia. The social representations of homophobia anchored and objectified in abstract reports of the preoccupation with the discrimination become internalized homophobia. The academic literature about old gay men and homophobia notifies that internalized homophobia is the prevalent content. The participants of this study report social representations that bring identity and guiding contents, such as violence, fear, aggression, and prejudiced discourse against the gay intragroup itself.</w:t>
      </w:r>
    </w:p>
    <w:p w14:paraId="0CE524C6" w14:textId="77777777" w:rsidR="0049680E" w:rsidRPr="00AB33F4" w:rsidRDefault="001D5CB3" w:rsidP="00AD612A">
      <w:pPr>
        <w:spacing w:line="360" w:lineRule="auto"/>
        <w:ind w:firstLine="708"/>
        <w:jc w:val="both"/>
        <w:rPr>
          <w:lang w:val="en-US"/>
        </w:rPr>
      </w:pPr>
      <w:r w:rsidRPr="00AB33F4">
        <w:rPr>
          <w:lang w:val="en-US"/>
        </w:rPr>
        <w:t xml:space="preserve">Those people have always lived playing social roles imposed by the social representation of homophobia, in which the social knowledge keeps them inside the closet. The results may reflect the stigma and the strategies that they constructed along their life course. They bring examples from themselves and from colleagues that suffered discrimination. The panic of being sent out of home, socially excluded, or worse, attacked or killed caused in that cohort of old gay men, which cannot be generalized, but evidence how the sexual prejudice defines the homosexual people’s life. </w:t>
      </w:r>
    </w:p>
    <w:p w14:paraId="394FC73E" w14:textId="21F21352" w:rsidR="001D5CB3" w:rsidRPr="00AB33F4" w:rsidRDefault="001D5CB3" w:rsidP="00AD612A">
      <w:pPr>
        <w:spacing w:line="360" w:lineRule="auto"/>
        <w:ind w:firstLine="708"/>
        <w:jc w:val="both"/>
        <w:rPr>
          <w:lang w:val="en-US"/>
        </w:rPr>
      </w:pPr>
      <w:r w:rsidRPr="00AB33F4">
        <w:rPr>
          <w:lang w:val="en-US"/>
        </w:rPr>
        <w:lastRenderedPageBreak/>
        <w:t xml:space="preserve">The existing bibliography about old gay men notifies how much the socially deep-rooted prejudice can result in damages in mental health and in life quality. Minority stress, depression, and anxiety disorders are examples of that. </w:t>
      </w:r>
      <w:r w:rsidR="0049680E" w:rsidRPr="00AB33F4">
        <w:rPr>
          <w:lang w:val="en-US"/>
        </w:rPr>
        <w:t>In the Brazilian context, it was identified how the social representation of stressful events makes aging difficult and homophobia as an obstacle to a full life, in view of the existence of shame of being homosexual and the fear of violence.</w:t>
      </w:r>
    </w:p>
    <w:p w14:paraId="449B5669" w14:textId="77777777" w:rsidR="001D5CB3" w:rsidRPr="00AB33F4" w:rsidRDefault="001D5CB3" w:rsidP="00AD612A">
      <w:pPr>
        <w:spacing w:line="360" w:lineRule="auto"/>
        <w:ind w:firstLine="709"/>
        <w:jc w:val="both"/>
        <w:rPr>
          <w:lang w:val="en-US"/>
        </w:rPr>
      </w:pPr>
      <w:r w:rsidRPr="00AB33F4">
        <w:rPr>
          <w:lang w:val="en-US"/>
        </w:rPr>
        <w:t>Even with limitations with data collection, such as subjects refusing to participate of the study, this research reached the aim of understanding the social representations of old gay men about homophobia. The data of this study reinforce the necessity of education on health for the reduction of intragroup and societal homophobia. The social acceptance of homosexuality is indispensable for those people not to develop within a psychosocial dictatorship to be faced for survival, after all, every person deserves to have the same rights, and the minorities fight for them to be consolidated.</w:t>
      </w:r>
    </w:p>
    <w:p w14:paraId="164EDF86" w14:textId="143A2522" w:rsidR="001D5CB3" w:rsidRPr="00AB33F4" w:rsidRDefault="001D5CB3" w:rsidP="00AD612A">
      <w:pPr>
        <w:spacing w:line="360" w:lineRule="auto"/>
        <w:ind w:firstLine="709"/>
        <w:jc w:val="both"/>
        <w:rPr>
          <w:lang w:val="en-US"/>
        </w:rPr>
      </w:pPr>
      <w:r w:rsidRPr="00AB33F4">
        <w:rPr>
          <w:lang w:val="en-US"/>
        </w:rPr>
        <w:t xml:space="preserve">Homosexual people should not diminish their culture to be a minority, but for that to happen, it is necessary to insert LGBT people in various social spaces by means of policies, education and complete attention to the population. </w:t>
      </w:r>
      <w:r w:rsidR="00C26553" w:rsidRPr="00AB33F4">
        <w:rPr>
          <w:lang w:val="en-US"/>
        </w:rPr>
        <w:t>In Brazil, t</w:t>
      </w:r>
      <w:r w:rsidRPr="00AB33F4">
        <w:rPr>
          <w:lang w:val="en-US"/>
        </w:rPr>
        <w:t xml:space="preserve">he lack of knowledge of the society </w:t>
      </w:r>
      <w:proofErr w:type="spellStart"/>
      <w:r w:rsidRPr="00AB33F4">
        <w:rPr>
          <w:lang w:val="en-US"/>
        </w:rPr>
        <w:t>vulnerabilizes</w:t>
      </w:r>
      <w:proofErr w:type="spellEnd"/>
      <w:r w:rsidRPr="00AB33F4">
        <w:rPr>
          <w:lang w:val="en-US"/>
        </w:rPr>
        <w:t xml:space="preserve"> the old gay men and marginalizes a whole generation </w:t>
      </w:r>
      <w:proofErr w:type="gramStart"/>
      <w:r w:rsidRPr="00AB33F4">
        <w:rPr>
          <w:lang w:val="en-US"/>
        </w:rPr>
        <w:t>of  people</w:t>
      </w:r>
      <w:proofErr w:type="gramEnd"/>
      <w:r w:rsidRPr="00AB33F4">
        <w:rPr>
          <w:lang w:val="en-US"/>
        </w:rPr>
        <w:t xml:space="preserve"> that  became older being unfavored, who had to learn to deal with change and sexuality complex issues to face prejudice. </w:t>
      </w:r>
    </w:p>
    <w:p w14:paraId="6AE1E84D" w14:textId="77777777" w:rsidR="001D5CB3" w:rsidRPr="00AB33F4" w:rsidRDefault="001D5CB3" w:rsidP="00AD612A">
      <w:pPr>
        <w:spacing w:line="360" w:lineRule="auto"/>
        <w:ind w:firstLine="709"/>
        <w:jc w:val="both"/>
        <w:rPr>
          <w:lang w:val="en-US"/>
        </w:rPr>
      </w:pPr>
      <w:r w:rsidRPr="00AB33F4">
        <w:rPr>
          <w:lang w:val="en-US"/>
        </w:rPr>
        <w:t>According to the change of the social representations of homosexuality, which occurs in the social-historical context of social influence in the dissemination of knowledge of homosexual affirmation, the gay old age can possibly become a period for security, social inclusion, and health. This study discussed aspects that involve the daily life of old gay man and can contribute to interventions, discussions, and rights, to professionals in general and the public power.</w:t>
      </w:r>
    </w:p>
    <w:p w14:paraId="57C62A1F" w14:textId="77777777" w:rsidR="00E648EF" w:rsidRPr="00AB33F4" w:rsidRDefault="00E648EF">
      <w:pPr>
        <w:spacing w:line="240" w:lineRule="auto"/>
        <w:rPr>
          <w:b/>
          <w:bCs/>
          <w:lang w:val="pt-BR"/>
        </w:rPr>
      </w:pPr>
      <w:r w:rsidRPr="00AB33F4">
        <w:rPr>
          <w:b/>
          <w:bCs/>
          <w:lang w:val="pt-BR"/>
        </w:rPr>
        <w:br w:type="page"/>
      </w:r>
    </w:p>
    <w:p w14:paraId="7ED44C16" w14:textId="684ABF60" w:rsidR="00850F3E" w:rsidRPr="00AB33F4" w:rsidRDefault="00861F67" w:rsidP="00E648EF">
      <w:pPr>
        <w:pStyle w:val="Paragraph"/>
        <w:spacing w:line="360" w:lineRule="auto"/>
        <w:jc w:val="center"/>
        <w:rPr>
          <w:b/>
          <w:bCs/>
          <w:lang w:val="pt-BR"/>
        </w:rPr>
      </w:pPr>
      <w:proofErr w:type="spellStart"/>
      <w:r w:rsidRPr="00AB33F4">
        <w:rPr>
          <w:b/>
          <w:bCs/>
          <w:lang w:val="pt-BR"/>
        </w:rPr>
        <w:lastRenderedPageBreak/>
        <w:t>References</w:t>
      </w:r>
      <w:proofErr w:type="spellEnd"/>
    </w:p>
    <w:p w14:paraId="4F674431" w14:textId="77777777" w:rsidR="00BF1DAD" w:rsidRPr="00AB33F4" w:rsidRDefault="00BF1DAD" w:rsidP="00AB33F4">
      <w:pPr>
        <w:autoSpaceDE w:val="0"/>
        <w:autoSpaceDN w:val="0"/>
        <w:adjustRightInd w:val="0"/>
        <w:spacing w:line="360" w:lineRule="auto"/>
        <w:ind w:left="709" w:right="142" w:hanging="709"/>
        <w:rPr>
          <w:rStyle w:val="Hyperlink"/>
          <w:color w:val="auto"/>
          <w:shd w:val="clear" w:color="auto" w:fill="FFFFFF"/>
          <w:lang w:val="pt-BR" w:eastAsia="pt-BR"/>
        </w:rPr>
      </w:pPr>
      <w:r w:rsidRPr="00AB33F4">
        <w:rPr>
          <w:shd w:val="clear" w:color="auto" w:fill="FFFFFF"/>
          <w:lang w:val="pt-BR" w:eastAsia="pt-BR"/>
        </w:rPr>
        <w:t>Alves, M. E. S., &amp; Araújo, L. F. (2020). Interseccionalidade, Raça e Sexualidade: Compreensões Para a Velhice de Negros LGBTI+. </w:t>
      </w:r>
      <w:r w:rsidRPr="00AB33F4">
        <w:rPr>
          <w:i/>
          <w:iCs/>
          <w:shd w:val="clear" w:color="auto" w:fill="FFFFFF"/>
          <w:lang w:val="pt-BR" w:eastAsia="pt-BR"/>
        </w:rPr>
        <w:t>Revista de Psicologia da IMED, 12</w:t>
      </w:r>
      <w:r w:rsidRPr="00AB33F4">
        <w:rPr>
          <w:shd w:val="clear" w:color="auto" w:fill="FFFFFF"/>
          <w:lang w:val="pt-BR" w:eastAsia="pt-BR"/>
        </w:rPr>
        <w:t xml:space="preserve">(2), 161-178. </w:t>
      </w:r>
      <w:hyperlink r:id="rId9" w:history="1">
        <w:r w:rsidRPr="00AB33F4">
          <w:rPr>
            <w:rStyle w:val="Hyperlink"/>
            <w:color w:val="auto"/>
            <w:shd w:val="clear" w:color="auto" w:fill="FFFFFF"/>
            <w:lang w:val="pt-BR" w:eastAsia="pt-BR"/>
          </w:rPr>
          <w:t>https://doi.org/10.18256/2175-5027.2020.v12i2.3517</w:t>
        </w:r>
      </w:hyperlink>
    </w:p>
    <w:p w14:paraId="33080CEA" w14:textId="13E3E8B3" w:rsidR="00AB33F4" w:rsidRPr="00AB33F4" w:rsidRDefault="00BF1DAD" w:rsidP="00AB33F4">
      <w:pPr>
        <w:spacing w:line="360" w:lineRule="auto"/>
        <w:ind w:left="709" w:hanging="709"/>
      </w:pPr>
      <w:r w:rsidRPr="00AB33F4">
        <w:rPr>
          <w:shd w:val="clear" w:color="auto" w:fill="FFFFFF"/>
          <w:lang w:val="pt-BR"/>
        </w:rPr>
        <w:t>Antunes, P. P. S. (2017). Homens homossexuais, envelhecimento e homofobia internalizada. </w:t>
      </w:r>
      <w:r w:rsidRPr="00AB33F4">
        <w:rPr>
          <w:i/>
          <w:iCs/>
          <w:shd w:val="clear" w:color="auto" w:fill="FFFFFF"/>
          <w:lang w:val="pt-BR"/>
        </w:rPr>
        <w:t>Revista Kairós: Gerontologia</w:t>
      </w:r>
      <w:r w:rsidRPr="00AB33F4">
        <w:rPr>
          <w:shd w:val="clear" w:color="auto" w:fill="FFFFFF"/>
          <w:lang w:val="pt-BR"/>
        </w:rPr>
        <w:t>, </w:t>
      </w:r>
      <w:r w:rsidRPr="00AB33F4">
        <w:rPr>
          <w:i/>
          <w:iCs/>
          <w:shd w:val="clear" w:color="auto" w:fill="FFFFFF"/>
          <w:lang w:val="pt-BR"/>
        </w:rPr>
        <w:t>20</w:t>
      </w:r>
      <w:r w:rsidRPr="00AB33F4">
        <w:rPr>
          <w:shd w:val="clear" w:color="auto" w:fill="FFFFFF"/>
          <w:lang w:val="pt-BR"/>
        </w:rPr>
        <w:t xml:space="preserve">(1), 311-335. </w:t>
      </w:r>
      <w:hyperlink r:id="rId10" w:history="1">
        <w:r w:rsidR="00AB33F4" w:rsidRPr="00AB33F4">
          <w:rPr>
            <w:rStyle w:val="Hyperlink"/>
            <w:color w:val="auto"/>
          </w:rPr>
          <w:t>https://acesse.dev/SiZLy</w:t>
        </w:r>
      </w:hyperlink>
    </w:p>
    <w:p w14:paraId="41C4995B" w14:textId="746A7499" w:rsidR="00BF1DAD" w:rsidRPr="00AB33F4" w:rsidRDefault="00BF1DAD" w:rsidP="00AB33F4">
      <w:pPr>
        <w:spacing w:line="360" w:lineRule="auto"/>
        <w:ind w:left="709" w:hanging="709"/>
        <w:rPr>
          <w:lang w:val="pt-BR"/>
        </w:rPr>
      </w:pPr>
      <w:r w:rsidRPr="00AB33F4">
        <w:rPr>
          <w:lang w:val="pt-BR"/>
        </w:rPr>
        <w:t xml:space="preserve">Araújo, L. F. (2021). Desafios da Gerontologia frente à velhice LGBT: aspectos psicossociais. In: Elizabete Viana de Freitas; Ligia </w:t>
      </w:r>
      <w:proofErr w:type="spellStart"/>
      <w:r w:rsidRPr="00AB33F4">
        <w:rPr>
          <w:lang w:val="pt-BR"/>
        </w:rPr>
        <w:t>Py</w:t>
      </w:r>
      <w:proofErr w:type="spellEnd"/>
      <w:r w:rsidRPr="00AB33F4">
        <w:rPr>
          <w:lang w:val="pt-BR"/>
        </w:rPr>
        <w:t>. (Org.). Tratado de Geriatria e Gerontologia. 5ed.Rio de Janeiro/RJ: Guanabara Koogan, 2022, v. 1, p. 1331-1335.</w:t>
      </w:r>
    </w:p>
    <w:p w14:paraId="2E3C0144" w14:textId="77777777" w:rsidR="00BF1DAD" w:rsidRPr="00AB33F4" w:rsidRDefault="00BF1DAD" w:rsidP="00AB33F4">
      <w:pPr>
        <w:spacing w:line="360" w:lineRule="auto"/>
        <w:ind w:left="709" w:hanging="709"/>
        <w:rPr>
          <w:lang w:val="es-ES"/>
        </w:rPr>
      </w:pPr>
      <w:proofErr w:type="spellStart"/>
      <w:r w:rsidRPr="00AB33F4">
        <w:rPr>
          <w:lang w:val="pt-BR"/>
        </w:rPr>
        <w:t>Barefoot</w:t>
      </w:r>
      <w:proofErr w:type="spellEnd"/>
      <w:r w:rsidRPr="00AB33F4">
        <w:rPr>
          <w:lang w:val="pt-BR"/>
        </w:rPr>
        <w:t xml:space="preserve">, K. N., </w:t>
      </w:r>
      <w:proofErr w:type="spellStart"/>
      <w:r w:rsidRPr="00AB33F4">
        <w:rPr>
          <w:lang w:val="pt-BR"/>
        </w:rPr>
        <w:t>Rickard</w:t>
      </w:r>
      <w:proofErr w:type="spellEnd"/>
      <w:r w:rsidRPr="00AB33F4">
        <w:rPr>
          <w:lang w:val="pt-BR"/>
        </w:rPr>
        <w:t xml:space="preserve">, A., Smalley, K. B., &amp; Warren, J. C. (2015). </w:t>
      </w:r>
      <w:r w:rsidRPr="00AB33F4">
        <w:rPr>
          <w:lang w:val="en-US"/>
        </w:rPr>
        <w:t xml:space="preserve">Rural lesbians: Unique challenges and implications for mental health providers. </w:t>
      </w:r>
      <w:proofErr w:type="spellStart"/>
      <w:r w:rsidRPr="00AB33F4">
        <w:rPr>
          <w:lang w:val="es-ES"/>
        </w:rPr>
        <w:t>Journal</w:t>
      </w:r>
      <w:proofErr w:type="spellEnd"/>
      <w:r w:rsidRPr="00AB33F4">
        <w:rPr>
          <w:lang w:val="es-ES"/>
        </w:rPr>
        <w:t xml:space="preserve"> </w:t>
      </w:r>
      <w:proofErr w:type="spellStart"/>
      <w:r w:rsidRPr="00AB33F4">
        <w:rPr>
          <w:lang w:val="es-ES"/>
        </w:rPr>
        <w:t>of</w:t>
      </w:r>
      <w:proofErr w:type="spellEnd"/>
      <w:r w:rsidRPr="00AB33F4">
        <w:rPr>
          <w:lang w:val="es-ES"/>
        </w:rPr>
        <w:t xml:space="preserve"> Rural Mental </w:t>
      </w:r>
      <w:proofErr w:type="spellStart"/>
      <w:r w:rsidRPr="00AB33F4">
        <w:rPr>
          <w:lang w:val="es-ES"/>
        </w:rPr>
        <w:t>Health</w:t>
      </w:r>
      <w:proofErr w:type="spellEnd"/>
      <w:r w:rsidRPr="00AB33F4">
        <w:rPr>
          <w:lang w:val="es-ES"/>
        </w:rPr>
        <w:t xml:space="preserve">, 39(1), 22-33.  </w:t>
      </w:r>
      <w:hyperlink r:id="rId11" w:history="1">
        <w:r w:rsidRPr="00AB33F4">
          <w:rPr>
            <w:rStyle w:val="Hyperlink"/>
            <w:color w:val="auto"/>
            <w:lang w:val="es-ES"/>
          </w:rPr>
          <w:t>https://doi.org/10.1037/rmh0000014</w:t>
        </w:r>
      </w:hyperlink>
      <w:r w:rsidRPr="00AB33F4">
        <w:rPr>
          <w:lang w:val="es-ES"/>
        </w:rPr>
        <w:t xml:space="preserve"> </w:t>
      </w:r>
    </w:p>
    <w:p w14:paraId="4F0952F0" w14:textId="77777777" w:rsidR="00BF1DAD" w:rsidRPr="00AB33F4" w:rsidRDefault="00BF1DAD" w:rsidP="00AB33F4">
      <w:pPr>
        <w:spacing w:line="360" w:lineRule="auto"/>
        <w:ind w:left="709" w:hanging="709"/>
        <w:rPr>
          <w:lang w:val="es-ES"/>
        </w:rPr>
      </w:pPr>
      <w:r w:rsidRPr="00AB33F4">
        <w:rPr>
          <w:shd w:val="clear" w:color="auto" w:fill="FFFFFF"/>
          <w:lang w:val="en-US"/>
        </w:rPr>
        <w:t xml:space="preserve">Batista, I. C., &amp; Pereira, H. (2020). </w:t>
      </w:r>
      <w:r w:rsidRPr="00AB33F4">
        <w:rPr>
          <w:shd w:val="clear" w:color="auto" w:fill="FFFFFF"/>
          <w:lang w:val="pt-BR"/>
        </w:rPr>
        <w:t>Disparidades na saúde mental entre homens gays e bissexuais mais velhos com e sem diagnóstico de VIH. </w:t>
      </w:r>
      <w:r w:rsidRPr="00AB33F4">
        <w:rPr>
          <w:i/>
          <w:iCs/>
          <w:shd w:val="clear" w:color="auto" w:fill="FFFFFF"/>
          <w:lang w:val="pt-BR"/>
        </w:rPr>
        <w:t>Psicologia, Saúde &amp; Doenças</w:t>
      </w:r>
      <w:r w:rsidRPr="00AB33F4">
        <w:rPr>
          <w:shd w:val="clear" w:color="auto" w:fill="FFFFFF"/>
          <w:lang w:val="pt-BR"/>
        </w:rPr>
        <w:t>, </w:t>
      </w:r>
      <w:r w:rsidRPr="00AB33F4">
        <w:rPr>
          <w:i/>
          <w:iCs/>
          <w:shd w:val="clear" w:color="auto" w:fill="FFFFFF"/>
          <w:lang w:val="pt-BR"/>
        </w:rPr>
        <w:t>21</w:t>
      </w:r>
      <w:r w:rsidRPr="00AB33F4">
        <w:rPr>
          <w:shd w:val="clear" w:color="auto" w:fill="FFFFFF"/>
          <w:lang w:val="pt-BR"/>
        </w:rPr>
        <w:t xml:space="preserve">(1), 53-61. </w:t>
      </w:r>
      <w:hyperlink r:id="rId12" w:history="1">
        <w:r w:rsidRPr="00AB33F4">
          <w:rPr>
            <w:rStyle w:val="Hyperlink"/>
            <w:color w:val="auto"/>
            <w:lang w:val="pt-BR"/>
          </w:rPr>
          <w:t>http://dx.doi.org/10.15309/20psd210109</w:t>
        </w:r>
      </w:hyperlink>
    </w:p>
    <w:p w14:paraId="33BF94BC" w14:textId="77777777" w:rsidR="00BF1DAD" w:rsidRPr="00AB33F4" w:rsidRDefault="00BF1DAD" w:rsidP="00AB33F4">
      <w:pPr>
        <w:autoSpaceDE w:val="0"/>
        <w:autoSpaceDN w:val="0"/>
        <w:adjustRightInd w:val="0"/>
        <w:spacing w:line="360" w:lineRule="auto"/>
        <w:ind w:left="709" w:hanging="709"/>
        <w:rPr>
          <w:rStyle w:val="Hyperlink"/>
          <w:color w:val="auto"/>
          <w:lang w:val="pt-BR"/>
        </w:rPr>
      </w:pPr>
      <w:proofErr w:type="spellStart"/>
      <w:r w:rsidRPr="00AB33F4">
        <w:rPr>
          <w:lang w:val="pt-BR"/>
        </w:rPr>
        <w:t>Borrillo</w:t>
      </w:r>
      <w:proofErr w:type="spellEnd"/>
      <w:r w:rsidRPr="00AB33F4">
        <w:rPr>
          <w:lang w:val="pt-BR"/>
        </w:rPr>
        <w:t xml:space="preserve">, D. (2017). Novos rostos da homofobia e direitos LGBT alternativos. In Ramos, M. M., Nicoli, P. A. G. &amp; </w:t>
      </w:r>
      <w:proofErr w:type="spellStart"/>
      <w:r w:rsidRPr="00AB33F4">
        <w:rPr>
          <w:lang w:val="pt-BR"/>
        </w:rPr>
        <w:t>Alkim</w:t>
      </w:r>
      <w:proofErr w:type="spellEnd"/>
      <w:r w:rsidRPr="00AB33F4">
        <w:rPr>
          <w:lang w:val="pt-BR"/>
        </w:rPr>
        <w:t>, G. C (</w:t>
      </w:r>
      <w:proofErr w:type="spellStart"/>
      <w:r w:rsidRPr="00AB33F4">
        <w:rPr>
          <w:lang w:val="pt-BR"/>
        </w:rPr>
        <w:t>Orgs</w:t>
      </w:r>
      <w:proofErr w:type="spellEnd"/>
      <w:r w:rsidRPr="00AB33F4">
        <w:rPr>
          <w:lang w:val="pt-BR"/>
        </w:rPr>
        <w:t xml:space="preserve">.). Gênero, sexualidade e direitos humanos: perspectivas multidisciplinares (pp.13-20). França: </w:t>
      </w:r>
      <w:proofErr w:type="spellStart"/>
      <w:r w:rsidRPr="00AB33F4">
        <w:rPr>
          <w:lang w:val="pt-BR"/>
        </w:rPr>
        <w:t>Initia</w:t>
      </w:r>
      <w:proofErr w:type="spellEnd"/>
      <w:r w:rsidRPr="00AB33F4">
        <w:rPr>
          <w:lang w:val="pt-BR"/>
        </w:rPr>
        <w:t xml:space="preserve"> Via Editora. Recuperado de </w:t>
      </w:r>
      <w:hyperlink r:id="rId13" w:history="1">
        <w:r w:rsidRPr="00AB33F4">
          <w:rPr>
            <w:rStyle w:val="Hyperlink"/>
            <w:color w:val="auto"/>
            <w:lang w:val="pt-BR"/>
          </w:rPr>
          <w:t>https://hal.archives-ouvertes.fr/hal-01662975/document</w:t>
        </w:r>
      </w:hyperlink>
    </w:p>
    <w:p w14:paraId="0791BF39" w14:textId="4FA16251" w:rsidR="00AB33F4" w:rsidRPr="00AB33F4" w:rsidRDefault="00BF1DAD" w:rsidP="00AB33F4">
      <w:pPr>
        <w:shd w:val="clear" w:color="auto" w:fill="FFFFFF"/>
        <w:spacing w:line="360" w:lineRule="auto"/>
        <w:ind w:left="709" w:hanging="709"/>
        <w:rPr>
          <w:lang w:val="pt-BR"/>
        </w:rPr>
      </w:pPr>
      <w:r w:rsidRPr="00AB33F4">
        <w:rPr>
          <w:spacing w:val="4"/>
          <w:shd w:val="clear" w:color="auto" w:fill="FCFCFC"/>
          <w:lang w:val="en-US"/>
        </w:rPr>
        <w:t xml:space="preserve">Bouchard L.M., Potts C.A., Lund E.M. (2021) Violence and Harassment Against LGBTQ+ Elders: Continued Challenges in Health care, Housing, and Aging Services for Pioneers of the Movement. In: Lund E.M., Burgess C., Johnson A.J. (eds) Violence Against LGBTQ+ Persons. </w:t>
      </w:r>
      <w:r w:rsidRPr="00AB33F4">
        <w:rPr>
          <w:spacing w:val="4"/>
          <w:shd w:val="clear" w:color="auto" w:fill="FCFCFC"/>
          <w:lang w:val="pt-BR"/>
        </w:rPr>
        <w:t xml:space="preserve">Springer, </w:t>
      </w:r>
      <w:proofErr w:type="spellStart"/>
      <w:r w:rsidRPr="00AB33F4">
        <w:rPr>
          <w:spacing w:val="4"/>
          <w:shd w:val="clear" w:color="auto" w:fill="FCFCFC"/>
          <w:lang w:val="pt-BR"/>
        </w:rPr>
        <w:t>Cham</w:t>
      </w:r>
      <w:proofErr w:type="spellEnd"/>
      <w:r w:rsidRPr="00AB33F4">
        <w:rPr>
          <w:spacing w:val="4"/>
          <w:shd w:val="clear" w:color="auto" w:fill="FCFCFC"/>
          <w:lang w:val="pt-BR"/>
        </w:rPr>
        <w:t xml:space="preserve">. </w:t>
      </w:r>
      <w:hyperlink r:id="rId14" w:history="1">
        <w:r w:rsidR="00AB33F4" w:rsidRPr="00AB33F4">
          <w:rPr>
            <w:rStyle w:val="Hyperlink"/>
            <w:color w:val="auto"/>
            <w:lang w:val="pt-BR"/>
          </w:rPr>
          <w:t>https://acesse.dev/xkKvn</w:t>
        </w:r>
      </w:hyperlink>
    </w:p>
    <w:p w14:paraId="68218153" w14:textId="15E83870" w:rsidR="00AB33F4" w:rsidRPr="00AB33F4" w:rsidRDefault="00BF1DAD" w:rsidP="00AB33F4">
      <w:pPr>
        <w:shd w:val="clear" w:color="auto" w:fill="FFFFFF"/>
        <w:spacing w:line="360" w:lineRule="auto"/>
        <w:ind w:left="709" w:hanging="709"/>
        <w:rPr>
          <w:lang w:val="pt-BR"/>
        </w:rPr>
      </w:pPr>
      <w:r w:rsidRPr="00AB33F4">
        <w:rPr>
          <w:lang w:val="pt-BR"/>
        </w:rPr>
        <w:t xml:space="preserve">Braga, I. F., Oliveira, W. A., Silva, J. L., Mello, F. C. M., &amp; Silva, M. A. I. (2018). Violência familiar contra adolescentes e jovens gays e lésbicas: um estudo qualitativo. </w:t>
      </w:r>
      <w:r w:rsidRPr="00AB33F4">
        <w:rPr>
          <w:i/>
          <w:lang w:val="pt-BR"/>
        </w:rPr>
        <w:t>Revista brasileira de enfermagem, 71</w:t>
      </w:r>
      <w:r w:rsidRPr="00AB33F4">
        <w:rPr>
          <w:lang w:val="pt-BR"/>
        </w:rPr>
        <w:t xml:space="preserve"> (3), 1295-1303. DOI: </w:t>
      </w:r>
      <w:hyperlink r:id="rId15" w:history="1">
        <w:r w:rsidR="00AB33F4" w:rsidRPr="00AB33F4">
          <w:rPr>
            <w:rStyle w:val="Hyperlink"/>
            <w:color w:val="auto"/>
            <w:lang w:val="pt-BR"/>
          </w:rPr>
          <w:t>https://encr.pw/YN8Bz</w:t>
        </w:r>
      </w:hyperlink>
    </w:p>
    <w:p w14:paraId="0FC369B5" w14:textId="136A17D8" w:rsidR="00BF1DAD" w:rsidRPr="00AB33F4" w:rsidRDefault="00BF1DAD" w:rsidP="00AB33F4">
      <w:pPr>
        <w:shd w:val="clear" w:color="auto" w:fill="FFFFFF"/>
        <w:spacing w:line="360" w:lineRule="auto"/>
        <w:ind w:left="709" w:hanging="709"/>
        <w:rPr>
          <w:lang w:val="pt-BR" w:eastAsia="pt-BR"/>
        </w:rPr>
      </w:pPr>
      <w:r w:rsidRPr="00AB33F4">
        <w:rPr>
          <w:shd w:val="clear" w:color="auto" w:fill="FFFFFF"/>
          <w:lang w:val="pt-BR"/>
        </w:rPr>
        <w:t xml:space="preserve">British Broadcasting </w:t>
      </w:r>
      <w:r w:rsidRPr="00AB33F4">
        <w:rPr>
          <w:lang w:val="pt-BR"/>
        </w:rPr>
        <w:t>C</w:t>
      </w:r>
      <w:r w:rsidRPr="00AB33F4">
        <w:rPr>
          <w:shd w:val="clear" w:color="auto" w:fill="FFFFFF"/>
          <w:lang w:val="pt-BR"/>
        </w:rPr>
        <w:t>orporation</w:t>
      </w:r>
      <w:r w:rsidRPr="00AB33F4">
        <w:rPr>
          <w:lang w:val="pt-BR" w:eastAsia="pt-BR"/>
        </w:rPr>
        <w:t xml:space="preserve"> - BBC. (2019). STF aprova a criminalização da homofobia. Recuperado de: </w:t>
      </w:r>
      <w:hyperlink r:id="rId16" w:history="1">
        <w:r w:rsidRPr="00AB33F4">
          <w:rPr>
            <w:rStyle w:val="Hyperlink"/>
            <w:color w:val="auto"/>
            <w:lang w:val="pt-BR" w:eastAsia="pt-BR"/>
          </w:rPr>
          <w:t>https://www.bbc.com/portuguese/brasil-47206924</w:t>
        </w:r>
      </w:hyperlink>
      <w:r w:rsidRPr="00AB33F4">
        <w:rPr>
          <w:lang w:val="pt-BR" w:eastAsia="pt-BR"/>
        </w:rPr>
        <w:t xml:space="preserve"> </w:t>
      </w:r>
    </w:p>
    <w:p w14:paraId="0C5A1828" w14:textId="77777777" w:rsidR="00AB33F4" w:rsidRPr="00AB33F4" w:rsidRDefault="00BF1DAD" w:rsidP="00AB33F4">
      <w:pPr>
        <w:shd w:val="clear" w:color="auto" w:fill="FFFFFF"/>
        <w:spacing w:line="360" w:lineRule="auto"/>
        <w:ind w:left="709" w:hanging="709"/>
        <w:rPr>
          <w:lang w:val="pt-BR"/>
        </w:rPr>
      </w:pPr>
      <w:proofErr w:type="spellStart"/>
      <w:r w:rsidRPr="00AB33F4">
        <w:rPr>
          <w:shd w:val="clear" w:color="auto" w:fill="FFFFFF"/>
          <w:lang w:val="pt-BR"/>
        </w:rPr>
        <w:t>Cardiel</w:t>
      </w:r>
      <w:proofErr w:type="spellEnd"/>
      <w:r w:rsidRPr="00AB33F4">
        <w:rPr>
          <w:shd w:val="clear" w:color="auto" w:fill="FFFFFF"/>
          <w:lang w:val="pt-BR"/>
        </w:rPr>
        <w:t>, M. S. (2020). </w:t>
      </w:r>
      <w:r w:rsidRPr="00AB33F4">
        <w:rPr>
          <w:i/>
          <w:iCs/>
          <w:shd w:val="clear" w:color="auto" w:fill="FFFFFF"/>
          <w:lang w:val="pt-BR"/>
        </w:rPr>
        <w:t xml:space="preserve">Estudio comparativo </w:t>
      </w:r>
      <w:proofErr w:type="spellStart"/>
      <w:r w:rsidRPr="00AB33F4">
        <w:rPr>
          <w:i/>
          <w:iCs/>
          <w:shd w:val="clear" w:color="auto" w:fill="FFFFFF"/>
          <w:lang w:val="pt-BR"/>
        </w:rPr>
        <w:t>del</w:t>
      </w:r>
      <w:proofErr w:type="spellEnd"/>
      <w:r w:rsidRPr="00AB33F4">
        <w:rPr>
          <w:i/>
          <w:iCs/>
          <w:shd w:val="clear" w:color="auto" w:fill="FFFFFF"/>
          <w:lang w:val="pt-BR"/>
        </w:rPr>
        <w:t xml:space="preserve"> impacto de </w:t>
      </w:r>
      <w:proofErr w:type="spellStart"/>
      <w:r w:rsidRPr="00AB33F4">
        <w:rPr>
          <w:i/>
          <w:iCs/>
          <w:shd w:val="clear" w:color="auto" w:fill="FFFFFF"/>
          <w:lang w:val="pt-BR"/>
        </w:rPr>
        <w:t>la</w:t>
      </w:r>
      <w:proofErr w:type="spellEnd"/>
      <w:r w:rsidRPr="00AB33F4">
        <w:rPr>
          <w:i/>
          <w:iCs/>
          <w:shd w:val="clear" w:color="auto" w:fill="FFFFFF"/>
          <w:lang w:val="pt-BR"/>
        </w:rPr>
        <w:t xml:space="preserve"> </w:t>
      </w:r>
      <w:proofErr w:type="spellStart"/>
      <w:r w:rsidRPr="00AB33F4">
        <w:rPr>
          <w:i/>
          <w:iCs/>
          <w:shd w:val="clear" w:color="auto" w:fill="FFFFFF"/>
          <w:lang w:val="pt-BR"/>
        </w:rPr>
        <w:t>homosexualidad</w:t>
      </w:r>
      <w:proofErr w:type="spellEnd"/>
      <w:r w:rsidRPr="00AB33F4">
        <w:rPr>
          <w:i/>
          <w:iCs/>
          <w:shd w:val="clear" w:color="auto" w:fill="FFFFFF"/>
          <w:lang w:val="pt-BR"/>
        </w:rPr>
        <w:t xml:space="preserve"> </w:t>
      </w:r>
      <w:proofErr w:type="spellStart"/>
      <w:r w:rsidRPr="00AB33F4">
        <w:rPr>
          <w:i/>
          <w:iCs/>
          <w:shd w:val="clear" w:color="auto" w:fill="FFFFFF"/>
          <w:lang w:val="pt-BR"/>
        </w:rPr>
        <w:t>en</w:t>
      </w:r>
      <w:proofErr w:type="spellEnd"/>
      <w:r w:rsidRPr="00AB33F4">
        <w:rPr>
          <w:i/>
          <w:iCs/>
          <w:shd w:val="clear" w:color="auto" w:fill="FFFFFF"/>
          <w:lang w:val="pt-BR"/>
        </w:rPr>
        <w:t xml:space="preserve"> </w:t>
      </w:r>
      <w:proofErr w:type="spellStart"/>
      <w:r w:rsidRPr="00AB33F4">
        <w:rPr>
          <w:i/>
          <w:iCs/>
          <w:shd w:val="clear" w:color="auto" w:fill="FFFFFF"/>
          <w:lang w:val="pt-BR"/>
        </w:rPr>
        <w:t>el</w:t>
      </w:r>
      <w:proofErr w:type="spellEnd"/>
      <w:r w:rsidRPr="00AB33F4">
        <w:rPr>
          <w:i/>
          <w:iCs/>
          <w:shd w:val="clear" w:color="auto" w:fill="FFFFFF"/>
          <w:lang w:val="pt-BR"/>
        </w:rPr>
        <w:t xml:space="preserve"> </w:t>
      </w:r>
      <w:proofErr w:type="spellStart"/>
      <w:r w:rsidRPr="00AB33F4">
        <w:rPr>
          <w:i/>
          <w:iCs/>
          <w:shd w:val="clear" w:color="auto" w:fill="FFFFFF"/>
          <w:lang w:val="pt-BR"/>
        </w:rPr>
        <w:t>proceso</w:t>
      </w:r>
      <w:proofErr w:type="spellEnd"/>
      <w:r w:rsidRPr="00AB33F4">
        <w:rPr>
          <w:i/>
          <w:iCs/>
          <w:shd w:val="clear" w:color="auto" w:fill="FFFFFF"/>
          <w:lang w:val="pt-BR"/>
        </w:rPr>
        <w:t xml:space="preserve"> de </w:t>
      </w:r>
      <w:proofErr w:type="spellStart"/>
      <w:r w:rsidRPr="00AB33F4">
        <w:rPr>
          <w:i/>
          <w:iCs/>
          <w:shd w:val="clear" w:color="auto" w:fill="FFFFFF"/>
          <w:lang w:val="pt-BR"/>
        </w:rPr>
        <w:t>envejecimiento</w:t>
      </w:r>
      <w:proofErr w:type="spellEnd"/>
      <w:r w:rsidRPr="00AB33F4">
        <w:rPr>
          <w:i/>
          <w:iCs/>
          <w:shd w:val="clear" w:color="auto" w:fill="FFFFFF"/>
          <w:lang w:val="pt-BR"/>
        </w:rPr>
        <w:t xml:space="preserve"> </w:t>
      </w:r>
      <w:proofErr w:type="spellStart"/>
      <w:r w:rsidRPr="00AB33F4">
        <w:rPr>
          <w:i/>
          <w:iCs/>
          <w:shd w:val="clear" w:color="auto" w:fill="FFFFFF"/>
          <w:lang w:val="pt-BR"/>
        </w:rPr>
        <w:t>del</w:t>
      </w:r>
      <w:proofErr w:type="spellEnd"/>
      <w:r w:rsidRPr="00AB33F4">
        <w:rPr>
          <w:i/>
          <w:iCs/>
          <w:shd w:val="clear" w:color="auto" w:fill="FFFFFF"/>
          <w:lang w:val="pt-BR"/>
        </w:rPr>
        <w:t xml:space="preserve"> </w:t>
      </w:r>
      <w:proofErr w:type="spellStart"/>
      <w:r w:rsidRPr="00AB33F4">
        <w:rPr>
          <w:i/>
          <w:iCs/>
          <w:shd w:val="clear" w:color="auto" w:fill="FFFFFF"/>
          <w:lang w:val="pt-BR"/>
        </w:rPr>
        <w:t>hombre</w:t>
      </w:r>
      <w:proofErr w:type="spellEnd"/>
      <w:r w:rsidRPr="00AB33F4">
        <w:rPr>
          <w:i/>
          <w:iCs/>
          <w:shd w:val="clear" w:color="auto" w:fill="FFFFFF"/>
          <w:lang w:val="pt-BR"/>
        </w:rPr>
        <w:t xml:space="preserve"> gay </w:t>
      </w:r>
      <w:proofErr w:type="spellStart"/>
      <w:r w:rsidRPr="00AB33F4">
        <w:rPr>
          <w:i/>
          <w:iCs/>
          <w:shd w:val="clear" w:color="auto" w:fill="FFFFFF"/>
          <w:lang w:val="pt-BR"/>
        </w:rPr>
        <w:t>en</w:t>
      </w:r>
      <w:proofErr w:type="spellEnd"/>
      <w:r w:rsidRPr="00AB33F4">
        <w:rPr>
          <w:i/>
          <w:iCs/>
          <w:shd w:val="clear" w:color="auto" w:fill="FFFFFF"/>
          <w:lang w:val="pt-BR"/>
        </w:rPr>
        <w:t xml:space="preserve"> Nueva York y Madrid</w:t>
      </w:r>
      <w:r w:rsidRPr="00AB33F4">
        <w:rPr>
          <w:shd w:val="clear" w:color="auto" w:fill="FFFFFF"/>
          <w:lang w:val="pt-BR"/>
        </w:rPr>
        <w:t> (</w:t>
      </w:r>
      <w:proofErr w:type="spellStart"/>
      <w:r w:rsidRPr="00AB33F4">
        <w:rPr>
          <w:shd w:val="clear" w:color="auto" w:fill="FFFFFF"/>
          <w:lang w:val="pt-BR"/>
        </w:rPr>
        <w:t>Doctoral</w:t>
      </w:r>
      <w:proofErr w:type="spellEnd"/>
      <w:r w:rsidRPr="00AB33F4">
        <w:rPr>
          <w:shd w:val="clear" w:color="auto" w:fill="FFFFFF"/>
          <w:lang w:val="pt-BR"/>
        </w:rPr>
        <w:t xml:space="preserve"> </w:t>
      </w:r>
      <w:proofErr w:type="spellStart"/>
      <w:r w:rsidRPr="00AB33F4">
        <w:rPr>
          <w:shd w:val="clear" w:color="auto" w:fill="FFFFFF"/>
          <w:lang w:val="pt-BR"/>
        </w:rPr>
        <w:t>dissertation</w:t>
      </w:r>
      <w:proofErr w:type="spellEnd"/>
      <w:r w:rsidRPr="00AB33F4">
        <w:rPr>
          <w:shd w:val="clear" w:color="auto" w:fill="FFFFFF"/>
          <w:lang w:val="pt-BR"/>
        </w:rPr>
        <w:t xml:space="preserve">, UNED. </w:t>
      </w:r>
      <w:proofErr w:type="spellStart"/>
      <w:r w:rsidRPr="00AB33F4">
        <w:rPr>
          <w:shd w:val="clear" w:color="auto" w:fill="FFFFFF"/>
          <w:lang w:val="pt-BR"/>
        </w:rPr>
        <w:t>Universidad</w:t>
      </w:r>
      <w:proofErr w:type="spellEnd"/>
      <w:r w:rsidRPr="00AB33F4">
        <w:rPr>
          <w:shd w:val="clear" w:color="auto" w:fill="FFFFFF"/>
          <w:lang w:val="pt-BR"/>
        </w:rPr>
        <w:t xml:space="preserve"> Nacional de </w:t>
      </w:r>
      <w:proofErr w:type="spellStart"/>
      <w:r w:rsidRPr="00AB33F4">
        <w:rPr>
          <w:shd w:val="clear" w:color="auto" w:fill="FFFFFF"/>
          <w:lang w:val="pt-BR"/>
        </w:rPr>
        <w:t>Educación</w:t>
      </w:r>
      <w:proofErr w:type="spellEnd"/>
      <w:r w:rsidRPr="00AB33F4">
        <w:rPr>
          <w:shd w:val="clear" w:color="auto" w:fill="FFFFFF"/>
          <w:lang w:val="pt-BR"/>
        </w:rPr>
        <w:t xml:space="preserve"> a </w:t>
      </w:r>
      <w:proofErr w:type="spellStart"/>
      <w:r w:rsidRPr="00AB33F4">
        <w:rPr>
          <w:shd w:val="clear" w:color="auto" w:fill="FFFFFF"/>
          <w:lang w:val="pt-BR"/>
        </w:rPr>
        <w:t>Distancia</w:t>
      </w:r>
      <w:proofErr w:type="spellEnd"/>
      <w:r w:rsidRPr="00AB33F4">
        <w:rPr>
          <w:shd w:val="clear" w:color="auto" w:fill="FFFFFF"/>
          <w:lang w:val="pt-BR"/>
        </w:rPr>
        <w:t xml:space="preserve"> (</w:t>
      </w:r>
      <w:proofErr w:type="spellStart"/>
      <w:r w:rsidRPr="00AB33F4">
        <w:rPr>
          <w:shd w:val="clear" w:color="auto" w:fill="FFFFFF"/>
          <w:lang w:val="pt-BR"/>
        </w:rPr>
        <w:t>España</w:t>
      </w:r>
      <w:proofErr w:type="spellEnd"/>
      <w:r w:rsidRPr="00AB33F4">
        <w:rPr>
          <w:shd w:val="clear" w:color="auto" w:fill="FFFFFF"/>
          <w:lang w:val="pt-BR"/>
        </w:rPr>
        <w:t xml:space="preserve">). Recuperado de: </w:t>
      </w:r>
      <w:hyperlink r:id="rId17" w:history="1">
        <w:r w:rsidR="00AB33F4" w:rsidRPr="00AB33F4">
          <w:rPr>
            <w:rStyle w:val="Hyperlink"/>
            <w:color w:val="auto"/>
            <w:lang w:val="pt-BR"/>
          </w:rPr>
          <w:t>https://bit.ly/47YzPzW</w:t>
        </w:r>
      </w:hyperlink>
      <w:r w:rsidR="00AB33F4" w:rsidRPr="00AB33F4">
        <w:rPr>
          <w:lang w:val="pt-BR"/>
        </w:rPr>
        <w:t xml:space="preserve"> </w:t>
      </w:r>
    </w:p>
    <w:p w14:paraId="5FCBAA58" w14:textId="20DAFE4A" w:rsidR="00BF1DAD" w:rsidRPr="00AB33F4" w:rsidRDefault="00BF1DAD" w:rsidP="00AB33F4">
      <w:pPr>
        <w:shd w:val="clear" w:color="auto" w:fill="FFFFFF"/>
        <w:spacing w:line="360" w:lineRule="auto"/>
        <w:ind w:left="709" w:hanging="709"/>
        <w:rPr>
          <w:rStyle w:val="Hyperlink"/>
          <w:color w:val="auto"/>
          <w:lang w:val="pt-BR"/>
        </w:rPr>
      </w:pPr>
      <w:proofErr w:type="spellStart"/>
      <w:r w:rsidRPr="00AB33F4">
        <w:rPr>
          <w:lang w:val="en-US"/>
        </w:rPr>
        <w:lastRenderedPageBreak/>
        <w:t>Cazelatto</w:t>
      </w:r>
      <w:proofErr w:type="spellEnd"/>
      <w:r w:rsidRPr="00AB33F4">
        <w:rPr>
          <w:lang w:val="en-US"/>
        </w:rPr>
        <w:t xml:space="preserve">, C. E. C. &amp; Cardin, V. S. G. (2016). </w:t>
      </w:r>
      <w:r w:rsidRPr="00AB33F4">
        <w:rPr>
          <w:lang w:val="pt-BR"/>
        </w:rPr>
        <w:t xml:space="preserve">O discurso de ódio homofóbico no Brasil: um instrumento limitador da sexualidade humana. </w:t>
      </w:r>
      <w:r w:rsidRPr="00AB33F4">
        <w:rPr>
          <w:i/>
          <w:lang w:val="pt-BR"/>
        </w:rPr>
        <w:t>Revista Jurídica Cesumar, 16</w:t>
      </w:r>
      <w:r w:rsidRPr="00AB33F4">
        <w:rPr>
          <w:lang w:val="pt-BR"/>
        </w:rPr>
        <w:t xml:space="preserve"> (3), 919-938. </w:t>
      </w:r>
      <w:hyperlink r:id="rId18" w:history="1">
        <w:r w:rsidRPr="00AB33F4">
          <w:rPr>
            <w:rStyle w:val="Hyperlink"/>
            <w:color w:val="auto"/>
            <w:lang w:val="pt-BR"/>
          </w:rPr>
          <w:t>http://dx.doi.org/10.17765/2176-9184.2016v16n3p919-938</w:t>
        </w:r>
      </w:hyperlink>
    </w:p>
    <w:p w14:paraId="2352CEF5" w14:textId="77777777" w:rsidR="00BF1DAD" w:rsidRPr="00AB33F4" w:rsidRDefault="00BF1DAD" w:rsidP="00AB33F4">
      <w:pPr>
        <w:autoSpaceDE w:val="0"/>
        <w:autoSpaceDN w:val="0"/>
        <w:adjustRightInd w:val="0"/>
        <w:spacing w:line="360" w:lineRule="auto"/>
        <w:ind w:left="709" w:hanging="709"/>
        <w:rPr>
          <w:shd w:val="clear" w:color="auto" w:fill="FFFFFF"/>
          <w:lang w:val="pt-BR"/>
        </w:rPr>
      </w:pPr>
      <w:r w:rsidRPr="00AB33F4">
        <w:rPr>
          <w:shd w:val="clear" w:color="auto" w:fill="FFFFFF"/>
          <w:lang w:val="pt-BR"/>
        </w:rPr>
        <w:t>Cerqueira-Santos, E., Carvalho, C. A. S. G., Nunes, L. M., &amp; Silveira, A. P. (2017). Homofobia internalizada e religiosidade entre casais homoafetivos. Temas psicol., 25 (2), 691-702. https://dx.doi.org/10.9788/TP2017.2-15</w:t>
      </w:r>
    </w:p>
    <w:p w14:paraId="3ADA5071" w14:textId="77777777" w:rsidR="00BF1DAD" w:rsidRPr="00AB33F4" w:rsidRDefault="00BF1DAD" w:rsidP="00AB33F4">
      <w:pPr>
        <w:spacing w:line="360" w:lineRule="auto"/>
        <w:ind w:left="709" w:hanging="709"/>
        <w:rPr>
          <w:rStyle w:val="Hyperlink"/>
          <w:color w:val="auto"/>
          <w:lang w:val="pt-BR"/>
        </w:rPr>
      </w:pPr>
      <w:r w:rsidRPr="00AB33F4">
        <w:rPr>
          <w:lang w:val="pt-BR"/>
        </w:rPr>
        <w:t>Costa, Â. B., &amp; Nardi, H. C. (2015). Homofobia e preconceito contra diversidade sexual: debate conceitual. </w:t>
      </w:r>
      <w:r w:rsidRPr="00AB33F4">
        <w:rPr>
          <w:i/>
          <w:iCs/>
          <w:lang w:val="pt-BR"/>
        </w:rPr>
        <w:t>Temas em Psicologia</w:t>
      </w:r>
      <w:r w:rsidRPr="00AB33F4">
        <w:rPr>
          <w:lang w:val="pt-BR"/>
        </w:rPr>
        <w:t>, </w:t>
      </w:r>
      <w:r w:rsidRPr="00AB33F4">
        <w:rPr>
          <w:i/>
          <w:iCs/>
          <w:lang w:val="pt-BR"/>
        </w:rPr>
        <w:t>23</w:t>
      </w:r>
      <w:r w:rsidRPr="00AB33F4">
        <w:rPr>
          <w:lang w:val="pt-BR"/>
        </w:rPr>
        <w:t>(3), 715-726. </w:t>
      </w:r>
      <w:hyperlink r:id="rId19" w:history="1">
        <w:r w:rsidRPr="00AB33F4">
          <w:rPr>
            <w:rStyle w:val="Hyperlink"/>
            <w:color w:val="auto"/>
            <w:lang w:val="pt-BR"/>
          </w:rPr>
          <w:t>https://dx.doi.org/10.9788/TP2015.3-15</w:t>
        </w:r>
      </w:hyperlink>
    </w:p>
    <w:p w14:paraId="644CC4CF" w14:textId="77777777" w:rsidR="00BF1DAD" w:rsidRPr="00AB33F4" w:rsidRDefault="00BF1DAD" w:rsidP="00AB33F4">
      <w:pPr>
        <w:spacing w:line="360" w:lineRule="auto"/>
        <w:ind w:left="709" w:hanging="709"/>
        <w:rPr>
          <w:lang w:val="en-US"/>
        </w:rPr>
      </w:pPr>
      <w:r w:rsidRPr="00AB33F4">
        <w:rPr>
          <w:shd w:val="clear" w:color="auto" w:fill="FFFFFF"/>
          <w:lang w:val="pt-BR"/>
        </w:rPr>
        <w:t xml:space="preserve">de </w:t>
      </w:r>
      <w:proofErr w:type="spellStart"/>
      <w:r w:rsidRPr="00AB33F4">
        <w:rPr>
          <w:shd w:val="clear" w:color="auto" w:fill="FFFFFF"/>
          <w:lang w:val="pt-BR"/>
        </w:rPr>
        <w:t>Vries</w:t>
      </w:r>
      <w:proofErr w:type="spellEnd"/>
      <w:r w:rsidRPr="00AB33F4">
        <w:rPr>
          <w:shd w:val="clear" w:color="auto" w:fill="FFFFFF"/>
          <w:lang w:val="pt-BR"/>
        </w:rPr>
        <w:t xml:space="preserve">, B., Gutman, G., </w:t>
      </w:r>
      <w:proofErr w:type="spellStart"/>
      <w:r w:rsidRPr="00AB33F4">
        <w:rPr>
          <w:shd w:val="clear" w:color="auto" w:fill="FFFFFF"/>
          <w:lang w:val="pt-BR"/>
        </w:rPr>
        <w:t>Humble</w:t>
      </w:r>
      <w:proofErr w:type="spellEnd"/>
      <w:r w:rsidRPr="00AB33F4">
        <w:rPr>
          <w:shd w:val="clear" w:color="auto" w:fill="FFFFFF"/>
          <w:lang w:val="pt-BR"/>
        </w:rPr>
        <w:t xml:space="preserve">, Á., </w:t>
      </w:r>
      <w:proofErr w:type="spellStart"/>
      <w:r w:rsidRPr="00AB33F4">
        <w:rPr>
          <w:shd w:val="clear" w:color="auto" w:fill="FFFFFF"/>
          <w:lang w:val="pt-BR"/>
        </w:rPr>
        <w:t>Gahagan</w:t>
      </w:r>
      <w:proofErr w:type="spellEnd"/>
      <w:r w:rsidRPr="00AB33F4">
        <w:rPr>
          <w:shd w:val="clear" w:color="auto" w:fill="FFFFFF"/>
          <w:lang w:val="pt-BR"/>
        </w:rPr>
        <w:t xml:space="preserve">, J., </w:t>
      </w:r>
      <w:proofErr w:type="spellStart"/>
      <w:r w:rsidRPr="00AB33F4">
        <w:rPr>
          <w:shd w:val="clear" w:color="auto" w:fill="FFFFFF"/>
          <w:lang w:val="pt-BR"/>
        </w:rPr>
        <w:t>Chamberland</w:t>
      </w:r>
      <w:proofErr w:type="spellEnd"/>
      <w:r w:rsidRPr="00AB33F4">
        <w:rPr>
          <w:shd w:val="clear" w:color="auto" w:fill="FFFFFF"/>
          <w:lang w:val="pt-BR"/>
        </w:rPr>
        <w:t xml:space="preserve">, L., Aubert, P., ... </w:t>
      </w:r>
      <w:r w:rsidRPr="00AB33F4">
        <w:rPr>
          <w:shd w:val="clear" w:color="auto" w:fill="FFFFFF"/>
          <w:lang w:val="en-US"/>
        </w:rPr>
        <w:t>&amp; Mock, S. (2019). End-of-Life Preparations Among LGBT Older Canadian Adults: The Missing Conversations. </w:t>
      </w:r>
      <w:r w:rsidRPr="00AB33F4">
        <w:rPr>
          <w:i/>
          <w:iCs/>
          <w:shd w:val="clear" w:color="auto" w:fill="FFFFFF"/>
          <w:lang w:val="en-US"/>
        </w:rPr>
        <w:t>The International Journal of Aging and Human Development</w:t>
      </w:r>
      <w:r w:rsidRPr="00AB33F4">
        <w:rPr>
          <w:shd w:val="clear" w:color="auto" w:fill="FFFFFF"/>
          <w:lang w:val="en-US"/>
        </w:rPr>
        <w:t xml:space="preserve">, 0(0), 1-22. </w:t>
      </w:r>
      <w:hyperlink r:id="rId20" w:history="1">
        <w:r w:rsidRPr="00AB33F4">
          <w:rPr>
            <w:rStyle w:val="Hyperlink"/>
            <w:color w:val="auto"/>
            <w:shd w:val="clear" w:color="auto" w:fill="FFFFFF"/>
            <w:lang w:val="en-US"/>
          </w:rPr>
          <w:t>https://doi.dx.org/</w:t>
        </w:r>
        <w:r w:rsidRPr="00AB33F4">
          <w:rPr>
            <w:rStyle w:val="Hyperlink"/>
            <w:color w:val="auto"/>
            <w:lang w:val="en-US"/>
          </w:rPr>
          <w:t>10.1177/0091415019836738</w:t>
        </w:r>
      </w:hyperlink>
      <w:r w:rsidRPr="00AB33F4">
        <w:rPr>
          <w:lang w:val="en-US"/>
        </w:rPr>
        <w:t>.</w:t>
      </w:r>
    </w:p>
    <w:p w14:paraId="70271728" w14:textId="415A38C1" w:rsidR="00BF1DAD" w:rsidRPr="00AB33F4" w:rsidRDefault="00BF1DAD" w:rsidP="00AB33F4">
      <w:pPr>
        <w:spacing w:line="360" w:lineRule="auto"/>
        <w:ind w:left="709" w:hanging="709"/>
        <w:rPr>
          <w:rStyle w:val="Hyperlink"/>
          <w:color w:val="auto"/>
          <w:lang w:val="pt-BR"/>
        </w:rPr>
      </w:pPr>
      <w:r w:rsidRPr="00AB33F4">
        <w:rPr>
          <w:lang w:val="pt-BR"/>
        </w:rPr>
        <w:t>Diniz, M., &amp; M, F. B. (2019). Os reflexos do esquecimento social brasileiro no processo de invisibilidade de transexuais vítimas de violência doméstica e familiar.</w:t>
      </w:r>
      <w:r w:rsidRPr="00AB33F4">
        <w:rPr>
          <w:i/>
          <w:lang w:val="pt-BR"/>
        </w:rPr>
        <w:t xml:space="preserve"> Revista justiça e sistema criminal, 10</w:t>
      </w:r>
      <w:r w:rsidRPr="00AB33F4">
        <w:rPr>
          <w:lang w:val="pt-BR"/>
        </w:rPr>
        <w:t xml:space="preserve"> (2), 140-161. Recuperado </w:t>
      </w:r>
      <w:r w:rsidRPr="00AB33F4">
        <w:rPr>
          <w:shd w:val="clear" w:color="auto" w:fill="FFFFFF"/>
          <w:lang w:val="pt-BR"/>
        </w:rPr>
        <w:t>de:</w:t>
      </w:r>
      <w:r w:rsidRPr="00AB33F4">
        <w:rPr>
          <w:lang w:val="pt-BR"/>
        </w:rPr>
        <w:t xml:space="preserve"> </w:t>
      </w:r>
      <w:hyperlink r:id="rId21" w:history="1">
        <w:r w:rsidR="00AB33F4" w:rsidRPr="00AB33F4">
          <w:rPr>
            <w:rStyle w:val="Hyperlink"/>
            <w:color w:val="auto"/>
          </w:rPr>
          <w:t>https://bit.ly/3Of5ypi</w:t>
        </w:r>
      </w:hyperlink>
      <w:r w:rsidR="00AB33F4" w:rsidRPr="00AB33F4">
        <w:t xml:space="preserve"> </w:t>
      </w:r>
    </w:p>
    <w:p w14:paraId="26B05132" w14:textId="77777777" w:rsidR="00BF1DAD" w:rsidRPr="00AB33F4" w:rsidRDefault="00BF1DAD" w:rsidP="00AB33F4">
      <w:pPr>
        <w:shd w:val="clear" w:color="auto" w:fill="FFFFFF"/>
        <w:spacing w:line="360" w:lineRule="auto"/>
        <w:ind w:left="709" w:hanging="709"/>
        <w:rPr>
          <w:lang w:val="pt-BR"/>
        </w:rPr>
      </w:pPr>
      <w:proofErr w:type="spellStart"/>
      <w:r w:rsidRPr="00AB33F4">
        <w:rPr>
          <w:lang w:val="pt-BR"/>
        </w:rPr>
        <w:t>Eccel</w:t>
      </w:r>
      <w:proofErr w:type="spellEnd"/>
      <w:r w:rsidRPr="00AB33F4">
        <w:rPr>
          <w:lang w:val="pt-BR"/>
        </w:rPr>
        <w:t xml:space="preserve">, C. S., Saraiva, L. A. S., &amp; Carrieri, A. P. (2015). Masculinidade, autoimagem e preconceito em representações sociais de homossexuais. </w:t>
      </w:r>
      <w:r w:rsidRPr="00AB33F4">
        <w:rPr>
          <w:i/>
          <w:iCs/>
          <w:lang w:val="pt-BR"/>
        </w:rPr>
        <w:t>Revista Pensamento Contemporâneo em Administração, 9</w:t>
      </w:r>
      <w:r w:rsidRPr="00AB33F4">
        <w:rPr>
          <w:lang w:val="pt-BR"/>
        </w:rPr>
        <w:t>(1), 1-15.</w:t>
      </w:r>
    </w:p>
    <w:p w14:paraId="5527A1C9" w14:textId="2CA0E0D1" w:rsidR="00BF1DAD" w:rsidRPr="00AB33F4" w:rsidRDefault="00BF1DAD" w:rsidP="00AB33F4">
      <w:pPr>
        <w:shd w:val="clear" w:color="auto" w:fill="FFFFFF"/>
        <w:spacing w:line="360" w:lineRule="auto"/>
        <w:ind w:left="709" w:hanging="709"/>
        <w:rPr>
          <w:shd w:val="clear" w:color="auto" w:fill="FFFFFF"/>
        </w:rPr>
      </w:pPr>
      <w:proofErr w:type="spellStart"/>
      <w:r w:rsidRPr="00AB33F4">
        <w:rPr>
          <w:shd w:val="clear" w:color="auto" w:fill="FFFFFF"/>
          <w:lang w:val="pt-BR"/>
        </w:rPr>
        <w:t>Emlet</w:t>
      </w:r>
      <w:proofErr w:type="spellEnd"/>
      <w:r w:rsidRPr="00AB33F4">
        <w:rPr>
          <w:shd w:val="clear" w:color="auto" w:fill="FFFFFF"/>
          <w:lang w:val="pt-BR"/>
        </w:rPr>
        <w:t xml:space="preserve">, C. A., </w:t>
      </w:r>
      <w:proofErr w:type="spellStart"/>
      <w:r w:rsidRPr="00AB33F4">
        <w:rPr>
          <w:shd w:val="clear" w:color="auto" w:fill="FFFFFF"/>
          <w:lang w:val="pt-BR"/>
        </w:rPr>
        <w:t>Fredriksen-Goldsen</w:t>
      </w:r>
      <w:proofErr w:type="spellEnd"/>
      <w:r w:rsidRPr="00AB33F4">
        <w:rPr>
          <w:shd w:val="clear" w:color="auto" w:fill="FFFFFF"/>
          <w:lang w:val="pt-BR"/>
        </w:rPr>
        <w:t xml:space="preserve">, K. I., Kim, H. J., &amp; Jung, H. (2020). </w:t>
      </w:r>
      <w:r w:rsidRPr="00AB33F4">
        <w:rPr>
          <w:shd w:val="clear" w:color="auto" w:fill="FFFFFF"/>
        </w:rPr>
        <w:t>Accounting for HIV health disparities: risk and protective factors among older gay and bisexual Men. </w:t>
      </w:r>
      <w:r w:rsidRPr="00AB33F4">
        <w:rPr>
          <w:i/>
          <w:iCs/>
          <w:shd w:val="clear" w:color="auto" w:fill="FFFFFF"/>
        </w:rPr>
        <w:t>Journal of aging and health</w:t>
      </w:r>
      <w:r w:rsidRPr="00AB33F4">
        <w:rPr>
          <w:shd w:val="clear" w:color="auto" w:fill="FFFFFF"/>
        </w:rPr>
        <w:t>, </w:t>
      </w:r>
      <w:r w:rsidRPr="00AB33F4">
        <w:rPr>
          <w:i/>
          <w:iCs/>
          <w:shd w:val="clear" w:color="auto" w:fill="FFFFFF"/>
        </w:rPr>
        <w:t>32</w:t>
      </w:r>
      <w:r w:rsidRPr="00AB33F4">
        <w:rPr>
          <w:shd w:val="clear" w:color="auto" w:fill="FFFFFF"/>
        </w:rPr>
        <w:t xml:space="preserve">(7-8), 677-687. </w:t>
      </w:r>
      <w:hyperlink r:id="rId22" w:history="1">
        <w:r w:rsidR="00AB33F4" w:rsidRPr="00AB33F4">
          <w:rPr>
            <w:rStyle w:val="Hyperlink"/>
            <w:color w:val="auto"/>
          </w:rPr>
          <w:t>https://bit.ly/42hR4uO</w:t>
        </w:r>
      </w:hyperlink>
      <w:r w:rsidR="00AB33F4" w:rsidRPr="00AB33F4">
        <w:t xml:space="preserve"> </w:t>
      </w:r>
    </w:p>
    <w:p w14:paraId="6C7685D1" w14:textId="77777777" w:rsidR="00BF1DAD" w:rsidRPr="00AB33F4" w:rsidRDefault="00BF1DAD" w:rsidP="00AB33F4">
      <w:pPr>
        <w:shd w:val="clear" w:color="auto" w:fill="FFFFFF"/>
        <w:spacing w:line="360" w:lineRule="auto"/>
        <w:ind w:left="709" w:hanging="709"/>
        <w:rPr>
          <w:lang w:val="pt-BR" w:eastAsia="pt-BR"/>
        </w:rPr>
      </w:pPr>
      <w:proofErr w:type="spellStart"/>
      <w:r w:rsidRPr="00AB33F4">
        <w:rPr>
          <w:lang w:eastAsia="pt-BR"/>
        </w:rPr>
        <w:t>Fazano</w:t>
      </w:r>
      <w:proofErr w:type="spellEnd"/>
      <w:r w:rsidRPr="00AB33F4">
        <w:rPr>
          <w:lang w:eastAsia="pt-BR"/>
        </w:rPr>
        <w:t xml:space="preserve">, L., Ribeiro, A., &amp; do Prado, V. (2017). </w:t>
      </w:r>
      <w:r w:rsidRPr="00AB33F4">
        <w:rPr>
          <w:lang w:val="pt-BR" w:eastAsia="pt-BR"/>
        </w:rPr>
        <w:t xml:space="preserve">Homofobia na escola: o discurso indiferente ao aluno diferente. </w:t>
      </w:r>
      <w:r w:rsidRPr="00AB33F4">
        <w:rPr>
          <w:i/>
          <w:lang w:val="pt-BR" w:eastAsia="pt-BR"/>
        </w:rPr>
        <w:t>Revista De Psicologia Da Unesp</w:t>
      </w:r>
      <w:r w:rsidRPr="00AB33F4">
        <w:rPr>
          <w:lang w:val="pt-BR" w:eastAsia="pt-BR"/>
        </w:rPr>
        <w:t xml:space="preserve">, 10(2), 78 - 84. Recuperado de </w:t>
      </w:r>
      <w:hyperlink r:id="rId23" w:history="1">
        <w:r w:rsidRPr="00AB33F4">
          <w:rPr>
            <w:rStyle w:val="Hyperlink"/>
            <w:color w:val="auto"/>
            <w:lang w:val="pt-BR"/>
          </w:rPr>
          <w:t>http://seer.assis.unesp.br/index.php/psicologia/article/view/539</w:t>
        </w:r>
      </w:hyperlink>
      <w:r w:rsidRPr="00AB33F4">
        <w:rPr>
          <w:lang w:val="pt-BR" w:eastAsia="pt-BR"/>
        </w:rPr>
        <w:t xml:space="preserve"> </w:t>
      </w:r>
    </w:p>
    <w:p w14:paraId="19F88F0D" w14:textId="77777777" w:rsidR="00BF1DAD" w:rsidRPr="00AB33F4" w:rsidRDefault="00BF1DAD" w:rsidP="00AB33F4">
      <w:pPr>
        <w:shd w:val="clear" w:color="auto" w:fill="FFFFFF"/>
        <w:spacing w:line="360" w:lineRule="auto"/>
        <w:ind w:left="709" w:hanging="709"/>
        <w:rPr>
          <w:shd w:val="clear" w:color="auto" w:fill="FFFFFF"/>
          <w:lang w:val="en-US"/>
        </w:rPr>
      </w:pPr>
      <w:r w:rsidRPr="00AB33F4">
        <w:rPr>
          <w:shd w:val="clear" w:color="auto" w:fill="FFFFFF"/>
          <w:lang w:val="en-US"/>
        </w:rPr>
        <w:t>Friend, R. A. (1989). Older lesbian and gay people: Responding to homophobia. </w:t>
      </w:r>
      <w:r w:rsidRPr="00AB33F4">
        <w:rPr>
          <w:i/>
          <w:iCs/>
          <w:shd w:val="clear" w:color="auto" w:fill="FFFFFF"/>
          <w:lang w:val="en-US"/>
        </w:rPr>
        <w:t>Marriage &amp; Family Review</w:t>
      </w:r>
      <w:r w:rsidRPr="00AB33F4">
        <w:rPr>
          <w:shd w:val="clear" w:color="auto" w:fill="FFFFFF"/>
          <w:lang w:val="en-US"/>
        </w:rPr>
        <w:t>, </w:t>
      </w:r>
      <w:r w:rsidRPr="00AB33F4">
        <w:rPr>
          <w:i/>
          <w:iCs/>
          <w:shd w:val="clear" w:color="auto" w:fill="FFFFFF"/>
          <w:lang w:val="en-US"/>
        </w:rPr>
        <w:t>14</w:t>
      </w:r>
      <w:r w:rsidRPr="00AB33F4">
        <w:rPr>
          <w:shd w:val="clear" w:color="auto" w:fill="FFFFFF"/>
          <w:lang w:val="en-US"/>
        </w:rPr>
        <w:t xml:space="preserve">(3-4), 241-263. </w:t>
      </w:r>
      <w:hyperlink r:id="rId24" w:history="1">
        <w:r w:rsidRPr="00AB33F4">
          <w:rPr>
            <w:rStyle w:val="Hyperlink"/>
            <w:color w:val="auto"/>
            <w:shd w:val="clear" w:color="auto" w:fill="FFFFFF"/>
            <w:lang w:val="en-US"/>
          </w:rPr>
          <w:t>https://doi.org/10.1300/J002v14n03_12</w:t>
        </w:r>
      </w:hyperlink>
    </w:p>
    <w:p w14:paraId="6F949D64" w14:textId="77777777" w:rsidR="00BF1DAD" w:rsidRPr="00AB33F4" w:rsidRDefault="00BF1DAD" w:rsidP="00AB33F4">
      <w:pPr>
        <w:spacing w:line="360" w:lineRule="auto"/>
        <w:ind w:left="709" w:hanging="709"/>
        <w:rPr>
          <w:rStyle w:val="Hyperlink"/>
          <w:color w:val="auto"/>
          <w:lang w:val="pt-BR"/>
        </w:rPr>
      </w:pPr>
      <w:proofErr w:type="spellStart"/>
      <w:r w:rsidRPr="00AB33F4">
        <w:rPr>
          <w:lang w:val="en-US"/>
        </w:rPr>
        <w:t>Gaspodini</w:t>
      </w:r>
      <w:proofErr w:type="spellEnd"/>
      <w:r w:rsidRPr="00AB33F4">
        <w:rPr>
          <w:lang w:val="en-US"/>
        </w:rPr>
        <w:t xml:space="preserve">, I. B., &amp; Falcke, D. (2018). </w:t>
      </w:r>
      <w:r w:rsidRPr="00AB33F4">
        <w:rPr>
          <w:lang w:val="pt-BR"/>
        </w:rPr>
        <w:t>Relações entre Preconceito e Crenças sobre Diversidade Sexual e de Gênero em Psicólogos/as Brasileiros/as. </w:t>
      </w:r>
      <w:proofErr w:type="spellStart"/>
      <w:r w:rsidRPr="00AB33F4">
        <w:rPr>
          <w:i/>
          <w:iCs/>
        </w:rPr>
        <w:t>Psicologia</w:t>
      </w:r>
      <w:proofErr w:type="spellEnd"/>
      <w:r w:rsidRPr="00AB33F4">
        <w:rPr>
          <w:i/>
          <w:iCs/>
        </w:rPr>
        <w:t xml:space="preserve">: </w:t>
      </w:r>
      <w:proofErr w:type="spellStart"/>
      <w:r w:rsidRPr="00AB33F4">
        <w:rPr>
          <w:i/>
          <w:iCs/>
        </w:rPr>
        <w:t>Ciência</w:t>
      </w:r>
      <w:proofErr w:type="spellEnd"/>
      <w:r w:rsidRPr="00AB33F4">
        <w:rPr>
          <w:i/>
          <w:iCs/>
        </w:rPr>
        <w:t xml:space="preserve"> e </w:t>
      </w:r>
      <w:proofErr w:type="spellStart"/>
      <w:r w:rsidRPr="00AB33F4">
        <w:rPr>
          <w:i/>
          <w:iCs/>
        </w:rPr>
        <w:t>Profissão</w:t>
      </w:r>
      <w:proofErr w:type="spellEnd"/>
      <w:r w:rsidRPr="00AB33F4">
        <w:t>, </w:t>
      </w:r>
      <w:r w:rsidRPr="00AB33F4">
        <w:rPr>
          <w:i/>
          <w:iCs/>
        </w:rPr>
        <w:t>38</w:t>
      </w:r>
      <w:r w:rsidRPr="00AB33F4">
        <w:t>(4), 744-757. </w:t>
      </w:r>
      <w:hyperlink r:id="rId25" w:history="1">
        <w:r w:rsidRPr="00AB33F4">
          <w:rPr>
            <w:rStyle w:val="Hyperlink"/>
            <w:color w:val="auto"/>
            <w:lang w:val="pt-BR"/>
          </w:rPr>
          <w:t>https://dx.doi.org/10.1590/1982-3703001752017</w:t>
        </w:r>
      </w:hyperlink>
    </w:p>
    <w:p w14:paraId="336703F5" w14:textId="77777777" w:rsidR="00BF1DAD" w:rsidRPr="00AB33F4" w:rsidRDefault="00BF1DAD" w:rsidP="00AB33F4">
      <w:pPr>
        <w:spacing w:line="360" w:lineRule="auto"/>
        <w:ind w:left="709" w:hanging="709"/>
        <w:rPr>
          <w:shd w:val="clear" w:color="auto" w:fill="FFFFFF"/>
          <w:lang w:val="pt-BR"/>
        </w:rPr>
      </w:pPr>
      <w:proofErr w:type="spellStart"/>
      <w:r w:rsidRPr="00AB33F4">
        <w:rPr>
          <w:shd w:val="clear" w:color="auto" w:fill="FFFFFF"/>
          <w:lang w:val="pt-BR"/>
        </w:rPr>
        <w:t>Halkitis</w:t>
      </w:r>
      <w:proofErr w:type="spellEnd"/>
      <w:r w:rsidRPr="00AB33F4">
        <w:rPr>
          <w:shd w:val="clear" w:color="auto" w:fill="FFFFFF"/>
          <w:lang w:val="pt-BR"/>
        </w:rPr>
        <w:t xml:space="preserve">, P. N., Krause, K. D., &amp; Vieira, D. L. (2017). </w:t>
      </w:r>
      <w:r w:rsidRPr="00AB33F4">
        <w:rPr>
          <w:shd w:val="clear" w:color="auto" w:fill="FFFFFF"/>
          <w:lang w:val="en-US"/>
        </w:rPr>
        <w:t>Mental health, psychosocial challenges and resilience in older adults living with HIV. In Brennan-Ing, M., &amp; De Marco, R. F. (Eds.) HIV and Aging, vol. 42 (pp. 187–203).</w:t>
      </w:r>
      <w:r w:rsidRPr="00AB33F4">
        <w:rPr>
          <w:shd w:val="clear" w:color="auto" w:fill="FFFFFF"/>
        </w:rPr>
        <w:t xml:space="preserve"> </w:t>
      </w:r>
      <w:proofErr w:type="spellStart"/>
      <w:r w:rsidRPr="00AB33F4">
        <w:rPr>
          <w:shd w:val="clear" w:color="auto" w:fill="FFFFFF"/>
          <w:lang w:val="pt-BR"/>
        </w:rPr>
        <w:t>Karger</w:t>
      </w:r>
      <w:proofErr w:type="spellEnd"/>
      <w:r w:rsidRPr="00AB33F4">
        <w:rPr>
          <w:shd w:val="clear" w:color="auto" w:fill="FFFFFF"/>
          <w:lang w:val="pt-BR"/>
        </w:rPr>
        <w:t>.</w:t>
      </w:r>
    </w:p>
    <w:p w14:paraId="120FA6F2" w14:textId="77777777" w:rsidR="00BF1DAD" w:rsidRPr="00AB33F4" w:rsidRDefault="00BF1DAD" w:rsidP="00AB33F4">
      <w:pPr>
        <w:spacing w:line="360" w:lineRule="auto"/>
        <w:ind w:left="709" w:hanging="709"/>
        <w:rPr>
          <w:shd w:val="clear" w:color="auto" w:fill="FFFFFF"/>
        </w:rPr>
      </w:pPr>
      <w:proofErr w:type="spellStart"/>
      <w:r w:rsidRPr="00AB33F4">
        <w:rPr>
          <w:shd w:val="clear" w:color="auto" w:fill="FFFFFF"/>
          <w:lang w:val="pt-BR"/>
        </w:rPr>
        <w:lastRenderedPageBreak/>
        <w:t>Jodelet</w:t>
      </w:r>
      <w:proofErr w:type="spellEnd"/>
      <w:r w:rsidRPr="00AB33F4">
        <w:rPr>
          <w:shd w:val="clear" w:color="auto" w:fill="FFFFFF"/>
          <w:lang w:val="pt-BR"/>
        </w:rPr>
        <w:t xml:space="preserve">, D. (2001). Representações sociais: um domínio em expansão. In D. </w:t>
      </w:r>
      <w:proofErr w:type="spellStart"/>
      <w:r w:rsidRPr="00AB33F4">
        <w:rPr>
          <w:shd w:val="clear" w:color="auto" w:fill="FFFFFF"/>
          <w:lang w:val="pt-BR"/>
        </w:rPr>
        <w:t>Jodelet</w:t>
      </w:r>
      <w:proofErr w:type="spellEnd"/>
      <w:r w:rsidRPr="00AB33F4">
        <w:rPr>
          <w:shd w:val="clear" w:color="auto" w:fill="FFFFFF"/>
          <w:lang w:val="pt-BR"/>
        </w:rPr>
        <w:t xml:space="preserve"> (Org.), </w:t>
      </w:r>
      <w:r w:rsidRPr="00AB33F4">
        <w:rPr>
          <w:i/>
          <w:iCs/>
          <w:shd w:val="clear" w:color="auto" w:fill="FFFFFF"/>
          <w:lang w:val="pt-BR"/>
        </w:rPr>
        <w:t>As representações sociais</w:t>
      </w:r>
      <w:r w:rsidRPr="00AB33F4">
        <w:rPr>
          <w:shd w:val="clear" w:color="auto" w:fill="FFFFFF"/>
          <w:lang w:val="pt-BR"/>
        </w:rPr>
        <w:t xml:space="preserve"> (pp. 17-44). </w:t>
      </w:r>
      <w:r w:rsidRPr="00AB33F4">
        <w:rPr>
          <w:shd w:val="clear" w:color="auto" w:fill="FFFFFF"/>
        </w:rPr>
        <w:t>EDUERJ.</w:t>
      </w:r>
    </w:p>
    <w:p w14:paraId="7D845CB0" w14:textId="77777777" w:rsidR="00BF1DAD" w:rsidRPr="00AB33F4" w:rsidRDefault="00BF1DAD" w:rsidP="00AB33F4">
      <w:pPr>
        <w:shd w:val="clear" w:color="auto" w:fill="FFFFFF"/>
        <w:spacing w:line="360" w:lineRule="auto"/>
        <w:ind w:left="709" w:hanging="709"/>
        <w:rPr>
          <w:shd w:val="clear" w:color="auto" w:fill="FCFCFC"/>
          <w:lang w:val="en-US"/>
        </w:rPr>
      </w:pPr>
      <w:r w:rsidRPr="00AB33F4">
        <w:rPr>
          <w:shd w:val="clear" w:color="auto" w:fill="FFFFFF"/>
        </w:rPr>
        <w:t xml:space="preserve">Liu, F., Chui, H., &amp; Chung, M. C. (2021). </w:t>
      </w:r>
      <w:r w:rsidRPr="00AB33F4">
        <w:rPr>
          <w:shd w:val="clear" w:color="auto" w:fill="FFFFFF"/>
          <w:lang w:val="en-US"/>
        </w:rPr>
        <w:t>The moderating effect of filial piety on the relationship between perceived public stigma and internalized homophobia: A national survey of the Chinese LGB population. </w:t>
      </w:r>
      <w:r w:rsidRPr="00AB33F4">
        <w:rPr>
          <w:i/>
          <w:iCs/>
          <w:shd w:val="clear" w:color="auto" w:fill="FFFFFF"/>
          <w:lang w:val="en-US"/>
        </w:rPr>
        <w:t>Sexuality Research and Social Policy</w:t>
      </w:r>
      <w:r w:rsidRPr="00AB33F4">
        <w:rPr>
          <w:shd w:val="clear" w:color="auto" w:fill="FFFFFF"/>
          <w:lang w:val="en-US"/>
        </w:rPr>
        <w:t>, </w:t>
      </w:r>
      <w:r w:rsidRPr="00AB33F4">
        <w:rPr>
          <w:i/>
          <w:iCs/>
          <w:shd w:val="clear" w:color="auto" w:fill="FFFFFF"/>
          <w:lang w:val="en-US"/>
        </w:rPr>
        <w:t>18</w:t>
      </w:r>
      <w:r w:rsidRPr="00AB33F4">
        <w:rPr>
          <w:shd w:val="clear" w:color="auto" w:fill="FFFFFF"/>
          <w:lang w:val="en-US"/>
        </w:rPr>
        <w:t xml:space="preserve">(1), 160-169. </w:t>
      </w:r>
      <w:hyperlink r:id="rId26" w:history="1">
        <w:r w:rsidRPr="00AB33F4">
          <w:rPr>
            <w:rStyle w:val="Hyperlink"/>
            <w:color w:val="auto"/>
            <w:shd w:val="clear" w:color="auto" w:fill="FCFCFC"/>
            <w:lang w:val="en-US"/>
          </w:rPr>
          <w:t>https://doi.org/10.1007/s13178-020-00446-w</w:t>
        </w:r>
      </w:hyperlink>
    </w:p>
    <w:p w14:paraId="59E4D6C7" w14:textId="77777777" w:rsidR="00BF1DAD" w:rsidRPr="00AB33F4" w:rsidRDefault="00BF1DAD" w:rsidP="00AB33F4">
      <w:pPr>
        <w:shd w:val="clear" w:color="auto" w:fill="FFFFFF"/>
        <w:spacing w:line="360" w:lineRule="auto"/>
        <w:ind w:left="709" w:hanging="709"/>
        <w:rPr>
          <w:rStyle w:val="Hyperlink"/>
          <w:color w:val="auto"/>
          <w:bdr w:val="none" w:sz="0" w:space="0" w:color="auto" w:frame="1"/>
          <w:shd w:val="clear" w:color="auto" w:fill="FFFFFF"/>
          <w:lang w:val="en-US"/>
        </w:rPr>
      </w:pPr>
      <w:r w:rsidRPr="00AB33F4">
        <w:rPr>
          <w:shd w:val="clear" w:color="auto" w:fill="FFFFFF"/>
          <w:lang w:val="en-US"/>
        </w:rPr>
        <w:t>Marciano, A., &amp; Nimrod, G. (2021). Identity collision: Older gay men using technology. </w:t>
      </w:r>
      <w:r w:rsidRPr="00AB33F4">
        <w:rPr>
          <w:i/>
          <w:iCs/>
          <w:shd w:val="clear" w:color="auto" w:fill="FFFFFF"/>
          <w:lang w:val="en-US"/>
        </w:rPr>
        <w:t>Journal of Computer-Mediated Communication</w:t>
      </w:r>
      <w:r w:rsidRPr="00AB33F4">
        <w:rPr>
          <w:shd w:val="clear" w:color="auto" w:fill="FFFFFF"/>
          <w:lang w:val="en-US"/>
        </w:rPr>
        <w:t>, </w:t>
      </w:r>
      <w:r w:rsidRPr="00AB33F4">
        <w:rPr>
          <w:i/>
          <w:iCs/>
          <w:shd w:val="clear" w:color="auto" w:fill="FFFFFF"/>
          <w:lang w:val="en-US"/>
        </w:rPr>
        <w:t>26</w:t>
      </w:r>
      <w:r w:rsidRPr="00AB33F4">
        <w:rPr>
          <w:shd w:val="clear" w:color="auto" w:fill="FFFFFF"/>
          <w:lang w:val="en-US"/>
        </w:rPr>
        <w:t xml:space="preserve">(1), 22-37. </w:t>
      </w:r>
      <w:hyperlink r:id="rId27" w:history="1">
        <w:r w:rsidRPr="00AB33F4">
          <w:rPr>
            <w:rStyle w:val="Hyperlink"/>
            <w:color w:val="auto"/>
            <w:bdr w:val="none" w:sz="0" w:space="0" w:color="auto" w:frame="1"/>
            <w:shd w:val="clear" w:color="auto" w:fill="FFFFFF"/>
            <w:lang w:val="en-US"/>
          </w:rPr>
          <w:t>https://doi.org/10.1093/jcmc/zmaa016</w:t>
        </w:r>
      </w:hyperlink>
    </w:p>
    <w:p w14:paraId="3B108076" w14:textId="77777777" w:rsidR="00BF1DAD" w:rsidRPr="00AB33F4" w:rsidRDefault="00BF1DAD" w:rsidP="00AB33F4">
      <w:pPr>
        <w:spacing w:line="360" w:lineRule="auto"/>
        <w:ind w:left="709" w:hanging="709"/>
        <w:rPr>
          <w:lang w:val="es-ES"/>
        </w:rPr>
      </w:pPr>
      <w:proofErr w:type="spellStart"/>
      <w:r w:rsidRPr="00AB33F4">
        <w:rPr>
          <w:shd w:val="clear" w:color="auto" w:fill="FFFFFF"/>
          <w:lang w:val="en-US"/>
        </w:rPr>
        <w:t>Meanley</w:t>
      </w:r>
      <w:proofErr w:type="spellEnd"/>
      <w:r w:rsidRPr="00AB33F4">
        <w:rPr>
          <w:shd w:val="clear" w:color="auto" w:fill="FFFFFF"/>
          <w:lang w:val="en-US"/>
        </w:rPr>
        <w:t xml:space="preserve">, S. P., Stall, R. D., Hawk, M. E., </w:t>
      </w:r>
      <w:proofErr w:type="spellStart"/>
      <w:r w:rsidRPr="00AB33F4">
        <w:rPr>
          <w:shd w:val="clear" w:color="auto" w:fill="FFFFFF"/>
          <w:lang w:val="en-US"/>
        </w:rPr>
        <w:t>Surkan</w:t>
      </w:r>
      <w:proofErr w:type="spellEnd"/>
      <w:r w:rsidRPr="00AB33F4">
        <w:rPr>
          <w:shd w:val="clear" w:color="auto" w:fill="FFFFFF"/>
          <w:lang w:val="en-US"/>
        </w:rPr>
        <w:t>, P. J., Shoptaw, S. J., Matthews, D. D., ... &amp; Plankey, M. W. (2020). Multifactorial discrimination, discrimination salience, and prevalent experiences of internalized homophobia in middle-aged and older MSM. </w:t>
      </w:r>
      <w:proofErr w:type="spellStart"/>
      <w:r w:rsidRPr="00AB33F4">
        <w:rPr>
          <w:i/>
          <w:iCs/>
          <w:shd w:val="clear" w:color="auto" w:fill="FFFFFF"/>
          <w:lang w:val="pt-BR"/>
        </w:rPr>
        <w:t>Aging</w:t>
      </w:r>
      <w:proofErr w:type="spellEnd"/>
      <w:r w:rsidRPr="00AB33F4">
        <w:rPr>
          <w:i/>
          <w:iCs/>
          <w:shd w:val="clear" w:color="auto" w:fill="FFFFFF"/>
          <w:lang w:val="pt-BR"/>
        </w:rPr>
        <w:t xml:space="preserve"> &amp; mental </w:t>
      </w:r>
      <w:proofErr w:type="spellStart"/>
      <w:r w:rsidRPr="00AB33F4">
        <w:rPr>
          <w:i/>
          <w:iCs/>
          <w:shd w:val="clear" w:color="auto" w:fill="FFFFFF"/>
          <w:lang w:val="pt-BR"/>
        </w:rPr>
        <w:t>health</w:t>
      </w:r>
      <w:proofErr w:type="spellEnd"/>
      <w:r w:rsidRPr="00AB33F4">
        <w:rPr>
          <w:shd w:val="clear" w:color="auto" w:fill="FFFFFF"/>
          <w:lang w:val="pt-BR"/>
        </w:rPr>
        <w:t>, </w:t>
      </w:r>
      <w:r w:rsidRPr="00AB33F4">
        <w:rPr>
          <w:i/>
          <w:iCs/>
          <w:shd w:val="clear" w:color="auto" w:fill="FFFFFF"/>
          <w:lang w:val="pt-BR"/>
        </w:rPr>
        <w:t>24</w:t>
      </w:r>
      <w:r w:rsidRPr="00AB33F4">
        <w:rPr>
          <w:shd w:val="clear" w:color="auto" w:fill="FFFFFF"/>
          <w:lang w:val="pt-BR"/>
        </w:rPr>
        <w:t>(7), 1167-1174.</w:t>
      </w:r>
      <w:r w:rsidRPr="00AB33F4">
        <w:rPr>
          <w:lang w:val="es-ES"/>
        </w:rPr>
        <w:t xml:space="preserve"> https://doi.org/10.1080/13607863.2019.1594161</w:t>
      </w:r>
    </w:p>
    <w:p w14:paraId="0D318F8D" w14:textId="77777777" w:rsidR="00AB33F4" w:rsidRPr="00AB33F4" w:rsidRDefault="00BF1DAD" w:rsidP="00AB33F4">
      <w:pPr>
        <w:autoSpaceDE w:val="0"/>
        <w:autoSpaceDN w:val="0"/>
        <w:adjustRightInd w:val="0"/>
        <w:spacing w:line="360" w:lineRule="auto"/>
        <w:ind w:left="709" w:hanging="709"/>
      </w:pPr>
      <w:r w:rsidRPr="00AB33F4">
        <w:rPr>
          <w:shd w:val="clear" w:color="auto" w:fill="FFFFFF"/>
          <w:lang w:val="pt-BR"/>
        </w:rPr>
        <w:t>Ministério de Desenvolvimento Humano.</w:t>
      </w:r>
      <w:r w:rsidRPr="00AB33F4">
        <w:rPr>
          <w:lang w:val="pt-BR"/>
        </w:rPr>
        <w:t xml:space="preserve"> (2018). Violência </w:t>
      </w:r>
      <w:proofErr w:type="spellStart"/>
      <w:r w:rsidRPr="00AB33F4">
        <w:rPr>
          <w:lang w:val="pt-BR"/>
        </w:rPr>
        <w:t>LGBTFóbicas</w:t>
      </w:r>
      <w:proofErr w:type="spellEnd"/>
      <w:r w:rsidRPr="00AB33F4">
        <w:rPr>
          <w:lang w:val="pt-BR"/>
        </w:rPr>
        <w:t xml:space="preserve"> no Brasil: dados da violência. Brasília: MDH. Recuperado de: </w:t>
      </w:r>
      <w:hyperlink r:id="rId28" w:history="1">
        <w:r w:rsidR="00AB33F4" w:rsidRPr="00AB33F4">
          <w:rPr>
            <w:rStyle w:val="Hyperlink"/>
            <w:color w:val="auto"/>
          </w:rPr>
          <w:t>https://bit.ly/48NSrnm</w:t>
        </w:r>
      </w:hyperlink>
      <w:r w:rsidR="00AB33F4" w:rsidRPr="00AB33F4">
        <w:t xml:space="preserve"> </w:t>
      </w:r>
    </w:p>
    <w:p w14:paraId="0B683EFE" w14:textId="0EE89F3D" w:rsidR="00BF1DAD" w:rsidRPr="00AB33F4" w:rsidRDefault="00BF1DAD" w:rsidP="00AB33F4">
      <w:pPr>
        <w:autoSpaceDE w:val="0"/>
        <w:autoSpaceDN w:val="0"/>
        <w:adjustRightInd w:val="0"/>
        <w:spacing w:line="360" w:lineRule="auto"/>
        <w:ind w:left="709" w:hanging="709"/>
      </w:pPr>
      <w:r w:rsidRPr="00AB33F4">
        <w:t xml:space="preserve">Moscovici, S. (2017). </w:t>
      </w:r>
      <w:r w:rsidRPr="00AB33F4">
        <w:rPr>
          <w:i/>
          <w:iCs/>
        </w:rPr>
        <w:t>Representações Sociais: investigações em Psicologia Social.</w:t>
      </w:r>
      <w:r w:rsidRPr="00AB33F4">
        <w:t xml:space="preserve"> Vozes. </w:t>
      </w:r>
    </w:p>
    <w:p w14:paraId="39453AB1" w14:textId="77777777" w:rsidR="00BF1DAD" w:rsidRPr="00AB33F4" w:rsidRDefault="00BF1DAD" w:rsidP="00AB33F4">
      <w:pPr>
        <w:spacing w:line="360" w:lineRule="auto"/>
        <w:ind w:left="709" w:hanging="709"/>
        <w:rPr>
          <w:rStyle w:val="Hyperlink"/>
          <w:b/>
          <w:color w:val="auto"/>
          <w:lang w:val="pt-BR"/>
        </w:rPr>
      </w:pPr>
      <w:bookmarkStart w:id="0" w:name="_Hlk64548173"/>
      <w:r w:rsidRPr="00AB33F4">
        <w:rPr>
          <w:shd w:val="clear" w:color="auto" w:fill="FFFFFF"/>
          <w:lang w:val="pt-BR"/>
        </w:rPr>
        <w:t>Mota, M. P. (2012). A construção da homossexualidade no curso da vida a partir da lembrança de gays velhos. </w:t>
      </w:r>
      <w:proofErr w:type="spellStart"/>
      <w:r w:rsidRPr="00AB33F4">
        <w:rPr>
          <w:i/>
          <w:iCs/>
          <w:shd w:val="clear" w:color="auto" w:fill="FFFFFF"/>
          <w:lang w:val="pt-BR"/>
        </w:rPr>
        <w:t>Bagoas</w:t>
      </w:r>
      <w:proofErr w:type="spellEnd"/>
      <w:r w:rsidRPr="00AB33F4">
        <w:rPr>
          <w:i/>
          <w:iCs/>
          <w:shd w:val="clear" w:color="auto" w:fill="FFFFFF"/>
          <w:lang w:val="pt-BR"/>
        </w:rPr>
        <w:t>-Estudos gays: gêneros e sexualidades</w:t>
      </w:r>
      <w:r w:rsidRPr="00AB33F4">
        <w:rPr>
          <w:shd w:val="clear" w:color="auto" w:fill="FFFFFF"/>
          <w:lang w:val="pt-BR"/>
        </w:rPr>
        <w:t>, </w:t>
      </w:r>
      <w:r w:rsidRPr="00AB33F4">
        <w:rPr>
          <w:i/>
          <w:iCs/>
          <w:shd w:val="clear" w:color="auto" w:fill="FFFFFF"/>
          <w:lang w:val="pt-BR"/>
        </w:rPr>
        <w:t>6</w:t>
      </w:r>
      <w:r w:rsidRPr="00AB33F4">
        <w:rPr>
          <w:shd w:val="clear" w:color="auto" w:fill="FFFFFF"/>
          <w:lang w:val="pt-BR"/>
        </w:rPr>
        <w:t xml:space="preserve">(7), 199-222. </w:t>
      </w:r>
      <w:proofErr w:type="spellStart"/>
      <w:r w:rsidRPr="00AB33F4">
        <w:rPr>
          <w:lang w:val="pt-BR"/>
        </w:rPr>
        <w:t>Retrieved</w:t>
      </w:r>
      <w:proofErr w:type="spellEnd"/>
      <w:r w:rsidRPr="00AB33F4">
        <w:rPr>
          <w:lang w:val="pt-BR"/>
        </w:rPr>
        <w:t xml:space="preserve"> </w:t>
      </w:r>
      <w:proofErr w:type="spellStart"/>
      <w:r w:rsidRPr="00AB33F4">
        <w:rPr>
          <w:lang w:val="pt-BR"/>
        </w:rPr>
        <w:t>from</w:t>
      </w:r>
      <w:proofErr w:type="spellEnd"/>
      <w:r w:rsidRPr="00AB33F4">
        <w:rPr>
          <w:shd w:val="clear" w:color="auto" w:fill="FFFFFF"/>
          <w:lang w:val="pt-BR"/>
        </w:rPr>
        <w:t xml:space="preserve">: </w:t>
      </w:r>
      <w:hyperlink r:id="rId29" w:history="1">
        <w:r w:rsidRPr="00AB33F4">
          <w:rPr>
            <w:rStyle w:val="Hyperlink"/>
            <w:color w:val="auto"/>
            <w:shd w:val="clear" w:color="auto" w:fill="FFFFFF"/>
            <w:lang w:val="pt-BR"/>
          </w:rPr>
          <w:t>https://periodicos.ufrn.br/bagoas/article/download/2242/1675</w:t>
        </w:r>
      </w:hyperlink>
      <w:r w:rsidRPr="00AB33F4">
        <w:rPr>
          <w:shd w:val="clear" w:color="auto" w:fill="FFFFFF"/>
          <w:lang w:val="pt-BR"/>
        </w:rPr>
        <w:t xml:space="preserve">.  </w:t>
      </w:r>
    </w:p>
    <w:bookmarkEnd w:id="0"/>
    <w:p w14:paraId="2FE96D69" w14:textId="77777777" w:rsidR="00BF1DAD" w:rsidRPr="00AB33F4" w:rsidRDefault="00BF1DAD" w:rsidP="00AB33F4">
      <w:pPr>
        <w:autoSpaceDE w:val="0"/>
        <w:autoSpaceDN w:val="0"/>
        <w:adjustRightInd w:val="0"/>
        <w:spacing w:line="360" w:lineRule="auto"/>
        <w:ind w:left="709" w:hanging="709"/>
        <w:rPr>
          <w:rStyle w:val="Hyperlink"/>
          <w:color w:val="auto"/>
          <w:lang w:val="pt-BR"/>
        </w:rPr>
      </w:pPr>
      <w:r w:rsidRPr="00AB33F4">
        <w:rPr>
          <w:shd w:val="clear" w:color="auto" w:fill="FFFFFF"/>
          <w:lang w:val="pt-BR"/>
        </w:rPr>
        <w:t>Mott, L. (2016). Homofobia: Uma praga cristã. </w:t>
      </w:r>
      <w:r w:rsidRPr="00AB33F4">
        <w:rPr>
          <w:i/>
          <w:iCs/>
          <w:shd w:val="clear" w:color="auto" w:fill="FFFFFF"/>
          <w:lang w:val="pt-BR"/>
        </w:rPr>
        <w:t>e-</w:t>
      </w:r>
      <w:proofErr w:type="gramStart"/>
      <w:r w:rsidRPr="00AB33F4">
        <w:rPr>
          <w:i/>
          <w:iCs/>
          <w:shd w:val="clear" w:color="auto" w:fill="FFFFFF"/>
          <w:lang w:val="pt-BR"/>
        </w:rPr>
        <w:t>hum</w:t>
      </w:r>
      <w:proofErr w:type="gramEnd"/>
      <w:r w:rsidRPr="00AB33F4">
        <w:rPr>
          <w:shd w:val="clear" w:color="auto" w:fill="FFFFFF"/>
          <w:lang w:val="pt-BR"/>
        </w:rPr>
        <w:t>, </w:t>
      </w:r>
      <w:r w:rsidRPr="00AB33F4">
        <w:rPr>
          <w:i/>
          <w:iCs/>
          <w:shd w:val="clear" w:color="auto" w:fill="FFFFFF"/>
          <w:lang w:val="pt-BR"/>
        </w:rPr>
        <w:t>9</w:t>
      </w:r>
      <w:r w:rsidRPr="00AB33F4">
        <w:rPr>
          <w:shd w:val="clear" w:color="auto" w:fill="FFFFFF"/>
          <w:lang w:val="pt-BR"/>
        </w:rPr>
        <w:t xml:space="preserve">(2), 66-73. Recuperado de: </w:t>
      </w:r>
      <w:hyperlink r:id="rId30" w:history="1">
        <w:r w:rsidRPr="00AB33F4">
          <w:rPr>
            <w:rStyle w:val="Hyperlink"/>
            <w:color w:val="auto"/>
            <w:lang w:val="pt-BR"/>
          </w:rPr>
          <w:t>https://luizmottblog.wordpress.com/homofobia-uma-praga-crista/</w:t>
        </w:r>
      </w:hyperlink>
    </w:p>
    <w:p w14:paraId="29172CE3" w14:textId="77777777" w:rsidR="00BF1DAD" w:rsidRPr="00AB33F4" w:rsidRDefault="00BF1DAD" w:rsidP="00AB33F4">
      <w:pPr>
        <w:shd w:val="clear" w:color="auto" w:fill="FFFFFF"/>
        <w:spacing w:line="360" w:lineRule="auto"/>
        <w:ind w:left="709" w:hanging="709"/>
        <w:rPr>
          <w:shd w:val="clear" w:color="auto" w:fill="FFFFFF"/>
          <w:lang w:val="pt-BR"/>
        </w:rPr>
      </w:pPr>
      <w:r w:rsidRPr="00AB33F4">
        <w:rPr>
          <w:shd w:val="clear" w:color="auto" w:fill="FFFFFF"/>
          <w:lang w:val="pt-BR"/>
        </w:rPr>
        <w:t> Moura, R. G., Nascimento, R. P., &amp; Barros, D. F. (2017). O Problema Não É Ser Gay, É Ser Feminino: O Gay Afeminado E As Organizações. </w:t>
      </w:r>
      <w:r w:rsidRPr="00AB33F4">
        <w:rPr>
          <w:i/>
          <w:iCs/>
          <w:shd w:val="clear" w:color="auto" w:fill="FFFFFF"/>
          <w:lang w:val="pt-BR"/>
        </w:rPr>
        <w:t>Farol-Revista de Estudos Organizacionais e Sociedade</w:t>
      </w:r>
      <w:r w:rsidRPr="00AB33F4">
        <w:rPr>
          <w:shd w:val="clear" w:color="auto" w:fill="FFFFFF"/>
          <w:lang w:val="pt-BR"/>
        </w:rPr>
        <w:t>, </w:t>
      </w:r>
      <w:r w:rsidRPr="00AB33F4">
        <w:rPr>
          <w:i/>
          <w:iCs/>
          <w:shd w:val="clear" w:color="auto" w:fill="FFFFFF"/>
          <w:lang w:val="pt-BR"/>
        </w:rPr>
        <w:t>4</w:t>
      </w:r>
      <w:r w:rsidRPr="00AB33F4">
        <w:rPr>
          <w:shd w:val="clear" w:color="auto" w:fill="FFFFFF"/>
          <w:lang w:val="pt-BR"/>
        </w:rPr>
        <w:t>(11), 1478-1541.</w:t>
      </w:r>
    </w:p>
    <w:p w14:paraId="7921CED6" w14:textId="1F60A2A3" w:rsidR="00BF1DAD" w:rsidRPr="00AB33F4" w:rsidRDefault="00BF1DAD" w:rsidP="00AB33F4">
      <w:pPr>
        <w:shd w:val="clear" w:color="auto" w:fill="FFFFFF"/>
        <w:spacing w:line="360" w:lineRule="auto"/>
        <w:ind w:left="709" w:hanging="709"/>
        <w:rPr>
          <w:shd w:val="clear" w:color="auto" w:fill="FFFFFF"/>
          <w:lang w:val="pt-BR"/>
        </w:rPr>
      </w:pPr>
      <w:proofErr w:type="spellStart"/>
      <w:r w:rsidRPr="00AB33F4">
        <w:rPr>
          <w:shd w:val="clear" w:color="auto" w:fill="FFFFFF"/>
          <w:lang w:val="pt-BR"/>
        </w:rPr>
        <w:t>Myrick</w:t>
      </w:r>
      <w:proofErr w:type="spellEnd"/>
      <w:r w:rsidRPr="00AB33F4">
        <w:rPr>
          <w:shd w:val="clear" w:color="auto" w:fill="FFFFFF"/>
          <w:lang w:val="pt-BR"/>
        </w:rPr>
        <w:t>, M. A. (2020). </w:t>
      </w:r>
      <w:r w:rsidRPr="00AB33F4">
        <w:rPr>
          <w:i/>
          <w:iCs/>
          <w:shd w:val="clear" w:color="auto" w:fill="FFFFFF"/>
          <w:lang w:val="en-US"/>
        </w:rPr>
        <w:t>Exploring Regret Amongst Older Gay Men</w:t>
      </w:r>
      <w:r w:rsidRPr="00AB33F4">
        <w:rPr>
          <w:shd w:val="clear" w:color="auto" w:fill="FFFFFF"/>
          <w:lang w:val="en-US"/>
        </w:rPr>
        <w:t xml:space="preserve"> (Doctoral dissertation, Widener University). </w:t>
      </w:r>
      <w:r w:rsidRPr="00AB33F4">
        <w:rPr>
          <w:shd w:val="clear" w:color="auto" w:fill="FFFFFF"/>
          <w:lang w:val="pt-BR"/>
        </w:rPr>
        <w:t xml:space="preserve">Recuperado de: </w:t>
      </w:r>
      <w:hyperlink r:id="rId31" w:history="1">
        <w:r w:rsidR="00AB33F4" w:rsidRPr="00AB33F4">
          <w:rPr>
            <w:rStyle w:val="Hyperlink"/>
            <w:color w:val="auto"/>
            <w:shd w:val="clear" w:color="auto" w:fill="FFFFFF"/>
            <w:lang w:val="pt-BR"/>
          </w:rPr>
          <w:t>https://bit.ly/3ue7Wpq</w:t>
        </w:r>
      </w:hyperlink>
      <w:r w:rsidR="00AB33F4" w:rsidRPr="00AB33F4">
        <w:rPr>
          <w:shd w:val="clear" w:color="auto" w:fill="FFFFFF"/>
          <w:lang w:val="pt-BR"/>
        </w:rPr>
        <w:t xml:space="preserve"> </w:t>
      </w:r>
    </w:p>
    <w:p w14:paraId="2C4EA563" w14:textId="77777777" w:rsidR="00AB33F4" w:rsidRPr="00AB33F4" w:rsidRDefault="00BF1DAD" w:rsidP="00AB33F4">
      <w:pPr>
        <w:shd w:val="clear" w:color="auto" w:fill="FFFFFF"/>
        <w:spacing w:line="360" w:lineRule="auto"/>
        <w:ind w:left="709" w:hanging="709"/>
        <w:rPr>
          <w:lang w:val="pt-BR"/>
        </w:rPr>
      </w:pPr>
      <w:r w:rsidRPr="00AB33F4">
        <w:rPr>
          <w:shd w:val="clear" w:color="auto" w:fill="FFFFFF"/>
          <w:lang w:val="pt-BR"/>
        </w:rPr>
        <w:t xml:space="preserve">Oliveira, M. R., de Oliveira Araújo, M. H. P., Silva, M. I., &amp; de Amorim, B. M. O. (2020). Invisibilidade e solidão: a figura do homossexual idoso no Brasil. </w:t>
      </w:r>
      <w:r w:rsidRPr="00AB33F4">
        <w:rPr>
          <w:shd w:val="clear" w:color="auto" w:fill="FFFFFF"/>
        </w:rPr>
        <w:t xml:space="preserve">In: E. C. Sampaio (Org). </w:t>
      </w:r>
      <w:r w:rsidRPr="00AB33F4">
        <w:rPr>
          <w:i/>
          <w:iCs/>
          <w:shd w:val="clear" w:color="auto" w:fill="FFFFFF"/>
          <w:lang w:val="pt-BR"/>
        </w:rPr>
        <w:t xml:space="preserve">Envelhecimento Humano: Desafios Contemporâneos </w:t>
      </w:r>
      <w:r w:rsidRPr="00AB33F4">
        <w:rPr>
          <w:shd w:val="clear" w:color="auto" w:fill="FFFFFF"/>
          <w:lang w:val="pt-BR"/>
        </w:rPr>
        <w:t xml:space="preserve">(pp. 233-245). Editora Científica. Recuperado de: </w:t>
      </w:r>
      <w:hyperlink r:id="rId32" w:history="1">
        <w:r w:rsidR="00AB33F4" w:rsidRPr="00AB33F4">
          <w:rPr>
            <w:rStyle w:val="Hyperlink"/>
            <w:color w:val="auto"/>
            <w:lang w:val="pt-BR"/>
          </w:rPr>
          <w:t>https://bit.ly/3SyKpIf</w:t>
        </w:r>
      </w:hyperlink>
      <w:r w:rsidR="00AB33F4" w:rsidRPr="00AB33F4">
        <w:rPr>
          <w:lang w:val="pt-BR"/>
        </w:rPr>
        <w:t xml:space="preserve"> </w:t>
      </w:r>
    </w:p>
    <w:p w14:paraId="6DB140EB" w14:textId="6B1069CF" w:rsidR="00BF1DAD" w:rsidRPr="00AB33F4" w:rsidRDefault="00BF1DAD" w:rsidP="00AB33F4">
      <w:pPr>
        <w:shd w:val="clear" w:color="auto" w:fill="FFFFFF"/>
        <w:spacing w:line="360" w:lineRule="auto"/>
        <w:ind w:left="709" w:hanging="709"/>
        <w:rPr>
          <w:lang w:val="es-ES"/>
        </w:rPr>
      </w:pPr>
      <w:proofErr w:type="spellStart"/>
      <w:r w:rsidRPr="00AB33F4">
        <w:rPr>
          <w:shd w:val="clear" w:color="auto" w:fill="FFFFFF"/>
          <w:lang w:val="en-US"/>
        </w:rPr>
        <w:t>Paveltchuk</w:t>
      </w:r>
      <w:proofErr w:type="spellEnd"/>
      <w:r w:rsidRPr="00AB33F4">
        <w:rPr>
          <w:shd w:val="clear" w:color="auto" w:fill="FFFFFF"/>
          <w:lang w:val="en-US"/>
        </w:rPr>
        <w:t>, F. O., &amp; Borsa, JC (2019). </w:t>
      </w:r>
      <w:r w:rsidRPr="00AB33F4">
        <w:rPr>
          <w:shd w:val="clear" w:color="auto" w:fill="FFFFFF"/>
          <w:lang w:val="pt-BR"/>
        </w:rPr>
        <w:t>Homofobia internalizada, conectividade comunitária e saúde mental em uma amostra de LGB brasileiros. </w:t>
      </w:r>
      <w:r w:rsidRPr="00AB33F4">
        <w:rPr>
          <w:rStyle w:val="nfase"/>
          <w:shd w:val="clear" w:color="auto" w:fill="FFFFFF"/>
          <w:lang w:val="es-ES"/>
        </w:rPr>
        <w:t>Avances en Psicología Latinoamericana, 37</w:t>
      </w:r>
      <w:r w:rsidRPr="00AB33F4">
        <w:rPr>
          <w:shd w:val="clear" w:color="auto" w:fill="FFFFFF"/>
          <w:lang w:val="es-ES"/>
        </w:rPr>
        <w:t>(1), 47-61. </w:t>
      </w:r>
      <w:r w:rsidR="00AB33F4" w:rsidRPr="00AB33F4">
        <w:t>https://bit.ly/4bfxymL</w:t>
      </w:r>
      <w:r w:rsidR="00AB33F4" w:rsidRPr="00AB33F4">
        <w:t xml:space="preserve"> </w:t>
      </w:r>
    </w:p>
    <w:p w14:paraId="44145FF9" w14:textId="77777777" w:rsidR="00BF1DAD" w:rsidRPr="00AB33F4" w:rsidRDefault="00BF1DAD" w:rsidP="00AB33F4">
      <w:pPr>
        <w:spacing w:line="360" w:lineRule="auto"/>
        <w:ind w:left="709" w:hanging="709"/>
        <w:rPr>
          <w:rStyle w:val="Hyperlink"/>
          <w:iCs/>
          <w:color w:val="auto"/>
          <w:u w:val="none"/>
          <w:lang w:val="pt-BR"/>
        </w:rPr>
      </w:pPr>
      <w:proofErr w:type="spellStart"/>
      <w:r w:rsidRPr="00AB33F4">
        <w:rPr>
          <w:rStyle w:val="Hyperlink"/>
          <w:iCs/>
          <w:color w:val="auto"/>
          <w:u w:val="none"/>
          <w:lang w:val="pt-BR"/>
        </w:rPr>
        <w:lastRenderedPageBreak/>
        <w:t>Quinalha</w:t>
      </w:r>
      <w:proofErr w:type="spellEnd"/>
      <w:r w:rsidRPr="00AB33F4">
        <w:rPr>
          <w:rStyle w:val="Hyperlink"/>
          <w:iCs/>
          <w:color w:val="auto"/>
          <w:u w:val="none"/>
          <w:lang w:val="pt-BR"/>
        </w:rPr>
        <w:t xml:space="preserve">, R. (2018). Uma ditadura </w:t>
      </w:r>
      <w:proofErr w:type="spellStart"/>
      <w:r w:rsidRPr="00AB33F4">
        <w:rPr>
          <w:rStyle w:val="Hyperlink"/>
          <w:iCs/>
          <w:color w:val="auto"/>
          <w:u w:val="none"/>
          <w:lang w:val="pt-BR"/>
        </w:rPr>
        <w:t>hetero-militar</w:t>
      </w:r>
      <w:proofErr w:type="spellEnd"/>
      <w:r w:rsidRPr="00AB33F4">
        <w:rPr>
          <w:rStyle w:val="Hyperlink"/>
          <w:iCs/>
          <w:color w:val="auto"/>
          <w:u w:val="none"/>
          <w:lang w:val="pt-BR"/>
        </w:rPr>
        <w:t xml:space="preserve">: notas sobre a política sexual do regime autoritário brasileiro. In: Green, J. N., </w:t>
      </w:r>
      <w:proofErr w:type="spellStart"/>
      <w:r w:rsidRPr="00AB33F4">
        <w:rPr>
          <w:rStyle w:val="Hyperlink"/>
          <w:iCs/>
          <w:color w:val="auto"/>
          <w:u w:val="none"/>
          <w:lang w:val="pt-BR"/>
        </w:rPr>
        <w:t>Quinalha</w:t>
      </w:r>
      <w:proofErr w:type="spellEnd"/>
      <w:r w:rsidRPr="00AB33F4">
        <w:rPr>
          <w:rStyle w:val="Hyperlink"/>
          <w:iCs/>
          <w:color w:val="auto"/>
          <w:u w:val="none"/>
          <w:lang w:val="pt-BR"/>
        </w:rPr>
        <w:t xml:space="preserve">, R., Caetano, R. Q. M., &amp; Fernandes, M. (Org.) </w:t>
      </w:r>
      <w:r w:rsidRPr="00AB33F4">
        <w:rPr>
          <w:rStyle w:val="Hyperlink"/>
          <w:i/>
          <w:iCs/>
          <w:color w:val="auto"/>
          <w:u w:val="none"/>
        </w:rPr>
        <w:t xml:space="preserve">A </w:t>
      </w:r>
      <w:proofErr w:type="spellStart"/>
      <w:r w:rsidRPr="00AB33F4">
        <w:rPr>
          <w:rStyle w:val="Hyperlink"/>
          <w:i/>
          <w:iCs/>
          <w:color w:val="auto"/>
          <w:u w:val="none"/>
        </w:rPr>
        <w:t>história</w:t>
      </w:r>
      <w:proofErr w:type="spellEnd"/>
      <w:r w:rsidRPr="00AB33F4">
        <w:rPr>
          <w:rStyle w:val="Hyperlink"/>
          <w:i/>
          <w:iCs/>
          <w:color w:val="auto"/>
          <w:u w:val="none"/>
        </w:rPr>
        <w:t xml:space="preserve"> do </w:t>
      </w:r>
      <w:proofErr w:type="spellStart"/>
      <w:r w:rsidRPr="00AB33F4">
        <w:rPr>
          <w:rStyle w:val="Hyperlink"/>
          <w:i/>
          <w:iCs/>
          <w:color w:val="auto"/>
          <w:u w:val="none"/>
        </w:rPr>
        <w:t>movimento</w:t>
      </w:r>
      <w:proofErr w:type="spellEnd"/>
      <w:r w:rsidRPr="00AB33F4">
        <w:rPr>
          <w:rStyle w:val="Hyperlink"/>
          <w:i/>
          <w:iCs/>
          <w:color w:val="auto"/>
          <w:u w:val="none"/>
        </w:rPr>
        <w:t xml:space="preserve"> LGBT no </w:t>
      </w:r>
      <w:proofErr w:type="spellStart"/>
      <w:r w:rsidRPr="00AB33F4">
        <w:rPr>
          <w:rStyle w:val="Hyperlink"/>
          <w:i/>
          <w:iCs/>
          <w:color w:val="auto"/>
          <w:u w:val="none"/>
        </w:rPr>
        <w:t>Brasil</w:t>
      </w:r>
      <w:proofErr w:type="spellEnd"/>
      <w:r w:rsidRPr="00AB33F4">
        <w:rPr>
          <w:rStyle w:val="Hyperlink"/>
          <w:iCs/>
          <w:color w:val="auto"/>
          <w:u w:val="none"/>
        </w:rPr>
        <w:t xml:space="preserve">, pp. 15-38. </w:t>
      </w:r>
      <w:r w:rsidRPr="00AB33F4">
        <w:rPr>
          <w:rStyle w:val="Hyperlink"/>
          <w:iCs/>
          <w:color w:val="auto"/>
          <w:u w:val="none"/>
          <w:lang w:val="pt-BR"/>
        </w:rPr>
        <w:t>Alameda.</w:t>
      </w:r>
    </w:p>
    <w:p w14:paraId="5CB29CCF" w14:textId="77777777" w:rsidR="00BF1DAD" w:rsidRPr="00AB33F4" w:rsidRDefault="00BF1DAD" w:rsidP="00AB33F4">
      <w:pPr>
        <w:autoSpaceDE w:val="0"/>
        <w:autoSpaceDN w:val="0"/>
        <w:adjustRightInd w:val="0"/>
        <w:spacing w:line="360" w:lineRule="auto"/>
        <w:ind w:left="709" w:right="142" w:hanging="709"/>
        <w:rPr>
          <w:lang w:val="pt-BR"/>
        </w:rPr>
      </w:pPr>
      <w:r w:rsidRPr="00AB33F4">
        <w:rPr>
          <w:shd w:val="clear" w:color="auto" w:fill="FFFFFF"/>
          <w:lang w:val="pt-BR"/>
        </w:rPr>
        <w:t>Rabelo, D. F., &amp; Davi, E. H. D. (2020</w:t>
      </w:r>
      <w:proofErr w:type="gramStart"/>
      <w:r w:rsidRPr="00AB33F4">
        <w:rPr>
          <w:shd w:val="clear" w:color="auto" w:fill="FFFFFF"/>
          <w:lang w:val="pt-BR"/>
        </w:rPr>
        <w:t>).recursos</w:t>
      </w:r>
      <w:proofErr w:type="gramEnd"/>
      <w:r w:rsidRPr="00AB33F4">
        <w:rPr>
          <w:shd w:val="clear" w:color="auto" w:fill="FFFFFF"/>
          <w:lang w:val="pt-BR"/>
        </w:rPr>
        <w:t xml:space="preserve"> psicológicos e sociais ao longo do envelhecimento LGBT. In. L. F. Araújo &amp; H. S. Silva (</w:t>
      </w:r>
      <w:proofErr w:type="spellStart"/>
      <w:r w:rsidRPr="00AB33F4">
        <w:rPr>
          <w:shd w:val="clear" w:color="auto" w:fill="FFFFFF"/>
          <w:lang w:val="pt-BR"/>
        </w:rPr>
        <w:t>Orgs</w:t>
      </w:r>
      <w:proofErr w:type="spellEnd"/>
      <w:r w:rsidRPr="00AB33F4">
        <w:rPr>
          <w:shd w:val="clear" w:color="auto" w:fill="FFFFFF"/>
          <w:lang w:val="pt-BR"/>
        </w:rPr>
        <w:t>.), Envelhecimento e velhice LGBT práticas e perspectivas biopsicossociais (pp. 47-60). Alínea editora.</w:t>
      </w:r>
    </w:p>
    <w:p w14:paraId="4B36AABC" w14:textId="77777777" w:rsidR="00BF1DAD" w:rsidRPr="00AB33F4" w:rsidRDefault="00BF1DAD" w:rsidP="00AB33F4">
      <w:pPr>
        <w:shd w:val="clear" w:color="auto" w:fill="FFFFFF"/>
        <w:spacing w:line="360" w:lineRule="auto"/>
        <w:ind w:left="709" w:hanging="709"/>
        <w:rPr>
          <w:shd w:val="clear" w:color="auto" w:fill="FCFCFC"/>
        </w:rPr>
      </w:pPr>
      <w:r w:rsidRPr="00AB33F4">
        <w:rPr>
          <w:shd w:val="clear" w:color="auto" w:fill="FFFFFF"/>
          <w:lang w:val="pt-BR"/>
        </w:rPr>
        <w:t xml:space="preserve">Ribeiro-Gonçalves, J. A., Pereira, H., Costa, P. A., Leal, I., &amp; de </w:t>
      </w:r>
      <w:proofErr w:type="spellStart"/>
      <w:r w:rsidRPr="00AB33F4">
        <w:rPr>
          <w:shd w:val="clear" w:color="auto" w:fill="FFFFFF"/>
          <w:lang w:val="pt-BR"/>
        </w:rPr>
        <w:t>Vries</w:t>
      </w:r>
      <w:proofErr w:type="spellEnd"/>
      <w:r w:rsidRPr="00AB33F4">
        <w:rPr>
          <w:shd w:val="clear" w:color="auto" w:fill="FFFFFF"/>
          <w:lang w:val="pt-BR"/>
        </w:rPr>
        <w:t xml:space="preserve">, B. (2021). </w:t>
      </w:r>
      <w:r w:rsidRPr="00AB33F4">
        <w:rPr>
          <w:shd w:val="clear" w:color="auto" w:fill="FFFFFF"/>
        </w:rPr>
        <w:t>Loneliness, Social Support, and Adjustment to Aging in Older Portuguese Gay Men. </w:t>
      </w:r>
      <w:r w:rsidRPr="00AB33F4">
        <w:rPr>
          <w:i/>
          <w:iCs/>
          <w:shd w:val="clear" w:color="auto" w:fill="FFFFFF"/>
        </w:rPr>
        <w:t>Sexuality Research and Social Policy</w:t>
      </w:r>
      <w:r w:rsidRPr="00AB33F4">
        <w:rPr>
          <w:shd w:val="clear" w:color="auto" w:fill="FFFFFF"/>
        </w:rPr>
        <w:t xml:space="preserve">, 1-13. </w:t>
      </w:r>
      <w:hyperlink r:id="rId33" w:history="1">
        <w:r w:rsidRPr="00AB33F4">
          <w:rPr>
            <w:rStyle w:val="Hyperlink"/>
            <w:color w:val="auto"/>
            <w:shd w:val="clear" w:color="auto" w:fill="FCFCFC"/>
          </w:rPr>
          <w:t>https://doi.org/10.1007/s13178-021-00535-4</w:t>
        </w:r>
      </w:hyperlink>
      <w:r w:rsidRPr="00AB33F4">
        <w:rPr>
          <w:shd w:val="clear" w:color="auto" w:fill="FCFCFC"/>
        </w:rPr>
        <w:t xml:space="preserve"> </w:t>
      </w:r>
    </w:p>
    <w:p w14:paraId="0B40B99A" w14:textId="116F5E34" w:rsidR="00BF1DAD" w:rsidRPr="00AB33F4" w:rsidRDefault="00BF1DAD" w:rsidP="00AB33F4">
      <w:pPr>
        <w:shd w:val="clear" w:color="auto" w:fill="FFFFFF"/>
        <w:spacing w:line="360" w:lineRule="auto"/>
        <w:ind w:left="709" w:hanging="709"/>
        <w:rPr>
          <w:shd w:val="clear" w:color="auto" w:fill="FFFFFF"/>
          <w:lang w:val="pt-BR"/>
        </w:rPr>
      </w:pPr>
      <w:r w:rsidRPr="00AB33F4">
        <w:rPr>
          <w:shd w:val="clear" w:color="auto" w:fill="FFFFFF"/>
        </w:rPr>
        <w:t xml:space="preserve">Russo, A. L. R. G., &amp; Russo, T. R. G. (2020). </w:t>
      </w:r>
      <w:r w:rsidRPr="00AB33F4">
        <w:rPr>
          <w:shd w:val="clear" w:color="auto" w:fill="FFFFFF"/>
          <w:lang w:val="pt-BR"/>
        </w:rPr>
        <w:t xml:space="preserve">Por que falamos de Stonewall e esquecemos o </w:t>
      </w:r>
      <w:proofErr w:type="spellStart"/>
      <w:r w:rsidRPr="00AB33F4">
        <w:rPr>
          <w:shd w:val="clear" w:color="auto" w:fill="FFFFFF"/>
          <w:lang w:val="pt-BR"/>
        </w:rPr>
        <w:t>WhK</w:t>
      </w:r>
      <w:proofErr w:type="spellEnd"/>
      <w:r w:rsidRPr="00AB33F4">
        <w:rPr>
          <w:shd w:val="clear" w:color="auto" w:fill="FFFFFF"/>
          <w:lang w:val="pt-BR"/>
        </w:rPr>
        <w:t>? A Ciência e o espaço da neutralidade como espaço do discurso conservador. </w:t>
      </w:r>
      <w:r w:rsidRPr="00AB33F4">
        <w:rPr>
          <w:i/>
          <w:iCs/>
          <w:shd w:val="clear" w:color="auto" w:fill="FFFFFF"/>
          <w:lang w:val="pt-BR"/>
        </w:rPr>
        <w:t>Fronteiras &amp; Debates</w:t>
      </w:r>
      <w:r w:rsidRPr="00AB33F4">
        <w:rPr>
          <w:shd w:val="clear" w:color="auto" w:fill="FFFFFF"/>
          <w:lang w:val="pt-BR"/>
        </w:rPr>
        <w:t>, </w:t>
      </w:r>
      <w:r w:rsidRPr="00AB33F4">
        <w:rPr>
          <w:i/>
          <w:iCs/>
          <w:shd w:val="clear" w:color="auto" w:fill="FFFFFF"/>
          <w:lang w:val="pt-BR"/>
        </w:rPr>
        <w:t>7</w:t>
      </w:r>
      <w:r w:rsidRPr="00AB33F4">
        <w:rPr>
          <w:shd w:val="clear" w:color="auto" w:fill="FFFFFF"/>
          <w:lang w:val="pt-BR"/>
        </w:rPr>
        <w:t xml:space="preserve">(2), 143-166. </w:t>
      </w:r>
      <w:hyperlink r:id="rId34" w:history="1">
        <w:r w:rsidR="00AB33F4" w:rsidRPr="00AB33F4">
          <w:rPr>
            <w:rStyle w:val="Hyperlink"/>
            <w:color w:val="auto"/>
          </w:rPr>
          <w:t>https://bit.ly/3vQUyIu</w:t>
        </w:r>
      </w:hyperlink>
      <w:r w:rsidR="00AB33F4" w:rsidRPr="00AB33F4">
        <w:t xml:space="preserve"> </w:t>
      </w:r>
    </w:p>
    <w:p w14:paraId="4D1D117A" w14:textId="77777777" w:rsidR="00BF1DAD" w:rsidRPr="00AB33F4" w:rsidRDefault="00BF1DAD" w:rsidP="00AB33F4">
      <w:pPr>
        <w:spacing w:line="360" w:lineRule="auto"/>
        <w:ind w:left="709" w:hanging="709"/>
        <w:rPr>
          <w:shd w:val="clear" w:color="auto" w:fill="FFFFFF"/>
          <w:lang w:val="pt-BR"/>
        </w:rPr>
      </w:pPr>
      <w:r w:rsidRPr="00AB33F4">
        <w:rPr>
          <w:shd w:val="clear" w:color="auto" w:fill="FFFFFF"/>
          <w:lang w:val="pt-BR"/>
        </w:rPr>
        <w:t>Santos, J. V. O., &amp; Araújo, L. F. A homossexualidade para idosos gays: suas representações sociais (2020). In. Cerqueira-Santos, E., Silva, J. P., Faro, A. (</w:t>
      </w:r>
      <w:proofErr w:type="spellStart"/>
      <w:r w:rsidRPr="00AB33F4">
        <w:rPr>
          <w:shd w:val="clear" w:color="auto" w:fill="FFFFFF"/>
          <w:lang w:val="pt-BR"/>
        </w:rPr>
        <w:t>Orgs</w:t>
      </w:r>
      <w:proofErr w:type="spellEnd"/>
      <w:r w:rsidRPr="00AB33F4">
        <w:rPr>
          <w:shd w:val="clear" w:color="auto" w:fill="FFFFFF"/>
          <w:lang w:val="pt-BR"/>
        </w:rPr>
        <w:t xml:space="preserve">.). </w:t>
      </w:r>
      <w:r w:rsidRPr="00AB33F4">
        <w:rPr>
          <w:i/>
          <w:iCs/>
          <w:shd w:val="clear" w:color="auto" w:fill="FFFFFF"/>
          <w:lang w:val="pt-BR"/>
        </w:rPr>
        <w:t>Gênero, violência e saúde: processos de envelhecimento</w:t>
      </w:r>
      <w:r w:rsidRPr="00AB33F4">
        <w:rPr>
          <w:shd w:val="clear" w:color="auto" w:fill="FFFFFF"/>
          <w:lang w:val="pt-BR"/>
        </w:rPr>
        <w:t>. (233-246). Scortecci.</w:t>
      </w:r>
    </w:p>
    <w:p w14:paraId="6F344890" w14:textId="77777777" w:rsidR="00BF1DAD" w:rsidRPr="00AB33F4" w:rsidRDefault="00BF1DAD" w:rsidP="00AB33F4">
      <w:pPr>
        <w:shd w:val="clear" w:color="auto" w:fill="FFFFFF"/>
        <w:spacing w:line="360" w:lineRule="auto"/>
        <w:ind w:left="709" w:hanging="709"/>
        <w:rPr>
          <w:rStyle w:val="Hyperlink"/>
          <w:color w:val="auto"/>
          <w:lang w:val="pt-BR" w:eastAsia="pt-BR"/>
        </w:rPr>
      </w:pPr>
      <w:r w:rsidRPr="00AB33F4">
        <w:rPr>
          <w:shd w:val="clear" w:color="auto" w:fill="FFFFFF"/>
          <w:lang w:val="pt-BR"/>
        </w:rPr>
        <w:t>Santos, J. V. O., &amp; de Araújo, L. F. (2021). Envelhecimento Masculino entre Idosos Gays: suas Representações Sociais. </w:t>
      </w:r>
      <w:r w:rsidRPr="00AB33F4">
        <w:rPr>
          <w:i/>
          <w:iCs/>
          <w:shd w:val="clear" w:color="auto" w:fill="FFFFFF"/>
          <w:lang w:val="pt-BR"/>
        </w:rPr>
        <w:t>Estudos e Pesquisas em Psicologia</w:t>
      </w:r>
      <w:r w:rsidRPr="00AB33F4">
        <w:rPr>
          <w:shd w:val="clear" w:color="auto" w:fill="FFFFFF"/>
          <w:lang w:val="pt-BR"/>
        </w:rPr>
        <w:t>, </w:t>
      </w:r>
      <w:r w:rsidRPr="00AB33F4">
        <w:rPr>
          <w:i/>
          <w:iCs/>
          <w:shd w:val="clear" w:color="auto" w:fill="FFFFFF"/>
          <w:lang w:val="pt-BR"/>
        </w:rPr>
        <w:t>21</w:t>
      </w:r>
      <w:r w:rsidRPr="00AB33F4">
        <w:rPr>
          <w:shd w:val="clear" w:color="auto" w:fill="FFFFFF"/>
          <w:lang w:val="pt-BR"/>
        </w:rPr>
        <w:t xml:space="preserve">(3), 971-989. </w:t>
      </w:r>
      <w:proofErr w:type="spellStart"/>
      <w:r w:rsidRPr="00AB33F4">
        <w:rPr>
          <w:shd w:val="clear" w:color="auto" w:fill="FFFFFF"/>
          <w:lang w:val="pt-BR"/>
        </w:rPr>
        <w:t>Retrieved</w:t>
      </w:r>
      <w:proofErr w:type="spellEnd"/>
      <w:r w:rsidRPr="00AB33F4">
        <w:rPr>
          <w:shd w:val="clear" w:color="auto" w:fill="FFFFFF"/>
          <w:lang w:val="pt-BR"/>
        </w:rPr>
        <w:t xml:space="preserve">: </w:t>
      </w:r>
      <w:hyperlink r:id="rId35" w:history="1">
        <w:r w:rsidRPr="00AB33F4">
          <w:rPr>
            <w:rStyle w:val="Hyperlink"/>
            <w:color w:val="auto"/>
            <w:shd w:val="clear" w:color="auto" w:fill="FFFFFF"/>
            <w:lang w:val="pt-BR"/>
          </w:rPr>
          <w:t>https://www.e-publicacoes.uerj.br/index.php/revispsi/article/view/62693</w:t>
        </w:r>
      </w:hyperlink>
      <w:r w:rsidRPr="00AB33F4">
        <w:rPr>
          <w:shd w:val="clear" w:color="auto" w:fill="FFFFFF"/>
          <w:lang w:val="pt-BR"/>
        </w:rPr>
        <w:t xml:space="preserve"> </w:t>
      </w:r>
    </w:p>
    <w:p w14:paraId="43D0B4F2" w14:textId="77777777" w:rsidR="00BF1DAD" w:rsidRPr="00AB33F4" w:rsidRDefault="00BF1DAD" w:rsidP="00AB33F4">
      <w:pPr>
        <w:pStyle w:val="Default"/>
        <w:spacing w:line="360" w:lineRule="auto"/>
        <w:ind w:left="709" w:hanging="709"/>
        <w:rPr>
          <w:color w:val="auto"/>
          <w:shd w:val="clear" w:color="auto" w:fill="FFFFFF"/>
          <w:lang w:val="en-US"/>
        </w:rPr>
      </w:pPr>
      <w:r w:rsidRPr="00AB33F4">
        <w:rPr>
          <w:color w:val="auto"/>
        </w:rPr>
        <w:t xml:space="preserve">Santos, J. V. O., Araújo, L. F., Negreiros, F., &amp; Cerqueira-Santos, E. (2018). Adoção de crianças por casais homossexuais: As representações sociais. </w:t>
      </w:r>
      <w:r w:rsidRPr="00AB33F4">
        <w:rPr>
          <w:i/>
          <w:color w:val="auto"/>
        </w:rPr>
        <w:t>Temas em Psicologia</w:t>
      </w:r>
      <w:r w:rsidRPr="00AB33F4">
        <w:rPr>
          <w:color w:val="auto"/>
        </w:rPr>
        <w:t xml:space="preserve">, </w:t>
      </w:r>
      <w:r w:rsidRPr="00AB33F4">
        <w:rPr>
          <w:i/>
          <w:color w:val="auto"/>
        </w:rPr>
        <w:t>26</w:t>
      </w:r>
      <w:r w:rsidRPr="00AB33F4">
        <w:rPr>
          <w:color w:val="auto"/>
        </w:rPr>
        <w:t xml:space="preserve">(1), 139-152. </w:t>
      </w:r>
      <w:hyperlink r:id="rId36" w:history="1">
        <w:r w:rsidRPr="00AB33F4">
          <w:rPr>
            <w:rStyle w:val="Hyperlink"/>
            <w:color w:val="auto"/>
            <w:shd w:val="clear" w:color="auto" w:fill="FFFFFF"/>
            <w:lang w:val="en-US"/>
          </w:rPr>
          <w:t>http://dx.doi.org/10.9788/tp2018.1-06pt</w:t>
        </w:r>
      </w:hyperlink>
      <w:r w:rsidRPr="00AB33F4">
        <w:rPr>
          <w:color w:val="auto"/>
          <w:shd w:val="clear" w:color="auto" w:fill="FFFFFF"/>
          <w:lang w:val="en-US"/>
        </w:rPr>
        <w:t xml:space="preserve"> </w:t>
      </w:r>
    </w:p>
    <w:p w14:paraId="38BA92D6" w14:textId="77777777" w:rsidR="00BF1DAD" w:rsidRPr="00AB33F4" w:rsidRDefault="00BF1DAD" w:rsidP="00AB33F4">
      <w:pPr>
        <w:spacing w:line="360" w:lineRule="auto"/>
        <w:ind w:left="709" w:hanging="709"/>
        <w:rPr>
          <w:lang w:val="es-ES"/>
        </w:rPr>
      </w:pPr>
      <w:r w:rsidRPr="00AB33F4">
        <w:rPr>
          <w:shd w:val="clear" w:color="auto" w:fill="FFFFFF"/>
          <w:lang w:val="en-US"/>
        </w:rPr>
        <w:t>Shi, X., Xu, W., &amp; Zheng, Y. (2020). Heterosexual marital intention: Effects of internalized homophobia, homosexual identity, perceived family support, and disclosure among Chinese gay and bisexual Men. </w:t>
      </w:r>
      <w:proofErr w:type="spellStart"/>
      <w:r w:rsidRPr="00AB33F4">
        <w:rPr>
          <w:i/>
          <w:iCs/>
          <w:shd w:val="clear" w:color="auto" w:fill="FFFFFF"/>
          <w:lang w:val="pt-BR"/>
        </w:rPr>
        <w:t>Journal</w:t>
      </w:r>
      <w:proofErr w:type="spellEnd"/>
      <w:r w:rsidRPr="00AB33F4">
        <w:rPr>
          <w:i/>
          <w:iCs/>
          <w:shd w:val="clear" w:color="auto" w:fill="FFFFFF"/>
          <w:lang w:val="pt-BR"/>
        </w:rPr>
        <w:t xml:space="preserve"> </w:t>
      </w:r>
      <w:proofErr w:type="spellStart"/>
      <w:r w:rsidRPr="00AB33F4">
        <w:rPr>
          <w:i/>
          <w:iCs/>
          <w:shd w:val="clear" w:color="auto" w:fill="FFFFFF"/>
          <w:lang w:val="pt-BR"/>
        </w:rPr>
        <w:t>of</w:t>
      </w:r>
      <w:proofErr w:type="spellEnd"/>
      <w:r w:rsidRPr="00AB33F4">
        <w:rPr>
          <w:i/>
          <w:iCs/>
          <w:shd w:val="clear" w:color="auto" w:fill="FFFFFF"/>
          <w:lang w:val="pt-BR"/>
        </w:rPr>
        <w:t xml:space="preserve"> </w:t>
      </w:r>
      <w:proofErr w:type="spellStart"/>
      <w:r w:rsidRPr="00AB33F4">
        <w:rPr>
          <w:i/>
          <w:iCs/>
          <w:shd w:val="clear" w:color="auto" w:fill="FFFFFF"/>
          <w:lang w:val="pt-BR"/>
        </w:rPr>
        <w:t>Homosexuality</w:t>
      </w:r>
      <w:proofErr w:type="spellEnd"/>
      <w:r w:rsidRPr="00AB33F4">
        <w:rPr>
          <w:shd w:val="clear" w:color="auto" w:fill="FFFFFF"/>
          <w:lang w:val="pt-BR"/>
        </w:rPr>
        <w:t>, </w:t>
      </w:r>
      <w:r w:rsidRPr="00AB33F4">
        <w:rPr>
          <w:i/>
          <w:iCs/>
          <w:shd w:val="clear" w:color="auto" w:fill="FFFFFF"/>
          <w:lang w:val="pt-BR"/>
        </w:rPr>
        <w:t>67</w:t>
      </w:r>
      <w:r w:rsidRPr="00AB33F4">
        <w:rPr>
          <w:shd w:val="clear" w:color="auto" w:fill="FFFFFF"/>
          <w:lang w:val="pt-BR"/>
        </w:rPr>
        <w:t>(4), 452-467. https://doi.org/10.1080/00918369.2018.1547558</w:t>
      </w:r>
    </w:p>
    <w:p w14:paraId="689FFD4C" w14:textId="1522AA3E" w:rsidR="00BF1DAD" w:rsidRPr="00AB33F4" w:rsidRDefault="00BF1DAD" w:rsidP="00AB33F4">
      <w:pPr>
        <w:shd w:val="clear" w:color="auto" w:fill="FFFFFF"/>
        <w:spacing w:line="360" w:lineRule="auto"/>
        <w:ind w:left="709" w:hanging="709"/>
        <w:rPr>
          <w:rStyle w:val="Hyperlink"/>
          <w:color w:val="auto"/>
          <w:lang w:val="pt-BR" w:eastAsia="pt-BR"/>
        </w:rPr>
      </w:pPr>
      <w:r w:rsidRPr="00AB33F4">
        <w:rPr>
          <w:lang w:val="pt-BR" w:eastAsia="pt-BR"/>
        </w:rPr>
        <w:t>Silveira, A. P., &amp; Cerqueira-Santos, E. (2019). Homofobia internalizada e satisfação sexual em casais homossexuais. </w:t>
      </w:r>
      <w:proofErr w:type="spellStart"/>
      <w:r w:rsidRPr="00AB33F4">
        <w:rPr>
          <w:i/>
          <w:iCs/>
          <w:lang w:val="pt-BR" w:eastAsia="pt-BR"/>
        </w:rPr>
        <w:t>Psicogente</w:t>
      </w:r>
      <w:proofErr w:type="spellEnd"/>
      <w:r w:rsidRPr="00AB33F4">
        <w:rPr>
          <w:lang w:val="pt-BR" w:eastAsia="pt-BR"/>
        </w:rPr>
        <w:t>, </w:t>
      </w:r>
      <w:r w:rsidRPr="00AB33F4">
        <w:rPr>
          <w:i/>
          <w:iCs/>
          <w:lang w:val="pt-BR" w:eastAsia="pt-BR"/>
        </w:rPr>
        <w:t>22</w:t>
      </w:r>
      <w:r w:rsidRPr="00AB33F4">
        <w:rPr>
          <w:lang w:val="pt-BR" w:eastAsia="pt-BR"/>
        </w:rPr>
        <w:t xml:space="preserve">(41), 1-18. </w:t>
      </w:r>
      <w:hyperlink r:id="rId37" w:history="1">
        <w:r w:rsidR="00AB33F4" w:rsidRPr="00AB33F4">
          <w:rPr>
            <w:rStyle w:val="Hyperlink"/>
            <w:color w:val="auto"/>
          </w:rPr>
          <w:t>https://bit.ly/4be04F0</w:t>
        </w:r>
      </w:hyperlink>
      <w:r w:rsidR="00AB33F4" w:rsidRPr="00AB33F4">
        <w:t xml:space="preserve"> </w:t>
      </w:r>
    </w:p>
    <w:p w14:paraId="5CC5397B" w14:textId="7DD097D2" w:rsidR="00BF1DAD" w:rsidRPr="00AB33F4" w:rsidRDefault="00BF1DAD" w:rsidP="00AB33F4">
      <w:pPr>
        <w:shd w:val="clear" w:color="auto" w:fill="FFFFFF"/>
        <w:spacing w:line="360" w:lineRule="auto"/>
        <w:ind w:left="709" w:hanging="709"/>
        <w:rPr>
          <w:lang w:val="en-US"/>
        </w:rPr>
      </w:pPr>
      <w:r w:rsidRPr="00AB33F4">
        <w:rPr>
          <w:lang w:val="pt-BR" w:eastAsia="pt-BR"/>
        </w:rPr>
        <w:t xml:space="preserve">Sobral, H.S., Silva, M.L. V. da., &amp; Fernandes, S.C. S. (2019). Homofobia: o que a psicologia brasileira tem a </w:t>
      </w:r>
      <w:proofErr w:type="gramStart"/>
      <w:r w:rsidRPr="00AB33F4">
        <w:rPr>
          <w:lang w:val="pt-BR" w:eastAsia="pt-BR"/>
        </w:rPr>
        <w:t>dizer?.</w:t>
      </w:r>
      <w:proofErr w:type="gramEnd"/>
      <w:r w:rsidRPr="00AB33F4">
        <w:rPr>
          <w:lang w:val="pt-BR" w:eastAsia="pt-BR"/>
        </w:rPr>
        <w:t xml:space="preserve"> </w:t>
      </w:r>
      <w:r w:rsidRPr="00AB33F4">
        <w:rPr>
          <w:i/>
          <w:lang w:val="en-US" w:eastAsia="pt-BR"/>
        </w:rPr>
        <w:t xml:space="preserve">Rev. CES </w:t>
      </w:r>
      <w:proofErr w:type="spellStart"/>
      <w:r w:rsidRPr="00AB33F4">
        <w:rPr>
          <w:i/>
          <w:lang w:val="en-US" w:eastAsia="pt-BR"/>
        </w:rPr>
        <w:t>Psico</w:t>
      </w:r>
      <w:proofErr w:type="spellEnd"/>
      <w:r w:rsidRPr="00AB33F4">
        <w:rPr>
          <w:i/>
          <w:lang w:val="en-US" w:eastAsia="pt-BR"/>
        </w:rPr>
        <w:t>,</w:t>
      </w:r>
      <w:r w:rsidRPr="00AB33F4">
        <w:rPr>
          <w:lang w:val="en-US" w:eastAsia="pt-BR"/>
        </w:rPr>
        <w:t xml:space="preserve"> 12(3), 20-34. </w:t>
      </w:r>
      <w:hyperlink r:id="rId38" w:history="1">
        <w:r w:rsidR="00AB33F4" w:rsidRPr="00AB33F4">
          <w:rPr>
            <w:rStyle w:val="Hyperlink"/>
            <w:color w:val="auto"/>
          </w:rPr>
          <w:t>https://bit.ly/47SYju2</w:t>
        </w:r>
      </w:hyperlink>
      <w:r w:rsidR="00AB33F4" w:rsidRPr="00AB33F4">
        <w:t xml:space="preserve"> </w:t>
      </w:r>
    </w:p>
    <w:p w14:paraId="5CF79500" w14:textId="465D61BA" w:rsidR="00FE4713" w:rsidRPr="00AB33F4" w:rsidRDefault="00BF1DAD" w:rsidP="00AB33F4">
      <w:pPr>
        <w:shd w:val="clear" w:color="auto" w:fill="FFFFFF"/>
        <w:spacing w:line="360" w:lineRule="auto"/>
        <w:ind w:left="709" w:hanging="709"/>
        <w:rPr>
          <w:u w:val="single"/>
          <w:shd w:val="clear" w:color="auto" w:fill="FFFFFF"/>
        </w:rPr>
      </w:pPr>
      <w:r w:rsidRPr="00AB33F4">
        <w:rPr>
          <w:shd w:val="clear" w:color="auto" w:fill="FFFFFF"/>
          <w:lang w:val="en-US"/>
        </w:rPr>
        <w:t>Wang, C. C., Lin, H. C., Chen, M. H., Ko, N. Y., Chang, Y. P., Lin, I. M., &amp; Yen, C. F. (2018). Effects of traditional and cyber homophobic bullying in childhood on depression, anxiety, and physical pain in emerging adulthood and the moderating effects of social support among gay and bisexual men in Taiwan. </w:t>
      </w:r>
      <w:r w:rsidRPr="00AB33F4">
        <w:rPr>
          <w:i/>
          <w:iCs/>
          <w:shd w:val="clear" w:color="auto" w:fill="FFFFFF"/>
        </w:rPr>
        <w:t>Neuropsychiatric disease and treatment</w:t>
      </w:r>
      <w:r w:rsidRPr="00AB33F4">
        <w:rPr>
          <w:shd w:val="clear" w:color="auto" w:fill="FFFFFF"/>
        </w:rPr>
        <w:t>, </w:t>
      </w:r>
      <w:r w:rsidRPr="00AB33F4">
        <w:rPr>
          <w:i/>
          <w:iCs/>
          <w:shd w:val="clear" w:color="auto" w:fill="FFFFFF"/>
        </w:rPr>
        <w:t>14</w:t>
      </w:r>
      <w:r w:rsidRPr="00AB33F4">
        <w:rPr>
          <w:shd w:val="clear" w:color="auto" w:fill="FFFFFF"/>
        </w:rPr>
        <w:t xml:space="preserve">, 1309–1317. </w:t>
      </w:r>
      <w:hyperlink r:id="rId39" w:history="1">
        <w:r w:rsidRPr="00AB33F4">
          <w:rPr>
            <w:rStyle w:val="Hyperlink"/>
            <w:color w:val="auto"/>
            <w:shd w:val="clear" w:color="auto" w:fill="FFFFFF"/>
          </w:rPr>
          <w:t>https://doi.org/10.2147/NDT.S164579</w:t>
        </w:r>
      </w:hyperlink>
    </w:p>
    <w:sectPr w:rsidR="00FE4713" w:rsidRPr="00AB33F4" w:rsidSect="0085337A">
      <w:pgSz w:w="11901"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F9B8" w14:textId="77777777" w:rsidR="0085337A" w:rsidRDefault="0085337A" w:rsidP="00AF2C92">
      <w:r>
        <w:separator/>
      </w:r>
    </w:p>
  </w:endnote>
  <w:endnote w:type="continuationSeparator" w:id="0">
    <w:p w14:paraId="2674C322" w14:textId="77777777" w:rsidR="0085337A" w:rsidRDefault="0085337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5FCF" w14:textId="77777777" w:rsidR="0085337A" w:rsidRDefault="0085337A" w:rsidP="00AF2C92">
      <w:r>
        <w:separator/>
      </w:r>
    </w:p>
  </w:footnote>
  <w:footnote w:type="continuationSeparator" w:id="0">
    <w:p w14:paraId="79DDD03B" w14:textId="77777777" w:rsidR="0085337A" w:rsidRDefault="0085337A"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924974">
    <w:abstractNumId w:val="15"/>
  </w:num>
  <w:num w:numId="2" w16cid:durableId="1018049145">
    <w:abstractNumId w:val="19"/>
  </w:num>
  <w:num w:numId="3" w16cid:durableId="1002512310">
    <w:abstractNumId w:val="1"/>
  </w:num>
  <w:num w:numId="4" w16cid:durableId="821968130">
    <w:abstractNumId w:val="2"/>
  </w:num>
  <w:num w:numId="5" w16cid:durableId="816536852">
    <w:abstractNumId w:val="3"/>
  </w:num>
  <w:num w:numId="6" w16cid:durableId="1720745560">
    <w:abstractNumId w:val="4"/>
  </w:num>
  <w:num w:numId="7" w16cid:durableId="1658680201">
    <w:abstractNumId w:val="9"/>
  </w:num>
  <w:num w:numId="8" w16cid:durableId="1971133103">
    <w:abstractNumId w:val="5"/>
  </w:num>
  <w:num w:numId="9" w16cid:durableId="334038924">
    <w:abstractNumId w:val="7"/>
  </w:num>
  <w:num w:numId="10" w16cid:durableId="745344045">
    <w:abstractNumId w:val="6"/>
  </w:num>
  <w:num w:numId="11" w16cid:durableId="1578369037">
    <w:abstractNumId w:val="10"/>
  </w:num>
  <w:num w:numId="12" w16cid:durableId="1938126825">
    <w:abstractNumId w:val="8"/>
  </w:num>
  <w:num w:numId="13" w16cid:durableId="1007175196">
    <w:abstractNumId w:val="17"/>
  </w:num>
  <w:num w:numId="14" w16cid:durableId="641926575">
    <w:abstractNumId w:val="20"/>
  </w:num>
  <w:num w:numId="15" w16cid:durableId="110366214">
    <w:abstractNumId w:val="14"/>
  </w:num>
  <w:num w:numId="16" w16cid:durableId="2005428376">
    <w:abstractNumId w:val="16"/>
  </w:num>
  <w:num w:numId="17" w16cid:durableId="844900554">
    <w:abstractNumId w:val="11"/>
  </w:num>
  <w:num w:numId="18" w16cid:durableId="359941898">
    <w:abstractNumId w:val="0"/>
  </w:num>
  <w:num w:numId="19" w16cid:durableId="1574240982">
    <w:abstractNumId w:val="12"/>
  </w:num>
  <w:num w:numId="20" w16cid:durableId="207886759">
    <w:abstractNumId w:val="20"/>
  </w:num>
  <w:num w:numId="21" w16cid:durableId="2105031245">
    <w:abstractNumId w:val="20"/>
  </w:num>
  <w:num w:numId="22" w16cid:durableId="695086072">
    <w:abstractNumId w:val="20"/>
  </w:num>
  <w:num w:numId="23" w16cid:durableId="1952398873">
    <w:abstractNumId w:val="20"/>
  </w:num>
  <w:num w:numId="24" w16cid:durableId="1457865878">
    <w:abstractNumId w:val="17"/>
  </w:num>
  <w:num w:numId="25" w16cid:durableId="819541783">
    <w:abstractNumId w:val="18"/>
  </w:num>
  <w:num w:numId="26" w16cid:durableId="463886506">
    <w:abstractNumId w:val="21"/>
  </w:num>
  <w:num w:numId="27" w16cid:durableId="610554891">
    <w:abstractNumId w:val="22"/>
  </w:num>
  <w:num w:numId="28" w16cid:durableId="427239807">
    <w:abstractNumId w:val="20"/>
  </w:num>
  <w:num w:numId="29" w16cid:durableId="1212955866">
    <w:abstractNumId w:val="13"/>
  </w:num>
  <w:num w:numId="30" w16cid:durableId="17798325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D1"/>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66894"/>
    <w:rsid w:val="000733AC"/>
    <w:rsid w:val="00074B81"/>
    <w:rsid w:val="00074D22"/>
    <w:rsid w:val="00075081"/>
    <w:rsid w:val="0007528A"/>
    <w:rsid w:val="000811AB"/>
    <w:rsid w:val="00083C5F"/>
    <w:rsid w:val="0009172C"/>
    <w:rsid w:val="000930EC"/>
    <w:rsid w:val="00093FB7"/>
    <w:rsid w:val="00095E61"/>
    <w:rsid w:val="000966C1"/>
    <w:rsid w:val="000970AC"/>
    <w:rsid w:val="000A1167"/>
    <w:rsid w:val="000A4428"/>
    <w:rsid w:val="000A6D40"/>
    <w:rsid w:val="000A7BC3"/>
    <w:rsid w:val="000B1661"/>
    <w:rsid w:val="000B1F0B"/>
    <w:rsid w:val="000B2E88"/>
    <w:rsid w:val="000B4603"/>
    <w:rsid w:val="000B5D87"/>
    <w:rsid w:val="000C09BE"/>
    <w:rsid w:val="000C1380"/>
    <w:rsid w:val="000C554F"/>
    <w:rsid w:val="000D0DC5"/>
    <w:rsid w:val="000D15FF"/>
    <w:rsid w:val="000D28DF"/>
    <w:rsid w:val="000D488B"/>
    <w:rsid w:val="000D68DF"/>
    <w:rsid w:val="000E138D"/>
    <w:rsid w:val="000E187A"/>
    <w:rsid w:val="000E2D61"/>
    <w:rsid w:val="000E450E"/>
    <w:rsid w:val="000E56A6"/>
    <w:rsid w:val="000E6259"/>
    <w:rsid w:val="000F36BA"/>
    <w:rsid w:val="000F4677"/>
    <w:rsid w:val="000F5BE0"/>
    <w:rsid w:val="000F5DC8"/>
    <w:rsid w:val="00100587"/>
    <w:rsid w:val="0010284E"/>
    <w:rsid w:val="00103122"/>
    <w:rsid w:val="0010336A"/>
    <w:rsid w:val="001050F1"/>
    <w:rsid w:val="00105AEA"/>
    <w:rsid w:val="00106DAF"/>
    <w:rsid w:val="00114ABE"/>
    <w:rsid w:val="00116023"/>
    <w:rsid w:val="00134A51"/>
    <w:rsid w:val="00136785"/>
    <w:rsid w:val="00140727"/>
    <w:rsid w:val="00141CE8"/>
    <w:rsid w:val="00160628"/>
    <w:rsid w:val="00161344"/>
    <w:rsid w:val="00162195"/>
    <w:rsid w:val="0016322A"/>
    <w:rsid w:val="00165A21"/>
    <w:rsid w:val="00170140"/>
    <w:rsid w:val="001705CE"/>
    <w:rsid w:val="0017714B"/>
    <w:rsid w:val="001804DF"/>
    <w:rsid w:val="00181BDC"/>
    <w:rsid w:val="00181DB0"/>
    <w:rsid w:val="001829E3"/>
    <w:rsid w:val="001924C0"/>
    <w:rsid w:val="00194EB8"/>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402"/>
    <w:rsid w:val="001C5736"/>
    <w:rsid w:val="001D5CB3"/>
    <w:rsid w:val="001D647F"/>
    <w:rsid w:val="001D6857"/>
    <w:rsid w:val="001E0572"/>
    <w:rsid w:val="001E0A67"/>
    <w:rsid w:val="001E1028"/>
    <w:rsid w:val="001E14E2"/>
    <w:rsid w:val="001E6302"/>
    <w:rsid w:val="001E7284"/>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4677"/>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4E20"/>
    <w:rsid w:val="003C7176"/>
    <w:rsid w:val="003D0929"/>
    <w:rsid w:val="003D4729"/>
    <w:rsid w:val="003D7DD6"/>
    <w:rsid w:val="003E54C5"/>
    <w:rsid w:val="003E5AAF"/>
    <w:rsid w:val="003E600D"/>
    <w:rsid w:val="003E64DF"/>
    <w:rsid w:val="003E6A5D"/>
    <w:rsid w:val="003F193A"/>
    <w:rsid w:val="003F4207"/>
    <w:rsid w:val="003F5C46"/>
    <w:rsid w:val="003F7CBB"/>
    <w:rsid w:val="003F7D34"/>
    <w:rsid w:val="0041224B"/>
    <w:rsid w:val="00412C8E"/>
    <w:rsid w:val="0041518D"/>
    <w:rsid w:val="0042221D"/>
    <w:rsid w:val="00424DD3"/>
    <w:rsid w:val="004269C5"/>
    <w:rsid w:val="00435939"/>
    <w:rsid w:val="00437CC7"/>
    <w:rsid w:val="00442B9C"/>
    <w:rsid w:val="00445EFA"/>
    <w:rsid w:val="0044738A"/>
    <w:rsid w:val="004473D3"/>
    <w:rsid w:val="00450463"/>
    <w:rsid w:val="00452231"/>
    <w:rsid w:val="00460C13"/>
    <w:rsid w:val="00463228"/>
    <w:rsid w:val="00463782"/>
    <w:rsid w:val="004667E0"/>
    <w:rsid w:val="0046760E"/>
    <w:rsid w:val="00470E10"/>
    <w:rsid w:val="00477A97"/>
    <w:rsid w:val="00481343"/>
    <w:rsid w:val="0048549E"/>
    <w:rsid w:val="004930C6"/>
    <w:rsid w:val="00493347"/>
    <w:rsid w:val="00496092"/>
    <w:rsid w:val="0049680E"/>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0B93"/>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0240"/>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4DC8"/>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5D69"/>
    <w:rsid w:val="0074707E"/>
    <w:rsid w:val="007516DC"/>
    <w:rsid w:val="00752E58"/>
    <w:rsid w:val="00754B80"/>
    <w:rsid w:val="00761918"/>
    <w:rsid w:val="00762F03"/>
    <w:rsid w:val="0076413B"/>
    <w:rsid w:val="007648AE"/>
    <w:rsid w:val="00764BF8"/>
    <w:rsid w:val="0076514D"/>
    <w:rsid w:val="00771A17"/>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1AF8"/>
    <w:rsid w:val="008249CE"/>
    <w:rsid w:val="00831A50"/>
    <w:rsid w:val="00831B3C"/>
    <w:rsid w:val="00831C89"/>
    <w:rsid w:val="00832114"/>
    <w:rsid w:val="00834C46"/>
    <w:rsid w:val="0084093E"/>
    <w:rsid w:val="00841CE1"/>
    <w:rsid w:val="008473D8"/>
    <w:rsid w:val="00850F3E"/>
    <w:rsid w:val="008528DC"/>
    <w:rsid w:val="00852B8C"/>
    <w:rsid w:val="0085337A"/>
    <w:rsid w:val="00854981"/>
    <w:rsid w:val="00861F67"/>
    <w:rsid w:val="00864B2E"/>
    <w:rsid w:val="00865963"/>
    <w:rsid w:val="00871C1D"/>
    <w:rsid w:val="0087403C"/>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517B2"/>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66B06"/>
    <w:rsid w:val="00A71361"/>
    <w:rsid w:val="00A746E2"/>
    <w:rsid w:val="00A81FF2"/>
    <w:rsid w:val="00A83904"/>
    <w:rsid w:val="00A90A79"/>
    <w:rsid w:val="00A96B30"/>
    <w:rsid w:val="00AA442D"/>
    <w:rsid w:val="00AA59B5"/>
    <w:rsid w:val="00AA7777"/>
    <w:rsid w:val="00AA7B84"/>
    <w:rsid w:val="00AB33F4"/>
    <w:rsid w:val="00AB49F4"/>
    <w:rsid w:val="00AC0B4C"/>
    <w:rsid w:val="00AC1164"/>
    <w:rsid w:val="00AC2296"/>
    <w:rsid w:val="00AC2754"/>
    <w:rsid w:val="00AC48B0"/>
    <w:rsid w:val="00AC4ACD"/>
    <w:rsid w:val="00AC5DFB"/>
    <w:rsid w:val="00AD13DC"/>
    <w:rsid w:val="00AD612A"/>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3BD1"/>
    <w:rsid w:val="00BB5267"/>
    <w:rsid w:val="00BB52B8"/>
    <w:rsid w:val="00BB59D8"/>
    <w:rsid w:val="00BB7E69"/>
    <w:rsid w:val="00BC0E51"/>
    <w:rsid w:val="00BC3C1F"/>
    <w:rsid w:val="00BC7CE7"/>
    <w:rsid w:val="00BD08C6"/>
    <w:rsid w:val="00BD295E"/>
    <w:rsid w:val="00BD4664"/>
    <w:rsid w:val="00BE1193"/>
    <w:rsid w:val="00BF1DAD"/>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26553"/>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17B9"/>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671B4"/>
    <w:rsid w:val="00D71F99"/>
    <w:rsid w:val="00D73CA4"/>
    <w:rsid w:val="00D73D71"/>
    <w:rsid w:val="00D74396"/>
    <w:rsid w:val="00D80284"/>
    <w:rsid w:val="00D81F71"/>
    <w:rsid w:val="00D82A5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089D"/>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48EF"/>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76C"/>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77788"/>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2FF0"/>
  <w14:defaultImageDpi w14:val="330"/>
  <w15:docId w15:val="{34E05403-E76D-4A9D-88A0-CD8BF56D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Ttulo1">
    <w:name w:val="heading 1"/>
    <w:basedOn w:val="Normal"/>
    <w:next w:val="Paragraph"/>
    <w:link w:val="Ttulo1Ch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h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h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har"/>
    <w:rsid w:val="00F43B9D"/>
    <w:pPr>
      <w:spacing w:before="360"/>
      <w:outlineLvl w:val="3"/>
    </w:pPr>
    <w:rPr>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Recuo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har">
    <w:name w:val="Título 2 Char"/>
    <w:basedOn w:val="Fontepargpadro"/>
    <w:link w:val="Ttulo2"/>
    <w:rsid w:val="008D07FB"/>
    <w:rPr>
      <w:rFonts w:cs="Arial"/>
      <w:b/>
      <w:bCs/>
      <w:i/>
      <w:iCs/>
      <w:sz w:val="24"/>
      <w:szCs w:val="28"/>
    </w:rPr>
  </w:style>
  <w:style w:type="character" w:customStyle="1" w:styleId="Ttulo1Char">
    <w:name w:val="Título 1 Char"/>
    <w:basedOn w:val="Fontepargpadro"/>
    <w:link w:val="Ttulo1"/>
    <w:rsid w:val="00AE1ED4"/>
    <w:rPr>
      <w:rFonts w:cs="Arial"/>
      <w:b/>
      <w:bCs/>
      <w:kern w:val="32"/>
      <w:sz w:val="24"/>
      <w:szCs w:val="32"/>
    </w:rPr>
  </w:style>
  <w:style w:type="character" w:customStyle="1" w:styleId="Ttulo3Char">
    <w:name w:val="Título 3 Char"/>
    <w:basedOn w:val="Fontepargpadro"/>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denotaderodap">
    <w:name w:val="footnote text"/>
    <w:basedOn w:val="Normal"/>
    <w:link w:val="TextodenotaderodapChar"/>
    <w:autoRedefine/>
    <w:rsid w:val="006C19B2"/>
    <w:pPr>
      <w:ind w:left="284" w:hanging="284"/>
    </w:pPr>
    <w:rPr>
      <w:sz w:val="22"/>
      <w:szCs w:val="20"/>
    </w:rPr>
  </w:style>
  <w:style w:type="character" w:customStyle="1" w:styleId="TextodenotaderodapChar">
    <w:name w:val="Texto de nota de rodapé Char"/>
    <w:basedOn w:val="Fontepargpadro"/>
    <w:link w:val="Textodenotaderodap"/>
    <w:rsid w:val="006C19B2"/>
    <w:rPr>
      <w:sz w:val="22"/>
    </w:rPr>
  </w:style>
  <w:style w:type="character" w:styleId="Refdenotaderodap">
    <w:name w:val="footnote reference"/>
    <w:basedOn w:val="Fontepargpadro"/>
    <w:rsid w:val="00AF2C92"/>
    <w:rPr>
      <w:vertAlign w:val="superscript"/>
    </w:rPr>
  </w:style>
  <w:style w:type="paragraph" w:styleId="Textodenotadefim">
    <w:name w:val="endnote text"/>
    <w:basedOn w:val="Normal"/>
    <w:link w:val="TextodenotadefimChar"/>
    <w:autoRedefine/>
    <w:rsid w:val="006C19B2"/>
    <w:pPr>
      <w:ind w:left="284" w:hanging="284"/>
    </w:pPr>
    <w:rPr>
      <w:sz w:val="22"/>
      <w:szCs w:val="20"/>
    </w:rPr>
  </w:style>
  <w:style w:type="character" w:customStyle="1" w:styleId="TextodenotadefimChar">
    <w:name w:val="Texto de nota de fim Char"/>
    <w:basedOn w:val="Fontepargpadro"/>
    <w:link w:val="Textodenotadefim"/>
    <w:rsid w:val="006C19B2"/>
    <w:rPr>
      <w:sz w:val="22"/>
    </w:rPr>
  </w:style>
  <w:style w:type="character" w:styleId="Refdenotadefim">
    <w:name w:val="endnote reference"/>
    <w:basedOn w:val="Fontepargpadro"/>
    <w:rsid w:val="00EC571B"/>
    <w:rPr>
      <w:vertAlign w:val="superscript"/>
    </w:rPr>
  </w:style>
  <w:style w:type="character" w:customStyle="1" w:styleId="Ttulo4Char">
    <w:name w:val="Título 4 Char"/>
    <w:basedOn w:val="Fontepargpadro"/>
    <w:link w:val="Ttulo4"/>
    <w:rsid w:val="00F43B9D"/>
    <w:rPr>
      <w:bCs/>
      <w:sz w:val="24"/>
      <w:szCs w:val="28"/>
    </w:rPr>
  </w:style>
  <w:style w:type="paragraph" w:styleId="Cabealho">
    <w:name w:val="header"/>
    <w:basedOn w:val="Normal"/>
    <w:link w:val="CabealhoChar"/>
    <w:rsid w:val="003F193A"/>
    <w:pPr>
      <w:tabs>
        <w:tab w:val="center" w:pos="4320"/>
        <w:tab w:val="right" w:pos="8640"/>
      </w:tabs>
      <w:spacing w:after="120" w:line="240" w:lineRule="auto"/>
      <w:contextualSpacing/>
    </w:pPr>
  </w:style>
  <w:style w:type="character" w:customStyle="1" w:styleId="CabealhoChar">
    <w:name w:val="Cabeçalho Char"/>
    <w:basedOn w:val="Fontepargpadro"/>
    <w:link w:val="Cabealho"/>
    <w:rsid w:val="003F193A"/>
    <w:rPr>
      <w:rFonts w:eastAsia="Times New Roman"/>
      <w:sz w:val="24"/>
      <w:szCs w:val="24"/>
      <w:lang w:eastAsia="en-GB"/>
    </w:rPr>
  </w:style>
  <w:style w:type="paragraph" w:styleId="Rodap">
    <w:name w:val="footer"/>
    <w:basedOn w:val="Normal"/>
    <w:link w:val="RodapChar"/>
    <w:rsid w:val="00AE6A21"/>
    <w:pPr>
      <w:tabs>
        <w:tab w:val="center" w:pos="4320"/>
        <w:tab w:val="right" w:pos="8640"/>
      </w:tabs>
      <w:spacing w:before="240" w:line="240" w:lineRule="auto"/>
      <w:contextualSpacing/>
    </w:pPr>
  </w:style>
  <w:style w:type="character" w:customStyle="1" w:styleId="RodapChar">
    <w:name w:val="Rodapé Char"/>
    <w:basedOn w:val="Fontepargpadro"/>
    <w:link w:val="Rodap"/>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Fontepargpadro"/>
    <w:unhideWhenUsed/>
    <w:rsid w:val="001C5402"/>
    <w:rPr>
      <w:color w:val="0000FF" w:themeColor="hyperlink"/>
      <w:u w:val="single"/>
    </w:rPr>
  </w:style>
  <w:style w:type="character" w:customStyle="1" w:styleId="MenoPendente1">
    <w:name w:val="Menção Pendente1"/>
    <w:basedOn w:val="Fontepargpadro"/>
    <w:uiPriority w:val="99"/>
    <w:semiHidden/>
    <w:unhideWhenUsed/>
    <w:rsid w:val="001C5402"/>
    <w:rPr>
      <w:color w:val="605E5C"/>
      <w:shd w:val="clear" w:color="auto" w:fill="E1DFDD"/>
    </w:rPr>
  </w:style>
  <w:style w:type="paragraph" w:styleId="PargrafodaLista">
    <w:name w:val="List Paragraph"/>
    <w:basedOn w:val="Normal"/>
    <w:link w:val="PargrafodaListaChar"/>
    <w:uiPriority w:val="34"/>
    <w:qFormat/>
    <w:rsid w:val="00850F3E"/>
    <w:pPr>
      <w:ind w:left="720"/>
      <w:contextualSpacing/>
      <w:jc w:val="both"/>
    </w:pPr>
    <w:rPr>
      <w:rFonts w:ascii="Calibri" w:eastAsia="Calibri" w:hAnsi="Calibri"/>
      <w:sz w:val="22"/>
      <w:szCs w:val="22"/>
      <w:lang w:val="pt-BR" w:eastAsia="en-US"/>
    </w:rPr>
  </w:style>
  <w:style w:type="character" w:customStyle="1" w:styleId="PargrafodaListaChar">
    <w:name w:val="Parágrafo da Lista Char"/>
    <w:link w:val="PargrafodaLista"/>
    <w:uiPriority w:val="34"/>
    <w:rsid w:val="00850F3E"/>
    <w:rPr>
      <w:rFonts w:ascii="Calibri" w:eastAsia="Calibri" w:hAnsi="Calibri"/>
      <w:sz w:val="22"/>
      <w:szCs w:val="22"/>
      <w:lang w:val="pt-BR" w:eastAsia="en-US"/>
    </w:rPr>
  </w:style>
  <w:style w:type="paragraph" w:customStyle="1" w:styleId="Default">
    <w:name w:val="Default"/>
    <w:rsid w:val="001E7284"/>
    <w:pPr>
      <w:autoSpaceDE w:val="0"/>
      <w:autoSpaceDN w:val="0"/>
      <w:adjustRightInd w:val="0"/>
    </w:pPr>
    <w:rPr>
      <w:rFonts w:eastAsia="Calibri"/>
      <w:color w:val="000000"/>
      <w:sz w:val="24"/>
      <w:szCs w:val="24"/>
      <w:lang w:val="pt-BR" w:eastAsia="en-US"/>
    </w:rPr>
  </w:style>
  <w:style w:type="character" w:styleId="nfase">
    <w:name w:val="Emphasis"/>
    <w:uiPriority w:val="20"/>
    <w:qFormat/>
    <w:rsid w:val="001E7284"/>
    <w:rPr>
      <w:i/>
      <w:iCs/>
    </w:rPr>
  </w:style>
  <w:style w:type="character" w:styleId="MenoPendente">
    <w:name w:val="Unresolved Mention"/>
    <w:basedOn w:val="Fontepargpadro"/>
    <w:uiPriority w:val="99"/>
    <w:semiHidden/>
    <w:unhideWhenUsed/>
    <w:rsid w:val="00AB3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814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archives-ouvertes.fr/hal-01662975/document" TargetMode="External"/><Relationship Id="rId18" Type="http://schemas.openxmlformats.org/officeDocument/2006/relationships/hyperlink" Target="http://dx.doi.org/10.17765/2176-9184.2016v16n3p919-938" TargetMode="External"/><Relationship Id="rId26" Type="http://schemas.openxmlformats.org/officeDocument/2006/relationships/hyperlink" Target="https://doi.org/10.1007/s13178-020-00446-w" TargetMode="External"/><Relationship Id="rId39" Type="http://schemas.openxmlformats.org/officeDocument/2006/relationships/hyperlink" Target="https://doi.org/10.2147/NDT.S164579" TargetMode="External"/><Relationship Id="rId21" Type="http://schemas.openxmlformats.org/officeDocument/2006/relationships/hyperlink" Target="https://bit.ly/3Of5ypi" TargetMode="External"/><Relationship Id="rId34" Type="http://schemas.openxmlformats.org/officeDocument/2006/relationships/hyperlink" Target="https://bit.ly/3vQUyI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bc.com/portuguese/brasil-47206924" TargetMode="External"/><Relationship Id="rId20" Type="http://schemas.openxmlformats.org/officeDocument/2006/relationships/hyperlink" Target="https://doi.dx.org/10.1177/0091415019836738" TargetMode="External"/><Relationship Id="rId29" Type="http://schemas.openxmlformats.org/officeDocument/2006/relationships/hyperlink" Target="https://periodicos.ufrn.br/bagoas/article/download/2242/167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rmh0000014" TargetMode="External"/><Relationship Id="rId24" Type="http://schemas.openxmlformats.org/officeDocument/2006/relationships/hyperlink" Target="https://doi.org/10.1300/J002v14n03_12" TargetMode="External"/><Relationship Id="rId32" Type="http://schemas.openxmlformats.org/officeDocument/2006/relationships/hyperlink" Target="https://bit.ly/3SyKpIf" TargetMode="External"/><Relationship Id="rId37" Type="http://schemas.openxmlformats.org/officeDocument/2006/relationships/hyperlink" Target="https://bit.ly/4be04F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cr.pw/YN8Bz" TargetMode="External"/><Relationship Id="rId23" Type="http://schemas.openxmlformats.org/officeDocument/2006/relationships/hyperlink" Target="http://seer.assis.unesp.br/index.php/psicologia/article/view/539" TargetMode="External"/><Relationship Id="rId28" Type="http://schemas.openxmlformats.org/officeDocument/2006/relationships/hyperlink" Target="https://bit.ly/48NSrnm" TargetMode="External"/><Relationship Id="rId36" Type="http://schemas.openxmlformats.org/officeDocument/2006/relationships/hyperlink" Target="http://dx.doi.org/10.9788/tp2018.1-06pt" TargetMode="External"/><Relationship Id="rId10" Type="http://schemas.openxmlformats.org/officeDocument/2006/relationships/hyperlink" Target="https://acesse.dev/SiZLy" TargetMode="External"/><Relationship Id="rId19" Type="http://schemas.openxmlformats.org/officeDocument/2006/relationships/hyperlink" Target="https://dx.doi.org/10.9788/TP2015.3-15" TargetMode="External"/><Relationship Id="rId31" Type="http://schemas.openxmlformats.org/officeDocument/2006/relationships/hyperlink" Target="https://bit.ly/3ue7Wpq" TargetMode="External"/><Relationship Id="rId4" Type="http://schemas.openxmlformats.org/officeDocument/2006/relationships/settings" Target="settings.xml"/><Relationship Id="rId9" Type="http://schemas.openxmlformats.org/officeDocument/2006/relationships/hyperlink" Target="https://doi.org/10.18256/2175-5027.2020.v12i2.3517" TargetMode="External"/><Relationship Id="rId14" Type="http://schemas.openxmlformats.org/officeDocument/2006/relationships/hyperlink" Target="https://acesse.dev/xkKvn" TargetMode="External"/><Relationship Id="rId22" Type="http://schemas.openxmlformats.org/officeDocument/2006/relationships/hyperlink" Target="https://bit.ly/42hR4uO" TargetMode="External"/><Relationship Id="rId27" Type="http://schemas.openxmlformats.org/officeDocument/2006/relationships/hyperlink" Target="https://doi.org/10.1093/jcmc/zmaa016" TargetMode="External"/><Relationship Id="rId30" Type="http://schemas.openxmlformats.org/officeDocument/2006/relationships/hyperlink" Target="https://luizmottblog.wordpress.com/homofobia-uma-praga-crista/" TargetMode="External"/><Relationship Id="rId35" Type="http://schemas.openxmlformats.org/officeDocument/2006/relationships/hyperlink" Target="https://www.e-publicacoes.uerj.br/index.php/revispsi/article/view/62693"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dx.doi.org/10.15309/20psd210109" TargetMode="External"/><Relationship Id="rId17" Type="http://schemas.openxmlformats.org/officeDocument/2006/relationships/hyperlink" Target="https://bit.ly/47YzPzW" TargetMode="External"/><Relationship Id="rId25" Type="http://schemas.openxmlformats.org/officeDocument/2006/relationships/hyperlink" Target="https://dx.doi.org/10.1590/1982-3703001752017" TargetMode="External"/><Relationship Id="rId33" Type="http://schemas.openxmlformats.org/officeDocument/2006/relationships/hyperlink" Target="https://doi.org/10.1007/s13178-021-00535-4" TargetMode="External"/><Relationship Id="rId38" Type="http://schemas.openxmlformats.org/officeDocument/2006/relationships/hyperlink" Target="https://bit.ly/47SYju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MESTRADO\Disserta&#231;&#227;o\Estudo%203\Jornal%20da%20homossexualidade\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4A8F8-6CC3-4498-8BDC-69A946E8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TotalTime>
  <Pages>20</Pages>
  <Words>7886</Words>
  <Characters>42588</Characters>
  <Application>Microsoft Office Word</Application>
  <DocSecurity>0</DocSecurity>
  <Lines>354</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50374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Victor</dc:creator>
  <cp:keywords/>
  <dc:description/>
  <cp:lastModifiedBy>Evair Mendes</cp:lastModifiedBy>
  <cp:revision>2</cp:revision>
  <cp:lastPrinted>2011-07-22T14:54:00Z</cp:lastPrinted>
  <dcterms:created xsi:type="dcterms:W3CDTF">2024-01-26T12:52:00Z</dcterms:created>
  <dcterms:modified xsi:type="dcterms:W3CDTF">2024-01-26T12:52:00Z</dcterms:modified>
</cp:coreProperties>
</file>