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D141" w14:textId="601A278E" w:rsidR="00743B63" w:rsidRDefault="0034770D" w:rsidP="00850927">
      <w:pPr>
        <w:pStyle w:val="Ttulo1"/>
        <w:jc w:val="left"/>
        <w:rPr>
          <w:rFonts w:eastAsia="Times New Roman"/>
          <w:b w:val="0"/>
          <w:bCs/>
          <w:lang w:eastAsia="pt-BR"/>
        </w:rPr>
      </w:pPr>
      <w:bookmarkStart w:id="0" w:name="_Toc129102209"/>
      <w:r w:rsidRPr="00872BEC">
        <w:rPr>
          <w:rFonts w:eastAsia="Times New Roman"/>
          <w:b w:val="0"/>
          <w:bCs/>
          <w:lang w:eastAsia="pt-BR"/>
        </w:rPr>
        <w:t xml:space="preserve">Aposentadoria e </w:t>
      </w:r>
      <w:r w:rsidR="000A2191" w:rsidRPr="00872BEC">
        <w:rPr>
          <w:rFonts w:eastAsia="Times New Roman"/>
          <w:b w:val="0"/>
          <w:bCs/>
          <w:lang w:eastAsia="pt-BR"/>
        </w:rPr>
        <w:t>t</w:t>
      </w:r>
      <w:r w:rsidRPr="00872BEC">
        <w:rPr>
          <w:rFonts w:eastAsia="Times New Roman"/>
          <w:b w:val="0"/>
          <w:bCs/>
          <w:lang w:eastAsia="pt-BR"/>
        </w:rPr>
        <w:t xml:space="preserve">rabalho sob a ótica da </w:t>
      </w:r>
      <w:r w:rsidR="000A2191" w:rsidRPr="00872BEC">
        <w:rPr>
          <w:rFonts w:eastAsia="Times New Roman"/>
          <w:b w:val="0"/>
          <w:bCs/>
          <w:lang w:eastAsia="pt-BR"/>
        </w:rPr>
        <w:t>p</w:t>
      </w:r>
      <w:r w:rsidRPr="00872BEC">
        <w:rPr>
          <w:rFonts w:eastAsia="Times New Roman"/>
          <w:b w:val="0"/>
          <w:bCs/>
          <w:lang w:eastAsia="pt-BR"/>
        </w:rPr>
        <w:t xml:space="preserve">sicologia na América Latina: uma revisão de escopo </w:t>
      </w:r>
      <w:bookmarkEnd w:id="0"/>
    </w:p>
    <w:p w14:paraId="320983BF" w14:textId="77777777" w:rsidR="00950EA0" w:rsidRDefault="00950EA0" w:rsidP="00950EA0">
      <w:pPr>
        <w:spacing w:line="360" w:lineRule="auto"/>
        <w:rPr>
          <w:rFonts w:eastAsia="Times New Roman" w:cs="Times New Roman"/>
          <w:lang w:eastAsia="pt-BR"/>
        </w:rPr>
      </w:pPr>
      <w:r>
        <w:rPr>
          <w:rFonts w:eastAsia="Times New Roman" w:cs="Times New Roman"/>
          <w:b/>
          <w:bCs/>
          <w:lang w:eastAsia="pt-BR"/>
        </w:rPr>
        <w:t xml:space="preserve">Palavras-chave: </w:t>
      </w:r>
      <w:r>
        <w:rPr>
          <w:rFonts w:eastAsia="Times New Roman" w:cs="Times New Roman"/>
          <w:lang w:eastAsia="pt-BR"/>
        </w:rPr>
        <w:t>Aposentadoria; Trabalho; Envelhecimento.</w:t>
      </w:r>
    </w:p>
    <w:p w14:paraId="7EDF4836" w14:textId="77777777" w:rsidR="00263A24" w:rsidRPr="008F6323" w:rsidRDefault="00263A24" w:rsidP="00950EA0">
      <w:pPr>
        <w:spacing w:line="360" w:lineRule="auto"/>
        <w:rPr>
          <w:rFonts w:eastAsia="Times New Roman" w:cs="Times New Roman"/>
          <w:lang w:eastAsia="pt-BR"/>
        </w:rPr>
      </w:pPr>
    </w:p>
    <w:p w14:paraId="1C0B9CD2" w14:textId="77777777" w:rsidR="00357585" w:rsidRPr="00357585" w:rsidRDefault="00357585" w:rsidP="00357585">
      <w:pPr>
        <w:spacing w:line="360" w:lineRule="auto"/>
        <w:rPr>
          <w:rFonts w:eastAsia="Times New Roman" w:cs="Times New Roman"/>
          <w:lang w:eastAsia="pt-BR"/>
        </w:rPr>
      </w:pPr>
      <w:r w:rsidRPr="00357585">
        <w:rPr>
          <w:rFonts w:eastAsia="Times New Roman" w:cs="Times New Roman"/>
          <w:lang w:eastAsia="pt-BR"/>
        </w:rPr>
        <w:t>Retirement and work from the perspective of psychology in the Latin America: a scope review</w:t>
      </w:r>
    </w:p>
    <w:p w14:paraId="2B9D27DC" w14:textId="77777777" w:rsidR="00263A24" w:rsidRPr="00A13F49" w:rsidRDefault="00263A24" w:rsidP="00263A24">
      <w:pPr>
        <w:spacing w:line="360" w:lineRule="auto"/>
        <w:rPr>
          <w:rFonts w:eastAsia="Times New Roman" w:cs="Times New Roman"/>
          <w:lang w:eastAsia="pt-BR"/>
        </w:rPr>
      </w:pPr>
      <w:r w:rsidRPr="00834305">
        <w:rPr>
          <w:rFonts w:eastAsia="Times New Roman" w:cs="Times New Roman"/>
          <w:b/>
          <w:bCs/>
          <w:lang w:eastAsia="pt-BR"/>
        </w:rPr>
        <w:t>Key-words:</w:t>
      </w:r>
      <w:r>
        <w:rPr>
          <w:rFonts w:eastAsia="Times New Roman" w:cs="Times New Roman"/>
          <w:b/>
          <w:bCs/>
          <w:lang w:eastAsia="pt-BR"/>
        </w:rPr>
        <w:t xml:space="preserve"> </w:t>
      </w:r>
      <w:r>
        <w:rPr>
          <w:rFonts w:eastAsia="Times New Roman" w:cs="Times New Roman"/>
          <w:lang w:eastAsia="pt-BR"/>
        </w:rPr>
        <w:t>Retirement; Work; Aging.</w:t>
      </w:r>
    </w:p>
    <w:p w14:paraId="4FA9ECBC" w14:textId="77777777" w:rsidR="00950EA0" w:rsidRDefault="00950EA0">
      <w:pPr>
        <w:rPr>
          <w:rFonts w:eastAsia="Times New Roman"/>
          <w:b/>
          <w:bCs/>
          <w:lang w:eastAsia="pt-BR"/>
        </w:rPr>
      </w:pPr>
    </w:p>
    <w:p w14:paraId="666C568A" w14:textId="11FD2DAA" w:rsidR="00743B63" w:rsidRDefault="00743B63">
      <w:pPr>
        <w:rPr>
          <w:rFonts w:eastAsia="Times New Roman" w:cstheme="majorBidi"/>
          <w:bCs/>
          <w:szCs w:val="32"/>
          <w:lang w:eastAsia="pt-BR"/>
        </w:rPr>
      </w:pPr>
      <w:r>
        <w:rPr>
          <w:rFonts w:eastAsia="Times New Roman"/>
          <w:b/>
          <w:bCs/>
          <w:lang w:eastAsia="pt-BR"/>
        </w:rPr>
        <w:br w:type="page"/>
      </w:r>
    </w:p>
    <w:p w14:paraId="696062CF" w14:textId="3EE20306" w:rsidR="0034770D" w:rsidRDefault="0034770D" w:rsidP="0034770D">
      <w:pPr>
        <w:jc w:val="center"/>
        <w:rPr>
          <w:rFonts w:eastAsia="Times New Roman" w:cs="Times New Roman"/>
          <w:b/>
          <w:bCs/>
          <w:lang w:eastAsia="pt-BR"/>
        </w:rPr>
      </w:pPr>
      <w:r>
        <w:rPr>
          <w:rFonts w:eastAsia="Times New Roman" w:cs="Times New Roman"/>
          <w:b/>
          <w:bCs/>
          <w:lang w:eastAsia="pt-BR"/>
        </w:rPr>
        <w:lastRenderedPageBreak/>
        <w:t>Resumo</w:t>
      </w:r>
    </w:p>
    <w:p w14:paraId="1F4DC6D3" w14:textId="4037479F" w:rsidR="0034770D" w:rsidRPr="00263A24" w:rsidRDefault="005D4555" w:rsidP="00263A24">
      <w:pPr>
        <w:spacing w:line="360" w:lineRule="auto"/>
        <w:jc w:val="both"/>
        <w:rPr>
          <w:rFonts w:eastAsia="Times New Roman" w:cs="Times New Roman"/>
          <w:lang w:eastAsia="pt-BR"/>
        </w:rPr>
      </w:pPr>
      <w:r>
        <w:rPr>
          <w:rFonts w:eastAsia="Times New Roman" w:cs="Times New Roman"/>
          <w:lang w:eastAsia="pt-BR"/>
        </w:rPr>
        <w:t>Mudanças recentes</w:t>
      </w:r>
      <w:r w:rsidR="00986644">
        <w:rPr>
          <w:rFonts w:eastAsia="Times New Roman" w:cs="Times New Roman"/>
          <w:lang w:eastAsia="pt-BR"/>
        </w:rPr>
        <w:t xml:space="preserve"> na Constituição brasileira </w:t>
      </w:r>
      <w:r>
        <w:rPr>
          <w:rFonts w:eastAsia="Times New Roman" w:cs="Times New Roman"/>
          <w:lang w:eastAsia="pt-BR"/>
        </w:rPr>
        <w:t>têm afetado</w:t>
      </w:r>
      <w:r w:rsidR="007741D3">
        <w:rPr>
          <w:rFonts w:eastAsia="Times New Roman" w:cs="Times New Roman"/>
          <w:lang w:eastAsia="pt-BR"/>
        </w:rPr>
        <w:t xml:space="preserve"> o mundo do trabalho,</w:t>
      </w:r>
      <w:r w:rsidR="00815368">
        <w:rPr>
          <w:rFonts w:eastAsia="Times New Roman" w:cs="Times New Roman"/>
          <w:lang w:eastAsia="pt-BR"/>
        </w:rPr>
        <w:t xml:space="preserve"> </w:t>
      </w:r>
      <w:r>
        <w:rPr>
          <w:rFonts w:eastAsia="Times New Roman" w:cs="Times New Roman"/>
          <w:lang w:eastAsia="pt-BR"/>
        </w:rPr>
        <w:t xml:space="preserve">de modo que </w:t>
      </w:r>
      <w:r w:rsidR="00815368">
        <w:rPr>
          <w:rFonts w:eastAsia="Times New Roman" w:cs="Times New Roman"/>
          <w:lang w:eastAsia="pt-BR"/>
        </w:rPr>
        <w:t xml:space="preserve">autores da área da Psicologia </w:t>
      </w:r>
      <w:r>
        <w:rPr>
          <w:rFonts w:eastAsia="Times New Roman" w:cs="Times New Roman"/>
          <w:lang w:eastAsia="pt-BR"/>
        </w:rPr>
        <w:t>vêm buscando</w:t>
      </w:r>
      <w:r w:rsidR="00815368">
        <w:rPr>
          <w:rFonts w:eastAsia="Times New Roman" w:cs="Times New Roman"/>
          <w:lang w:eastAsia="pt-BR"/>
        </w:rPr>
        <w:t xml:space="preserve"> compreender importantes fenômenos de carreira</w:t>
      </w:r>
      <w:r w:rsidR="00586A10">
        <w:rPr>
          <w:rFonts w:eastAsia="Times New Roman" w:cs="Times New Roman"/>
          <w:lang w:eastAsia="pt-BR"/>
        </w:rPr>
        <w:t xml:space="preserve">, incluindo a aposentadoria. </w:t>
      </w:r>
      <w:r w:rsidR="0034770D">
        <w:rPr>
          <w:rFonts w:eastAsia="Times New Roman" w:cs="Times New Roman"/>
          <w:lang w:eastAsia="pt-BR"/>
        </w:rPr>
        <w:t>O objetivo desta investigação foi o de realizar uma pesquisa de revisão escopo da literatura latino-americana acerca da aposentadoria e do trabalho a partir da perspectiva da Psicologia. Foram analisados artigos empíricos extraídos das bases de dados: SciELO, Google Acadêmico, Portal de Periódicos CAPES, LILACS e Redalyc por meio dos descritores “aposentadoria e trabalho”, “</w:t>
      </w:r>
      <w:r w:rsidR="0034770D" w:rsidRPr="004F1629">
        <w:rPr>
          <w:rFonts w:eastAsia="Times New Roman" w:cs="Times New Roman"/>
          <w:i/>
          <w:iCs/>
          <w:lang w:eastAsia="pt-BR"/>
        </w:rPr>
        <w:t>retirement and work</w:t>
      </w:r>
      <w:r w:rsidR="0034770D">
        <w:rPr>
          <w:rFonts w:eastAsia="Times New Roman" w:cs="Times New Roman"/>
          <w:lang w:eastAsia="pt-BR"/>
        </w:rPr>
        <w:t>” e “</w:t>
      </w:r>
      <w:r w:rsidR="0034770D" w:rsidRPr="004F1629">
        <w:rPr>
          <w:rFonts w:eastAsia="Times New Roman" w:cs="Times New Roman"/>
          <w:i/>
          <w:iCs/>
          <w:lang w:eastAsia="pt-BR"/>
        </w:rPr>
        <w:t>jubilación y trabajo</w:t>
      </w:r>
      <w:r w:rsidR="0034770D">
        <w:rPr>
          <w:rFonts w:eastAsia="Times New Roman" w:cs="Times New Roman"/>
          <w:lang w:eastAsia="pt-BR"/>
        </w:rPr>
        <w:t>”. Os resultados indicaram uma maior predominância de estudos de autores brasileiros, de mais investigações qualitativas e de mais estudos da área da Psicologia Clínica/Vocacional. Também houve uma crescente de pesquisas que buscavam compreender a influências das relações sociais e familiares na decisão e nas implicações da aposentadoria. Conclui-se que é necessária a realização de pesquisas associando a aposentadoria a variáveis importantes de carreira.</w:t>
      </w:r>
    </w:p>
    <w:p w14:paraId="05D160BA" w14:textId="77777777" w:rsidR="0034770D" w:rsidRDefault="0034770D" w:rsidP="0034770D">
      <w:pPr>
        <w:rPr>
          <w:rFonts w:eastAsia="Times New Roman" w:cs="Times New Roman"/>
          <w:b/>
          <w:bCs/>
          <w:i/>
          <w:iCs/>
          <w:lang w:eastAsia="pt-BR"/>
        </w:rPr>
      </w:pPr>
      <w:r>
        <w:rPr>
          <w:rFonts w:eastAsia="Times New Roman" w:cs="Times New Roman"/>
          <w:b/>
          <w:bCs/>
          <w:i/>
          <w:iCs/>
          <w:lang w:eastAsia="pt-BR"/>
        </w:rPr>
        <w:br w:type="page"/>
      </w:r>
    </w:p>
    <w:p w14:paraId="4C7876E8" w14:textId="37A2D234" w:rsidR="0034770D" w:rsidRPr="009B179E" w:rsidRDefault="0034770D" w:rsidP="00F031C3">
      <w:pPr>
        <w:spacing w:line="360" w:lineRule="auto"/>
        <w:jc w:val="center"/>
        <w:rPr>
          <w:rFonts w:eastAsia="Times New Roman" w:cs="Times New Roman"/>
          <w:b/>
          <w:bCs/>
          <w:lang w:eastAsia="pt-BR"/>
        </w:rPr>
      </w:pPr>
      <w:r w:rsidRPr="009B179E">
        <w:rPr>
          <w:rFonts w:eastAsia="Times New Roman" w:cs="Times New Roman"/>
          <w:b/>
          <w:bCs/>
          <w:lang w:eastAsia="pt-BR"/>
        </w:rPr>
        <w:lastRenderedPageBreak/>
        <w:t>Abstract</w:t>
      </w:r>
    </w:p>
    <w:p w14:paraId="44766E5F" w14:textId="2F5DC162" w:rsidR="0034770D" w:rsidRPr="0064544E" w:rsidRDefault="008A730A" w:rsidP="00F031C3">
      <w:pPr>
        <w:spacing w:line="360" w:lineRule="auto"/>
        <w:jc w:val="both"/>
        <w:rPr>
          <w:rFonts w:eastAsia="Times New Roman" w:cs="Times New Roman"/>
          <w:lang w:eastAsia="pt-BR"/>
        </w:rPr>
      </w:pPr>
      <w:r w:rsidRPr="008A730A">
        <w:rPr>
          <w:rFonts w:eastAsia="Times New Roman" w:cs="Times New Roman"/>
          <w:lang w:eastAsia="pt-BR"/>
        </w:rPr>
        <w:t>Recent changes in the Brazilian Constitution have affected the world of work, so that authors in the field of Psychology have been trying to understand important career phenomena, including retirement.</w:t>
      </w:r>
      <w:r>
        <w:rPr>
          <w:rFonts w:eastAsia="Times New Roman" w:cs="Times New Roman"/>
          <w:lang w:eastAsia="pt-BR"/>
        </w:rPr>
        <w:t xml:space="preserve"> </w:t>
      </w:r>
      <w:r w:rsidR="0034770D" w:rsidRPr="0064544E">
        <w:rPr>
          <w:rFonts w:eastAsia="Times New Roman" w:cs="Times New Roman"/>
          <w:lang w:eastAsia="pt-BR"/>
        </w:rPr>
        <w:t xml:space="preserve">The </w:t>
      </w:r>
      <w:r w:rsidR="0034770D">
        <w:rPr>
          <w:rFonts w:eastAsia="Times New Roman" w:cs="Times New Roman"/>
          <w:lang w:eastAsia="pt-BR"/>
        </w:rPr>
        <w:t>aim</w:t>
      </w:r>
      <w:r w:rsidR="0034770D" w:rsidRPr="0064544E">
        <w:rPr>
          <w:rFonts w:eastAsia="Times New Roman" w:cs="Times New Roman"/>
          <w:lang w:eastAsia="pt-BR"/>
        </w:rPr>
        <w:t xml:space="preserve"> of this investigation was to carry out a </w:t>
      </w:r>
      <w:r w:rsidR="0034770D">
        <w:rPr>
          <w:rFonts w:eastAsia="Times New Roman" w:cs="Times New Roman"/>
          <w:lang w:eastAsia="pt-BR"/>
        </w:rPr>
        <w:t>scope</w:t>
      </w:r>
      <w:r w:rsidR="0034770D" w:rsidRPr="0064544E">
        <w:rPr>
          <w:rFonts w:eastAsia="Times New Roman" w:cs="Times New Roman"/>
          <w:lang w:eastAsia="pt-BR"/>
        </w:rPr>
        <w:t xml:space="preserve"> review of Latin American literature on retirement and work from the perspective of Psychology. Empirical articles extracted from the</w:t>
      </w:r>
      <w:r w:rsidR="0034770D">
        <w:rPr>
          <w:rFonts w:eastAsia="Times New Roman" w:cs="Times New Roman"/>
          <w:lang w:eastAsia="pt-BR"/>
        </w:rPr>
        <w:t xml:space="preserve"> following</w:t>
      </w:r>
      <w:r w:rsidR="0034770D" w:rsidRPr="0064544E">
        <w:rPr>
          <w:rFonts w:eastAsia="Times New Roman" w:cs="Times New Roman"/>
          <w:lang w:eastAsia="pt-BR"/>
        </w:rPr>
        <w:t xml:space="preserve"> databases</w:t>
      </w:r>
      <w:r w:rsidR="0034770D" w:rsidRPr="00D36493">
        <w:rPr>
          <w:rFonts w:eastAsia="Times New Roman" w:cs="Times New Roman"/>
          <w:lang w:eastAsia="pt-BR"/>
        </w:rPr>
        <w:t xml:space="preserve"> </w:t>
      </w:r>
      <w:r w:rsidR="0034770D" w:rsidRPr="0064544E">
        <w:rPr>
          <w:rFonts w:eastAsia="Times New Roman" w:cs="Times New Roman"/>
          <w:lang w:eastAsia="pt-BR"/>
        </w:rPr>
        <w:t>were analyzed: SciELO, Google Scholar, Portal de Periódicos CAPES, LILACS and Redalyc</w:t>
      </w:r>
      <w:r w:rsidR="0034770D">
        <w:rPr>
          <w:rFonts w:eastAsia="Times New Roman" w:cs="Times New Roman"/>
          <w:lang w:eastAsia="pt-BR"/>
        </w:rPr>
        <w:t>.</w:t>
      </w:r>
      <w:r w:rsidR="0034770D" w:rsidRPr="0064544E">
        <w:rPr>
          <w:rFonts w:eastAsia="Times New Roman" w:cs="Times New Roman"/>
          <w:lang w:eastAsia="pt-BR"/>
        </w:rPr>
        <w:t xml:space="preserve"> </w:t>
      </w:r>
      <w:r w:rsidR="0034770D">
        <w:rPr>
          <w:rFonts w:eastAsia="Times New Roman" w:cs="Times New Roman"/>
          <w:lang w:eastAsia="pt-BR"/>
        </w:rPr>
        <w:t>T</w:t>
      </w:r>
      <w:r w:rsidR="0034770D" w:rsidRPr="0064544E">
        <w:rPr>
          <w:rFonts w:eastAsia="Times New Roman" w:cs="Times New Roman"/>
          <w:lang w:eastAsia="pt-BR"/>
        </w:rPr>
        <w:t>he descriptors “</w:t>
      </w:r>
      <w:r w:rsidR="0034770D">
        <w:rPr>
          <w:rFonts w:eastAsia="Times New Roman" w:cs="Times New Roman"/>
          <w:lang w:eastAsia="pt-BR"/>
        </w:rPr>
        <w:t>aposentadoria e trabalho</w:t>
      </w:r>
      <w:r w:rsidR="0034770D" w:rsidRPr="0064544E">
        <w:rPr>
          <w:rFonts w:eastAsia="Times New Roman" w:cs="Times New Roman"/>
          <w:lang w:eastAsia="pt-BR"/>
        </w:rPr>
        <w:t>”, “retirement and work” and “jubilación y trabajo”</w:t>
      </w:r>
      <w:r w:rsidR="0034770D">
        <w:rPr>
          <w:rFonts w:eastAsia="Times New Roman" w:cs="Times New Roman"/>
          <w:lang w:eastAsia="pt-BR"/>
        </w:rPr>
        <w:t xml:space="preserve"> were used</w:t>
      </w:r>
      <w:r w:rsidR="0034770D" w:rsidRPr="0064544E">
        <w:rPr>
          <w:rFonts w:eastAsia="Times New Roman" w:cs="Times New Roman"/>
          <w:lang w:eastAsia="pt-BR"/>
        </w:rPr>
        <w:t>. The results indicated a greater predominance of studies by Brazilian authors, more qualitative investigations and more studies in the field of Clinical/Vocational Psychology. There was also a growing amount of research that sought to understand the influences of social and family relationships on the decision and implications of retirement. It is concluded that it is necessary to carry out research associating retirement with important career variables.</w:t>
      </w:r>
    </w:p>
    <w:p w14:paraId="3B258D58" w14:textId="77777777" w:rsidR="0034770D" w:rsidRDefault="0034770D" w:rsidP="00F031C3">
      <w:pPr>
        <w:spacing w:line="360" w:lineRule="auto"/>
        <w:rPr>
          <w:rFonts w:eastAsia="Times New Roman" w:cs="Times New Roman"/>
          <w:b/>
          <w:bCs/>
          <w:i/>
          <w:iCs/>
          <w:lang w:eastAsia="pt-BR"/>
        </w:rPr>
      </w:pPr>
    </w:p>
    <w:p w14:paraId="2AAC2E0E" w14:textId="77777777" w:rsidR="0034770D" w:rsidRPr="000A366B" w:rsidRDefault="0034770D" w:rsidP="0034770D">
      <w:pPr>
        <w:rPr>
          <w:rFonts w:eastAsia="Times New Roman" w:cs="Times New Roman"/>
          <w:b/>
          <w:bCs/>
          <w:lang w:eastAsia="pt-BR"/>
        </w:rPr>
      </w:pPr>
    </w:p>
    <w:p w14:paraId="2A6F94B2" w14:textId="77777777" w:rsidR="0034770D" w:rsidRDefault="0034770D" w:rsidP="0034770D">
      <w:pPr>
        <w:rPr>
          <w:rFonts w:eastAsia="Times New Roman" w:cs="Times New Roman"/>
          <w:b/>
          <w:bCs/>
          <w:lang w:eastAsia="pt-BR"/>
        </w:rPr>
      </w:pPr>
      <w:r>
        <w:rPr>
          <w:rFonts w:eastAsia="Times New Roman" w:cs="Times New Roman"/>
          <w:b/>
          <w:bCs/>
          <w:lang w:eastAsia="pt-BR"/>
        </w:rPr>
        <w:br w:type="page"/>
      </w:r>
    </w:p>
    <w:p w14:paraId="15A840B1" w14:textId="77777777" w:rsidR="0034770D" w:rsidRDefault="0034770D" w:rsidP="00F031C3">
      <w:pPr>
        <w:pStyle w:val="Ttulo1"/>
        <w:spacing w:line="360" w:lineRule="auto"/>
        <w:rPr>
          <w:rFonts w:eastAsia="Times New Roman"/>
          <w:lang w:eastAsia="pt-BR"/>
        </w:rPr>
      </w:pPr>
      <w:bookmarkStart w:id="1" w:name="_Toc129102210"/>
      <w:r>
        <w:rPr>
          <w:rFonts w:eastAsia="Times New Roman"/>
          <w:lang w:eastAsia="pt-BR"/>
        </w:rPr>
        <w:lastRenderedPageBreak/>
        <w:t>Introdução</w:t>
      </w:r>
      <w:bookmarkEnd w:id="1"/>
    </w:p>
    <w:p w14:paraId="72C67979" w14:textId="77777777" w:rsidR="0034770D" w:rsidRDefault="0034770D" w:rsidP="00F031C3">
      <w:pPr>
        <w:spacing w:after="240" w:line="360" w:lineRule="auto"/>
        <w:jc w:val="both"/>
        <w:rPr>
          <w:rFonts w:eastAsia="Times New Roman" w:cs="Times New Roman"/>
          <w:lang w:eastAsia="pt-BR"/>
        </w:rPr>
      </w:pPr>
      <w:r>
        <w:rPr>
          <w:rFonts w:eastAsia="Times New Roman" w:cs="Times New Roman"/>
          <w:lang w:eastAsia="pt-BR"/>
        </w:rPr>
        <w:tab/>
        <w:t>Em um cenário social e econômico cada vez mais incerto em contraste com um envelhecimento populacional cada vez mais vertiginoso, pensar em aposentadoria, no contexto brasileiro, por vezes, parece utópico. Ainda que, de acordo com a Pesquisa Nacional de Amostra Domiciliar (PNAD) de 2020, o número de aposentados tenha crescido 19% de 2012 a 2020 (IBGE</w:t>
      </w:r>
      <w:r w:rsidRPr="00DC0FD9">
        <w:rPr>
          <w:rFonts w:eastAsia="Times New Roman" w:cs="Times New Roman"/>
          <w:lang w:eastAsia="pt-BR"/>
        </w:rPr>
        <w:t>, 2020</w:t>
      </w:r>
      <w:r>
        <w:rPr>
          <w:rFonts w:eastAsia="Times New Roman" w:cs="Times New Roman"/>
          <w:lang w:eastAsia="pt-BR"/>
        </w:rPr>
        <w:t xml:space="preserve">), com as novas reformas previdenciárias e trabalhistas, sobretudo aquelas previstas na </w:t>
      </w:r>
      <w:r w:rsidRPr="00F11DEA">
        <w:rPr>
          <w:rFonts w:eastAsia="Times New Roman" w:cs="Times New Roman"/>
          <w:lang w:eastAsia="pt-BR"/>
        </w:rPr>
        <w:t>Emenda Constitucional n° 103</w:t>
      </w:r>
      <w:r>
        <w:rPr>
          <w:rFonts w:eastAsia="Times New Roman" w:cs="Times New Roman"/>
          <w:lang w:eastAsia="pt-BR"/>
        </w:rPr>
        <w:t xml:space="preserve"> (</w:t>
      </w:r>
      <w:r w:rsidRPr="00F11DEA">
        <w:rPr>
          <w:rFonts w:eastAsia="Times New Roman" w:cs="Times New Roman"/>
          <w:lang w:eastAsia="pt-BR"/>
        </w:rPr>
        <w:t>2019</w:t>
      </w:r>
      <w:r>
        <w:rPr>
          <w:rFonts w:eastAsia="Times New Roman" w:cs="Times New Roman"/>
          <w:lang w:eastAsia="pt-BR"/>
        </w:rPr>
        <w:t xml:space="preserve">) e na </w:t>
      </w:r>
      <w:r w:rsidRPr="00162E48">
        <w:rPr>
          <w:rFonts w:eastAsia="Times New Roman" w:cs="Times New Roman"/>
          <w:lang w:eastAsia="pt-BR"/>
        </w:rPr>
        <w:t>Lei 13.467</w:t>
      </w:r>
      <w:r>
        <w:rPr>
          <w:rFonts w:eastAsia="Times New Roman" w:cs="Times New Roman"/>
          <w:lang w:eastAsia="pt-BR"/>
        </w:rPr>
        <w:t xml:space="preserve"> (</w:t>
      </w:r>
      <w:r w:rsidRPr="00162E48">
        <w:rPr>
          <w:rFonts w:eastAsia="Times New Roman" w:cs="Times New Roman"/>
          <w:lang w:eastAsia="pt-BR"/>
        </w:rPr>
        <w:t>2017</w:t>
      </w:r>
      <w:r>
        <w:rPr>
          <w:rFonts w:eastAsia="Times New Roman" w:cs="Times New Roman"/>
          <w:lang w:eastAsia="pt-BR"/>
        </w:rPr>
        <w:t>), aposentar-se torna-se uma etapa difícil de se alcançar, mais ainda para as camadas populares mais desfavorecidas economicamente.</w:t>
      </w:r>
    </w:p>
    <w:p w14:paraId="432F197B" w14:textId="570E2ABE" w:rsidR="0034770D" w:rsidRDefault="0034770D" w:rsidP="00F031C3">
      <w:pPr>
        <w:spacing w:line="360" w:lineRule="auto"/>
        <w:jc w:val="both"/>
        <w:rPr>
          <w:rFonts w:eastAsia="Times New Roman" w:cs="Times New Roman"/>
          <w:lang w:eastAsia="pt-BR"/>
        </w:rPr>
      </w:pPr>
      <w:r>
        <w:rPr>
          <w:rFonts w:eastAsia="Times New Roman" w:cs="Times New Roman"/>
          <w:lang w:eastAsia="pt-BR"/>
        </w:rPr>
        <w:tab/>
        <w:t>As mudanças previstas na Emenda Constitucional n° 103 (2019) apontam para um tempo mínimo de 20 anos de contribuição e 65 anos de idade para homens e 15 anos de contribuição e 62 anos de idade para mulheres para que tenham direito a darem entrada no processo de aposentadoria.</w:t>
      </w:r>
      <w:r>
        <w:rPr>
          <w:rFonts w:eastAsia="Times New Roman" w:cs="Times New Roman"/>
          <w:color w:val="FF0000"/>
          <w:lang w:eastAsia="pt-BR"/>
        </w:rPr>
        <w:t xml:space="preserve"> </w:t>
      </w:r>
      <w:r>
        <w:rPr>
          <w:rFonts w:eastAsia="Times New Roman" w:cs="Times New Roman"/>
          <w:lang w:eastAsia="pt-BR"/>
        </w:rPr>
        <w:t xml:space="preserve">Assim como também acontece com as alterações na Consolidação das Leis Trabalhistas, previstas pela Lei n° 13.467 (2017), que, entre outras providências, torna o contrato de trabalho mais flexível, possibilitando modelos de emprego que desgastam o trabalhador e a trabalhadora, dificultando sua aposentadoria. </w:t>
      </w:r>
    </w:p>
    <w:p w14:paraId="00F16DB6" w14:textId="77777777" w:rsidR="0034770D" w:rsidRDefault="0034770D" w:rsidP="00F031C3">
      <w:pPr>
        <w:spacing w:line="360" w:lineRule="auto"/>
        <w:jc w:val="both"/>
        <w:rPr>
          <w:rFonts w:eastAsia="Times New Roman" w:cs="Times New Roman"/>
          <w:lang w:eastAsia="pt-BR"/>
        </w:rPr>
      </w:pPr>
      <w:r>
        <w:rPr>
          <w:rFonts w:eastAsia="Times New Roman" w:cs="Times New Roman"/>
          <w:lang w:eastAsia="pt-BR"/>
        </w:rPr>
        <w:tab/>
        <w:t xml:space="preserve">De modo geral, na América Latina, em virtude de questões históricas e políticas específicas de cada país, há uma heterogeneidade nos sistemas de previdência social (Rangel &amp; Stivali, 2018). Segundo dados do Banco Interamericano de Desenvolvimento (OCDE, 2015), em 2010, na América Latina e Caribe como um todo, 45% dos trabalhadores e trabalhadoras contribuíam para a previdência social, sendo que em alguns países andinos e da América Central, como Peru, Bolívia, Guatemala, Honduras, Nicarágua e Peru, menos de 20% da força de trabalho total faziam esta contribuição. </w:t>
      </w:r>
    </w:p>
    <w:p w14:paraId="490A936B" w14:textId="77777777" w:rsidR="0034770D" w:rsidRDefault="0034770D" w:rsidP="00F031C3">
      <w:pPr>
        <w:spacing w:line="360" w:lineRule="auto"/>
        <w:ind w:firstLine="708"/>
        <w:jc w:val="both"/>
        <w:rPr>
          <w:rFonts w:eastAsia="Times New Roman" w:cs="Times New Roman"/>
          <w:lang w:eastAsia="pt-BR"/>
        </w:rPr>
      </w:pPr>
      <w:r>
        <w:rPr>
          <w:rFonts w:eastAsia="Times New Roman" w:cs="Times New Roman"/>
          <w:lang w:eastAsia="pt-BR"/>
        </w:rPr>
        <w:t xml:space="preserve">Fatores como gênero (na América Latina e Caribe, a participação de mulheres na contribuição previdenciária é de 56% contra 83% de homens), escolaridade (22% dos trabalhadores e trabalhadoras com oito anos ou menos de estudo contribuem para a previdência social) e renda (dentre os 19 países da América Latina e Caribe, 80% a 98% dos trabalhadores e trabalhadoras com alta renda realizam a contribuição, enquanto entre as pessoas de baixa renda, esse índice gira em torno dos 20%) exercem grande influência sobre a previdência social e, consequentemente, sobre as aposentadorias (OCDE, 2015). O principal fator que influencia na contribuição ou não à previdência social é a tipo de emprego, sendo que há uma contribuição </w:t>
      </w:r>
      <w:r>
        <w:rPr>
          <w:rFonts w:eastAsia="Times New Roman" w:cs="Times New Roman"/>
          <w:lang w:eastAsia="pt-BR"/>
        </w:rPr>
        <w:lastRenderedPageBreak/>
        <w:t>de 64% dos indivíduos assalariados, mas entre os autônomos apenas 17% procedem da mesma forma (OCDE, 2015).</w:t>
      </w:r>
    </w:p>
    <w:p w14:paraId="35C64178" w14:textId="77777777" w:rsidR="0034770D" w:rsidRDefault="0034770D" w:rsidP="00F031C3">
      <w:pPr>
        <w:spacing w:line="360" w:lineRule="auto"/>
        <w:jc w:val="both"/>
        <w:rPr>
          <w:rFonts w:eastAsia="Times New Roman" w:cs="Times New Roman"/>
          <w:lang w:eastAsia="pt-BR"/>
        </w:rPr>
      </w:pPr>
      <w:r>
        <w:rPr>
          <w:rFonts w:eastAsia="Times New Roman" w:cs="Times New Roman"/>
          <w:lang w:eastAsia="pt-BR"/>
        </w:rPr>
        <w:tab/>
        <w:t>Além dos fatores políticos, econômicos e sociais que, por vezes, dificultam a aposentadoria, fatores emocionais, culturais e até identitários podem influenciar a decisão de aposentar-se. Um desses fatores é a centralidade do trabalho definida como a importância que este exerce na vida das pessoas, bem como o comprometimento com o trabalho dos indivíduos, as suas percepções sobre como essa atividade ocupacional localiza-se em um papel central em suas trajetórias e, ainda, seu grau de identificação com as atividades ocupacionais (Kooij &amp; Zacher, 2016). Tal fator pode se relacionar com um adiamento da aposentadoria e com a vinculação a um novo trabalho pós-aposentadoria (Beier, LoPilato &amp; Kanfer, 2018).</w:t>
      </w:r>
    </w:p>
    <w:p w14:paraId="11CA767B" w14:textId="77777777" w:rsidR="0034770D" w:rsidRDefault="0034770D" w:rsidP="00F031C3">
      <w:pPr>
        <w:spacing w:line="360" w:lineRule="auto"/>
        <w:jc w:val="both"/>
        <w:rPr>
          <w:rFonts w:eastAsia="Times New Roman" w:cs="Times New Roman"/>
          <w:lang w:eastAsia="pt-BR"/>
        </w:rPr>
      </w:pPr>
      <w:r>
        <w:rPr>
          <w:rFonts w:eastAsia="Times New Roman" w:cs="Times New Roman"/>
          <w:lang w:eastAsia="pt-BR"/>
        </w:rPr>
        <w:tab/>
        <w:t xml:space="preserve">Por seu caráter de centralidade, o trabalho pode gerar uma identidade de modo que o trabalhador e a trabalhadora incorporam sua ocupação ao seu sobrenome, o que, no futuro, pode trazer grandes dificuldades para a vivência da aposentadoria (Boehs et al., 2017). Devido a centralidade do trabalho, por se tratar de uma das etapas de carreira, a aposentadoria traz consigo uma multidisciplinaridade de visões, sendo uma delas a Psicologia (Boehs et al., 2017). Shultz e Wang (2011) estabelecem uma taxonomia de subcampos da Psicologia sob a perspectiva dos quais o fenômeno da aposentadoria pode ser compreendido: </w:t>
      </w:r>
      <w:r w:rsidRPr="00FB42E7">
        <w:rPr>
          <w:rFonts w:eastAsia="Times New Roman" w:cs="Times New Roman"/>
          <w:lang w:eastAsia="pt-BR"/>
        </w:rPr>
        <w:t>Psicologia do Desenvolvimento</w:t>
      </w:r>
      <w:r>
        <w:rPr>
          <w:rFonts w:eastAsia="Times New Roman" w:cs="Times New Roman"/>
          <w:lang w:eastAsia="pt-BR"/>
        </w:rPr>
        <w:t>, Psicologia Industrial/Organizacional (POT), Psicologia Vocacional e Psicologia Clínica/Aconselhamento.</w:t>
      </w:r>
    </w:p>
    <w:p w14:paraId="1F301704" w14:textId="77777777" w:rsidR="0034770D" w:rsidRDefault="0034770D" w:rsidP="00F031C3">
      <w:pPr>
        <w:spacing w:line="360" w:lineRule="auto"/>
        <w:jc w:val="both"/>
        <w:rPr>
          <w:rFonts w:eastAsia="Times New Roman" w:cs="Times New Roman"/>
          <w:lang w:eastAsia="pt-BR"/>
        </w:rPr>
      </w:pPr>
      <w:r>
        <w:rPr>
          <w:rFonts w:eastAsia="Times New Roman" w:cs="Times New Roman"/>
          <w:lang w:eastAsia="pt-BR"/>
        </w:rPr>
        <w:tab/>
      </w:r>
      <w:r w:rsidRPr="0028733C">
        <w:rPr>
          <w:rFonts w:eastAsia="Times New Roman" w:cs="Times New Roman"/>
          <w:lang w:eastAsia="pt-BR"/>
        </w:rPr>
        <w:t xml:space="preserve">Com foco na história de vida de cada indivíduo, a perspectiva da </w:t>
      </w:r>
      <w:bookmarkStart w:id="2" w:name="_Hlk123986866"/>
      <w:r>
        <w:rPr>
          <w:rFonts w:eastAsia="Times New Roman" w:cs="Times New Roman"/>
          <w:lang w:eastAsia="pt-BR"/>
        </w:rPr>
        <w:t>P</w:t>
      </w:r>
      <w:r w:rsidRPr="0028733C">
        <w:rPr>
          <w:rFonts w:eastAsia="Times New Roman" w:cs="Times New Roman"/>
          <w:lang w:eastAsia="pt-BR"/>
        </w:rPr>
        <w:t xml:space="preserve">sicologia do </w:t>
      </w:r>
      <w:r>
        <w:rPr>
          <w:rFonts w:eastAsia="Times New Roman" w:cs="Times New Roman"/>
          <w:lang w:eastAsia="pt-BR"/>
        </w:rPr>
        <w:t>D</w:t>
      </w:r>
      <w:r w:rsidRPr="0028733C">
        <w:rPr>
          <w:rFonts w:eastAsia="Times New Roman" w:cs="Times New Roman"/>
          <w:lang w:eastAsia="pt-BR"/>
        </w:rPr>
        <w:t>esenvolvimento</w:t>
      </w:r>
      <w:bookmarkEnd w:id="2"/>
      <w:r>
        <w:rPr>
          <w:rFonts w:eastAsia="Times New Roman" w:cs="Times New Roman"/>
          <w:lang w:eastAsia="pt-BR"/>
        </w:rPr>
        <w:t xml:space="preserve"> (PD)</w:t>
      </w:r>
      <w:r w:rsidRPr="0028733C">
        <w:rPr>
          <w:rFonts w:eastAsia="Times New Roman" w:cs="Times New Roman"/>
          <w:lang w:eastAsia="pt-BR"/>
        </w:rPr>
        <w:t xml:space="preserve"> traz a aposentadoria como um dos estágios do ciclo de vida (associado à velhice), buscando uma compreensão acerca de como as pessoas lidam com as transições em suas vidas, seus trabalhos e hábitos de lazer e seus estilos de dedicação e preferências de trabalho. Já a </w:t>
      </w:r>
      <w:r>
        <w:rPr>
          <w:rFonts w:eastAsia="Times New Roman" w:cs="Times New Roman"/>
          <w:lang w:eastAsia="pt-BR"/>
        </w:rPr>
        <w:t>POT</w:t>
      </w:r>
      <w:r w:rsidRPr="0028733C">
        <w:rPr>
          <w:rFonts w:eastAsia="Times New Roman" w:cs="Times New Roman"/>
          <w:lang w:eastAsia="pt-BR"/>
        </w:rPr>
        <w:t xml:space="preserve"> preocupa-se em como fatores relacionados ao emprego ocupado pelo indivíduo na fase de pré-aposentadoria moldam o processo de aposentadoria em si, observando desde fatores individuais (como o bem-estar no trabalho e a satisfação), até fatores organizacionais mais amplos (como o clima e a cultura organizacional). Por fim, na </w:t>
      </w:r>
      <w:r>
        <w:rPr>
          <w:rFonts w:eastAsia="Times New Roman" w:cs="Times New Roman"/>
          <w:lang w:eastAsia="pt-BR"/>
        </w:rPr>
        <w:t>P</w:t>
      </w:r>
      <w:r w:rsidRPr="0028733C">
        <w:rPr>
          <w:rFonts w:eastAsia="Times New Roman" w:cs="Times New Roman"/>
          <w:lang w:eastAsia="pt-BR"/>
        </w:rPr>
        <w:t xml:space="preserve">sicologia </w:t>
      </w:r>
      <w:r>
        <w:rPr>
          <w:rFonts w:eastAsia="Times New Roman" w:cs="Times New Roman"/>
          <w:lang w:eastAsia="pt-BR"/>
        </w:rPr>
        <w:t>V</w:t>
      </w:r>
      <w:r w:rsidRPr="0028733C">
        <w:rPr>
          <w:rFonts w:eastAsia="Times New Roman" w:cs="Times New Roman"/>
          <w:lang w:eastAsia="pt-BR"/>
        </w:rPr>
        <w:t>ocacional investigam-se as habilidades vocacionais, tipos de carreiras de pré-aposentadoria, padrões específicos de carreira</w:t>
      </w:r>
      <w:r>
        <w:rPr>
          <w:rFonts w:eastAsia="Times New Roman" w:cs="Times New Roman"/>
          <w:lang w:eastAsia="pt-BR"/>
        </w:rPr>
        <w:t xml:space="preserve"> e</w:t>
      </w:r>
      <w:r w:rsidRPr="0028733C">
        <w:rPr>
          <w:rFonts w:eastAsia="Times New Roman" w:cs="Times New Roman"/>
          <w:lang w:eastAsia="pt-BR"/>
        </w:rPr>
        <w:t xml:space="preserve"> mudanças de carreira no pós-aposentadoria, </w:t>
      </w:r>
      <w:r>
        <w:rPr>
          <w:rFonts w:eastAsia="Times New Roman" w:cs="Times New Roman"/>
          <w:lang w:eastAsia="pt-BR"/>
        </w:rPr>
        <w:t>enquanto que na Psicologia C</w:t>
      </w:r>
      <w:r w:rsidRPr="0028733C">
        <w:rPr>
          <w:rFonts w:eastAsia="Times New Roman" w:cs="Times New Roman"/>
          <w:lang w:eastAsia="pt-BR"/>
        </w:rPr>
        <w:t>línica/</w:t>
      </w:r>
      <w:r>
        <w:rPr>
          <w:rFonts w:eastAsia="Times New Roman" w:cs="Times New Roman"/>
          <w:lang w:eastAsia="pt-BR"/>
        </w:rPr>
        <w:t>Aconselhamento o enfoque está</w:t>
      </w:r>
      <w:r w:rsidRPr="0028733C">
        <w:rPr>
          <w:rFonts w:eastAsia="Times New Roman" w:cs="Times New Roman"/>
          <w:lang w:eastAsia="pt-BR"/>
        </w:rPr>
        <w:t xml:space="preserve"> </w:t>
      </w:r>
      <w:r>
        <w:rPr>
          <w:rFonts w:eastAsia="Times New Roman" w:cs="Times New Roman"/>
          <w:lang w:eastAsia="pt-BR"/>
        </w:rPr>
        <w:t>nas</w:t>
      </w:r>
      <w:r w:rsidRPr="0028733C">
        <w:rPr>
          <w:rFonts w:eastAsia="Times New Roman" w:cs="Times New Roman"/>
          <w:lang w:eastAsia="pt-BR"/>
        </w:rPr>
        <w:t xml:space="preserve"> formas de oferecer preparação para a aposentadoria das pessoas por meio de aconselhamento de carreira (Shultz &amp; Wang, 2011).</w:t>
      </w:r>
      <w:r>
        <w:rPr>
          <w:rFonts w:eastAsia="Times New Roman" w:cs="Times New Roman"/>
          <w:lang w:eastAsia="pt-BR"/>
        </w:rPr>
        <w:t xml:space="preserve"> No presente estudo, em termos de análise, foram consideradas a PD e a POT enquanto campos </w:t>
      </w:r>
      <w:r>
        <w:rPr>
          <w:rFonts w:eastAsia="Times New Roman" w:cs="Times New Roman"/>
          <w:lang w:eastAsia="pt-BR"/>
        </w:rPr>
        <w:lastRenderedPageBreak/>
        <w:t>distintos, mas realizou-se a condensação da Psicologia Vocacional e da Psicologia Clínica/Aconselhamento em virtude de sua proximidade de análise do fenômeno, sendo denominada a partir daqui de PC/V.</w:t>
      </w:r>
    </w:p>
    <w:p w14:paraId="12EFAF20" w14:textId="77777777" w:rsidR="0034770D" w:rsidRDefault="0034770D" w:rsidP="00F031C3">
      <w:pPr>
        <w:spacing w:line="360" w:lineRule="auto"/>
        <w:jc w:val="both"/>
        <w:rPr>
          <w:rFonts w:eastAsia="Times New Roman" w:cs="Times New Roman"/>
          <w:lang w:eastAsia="pt-BR"/>
        </w:rPr>
      </w:pPr>
      <w:r>
        <w:rPr>
          <w:rFonts w:eastAsia="Times New Roman" w:cs="Times New Roman"/>
          <w:lang w:eastAsia="pt-BR"/>
        </w:rPr>
        <w:tab/>
        <w:t xml:space="preserve">Buscando compreender a aposentadoria e o trabalho sob a perspectiva da Psicologia, Boehs et al. (2017) realizaram uma pesquisa de revisão da literatura científica latino-americana sobre a temática. Para analisar os resultados, os autores utilizaram a taxonomia de Shultz e Wang (2011), que caracterizam quatro subcampos da Psicologia para analisar o fenômeno da aposentadoria: </w:t>
      </w:r>
      <w:r>
        <w:rPr>
          <w:rFonts w:cs="Times New Roman"/>
        </w:rPr>
        <w:t>psicologia do desenvolvimento, psicologia organizacional e do trabalho, psicologia vocacional e psicologia clínica. No entanto, para o estudo de revisão de literatura, os autores consideraram os dois primeiros subcampos e condensaram o terceiro e o quarto em um só subcampo, tendo em vista as similaridades de ambos.</w:t>
      </w:r>
    </w:p>
    <w:p w14:paraId="101E1AB9" w14:textId="77777777" w:rsidR="0034770D" w:rsidRDefault="0034770D" w:rsidP="00F031C3">
      <w:pPr>
        <w:spacing w:line="360" w:lineRule="auto"/>
        <w:ind w:firstLine="708"/>
        <w:jc w:val="both"/>
        <w:rPr>
          <w:rFonts w:eastAsia="Times New Roman" w:cs="Times New Roman"/>
          <w:lang w:eastAsia="pt-BR"/>
        </w:rPr>
      </w:pPr>
      <w:r>
        <w:rPr>
          <w:rFonts w:eastAsia="Times New Roman" w:cs="Times New Roman"/>
          <w:lang w:eastAsia="pt-BR"/>
        </w:rPr>
        <w:t>Para a pesquisa, Boehs et al. (2017) utilizaram um amplo recorte temporal, sem um ano de início, mas abrangendo estudos até junho de 2016. Os resultados apontaram para um crescimento de pesquisas com a temática sob perspectivas psicológicas. Com uma amostra de 42 artigos, os autores identificaram que houve um crescimento das produções nos últimos anos da amostra, de 2011 a 2016, sobretudo de estudos empíricos. Além disso, foi notada uma vasta amostragem de estudos brasileiros dentre os artigos analisados. Em virtude da discrepância entre o número de estudos sob a ótica da POT e da PD em comparação com aqueles sob a ótica da PC/V, os autores recomendaram maior diversificação dos estudos sob a ótica da psicologia vocacional com a exploração de temas como transição e adaptabilidade de carreira para a compreensão do fenômeno da aposentadoria.</w:t>
      </w:r>
    </w:p>
    <w:p w14:paraId="6DF3D23E" w14:textId="51910545" w:rsidR="0034770D" w:rsidRDefault="0034770D" w:rsidP="00F031C3">
      <w:pPr>
        <w:spacing w:line="360" w:lineRule="auto"/>
        <w:jc w:val="both"/>
        <w:rPr>
          <w:b/>
          <w:bCs/>
        </w:rPr>
      </w:pPr>
      <w:r>
        <w:rPr>
          <w:rFonts w:eastAsia="Times New Roman" w:cs="Times New Roman"/>
          <w:lang w:eastAsia="pt-BR"/>
        </w:rPr>
        <w:tab/>
        <w:t xml:space="preserve">É do escopo da Psicologia, portanto, a investigação, compreensão e proposição de alternativas para a construção e planejamento da aposentadoria como uma etapa de carreira. Nesse sentido, o objetivo desse estudo foi realizar uma pesquisa de revisão </w:t>
      </w:r>
      <w:r w:rsidR="009B5ABE">
        <w:rPr>
          <w:rFonts w:eastAsia="Times New Roman" w:cs="Times New Roman"/>
          <w:lang w:eastAsia="pt-BR"/>
        </w:rPr>
        <w:t>escopo</w:t>
      </w:r>
      <w:r>
        <w:rPr>
          <w:rFonts w:eastAsia="Times New Roman" w:cs="Times New Roman"/>
          <w:lang w:eastAsia="pt-BR"/>
        </w:rPr>
        <w:t xml:space="preserve"> da literatura latino-americana acerca da aposentadoria e do trabalho sob a ótica da Psicologia, a fim de se investigar se as produções acerca da temática seguem em crescimento, como se distribuem e quais as principais preocupações dos estudos em cada área da taxonomia de Shultz e Wang (2011) e as tendências das pesquisas com pessoas em transição para a aposentadoria ou já aposentadas. </w:t>
      </w:r>
    </w:p>
    <w:p w14:paraId="3DD586B7" w14:textId="77777777" w:rsidR="0034770D" w:rsidRDefault="0034770D" w:rsidP="0034770D">
      <w:pPr>
        <w:spacing w:line="480" w:lineRule="auto"/>
        <w:jc w:val="center"/>
        <w:rPr>
          <w:rFonts w:cs="Times New Roman"/>
          <w:b/>
          <w:bCs/>
        </w:rPr>
      </w:pPr>
    </w:p>
    <w:p w14:paraId="439DED6D" w14:textId="77777777" w:rsidR="0034770D" w:rsidRDefault="0034770D" w:rsidP="00F031C3">
      <w:pPr>
        <w:pStyle w:val="Ttulo1"/>
        <w:spacing w:line="360" w:lineRule="auto"/>
      </w:pPr>
      <w:bookmarkStart w:id="3" w:name="_Toc129102211"/>
      <w:r>
        <w:lastRenderedPageBreak/>
        <w:t>Método</w:t>
      </w:r>
      <w:bookmarkEnd w:id="3"/>
    </w:p>
    <w:p w14:paraId="1CAA4B5D" w14:textId="77777777" w:rsidR="0034770D" w:rsidRPr="00462802" w:rsidRDefault="0034770D" w:rsidP="00F031C3">
      <w:pPr>
        <w:pStyle w:val="Ttulo2"/>
        <w:spacing w:line="360" w:lineRule="auto"/>
        <w:ind w:firstLine="708"/>
        <w:rPr>
          <w:b/>
          <w:i/>
          <w:iCs/>
        </w:rPr>
      </w:pPr>
      <w:bookmarkStart w:id="4" w:name="_Toc89120581"/>
      <w:bookmarkStart w:id="5" w:name="_Toc129102212"/>
      <w:r w:rsidRPr="00462802">
        <w:rPr>
          <w:i/>
          <w:iCs/>
        </w:rPr>
        <w:t>Procedimentos</w:t>
      </w:r>
      <w:bookmarkEnd w:id="4"/>
      <w:bookmarkEnd w:id="5"/>
    </w:p>
    <w:p w14:paraId="4C19DD51" w14:textId="6B71B909" w:rsidR="0034770D" w:rsidRPr="005B7FEC" w:rsidRDefault="0034770D" w:rsidP="00F031C3">
      <w:pPr>
        <w:spacing w:line="360" w:lineRule="auto"/>
        <w:ind w:firstLine="709"/>
        <w:jc w:val="both"/>
        <w:rPr>
          <w:b/>
          <w:bCs/>
        </w:rPr>
      </w:pPr>
      <w:r>
        <w:rPr>
          <w:rFonts w:cs="Times New Roman"/>
        </w:rPr>
        <w:t xml:space="preserve">O presente estudo trata-se de uma revisão </w:t>
      </w:r>
      <w:r w:rsidR="009B5ABE">
        <w:rPr>
          <w:rFonts w:cs="Times New Roman"/>
        </w:rPr>
        <w:t>de escopo da literatura</w:t>
      </w:r>
      <w:r>
        <w:rPr>
          <w:rFonts w:cs="Times New Roman"/>
        </w:rPr>
        <w:t xml:space="preserve">. </w:t>
      </w:r>
      <w:r w:rsidR="00361EAC">
        <w:rPr>
          <w:rFonts w:eastAsia="Times New Roman" w:cs="Times New Roman"/>
          <w:lang w:eastAsia="pt-BR"/>
        </w:rPr>
        <w:t xml:space="preserve">Por meio da revisão de escopo, </w:t>
      </w:r>
      <w:r w:rsidR="00A1058B">
        <w:rPr>
          <w:rFonts w:eastAsia="Times New Roman" w:cs="Times New Roman"/>
          <w:lang w:eastAsia="pt-BR"/>
        </w:rPr>
        <w:t xml:space="preserve">é possível compreender </w:t>
      </w:r>
      <w:r w:rsidR="00734480">
        <w:rPr>
          <w:rFonts w:eastAsia="Times New Roman" w:cs="Times New Roman"/>
          <w:lang w:eastAsia="pt-BR"/>
        </w:rPr>
        <w:t>as principais tendências de pesquisa em na temática</w:t>
      </w:r>
      <w:r w:rsidR="008F3FE1">
        <w:rPr>
          <w:rFonts w:eastAsia="Times New Roman" w:cs="Times New Roman"/>
          <w:lang w:eastAsia="pt-BR"/>
        </w:rPr>
        <w:t xml:space="preserve"> proposta</w:t>
      </w:r>
      <w:r w:rsidR="00734480">
        <w:rPr>
          <w:rFonts w:eastAsia="Times New Roman" w:cs="Times New Roman"/>
          <w:lang w:eastAsia="pt-BR"/>
        </w:rPr>
        <w:t xml:space="preserve">, </w:t>
      </w:r>
      <w:r w:rsidR="008F3FE1">
        <w:rPr>
          <w:rFonts w:eastAsia="Times New Roman" w:cs="Times New Roman"/>
          <w:lang w:eastAsia="pt-BR"/>
        </w:rPr>
        <w:t>as lacunas existentes, a dimensão dos conceitos</w:t>
      </w:r>
      <w:r w:rsidR="00277AE7">
        <w:rPr>
          <w:rFonts w:eastAsia="Times New Roman" w:cs="Times New Roman"/>
          <w:lang w:eastAsia="pt-BR"/>
        </w:rPr>
        <w:t>, bem como seu alcance</w:t>
      </w:r>
      <w:r w:rsidR="00AC5F0C">
        <w:rPr>
          <w:rFonts w:eastAsia="Times New Roman" w:cs="Times New Roman"/>
          <w:lang w:eastAsia="pt-BR"/>
        </w:rPr>
        <w:t xml:space="preserve"> </w:t>
      </w:r>
      <w:r>
        <w:rPr>
          <w:rFonts w:eastAsia="Times New Roman" w:cs="Times New Roman"/>
          <w:lang w:eastAsia="pt-BR"/>
        </w:rPr>
        <w:t>(</w:t>
      </w:r>
      <w:r w:rsidR="00166145">
        <w:rPr>
          <w:rFonts w:eastAsia="Times New Roman" w:cs="Times New Roman"/>
          <w:lang w:eastAsia="pt-BR"/>
        </w:rPr>
        <w:t>Arksey &amp; O’Malley</w:t>
      </w:r>
      <w:r>
        <w:rPr>
          <w:rFonts w:eastAsia="Times New Roman" w:cs="Times New Roman"/>
          <w:lang w:eastAsia="pt-BR"/>
        </w:rPr>
        <w:t>, 20</w:t>
      </w:r>
      <w:r w:rsidR="00E5631F">
        <w:rPr>
          <w:rFonts w:eastAsia="Times New Roman" w:cs="Times New Roman"/>
          <w:lang w:eastAsia="pt-BR"/>
        </w:rPr>
        <w:t>07</w:t>
      </w:r>
      <w:r>
        <w:rPr>
          <w:rFonts w:eastAsia="Times New Roman" w:cs="Times New Roman"/>
          <w:lang w:eastAsia="pt-BR"/>
        </w:rPr>
        <w:t xml:space="preserve">). Assim, pode-se compreender o </w:t>
      </w:r>
      <w:r w:rsidR="003C2AED">
        <w:rPr>
          <w:rFonts w:eastAsia="Times New Roman" w:cs="Times New Roman"/>
          <w:lang w:eastAsia="pt-BR"/>
        </w:rPr>
        <w:t>enfoque</w:t>
      </w:r>
      <w:r>
        <w:rPr>
          <w:rFonts w:eastAsia="Times New Roman" w:cs="Times New Roman"/>
          <w:lang w:eastAsia="pt-BR"/>
        </w:rPr>
        <w:t xml:space="preserve"> e a </w:t>
      </w:r>
      <w:r w:rsidR="00AC5F0C">
        <w:rPr>
          <w:rFonts w:eastAsia="Times New Roman" w:cs="Times New Roman"/>
          <w:lang w:eastAsia="pt-BR"/>
        </w:rPr>
        <w:t>natureza</w:t>
      </w:r>
      <w:r>
        <w:rPr>
          <w:rFonts w:eastAsia="Times New Roman" w:cs="Times New Roman"/>
          <w:lang w:eastAsia="pt-BR"/>
        </w:rPr>
        <w:t xml:space="preserve"> de pesquisas</w:t>
      </w:r>
      <w:r w:rsidR="00AC5F0C">
        <w:rPr>
          <w:rFonts w:eastAsia="Times New Roman" w:cs="Times New Roman"/>
          <w:lang w:eastAsia="pt-BR"/>
        </w:rPr>
        <w:t xml:space="preserve"> e conceitos</w:t>
      </w:r>
      <w:r>
        <w:rPr>
          <w:rFonts w:eastAsia="Times New Roman" w:cs="Times New Roman"/>
          <w:lang w:eastAsia="pt-BR"/>
        </w:rPr>
        <w:t xml:space="preserve"> pela América Latina sobre um tema atual que toca diretamente o trabalho da Psicologia e suas formas de abordagem dos fenômenos cotidianos da vida humana.</w:t>
      </w:r>
    </w:p>
    <w:p w14:paraId="174C3E8D" w14:textId="77777777" w:rsidR="0034770D" w:rsidRDefault="0034770D" w:rsidP="00F031C3">
      <w:pPr>
        <w:spacing w:after="0" w:line="360" w:lineRule="auto"/>
        <w:ind w:firstLine="709"/>
        <w:jc w:val="both"/>
        <w:rPr>
          <w:rFonts w:cs="Times New Roman"/>
        </w:rPr>
      </w:pPr>
      <w:r>
        <w:rPr>
          <w:rFonts w:cs="Times New Roman"/>
        </w:rPr>
        <w:t xml:space="preserve">A pesquisa foi realizada de modo eletrônico, com buscas em cinco bases de dados: </w:t>
      </w:r>
      <w:r>
        <w:rPr>
          <w:rFonts w:cs="Times New Roman"/>
          <w:i/>
          <w:iCs/>
        </w:rPr>
        <w:t xml:space="preserve">Scientific Electronic Library Online </w:t>
      </w:r>
      <w:r>
        <w:rPr>
          <w:rFonts w:cs="Times New Roman"/>
        </w:rPr>
        <w:t xml:space="preserve">(SciELO), Redalyc, </w:t>
      </w:r>
      <w:r w:rsidRPr="008F2D95">
        <w:rPr>
          <w:rFonts w:cs="Times New Roman"/>
          <w:i/>
          <w:iCs/>
        </w:rPr>
        <w:t>Google</w:t>
      </w:r>
      <w:r>
        <w:rPr>
          <w:rFonts w:cs="Times New Roman"/>
        </w:rPr>
        <w:t xml:space="preserve"> Acadêmico, Literatura Latino-americana e do Caribe em Ciências da Saúde (LILACS), portal de periódicos da CAPES e Periódicos Eletrônicos de Psicologia (PePSIC). O </w:t>
      </w:r>
      <w:r w:rsidRPr="008F2D95">
        <w:rPr>
          <w:rFonts w:cs="Times New Roman"/>
          <w:i/>
          <w:iCs/>
        </w:rPr>
        <w:t>SciELO</w:t>
      </w:r>
      <w:r>
        <w:rPr>
          <w:rFonts w:cs="Times New Roman"/>
        </w:rPr>
        <w:t xml:space="preserve"> e o portal de periódicos da CAPES foram selecionados por oferecerem um vasto compilado de revistas científicas, sendo o último, também um órgão de avaliação da qualidade dos periódicos nacionais. A escolha do Google Acadêmico se deu por ser uma ampla base que engloba estudos do mundo todo. O PePSIC representa um portal específico para a área de psicologia e ciências correlatas. Por fim, as bases LILACS e Redalyc trazem uma coletânea de publicações em ciências da saúde (o que inclui a psicologia) na América Latina e Caribe.</w:t>
      </w:r>
    </w:p>
    <w:p w14:paraId="63085DB2" w14:textId="77777777" w:rsidR="0034770D" w:rsidRPr="0035130C" w:rsidRDefault="0034770D" w:rsidP="00F031C3">
      <w:pPr>
        <w:spacing w:after="0" w:line="360" w:lineRule="auto"/>
        <w:ind w:firstLine="709"/>
        <w:jc w:val="both"/>
        <w:rPr>
          <w:rFonts w:cs="Times New Roman"/>
        </w:rPr>
      </w:pPr>
      <w:r>
        <w:rPr>
          <w:rFonts w:cs="Times New Roman"/>
        </w:rPr>
        <w:t>Foram utilizados descritores em três idiomas, o português (aposentadoria e trabalho), o espanhol (</w:t>
      </w:r>
      <w:r>
        <w:rPr>
          <w:rFonts w:cs="Times New Roman"/>
          <w:i/>
          <w:iCs/>
        </w:rPr>
        <w:t>jubilación y el trabajo</w:t>
      </w:r>
      <w:r>
        <w:rPr>
          <w:rFonts w:cs="Times New Roman"/>
        </w:rPr>
        <w:t>), além do inglês (</w:t>
      </w:r>
      <w:r>
        <w:rPr>
          <w:rFonts w:cs="Times New Roman"/>
          <w:i/>
          <w:iCs/>
        </w:rPr>
        <w:t>work and retirement</w:t>
      </w:r>
      <w:r>
        <w:rPr>
          <w:rFonts w:cs="Times New Roman"/>
        </w:rPr>
        <w:t>). Os idiomas foram selecionados com o objetivo de alcançar o máximo de publicações brasileiras e latino-americanas possíveis, tendo em vista que o português é o idioma nativo do Brasil, o espanhol é o idioma predominante da América Latina e o inglês é o idioma utilizado por diversas revistas científicas e é uma ponte de comunicação entre pesquisadores do mundo todo. Os descritores foram selecionados em consonância com a pesquisa de revisão sistemática de literatura anterior (Boehs et al., 2017). O operador boleano utilizado foi o “AND”.</w:t>
      </w:r>
    </w:p>
    <w:p w14:paraId="52FF5186" w14:textId="77777777" w:rsidR="0034770D" w:rsidRPr="00737C03" w:rsidRDefault="0034770D" w:rsidP="00F031C3">
      <w:pPr>
        <w:spacing w:line="360" w:lineRule="auto"/>
        <w:ind w:firstLine="708"/>
        <w:jc w:val="both"/>
        <w:rPr>
          <w:rFonts w:cs="Times New Roman"/>
        </w:rPr>
      </w:pPr>
      <w:r>
        <w:rPr>
          <w:rFonts w:cs="Times New Roman"/>
        </w:rPr>
        <w:t>F</w:t>
      </w:r>
      <w:r w:rsidRPr="00737C03">
        <w:rPr>
          <w:rFonts w:cs="Times New Roman"/>
        </w:rPr>
        <w:t xml:space="preserve">oram </w:t>
      </w:r>
      <w:r>
        <w:rPr>
          <w:rFonts w:cs="Times New Roman"/>
        </w:rPr>
        <w:t xml:space="preserve">incluídos </w:t>
      </w:r>
      <w:r w:rsidRPr="00737C03">
        <w:rPr>
          <w:rFonts w:cs="Times New Roman"/>
        </w:rPr>
        <w:t xml:space="preserve">artigos científicos empíricos com trabalhadores </w:t>
      </w:r>
      <w:r>
        <w:rPr>
          <w:rFonts w:cs="Times New Roman"/>
        </w:rPr>
        <w:t xml:space="preserve">(as) </w:t>
      </w:r>
      <w:r w:rsidRPr="00737C03">
        <w:rPr>
          <w:rFonts w:cs="Times New Roman"/>
        </w:rPr>
        <w:t>ativos</w:t>
      </w:r>
      <w:r>
        <w:rPr>
          <w:rFonts w:cs="Times New Roman"/>
        </w:rPr>
        <w:t xml:space="preserve"> (as)</w:t>
      </w:r>
      <w:r w:rsidRPr="00737C03">
        <w:rPr>
          <w:rFonts w:cs="Times New Roman"/>
        </w:rPr>
        <w:t xml:space="preserve"> ou já aposentados</w:t>
      </w:r>
      <w:r>
        <w:rPr>
          <w:rFonts w:cs="Times New Roman"/>
        </w:rPr>
        <w:t xml:space="preserve"> (as)</w:t>
      </w:r>
      <w:r w:rsidRPr="00737C03">
        <w:rPr>
          <w:rFonts w:cs="Times New Roman"/>
        </w:rPr>
        <w:t xml:space="preserve"> de natureza qualitativa, quantitativa e/ou mista, que tenham sido publicados entre 2017 e 2021, sendo desconsiderados, portanto, as revisões de literatura e os ensaios teóricos. Embora o estudo inicial de Boehs et al. (2017) tenha considerado </w:t>
      </w:r>
      <w:r>
        <w:rPr>
          <w:rFonts w:cs="Times New Roman"/>
        </w:rPr>
        <w:t>ensaios</w:t>
      </w:r>
      <w:r w:rsidRPr="00737C03">
        <w:rPr>
          <w:rFonts w:cs="Times New Roman"/>
        </w:rPr>
        <w:t xml:space="preserve"> teóricos, para a presente pesquisa somente foram considerados os artigos provenientes de estudos empíricos. Essa decisão se deu em virtude da busca pela compreensão de como tem se dado as intervenções e pesquisas com pessoas em transição para a aposentadoria ou já aposentadas.</w:t>
      </w:r>
      <w:r>
        <w:rPr>
          <w:rFonts w:cs="Times New Roman"/>
        </w:rPr>
        <w:t xml:space="preserve"> Os </w:t>
      </w:r>
      <w:r>
        <w:rPr>
          <w:rFonts w:cs="Times New Roman"/>
        </w:rPr>
        <w:lastRenderedPageBreak/>
        <w:t>critérios de inclusão foram, portanto, artigos científicos com autores da América Latina, empíricos e que observassem a aposentadoria sob a ótica da Psicologia (psicologia do desenvolvimento, psicologia organizacional e do trabalho, psicologia vocacional/clínica).</w:t>
      </w:r>
    </w:p>
    <w:p w14:paraId="27E7760C" w14:textId="77777777" w:rsidR="0034770D" w:rsidRDefault="0034770D" w:rsidP="00F031C3">
      <w:pPr>
        <w:spacing w:after="0" w:line="360" w:lineRule="auto"/>
        <w:ind w:firstLine="709"/>
        <w:jc w:val="both"/>
        <w:rPr>
          <w:rFonts w:cs="Times New Roman"/>
        </w:rPr>
      </w:pPr>
      <w:r>
        <w:rPr>
          <w:rFonts w:cs="Times New Roman"/>
        </w:rPr>
        <w:t xml:space="preserve">Não foram incluídos os artigos que não disponibilizavam os resumos completos, estudos duplicados, quaisquer publicações que não fossem artigos científicos empíricos de natureza quantitativa, qualitativa ou mista e todos aqueles que não tinham a aposentadoria como tema, estando, portanto, alheios aos objetivos desta revisão de literatura. Para selecionar os artigos, foram lidos os títulos e extraídos aqueles artigos que tratavam da aposentadoria e tinham sido publicados dentro do recorte temporal estabelecido. Após a extração destes resultados, os artigos foram organizados e foram lidos os resumos de cada um deles, sendo extraídos somente aqueles que se encaixassem nos critérios de inclusão supracitados. Para uma maior confiabilidade nos resultados, </w:t>
      </w:r>
      <w:r w:rsidRPr="00A76E3F">
        <w:rPr>
          <w:rFonts w:cs="Times New Roman"/>
        </w:rPr>
        <w:t>o procedimento de triagem e seleção foi realizado por dois juízes independentes e, em caso de discordância sobre a inclusão ou exclusão, um terceiro juiz emitia seu parecer.</w:t>
      </w:r>
    </w:p>
    <w:p w14:paraId="75A86134" w14:textId="77777777" w:rsidR="0034770D" w:rsidRPr="00462802" w:rsidRDefault="0034770D" w:rsidP="00F031C3">
      <w:pPr>
        <w:pStyle w:val="Ttulo2"/>
        <w:spacing w:line="360" w:lineRule="auto"/>
        <w:ind w:firstLine="708"/>
        <w:rPr>
          <w:b/>
          <w:i/>
          <w:iCs/>
        </w:rPr>
      </w:pPr>
      <w:bookmarkStart w:id="6" w:name="_Toc89120582"/>
      <w:bookmarkStart w:id="7" w:name="_Toc129102213"/>
      <w:r w:rsidRPr="00462802">
        <w:rPr>
          <w:i/>
          <w:iCs/>
        </w:rPr>
        <w:t>Análise dos dados</w:t>
      </w:r>
      <w:bookmarkEnd w:id="6"/>
      <w:bookmarkEnd w:id="7"/>
    </w:p>
    <w:p w14:paraId="57A60698" w14:textId="77777777" w:rsidR="0034770D" w:rsidRDefault="0034770D" w:rsidP="00F031C3">
      <w:pPr>
        <w:spacing w:line="360" w:lineRule="auto"/>
        <w:ind w:firstLine="708"/>
        <w:jc w:val="both"/>
        <w:rPr>
          <w:rFonts w:cs="Times New Roman"/>
        </w:rPr>
      </w:pPr>
      <w:r>
        <w:rPr>
          <w:rFonts w:cs="Times New Roman"/>
        </w:rPr>
        <w:t>Assim como no estudo de Boehs et al. (2017), foi utilizada a taxonomia de Shultz e Wang (2011) – Psicologia do Desenvolvimento, Psicologia Organizacional e do Trabalho, Psicologia Vocacional e Psicologia Clínica – com a condensação das duas últimas pela similaridade dos temas abordados em ambas as áreas. Desse modo, os três subcampos mantidos para a análise nesse estudo foram: Psicologia do Desenvolvimento, Psicologia Organizacional e do Trabalho e Psicologia Vocacional e Clínica.</w:t>
      </w:r>
    </w:p>
    <w:p w14:paraId="1757D50E" w14:textId="77777777" w:rsidR="0034770D" w:rsidRDefault="0034770D" w:rsidP="00F031C3">
      <w:pPr>
        <w:spacing w:line="360" w:lineRule="auto"/>
        <w:ind w:firstLine="708"/>
        <w:jc w:val="both"/>
        <w:rPr>
          <w:rFonts w:cs="Times New Roman"/>
        </w:rPr>
      </w:pPr>
      <w:r>
        <w:rPr>
          <w:rFonts w:cs="Times New Roman"/>
        </w:rPr>
        <w:t>Os estudos que obedeciam a todos os critérios de inclusão foram analisados quanto aos seguintes aspectos: dados da publicação (idioma, revista de publicação, país de realização da pesquisa, ano de publicação); tipo de artigo (relato de pesquisa e estudo de caso e também quanto ao método de análise de dados, dividido em qualitativo, quantitativo ou misto); instrumentos utilizados (no caso de estudos empíricos); classificação quanto à taxonomia de Shultz e Wang (2011) (psicologia do desenvolvimento, psicologia organizacional e do trabalho, psicologia vocacional/clínica); modelo de intervenção, se for o caso; e natureza da amostra (trabalhadores e trabalhadoras ativos (as) ou aposentados (as)). A classificação foi feita a partir da leitura dos estudos observando a perspectiva teórica que os autores utilizaram para definir a aposentadoria e como estas se aproximavam de cada campo definido pela taxonomia.</w:t>
      </w:r>
    </w:p>
    <w:p w14:paraId="1F9539C7" w14:textId="77777777" w:rsidR="0034770D" w:rsidRDefault="0034770D" w:rsidP="00F031C3">
      <w:pPr>
        <w:spacing w:after="0" w:line="360" w:lineRule="auto"/>
        <w:jc w:val="center"/>
        <w:rPr>
          <w:rFonts w:cs="Times New Roman"/>
          <w:b/>
          <w:bCs/>
        </w:rPr>
      </w:pPr>
    </w:p>
    <w:p w14:paraId="3AD649E8" w14:textId="77777777" w:rsidR="0034770D" w:rsidRDefault="0034770D" w:rsidP="00F031C3">
      <w:pPr>
        <w:pStyle w:val="Ttulo1"/>
        <w:spacing w:line="360" w:lineRule="auto"/>
      </w:pPr>
      <w:bookmarkStart w:id="8" w:name="_Toc129102214"/>
      <w:r w:rsidRPr="00325C63">
        <w:lastRenderedPageBreak/>
        <w:t>Resultados</w:t>
      </w:r>
      <w:bookmarkEnd w:id="8"/>
    </w:p>
    <w:p w14:paraId="49DE0F1D" w14:textId="77777777" w:rsidR="0034770D" w:rsidRDefault="0034770D" w:rsidP="00F031C3">
      <w:pPr>
        <w:spacing w:after="0" w:line="360" w:lineRule="auto"/>
        <w:jc w:val="both"/>
        <w:rPr>
          <w:rFonts w:cs="Times New Roman"/>
        </w:rPr>
      </w:pPr>
      <w:r>
        <w:rPr>
          <w:rFonts w:cs="Times New Roman"/>
        </w:rPr>
        <w:tab/>
      </w:r>
      <w:r w:rsidRPr="00FB59A2">
        <w:rPr>
          <w:rFonts w:cs="Times New Roman"/>
        </w:rPr>
        <w:t xml:space="preserve">Após a pesquisa nas bases de dados </w:t>
      </w:r>
      <w:r>
        <w:rPr>
          <w:rFonts w:cs="Times New Roman"/>
        </w:rPr>
        <w:t xml:space="preserve">com os descritores e operadores booleanos indicados </w:t>
      </w:r>
      <w:r w:rsidRPr="00FB59A2">
        <w:rPr>
          <w:rFonts w:cs="Times New Roman"/>
        </w:rPr>
        <w:t xml:space="preserve">e a extração dos artigos por meio </w:t>
      </w:r>
      <w:r>
        <w:rPr>
          <w:rFonts w:cs="Times New Roman"/>
        </w:rPr>
        <w:t>da leitura dos títulos</w:t>
      </w:r>
      <w:r w:rsidRPr="00FB59A2">
        <w:rPr>
          <w:rFonts w:cs="Times New Roman"/>
        </w:rPr>
        <w:t xml:space="preserve">, </w:t>
      </w:r>
      <w:r>
        <w:rPr>
          <w:rFonts w:cs="Times New Roman"/>
        </w:rPr>
        <w:t>o fluxo d</w:t>
      </w:r>
      <w:r w:rsidRPr="00FB59A2">
        <w:rPr>
          <w:rFonts w:cs="Times New Roman"/>
        </w:rPr>
        <w:t xml:space="preserve">os </w:t>
      </w:r>
      <w:r>
        <w:rPr>
          <w:rFonts w:cs="Times New Roman"/>
        </w:rPr>
        <w:t>resultados encontrados apresentam-se na Figura 1.</w:t>
      </w:r>
    </w:p>
    <w:p w14:paraId="66F6B076" w14:textId="77777777" w:rsidR="0034770D" w:rsidRDefault="0034770D" w:rsidP="0034770D">
      <w:pPr>
        <w:spacing w:after="0" w:line="480" w:lineRule="auto"/>
        <w:rPr>
          <w:rFonts w:cs="Times New Roman"/>
          <w:i/>
          <w:iCs/>
        </w:rPr>
      </w:pPr>
      <w:r w:rsidRPr="00095FAE">
        <w:rPr>
          <w:rFonts w:cs="Times New Roman"/>
          <w:b/>
          <w:bCs/>
        </w:rPr>
        <w:t xml:space="preserve">Figura </w:t>
      </w:r>
      <w:r>
        <w:rPr>
          <w:rFonts w:cs="Times New Roman"/>
          <w:b/>
          <w:bCs/>
        </w:rPr>
        <w:t>1</w:t>
      </w:r>
      <w:r>
        <w:rPr>
          <w:rFonts w:cs="Times New Roman"/>
        </w:rPr>
        <w:br/>
      </w:r>
      <w:r>
        <w:rPr>
          <w:rFonts w:cs="Times New Roman"/>
          <w:i/>
          <w:iCs/>
        </w:rPr>
        <w:t>Diagrama de fluxo da seleção dos estudos para a revisão de literatura</w:t>
      </w:r>
    </w:p>
    <w:p w14:paraId="20DC9269" w14:textId="77777777" w:rsidR="0034770D" w:rsidRPr="003D3E2E" w:rsidRDefault="0034770D" w:rsidP="0034770D">
      <w:pPr>
        <w:spacing w:line="480" w:lineRule="auto"/>
        <w:ind w:left="-709"/>
        <w:rPr>
          <w:rFonts w:cs="Times New Roman"/>
        </w:rPr>
      </w:pPr>
      <w:r w:rsidRPr="001F2316">
        <w:rPr>
          <w:rFonts w:cs="Times New Roman"/>
          <w:noProof/>
        </w:rPr>
        <w:drawing>
          <wp:inline distT="0" distB="0" distL="0" distR="0" wp14:anchorId="62235498" wp14:editId="007148BA">
            <wp:extent cx="6343650" cy="4244286"/>
            <wp:effectExtent l="0" t="0" r="0" b="4445"/>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a:blip r:embed="rId5"/>
                    <a:stretch>
                      <a:fillRect/>
                    </a:stretch>
                  </pic:blipFill>
                  <pic:spPr>
                    <a:xfrm>
                      <a:off x="0" y="0"/>
                      <a:ext cx="6362099" cy="4256630"/>
                    </a:xfrm>
                    <a:prstGeom prst="rect">
                      <a:avLst/>
                    </a:prstGeom>
                  </pic:spPr>
                </pic:pic>
              </a:graphicData>
            </a:graphic>
          </wp:inline>
        </w:drawing>
      </w:r>
    </w:p>
    <w:p w14:paraId="48E97D11" w14:textId="77777777" w:rsidR="0034770D" w:rsidRPr="00FB59A2" w:rsidRDefault="0034770D" w:rsidP="00F031C3">
      <w:pPr>
        <w:spacing w:line="360" w:lineRule="auto"/>
        <w:ind w:firstLine="708"/>
        <w:jc w:val="both"/>
        <w:rPr>
          <w:rFonts w:cs="Times New Roman"/>
        </w:rPr>
      </w:pPr>
      <w:r>
        <w:rPr>
          <w:rFonts w:cs="Times New Roman"/>
        </w:rPr>
        <w:t>Q</w:t>
      </w:r>
      <w:r w:rsidRPr="00FB59A2">
        <w:rPr>
          <w:rFonts w:cs="Times New Roman"/>
        </w:rPr>
        <w:t>uando um artigo apareceu em mais de uma base de dados, ele foi considerado somente uma vez, assim como foi feito com estudos repetidos, mas em idiomas diferentes</w:t>
      </w:r>
      <w:r>
        <w:rPr>
          <w:rFonts w:cs="Times New Roman"/>
        </w:rPr>
        <w:t>, restando 75 estudos</w:t>
      </w:r>
      <w:r w:rsidRPr="00FB59A2">
        <w:rPr>
          <w:rFonts w:cs="Times New Roman"/>
        </w:rPr>
        <w:t xml:space="preserve">. </w:t>
      </w:r>
      <w:r>
        <w:rPr>
          <w:rFonts w:cs="Times New Roman"/>
        </w:rPr>
        <w:t>Desse montante,</w:t>
      </w:r>
      <w:r w:rsidRPr="00FB59A2">
        <w:rPr>
          <w:rFonts w:cs="Times New Roman"/>
        </w:rPr>
        <w:t xml:space="preserve"> </w:t>
      </w:r>
      <w:r>
        <w:rPr>
          <w:rFonts w:cs="Times New Roman"/>
        </w:rPr>
        <w:t xml:space="preserve">conforme se observa na Figura 1, </w:t>
      </w:r>
      <w:r w:rsidRPr="00FB59A2">
        <w:rPr>
          <w:rFonts w:cs="Times New Roman"/>
        </w:rPr>
        <w:t>foram lidos os resumos e foi realizada uma análise quanto aos três critérios de inclusão</w:t>
      </w:r>
      <w:r>
        <w:rPr>
          <w:rFonts w:cs="Times New Roman"/>
        </w:rPr>
        <w:t xml:space="preserve"> estabelecidos previamente</w:t>
      </w:r>
      <w:r w:rsidRPr="00FB59A2">
        <w:rPr>
          <w:rFonts w:cs="Times New Roman"/>
        </w:rPr>
        <w:t>. Após a leitura dos resumos, foram excluídos aqueles artigos que não atendiam aos critérios de inclusão, restando 4</w:t>
      </w:r>
      <w:r>
        <w:rPr>
          <w:rFonts w:cs="Times New Roman"/>
        </w:rPr>
        <w:t>4</w:t>
      </w:r>
      <w:r w:rsidRPr="00FB59A2">
        <w:rPr>
          <w:rFonts w:cs="Times New Roman"/>
        </w:rPr>
        <w:t xml:space="preserve"> artigos</w:t>
      </w:r>
      <w:r>
        <w:rPr>
          <w:rFonts w:cs="Times New Roman"/>
        </w:rPr>
        <w:t>.</w:t>
      </w:r>
    </w:p>
    <w:p w14:paraId="406FD47C" w14:textId="77777777" w:rsidR="0034770D" w:rsidRDefault="0034770D" w:rsidP="00F031C3">
      <w:pPr>
        <w:spacing w:line="360" w:lineRule="auto"/>
        <w:jc w:val="both"/>
        <w:rPr>
          <w:rFonts w:cs="Times New Roman"/>
        </w:rPr>
      </w:pPr>
      <w:r>
        <w:rPr>
          <w:rFonts w:cs="Times New Roman"/>
        </w:rPr>
        <w:tab/>
        <w:t xml:space="preserve">A distribuição das produções por ano e por país de origem se deu de forma mais concentrada nos anos de 2017, 2019 e 2021. Na tabela 1 é possível observar o volume de </w:t>
      </w:r>
      <w:r>
        <w:rPr>
          <w:rFonts w:cs="Times New Roman"/>
        </w:rPr>
        <w:lastRenderedPageBreak/>
        <w:t>publicações conforme cada ano e também o país de origem de cada autor. Vale ressaltar que cada autor foi considerado apenas uma vez.</w:t>
      </w:r>
    </w:p>
    <w:p w14:paraId="1D3774B0" w14:textId="77777777" w:rsidR="0034770D" w:rsidRPr="00FB59C8" w:rsidRDefault="0034770D" w:rsidP="0034770D">
      <w:pPr>
        <w:spacing w:line="480" w:lineRule="auto"/>
        <w:rPr>
          <w:rFonts w:cs="Times New Roman"/>
        </w:rPr>
      </w:pPr>
      <w:r w:rsidRPr="00BF0413">
        <w:rPr>
          <w:rFonts w:cs="Times New Roman"/>
          <w:b/>
          <w:bCs/>
        </w:rPr>
        <w:t>Tabela 1</w:t>
      </w:r>
      <w:r>
        <w:rPr>
          <w:rFonts w:cs="Times New Roman"/>
        </w:rPr>
        <w:br/>
      </w:r>
      <w:r>
        <w:rPr>
          <w:rFonts w:cs="Times New Roman"/>
          <w:i/>
          <w:iCs/>
        </w:rPr>
        <w:t>Distribuição dos estudos por ano e por país de origem</w:t>
      </w:r>
    </w:p>
    <w:tbl>
      <w:tblPr>
        <w:tblStyle w:val="Tabelacomgrade"/>
        <w:tblW w:w="9351" w:type="dxa"/>
        <w:tblInd w:w="5" w:type="dxa"/>
        <w:tblLook w:val="06E0" w:firstRow="1" w:lastRow="1" w:firstColumn="1" w:lastColumn="0" w:noHBand="1" w:noVBand="1"/>
      </w:tblPr>
      <w:tblGrid>
        <w:gridCol w:w="1208"/>
        <w:gridCol w:w="1481"/>
        <w:gridCol w:w="1994"/>
        <w:gridCol w:w="1125"/>
        <w:gridCol w:w="290"/>
        <w:gridCol w:w="2797"/>
        <w:gridCol w:w="456"/>
      </w:tblGrid>
      <w:tr w:rsidR="0034770D" w14:paraId="0426C523" w14:textId="77777777" w:rsidTr="00727DE5">
        <w:trPr>
          <w:trHeight w:val="325"/>
        </w:trPr>
        <w:tc>
          <w:tcPr>
            <w:tcW w:w="1208" w:type="dxa"/>
            <w:tcBorders>
              <w:left w:val="nil"/>
              <w:right w:val="single" w:sz="4" w:space="0" w:color="FFFFFF" w:themeColor="background1"/>
            </w:tcBorders>
          </w:tcPr>
          <w:p w14:paraId="73843D08" w14:textId="77777777" w:rsidR="0034770D" w:rsidRPr="004C0229" w:rsidRDefault="0034770D" w:rsidP="00727DE5">
            <w:pPr>
              <w:jc w:val="center"/>
              <w:rPr>
                <w:rFonts w:ascii="Times New Roman" w:hAnsi="Times New Roman" w:cs="Times New Roman"/>
                <w:sz w:val="24"/>
              </w:rPr>
            </w:pPr>
            <w:r>
              <w:rPr>
                <w:rFonts w:ascii="Times New Roman" w:hAnsi="Times New Roman" w:cs="Times New Roman"/>
                <w:sz w:val="24"/>
              </w:rPr>
              <w:t>Ano</w:t>
            </w:r>
          </w:p>
        </w:tc>
        <w:tc>
          <w:tcPr>
            <w:tcW w:w="1481" w:type="dxa"/>
            <w:tcBorders>
              <w:left w:val="single" w:sz="4" w:space="0" w:color="FFFFFF" w:themeColor="background1"/>
              <w:right w:val="single" w:sz="4" w:space="0" w:color="auto"/>
            </w:tcBorders>
          </w:tcPr>
          <w:p w14:paraId="3326457B" w14:textId="77777777" w:rsidR="0034770D" w:rsidRPr="001738E9" w:rsidRDefault="0034770D" w:rsidP="00727DE5">
            <w:pPr>
              <w:jc w:val="center"/>
              <w:rPr>
                <w:rFonts w:ascii="Times New Roman" w:hAnsi="Times New Roman" w:cs="Times New Roman"/>
                <w:sz w:val="24"/>
              </w:rPr>
            </w:pPr>
            <w:r>
              <w:rPr>
                <w:rFonts w:ascii="Times New Roman" w:hAnsi="Times New Roman" w:cs="Times New Roman"/>
                <w:sz w:val="24"/>
              </w:rPr>
              <w:t>%</w:t>
            </w:r>
          </w:p>
        </w:tc>
        <w:tc>
          <w:tcPr>
            <w:tcW w:w="1994" w:type="dxa"/>
            <w:tcBorders>
              <w:left w:val="single" w:sz="4" w:space="0" w:color="auto"/>
              <w:right w:val="single" w:sz="4" w:space="0" w:color="FFFFFF" w:themeColor="background1"/>
            </w:tcBorders>
          </w:tcPr>
          <w:p w14:paraId="5E4456F9" w14:textId="77777777" w:rsidR="0034770D" w:rsidRPr="004C0229" w:rsidRDefault="0034770D" w:rsidP="00727DE5">
            <w:pPr>
              <w:jc w:val="center"/>
              <w:rPr>
                <w:rFonts w:ascii="Times New Roman" w:hAnsi="Times New Roman" w:cs="Times New Roman"/>
                <w:sz w:val="24"/>
              </w:rPr>
            </w:pPr>
            <w:r>
              <w:rPr>
                <w:rFonts w:ascii="Times New Roman" w:hAnsi="Times New Roman" w:cs="Times New Roman"/>
                <w:sz w:val="24"/>
              </w:rPr>
              <w:t>País do periódico</w:t>
            </w:r>
          </w:p>
        </w:tc>
        <w:tc>
          <w:tcPr>
            <w:tcW w:w="1125" w:type="dxa"/>
            <w:tcBorders>
              <w:left w:val="single" w:sz="4" w:space="0" w:color="FFFFFF" w:themeColor="background1"/>
              <w:right w:val="single" w:sz="4" w:space="0" w:color="auto"/>
            </w:tcBorders>
          </w:tcPr>
          <w:p w14:paraId="7EC97FBF" w14:textId="77777777" w:rsidR="0034770D" w:rsidRPr="001738E9" w:rsidRDefault="0034770D" w:rsidP="00727DE5">
            <w:pPr>
              <w:jc w:val="center"/>
              <w:rPr>
                <w:rFonts w:ascii="Times New Roman" w:hAnsi="Times New Roman" w:cs="Times New Roman"/>
                <w:sz w:val="24"/>
              </w:rPr>
            </w:pPr>
            <w:r w:rsidRPr="001738E9">
              <w:rPr>
                <w:rFonts w:ascii="Times New Roman" w:hAnsi="Times New Roman" w:cs="Times New Roman"/>
                <w:sz w:val="24"/>
              </w:rPr>
              <w:t>N</w:t>
            </w:r>
          </w:p>
        </w:tc>
        <w:tc>
          <w:tcPr>
            <w:tcW w:w="290" w:type="dxa"/>
            <w:tcBorders>
              <w:left w:val="single" w:sz="4" w:space="0" w:color="auto"/>
              <w:right w:val="single" w:sz="4" w:space="0" w:color="FFFFFF" w:themeColor="background1"/>
            </w:tcBorders>
          </w:tcPr>
          <w:p w14:paraId="1336B4CE" w14:textId="77777777" w:rsidR="0034770D" w:rsidRPr="001738E9" w:rsidRDefault="0034770D" w:rsidP="00727DE5">
            <w:pPr>
              <w:jc w:val="center"/>
              <w:rPr>
                <w:rFonts w:cs="Times New Roman"/>
              </w:rPr>
            </w:pPr>
          </w:p>
        </w:tc>
        <w:tc>
          <w:tcPr>
            <w:tcW w:w="2797" w:type="dxa"/>
            <w:tcBorders>
              <w:left w:val="single" w:sz="4" w:space="0" w:color="FFFFFF" w:themeColor="background1"/>
              <w:right w:val="single" w:sz="4" w:space="0" w:color="FFFFFF" w:themeColor="background1"/>
            </w:tcBorders>
          </w:tcPr>
          <w:p w14:paraId="34C30466" w14:textId="77777777" w:rsidR="0034770D" w:rsidRPr="004C0229" w:rsidRDefault="0034770D" w:rsidP="00727DE5">
            <w:pPr>
              <w:jc w:val="center"/>
              <w:rPr>
                <w:rFonts w:ascii="Times New Roman" w:hAnsi="Times New Roman" w:cs="Times New Roman"/>
                <w:sz w:val="24"/>
              </w:rPr>
            </w:pPr>
            <w:r>
              <w:rPr>
                <w:rFonts w:ascii="Times New Roman" w:hAnsi="Times New Roman" w:cs="Times New Roman"/>
                <w:sz w:val="24"/>
              </w:rPr>
              <w:t>País dos autores do estudo</w:t>
            </w:r>
          </w:p>
        </w:tc>
        <w:tc>
          <w:tcPr>
            <w:tcW w:w="456" w:type="dxa"/>
            <w:tcBorders>
              <w:left w:val="single" w:sz="4" w:space="0" w:color="FFFFFF" w:themeColor="background1"/>
              <w:right w:val="nil"/>
            </w:tcBorders>
          </w:tcPr>
          <w:p w14:paraId="388C946C" w14:textId="77777777" w:rsidR="0034770D" w:rsidRPr="001738E9" w:rsidRDefault="0034770D" w:rsidP="00727DE5">
            <w:pPr>
              <w:jc w:val="center"/>
              <w:rPr>
                <w:rFonts w:ascii="Times New Roman" w:hAnsi="Times New Roman" w:cs="Times New Roman"/>
                <w:sz w:val="24"/>
              </w:rPr>
            </w:pPr>
            <w:r w:rsidRPr="001738E9">
              <w:rPr>
                <w:rFonts w:ascii="Times New Roman" w:hAnsi="Times New Roman" w:cs="Times New Roman"/>
                <w:sz w:val="24"/>
              </w:rPr>
              <w:t>N</w:t>
            </w:r>
          </w:p>
        </w:tc>
      </w:tr>
      <w:tr w:rsidR="0034770D" w14:paraId="7A6E3B17" w14:textId="77777777" w:rsidTr="00727DE5">
        <w:trPr>
          <w:trHeight w:val="4104"/>
        </w:trPr>
        <w:tc>
          <w:tcPr>
            <w:tcW w:w="1208" w:type="dxa"/>
            <w:tcBorders>
              <w:left w:val="nil"/>
              <w:bottom w:val="single" w:sz="4" w:space="0" w:color="auto"/>
              <w:right w:val="single" w:sz="4" w:space="0" w:color="FFFFFF" w:themeColor="background1"/>
            </w:tcBorders>
          </w:tcPr>
          <w:p w14:paraId="5E657148"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2016</w:t>
            </w:r>
          </w:p>
          <w:p w14:paraId="74B7BF61"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2017</w:t>
            </w:r>
          </w:p>
          <w:p w14:paraId="4835DF7A"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2018</w:t>
            </w:r>
          </w:p>
          <w:p w14:paraId="55CB333F"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2019</w:t>
            </w:r>
          </w:p>
          <w:p w14:paraId="6F79CF40"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2020</w:t>
            </w:r>
          </w:p>
          <w:p w14:paraId="2F10C283"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2021</w:t>
            </w:r>
          </w:p>
          <w:p w14:paraId="3102E399"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2022</w:t>
            </w:r>
          </w:p>
          <w:p w14:paraId="56E22D69" w14:textId="77777777" w:rsidR="0034770D" w:rsidRDefault="0034770D" w:rsidP="00727DE5">
            <w:pPr>
              <w:rPr>
                <w:rFonts w:ascii="Times New Roman" w:hAnsi="Times New Roman" w:cs="Times New Roman"/>
                <w:sz w:val="24"/>
              </w:rPr>
            </w:pPr>
          </w:p>
          <w:p w14:paraId="3DF50443" w14:textId="77777777" w:rsidR="0034770D" w:rsidRPr="004C0229" w:rsidRDefault="0034770D" w:rsidP="00727DE5">
            <w:pPr>
              <w:jc w:val="center"/>
              <w:rPr>
                <w:rFonts w:ascii="Times New Roman" w:hAnsi="Times New Roman" w:cs="Times New Roman"/>
                <w:sz w:val="24"/>
              </w:rPr>
            </w:pPr>
            <w:r>
              <w:rPr>
                <w:rFonts w:ascii="Times New Roman" w:hAnsi="Times New Roman" w:cs="Times New Roman"/>
                <w:sz w:val="24"/>
              </w:rPr>
              <w:t>Total</w:t>
            </w:r>
          </w:p>
        </w:tc>
        <w:tc>
          <w:tcPr>
            <w:tcW w:w="1481" w:type="dxa"/>
            <w:tcBorders>
              <w:left w:val="single" w:sz="4" w:space="0" w:color="FFFFFF" w:themeColor="background1"/>
              <w:bottom w:val="single" w:sz="4" w:space="0" w:color="auto"/>
              <w:right w:val="single" w:sz="4" w:space="0" w:color="auto"/>
            </w:tcBorders>
          </w:tcPr>
          <w:p w14:paraId="7BB1667D"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6,81*</w:t>
            </w:r>
          </w:p>
          <w:p w14:paraId="5FB5B5AE"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29,54*</w:t>
            </w:r>
          </w:p>
          <w:p w14:paraId="5907C02E"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11,36*</w:t>
            </w:r>
          </w:p>
          <w:p w14:paraId="19649B1A"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18,18*</w:t>
            </w:r>
          </w:p>
          <w:p w14:paraId="439EE79F"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11,36*</w:t>
            </w:r>
          </w:p>
          <w:p w14:paraId="42289AEC"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20,45*</w:t>
            </w:r>
          </w:p>
          <w:p w14:paraId="2ACC399C"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rPr>
              <w:t>2,27*</w:t>
            </w:r>
          </w:p>
          <w:p w14:paraId="77CAE265" w14:textId="77777777" w:rsidR="0034770D" w:rsidRDefault="0034770D" w:rsidP="00727DE5">
            <w:pPr>
              <w:jc w:val="center"/>
              <w:rPr>
                <w:rFonts w:ascii="Times New Roman" w:hAnsi="Times New Roman" w:cs="Times New Roman"/>
                <w:sz w:val="24"/>
              </w:rPr>
            </w:pPr>
          </w:p>
          <w:p w14:paraId="3D5C3CE5" w14:textId="77777777" w:rsidR="0034770D" w:rsidRPr="004C0229" w:rsidRDefault="0034770D" w:rsidP="00727DE5">
            <w:pPr>
              <w:jc w:val="center"/>
              <w:rPr>
                <w:rFonts w:ascii="Times New Roman" w:hAnsi="Times New Roman" w:cs="Times New Roman"/>
                <w:sz w:val="24"/>
              </w:rPr>
            </w:pPr>
            <w:r w:rsidRPr="001F7038">
              <w:rPr>
                <w:rFonts w:ascii="Times New Roman" w:hAnsi="Times New Roman" w:cs="Times New Roman"/>
                <w:sz w:val="24"/>
              </w:rPr>
              <w:t>4</w:t>
            </w:r>
            <w:r>
              <w:rPr>
                <w:rFonts w:ascii="Times New Roman" w:hAnsi="Times New Roman" w:cs="Times New Roman"/>
                <w:sz w:val="24"/>
              </w:rPr>
              <w:t>4</w:t>
            </w:r>
          </w:p>
        </w:tc>
        <w:tc>
          <w:tcPr>
            <w:tcW w:w="1994" w:type="dxa"/>
            <w:tcBorders>
              <w:left w:val="single" w:sz="4" w:space="0" w:color="auto"/>
              <w:bottom w:val="single" w:sz="4" w:space="0" w:color="auto"/>
              <w:right w:val="single" w:sz="4" w:space="0" w:color="FFFFFF" w:themeColor="background1"/>
            </w:tcBorders>
          </w:tcPr>
          <w:p w14:paraId="1698EEF1"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Brasil</w:t>
            </w:r>
          </w:p>
          <w:p w14:paraId="04134D8D"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Colômbia</w:t>
            </w:r>
          </w:p>
          <w:p w14:paraId="7392BDF6" w14:textId="77777777" w:rsidR="0034770D" w:rsidRPr="004C0229"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Chile</w:t>
            </w:r>
          </w:p>
        </w:tc>
        <w:tc>
          <w:tcPr>
            <w:tcW w:w="1125" w:type="dxa"/>
            <w:tcBorders>
              <w:left w:val="single" w:sz="4" w:space="0" w:color="FFFFFF" w:themeColor="background1"/>
              <w:bottom w:val="single" w:sz="4" w:space="0" w:color="auto"/>
              <w:right w:val="single" w:sz="4" w:space="0" w:color="auto"/>
            </w:tcBorders>
          </w:tcPr>
          <w:p w14:paraId="5F8E78DB"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42</w:t>
            </w:r>
          </w:p>
          <w:p w14:paraId="77BF5860"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1</w:t>
            </w:r>
          </w:p>
          <w:p w14:paraId="02AE4D85"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1</w:t>
            </w:r>
          </w:p>
          <w:p w14:paraId="73E0977E" w14:textId="77777777" w:rsidR="0034770D" w:rsidRDefault="0034770D" w:rsidP="00727DE5">
            <w:pPr>
              <w:spacing w:line="480" w:lineRule="auto"/>
              <w:jc w:val="center"/>
              <w:rPr>
                <w:rFonts w:ascii="Times New Roman" w:hAnsi="Times New Roman" w:cs="Times New Roman"/>
                <w:sz w:val="24"/>
              </w:rPr>
            </w:pPr>
          </w:p>
          <w:p w14:paraId="0A20B51D" w14:textId="77777777" w:rsidR="0034770D" w:rsidRDefault="0034770D" w:rsidP="00727DE5">
            <w:pPr>
              <w:spacing w:line="480" w:lineRule="auto"/>
              <w:jc w:val="center"/>
              <w:rPr>
                <w:rFonts w:ascii="Times New Roman" w:hAnsi="Times New Roman" w:cs="Times New Roman"/>
                <w:sz w:val="24"/>
              </w:rPr>
            </w:pPr>
          </w:p>
          <w:p w14:paraId="23D0D927" w14:textId="77777777" w:rsidR="0034770D" w:rsidRDefault="0034770D" w:rsidP="00727DE5">
            <w:pPr>
              <w:spacing w:line="480" w:lineRule="auto"/>
              <w:jc w:val="center"/>
              <w:rPr>
                <w:rFonts w:ascii="Times New Roman" w:hAnsi="Times New Roman" w:cs="Times New Roman"/>
                <w:sz w:val="24"/>
              </w:rPr>
            </w:pPr>
          </w:p>
          <w:p w14:paraId="1E2768D0" w14:textId="77777777" w:rsidR="0034770D" w:rsidRDefault="0034770D" w:rsidP="00727DE5">
            <w:pPr>
              <w:spacing w:line="480" w:lineRule="auto"/>
              <w:rPr>
                <w:rFonts w:ascii="Times New Roman" w:hAnsi="Times New Roman" w:cs="Times New Roman"/>
                <w:sz w:val="24"/>
              </w:rPr>
            </w:pPr>
          </w:p>
          <w:p w14:paraId="68ECBD84" w14:textId="77777777" w:rsidR="0034770D" w:rsidRDefault="0034770D" w:rsidP="00727DE5">
            <w:pPr>
              <w:jc w:val="center"/>
              <w:rPr>
                <w:rFonts w:ascii="Times New Roman" w:hAnsi="Times New Roman" w:cs="Times New Roman"/>
                <w:sz w:val="24"/>
              </w:rPr>
            </w:pPr>
          </w:p>
          <w:p w14:paraId="5D2F5581" w14:textId="77777777" w:rsidR="0034770D" w:rsidRPr="004C0229" w:rsidRDefault="0034770D" w:rsidP="00727DE5">
            <w:pPr>
              <w:jc w:val="center"/>
              <w:rPr>
                <w:rFonts w:ascii="Times New Roman" w:hAnsi="Times New Roman" w:cs="Times New Roman"/>
                <w:sz w:val="24"/>
              </w:rPr>
            </w:pPr>
            <w:r>
              <w:rPr>
                <w:rFonts w:ascii="Times New Roman" w:hAnsi="Times New Roman" w:cs="Times New Roman"/>
                <w:sz w:val="24"/>
              </w:rPr>
              <w:t>44</w:t>
            </w:r>
          </w:p>
        </w:tc>
        <w:tc>
          <w:tcPr>
            <w:tcW w:w="290" w:type="dxa"/>
            <w:tcBorders>
              <w:left w:val="single" w:sz="4" w:space="0" w:color="auto"/>
              <w:bottom w:val="single" w:sz="4" w:space="0" w:color="auto"/>
              <w:right w:val="single" w:sz="4" w:space="0" w:color="FFFFFF" w:themeColor="background1"/>
            </w:tcBorders>
          </w:tcPr>
          <w:p w14:paraId="7BF02CEC" w14:textId="77777777" w:rsidR="0034770D" w:rsidRDefault="0034770D" w:rsidP="00727DE5">
            <w:pPr>
              <w:rPr>
                <w:rFonts w:cs="Times New Roman"/>
              </w:rPr>
            </w:pPr>
          </w:p>
          <w:p w14:paraId="47F84BA0" w14:textId="77777777" w:rsidR="0034770D" w:rsidRPr="004C0229" w:rsidRDefault="0034770D" w:rsidP="00727DE5">
            <w:pPr>
              <w:jc w:val="center"/>
              <w:rPr>
                <w:rFonts w:cs="Times New Roman"/>
              </w:rPr>
            </w:pPr>
          </w:p>
        </w:tc>
        <w:tc>
          <w:tcPr>
            <w:tcW w:w="2797" w:type="dxa"/>
            <w:tcBorders>
              <w:left w:val="single" w:sz="4" w:space="0" w:color="FFFFFF" w:themeColor="background1"/>
              <w:bottom w:val="single" w:sz="4" w:space="0" w:color="auto"/>
              <w:right w:val="single" w:sz="4" w:space="0" w:color="FFFFFF" w:themeColor="background1"/>
            </w:tcBorders>
          </w:tcPr>
          <w:p w14:paraId="1B7A1690"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Brasil</w:t>
            </w:r>
          </w:p>
          <w:p w14:paraId="35C05932" w14:textId="77777777" w:rsidR="0034770D" w:rsidRPr="004C0229"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Colômbia</w:t>
            </w:r>
          </w:p>
        </w:tc>
        <w:tc>
          <w:tcPr>
            <w:tcW w:w="456" w:type="dxa"/>
            <w:tcBorders>
              <w:left w:val="single" w:sz="4" w:space="0" w:color="FFFFFF" w:themeColor="background1"/>
              <w:bottom w:val="single" w:sz="4" w:space="0" w:color="auto"/>
              <w:right w:val="nil"/>
            </w:tcBorders>
          </w:tcPr>
          <w:p w14:paraId="2F2AA690"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80</w:t>
            </w:r>
          </w:p>
          <w:p w14:paraId="12449C29" w14:textId="77777777" w:rsidR="0034770D" w:rsidRDefault="0034770D" w:rsidP="00727DE5">
            <w:pPr>
              <w:spacing w:line="480" w:lineRule="auto"/>
              <w:jc w:val="center"/>
              <w:rPr>
                <w:rFonts w:ascii="Times New Roman" w:hAnsi="Times New Roman" w:cs="Times New Roman"/>
                <w:sz w:val="24"/>
              </w:rPr>
            </w:pPr>
            <w:r>
              <w:rPr>
                <w:rFonts w:ascii="Times New Roman" w:hAnsi="Times New Roman" w:cs="Times New Roman"/>
                <w:sz w:val="24"/>
              </w:rPr>
              <w:t>3</w:t>
            </w:r>
          </w:p>
          <w:p w14:paraId="6D278D0F" w14:textId="77777777" w:rsidR="0034770D" w:rsidRDefault="0034770D" w:rsidP="00727DE5">
            <w:pPr>
              <w:spacing w:line="480" w:lineRule="auto"/>
              <w:jc w:val="center"/>
              <w:rPr>
                <w:rFonts w:ascii="Times New Roman" w:hAnsi="Times New Roman" w:cs="Times New Roman"/>
                <w:sz w:val="24"/>
              </w:rPr>
            </w:pPr>
          </w:p>
          <w:p w14:paraId="215B732F" w14:textId="77777777" w:rsidR="0034770D" w:rsidRDefault="0034770D" w:rsidP="00727DE5">
            <w:pPr>
              <w:spacing w:line="480" w:lineRule="auto"/>
              <w:rPr>
                <w:rFonts w:ascii="Times New Roman" w:hAnsi="Times New Roman" w:cs="Times New Roman"/>
                <w:sz w:val="24"/>
              </w:rPr>
            </w:pPr>
          </w:p>
          <w:p w14:paraId="4C5E99EE" w14:textId="77777777" w:rsidR="0034770D" w:rsidRDefault="0034770D" w:rsidP="00727DE5">
            <w:pPr>
              <w:spacing w:line="480" w:lineRule="auto"/>
              <w:rPr>
                <w:rFonts w:ascii="Times New Roman" w:hAnsi="Times New Roman" w:cs="Times New Roman"/>
                <w:sz w:val="24"/>
              </w:rPr>
            </w:pPr>
          </w:p>
          <w:p w14:paraId="644420B7" w14:textId="77777777" w:rsidR="0034770D" w:rsidRDefault="0034770D" w:rsidP="00727DE5">
            <w:pPr>
              <w:spacing w:line="480" w:lineRule="auto"/>
              <w:rPr>
                <w:rFonts w:ascii="Times New Roman" w:hAnsi="Times New Roman" w:cs="Times New Roman"/>
                <w:sz w:val="24"/>
              </w:rPr>
            </w:pPr>
          </w:p>
          <w:p w14:paraId="24A803D8" w14:textId="77777777" w:rsidR="0034770D" w:rsidRDefault="0034770D" w:rsidP="00727DE5">
            <w:pPr>
              <w:spacing w:line="480" w:lineRule="auto"/>
              <w:rPr>
                <w:rFonts w:ascii="Times New Roman" w:hAnsi="Times New Roman" w:cs="Times New Roman"/>
                <w:sz w:val="24"/>
              </w:rPr>
            </w:pPr>
          </w:p>
          <w:p w14:paraId="5CA83681" w14:textId="77777777" w:rsidR="0034770D" w:rsidRDefault="0034770D" w:rsidP="00727DE5">
            <w:pPr>
              <w:jc w:val="center"/>
              <w:rPr>
                <w:rFonts w:ascii="Times New Roman" w:hAnsi="Times New Roman" w:cs="Times New Roman"/>
                <w:sz w:val="24"/>
              </w:rPr>
            </w:pPr>
          </w:p>
          <w:p w14:paraId="3C3FE62E" w14:textId="77777777" w:rsidR="0034770D" w:rsidRPr="004C4127" w:rsidRDefault="0034770D" w:rsidP="00727DE5">
            <w:pPr>
              <w:jc w:val="center"/>
              <w:rPr>
                <w:rFonts w:ascii="Times New Roman" w:hAnsi="Times New Roman" w:cs="Times New Roman"/>
                <w:sz w:val="24"/>
              </w:rPr>
            </w:pPr>
            <w:r>
              <w:rPr>
                <w:rFonts w:ascii="Times New Roman" w:hAnsi="Times New Roman" w:cs="Times New Roman"/>
                <w:sz w:val="24"/>
              </w:rPr>
              <w:t>83</w:t>
            </w:r>
          </w:p>
        </w:tc>
      </w:tr>
    </w:tbl>
    <w:p w14:paraId="71DDCD06" w14:textId="77777777" w:rsidR="0034770D" w:rsidRPr="0035093F" w:rsidRDefault="0034770D" w:rsidP="0034770D">
      <w:pPr>
        <w:spacing w:line="480" w:lineRule="auto"/>
        <w:rPr>
          <w:rFonts w:cs="Times New Roman"/>
          <w:i/>
          <w:iCs/>
          <w:sz w:val="22"/>
          <w:szCs w:val="22"/>
        </w:rPr>
      </w:pPr>
      <w:r>
        <w:rPr>
          <w:rFonts w:cs="Times New Roman"/>
          <w:i/>
          <w:iCs/>
          <w:sz w:val="22"/>
          <w:szCs w:val="22"/>
        </w:rPr>
        <w:t>Nota: *: valores aproximados.</w:t>
      </w:r>
    </w:p>
    <w:p w14:paraId="650F6021" w14:textId="77777777" w:rsidR="0034770D" w:rsidRDefault="0034770D" w:rsidP="00F031C3">
      <w:pPr>
        <w:spacing w:line="360" w:lineRule="auto"/>
        <w:jc w:val="both"/>
      </w:pPr>
      <w:r>
        <w:rPr>
          <w:rFonts w:cs="Times New Roman"/>
        </w:rPr>
        <w:tab/>
        <w:t>Foi possível notar uma maior concentração de publicações no ano de 2017, com 13 publicações (29,54%). Houve, porém, um número reduzido de publicações em 2016 e 2022, com apenas duas e uma publicação respectivamente, o que pode ser explicado pelo recorte temporal no qual esta pesquisa foi feita, a saber, julho de 2016 (dando continuidade ao estudo de Boehs et al. (2017) que inseriu na amostra estudos publicados até junho de 2016) a julho de 2022 (momento em que foram encerradas as buscas nas bases de dados, não cobrindo, portanto, as publicações subsequentes).</w:t>
      </w:r>
    </w:p>
    <w:p w14:paraId="19E7C30F" w14:textId="77777777" w:rsidR="0034770D" w:rsidRDefault="0034770D" w:rsidP="00F031C3">
      <w:pPr>
        <w:spacing w:line="360" w:lineRule="auto"/>
        <w:ind w:firstLine="708"/>
        <w:jc w:val="both"/>
        <w:rPr>
          <w:rFonts w:cs="Times New Roman"/>
        </w:rPr>
      </w:pPr>
      <w:r>
        <w:rPr>
          <w:rFonts w:cs="Times New Roman"/>
        </w:rPr>
        <w:t>No que diz respeito à concentração do país de origem onde cada estudo foi executado, isto é, de qual população os dados foram coletados, foi observado que o Brasil obteve um alto número de estudos na amostra. Houve ainda um estudo da Colômbia e um estudo do Chile. Tais dados apontam para uma baixa produção, especialmente de estudos empíricos, sobre a temática fora do Brasil na América Latina.</w:t>
      </w:r>
    </w:p>
    <w:p w14:paraId="6B32CD98" w14:textId="77777777" w:rsidR="0034770D" w:rsidRDefault="0034770D" w:rsidP="00F031C3">
      <w:pPr>
        <w:spacing w:line="360" w:lineRule="auto"/>
        <w:ind w:firstLine="708"/>
        <w:jc w:val="both"/>
        <w:rPr>
          <w:rFonts w:cs="Times New Roman"/>
        </w:rPr>
      </w:pPr>
      <w:r>
        <w:rPr>
          <w:rFonts w:cs="Times New Roman"/>
        </w:rPr>
        <w:t xml:space="preserve">Outro dado importante é a respeito da natureza dos estudos e como esta foi distribuída na amostra. Foram 52,27% de estudos qualitativos, 43,18% de estudos quantitativos e 4,54% </w:t>
      </w:r>
      <w:r>
        <w:rPr>
          <w:rFonts w:cs="Times New Roman"/>
        </w:rPr>
        <w:lastRenderedPageBreak/>
        <w:t>de estudos de métodos mistos. Esta informação demonstra uma crescente de estudos qualitativos sobre a temática em comparação com a amostra do estudo de Boehs et al. (2017), no qual foi encontrado um número maior de pesquisas quantitativas (15) do que de pesquisas qualitativas (13).</w:t>
      </w:r>
    </w:p>
    <w:p w14:paraId="1706346F" w14:textId="77777777" w:rsidR="0034770D" w:rsidRDefault="0034770D" w:rsidP="00F031C3">
      <w:pPr>
        <w:spacing w:line="360" w:lineRule="auto"/>
        <w:ind w:firstLine="708"/>
        <w:jc w:val="both"/>
        <w:rPr>
          <w:rFonts w:cs="Times New Roman"/>
        </w:rPr>
      </w:pPr>
      <w:r>
        <w:rPr>
          <w:rFonts w:cs="Times New Roman"/>
        </w:rPr>
        <w:t xml:space="preserve">Em relação ao volume de publicações por periódicos, observa-se uma homogeneidade, com as revistas apresentando entre três e uma publicação. Os que mais tiveram publicações (n=3 em cada) foram: Psicologia: Organizações e Trabalho; Revista Kairós Gerontologia; Revista Psicologia: Reflexão e Crítica; Revista Psicologia: Teoria e Pesquisa; Revista Brasileira de Orientação Profissional e Revista PsicoUSF. As revistas Paidéia e a Revista Brasileira de Geriatria e Gerontologia apresentaram duas publicações cada. Por fim, com uma publicação apenas, aparecem: Psicologia: Ciência e Profissão; Revista Rene; Boletim de Psicologia; </w:t>
      </w:r>
      <w:r w:rsidRPr="00F24532">
        <w:rPr>
          <w:rFonts w:cs="Times New Roman"/>
        </w:rPr>
        <w:t>Psicologia e Saber Social</w:t>
      </w:r>
      <w:r>
        <w:rPr>
          <w:rFonts w:cs="Times New Roman"/>
        </w:rPr>
        <w:t xml:space="preserve">; </w:t>
      </w:r>
      <w:r w:rsidRPr="008E0F0A">
        <w:rPr>
          <w:rFonts w:cs="Times New Roman"/>
        </w:rPr>
        <w:t>Revista Trabalho (En)Cena</w:t>
      </w:r>
      <w:r>
        <w:rPr>
          <w:rFonts w:cs="Times New Roman"/>
        </w:rPr>
        <w:t xml:space="preserve">; </w:t>
      </w:r>
      <w:r w:rsidRPr="001D0ABB">
        <w:rPr>
          <w:rFonts w:cs="Times New Roman"/>
        </w:rPr>
        <w:t>Unoesc &amp; Ciência</w:t>
      </w:r>
      <w:r>
        <w:rPr>
          <w:rFonts w:cs="Times New Roman"/>
        </w:rPr>
        <w:t xml:space="preserve">; </w:t>
      </w:r>
      <w:r w:rsidRPr="009908AF">
        <w:rPr>
          <w:rFonts w:cs="Times New Roman"/>
        </w:rPr>
        <w:t>Revista Psico</w:t>
      </w:r>
      <w:r>
        <w:rPr>
          <w:rFonts w:cs="Times New Roman"/>
        </w:rPr>
        <w:t xml:space="preserve">; </w:t>
      </w:r>
      <w:r w:rsidRPr="001E2E2E">
        <w:rPr>
          <w:rFonts w:cs="Times New Roman"/>
        </w:rPr>
        <w:t>Revista Psicologia: Teoria e Prática</w:t>
      </w:r>
      <w:r>
        <w:rPr>
          <w:rFonts w:cs="Times New Roman"/>
        </w:rPr>
        <w:t xml:space="preserve">; </w:t>
      </w:r>
      <w:r w:rsidRPr="00F20998">
        <w:rPr>
          <w:rFonts w:cs="Times New Roman"/>
        </w:rPr>
        <w:t>Estudos interdisciplinares em psicologia</w:t>
      </w:r>
      <w:r>
        <w:rPr>
          <w:rFonts w:cs="Times New Roman"/>
        </w:rPr>
        <w:t xml:space="preserve">; </w:t>
      </w:r>
      <w:r w:rsidRPr="00DB4016">
        <w:rPr>
          <w:rFonts w:cs="Times New Roman"/>
        </w:rPr>
        <w:t>Cadernos de Psicologia Social do Trabalho</w:t>
      </w:r>
      <w:r>
        <w:rPr>
          <w:rFonts w:cs="Times New Roman"/>
        </w:rPr>
        <w:t xml:space="preserve">; </w:t>
      </w:r>
      <w:r w:rsidRPr="00DB4016">
        <w:rPr>
          <w:rFonts w:cs="Times New Roman"/>
        </w:rPr>
        <w:t>Revista Psicologia &amp; Sociedade</w:t>
      </w:r>
      <w:r>
        <w:rPr>
          <w:rFonts w:cs="Times New Roman"/>
        </w:rPr>
        <w:t xml:space="preserve">; </w:t>
      </w:r>
      <w:r w:rsidRPr="008D3617">
        <w:rPr>
          <w:rFonts w:cs="Times New Roman"/>
        </w:rPr>
        <w:t>Estudos e Pesquisa em Psicologia</w:t>
      </w:r>
      <w:r>
        <w:rPr>
          <w:rFonts w:cs="Times New Roman"/>
        </w:rPr>
        <w:t xml:space="preserve">; </w:t>
      </w:r>
      <w:r w:rsidRPr="000650E1">
        <w:rPr>
          <w:rFonts w:cs="Times New Roman"/>
        </w:rPr>
        <w:t>Ciencia &amp; Trabajo</w:t>
      </w:r>
      <w:r>
        <w:rPr>
          <w:rFonts w:cs="Times New Roman"/>
        </w:rPr>
        <w:t xml:space="preserve">; </w:t>
      </w:r>
      <w:r w:rsidRPr="000E7CD4">
        <w:rPr>
          <w:rFonts w:cs="Times New Roman"/>
        </w:rPr>
        <w:t>Revista Barbarói</w:t>
      </w:r>
      <w:r>
        <w:rPr>
          <w:rFonts w:cs="Times New Roman"/>
        </w:rPr>
        <w:t xml:space="preserve">; </w:t>
      </w:r>
      <w:r w:rsidRPr="000E7CD4">
        <w:rPr>
          <w:rFonts w:cs="Times New Roman"/>
        </w:rPr>
        <w:t>Phenomenological Studies - Revista da Abordagem Gestáltica</w:t>
      </w:r>
      <w:r>
        <w:rPr>
          <w:rFonts w:cs="Times New Roman"/>
        </w:rPr>
        <w:t xml:space="preserve">; </w:t>
      </w:r>
      <w:r w:rsidRPr="00434370">
        <w:rPr>
          <w:rFonts w:cs="Times New Roman"/>
        </w:rPr>
        <w:t>Psicoperspectivas- Individuo y Sociedad</w:t>
      </w:r>
      <w:r>
        <w:rPr>
          <w:rFonts w:cs="Times New Roman"/>
        </w:rPr>
        <w:t xml:space="preserve">; </w:t>
      </w:r>
      <w:r w:rsidRPr="00043231">
        <w:rPr>
          <w:rFonts w:cs="Times New Roman"/>
        </w:rPr>
        <w:t>Avances en Psicología Latinoamericana</w:t>
      </w:r>
      <w:r>
        <w:rPr>
          <w:rFonts w:cs="Times New Roman"/>
        </w:rPr>
        <w:t xml:space="preserve">; </w:t>
      </w:r>
      <w:r w:rsidRPr="00C82F2C">
        <w:rPr>
          <w:rFonts w:cs="Times New Roman"/>
        </w:rPr>
        <w:t>Revista de Administração Mackenzie</w:t>
      </w:r>
      <w:r>
        <w:rPr>
          <w:rFonts w:cs="Times New Roman"/>
        </w:rPr>
        <w:t xml:space="preserve">; </w:t>
      </w:r>
      <w:r w:rsidRPr="00C82F2C">
        <w:rPr>
          <w:rFonts w:cs="Times New Roman"/>
        </w:rPr>
        <w:t>Ciências Psicológicas</w:t>
      </w:r>
      <w:r>
        <w:rPr>
          <w:rFonts w:cs="Times New Roman"/>
        </w:rPr>
        <w:t xml:space="preserve">; </w:t>
      </w:r>
      <w:r w:rsidRPr="00865354">
        <w:rPr>
          <w:rFonts w:cs="Times New Roman"/>
        </w:rPr>
        <w:t>Revista Cubana de Salud Pública</w:t>
      </w:r>
      <w:r>
        <w:rPr>
          <w:rFonts w:cs="Times New Roman"/>
        </w:rPr>
        <w:t xml:space="preserve">; </w:t>
      </w:r>
      <w:r w:rsidRPr="001A08EA">
        <w:rPr>
          <w:rFonts w:cs="Times New Roman"/>
        </w:rPr>
        <w:t>Psicología desde el Caribe</w:t>
      </w:r>
      <w:r>
        <w:rPr>
          <w:rFonts w:cs="Times New Roman"/>
        </w:rPr>
        <w:t xml:space="preserve"> e; </w:t>
      </w:r>
      <w:r w:rsidRPr="001A08EA">
        <w:rPr>
          <w:rFonts w:cs="Times New Roman"/>
        </w:rPr>
        <w:t>Mudanças – Psicologia da Saúde</w:t>
      </w:r>
      <w:r>
        <w:rPr>
          <w:rFonts w:cs="Times New Roman"/>
        </w:rPr>
        <w:t>.</w:t>
      </w:r>
    </w:p>
    <w:p w14:paraId="641655AC" w14:textId="77777777" w:rsidR="0034770D" w:rsidRDefault="0034770D" w:rsidP="00F031C3">
      <w:pPr>
        <w:spacing w:line="360" w:lineRule="auto"/>
        <w:jc w:val="both"/>
        <w:rPr>
          <w:rFonts w:cs="Times New Roman"/>
        </w:rPr>
      </w:pPr>
      <w:r>
        <w:rPr>
          <w:rFonts w:cs="Times New Roman"/>
        </w:rPr>
        <w:tab/>
        <w:t xml:space="preserve">Foi também observado o tipo de público-alvo de cada pesquisa, sendo encontradas 50% das pesquisas com trabalhadores e trabalhadoras ainda ativos, 45,45% com pessoas aposentadas e 4,54% com ambos os tipos. Importante mencionar que não houve pesquisas com a perspectiva de pessoas desempregadas acerca do fenômeno o que pode representar uma discrepância com a realidade, sobretudo, brasileira, tendo em vista o alto índice de desempregados no país, 8,9%, segundo dados da </w:t>
      </w:r>
      <w:r w:rsidRPr="005F7819">
        <w:rPr>
          <w:rFonts w:cs="Times New Roman"/>
        </w:rPr>
        <w:t>PNAD</w:t>
      </w:r>
      <w:r>
        <w:rPr>
          <w:rFonts w:cs="Times New Roman"/>
        </w:rPr>
        <w:t xml:space="preserve"> do terceiro trimestre de 2022</w:t>
      </w:r>
      <w:r w:rsidRPr="005F7819">
        <w:rPr>
          <w:rFonts w:cs="Times New Roman"/>
        </w:rPr>
        <w:t xml:space="preserve"> (Vieceli, 2022).</w:t>
      </w:r>
    </w:p>
    <w:p w14:paraId="761FE1A4" w14:textId="10EB8107" w:rsidR="0034770D" w:rsidRPr="00C53A81" w:rsidRDefault="0034770D" w:rsidP="00D53B92">
      <w:pPr>
        <w:spacing w:line="360" w:lineRule="auto"/>
        <w:jc w:val="both"/>
      </w:pPr>
      <w:r>
        <w:rPr>
          <w:rFonts w:cs="Times New Roman"/>
        </w:rPr>
        <w:tab/>
        <w:t xml:space="preserve">No que concerne à taxonomia de Shultz e Wang (2011), os artigos foram classificados conforme as três áreas da Psicologia supramencionadas. Dessa forma, foram identificados 15,90% de artigos da área da Psicologia do Desenvolvimento, 25% de artigos da Psicologia Organizacional e do Trabalho, 34,09% de artigos referentes à área da Psicologia Clínica/Vocacional (PC/V) e 25% artigos de mais de uma área, sendo das interfaces POT-PC/V (n=6), POT-PD (n=2), PC/V-PD (n=2) e as três áreas do conhecimento consideradas aqui (n=1). </w:t>
      </w:r>
    </w:p>
    <w:p w14:paraId="40205188" w14:textId="77777777" w:rsidR="0034770D" w:rsidRPr="00BD1D1A" w:rsidRDefault="0034770D" w:rsidP="00F031C3">
      <w:pPr>
        <w:pStyle w:val="Ttulo1"/>
        <w:spacing w:line="360" w:lineRule="auto"/>
      </w:pPr>
      <w:bookmarkStart w:id="9" w:name="_Toc129102215"/>
      <w:r>
        <w:lastRenderedPageBreak/>
        <w:t>Discussão</w:t>
      </w:r>
      <w:bookmarkEnd w:id="9"/>
    </w:p>
    <w:p w14:paraId="32E4991C" w14:textId="77777777" w:rsidR="0034770D" w:rsidRDefault="0034770D" w:rsidP="00F031C3">
      <w:pPr>
        <w:spacing w:after="0" w:line="360" w:lineRule="auto"/>
        <w:ind w:firstLine="709"/>
        <w:jc w:val="both"/>
      </w:pPr>
      <w:r>
        <w:t>Em comparação ao estudo de Boehs et al. (2017), com relação aos achados nas áreas da psicologia, a presente pesquisa também apresentou uma forte tendência aos estudos da área PC/V, porém em número menor (14 nesta contra 21 na pesquisa anterior). Entretanto, quando são consideradas as demais áreas nota-se uma diferença entre ambos os estudos. Por exemplo, nesta revisão a tendência aos estudos da POT foi maior (11 estudos contra cinco da revisão anterior), enquanto que na PD houve um leve encolhimento (seis contra sete). Nas interfaces PD-POT (dois contra dois), PD-PC/V (dois contra três) e PD-POT-PC/V (um contra três) não houve uma grande oscilação. No entanto, ao examinar a interface PD-PC/V é perceptível uma tendência de crescimento, com seis estudos na atual pesquisa em detrimento de apenas um estudo na pesquisa de Boehs et al. (2017).</w:t>
      </w:r>
    </w:p>
    <w:p w14:paraId="06D2A4B0" w14:textId="77777777" w:rsidR="0034770D" w:rsidRDefault="0034770D" w:rsidP="00F031C3">
      <w:pPr>
        <w:spacing w:after="0" w:line="360" w:lineRule="auto"/>
        <w:ind w:firstLine="709"/>
        <w:jc w:val="both"/>
      </w:pPr>
      <w:r>
        <w:t>Em virtude do alto número de publicações brasileiras na área, é perceptível a relevância do Brasil e dos autores brasileiros na América Latina nos estudos acerca da aposentadoria, confirmando o que já havia sido constatado por Boehs et al. (2017). Uma possível explicação pode residir nas mudanças no cenário brasileiro de aposentadoria e previdência social, que apresenta uma tendência a manter mais pessoas idosas trabalhando e, consequentemente, aumentando a demanda da psicologia por auxílio a este público (Cunha, Scorsolini-Comin &amp; Marin, 2021). Dados do Sistema IBGE de Recuperação Automática – SIDRA apontam que a população idosa do Brasil atingiu 16%, sendo que a estimativa é de que o crescimento siga acelerado, atingindo os 18,62% até 2030 (IBGE, 2015).</w:t>
      </w:r>
    </w:p>
    <w:p w14:paraId="5A049B6C" w14:textId="77777777" w:rsidR="0034770D" w:rsidRDefault="0034770D" w:rsidP="00F031C3">
      <w:pPr>
        <w:spacing w:after="0" w:line="360" w:lineRule="auto"/>
        <w:ind w:firstLine="709"/>
        <w:jc w:val="both"/>
      </w:pPr>
      <w:r>
        <w:t xml:space="preserve">Um importante aspecto explorado pelas pesquisas é a necessidade de se observar as relações sociais estabelecidas pelas pessoas no processo de aposentadoria. </w:t>
      </w:r>
      <w:r w:rsidRPr="00D45E5C">
        <w:t>A decisão de se aposentar raramente é individual e a família exerce um papel fundamental (Amorim et al., 20</w:t>
      </w:r>
      <w:r>
        <w:t>20</w:t>
      </w:r>
      <w:r w:rsidRPr="00D45E5C">
        <w:t>)</w:t>
      </w:r>
      <w:r>
        <w:t>. Sendo assim, é necessária a concepção de que a</w:t>
      </w:r>
      <w:r w:rsidRPr="00233214">
        <w:t xml:space="preserve"> aposentadoria é vivenciada de formas diferentes em função da classe social, sendo que ela é mais valorizada por aqueles que recebem mais, já que estes conseguem ter maior contato com suas famílias e atividades de lazer</w:t>
      </w:r>
      <w:r>
        <w:t>. Enquanto que</w:t>
      </w:r>
      <w:r w:rsidRPr="00233214">
        <w:t xml:space="preserve">, por outro lado, a maior parte de aposentados </w:t>
      </w:r>
      <w:r>
        <w:t xml:space="preserve">de classes sociais mais desfavorecidas </w:t>
      </w:r>
      <w:r w:rsidRPr="00233214">
        <w:t>segue trabalhando para prover o sustento familiar, visto que os recursos financeiros do benefício não são suficientes (Amorim et al., 20</w:t>
      </w:r>
      <w:r>
        <w:t>20</w:t>
      </w:r>
      <w:r w:rsidRPr="00233214">
        <w:t>)</w:t>
      </w:r>
      <w:r>
        <w:t>.</w:t>
      </w:r>
    </w:p>
    <w:p w14:paraId="7DCB73DE" w14:textId="77777777" w:rsidR="0034770D" w:rsidRDefault="0034770D" w:rsidP="00F031C3">
      <w:pPr>
        <w:spacing w:after="0" w:line="360" w:lineRule="auto"/>
        <w:ind w:firstLine="709"/>
        <w:jc w:val="both"/>
      </w:pPr>
      <w:r>
        <w:t xml:space="preserve">Outra tendência dos artigos foi a tomada da aposentadoria como um processo que ocorre no decorrer da carreira, iniciando quando a pessoa começa a vislumbrar o futuro. Dessa forma, há cinco estágios para tal processo: </w:t>
      </w:r>
      <w:r w:rsidRPr="00AC7234">
        <w:t>a formação da percepção de futuro da aposentadoria, a decisão de efetivar a transição, o planejamento desse estágio, o ajustamento à nova realidade e a satisfação (Rafalski &amp; Andrade, 2017)</w:t>
      </w:r>
      <w:r>
        <w:t xml:space="preserve">. Seguindo por este caminho, há três desfechos </w:t>
      </w:r>
      <w:r>
        <w:lastRenderedPageBreak/>
        <w:t xml:space="preserve">possíveis no caminho dos trabalhadores e trabalhadoras ao alcançar as condições mínimas para a quebra do vínculo: </w:t>
      </w:r>
      <w:r w:rsidRPr="00EB0DE2">
        <w:t>a aposentadoria efetiva, a postergação da aposentadoria ou o trabalho após a aposentadoria (</w:t>
      </w:r>
      <w:r w:rsidRPr="00EB0DE2">
        <w:rPr>
          <w:i/>
          <w:iCs/>
        </w:rPr>
        <w:t>bridge employment</w:t>
      </w:r>
      <w:r w:rsidRPr="00EB0DE2">
        <w:t>) (Macêdo, Bendassolli &amp; Torres, 2017)</w:t>
      </w:r>
      <w:r>
        <w:t>.</w:t>
      </w:r>
    </w:p>
    <w:p w14:paraId="01291299" w14:textId="77777777" w:rsidR="0034770D" w:rsidRDefault="0034770D" w:rsidP="00F031C3">
      <w:pPr>
        <w:spacing w:after="0" w:line="360" w:lineRule="auto"/>
        <w:ind w:firstLine="709"/>
        <w:jc w:val="both"/>
      </w:pPr>
      <w:r>
        <w:t xml:space="preserve">É de fundamental importância entender </w:t>
      </w:r>
      <w:r w:rsidRPr="00D05EE5">
        <w:t>a aposentadoria como uma etapa de vida e carreira que é vivenciada de modo individual e não necessariamente como um estágio de vida de não atividade e descanso</w:t>
      </w:r>
      <w:r>
        <w:t xml:space="preserve"> (Boehs &amp; Silva, 2017). No entanto, há que se conceber que</w:t>
      </w:r>
      <w:r w:rsidRPr="00507C1E">
        <w:t xml:space="preserve"> a aposentadoria pode ter efeitos negativos ou positivos na vida das pessoas, mas também pode carregar ambos os sentidos concomitantemente, dependendo, sobretudo, das condições em que ela acontece e dos aspectos subjetivos de cada pessoa (Pazzim &amp; Marin, 2017)</w:t>
      </w:r>
      <w:r>
        <w:t>.</w:t>
      </w:r>
    </w:p>
    <w:p w14:paraId="1FBB304E" w14:textId="77777777" w:rsidR="0034770D" w:rsidRDefault="0034770D" w:rsidP="00F031C3">
      <w:pPr>
        <w:pStyle w:val="Ttulo1"/>
        <w:spacing w:line="360" w:lineRule="auto"/>
      </w:pPr>
      <w:bookmarkStart w:id="10" w:name="_Toc129102216"/>
      <w:r>
        <w:t>Considerações Finais</w:t>
      </w:r>
      <w:bookmarkEnd w:id="10"/>
    </w:p>
    <w:p w14:paraId="6B38E711" w14:textId="080C85CE" w:rsidR="0034770D" w:rsidRDefault="0034770D" w:rsidP="00F031C3">
      <w:pPr>
        <w:spacing w:after="0" w:line="360" w:lineRule="auto"/>
        <w:jc w:val="both"/>
      </w:pPr>
      <w:r>
        <w:rPr>
          <w:b/>
          <w:bCs/>
        </w:rPr>
        <w:tab/>
      </w:r>
      <w:r>
        <w:t xml:space="preserve">Ao propor uma revisão </w:t>
      </w:r>
      <w:r w:rsidR="006E4D1D">
        <w:t>de escopo</w:t>
      </w:r>
      <w:r>
        <w:t xml:space="preserve"> da literatura, a presente pesquisa cumpre com seu objetivo, visto que foi possível observar as tendências e os caminhos pelos quais a produção latino-americana da psicologia está percorrendo. Além disso, os estudos na área da psicologia com enfoque na aposentadoria foram de suma importância para que se pudesse notar o crescimento exponencial das pesquisas.</w:t>
      </w:r>
    </w:p>
    <w:p w14:paraId="01056E81" w14:textId="77777777" w:rsidR="0034770D" w:rsidRDefault="0034770D" w:rsidP="00F031C3">
      <w:pPr>
        <w:spacing w:after="0" w:line="360" w:lineRule="auto"/>
        <w:jc w:val="both"/>
      </w:pPr>
      <w:r>
        <w:tab/>
        <w:t>As contribuições do presente estudo residem, sobretudo, na amplificação e atualização dos dados já encontrados por Boehs et al. (2017). Foi possível elencar os instrumentos de medida desenvolvidos ou adaptados que estão dando suporte às intervenções e pesquisas na área. Da mesma forma, a presente pesquisa também preocupou-se em destacar os estudos que avaliam programas de preparação para a aposentadoria e correlatos, o que pode ser de grande valia para o aprimoramento dos programas já existentes, para a criação de novos programas ou, ainda, para a avaliação de programas já existentes.</w:t>
      </w:r>
    </w:p>
    <w:p w14:paraId="486CF559" w14:textId="77777777" w:rsidR="0034770D" w:rsidRDefault="0034770D" w:rsidP="00F031C3">
      <w:pPr>
        <w:spacing w:after="0" w:line="360" w:lineRule="auto"/>
        <w:jc w:val="both"/>
      </w:pPr>
      <w:r>
        <w:tab/>
        <w:t>Como limitações do presente artigo pode-se destacar que foram utilizados somente estudos empíricos, não considerando os ensaios teóricos, o que pode ter deixado uma lacuna na compreensão das tendências das pesquisas com a temática. Em adição a isso, pode-se observar também os idiomas de pesquisa, limitando-se somente ao português, ao inglês e ao espanhol, podendo ter restringido o alcance a estudos, sobretudo, de países latino-americanos que não tem nenhum desses como idioma nativo. Há ainda o entrave de somente terem sido considerados artigos de acesso aberto, perdendo-se, portanto, aqueles que necessitavam de algum tipo de abono para seu acesso.</w:t>
      </w:r>
    </w:p>
    <w:p w14:paraId="170D30CD" w14:textId="77777777" w:rsidR="0034770D" w:rsidRDefault="0034770D" w:rsidP="00F031C3">
      <w:pPr>
        <w:spacing w:after="0" w:line="360" w:lineRule="auto"/>
        <w:jc w:val="both"/>
      </w:pPr>
      <w:r>
        <w:tab/>
        <w:t xml:space="preserve">Como agenda futura de pesquisa, recomenda-se pesquisas mais amplificadas, para além da América Latina, sobretudo comparando a realidade dos países latino-americanos com relação as tendências de pesquisa, aos instrumentos desenvolvidos, aos PPA’s, aos modelos de aposentadoria vigentes e ao contexto socioeconômico com países de características similares </w:t>
      </w:r>
      <w:r>
        <w:lastRenderedPageBreak/>
        <w:t>em outros continentes, a fim de se verificar novas visões sobre o fenômeno. Também é fundamental a criação de instrumentos de medida específicos para avaliar a importância da família e das redes sociais significativas na decisão de se aposentar de um ponto de vista quantitativo. Novas pesquisas buscando compreender a percepção de futuro da aposentadoria e sua relação com variáveis como a adaptabilidade de carreira, a saliência de carreira, a realização de carreira e a satisfação no trabalho e na aposentadoria podem trazer contribuições significativas.</w:t>
      </w:r>
    </w:p>
    <w:p w14:paraId="7015E2C4" w14:textId="77777777" w:rsidR="0034770D" w:rsidRDefault="0034770D" w:rsidP="00F031C3">
      <w:pPr>
        <w:spacing w:after="0" w:line="360" w:lineRule="auto"/>
        <w:ind w:firstLine="708"/>
        <w:jc w:val="both"/>
      </w:pPr>
      <w:r>
        <w:t>Ademais, também é recomendado que se façam pesquisas em mais bases de dados e com uma maior variedade de idiomas, com o intuito de se abrangerem o maior número de países, revistas e universidades possíveis. Por fim, sendo a aposentadoria uma importante etapa pela qual a grande maioria das pessoas irá ultrapassar, deve ser de preocupação da psicologia a promoção do bem-estar dessas pessoas, aprimorando suas teorias e técnicas a esse respeito.</w:t>
      </w:r>
    </w:p>
    <w:p w14:paraId="12A95F2F" w14:textId="77777777" w:rsidR="0034770D" w:rsidRDefault="0034770D" w:rsidP="00F031C3">
      <w:pPr>
        <w:spacing w:line="360" w:lineRule="auto"/>
      </w:pPr>
      <w:r>
        <w:br w:type="page"/>
      </w:r>
    </w:p>
    <w:p w14:paraId="06B549CC" w14:textId="77777777" w:rsidR="0034770D" w:rsidRDefault="0034770D" w:rsidP="00F031C3">
      <w:pPr>
        <w:pStyle w:val="Ttulo1"/>
        <w:spacing w:line="360" w:lineRule="auto"/>
      </w:pPr>
      <w:bookmarkStart w:id="11" w:name="_Toc129102217"/>
      <w:r>
        <w:lastRenderedPageBreak/>
        <w:t>Referências</w:t>
      </w:r>
      <w:bookmarkEnd w:id="11"/>
    </w:p>
    <w:p w14:paraId="73DCC1AA" w14:textId="3BC7D4CF" w:rsidR="0034770D" w:rsidRPr="004452BA" w:rsidRDefault="0034770D" w:rsidP="00F031C3">
      <w:pPr>
        <w:widowControl w:val="0"/>
        <w:autoSpaceDE w:val="0"/>
        <w:autoSpaceDN w:val="0"/>
        <w:adjustRightInd w:val="0"/>
        <w:spacing w:after="200" w:line="360" w:lineRule="auto"/>
        <w:ind w:left="480" w:hanging="480"/>
        <w:rPr>
          <w:rFonts w:cs="Times New Roman"/>
        </w:rPr>
      </w:pPr>
      <w:r>
        <w:rPr>
          <w:rFonts w:cs="Times New Roman"/>
        </w:rPr>
        <w:t xml:space="preserve">Albán, M. P. Z. (2021). </w:t>
      </w:r>
      <w:r w:rsidRPr="004452BA">
        <w:rPr>
          <w:rFonts w:cs="Times New Roman"/>
        </w:rPr>
        <w:t>Caracterización de intereses y roles de trabajadores prejubilables de una institución universitaria del suroccidente colombiano</w:t>
      </w:r>
      <w:r>
        <w:rPr>
          <w:rFonts w:cs="Times New Roman"/>
        </w:rPr>
        <w:t xml:space="preserve">. </w:t>
      </w:r>
      <w:r>
        <w:rPr>
          <w:rFonts w:cs="Times New Roman"/>
          <w:i/>
          <w:iCs/>
        </w:rPr>
        <w:t>Revista Cubana de Salud Pública</w:t>
      </w:r>
      <w:r>
        <w:rPr>
          <w:rFonts w:cs="Times New Roman"/>
        </w:rPr>
        <w:t xml:space="preserve">, </w:t>
      </w:r>
      <w:r>
        <w:rPr>
          <w:rFonts w:cs="Times New Roman"/>
          <w:i/>
          <w:iCs/>
        </w:rPr>
        <w:t>41</w:t>
      </w:r>
      <w:r>
        <w:rPr>
          <w:rFonts w:cs="Times New Roman"/>
        </w:rPr>
        <w:t xml:space="preserve">(1), 1-19. </w:t>
      </w:r>
      <w:r w:rsidR="00F41614" w:rsidRPr="00F41614">
        <w:rPr>
          <w:rFonts w:cs="Times New Roman"/>
        </w:rPr>
        <w:t>https://pesquisa.bvsalud.org/portal/resource/pt/biblio-1289568</w:t>
      </w:r>
    </w:p>
    <w:p w14:paraId="76FE9D8D" w14:textId="6B1E69B5" w:rsidR="0034770D" w:rsidRDefault="0034770D" w:rsidP="00F031C3">
      <w:pPr>
        <w:widowControl w:val="0"/>
        <w:autoSpaceDE w:val="0"/>
        <w:autoSpaceDN w:val="0"/>
        <w:adjustRightInd w:val="0"/>
        <w:spacing w:after="200" w:line="360" w:lineRule="auto"/>
        <w:ind w:left="480" w:hanging="480"/>
        <w:rPr>
          <w:rFonts w:cs="Times New Roman"/>
        </w:rPr>
      </w:pPr>
      <w:r>
        <w:rPr>
          <w:rFonts w:cs="Times New Roman"/>
        </w:rPr>
        <w:t xml:space="preserve">Amaral, L. B. C., &amp; Torres, T. L. (2017). </w:t>
      </w:r>
      <w:r w:rsidRPr="00D32099">
        <w:rPr>
          <w:rFonts w:cs="Times New Roman"/>
        </w:rPr>
        <w:t>Representação social da aposentadoria para professores universitários</w:t>
      </w:r>
      <w:r>
        <w:rPr>
          <w:rFonts w:cs="Times New Roman"/>
        </w:rPr>
        <w:t>.</w:t>
      </w:r>
      <w:r w:rsidRPr="006D61AE">
        <w:t xml:space="preserve"> </w:t>
      </w:r>
      <w:r w:rsidRPr="00D32099">
        <w:rPr>
          <w:rFonts w:cs="Times New Roman"/>
          <w:i/>
          <w:iCs/>
        </w:rPr>
        <w:t>Psicologia e Saber Social</w:t>
      </w:r>
      <w:r w:rsidRPr="00D32099">
        <w:rPr>
          <w:rFonts w:cs="Times New Roman"/>
        </w:rPr>
        <w:t>,</w:t>
      </w:r>
      <w:r w:rsidRPr="00D32099">
        <w:rPr>
          <w:rFonts w:cs="Times New Roman"/>
          <w:i/>
          <w:iCs/>
        </w:rPr>
        <w:t xml:space="preserve"> 6</w:t>
      </w:r>
      <w:r w:rsidRPr="006D61AE">
        <w:rPr>
          <w:rFonts w:cs="Times New Roman"/>
        </w:rPr>
        <w:t>(2), 130-145, 2017. doi: 10.12957/psi.saber.soc.2017.23594</w:t>
      </w:r>
    </w:p>
    <w:p w14:paraId="20EF21BC" w14:textId="77777777" w:rsidR="0034770D" w:rsidRDefault="0034770D" w:rsidP="00F031C3">
      <w:pPr>
        <w:widowControl w:val="0"/>
        <w:autoSpaceDE w:val="0"/>
        <w:autoSpaceDN w:val="0"/>
        <w:adjustRightInd w:val="0"/>
        <w:spacing w:after="200" w:line="360" w:lineRule="auto"/>
        <w:ind w:left="480" w:hanging="480"/>
        <w:rPr>
          <w:rFonts w:cs="Times New Roman"/>
        </w:rPr>
      </w:pPr>
      <w:r w:rsidRPr="00F94D25">
        <w:rPr>
          <w:rFonts w:cs="Times New Roman"/>
        </w:rPr>
        <w:t xml:space="preserve">Amorim, S. M., &amp; França, L. H. F. P. </w:t>
      </w:r>
      <w:r>
        <w:rPr>
          <w:rFonts w:cs="Times New Roman"/>
        </w:rPr>
        <w:t>(2019)</w:t>
      </w:r>
      <w:r w:rsidRPr="00F94D25">
        <w:rPr>
          <w:rFonts w:cs="Times New Roman"/>
        </w:rPr>
        <w:t xml:space="preserve">. Razões para Aposentar e Satisfação na Aposentadoria. </w:t>
      </w:r>
      <w:r w:rsidRPr="00F94D25">
        <w:rPr>
          <w:rFonts w:cs="Times New Roman"/>
          <w:i/>
        </w:rPr>
        <w:t>Psicologia: Teoria e Pesquisa</w:t>
      </w:r>
      <w:r w:rsidRPr="00F94D25">
        <w:rPr>
          <w:rFonts w:cs="Times New Roman"/>
        </w:rPr>
        <w:t xml:space="preserve">, </w:t>
      </w:r>
      <w:r w:rsidRPr="00F94D25">
        <w:rPr>
          <w:rFonts w:cs="Times New Roman"/>
          <w:i/>
          <w:iCs/>
        </w:rPr>
        <w:t>35</w:t>
      </w:r>
      <w:r w:rsidRPr="00F94D25">
        <w:rPr>
          <w:rFonts w:cs="Times New Roman"/>
        </w:rPr>
        <w:t>, 1-11. Doi: 10.1590/0102.3772e3558</w:t>
      </w:r>
    </w:p>
    <w:p w14:paraId="10EDF859" w14:textId="77777777" w:rsidR="0034770D" w:rsidRDefault="0034770D" w:rsidP="00F031C3">
      <w:pPr>
        <w:widowControl w:val="0"/>
        <w:autoSpaceDE w:val="0"/>
        <w:autoSpaceDN w:val="0"/>
        <w:adjustRightInd w:val="0"/>
        <w:spacing w:after="200" w:line="360" w:lineRule="auto"/>
        <w:ind w:left="480" w:hanging="480"/>
        <w:rPr>
          <w:rFonts w:cs="Times New Roman"/>
        </w:rPr>
      </w:pPr>
      <w:r w:rsidRPr="00F94D25">
        <w:rPr>
          <w:rFonts w:cs="Times New Roman"/>
        </w:rPr>
        <w:t>Amorim, S. M., França, L. H. F. P.</w:t>
      </w:r>
      <w:r>
        <w:rPr>
          <w:rFonts w:cs="Times New Roman"/>
        </w:rPr>
        <w:t xml:space="preserve">, Lima, M. P., &amp; Martins, L. F. (2020). </w:t>
      </w:r>
      <w:r w:rsidRPr="00FF5E16">
        <w:rPr>
          <w:rFonts w:cs="Times New Roman"/>
        </w:rPr>
        <w:t xml:space="preserve">Satisfação na aposentadoria: Uma comparação entre Brasil e Portugal. </w:t>
      </w:r>
      <w:r w:rsidRPr="00FF5E16">
        <w:rPr>
          <w:rFonts w:cs="Times New Roman"/>
          <w:i/>
          <w:iCs/>
        </w:rPr>
        <w:t>Revista de Administração Mackenzie</w:t>
      </w:r>
      <w:r w:rsidRPr="00FF5E16">
        <w:rPr>
          <w:rFonts w:cs="Times New Roman"/>
        </w:rPr>
        <w:t xml:space="preserve">, </w:t>
      </w:r>
      <w:r w:rsidRPr="00FF5E16">
        <w:rPr>
          <w:rFonts w:cs="Times New Roman"/>
          <w:i/>
          <w:iCs/>
        </w:rPr>
        <w:t>21</w:t>
      </w:r>
      <w:r w:rsidRPr="00FF5E16">
        <w:rPr>
          <w:rFonts w:cs="Times New Roman"/>
        </w:rPr>
        <w:t>(5), 1–29. doi:10.1590/1678-6971/eRAMG200103</w:t>
      </w:r>
    </w:p>
    <w:p w14:paraId="145D3A03" w14:textId="77777777" w:rsidR="0034770D" w:rsidRDefault="0034770D" w:rsidP="00F031C3">
      <w:pPr>
        <w:widowControl w:val="0"/>
        <w:autoSpaceDE w:val="0"/>
        <w:autoSpaceDN w:val="0"/>
        <w:adjustRightInd w:val="0"/>
        <w:spacing w:after="200" w:line="360" w:lineRule="auto"/>
        <w:ind w:left="480" w:hanging="480"/>
        <w:rPr>
          <w:rFonts w:cs="Times New Roman"/>
        </w:rPr>
      </w:pPr>
      <w:r w:rsidRPr="00F94D25">
        <w:rPr>
          <w:rFonts w:cs="Times New Roman"/>
        </w:rPr>
        <w:t>Amorim, S. M., França, L. H. F. P.</w:t>
      </w:r>
      <w:r>
        <w:rPr>
          <w:rFonts w:cs="Times New Roman"/>
        </w:rPr>
        <w:t xml:space="preserve">, &amp; Valentini, F. (2017). </w:t>
      </w:r>
      <w:r w:rsidRPr="006952C8">
        <w:rPr>
          <w:rFonts w:cs="Times New Roman"/>
        </w:rPr>
        <w:t>Predictors of happiness among retired from urban and rural areas in Brazil</w:t>
      </w:r>
      <w:r>
        <w:rPr>
          <w:rFonts w:cs="Times New Roman"/>
        </w:rPr>
        <w:t xml:space="preserve">. </w:t>
      </w:r>
      <w:r w:rsidRPr="00327900">
        <w:rPr>
          <w:rFonts w:cs="Times New Roman"/>
          <w:i/>
          <w:iCs/>
        </w:rPr>
        <w:t>Psicologia: Reflexão e Crítica</w:t>
      </w:r>
      <w:r>
        <w:rPr>
          <w:rFonts w:cs="Times New Roman"/>
        </w:rPr>
        <w:t xml:space="preserve">, </w:t>
      </w:r>
      <w:r w:rsidRPr="00327900">
        <w:rPr>
          <w:rFonts w:cs="Times New Roman"/>
          <w:i/>
          <w:iCs/>
        </w:rPr>
        <w:t>30</w:t>
      </w:r>
      <w:r>
        <w:rPr>
          <w:rFonts w:cs="Times New Roman"/>
        </w:rPr>
        <w:t xml:space="preserve">(2), 1-8. </w:t>
      </w:r>
      <w:r w:rsidRPr="00850713">
        <w:rPr>
          <w:rFonts w:cs="Times New Roman"/>
        </w:rPr>
        <w:t>DOI 10.1186/s41155-016-0055-3</w:t>
      </w:r>
    </w:p>
    <w:p w14:paraId="57874A19" w14:textId="77777777" w:rsidR="0034770D" w:rsidRDefault="0034770D" w:rsidP="00F031C3">
      <w:pPr>
        <w:widowControl w:val="0"/>
        <w:autoSpaceDE w:val="0"/>
        <w:autoSpaceDN w:val="0"/>
        <w:adjustRightInd w:val="0"/>
        <w:spacing w:after="200" w:line="360" w:lineRule="auto"/>
        <w:ind w:left="480" w:hanging="480"/>
        <w:rPr>
          <w:rFonts w:cs="Times New Roman"/>
        </w:rPr>
      </w:pPr>
      <w:r>
        <w:rPr>
          <w:rFonts w:cs="Times New Roman"/>
        </w:rPr>
        <w:t xml:space="preserve">Andrade, A. L., Rafalski, J. C., Souza, L. G. S., &amp; Oliveira, M. Z. (2017). Planejamento para a aposentadoria: saúde geral, finanças e qualidade do relacionamento. </w:t>
      </w:r>
      <w:r>
        <w:rPr>
          <w:rFonts w:cs="Times New Roman"/>
          <w:i/>
          <w:iCs/>
        </w:rPr>
        <w:t>Psico Porto Alegre</w:t>
      </w:r>
      <w:r>
        <w:rPr>
          <w:rFonts w:cs="Times New Roman"/>
        </w:rPr>
        <w:t xml:space="preserve">, </w:t>
      </w:r>
      <w:r>
        <w:rPr>
          <w:rFonts w:cs="Times New Roman"/>
          <w:i/>
          <w:iCs/>
        </w:rPr>
        <w:t>48</w:t>
      </w:r>
      <w:r>
        <w:rPr>
          <w:rFonts w:cs="Times New Roman"/>
        </w:rPr>
        <w:t xml:space="preserve">(4), 317-328. </w:t>
      </w:r>
      <w:r w:rsidRPr="004D1290">
        <w:rPr>
          <w:rFonts w:cs="Times New Roman"/>
        </w:rPr>
        <w:t>https://doi.org/10.15448/1980-8623.2017.4.24797</w:t>
      </w:r>
    </w:p>
    <w:p w14:paraId="7C328615" w14:textId="77777777" w:rsidR="0034770D" w:rsidRDefault="0034770D" w:rsidP="00F031C3">
      <w:pPr>
        <w:widowControl w:val="0"/>
        <w:autoSpaceDE w:val="0"/>
        <w:autoSpaceDN w:val="0"/>
        <w:adjustRightInd w:val="0"/>
        <w:spacing w:after="200" w:line="360" w:lineRule="auto"/>
        <w:ind w:left="480" w:hanging="480"/>
        <w:rPr>
          <w:rFonts w:cs="Times New Roman"/>
        </w:rPr>
      </w:pPr>
      <w:r>
        <w:rPr>
          <w:rFonts w:cs="Times New Roman"/>
        </w:rPr>
        <w:t xml:space="preserve">Andrade, L., &amp; Torres, C. (2020). </w:t>
      </w:r>
      <w:r w:rsidRPr="001E4FEA">
        <w:rPr>
          <w:rFonts w:cs="Times New Roman"/>
        </w:rPr>
        <w:t>Aposentadoria e Atribuição de Significado: Um Estudo com Trabalhadores Ativos no Brasil</w:t>
      </w:r>
      <w:r>
        <w:rPr>
          <w:rFonts w:cs="Times New Roman"/>
        </w:rPr>
        <w:t xml:space="preserve">. </w:t>
      </w:r>
      <w:r>
        <w:rPr>
          <w:rFonts w:cs="Times New Roman"/>
          <w:i/>
          <w:iCs/>
        </w:rPr>
        <w:t>Psicologia: Teoria e Pesquisa</w:t>
      </w:r>
      <w:r>
        <w:rPr>
          <w:rFonts w:cs="Times New Roman"/>
        </w:rPr>
        <w:t xml:space="preserve">, </w:t>
      </w:r>
      <w:r>
        <w:rPr>
          <w:rFonts w:cs="Times New Roman"/>
          <w:i/>
          <w:iCs/>
        </w:rPr>
        <w:t>36</w:t>
      </w:r>
      <w:r>
        <w:rPr>
          <w:rFonts w:cs="Times New Roman"/>
        </w:rPr>
        <w:t xml:space="preserve">, 1-11. </w:t>
      </w:r>
      <w:r w:rsidRPr="00725853">
        <w:rPr>
          <w:rFonts w:cs="Times New Roman"/>
        </w:rPr>
        <w:t>https://dx.doi.org/10.1590/0102.3772e3652</w:t>
      </w:r>
    </w:p>
    <w:p w14:paraId="394ECE23" w14:textId="77777777" w:rsidR="0034770D" w:rsidRPr="001E5649" w:rsidRDefault="0034770D" w:rsidP="00F031C3">
      <w:pPr>
        <w:widowControl w:val="0"/>
        <w:autoSpaceDE w:val="0"/>
        <w:autoSpaceDN w:val="0"/>
        <w:adjustRightInd w:val="0"/>
        <w:spacing w:after="200" w:line="360" w:lineRule="auto"/>
        <w:ind w:left="480" w:hanging="480"/>
        <w:rPr>
          <w:rFonts w:cs="Times New Roman"/>
        </w:rPr>
      </w:pPr>
      <w:r>
        <w:rPr>
          <w:rFonts w:cs="Times New Roman"/>
        </w:rPr>
        <w:t xml:space="preserve">Antloga, C. S., Medeiros, S. N., Moreira, R., &amp; Maia, M. (2017). </w:t>
      </w:r>
      <w:r w:rsidRPr="0063087E">
        <w:rPr>
          <w:rFonts w:cs="Times New Roman"/>
        </w:rPr>
        <w:t xml:space="preserve">O Significado </w:t>
      </w:r>
      <w:r>
        <w:rPr>
          <w:rFonts w:cs="Times New Roman"/>
        </w:rPr>
        <w:t>d</w:t>
      </w:r>
      <w:r w:rsidRPr="0063087E">
        <w:rPr>
          <w:rFonts w:cs="Times New Roman"/>
        </w:rPr>
        <w:t xml:space="preserve">a Aposentadoria </w:t>
      </w:r>
      <w:r>
        <w:rPr>
          <w:rFonts w:cs="Times New Roman"/>
        </w:rPr>
        <w:t>p</w:t>
      </w:r>
      <w:r w:rsidRPr="0063087E">
        <w:rPr>
          <w:rFonts w:cs="Times New Roman"/>
        </w:rPr>
        <w:t xml:space="preserve">ara Pessoas Aposentadas </w:t>
      </w:r>
      <w:r>
        <w:rPr>
          <w:rFonts w:cs="Times New Roman"/>
        </w:rPr>
        <w:t>d</w:t>
      </w:r>
      <w:r w:rsidRPr="0063087E">
        <w:rPr>
          <w:rFonts w:cs="Times New Roman"/>
        </w:rPr>
        <w:t xml:space="preserve">e </w:t>
      </w:r>
      <w:r>
        <w:rPr>
          <w:rFonts w:cs="Times New Roman"/>
        </w:rPr>
        <w:t>u</w:t>
      </w:r>
      <w:r w:rsidRPr="0063087E">
        <w:rPr>
          <w:rFonts w:cs="Times New Roman"/>
        </w:rPr>
        <w:t>m Órgão Público</w:t>
      </w:r>
      <w:r>
        <w:rPr>
          <w:rFonts w:cs="Times New Roman"/>
        </w:rPr>
        <w:t xml:space="preserve">. </w:t>
      </w:r>
      <w:r>
        <w:rPr>
          <w:rFonts w:cs="Times New Roman"/>
          <w:i/>
          <w:iCs/>
        </w:rPr>
        <w:t>Revista Trabalho em Cena</w:t>
      </w:r>
      <w:r>
        <w:rPr>
          <w:rFonts w:cs="Times New Roman"/>
        </w:rPr>
        <w:t xml:space="preserve">, </w:t>
      </w:r>
      <w:r>
        <w:rPr>
          <w:rFonts w:cs="Times New Roman"/>
          <w:i/>
          <w:iCs/>
        </w:rPr>
        <w:t>2</w:t>
      </w:r>
      <w:r>
        <w:rPr>
          <w:rFonts w:cs="Times New Roman"/>
        </w:rPr>
        <w:t xml:space="preserve">(1), 26-39. </w:t>
      </w:r>
      <w:r w:rsidRPr="00315C2A">
        <w:rPr>
          <w:rFonts w:cs="Times New Roman"/>
        </w:rPr>
        <w:t>https://doi.org/10.20873/2526-1487V2N126</w:t>
      </w:r>
    </w:p>
    <w:p w14:paraId="1F46EDF5" w14:textId="77777777" w:rsidR="0034770D" w:rsidRDefault="0034770D" w:rsidP="00F031C3">
      <w:pPr>
        <w:widowControl w:val="0"/>
        <w:autoSpaceDE w:val="0"/>
        <w:autoSpaceDN w:val="0"/>
        <w:adjustRightInd w:val="0"/>
        <w:spacing w:after="200" w:line="360" w:lineRule="auto"/>
        <w:ind w:left="480" w:hanging="480"/>
        <w:rPr>
          <w:rFonts w:cs="Times New Roman"/>
        </w:rPr>
      </w:pPr>
      <w:r>
        <w:rPr>
          <w:rFonts w:cs="Times New Roman"/>
        </w:rPr>
        <w:t>Antunes, M. H., &amp; Moré, C. L. O. O. (2020).</w:t>
      </w:r>
      <w:r w:rsidRPr="002F3D7C">
        <w:rPr>
          <w:rFonts w:cs="Times New Roman"/>
        </w:rPr>
        <w:t xml:space="preserve"> </w:t>
      </w:r>
      <w:r w:rsidRPr="00F94D25">
        <w:rPr>
          <w:rFonts w:cs="Times New Roman"/>
        </w:rPr>
        <w:t>Repercussões da Aposentadoria na Dinâmica Relacional Familiar na Perspectiva do Casal</w:t>
      </w:r>
      <w:r>
        <w:rPr>
          <w:rFonts w:cs="Times New Roman"/>
        </w:rPr>
        <w:t xml:space="preserve">. </w:t>
      </w:r>
      <w:r>
        <w:rPr>
          <w:rFonts w:cs="Times New Roman"/>
          <w:i/>
          <w:iCs/>
        </w:rPr>
        <w:t>Revista Brasileira de Orientação Profissional</w:t>
      </w:r>
      <w:r>
        <w:rPr>
          <w:rFonts w:cs="Times New Roman"/>
        </w:rPr>
        <w:t xml:space="preserve">, </w:t>
      </w:r>
      <w:r>
        <w:rPr>
          <w:rFonts w:cs="Times New Roman"/>
          <w:i/>
          <w:iCs/>
        </w:rPr>
        <w:t>21</w:t>
      </w:r>
      <w:r>
        <w:rPr>
          <w:rFonts w:cs="Times New Roman"/>
        </w:rPr>
        <w:t xml:space="preserve">(1), 95-106. </w:t>
      </w:r>
      <w:r w:rsidRPr="002B460C">
        <w:rPr>
          <w:rFonts w:cs="Times New Roman"/>
        </w:rPr>
        <w:t>http://dx.doi.org/10.26707/1984-7270/2020v21n109</w:t>
      </w:r>
    </w:p>
    <w:p w14:paraId="7F23904A" w14:textId="77777777" w:rsidR="0034770D" w:rsidRDefault="0034770D" w:rsidP="00F031C3">
      <w:pPr>
        <w:widowControl w:val="0"/>
        <w:autoSpaceDE w:val="0"/>
        <w:autoSpaceDN w:val="0"/>
        <w:adjustRightInd w:val="0"/>
        <w:spacing w:after="200" w:line="360" w:lineRule="auto"/>
        <w:ind w:left="480" w:hanging="480"/>
        <w:rPr>
          <w:rFonts w:cs="Times New Roman"/>
        </w:rPr>
      </w:pPr>
      <w:r>
        <w:rPr>
          <w:rFonts w:cs="Times New Roman"/>
        </w:rPr>
        <w:t xml:space="preserve">Antunes, M. H., &amp; Moré, C. L. O. O. (2021a). </w:t>
      </w:r>
      <w:r w:rsidRPr="00162C4A">
        <w:rPr>
          <w:rFonts w:cs="Times New Roman"/>
        </w:rPr>
        <w:t>Funções Exercidas pelos Membros das Redes Sociais Significativas de Pessoas Aposentadas</w:t>
      </w:r>
      <w:r>
        <w:rPr>
          <w:rFonts w:cs="Times New Roman"/>
        </w:rPr>
        <w:t xml:space="preserve">. </w:t>
      </w:r>
      <w:r>
        <w:rPr>
          <w:rFonts w:cs="Times New Roman"/>
          <w:i/>
          <w:iCs/>
        </w:rPr>
        <w:t>Psicologia: Ciência e Profissão</w:t>
      </w:r>
      <w:r>
        <w:rPr>
          <w:rFonts w:cs="Times New Roman"/>
        </w:rPr>
        <w:t xml:space="preserve">, </w:t>
      </w:r>
      <w:r>
        <w:rPr>
          <w:rFonts w:cs="Times New Roman"/>
          <w:i/>
          <w:iCs/>
        </w:rPr>
        <w:t>41</w:t>
      </w:r>
      <w:r>
        <w:rPr>
          <w:rFonts w:cs="Times New Roman"/>
        </w:rPr>
        <w:t>, 1-</w:t>
      </w:r>
      <w:r>
        <w:rPr>
          <w:rFonts w:cs="Times New Roman"/>
        </w:rPr>
        <w:lastRenderedPageBreak/>
        <w:t xml:space="preserve">14. </w:t>
      </w:r>
      <w:r w:rsidRPr="00A50340">
        <w:rPr>
          <w:rFonts w:cs="Times New Roman"/>
        </w:rPr>
        <w:t>https://doi.org/10.1590/1982-3703003229820</w:t>
      </w:r>
    </w:p>
    <w:p w14:paraId="1263613E" w14:textId="77777777" w:rsidR="0034770D" w:rsidRPr="004B1833" w:rsidRDefault="0034770D" w:rsidP="00F031C3">
      <w:pPr>
        <w:widowControl w:val="0"/>
        <w:autoSpaceDE w:val="0"/>
        <w:autoSpaceDN w:val="0"/>
        <w:adjustRightInd w:val="0"/>
        <w:spacing w:after="200" w:line="360" w:lineRule="auto"/>
        <w:ind w:left="480" w:hanging="480"/>
        <w:rPr>
          <w:rFonts w:cs="Times New Roman"/>
        </w:rPr>
      </w:pPr>
      <w:r>
        <w:rPr>
          <w:rFonts w:cs="Times New Roman"/>
        </w:rPr>
        <w:t xml:space="preserve">Antunes, M. H., &amp; Moré, C. L. O. O. (2021b). </w:t>
      </w:r>
      <w:r w:rsidRPr="00032DD9">
        <w:rPr>
          <w:rFonts w:cs="Times New Roman"/>
        </w:rPr>
        <w:t>The Retirement Process from the Perspective of Meaningful Social Networks of Retirees</w:t>
      </w:r>
      <w:r>
        <w:rPr>
          <w:rFonts w:cs="Times New Roman"/>
        </w:rPr>
        <w:t xml:space="preserve">. </w:t>
      </w:r>
      <w:r>
        <w:rPr>
          <w:rFonts w:cs="Times New Roman"/>
          <w:i/>
          <w:iCs/>
        </w:rPr>
        <w:t>Paidéia</w:t>
      </w:r>
      <w:r>
        <w:rPr>
          <w:rFonts w:cs="Times New Roman"/>
        </w:rPr>
        <w:t xml:space="preserve">, </w:t>
      </w:r>
      <w:r>
        <w:rPr>
          <w:rFonts w:cs="Times New Roman"/>
          <w:i/>
          <w:iCs/>
        </w:rPr>
        <w:t>31</w:t>
      </w:r>
      <w:r>
        <w:rPr>
          <w:rFonts w:cs="Times New Roman"/>
        </w:rPr>
        <w:t xml:space="preserve">, 1-9. </w:t>
      </w:r>
      <w:r w:rsidRPr="00B34364">
        <w:rPr>
          <w:rFonts w:cs="Times New Roman"/>
        </w:rPr>
        <w:t>https://doi.org/10.1590/1982-4327e3127</w:t>
      </w:r>
    </w:p>
    <w:p w14:paraId="099652D4" w14:textId="50656BE4" w:rsidR="0034770D" w:rsidRDefault="0034770D" w:rsidP="00F031C3">
      <w:pPr>
        <w:widowControl w:val="0"/>
        <w:autoSpaceDE w:val="0"/>
        <w:autoSpaceDN w:val="0"/>
        <w:adjustRightInd w:val="0"/>
        <w:spacing w:after="200" w:line="360" w:lineRule="auto"/>
        <w:ind w:left="480" w:hanging="480"/>
        <w:rPr>
          <w:rFonts w:cs="Times New Roman"/>
        </w:rPr>
      </w:pPr>
      <w:r w:rsidRPr="00F94D25">
        <w:rPr>
          <w:rFonts w:cs="Times New Roman"/>
        </w:rPr>
        <w:t>Antunes, M. H., Soares, D. H. P, &amp; Moré, C. L. O. O. (201</w:t>
      </w:r>
      <w:r>
        <w:rPr>
          <w:rFonts w:cs="Times New Roman"/>
        </w:rPr>
        <w:t>8</w:t>
      </w:r>
      <w:r w:rsidRPr="00F94D25">
        <w:rPr>
          <w:rFonts w:cs="Times New Roman"/>
        </w:rPr>
        <w:t>).</w:t>
      </w:r>
      <w:r>
        <w:rPr>
          <w:rFonts w:cs="Times New Roman"/>
        </w:rPr>
        <w:t xml:space="preserve"> </w:t>
      </w:r>
      <w:r w:rsidRPr="00946540">
        <w:rPr>
          <w:rFonts w:cs="Times New Roman"/>
        </w:rPr>
        <w:t>Repercussões da aposentadoria na dinâmica relacional das redes sociais significativas de aposentados</w:t>
      </w:r>
      <w:r w:rsidRPr="00F94D25">
        <w:rPr>
          <w:rFonts w:cs="Times New Roman"/>
        </w:rPr>
        <w:t xml:space="preserve">. </w:t>
      </w:r>
      <w:r w:rsidRPr="00F94D25">
        <w:rPr>
          <w:rFonts w:cs="Times New Roman"/>
          <w:i/>
        </w:rPr>
        <w:t>Psico</w:t>
      </w:r>
      <w:r w:rsidRPr="00F94D25">
        <w:rPr>
          <w:rFonts w:cs="Times New Roman"/>
        </w:rPr>
        <w:t xml:space="preserve">, </w:t>
      </w:r>
      <w:r w:rsidRPr="00F94D25">
        <w:rPr>
          <w:rFonts w:cs="Times New Roman"/>
          <w:i/>
        </w:rPr>
        <w:t>46</w:t>
      </w:r>
      <w:r w:rsidRPr="00F94D25">
        <w:rPr>
          <w:rFonts w:cs="Times New Roman"/>
        </w:rPr>
        <w:t xml:space="preserve">(4), 432-441. </w:t>
      </w:r>
      <w:hyperlink r:id="rId6" w:history="1">
        <w:r w:rsidR="00E5631F" w:rsidRPr="00710858">
          <w:rPr>
            <w:rStyle w:val="Hyperlink"/>
            <w:rFonts w:cs="Times New Roman"/>
          </w:rPr>
          <w:t>http://dx.doi.org/10.15448/1980-8623.2015.4.19495</w:t>
        </w:r>
      </w:hyperlink>
    </w:p>
    <w:p w14:paraId="165F1E77" w14:textId="72D03C29" w:rsidR="00E5631F" w:rsidRPr="00F94D25" w:rsidRDefault="003C2AED" w:rsidP="00F031C3">
      <w:pPr>
        <w:widowControl w:val="0"/>
        <w:autoSpaceDE w:val="0"/>
        <w:autoSpaceDN w:val="0"/>
        <w:adjustRightInd w:val="0"/>
        <w:spacing w:after="200" w:line="360" w:lineRule="auto"/>
        <w:ind w:left="480" w:hanging="480"/>
        <w:rPr>
          <w:rFonts w:cs="Times New Roman"/>
        </w:rPr>
      </w:pPr>
      <w:r w:rsidRPr="003C2AED">
        <w:rPr>
          <w:rFonts w:cs="Times New Roman"/>
        </w:rPr>
        <w:t xml:space="preserve">Arksey, H., &amp; O’Malley, L. (2005). Scoping studies: towards a methodological framework. </w:t>
      </w:r>
      <w:r w:rsidRPr="003C2AED">
        <w:rPr>
          <w:rFonts w:cs="Times New Roman"/>
          <w:i/>
          <w:iCs/>
        </w:rPr>
        <w:t>International Journal of Social Research Methodology</w:t>
      </w:r>
      <w:r w:rsidRPr="003C2AED">
        <w:rPr>
          <w:rFonts w:cs="Times New Roman"/>
        </w:rPr>
        <w:t xml:space="preserve">, </w:t>
      </w:r>
      <w:r w:rsidRPr="003C2AED">
        <w:rPr>
          <w:rFonts w:cs="Times New Roman"/>
          <w:i/>
          <w:iCs/>
        </w:rPr>
        <w:t>8</w:t>
      </w:r>
      <w:r w:rsidRPr="003C2AED">
        <w:rPr>
          <w:rFonts w:cs="Times New Roman"/>
        </w:rPr>
        <w:t>(1), 19–32. doi:10.1080/1364557032000119616</w:t>
      </w:r>
    </w:p>
    <w:p w14:paraId="66F4578B" w14:textId="77777777" w:rsidR="0034770D" w:rsidRDefault="0034770D" w:rsidP="00F031C3">
      <w:pPr>
        <w:widowControl w:val="0"/>
        <w:autoSpaceDE w:val="0"/>
        <w:autoSpaceDN w:val="0"/>
        <w:adjustRightInd w:val="0"/>
        <w:spacing w:after="200" w:line="360" w:lineRule="auto"/>
        <w:ind w:left="480" w:hanging="480"/>
        <w:rPr>
          <w:rFonts w:cs="Times New Roman"/>
          <w:noProof/>
        </w:rPr>
      </w:pPr>
      <w:r w:rsidRPr="003707F6">
        <w:rPr>
          <w:rFonts w:cs="Times New Roman"/>
          <w:noProof/>
        </w:rPr>
        <w:t xml:space="preserve">Beier, M. E., LoPilato, A. C., &amp; Kanfer, R. (2018). Successful Motivational Aging at Work: Antecedents and Retirement-Related Outcomes. </w:t>
      </w:r>
      <w:r w:rsidRPr="007E71E2">
        <w:rPr>
          <w:rFonts w:cs="Times New Roman"/>
          <w:i/>
          <w:iCs/>
          <w:noProof/>
        </w:rPr>
        <w:t>Work, Aging and Retirement</w:t>
      </w:r>
      <w:r w:rsidRPr="003707F6">
        <w:rPr>
          <w:rFonts w:cs="Times New Roman"/>
          <w:noProof/>
        </w:rPr>
        <w:t xml:space="preserve">, </w:t>
      </w:r>
      <w:r w:rsidRPr="007E71E2">
        <w:rPr>
          <w:rFonts w:cs="Times New Roman"/>
          <w:i/>
          <w:iCs/>
          <w:noProof/>
        </w:rPr>
        <w:t>4</w:t>
      </w:r>
      <w:r w:rsidRPr="003707F6">
        <w:rPr>
          <w:rFonts w:cs="Times New Roman"/>
          <w:noProof/>
        </w:rPr>
        <w:t>(2), 213–224. doi:10.1093/workar/wax034</w:t>
      </w:r>
    </w:p>
    <w:p w14:paraId="46CF691B" w14:textId="77777777" w:rsidR="0034770D" w:rsidRPr="00C8448C" w:rsidRDefault="0034770D" w:rsidP="00F031C3">
      <w:pPr>
        <w:widowControl w:val="0"/>
        <w:autoSpaceDE w:val="0"/>
        <w:autoSpaceDN w:val="0"/>
        <w:adjustRightInd w:val="0"/>
        <w:spacing w:after="200" w:line="360" w:lineRule="auto"/>
        <w:ind w:left="480" w:hanging="480"/>
        <w:rPr>
          <w:rFonts w:cs="Times New Roman"/>
          <w:noProof/>
        </w:rPr>
      </w:pPr>
      <w:r w:rsidRPr="00D12CC9">
        <w:rPr>
          <w:rFonts w:cs="Times New Roman"/>
          <w:noProof/>
        </w:rPr>
        <w:t>Boehs, S. de T. M.,</w:t>
      </w:r>
      <w:r>
        <w:rPr>
          <w:rFonts w:cs="Times New Roman"/>
          <w:noProof/>
        </w:rPr>
        <w:t xml:space="preserve"> Bardagi, M. P., &amp; Silva, N. (2019). </w:t>
      </w:r>
      <w:r w:rsidRPr="00005786">
        <w:rPr>
          <w:rFonts w:cs="Times New Roman"/>
          <w:noProof/>
        </w:rPr>
        <w:t>Trabalho, Aposentadoria e Satisfação de Vida em Aposentados de uma Multinacional</w:t>
      </w:r>
      <w:r>
        <w:rPr>
          <w:rFonts w:cs="Times New Roman"/>
          <w:noProof/>
        </w:rPr>
        <w:t xml:space="preserve">. </w:t>
      </w:r>
      <w:r>
        <w:rPr>
          <w:rFonts w:cs="Times New Roman"/>
          <w:i/>
          <w:iCs/>
          <w:noProof/>
        </w:rPr>
        <w:t>Revista: Organizações e Trabalho</w:t>
      </w:r>
      <w:r>
        <w:rPr>
          <w:rFonts w:cs="Times New Roman"/>
          <w:noProof/>
        </w:rPr>
        <w:t xml:space="preserve">, </w:t>
      </w:r>
      <w:r>
        <w:rPr>
          <w:rFonts w:cs="Times New Roman"/>
          <w:i/>
          <w:iCs/>
          <w:noProof/>
        </w:rPr>
        <w:t>19</w:t>
      </w:r>
      <w:r>
        <w:rPr>
          <w:rFonts w:cs="Times New Roman"/>
          <w:noProof/>
        </w:rPr>
        <w:t xml:space="preserve">(3), 653-661. </w:t>
      </w:r>
      <w:r w:rsidRPr="00E04352">
        <w:rPr>
          <w:rFonts w:cs="Times New Roman"/>
          <w:noProof/>
        </w:rPr>
        <w:t>doi: 10.17652/rpot/2019.3.16310</w:t>
      </w:r>
    </w:p>
    <w:p w14:paraId="1E000315" w14:textId="77777777" w:rsidR="0034770D" w:rsidRPr="00F94D25" w:rsidRDefault="0034770D" w:rsidP="00F031C3">
      <w:pPr>
        <w:widowControl w:val="0"/>
        <w:autoSpaceDE w:val="0"/>
        <w:autoSpaceDN w:val="0"/>
        <w:adjustRightInd w:val="0"/>
        <w:spacing w:after="200" w:line="360" w:lineRule="auto"/>
        <w:ind w:left="480" w:hanging="480"/>
        <w:rPr>
          <w:rFonts w:cs="Times New Roman"/>
          <w:noProof/>
        </w:rPr>
      </w:pPr>
      <w:r w:rsidRPr="00D12CC9">
        <w:rPr>
          <w:rFonts w:cs="Times New Roman"/>
          <w:noProof/>
        </w:rPr>
        <w:t>Boehs, S. de T. M., Costa, A.</w:t>
      </w:r>
      <w:r>
        <w:rPr>
          <w:rFonts w:cs="Times New Roman"/>
          <w:noProof/>
        </w:rPr>
        <w:t xml:space="preserve"> B.,</w:t>
      </w:r>
      <w:r w:rsidRPr="00D12CC9">
        <w:rPr>
          <w:rFonts w:cs="Times New Roman"/>
          <w:noProof/>
        </w:rPr>
        <w:t xml:space="preserve"> &amp; Schmitt, J. (2016). Razões para retorno ao trabalho na aposentadoria: estudo com servidores de uma Universidade Brasileira. </w:t>
      </w:r>
      <w:r w:rsidRPr="00D12CC9">
        <w:rPr>
          <w:rFonts w:cs="Times New Roman"/>
          <w:i/>
          <w:iCs/>
          <w:noProof/>
        </w:rPr>
        <w:t>Revista Kairós Gerontologia</w:t>
      </w:r>
      <w:r w:rsidRPr="00D12CC9">
        <w:rPr>
          <w:rFonts w:cs="Times New Roman"/>
          <w:noProof/>
        </w:rPr>
        <w:t xml:space="preserve">, </w:t>
      </w:r>
      <w:r w:rsidRPr="00D12CC9">
        <w:rPr>
          <w:rFonts w:cs="Times New Roman"/>
          <w:i/>
          <w:iCs/>
          <w:noProof/>
        </w:rPr>
        <w:t>19</w:t>
      </w:r>
      <w:r w:rsidRPr="00D12CC9">
        <w:rPr>
          <w:rFonts w:cs="Times New Roman"/>
          <w:noProof/>
        </w:rPr>
        <w:t>(3), pp. 225-244.</w:t>
      </w:r>
      <w:r>
        <w:rPr>
          <w:rFonts w:cs="Times New Roman"/>
          <w:noProof/>
        </w:rPr>
        <w:t xml:space="preserve"> </w:t>
      </w:r>
    </w:p>
    <w:p w14:paraId="0183010B" w14:textId="77777777" w:rsidR="0034770D" w:rsidRDefault="0034770D" w:rsidP="00F031C3">
      <w:pPr>
        <w:widowControl w:val="0"/>
        <w:autoSpaceDE w:val="0"/>
        <w:autoSpaceDN w:val="0"/>
        <w:adjustRightInd w:val="0"/>
        <w:spacing w:after="200" w:line="360" w:lineRule="auto"/>
        <w:ind w:left="480" w:hanging="480"/>
        <w:rPr>
          <w:rFonts w:cs="Times New Roman"/>
          <w:noProof/>
        </w:rPr>
      </w:pPr>
      <w:r w:rsidRPr="00F94D25">
        <w:rPr>
          <w:rFonts w:cs="Times New Roman"/>
          <w:noProof/>
        </w:rPr>
        <w:t xml:space="preserve">Boehs, S. T. M., Medina, P. F., Bardagi, M. P., &amp; Silva, N. (2017). Revisão da literatura latino-americana sobre aposentadoria e trabalho: Perspectivas psicológicas. </w:t>
      </w:r>
      <w:r w:rsidRPr="00F94D25">
        <w:rPr>
          <w:rFonts w:cs="Times New Roman"/>
          <w:i/>
          <w:iCs/>
          <w:noProof/>
        </w:rPr>
        <w:t>Revista Psicologia: Organizações e Trabalho</w:t>
      </w:r>
      <w:r w:rsidRPr="00F94D25">
        <w:rPr>
          <w:rFonts w:cs="Times New Roman"/>
          <w:noProof/>
        </w:rPr>
        <w:t xml:space="preserve">, </w:t>
      </w:r>
      <w:r w:rsidRPr="00F94D25">
        <w:rPr>
          <w:rFonts w:cs="Times New Roman"/>
          <w:i/>
          <w:iCs/>
          <w:noProof/>
        </w:rPr>
        <w:t>17</w:t>
      </w:r>
      <w:r w:rsidRPr="00F94D25">
        <w:rPr>
          <w:rFonts w:cs="Times New Roman"/>
          <w:noProof/>
        </w:rPr>
        <w:t>(1), 54-61. Doi: 10.17652/rpot/2017.1.11598</w:t>
      </w:r>
    </w:p>
    <w:p w14:paraId="19CBB041" w14:textId="77777777" w:rsidR="0034770D" w:rsidRDefault="0034770D" w:rsidP="00F031C3">
      <w:pPr>
        <w:widowControl w:val="0"/>
        <w:autoSpaceDE w:val="0"/>
        <w:autoSpaceDN w:val="0"/>
        <w:adjustRightInd w:val="0"/>
        <w:spacing w:after="200" w:line="360" w:lineRule="auto"/>
        <w:ind w:left="480" w:hanging="480"/>
        <w:rPr>
          <w:rFonts w:cs="Times New Roman"/>
        </w:rPr>
      </w:pPr>
      <w:r>
        <w:rPr>
          <w:rFonts w:cs="Times New Roman"/>
          <w:noProof/>
        </w:rPr>
        <w:t xml:space="preserve">Boehs, S. T. M., &amp; Silva, N. (2017). </w:t>
      </w:r>
      <w:r w:rsidRPr="002F6098">
        <w:rPr>
          <w:rFonts w:cs="Times New Roman"/>
          <w:noProof/>
        </w:rPr>
        <w:t>Papel de trabalho, carreira, satisfação de vida e ajuste na aposentadoria</w:t>
      </w:r>
      <w:r>
        <w:rPr>
          <w:rFonts w:cs="Times New Roman"/>
          <w:noProof/>
        </w:rPr>
        <w:t xml:space="preserve">. </w:t>
      </w:r>
      <w:r>
        <w:rPr>
          <w:rFonts w:cs="Times New Roman"/>
          <w:i/>
          <w:iCs/>
        </w:rPr>
        <w:t>Revista Brasileira de Orientação Profissional</w:t>
      </w:r>
      <w:r>
        <w:rPr>
          <w:rFonts w:cs="Times New Roman"/>
        </w:rPr>
        <w:t xml:space="preserve">, </w:t>
      </w:r>
      <w:r>
        <w:rPr>
          <w:rFonts w:cs="Times New Roman"/>
          <w:i/>
          <w:iCs/>
        </w:rPr>
        <w:t>18</w:t>
      </w:r>
      <w:r>
        <w:rPr>
          <w:rFonts w:cs="Times New Roman"/>
        </w:rPr>
        <w:t xml:space="preserve">(2), 141-153. </w:t>
      </w:r>
      <w:r w:rsidRPr="00AA7E6D">
        <w:rPr>
          <w:rFonts w:cs="Times New Roman"/>
        </w:rPr>
        <w:t>http://dx.doi.org/10.26707/1984-7270/2017v18n2p141</w:t>
      </w:r>
    </w:p>
    <w:p w14:paraId="36357C5D" w14:textId="77777777" w:rsidR="0034770D" w:rsidRPr="00401A2A" w:rsidRDefault="0034770D" w:rsidP="00F031C3">
      <w:pPr>
        <w:widowControl w:val="0"/>
        <w:autoSpaceDE w:val="0"/>
        <w:autoSpaceDN w:val="0"/>
        <w:adjustRightInd w:val="0"/>
        <w:spacing w:after="200" w:line="360" w:lineRule="auto"/>
        <w:ind w:left="480" w:hanging="480"/>
        <w:rPr>
          <w:rFonts w:cs="Times New Roman"/>
          <w:noProof/>
        </w:rPr>
      </w:pPr>
      <w:r>
        <w:rPr>
          <w:rFonts w:cs="Times New Roman"/>
        </w:rPr>
        <w:t xml:space="preserve">Bonifácio, D. P., &amp; Scorsolini-Comin, F. (2019). </w:t>
      </w:r>
      <w:r w:rsidRPr="00E57D15">
        <w:rPr>
          <w:rFonts w:cs="Times New Roman"/>
        </w:rPr>
        <w:t xml:space="preserve">Preparação </w:t>
      </w:r>
      <w:r>
        <w:rPr>
          <w:rFonts w:cs="Times New Roman"/>
        </w:rPr>
        <w:t>p</w:t>
      </w:r>
      <w:r w:rsidRPr="00E57D15">
        <w:rPr>
          <w:rFonts w:cs="Times New Roman"/>
        </w:rPr>
        <w:t xml:space="preserve">ara </w:t>
      </w:r>
      <w:r>
        <w:rPr>
          <w:rFonts w:cs="Times New Roman"/>
        </w:rPr>
        <w:t>a</w:t>
      </w:r>
      <w:r w:rsidRPr="00E57D15">
        <w:rPr>
          <w:rFonts w:cs="Times New Roman"/>
        </w:rPr>
        <w:t xml:space="preserve"> Aposentadoria: relato de uma intervenção clínica na abordagem da psicologia positiva</w:t>
      </w:r>
      <w:r>
        <w:rPr>
          <w:rFonts w:cs="Times New Roman"/>
        </w:rPr>
        <w:t xml:space="preserve">. </w:t>
      </w:r>
      <w:r>
        <w:rPr>
          <w:rFonts w:cs="Times New Roman"/>
          <w:i/>
          <w:iCs/>
        </w:rPr>
        <w:t>Phenomenological Studies - Revista da Abordagem Gestáltica</w:t>
      </w:r>
      <w:r>
        <w:rPr>
          <w:rFonts w:cs="Times New Roman"/>
        </w:rPr>
        <w:t xml:space="preserve">, </w:t>
      </w:r>
      <w:r>
        <w:rPr>
          <w:rFonts w:cs="Times New Roman"/>
          <w:i/>
          <w:iCs/>
        </w:rPr>
        <w:t>25</w:t>
      </w:r>
      <w:r>
        <w:rPr>
          <w:rFonts w:cs="Times New Roman"/>
        </w:rPr>
        <w:t xml:space="preserve">(3), 237-245. Doi: </w:t>
      </w:r>
      <w:r w:rsidRPr="00401A2A">
        <w:rPr>
          <w:rFonts w:cs="Times New Roman"/>
        </w:rPr>
        <w:t>10.18065/RAG.2019v25n3.2</w:t>
      </w:r>
    </w:p>
    <w:p w14:paraId="3CF0DD74" w14:textId="77777777" w:rsidR="0034770D" w:rsidRDefault="0034770D" w:rsidP="00F031C3">
      <w:pPr>
        <w:widowControl w:val="0"/>
        <w:autoSpaceDE w:val="0"/>
        <w:autoSpaceDN w:val="0"/>
        <w:adjustRightInd w:val="0"/>
        <w:spacing w:after="200" w:line="360" w:lineRule="auto"/>
        <w:ind w:left="480" w:hanging="480"/>
        <w:rPr>
          <w:rFonts w:cs="Times New Roman"/>
          <w:noProof/>
        </w:rPr>
      </w:pPr>
      <w:r>
        <w:rPr>
          <w:rFonts w:cs="Times New Roman"/>
          <w:noProof/>
        </w:rPr>
        <w:t xml:space="preserve">Borsoi, I. C. F., &amp; Pereira, F. S. (2017). </w:t>
      </w:r>
      <w:r w:rsidRPr="003D237C">
        <w:rPr>
          <w:rFonts w:cs="Times New Roman"/>
          <w:noProof/>
        </w:rPr>
        <w:t xml:space="preserve">Perspectivas acerca da aposentadoria na percepção de </w:t>
      </w:r>
      <w:r w:rsidRPr="003D237C">
        <w:rPr>
          <w:rFonts w:cs="Times New Roman"/>
          <w:noProof/>
        </w:rPr>
        <w:lastRenderedPageBreak/>
        <w:t>docentes de uma universidade pública federal</w:t>
      </w:r>
      <w:r>
        <w:rPr>
          <w:rFonts w:cs="Times New Roman"/>
          <w:noProof/>
        </w:rPr>
        <w:t xml:space="preserve">. </w:t>
      </w:r>
      <w:r w:rsidRPr="00254ED0">
        <w:rPr>
          <w:rFonts w:cs="Times New Roman"/>
          <w:i/>
          <w:iCs/>
          <w:noProof/>
        </w:rPr>
        <w:t>Cadernos de Psicologia Social do Trabalho</w:t>
      </w:r>
      <w:r w:rsidRPr="00254ED0">
        <w:rPr>
          <w:rFonts w:cs="Times New Roman"/>
          <w:noProof/>
        </w:rPr>
        <w:t xml:space="preserve">, </w:t>
      </w:r>
      <w:r w:rsidRPr="00254ED0">
        <w:rPr>
          <w:rFonts w:cs="Times New Roman"/>
          <w:i/>
          <w:iCs/>
          <w:noProof/>
        </w:rPr>
        <w:t>20</w:t>
      </w:r>
      <w:r>
        <w:rPr>
          <w:rFonts w:cs="Times New Roman"/>
          <w:noProof/>
        </w:rPr>
        <w:t>(</w:t>
      </w:r>
      <w:r w:rsidRPr="00254ED0">
        <w:rPr>
          <w:rFonts w:cs="Times New Roman"/>
          <w:noProof/>
        </w:rPr>
        <w:t>2</w:t>
      </w:r>
      <w:r>
        <w:rPr>
          <w:rFonts w:cs="Times New Roman"/>
          <w:noProof/>
        </w:rPr>
        <w:t>)</w:t>
      </w:r>
      <w:r w:rsidRPr="00254ED0">
        <w:rPr>
          <w:rFonts w:cs="Times New Roman"/>
          <w:noProof/>
        </w:rPr>
        <w:t xml:space="preserve">, </w:t>
      </w:r>
      <w:r>
        <w:rPr>
          <w:rFonts w:cs="Times New Roman"/>
          <w:noProof/>
        </w:rPr>
        <w:t>1</w:t>
      </w:r>
      <w:r w:rsidRPr="00254ED0">
        <w:rPr>
          <w:rFonts w:cs="Times New Roman"/>
          <w:noProof/>
        </w:rPr>
        <w:t>73-186 – DOI: 10.11606/issn.1981-0490.v20i2p173-186</w:t>
      </w:r>
    </w:p>
    <w:p w14:paraId="7F6C8F3E" w14:textId="77777777" w:rsidR="0034770D" w:rsidRDefault="0034770D" w:rsidP="00F031C3">
      <w:pPr>
        <w:widowControl w:val="0"/>
        <w:autoSpaceDE w:val="0"/>
        <w:autoSpaceDN w:val="0"/>
        <w:adjustRightInd w:val="0"/>
        <w:spacing w:after="200" w:line="360" w:lineRule="auto"/>
        <w:ind w:left="480" w:hanging="480"/>
        <w:rPr>
          <w:rFonts w:cs="Times New Roman"/>
          <w:noProof/>
        </w:rPr>
      </w:pPr>
      <w:r>
        <w:rPr>
          <w:rFonts w:cs="Times New Roman"/>
          <w:noProof/>
        </w:rPr>
        <w:t xml:space="preserve">Brito, J. P., Araújo, L. F., &amp; Belo, R. P. (2021). </w:t>
      </w:r>
      <w:r w:rsidRPr="00CC144F">
        <w:rPr>
          <w:rFonts w:cs="Times New Roman"/>
          <w:noProof/>
        </w:rPr>
        <w:t xml:space="preserve">Aposentadoria e Envelhecimento: Estudo das Representações Sociais entre Mulheres Idosas. </w:t>
      </w:r>
      <w:r w:rsidRPr="00CC144F">
        <w:rPr>
          <w:rFonts w:cs="Times New Roman"/>
          <w:i/>
          <w:iCs/>
          <w:noProof/>
        </w:rPr>
        <w:t>Psicología desde el Caribe</w:t>
      </w:r>
      <w:r w:rsidRPr="00CC144F">
        <w:rPr>
          <w:rFonts w:cs="Times New Roman"/>
          <w:noProof/>
        </w:rPr>
        <w:t xml:space="preserve">, </w:t>
      </w:r>
      <w:r w:rsidRPr="00CC144F">
        <w:rPr>
          <w:rFonts w:cs="Times New Roman"/>
          <w:i/>
          <w:iCs/>
          <w:noProof/>
        </w:rPr>
        <w:t>38</w:t>
      </w:r>
      <w:r w:rsidRPr="00CC144F">
        <w:rPr>
          <w:rFonts w:cs="Times New Roman"/>
          <w:noProof/>
        </w:rPr>
        <w:t>(2), 238-255.</w:t>
      </w:r>
      <w:r>
        <w:rPr>
          <w:rFonts w:cs="Times New Roman"/>
          <w:noProof/>
        </w:rPr>
        <w:t xml:space="preserve"> </w:t>
      </w:r>
      <w:r w:rsidRPr="00181A13">
        <w:rPr>
          <w:rFonts w:cs="Times New Roman"/>
          <w:noProof/>
        </w:rPr>
        <w:t>https://dx.doi.org/10.14482/psdc.38.2.305.4</w:t>
      </w:r>
    </w:p>
    <w:p w14:paraId="02C03124" w14:textId="77777777" w:rsidR="0034770D" w:rsidRDefault="0034770D" w:rsidP="00F031C3">
      <w:pPr>
        <w:widowControl w:val="0"/>
        <w:autoSpaceDE w:val="0"/>
        <w:autoSpaceDN w:val="0"/>
        <w:adjustRightInd w:val="0"/>
        <w:spacing w:after="200" w:line="360" w:lineRule="auto"/>
        <w:ind w:left="480" w:hanging="480"/>
        <w:rPr>
          <w:rFonts w:cs="Times New Roman"/>
          <w:noProof/>
        </w:rPr>
      </w:pPr>
      <w:r>
        <w:rPr>
          <w:rFonts w:cs="Times New Roman"/>
          <w:noProof/>
        </w:rPr>
        <w:t xml:space="preserve">Carneiro, M. F. C., Alves, V. P., &amp; Silva, H. S. (2021). </w:t>
      </w:r>
      <w:r w:rsidRPr="00AD18F6">
        <w:rPr>
          <w:rFonts w:cs="Times New Roman"/>
          <w:noProof/>
        </w:rPr>
        <w:t>Aposentadoria e planejamento para vida pós-trabalho: um estudo com servidores de um Instituto Federal de Educação</w:t>
      </w:r>
      <w:r>
        <w:rPr>
          <w:rFonts w:cs="Times New Roman"/>
          <w:noProof/>
        </w:rPr>
        <w:t xml:space="preserve">. </w:t>
      </w:r>
      <w:r>
        <w:rPr>
          <w:rFonts w:cs="Times New Roman"/>
          <w:i/>
          <w:iCs/>
          <w:noProof/>
        </w:rPr>
        <w:t>Revista Brasileira de Geriatria e Gerontologia</w:t>
      </w:r>
      <w:r>
        <w:rPr>
          <w:rFonts w:cs="Times New Roman"/>
          <w:noProof/>
        </w:rPr>
        <w:t xml:space="preserve">, </w:t>
      </w:r>
      <w:r>
        <w:rPr>
          <w:rFonts w:cs="Times New Roman"/>
          <w:i/>
          <w:iCs/>
          <w:noProof/>
        </w:rPr>
        <w:t>24</w:t>
      </w:r>
      <w:r>
        <w:rPr>
          <w:rFonts w:cs="Times New Roman"/>
          <w:noProof/>
        </w:rPr>
        <w:t xml:space="preserve">(1), 1-13. </w:t>
      </w:r>
      <w:r w:rsidRPr="00835858">
        <w:rPr>
          <w:rFonts w:cs="Times New Roman"/>
          <w:noProof/>
        </w:rPr>
        <w:t>http://dx.doi.org/10.1590/1981-22562020023.200235</w:t>
      </w:r>
    </w:p>
    <w:p w14:paraId="2229F00C" w14:textId="77777777" w:rsidR="0034770D" w:rsidRPr="000531DF" w:rsidRDefault="0034770D" w:rsidP="00F031C3">
      <w:pPr>
        <w:widowControl w:val="0"/>
        <w:autoSpaceDE w:val="0"/>
        <w:autoSpaceDN w:val="0"/>
        <w:adjustRightInd w:val="0"/>
        <w:spacing w:after="200" w:line="360" w:lineRule="auto"/>
        <w:ind w:left="480" w:hanging="480"/>
        <w:rPr>
          <w:rFonts w:cs="Times New Roman"/>
          <w:noProof/>
        </w:rPr>
      </w:pPr>
      <w:r>
        <w:rPr>
          <w:rFonts w:cs="Times New Roman"/>
          <w:noProof/>
        </w:rPr>
        <w:t xml:space="preserve">Carvalho, L. S. M., Rodrigues, M. S., &amp; Oliveira, A. L. (2021). </w:t>
      </w:r>
      <w:r w:rsidRPr="000531DF">
        <w:rPr>
          <w:rFonts w:cs="Times New Roman"/>
          <w:noProof/>
        </w:rPr>
        <w:t>Aposentadoria na perspectiva de trabalhadores do setor privado</w:t>
      </w:r>
      <w:r>
        <w:rPr>
          <w:rFonts w:cs="Times New Roman"/>
          <w:noProof/>
        </w:rPr>
        <w:t xml:space="preserve">. </w:t>
      </w:r>
      <w:r>
        <w:rPr>
          <w:rFonts w:cs="Times New Roman"/>
          <w:i/>
          <w:iCs/>
          <w:noProof/>
        </w:rPr>
        <w:t>Mudanças - Psicologia da Saúde</w:t>
      </w:r>
      <w:r>
        <w:rPr>
          <w:rFonts w:cs="Times New Roman"/>
          <w:noProof/>
        </w:rPr>
        <w:t xml:space="preserve">, </w:t>
      </w:r>
      <w:r>
        <w:rPr>
          <w:rFonts w:cs="Times New Roman"/>
          <w:i/>
          <w:iCs/>
          <w:noProof/>
        </w:rPr>
        <w:t>29</w:t>
      </w:r>
      <w:r>
        <w:rPr>
          <w:rFonts w:cs="Times New Roman"/>
          <w:noProof/>
        </w:rPr>
        <w:t>(1), 21-31. Doi:</w:t>
      </w:r>
      <w:r w:rsidRPr="00DA6F6A">
        <w:rPr>
          <w:rFonts w:cs="Times New Roman"/>
          <w:noProof/>
        </w:rPr>
        <w:t xml:space="preserve"> 10.15603/2176-1019/mud.v29n1p21-31</w:t>
      </w:r>
    </w:p>
    <w:p w14:paraId="3DEAB828" w14:textId="77777777" w:rsidR="0034770D" w:rsidRPr="00275135" w:rsidRDefault="0034770D" w:rsidP="00F031C3">
      <w:pPr>
        <w:widowControl w:val="0"/>
        <w:autoSpaceDE w:val="0"/>
        <w:autoSpaceDN w:val="0"/>
        <w:adjustRightInd w:val="0"/>
        <w:spacing w:after="200" w:line="360" w:lineRule="auto"/>
        <w:ind w:left="480" w:hanging="480"/>
        <w:rPr>
          <w:rFonts w:cs="Times New Roman"/>
          <w:noProof/>
        </w:rPr>
      </w:pPr>
      <w:r>
        <w:rPr>
          <w:rFonts w:cs="Times New Roman"/>
          <w:noProof/>
        </w:rPr>
        <w:t xml:space="preserve">Castilho, R. B. &amp; Pilati, R. (2021). </w:t>
      </w:r>
      <w:r w:rsidRPr="00E16BFA">
        <w:rPr>
          <w:rFonts w:cs="Times New Roman"/>
          <w:noProof/>
        </w:rPr>
        <w:t>Traços de Personalidade como Preditores da Percepção de Futuro da Aposentadoria</w:t>
      </w:r>
      <w:r>
        <w:rPr>
          <w:rFonts w:cs="Times New Roman"/>
          <w:noProof/>
        </w:rPr>
        <w:t xml:space="preserve">. </w:t>
      </w:r>
      <w:r>
        <w:rPr>
          <w:rFonts w:cs="Times New Roman"/>
          <w:i/>
          <w:iCs/>
          <w:noProof/>
        </w:rPr>
        <w:t>Revista Psicologia: organizações e trabalho</w:t>
      </w:r>
      <w:r>
        <w:rPr>
          <w:rFonts w:cs="Times New Roman"/>
          <w:noProof/>
        </w:rPr>
        <w:t xml:space="preserve">, </w:t>
      </w:r>
      <w:r w:rsidRPr="00275135">
        <w:rPr>
          <w:rFonts w:cs="Times New Roman"/>
          <w:i/>
          <w:iCs/>
          <w:noProof/>
        </w:rPr>
        <w:t>21</w:t>
      </w:r>
      <w:r>
        <w:rPr>
          <w:rFonts w:cs="Times New Roman"/>
          <w:noProof/>
        </w:rPr>
        <w:t xml:space="preserve">(1), 1414-1419. </w:t>
      </w:r>
      <w:r w:rsidRPr="002F3AAC">
        <w:rPr>
          <w:rFonts w:cs="Times New Roman"/>
          <w:noProof/>
        </w:rPr>
        <w:t>https://doi.org/10.5935/rpot/2021.1.19498</w:t>
      </w:r>
    </w:p>
    <w:p w14:paraId="70A79F0F" w14:textId="77777777" w:rsidR="0034770D" w:rsidRPr="00D47117" w:rsidRDefault="0034770D" w:rsidP="00F031C3">
      <w:pPr>
        <w:widowControl w:val="0"/>
        <w:autoSpaceDE w:val="0"/>
        <w:autoSpaceDN w:val="0"/>
        <w:adjustRightInd w:val="0"/>
        <w:spacing w:after="200" w:line="360" w:lineRule="auto"/>
        <w:ind w:left="480" w:hanging="480"/>
        <w:rPr>
          <w:rFonts w:cs="Times New Roman"/>
          <w:noProof/>
        </w:rPr>
      </w:pPr>
      <w:r>
        <w:rPr>
          <w:rFonts w:cs="Times New Roman"/>
          <w:noProof/>
        </w:rPr>
        <w:t xml:space="preserve">Cunha, N. A., Scorsolini-Comin, F., &amp; Marin, R. C. (2021). </w:t>
      </w:r>
      <w:r w:rsidRPr="00857F1B">
        <w:rPr>
          <w:rFonts w:cs="Times New Roman"/>
          <w:noProof/>
        </w:rPr>
        <w:t>Intervenções psicológicas no processo de aposentadoria: revisão integrativa da literatura brasileira</w:t>
      </w:r>
      <w:r>
        <w:rPr>
          <w:rFonts w:cs="Times New Roman"/>
          <w:noProof/>
        </w:rPr>
        <w:t xml:space="preserve">. </w:t>
      </w:r>
      <w:r>
        <w:rPr>
          <w:rFonts w:cs="Times New Roman"/>
          <w:i/>
          <w:iCs/>
          <w:noProof/>
        </w:rPr>
        <w:t>Revista Psicologia e Saúde</w:t>
      </w:r>
      <w:r>
        <w:rPr>
          <w:rFonts w:cs="Times New Roman"/>
          <w:noProof/>
        </w:rPr>
        <w:t xml:space="preserve">, </w:t>
      </w:r>
      <w:r>
        <w:rPr>
          <w:rFonts w:cs="Times New Roman"/>
          <w:i/>
          <w:iCs/>
          <w:noProof/>
        </w:rPr>
        <w:t>13</w:t>
      </w:r>
      <w:r>
        <w:rPr>
          <w:rFonts w:cs="Times New Roman"/>
          <w:noProof/>
        </w:rPr>
        <w:t xml:space="preserve">(1), 3-18. </w:t>
      </w:r>
      <w:r w:rsidRPr="0046101B">
        <w:rPr>
          <w:rFonts w:cs="Times New Roman"/>
          <w:noProof/>
        </w:rPr>
        <w:t>http://dx.doi.org/10.20435/pssa.v13i1.1012</w:t>
      </w:r>
    </w:p>
    <w:p w14:paraId="698DFC0E" w14:textId="77777777" w:rsidR="0034770D" w:rsidRPr="0010363D" w:rsidRDefault="0034770D" w:rsidP="00F031C3">
      <w:pPr>
        <w:widowControl w:val="0"/>
        <w:autoSpaceDE w:val="0"/>
        <w:autoSpaceDN w:val="0"/>
        <w:adjustRightInd w:val="0"/>
        <w:spacing w:after="200" w:line="360" w:lineRule="auto"/>
        <w:ind w:left="480" w:hanging="480"/>
        <w:rPr>
          <w:rFonts w:cs="Times New Roman"/>
          <w:color w:val="000000"/>
          <w:shd w:val="clear" w:color="auto" w:fill="FFFFFF"/>
        </w:rPr>
      </w:pPr>
      <w:r>
        <w:rPr>
          <w:rFonts w:cs="Times New Roman"/>
          <w:color w:val="000000"/>
          <w:shd w:val="clear" w:color="auto" w:fill="FFFFFF"/>
        </w:rPr>
        <w:t xml:space="preserve">Durgante, H., &amp; Dell'Aglio, D. D. (2019). </w:t>
      </w:r>
      <w:r w:rsidRPr="00D51779">
        <w:rPr>
          <w:rFonts w:cs="Times New Roman"/>
          <w:color w:val="000000"/>
          <w:shd w:val="clear" w:color="auto" w:fill="FFFFFF"/>
        </w:rPr>
        <w:t>Multicomponent positive psychology intervention for health promotion of Brazilian retirees: a quasi-experimental study</w:t>
      </w:r>
      <w:r>
        <w:rPr>
          <w:rFonts w:cs="Times New Roman"/>
          <w:color w:val="000000"/>
          <w:shd w:val="clear" w:color="auto" w:fill="FFFFFF"/>
        </w:rPr>
        <w:t xml:space="preserve">. </w:t>
      </w:r>
      <w:r>
        <w:rPr>
          <w:rFonts w:cs="Times New Roman"/>
          <w:i/>
          <w:iCs/>
          <w:color w:val="000000"/>
          <w:shd w:val="clear" w:color="auto" w:fill="FFFFFF"/>
        </w:rPr>
        <w:t>Psicologia: Reflexão e Crítica</w:t>
      </w:r>
      <w:r>
        <w:rPr>
          <w:rFonts w:cs="Times New Roman"/>
          <w:color w:val="000000"/>
          <w:shd w:val="clear" w:color="auto" w:fill="FFFFFF"/>
        </w:rPr>
        <w:t xml:space="preserve">, </w:t>
      </w:r>
      <w:r>
        <w:rPr>
          <w:rFonts w:cs="Times New Roman"/>
          <w:i/>
          <w:iCs/>
          <w:color w:val="000000"/>
          <w:shd w:val="clear" w:color="auto" w:fill="FFFFFF"/>
        </w:rPr>
        <w:t>32</w:t>
      </w:r>
      <w:r>
        <w:rPr>
          <w:rFonts w:cs="Times New Roman"/>
          <w:color w:val="000000"/>
          <w:shd w:val="clear" w:color="auto" w:fill="FFFFFF"/>
        </w:rPr>
        <w:t xml:space="preserve">(6), 1-14. </w:t>
      </w:r>
      <w:r w:rsidRPr="00F90793">
        <w:rPr>
          <w:rFonts w:cs="Times New Roman"/>
          <w:color w:val="000000"/>
          <w:shd w:val="clear" w:color="auto" w:fill="FFFFFF"/>
        </w:rPr>
        <w:t>https://doi.org/10.1186/s41155-019-0119-2</w:t>
      </w:r>
    </w:p>
    <w:p w14:paraId="63B1667C" w14:textId="77777777" w:rsidR="0034770D" w:rsidRPr="0048758C" w:rsidRDefault="0034770D" w:rsidP="00F031C3">
      <w:pPr>
        <w:widowControl w:val="0"/>
        <w:autoSpaceDE w:val="0"/>
        <w:autoSpaceDN w:val="0"/>
        <w:adjustRightInd w:val="0"/>
        <w:spacing w:after="200" w:line="360" w:lineRule="auto"/>
        <w:ind w:left="480" w:hanging="480"/>
        <w:rPr>
          <w:rFonts w:cs="Times New Roman"/>
          <w:noProof/>
        </w:rPr>
      </w:pPr>
      <w:r w:rsidRPr="00F05C0F">
        <w:rPr>
          <w:rFonts w:cs="Times New Roman"/>
          <w:noProof/>
        </w:rPr>
        <w:t>Emenda Constitucional n° 103, de 12 de novembro de 2019.</w:t>
      </w:r>
      <w:r w:rsidRPr="003707F6">
        <w:rPr>
          <w:rFonts w:cs="Times New Roman"/>
          <w:noProof/>
        </w:rPr>
        <w:t xml:space="preserve"> </w:t>
      </w:r>
      <w:r>
        <w:rPr>
          <w:rFonts w:cs="Times New Roman"/>
          <w:noProof/>
        </w:rPr>
        <w:t xml:space="preserve">(2019, 12 de novembro). </w:t>
      </w:r>
      <w:r w:rsidRPr="003707F6">
        <w:rPr>
          <w:rFonts w:cs="Times New Roman"/>
          <w:noProof/>
        </w:rPr>
        <w:t>Altera o sistema de previdência social e estabelece regras de transição e disposições transitórias. Presidência da república.</w:t>
      </w:r>
      <w:r>
        <w:rPr>
          <w:rFonts w:cs="Times New Roman"/>
          <w:noProof/>
        </w:rPr>
        <w:t xml:space="preserve"> </w:t>
      </w:r>
      <w:r w:rsidRPr="0048758C">
        <w:rPr>
          <w:rFonts w:cs="Times New Roman"/>
          <w:noProof/>
        </w:rPr>
        <w:t>https://www.planalto.gov.br/ccivil_03/constituicao/emendas/emc/emc103.htm</w:t>
      </w:r>
    </w:p>
    <w:p w14:paraId="27B598E9" w14:textId="77777777" w:rsidR="0034770D" w:rsidRPr="00EF773B" w:rsidRDefault="0034770D" w:rsidP="00F031C3">
      <w:pPr>
        <w:widowControl w:val="0"/>
        <w:autoSpaceDE w:val="0"/>
        <w:autoSpaceDN w:val="0"/>
        <w:adjustRightInd w:val="0"/>
        <w:spacing w:after="200" w:line="360" w:lineRule="auto"/>
        <w:ind w:left="480" w:hanging="480"/>
        <w:rPr>
          <w:rFonts w:cs="Times New Roman"/>
          <w:noProof/>
        </w:rPr>
      </w:pPr>
      <w:r>
        <w:rPr>
          <w:rFonts w:cs="Times New Roman"/>
          <w:noProof/>
        </w:rPr>
        <w:t xml:space="preserve">Figueira, D. A. M., Haddad, M. C. L., &amp; Gvozd, R. (2016). Perceptions of pre-retired employees of a public university about retirement. </w:t>
      </w:r>
      <w:r>
        <w:rPr>
          <w:rFonts w:cs="Times New Roman"/>
          <w:i/>
          <w:iCs/>
          <w:noProof/>
        </w:rPr>
        <w:t>Revista Rene</w:t>
      </w:r>
      <w:r>
        <w:rPr>
          <w:rFonts w:cs="Times New Roman"/>
          <w:noProof/>
        </w:rPr>
        <w:t xml:space="preserve">, </w:t>
      </w:r>
      <w:r>
        <w:rPr>
          <w:rFonts w:cs="Times New Roman"/>
          <w:i/>
          <w:iCs/>
          <w:noProof/>
        </w:rPr>
        <w:t>17</w:t>
      </w:r>
      <w:r>
        <w:rPr>
          <w:rFonts w:cs="Times New Roman"/>
          <w:noProof/>
        </w:rPr>
        <w:t xml:space="preserve">(4), 529-536. </w:t>
      </w:r>
      <w:r w:rsidRPr="004C6CCB">
        <w:rPr>
          <w:rFonts w:cs="Times New Roman"/>
          <w:noProof/>
        </w:rPr>
        <w:t>DOI: 10.15253/2175-6783.2016000400013</w:t>
      </w:r>
    </w:p>
    <w:p w14:paraId="7CB7F1C4" w14:textId="77777777" w:rsidR="0034770D" w:rsidRPr="0056683E" w:rsidRDefault="0034770D" w:rsidP="00F031C3">
      <w:pPr>
        <w:widowControl w:val="0"/>
        <w:autoSpaceDE w:val="0"/>
        <w:autoSpaceDN w:val="0"/>
        <w:adjustRightInd w:val="0"/>
        <w:spacing w:after="200" w:line="360" w:lineRule="auto"/>
        <w:ind w:left="480" w:hanging="480"/>
        <w:rPr>
          <w:rFonts w:cs="Times New Roman"/>
          <w:noProof/>
        </w:rPr>
      </w:pPr>
      <w:r>
        <w:rPr>
          <w:rFonts w:cs="Times New Roman"/>
          <w:noProof/>
        </w:rPr>
        <w:t xml:space="preserve">Figueira, D. A. M., Haddad, M. C. L., Gvozd, R., &amp; Pissinati, P. S. C. (2017). </w:t>
      </w:r>
      <w:r w:rsidRPr="00F147F3">
        <w:rPr>
          <w:rFonts w:cs="Times New Roman"/>
          <w:noProof/>
        </w:rPr>
        <w:t xml:space="preserve">A tomada de </w:t>
      </w:r>
      <w:r w:rsidRPr="00F147F3">
        <w:rPr>
          <w:rFonts w:cs="Times New Roman"/>
          <w:noProof/>
        </w:rPr>
        <w:lastRenderedPageBreak/>
        <w:t>decisão da aposentadoria influenciada pelas relações familiares e laborais</w:t>
      </w:r>
      <w:r>
        <w:rPr>
          <w:rFonts w:cs="Times New Roman"/>
          <w:noProof/>
        </w:rPr>
        <w:t xml:space="preserve">. </w:t>
      </w:r>
      <w:r>
        <w:rPr>
          <w:rFonts w:cs="Times New Roman"/>
          <w:i/>
          <w:iCs/>
          <w:noProof/>
        </w:rPr>
        <w:t>Revista Brasileira de Geriatria e Gerontologia</w:t>
      </w:r>
      <w:r>
        <w:rPr>
          <w:rFonts w:cs="Times New Roman"/>
          <w:noProof/>
        </w:rPr>
        <w:t xml:space="preserve">, </w:t>
      </w:r>
      <w:r>
        <w:rPr>
          <w:rFonts w:cs="Times New Roman"/>
          <w:i/>
          <w:iCs/>
          <w:noProof/>
        </w:rPr>
        <w:t>20</w:t>
      </w:r>
      <w:r>
        <w:rPr>
          <w:rFonts w:cs="Times New Roman"/>
          <w:noProof/>
        </w:rPr>
        <w:t xml:space="preserve">(2), 207-215. </w:t>
      </w:r>
      <w:r w:rsidRPr="009C6DC6">
        <w:rPr>
          <w:rFonts w:cs="Times New Roman"/>
          <w:noProof/>
        </w:rPr>
        <w:t>http://dx.doi.org/10.1590/1981-22562017020.160127</w:t>
      </w:r>
    </w:p>
    <w:p w14:paraId="37C2E537" w14:textId="77777777" w:rsidR="0034770D" w:rsidRPr="00166E4F" w:rsidRDefault="0034770D" w:rsidP="00F031C3">
      <w:pPr>
        <w:widowControl w:val="0"/>
        <w:autoSpaceDE w:val="0"/>
        <w:autoSpaceDN w:val="0"/>
        <w:adjustRightInd w:val="0"/>
        <w:spacing w:after="200" w:line="360" w:lineRule="auto"/>
        <w:ind w:left="480" w:hanging="480"/>
        <w:rPr>
          <w:rFonts w:cs="Times New Roman"/>
          <w:i/>
          <w:iCs/>
          <w:noProof/>
          <w:lang w:val="en-US"/>
        </w:rPr>
      </w:pPr>
      <w:r>
        <w:rPr>
          <w:rFonts w:cs="Times New Roman"/>
          <w:noProof/>
          <w:lang w:val="en-US"/>
        </w:rPr>
        <w:t xml:space="preserve">Freitas, M. C., Campos, T. C., &amp; Gil, C. A. (2017). </w:t>
      </w:r>
      <w:r w:rsidRPr="002C77C7">
        <w:rPr>
          <w:rFonts w:cs="Times New Roman"/>
          <w:noProof/>
          <w:lang w:val="en-US"/>
        </w:rPr>
        <w:t xml:space="preserve">Expectativas </w:t>
      </w:r>
      <w:r>
        <w:rPr>
          <w:rFonts w:cs="Times New Roman"/>
          <w:noProof/>
          <w:lang w:val="en-US"/>
        </w:rPr>
        <w:t>e</w:t>
      </w:r>
      <w:r w:rsidRPr="002C77C7">
        <w:rPr>
          <w:rFonts w:cs="Times New Roman"/>
          <w:noProof/>
          <w:lang w:val="en-US"/>
        </w:rPr>
        <w:t xml:space="preserve"> Concepções </w:t>
      </w:r>
      <w:r>
        <w:rPr>
          <w:rFonts w:cs="Times New Roman"/>
          <w:noProof/>
          <w:lang w:val="en-US"/>
        </w:rPr>
        <w:t>d</w:t>
      </w:r>
      <w:r w:rsidRPr="002C77C7">
        <w:rPr>
          <w:rFonts w:cs="Times New Roman"/>
          <w:noProof/>
          <w:lang w:val="en-US"/>
        </w:rPr>
        <w:t xml:space="preserve">e Trabalho </w:t>
      </w:r>
      <w:r>
        <w:rPr>
          <w:rFonts w:cs="Times New Roman"/>
          <w:noProof/>
          <w:lang w:val="en-US"/>
        </w:rPr>
        <w:t>n</w:t>
      </w:r>
      <w:r w:rsidRPr="002C77C7">
        <w:rPr>
          <w:rFonts w:cs="Times New Roman"/>
          <w:noProof/>
          <w:lang w:val="en-US"/>
        </w:rPr>
        <w:t xml:space="preserve">a Velhice </w:t>
      </w:r>
      <w:r>
        <w:rPr>
          <w:rFonts w:cs="Times New Roman"/>
          <w:noProof/>
          <w:lang w:val="en-US"/>
        </w:rPr>
        <w:t>e</w:t>
      </w:r>
      <w:r w:rsidRPr="002C77C7">
        <w:rPr>
          <w:rFonts w:cs="Times New Roman"/>
          <w:noProof/>
          <w:lang w:val="en-US"/>
        </w:rPr>
        <w:t xml:space="preserve">m Homens </w:t>
      </w:r>
      <w:r>
        <w:rPr>
          <w:rFonts w:cs="Times New Roman"/>
          <w:noProof/>
          <w:lang w:val="en-US"/>
        </w:rPr>
        <w:t>n</w:t>
      </w:r>
      <w:r w:rsidRPr="002C77C7">
        <w:rPr>
          <w:rFonts w:cs="Times New Roman"/>
          <w:noProof/>
          <w:lang w:val="en-US"/>
        </w:rPr>
        <w:t>a Meia-Idade</w:t>
      </w:r>
      <w:r>
        <w:rPr>
          <w:rFonts w:cs="Times New Roman"/>
          <w:noProof/>
          <w:lang w:val="en-US"/>
        </w:rPr>
        <w:t xml:space="preserve">. </w:t>
      </w:r>
      <w:r w:rsidRPr="00166E4F">
        <w:rPr>
          <w:rFonts w:cs="Times New Roman"/>
          <w:i/>
          <w:iCs/>
          <w:noProof/>
          <w:lang w:val="en-US"/>
        </w:rPr>
        <w:t>Estudos Interdisciplinares em Psicologia</w:t>
      </w:r>
      <w:r w:rsidRPr="00166E4F">
        <w:rPr>
          <w:rFonts w:cs="Times New Roman"/>
          <w:noProof/>
          <w:lang w:val="en-US"/>
        </w:rPr>
        <w:t xml:space="preserve">, </w:t>
      </w:r>
      <w:r w:rsidRPr="00166E4F">
        <w:rPr>
          <w:rFonts w:cs="Times New Roman"/>
          <w:i/>
          <w:iCs/>
          <w:noProof/>
          <w:lang w:val="en-US"/>
        </w:rPr>
        <w:t>8</w:t>
      </w:r>
      <w:r>
        <w:rPr>
          <w:rFonts w:cs="Times New Roman"/>
          <w:noProof/>
          <w:lang w:val="en-US"/>
        </w:rPr>
        <w:t>(</w:t>
      </w:r>
      <w:r w:rsidRPr="00166E4F">
        <w:rPr>
          <w:rFonts w:cs="Times New Roman"/>
          <w:noProof/>
          <w:lang w:val="en-US"/>
        </w:rPr>
        <w:t>2</w:t>
      </w:r>
      <w:r>
        <w:rPr>
          <w:rFonts w:cs="Times New Roman"/>
          <w:noProof/>
          <w:lang w:val="en-US"/>
        </w:rPr>
        <w:t>)</w:t>
      </w:r>
      <w:r w:rsidRPr="00166E4F">
        <w:rPr>
          <w:rFonts w:cs="Times New Roman"/>
          <w:noProof/>
          <w:lang w:val="en-US"/>
        </w:rPr>
        <w:t>, 43-64</w:t>
      </w:r>
      <w:r>
        <w:rPr>
          <w:rFonts w:cs="Times New Roman"/>
          <w:noProof/>
          <w:lang w:val="en-US"/>
        </w:rPr>
        <w:t xml:space="preserve">. </w:t>
      </w:r>
      <w:r w:rsidRPr="003F26C5">
        <w:rPr>
          <w:rFonts w:cs="Times New Roman"/>
          <w:noProof/>
          <w:lang w:val="en-US"/>
        </w:rPr>
        <w:t>DOI: 10.5433/2236-6407.2016v8n2p43</w:t>
      </w:r>
    </w:p>
    <w:p w14:paraId="4AE02FF1" w14:textId="77777777" w:rsidR="0034770D" w:rsidRPr="00565DD9" w:rsidRDefault="0034770D" w:rsidP="00F031C3">
      <w:pPr>
        <w:widowControl w:val="0"/>
        <w:autoSpaceDE w:val="0"/>
        <w:autoSpaceDN w:val="0"/>
        <w:adjustRightInd w:val="0"/>
        <w:spacing w:after="200" w:line="360" w:lineRule="auto"/>
        <w:ind w:left="480" w:hanging="480"/>
        <w:rPr>
          <w:rFonts w:cs="Times New Roman"/>
          <w:noProof/>
          <w:lang w:val="en-US"/>
        </w:rPr>
      </w:pPr>
      <w:r>
        <w:rPr>
          <w:rFonts w:cs="Times New Roman"/>
          <w:noProof/>
          <w:lang w:val="en-US"/>
        </w:rPr>
        <w:t xml:space="preserve">Guerson, L. R. S. C., França, </w:t>
      </w:r>
      <w:r w:rsidRPr="00F94D25">
        <w:rPr>
          <w:rFonts w:cs="Times New Roman"/>
          <w:noProof/>
        </w:rPr>
        <w:t>L. H. F. P.</w:t>
      </w:r>
      <w:r>
        <w:rPr>
          <w:rFonts w:cs="Times New Roman"/>
          <w:noProof/>
        </w:rPr>
        <w:t xml:space="preserve">, &amp; Amorim, S. M. (2018). </w:t>
      </w:r>
      <w:r w:rsidRPr="00320930">
        <w:rPr>
          <w:rFonts w:cs="Times New Roman"/>
          <w:noProof/>
        </w:rPr>
        <w:t>Life Satisfaction in Retirees Who are still Working</w:t>
      </w:r>
      <w:r>
        <w:rPr>
          <w:rFonts w:cs="Times New Roman"/>
          <w:noProof/>
        </w:rPr>
        <w:t xml:space="preserve">. </w:t>
      </w:r>
      <w:r>
        <w:rPr>
          <w:rFonts w:cs="Times New Roman"/>
          <w:i/>
          <w:iCs/>
          <w:noProof/>
        </w:rPr>
        <w:t>Paidéia</w:t>
      </w:r>
      <w:r>
        <w:rPr>
          <w:rFonts w:cs="Times New Roman"/>
          <w:noProof/>
        </w:rPr>
        <w:t xml:space="preserve">, </w:t>
      </w:r>
      <w:r>
        <w:rPr>
          <w:rFonts w:cs="Times New Roman"/>
          <w:i/>
          <w:iCs/>
          <w:noProof/>
        </w:rPr>
        <w:t>28</w:t>
      </w:r>
      <w:r>
        <w:rPr>
          <w:rFonts w:cs="Times New Roman"/>
          <w:noProof/>
        </w:rPr>
        <w:t xml:space="preserve">, 1-8. </w:t>
      </w:r>
      <w:r w:rsidRPr="00894FED">
        <w:rPr>
          <w:rFonts w:cs="Times New Roman"/>
          <w:noProof/>
        </w:rPr>
        <w:t>DOI: 10.1590/1982-4327e2812</w:t>
      </w:r>
    </w:p>
    <w:p w14:paraId="159C1CE6" w14:textId="77777777" w:rsidR="0034770D" w:rsidRDefault="0034770D" w:rsidP="00F031C3">
      <w:pPr>
        <w:widowControl w:val="0"/>
        <w:autoSpaceDE w:val="0"/>
        <w:autoSpaceDN w:val="0"/>
        <w:adjustRightInd w:val="0"/>
        <w:spacing w:after="200" w:line="360" w:lineRule="auto"/>
        <w:ind w:left="480" w:hanging="480"/>
        <w:rPr>
          <w:rFonts w:cs="Times New Roman"/>
          <w:noProof/>
          <w:lang w:val="en-US"/>
        </w:rPr>
      </w:pPr>
      <w:r w:rsidRPr="00F94D25">
        <w:rPr>
          <w:rFonts w:cs="Times New Roman"/>
          <w:noProof/>
          <w:lang w:val="en-US"/>
        </w:rPr>
        <w:t xml:space="preserve">Instituto Brasileiro de Geografia e Estatística [IBGE]. (2020). </w:t>
      </w:r>
      <w:r w:rsidRPr="00F94D25">
        <w:rPr>
          <w:rFonts w:cs="Times New Roman"/>
          <w:i/>
          <w:iCs/>
          <w:noProof/>
          <w:lang w:val="en-US"/>
        </w:rPr>
        <w:t>Pesquisa Nacional por Amostra de Domicílios 2020</w:t>
      </w:r>
      <w:r w:rsidRPr="00F94D25">
        <w:rPr>
          <w:rFonts w:cs="Times New Roman"/>
          <w:noProof/>
          <w:lang w:val="en-US"/>
        </w:rPr>
        <w:t>. Recuperado de: https://www.ibge.gov.br/estatisticas/sociais/educacao/17270-pnad-continua.html?edicao=32275&amp;t=resultados</w:t>
      </w:r>
    </w:p>
    <w:p w14:paraId="210D700F" w14:textId="77777777" w:rsidR="0034770D" w:rsidRDefault="0034770D" w:rsidP="00F031C3">
      <w:pPr>
        <w:widowControl w:val="0"/>
        <w:autoSpaceDE w:val="0"/>
        <w:autoSpaceDN w:val="0"/>
        <w:adjustRightInd w:val="0"/>
        <w:spacing w:after="200" w:line="360" w:lineRule="auto"/>
        <w:ind w:left="480" w:hanging="480"/>
        <w:rPr>
          <w:rFonts w:cs="Times New Roman"/>
          <w:noProof/>
        </w:rPr>
      </w:pPr>
      <w:r w:rsidRPr="003707F6">
        <w:rPr>
          <w:rFonts w:cs="Times New Roman"/>
          <w:noProof/>
        </w:rPr>
        <w:t xml:space="preserve">Kooij, D. T. A. M., &amp; Zacher, H. (2016). Why and When Do Learning Goal Orientation and Attitude Decrease with Aging? The Role of Perceived Remaining Time and Work Centrality. </w:t>
      </w:r>
      <w:r w:rsidRPr="007E71E2">
        <w:rPr>
          <w:rFonts w:cs="Times New Roman"/>
          <w:i/>
          <w:iCs/>
          <w:noProof/>
        </w:rPr>
        <w:t>Journal of Social Issues</w:t>
      </w:r>
      <w:r w:rsidRPr="003707F6">
        <w:rPr>
          <w:rFonts w:cs="Times New Roman"/>
          <w:noProof/>
        </w:rPr>
        <w:t xml:space="preserve">, </w:t>
      </w:r>
      <w:r w:rsidRPr="007E71E2">
        <w:rPr>
          <w:rFonts w:cs="Times New Roman"/>
          <w:i/>
          <w:iCs/>
          <w:noProof/>
        </w:rPr>
        <w:t>72</w:t>
      </w:r>
      <w:r w:rsidRPr="003707F6">
        <w:rPr>
          <w:rFonts w:cs="Times New Roman"/>
          <w:noProof/>
        </w:rPr>
        <w:t>(1), 146–168. doi:10.1111/josi.12160</w:t>
      </w:r>
    </w:p>
    <w:p w14:paraId="1B90B463" w14:textId="77777777" w:rsidR="0034770D" w:rsidRPr="00CF3A15" w:rsidRDefault="0034770D" w:rsidP="00F031C3">
      <w:pPr>
        <w:widowControl w:val="0"/>
        <w:autoSpaceDE w:val="0"/>
        <w:autoSpaceDN w:val="0"/>
        <w:adjustRightInd w:val="0"/>
        <w:spacing w:after="200" w:line="360" w:lineRule="auto"/>
        <w:ind w:left="480" w:hanging="480"/>
        <w:rPr>
          <w:rFonts w:cs="Times New Roman"/>
          <w:noProof/>
        </w:rPr>
      </w:pPr>
      <w:r>
        <w:rPr>
          <w:rFonts w:cs="Times New Roman"/>
          <w:noProof/>
        </w:rPr>
        <w:t xml:space="preserve">Krawulski, E., Boehs, S. T. M., Cruz, K. O., &amp; Medina, P. F. (2017). </w:t>
      </w:r>
      <w:r w:rsidRPr="00C05A93">
        <w:rPr>
          <w:rFonts w:cs="Times New Roman"/>
          <w:noProof/>
        </w:rPr>
        <w:t>Docência voluntária na aposentadoria: transição entre o trabalho e o não trabalho</w:t>
      </w:r>
      <w:r>
        <w:rPr>
          <w:rFonts w:cs="Times New Roman"/>
          <w:noProof/>
        </w:rPr>
        <w:t xml:space="preserve">. </w:t>
      </w:r>
      <w:r>
        <w:rPr>
          <w:rFonts w:cs="Times New Roman"/>
          <w:i/>
          <w:iCs/>
          <w:noProof/>
        </w:rPr>
        <w:t>Revista Psicologia: Teoria e Prática</w:t>
      </w:r>
      <w:r>
        <w:rPr>
          <w:rFonts w:cs="Times New Roman"/>
          <w:noProof/>
        </w:rPr>
        <w:t xml:space="preserve">, </w:t>
      </w:r>
      <w:r>
        <w:rPr>
          <w:rFonts w:cs="Times New Roman"/>
          <w:i/>
          <w:iCs/>
          <w:noProof/>
        </w:rPr>
        <w:t>19</w:t>
      </w:r>
      <w:r>
        <w:rPr>
          <w:rFonts w:cs="Times New Roman"/>
          <w:noProof/>
        </w:rPr>
        <w:t xml:space="preserve">(1), 55-66. </w:t>
      </w:r>
      <w:r w:rsidRPr="00F95A66">
        <w:rPr>
          <w:rFonts w:cs="Times New Roman"/>
          <w:noProof/>
        </w:rPr>
        <w:t>http://dx.doi.org/10.5935/1980-6906/psicologia.v19n1p67-78</w:t>
      </w:r>
    </w:p>
    <w:p w14:paraId="1964F1A4" w14:textId="77777777" w:rsidR="0034770D" w:rsidRDefault="0034770D" w:rsidP="00F031C3">
      <w:pPr>
        <w:widowControl w:val="0"/>
        <w:autoSpaceDE w:val="0"/>
        <w:autoSpaceDN w:val="0"/>
        <w:adjustRightInd w:val="0"/>
        <w:spacing w:after="200" w:line="360" w:lineRule="auto"/>
        <w:ind w:left="480" w:hanging="480"/>
        <w:rPr>
          <w:rFonts w:cs="Times New Roman"/>
        </w:rPr>
      </w:pPr>
      <w:r w:rsidRPr="00F94D25">
        <w:rPr>
          <w:rFonts w:cs="Times New Roman"/>
        </w:rPr>
        <w:t>Leandro-França, C., &amp; Murta, S. G.</w:t>
      </w:r>
      <w:r>
        <w:rPr>
          <w:rFonts w:cs="Times New Roman"/>
        </w:rPr>
        <w:t xml:space="preserve"> (2019). </w:t>
      </w:r>
      <w:r w:rsidRPr="00AD71AE">
        <w:rPr>
          <w:rFonts w:cs="Times New Roman"/>
        </w:rPr>
        <w:t>Evidências de Eficácia de Programas de Educação para Aposentadoria: Um Estudo Experimental</w:t>
      </w:r>
      <w:r>
        <w:rPr>
          <w:rFonts w:cs="Times New Roman"/>
        </w:rPr>
        <w:t xml:space="preserve">. </w:t>
      </w:r>
      <w:r>
        <w:rPr>
          <w:rFonts w:cs="Times New Roman"/>
          <w:i/>
          <w:iCs/>
        </w:rPr>
        <w:t>Psicologia: Teoria e Pesquisa</w:t>
      </w:r>
      <w:r>
        <w:rPr>
          <w:rFonts w:cs="Times New Roman"/>
        </w:rPr>
        <w:t xml:space="preserve">, </w:t>
      </w:r>
      <w:r>
        <w:rPr>
          <w:rFonts w:cs="Times New Roman"/>
          <w:i/>
          <w:iCs/>
        </w:rPr>
        <w:t>35</w:t>
      </w:r>
      <w:r>
        <w:rPr>
          <w:rFonts w:cs="Times New Roman"/>
        </w:rPr>
        <w:t xml:space="preserve">, 1-10. </w:t>
      </w:r>
      <w:r w:rsidRPr="00F02936">
        <w:rPr>
          <w:rFonts w:cs="Times New Roman"/>
        </w:rPr>
        <w:t>DOI: https://dx.doi.org/10.1590/0102.3772e35422</w:t>
      </w:r>
    </w:p>
    <w:p w14:paraId="5096D27B" w14:textId="77777777" w:rsidR="0034770D" w:rsidRDefault="0034770D" w:rsidP="00F031C3">
      <w:pPr>
        <w:widowControl w:val="0"/>
        <w:autoSpaceDE w:val="0"/>
        <w:autoSpaceDN w:val="0"/>
        <w:adjustRightInd w:val="0"/>
        <w:spacing w:after="200" w:line="360" w:lineRule="auto"/>
        <w:ind w:left="480" w:hanging="480"/>
        <w:rPr>
          <w:rFonts w:cs="Times New Roman"/>
          <w:noProof/>
        </w:rPr>
      </w:pPr>
      <w:r w:rsidRPr="00685033">
        <w:rPr>
          <w:rFonts w:cs="Times New Roman"/>
          <w:noProof/>
        </w:rPr>
        <w:t>Lei n° 13.467, de 13 de julho de 2017</w:t>
      </w:r>
      <w:r w:rsidRPr="003707F6">
        <w:rPr>
          <w:rFonts w:cs="Times New Roman"/>
          <w:noProof/>
        </w:rPr>
        <w:t>.</w:t>
      </w:r>
      <w:r>
        <w:rPr>
          <w:rFonts w:cs="Times New Roman"/>
          <w:noProof/>
        </w:rPr>
        <w:t xml:space="preserve"> (2017, 13 de julho).</w:t>
      </w:r>
      <w:r w:rsidRPr="003707F6">
        <w:rPr>
          <w:rFonts w:cs="Times New Roman"/>
          <w:noProof/>
        </w:rPr>
        <w:t xml:space="preserve"> Altera a Consolidação das Leis do Trabalho (CLT), aprovada pelo Decreto-Lei nº 5.452, de 1º de maio de 1943, e as Leis n º 6.019, de 3 de janeiro de 1974, 8.036, de 11 de maio de 1990, e 8.212, de 24 de julho de 1991, a fim de adequar a legislação às novas relações de trabalho. Presidência da república.</w:t>
      </w:r>
      <w:r>
        <w:rPr>
          <w:rFonts w:cs="Times New Roman"/>
          <w:noProof/>
        </w:rPr>
        <w:t xml:space="preserve"> </w:t>
      </w:r>
      <w:r w:rsidRPr="00F67CD9">
        <w:rPr>
          <w:rFonts w:cs="Times New Roman"/>
          <w:noProof/>
        </w:rPr>
        <w:t>https://www.planalto.gov.br/ccivil_03/_ato2015-2018/2017/lei/l13467.htm</w:t>
      </w:r>
    </w:p>
    <w:p w14:paraId="45159179" w14:textId="77777777" w:rsidR="0034770D" w:rsidRDefault="0034770D" w:rsidP="00F031C3">
      <w:pPr>
        <w:widowControl w:val="0"/>
        <w:autoSpaceDE w:val="0"/>
        <w:autoSpaceDN w:val="0"/>
        <w:adjustRightInd w:val="0"/>
        <w:spacing w:after="200" w:line="360" w:lineRule="auto"/>
        <w:ind w:left="480" w:hanging="480"/>
        <w:rPr>
          <w:rFonts w:cs="Times New Roman"/>
        </w:rPr>
      </w:pPr>
      <w:r w:rsidRPr="00452CAA">
        <w:rPr>
          <w:rFonts w:cs="Times New Roman"/>
        </w:rPr>
        <w:t>Macêdo, L. S. S., Bendassolli, P. F., &amp; Torres, T. L. (2017). Representações Sociais da Aposentadoria e Intenção de Continuar Trabalhando</w:t>
      </w:r>
      <w:r>
        <w:rPr>
          <w:rFonts w:cs="Times New Roman"/>
        </w:rPr>
        <w:t xml:space="preserve">. </w:t>
      </w:r>
      <w:r>
        <w:rPr>
          <w:rFonts w:cs="Times New Roman"/>
          <w:i/>
          <w:iCs/>
        </w:rPr>
        <w:t>Psicologia &amp; Sociedade</w:t>
      </w:r>
      <w:r>
        <w:rPr>
          <w:rFonts w:cs="Times New Roman"/>
        </w:rPr>
        <w:t xml:space="preserve">, </w:t>
      </w:r>
      <w:r>
        <w:rPr>
          <w:rFonts w:cs="Times New Roman"/>
          <w:i/>
          <w:iCs/>
        </w:rPr>
        <w:t>29</w:t>
      </w:r>
      <w:r>
        <w:rPr>
          <w:rFonts w:cs="Times New Roman"/>
        </w:rPr>
        <w:t xml:space="preserve">: </w:t>
      </w:r>
      <w:r w:rsidRPr="00452CAA">
        <w:rPr>
          <w:rFonts w:cs="Times New Roman"/>
        </w:rPr>
        <w:t>e145010</w:t>
      </w:r>
      <w:r>
        <w:rPr>
          <w:rFonts w:cs="Times New Roman"/>
        </w:rPr>
        <w:t xml:space="preserve">. </w:t>
      </w:r>
      <w:r w:rsidRPr="00452CAA">
        <w:rPr>
          <w:rFonts w:cs="Times New Roman"/>
        </w:rPr>
        <w:t>DOI: 10.1590/1807-0310/2017v29145010</w:t>
      </w:r>
    </w:p>
    <w:p w14:paraId="677AB229" w14:textId="77777777" w:rsidR="0034770D" w:rsidRDefault="0034770D" w:rsidP="00F031C3">
      <w:pPr>
        <w:widowControl w:val="0"/>
        <w:autoSpaceDE w:val="0"/>
        <w:autoSpaceDN w:val="0"/>
        <w:adjustRightInd w:val="0"/>
        <w:spacing w:after="200" w:line="360" w:lineRule="auto"/>
        <w:ind w:left="480" w:hanging="480"/>
        <w:rPr>
          <w:rFonts w:cs="Times New Roman"/>
        </w:rPr>
      </w:pPr>
      <w:r w:rsidRPr="00452CAA">
        <w:rPr>
          <w:rFonts w:cs="Times New Roman"/>
        </w:rPr>
        <w:lastRenderedPageBreak/>
        <w:t>Macêdo, L. S. S., Bendassolli, P. F., &amp; Torres, T. L. (201</w:t>
      </w:r>
      <w:r>
        <w:rPr>
          <w:rFonts w:cs="Times New Roman"/>
        </w:rPr>
        <w:t>9</w:t>
      </w:r>
      <w:r w:rsidRPr="00452CAA">
        <w:rPr>
          <w:rFonts w:cs="Times New Roman"/>
        </w:rPr>
        <w:t>).</w:t>
      </w:r>
      <w:r>
        <w:rPr>
          <w:rFonts w:cs="Times New Roman"/>
        </w:rPr>
        <w:t xml:space="preserve"> </w:t>
      </w:r>
      <w:r w:rsidRPr="00452CAA">
        <w:rPr>
          <w:rFonts w:cs="Times New Roman"/>
        </w:rPr>
        <w:t>Preditores do adiamento daaposentadoria por servidorespúblicos federais</w:t>
      </w:r>
      <w:r>
        <w:rPr>
          <w:rFonts w:cs="Times New Roman"/>
        </w:rPr>
        <w:t xml:space="preserve">. </w:t>
      </w:r>
      <w:r>
        <w:rPr>
          <w:rFonts w:cs="Times New Roman"/>
          <w:i/>
          <w:iCs/>
        </w:rPr>
        <w:t>Advances em psicología latinoamericana</w:t>
      </w:r>
      <w:r>
        <w:rPr>
          <w:rFonts w:cs="Times New Roman"/>
        </w:rPr>
        <w:t xml:space="preserve">, </w:t>
      </w:r>
      <w:r>
        <w:rPr>
          <w:rFonts w:cs="Times New Roman"/>
          <w:i/>
          <w:iCs/>
        </w:rPr>
        <w:t>37</w:t>
      </w:r>
      <w:r>
        <w:rPr>
          <w:rFonts w:cs="Times New Roman"/>
        </w:rPr>
        <w:t xml:space="preserve">(1), 153-167. </w:t>
      </w:r>
      <w:r w:rsidRPr="007129FA">
        <w:rPr>
          <w:rFonts w:cs="Times New Roman"/>
        </w:rPr>
        <w:t>https://doi.org/10.12804/revistas.urosario.edu.co/apl/a.4556</w:t>
      </w:r>
    </w:p>
    <w:p w14:paraId="6911BB9D" w14:textId="77777777" w:rsidR="0034770D" w:rsidRDefault="0034770D" w:rsidP="00F031C3">
      <w:pPr>
        <w:widowControl w:val="0"/>
        <w:autoSpaceDE w:val="0"/>
        <w:autoSpaceDN w:val="0"/>
        <w:adjustRightInd w:val="0"/>
        <w:spacing w:after="200" w:line="360" w:lineRule="auto"/>
        <w:ind w:left="480" w:hanging="480"/>
        <w:rPr>
          <w:rFonts w:cs="Times New Roman"/>
        </w:rPr>
      </w:pPr>
      <w:r w:rsidRPr="00452CAA">
        <w:rPr>
          <w:rFonts w:cs="Times New Roman"/>
        </w:rPr>
        <w:t>Macêdo, L. S. S., Bendassolli, P. F., Torres, T. L.</w:t>
      </w:r>
      <w:r>
        <w:rPr>
          <w:rFonts w:cs="Times New Roman"/>
        </w:rPr>
        <w:t xml:space="preserve">, &amp; França, </w:t>
      </w:r>
      <w:r w:rsidRPr="00F94D25">
        <w:rPr>
          <w:rFonts w:cs="Times New Roman"/>
          <w:noProof/>
        </w:rPr>
        <w:t>L. H.</w:t>
      </w:r>
      <w:r>
        <w:rPr>
          <w:rFonts w:cs="Times New Roman"/>
          <w:noProof/>
        </w:rPr>
        <w:t xml:space="preserve"> F. P.</w:t>
      </w:r>
      <w:r w:rsidRPr="00452CAA">
        <w:rPr>
          <w:rFonts w:cs="Times New Roman"/>
        </w:rPr>
        <w:t xml:space="preserve"> (20</w:t>
      </w:r>
      <w:r>
        <w:rPr>
          <w:rFonts w:cs="Times New Roman"/>
        </w:rPr>
        <w:t>20</w:t>
      </w:r>
      <w:r w:rsidRPr="00452CAA">
        <w:rPr>
          <w:rFonts w:cs="Times New Roman"/>
        </w:rPr>
        <w:t>).</w:t>
      </w:r>
      <w:r>
        <w:rPr>
          <w:rFonts w:cs="Times New Roman"/>
        </w:rPr>
        <w:t xml:space="preserve"> </w:t>
      </w:r>
      <w:r w:rsidRPr="00EA1A0B">
        <w:rPr>
          <w:rFonts w:cs="Times New Roman"/>
        </w:rPr>
        <w:t>Adaptação e Validação Brasileira da Escala</w:t>
      </w:r>
      <w:r w:rsidRPr="00EA1A0B">
        <w:rPr>
          <w:rFonts w:cs="Times New Roman"/>
          <w:i/>
          <w:iCs/>
        </w:rPr>
        <w:t xml:space="preserve"> Older Workers’ Intentions to Continue Working</w:t>
      </w:r>
      <w:r>
        <w:rPr>
          <w:rFonts w:cs="Times New Roman"/>
        </w:rPr>
        <w:t xml:space="preserve">. </w:t>
      </w:r>
      <w:r w:rsidRPr="00EA1A0B">
        <w:rPr>
          <w:rFonts w:cs="Times New Roman"/>
          <w:i/>
          <w:iCs/>
        </w:rPr>
        <w:t>Psico-USF</w:t>
      </w:r>
      <w:r w:rsidRPr="00EA1A0B">
        <w:rPr>
          <w:rFonts w:cs="Times New Roman"/>
        </w:rPr>
        <w:t xml:space="preserve">, </w:t>
      </w:r>
      <w:r w:rsidRPr="00EA1A0B">
        <w:rPr>
          <w:rFonts w:cs="Times New Roman"/>
          <w:i/>
          <w:iCs/>
        </w:rPr>
        <w:t>25</w:t>
      </w:r>
      <w:r>
        <w:rPr>
          <w:rFonts w:cs="Times New Roman"/>
        </w:rPr>
        <w:t>(</w:t>
      </w:r>
      <w:r w:rsidRPr="00EA1A0B">
        <w:rPr>
          <w:rFonts w:cs="Times New Roman"/>
        </w:rPr>
        <w:t>1</w:t>
      </w:r>
      <w:r>
        <w:rPr>
          <w:rFonts w:cs="Times New Roman"/>
        </w:rPr>
        <w:t>)</w:t>
      </w:r>
      <w:r w:rsidRPr="00EA1A0B">
        <w:rPr>
          <w:rFonts w:cs="Times New Roman"/>
        </w:rPr>
        <w:t>, 127-138</w:t>
      </w:r>
      <w:r>
        <w:rPr>
          <w:rFonts w:cs="Times New Roman"/>
        </w:rPr>
        <w:t xml:space="preserve">. </w:t>
      </w:r>
      <w:r w:rsidRPr="00EA1A0B">
        <w:rPr>
          <w:rFonts w:cs="Times New Roman"/>
        </w:rPr>
        <w:t>http://dx.doi.org/10.1590/1413-82712020250111</w:t>
      </w:r>
    </w:p>
    <w:p w14:paraId="68576560" w14:textId="77777777" w:rsidR="0034770D" w:rsidRPr="0084669F" w:rsidRDefault="0034770D" w:rsidP="00F031C3">
      <w:pPr>
        <w:widowControl w:val="0"/>
        <w:autoSpaceDE w:val="0"/>
        <w:autoSpaceDN w:val="0"/>
        <w:adjustRightInd w:val="0"/>
        <w:spacing w:after="200" w:line="360" w:lineRule="auto"/>
        <w:ind w:left="480" w:hanging="480"/>
        <w:rPr>
          <w:rFonts w:cs="Times New Roman"/>
          <w:lang w:val="en-US"/>
        </w:rPr>
      </w:pPr>
      <w:r>
        <w:rPr>
          <w:rFonts w:cs="Times New Roman"/>
          <w:lang w:val="en-US"/>
        </w:rPr>
        <w:t xml:space="preserve">Magalhães, M. O., &amp; Brito, F. S. (2022). </w:t>
      </w:r>
      <w:r w:rsidRPr="0084669F">
        <w:rPr>
          <w:rFonts w:cs="Times New Roman"/>
          <w:lang w:val="en-US"/>
        </w:rPr>
        <w:t>Ajustamento à Aposentadoria: Relações com Saliência de Carreira e Realização de Carreira</w:t>
      </w:r>
      <w:r>
        <w:rPr>
          <w:rFonts w:cs="Times New Roman"/>
          <w:lang w:val="en-US"/>
        </w:rPr>
        <w:t xml:space="preserve">. </w:t>
      </w:r>
      <w:r>
        <w:rPr>
          <w:rFonts w:cs="Times New Roman"/>
          <w:i/>
          <w:iCs/>
          <w:lang w:val="en-US"/>
        </w:rPr>
        <w:t>Psico-USF</w:t>
      </w:r>
      <w:r>
        <w:rPr>
          <w:rFonts w:cs="Times New Roman"/>
          <w:lang w:val="en-US"/>
        </w:rPr>
        <w:t xml:space="preserve">, </w:t>
      </w:r>
      <w:r>
        <w:rPr>
          <w:rFonts w:cs="Times New Roman"/>
          <w:i/>
          <w:iCs/>
          <w:lang w:val="en-US"/>
        </w:rPr>
        <w:t>27</w:t>
      </w:r>
      <w:r>
        <w:rPr>
          <w:rFonts w:cs="Times New Roman"/>
          <w:lang w:val="en-US"/>
        </w:rPr>
        <w:t xml:space="preserve">(1), 143-156. Doi: </w:t>
      </w:r>
      <w:r w:rsidRPr="009F0105">
        <w:rPr>
          <w:rFonts w:cs="Times New Roman"/>
          <w:lang w:val="en-US"/>
        </w:rPr>
        <w:t>10.1590/1413-82712022270111</w:t>
      </w:r>
    </w:p>
    <w:p w14:paraId="7BD910ED" w14:textId="77777777" w:rsidR="0034770D" w:rsidRPr="007129FA" w:rsidRDefault="0034770D" w:rsidP="00F031C3">
      <w:pPr>
        <w:widowControl w:val="0"/>
        <w:autoSpaceDE w:val="0"/>
        <w:autoSpaceDN w:val="0"/>
        <w:adjustRightInd w:val="0"/>
        <w:spacing w:after="200" w:line="360" w:lineRule="auto"/>
        <w:ind w:left="480" w:hanging="480"/>
        <w:rPr>
          <w:rFonts w:cs="Times New Roman"/>
          <w:lang w:val="en-US"/>
        </w:rPr>
      </w:pPr>
      <w:r>
        <w:rPr>
          <w:rFonts w:cs="Times New Roman"/>
          <w:lang w:val="en-US"/>
        </w:rPr>
        <w:t xml:space="preserve">Martins, M. G., Santos, A. P. S., Scorsolini-Comin, F., &amp; Silva e Dutra, F. C. M. (2018). </w:t>
      </w:r>
      <w:r w:rsidRPr="007129FA">
        <w:rPr>
          <w:rFonts w:cs="Times New Roman"/>
          <w:lang w:val="en-US"/>
        </w:rPr>
        <w:t>Involvement in Activities, Work Satisfaction and Retirement Expectations of Brazilian Federal Employees</w:t>
      </w:r>
      <w:r>
        <w:rPr>
          <w:rFonts w:cs="Times New Roman"/>
          <w:lang w:val="en-US"/>
        </w:rPr>
        <w:t xml:space="preserve">. </w:t>
      </w:r>
      <w:r w:rsidRPr="007129FA">
        <w:rPr>
          <w:rFonts w:cs="Times New Roman"/>
          <w:i/>
          <w:iCs/>
          <w:lang w:val="en-US"/>
        </w:rPr>
        <w:t>Ciencia &amp; Trabajo</w:t>
      </w:r>
      <w:r>
        <w:rPr>
          <w:rFonts w:cs="Times New Roman"/>
          <w:lang w:val="en-US"/>
        </w:rPr>
        <w:t xml:space="preserve">, </w:t>
      </w:r>
      <w:r>
        <w:rPr>
          <w:rFonts w:cs="Times New Roman"/>
          <w:i/>
          <w:iCs/>
          <w:lang w:val="en-US"/>
        </w:rPr>
        <w:t>20</w:t>
      </w:r>
      <w:r>
        <w:rPr>
          <w:rFonts w:cs="Times New Roman"/>
          <w:lang w:val="en-US"/>
        </w:rPr>
        <w:t xml:space="preserve">(63), 131-136. </w:t>
      </w:r>
      <w:r w:rsidRPr="00EA1A0B">
        <w:rPr>
          <w:rFonts w:cs="Times New Roman"/>
          <w:lang w:val="en-US"/>
        </w:rPr>
        <w:t>http://dx.doi.org/10.4067/S0718-24492018000300131.</w:t>
      </w:r>
    </w:p>
    <w:p w14:paraId="516B5A5E" w14:textId="77777777" w:rsidR="0034770D" w:rsidRPr="00F94D25" w:rsidRDefault="0034770D" w:rsidP="00F031C3">
      <w:pPr>
        <w:widowControl w:val="0"/>
        <w:autoSpaceDE w:val="0"/>
        <w:autoSpaceDN w:val="0"/>
        <w:adjustRightInd w:val="0"/>
        <w:spacing w:after="200" w:line="360" w:lineRule="auto"/>
        <w:ind w:left="482" w:hanging="482"/>
        <w:rPr>
          <w:rFonts w:cs="Times New Roman"/>
        </w:rPr>
      </w:pPr>
      <w:r>
        <w:rPr>
          <w:rFonts w:cs="Times New Roman"/>
        </w:rPr>
        <w:t xml:space="preserve">Moreno, A. M. L., &amp; Bambula, F. D. (2019). </w:t>
      </w:r>
      <w:r w:rsidRPr="00DF7A93">
        <w:rPr>
          <w:rFonts w:cs="Times New Roman"/>
        </w:rPr>
        <w:t>Postcarrera: Una experiencia de los jubilados en trabajos puente</w:t>
      </w:r>
      <w:r>
        <w:rPr>
          <w:rFonts w:cs="Times New Roman"/>
        </w:rPr>
        <w:t>.</w:t>
      </w:r>
      <w:r w:rsidRPr="00DF7A93">
        <w:rPr>
          <w:rFonts w:cs="Times New Roman"/>
        </w:rPr>
        <w:t xml:space="preserve"> </w:t>
      </w:r>
      <w:r w:rsidRPr="00DF7A93">
        <w:rPr>
          <w:rFonts w:cs="Times New Roman"/>
          <w:i/>
          <w:iCs/>
        </w:rPr>
        <w:t>Psicoperspectivas</w:t>
      </w:r>
      <w:r w:rsidRPr="00DF7A93">
        <w:rPr>
          <w:rFonts w:cs="Times New Roman"/>
        </w:rPr>
        <w:t xml:space="preserve">, </w:t>
      </w:r>
      <w:r w:rsidRPr="00DF7A93">
        <w:rPr>
          <w:rFonts w:cs="Times New Roman"/>
          <w:i/>
          <w:iCs/>
        </w:rPr>
        <w:t>18</w:t>
      </w:r>
      <w:r>
        <w:rPr>
          <w:rFonts w:cs="Times New Roman"/>
        </w:rPr>
        <w:t>(</w:t>
      </w:r>
      <w:r w:rsidRPr="00DF7A93">
        <w:rPr>
          <w:rFonts w:cs="Times New Roman"/>
        </w:rPr>
        <w:t>2</w:t>
      </w:r>
      <w:r>
        <w:rPr>
          <w:rFonts w:cs="Times New Roman"/>
        </w:rPr>
        <w:t>),</w:t>
      </w:r>
      <w:r w:rsidRPr="00DF7A93">
        <w:rPr>
          <w:rFonts w:cs="Times New Roman"/>
        </w:rPr>
        <w:t xml:space="preserve"> 109-121</w:t>
      </w:r>
      <w:r>
        <w:rPr>
          <w:rFonts w:cs="Times New Roman"/>
        </w:rPr>
        <w:t xml:space="preserve">. </w:t>
      </w:r>
      <w:r w:rsidRPr="0001644A">
        <w:rPr>
          <w:rFonts w:cs="Times New Roman"/>
        </w:rPr>
        <w:t>DOI: 10.5027/psicoperspectivas-vol18-issue2-fulltext-1508</w:t>
      </w:r>
    </w:p>
    <w:p w14:paraId="1E76B52C" w14:textId="77777777" w:rsidR="0034770D" w:rsidRPr="00B43381" w:rsidRDefault="0034770D" w:rsidP="00F031C3">
      <w:pPr>
        <w:widowControl w:val="0"/>
        <w:autoSpaceDE w:val="0"/>
        <w:autoSpaceDN w:val="0"/>
        <w:adjustRightInd w:val="0"/>
        <w:spacing w:after="200" w:line="360" w:lineRule="auto"/>
        <w:ind w:left="482" w:hanging="482"/>
        <w:rPr>
          <w:rFonts w:cs="Times New Roman"/>
        </w:rPr>
      </w:pPr>
      <w:r>
        <w:rPr>
          <w:rFonts w:cs="Times New Roman"/>
        </w:rPr>
        <w:t xml:space="preserve">Nunes, R. B., Dametto, J., &amp; Moretto, C. F. (2019). </w:t>
      </w:r>
      <w:r w:rsidRPr="00B43381">
        <w:rPr>
          <w:rFonts w:cs="Times New Roman"/>
        </w:rPr>
        <w:t xml:space="preserve">O Retorno ao Serviço </w:t>
      </w:r>
      <w:r>
        <w:rPr>
          <w:rFonts w:cs="Times New Roman"/>
        </w:rPr>
        <w:t>de</w:t>
      </w:r>
      <w:r w:rsidRPr="00B43381">
        <w:rPr>
          <w:rFonts w:cs="Times New Roman"/>
        </w:rPr>
        <w:t xml:space="preserve"> Policiais Militares Gaúchos Aposentados: um estudo sobre os fatores motivadores</w:t>
      </w:r>
      <w:r>
        <w:rPr>
          <w:rFonts w:cs="Times New Roman"/>
        </w:rPr>
        <w:t xml:space="preserve">. </w:t>
      </w:r>
      <w:r>
        <w:rPr>
          <w:rFonts w:cs="Times New Roman"/>
          <w:i/>
          <w:iCs/>
        </w:rPr>
        <w:t>Barbarói</w:t>
      </w:r>
      <w:r>
        <w:rPr>
          <w:rFonts w:cs="Times New Roman"/>
        </w:rPr>
        <w:t xml:space="preserve">, (55), 215-233. </w:t>
      </w:r>
      <w:r w:rsidRPr="00452CAA">
        <w:rPr>
          <w:rFonts w:cs="Times New Roman"/>
        </w:rPr>
        <w:t>http://dx.doi.org/10.17058/barbaroi.v0i0.11577</w:t>
      </w:r>
    </w:p>
    <w:p w14:paraId="4B111779" w14:textId="77777777" w:rsidR="0034770D" w:rsidRDefault="0034770D" w:rsidP="00F031C3">
      <w:pPr>
        <w:widowControl w:val="0"/>
        <w:autoSpaceDE w:val="0"/>
        <w:autoSpaceDN w:val="0"/>
        <w:adjustRightInd w:val="0"/>
        <w:spacing w:after="200" w:line="360" w:lineRule="auto"/>
        <w:ind w:left="482" w:hanging="482"/>
        <w:rPr>
          <w:rFonts w:cs="Times New Roman"/>
        </w:rPr>
      </w:pPr>
      <w:r>
        <w:rPr>
          <w:rFonts w:cs="Times New Roman"/>
        </w:rPr>
        <w:t xml:space="preserve">Organização para Cooperação e Desenvolvimento Econômico [OCDE]. (2015). </w:t>
      </w:r>
      <w:r w:rsidRPr="00CB736D">
        <w:rPr>
          <w:rFonts w:cs="Times New Roman"/>
        </w:rPr>
        <w:t>Um panorama dos sistemas previdenciários na América Latina e no Caribe</w:t>
      </w:r>
      <w:r>
        <w:rPr>
          <w:rFonts w:cs="Times New Roman"/>
        </w:rPr>
        <w:t>. Brasília: BID.</w:t>
      </w:r>
    </w:p>
    <w:p w14:paraId="69BE6987" w14:textId="77777777" w:rsidR="0034770D" w:rsidRPr="009C6169" w:rsidRDefault="0034770D" w:rsidP="00F031C3">
      <w:pPr>
        <w:widowControl w:val="0"/>
        <w:autoSpaceDE w:val="0"/>
        <w:autoSpaceDN w:val="0"/>
        <w:adjustRightInd w:val="0"/>
        <w:spacing w:after="200" w:line="360" w:lineRule="auto"/>
        <w:ind w:left="482" w:hanging="482"/>
        <w:rPr>
          <w:rFonts w:cs="Times New Roman"/>
        </w:rPr>
      </w:pPr>
      <w:r>
        <w:rPr>
          <w:rFonts w:cs="Times New Roman"/>
        </w:rPr>
        <w:t xml:space="preserve">Padova, F., &amp; Lucas, M. G. (2017). O Bem-estar na Aposentadoria. </w:t>
      </w:r>
      <w:r>
        <w:rPr>
          <w:rFonts w:cs="Times New Roman"/>
          <w:i/>
          <w:iCs/>
        </w:rPr>
        <w:t>Unoesc &amp; Ciência - ACSA Joaçaba</w:t>
      </w:r>
      <w:r>
        <w:rPr>
          <w:rFonts w:cs="Times New Roman"/>
        </w:rPr>
        <w:t xml:space="preserve">, </w:t>
      </w:r>
      <w:r>
        <w:rPr>
          <w:rFonts w:cs="Times New Roman"/>
          <w:i/>
          <w:iCs/>
        </w:rPr>
        <w:t>8</w:t>
      </w:r>
      <w:r>
        <w:rPr>
          <w:rFonts w:cs="Times New Roman"/>
        </w:rPr>
        <w:t xml:space="preserve">(2), 141-148. </w:t>
      </w:r>
    </w:p>
    <w:p w14:paraId="48E34173" w14:textId="77777777" w:rsidR="0034770D" w:rsidRDefault="0034770D" w:rsidP="00F031C3">
      <w:pPr>
        <w:widowControl w:val="0"/>
        <w:autoSpaceDE w:val="0"/>
        <w:autoSpaceDN w:val="0"/>
        <w:adjustRightInd w:val="0"/>
        <w:spacing w:after="200" w:line="360" w:lineRule="auto"/>
        <w:ind w:left="482" w:hanging="482"/>
        <w:rPr>
          <w:rFonts w:cs="Times New Roman"/>
        </w:rPr>
      </w:pPr>
      <w:r>
        <w:rPr>
          <w:rFonts w:cs="Times New Roman"/>
        </w:rPr>
        <w:t xml:space="preserve">Pazzim, T. A., &amp; Marin, A. H. (2017). </w:t>
      </w:r>
      <w:r w:rsidRPr="00EA1A0B">
        <w:rPr>
          <w:rFonts w:cs="Times New Roman"/>
        </w:rPr>
        <w:t>Retirement preparation program: evaluation of results</w:t>
      </w:r>
      <w:r>
        <w:rPr>
          <w:rFonts w:cs="Times New Roman"/>
        </w:rPr>
        <w:t xml:space="preserve">. </w:t>
      </w:r>
      <w:r>
        <w:rPr>
          <w:rFonts w:cs="Times New Roman"/>
          <w:i/>
          <w:iCs/>
        </w:rPr>
        <w:t>Psicologia: reflexão e crítica</w:t>
      </w:r>
      <w:r>
        <w:rPr>
          <w:rFonts w:cs="Times New Roman"/>
        </w:rPr>
        <w:t xml:space="preserve">, </w:t>
      </w:r>
      <w:r>
        <w:rPr>
          <w:rFonts w:cs="Times New Roman"/>
          <w:i/>
          <w:iCs/>
        </w:rPr>
        <w:t>30</w:t>
      </w:r>
      <w:r>
        <w:rPr>
          <w:rFonts w:cs="Times New Roman"/>
        </w:rPr>
        <w:t xml:space="preserve">(24). </w:t>
      </w:r>
      <w:r w:rsidRPr="00EA1A0B">
        <w:rPr>
          <w:rFonts w:cs="Times New Roman"/>
        </w:rPr>
        <w:t>DOI 10.1186/s41155-017-0079-3</w:t>
      </w:r>
    </w:p>
    <w:p w14:paraId="5152B7B6" w14:textId="77777777" w:rsidR="0034770D" w:rsidRPr="00986659" w:rsidRDefault="0034770D" w:rsidP="00F031C3">
      <w:pPr>
        <w:widowControl w:val="0"/>
        <w:autoSpaceDE w:val="0"/>
        <w:autoSpaceDN w:val="0"/>
        <w:adjustRightInd w:val="0"/>
        <w:spacing w:after="200" w:line="360" w:lineRule="auto"/>
        <w:ind w:left="482" w:hanging="482"/>
        <w:rPr>
          <w:rFonts w:cs="Times New Roman"/>
        </w:rPr>
      </w:pPr>
      <w:r>
        <w:rPr>
          <w:rFonts w:cs="Times New Roman"/>
        </w:rPr>
        <w:t xml:space="preserve">Pellegrini, P. G., Tolfo, S. R., &amp; Moré, C. L. O. O. (2021). </w:t>
      </w:r>
      <w:r w:rsidRPr="00C1576B">
        <w:rPr>
          <w:rFonts w:cs="Times New Roman"/>
        </w:rPr>
        <w:t>Assédio moral no trabalho, aposentadoria e dinâmica familiar: repercussões percebidas pelo casal</w:t>
      </w:r>
      <w:r>
        <w:rPr>
          <w:rFonts w:cs="Times New Roman"/>
        </w:rPr>
        <w:t xml:space="preserve">. </w:t>
      </w:r>
      <w:r>
        <w:rPr>
          <w:rFonts w:cs="Times New Roman"/>
          <w:i/>
          <w:iCs/>
        </w:rPr>
        <w:t>Revista Brasileira de Orientação Profissional</w:t>
      </w:r>
      <w:r>
        <w:rPr>
          <w:rFonts w:cs="Times New Roman"/>
        </w:rPr>
        <w:t xml:space="preserve">, </w:t>
      </w:r>
      <w:r>
        <w:rPr>
          <w:rFonts w:cs="Times New Roman"/>
          <w:i/>
          <w:iCs/>
        </w:rPr>
        <w:t>22</w:t>
      </w:r>
      <w:r>
        <w:rPr>
          <w:rFonts w:cs="Times New Roman"/>
        </w:rPr>
        <w:t xml:space="preserve">(1), 29-39. Doi: </w:t>
      </w:r>
      <w:r w:rsidRPr="005D3508">
        <w:rPr>
          <w:rFonts w:cs="Times New Roman"/>
        </w:rPr>
        <w:t>10.26707/1984-7270/2021v22n103</w:t>
      </w:r>
    </w:p>
    <w:p w14:paraId="6D5EA046" w14:textId="77777777" w:rsidR="0034770D" w:rsidRDefault="0034770D" w:rsidP="00F031C3">
      <w:pPr>
        <w:widowControl w:val="0"/>
        <w:autoSpaceDE w:val="0"/>
        <w:autoSpaceDN w:val="0"/>
        <w:adjustRightInd w:val="0"/>
        <w:spacing w:after="200" w:line="360" w:lineRule="auto"/>
        <w:ind w:left="482" w:hanging="482"/>
        <w:rPr>
          <w:rFonts w:cs="Times New Roman"/>
        </w:rPr>
      </w:pPr>
      <w:r w:rsidRPr="00F94D25">
        <w:rPr>
          <w:rFonts w:cs="Times New Roman"/>
        </w:rPr>
        <w:lastRenderedPageBreak/>
        <w:t xml:space="preserve">Rafalski, J. C., &amp; Andrade, A. L. (2017). Desenvolvimento da Escala de Percepção de Futuro da Aposentadoria (EPFA) e Correlatos Psicossociais. </w:t>
      </w:r>
      <w:r w:rsidRPr="00F94D25">
        <w:rPr>
          <w:rFonts w:cs="Times New Roman"/>
          <w:i/>
        </w:rPr>
        <w:t>Psico-USF</w:t>
      </w:r>
      <w:r w:rsidRPr="00F94D25">
        <w:rPr>
          <w:rFonts w:cs="Times New Roman"/>
        </w:rPr>
        <w:t xml:space="preserve">, </w:t>
      </w:r>
      <w:r w:rsidRPr="00F94D25">
        <w:rPr>
          <w:rFonts w:cs="Times New Roman"/>
          <w:i/>
        </w:rPr>
        <w:t>22</w:t>
      </w:r>
      <w:r w:rsidRPr="00F94D25">
        <w:rPr>
          <w:rFonts w:cs="Times New Roman"/>
        </w:rPr>
        <w:t xml:space="preserve">(1), 49-62. </w:t>
      </w:r>
      <w:r>
        <w:rPr>
          <w:rFonts w:cs="Times New Roman"/>
        </w:rPr>
        <w:t xml:space="preserve">Doi: </w:t>
      </w:r>
      <w:r w:rsidRPr="00D562EF">
        <w:rPr>
          <w:rFonts w:cs="Times New Roman"/>
        </w:rPr>
        <w:t>10.1590/1413-82712017220105</w:t>
      </w:r>
    </w:p>
    <w:p w14:paraId="6237917E" w14:textId="77777777" w:rsidR="0034770D" w:rsidRDefault="0034770D" w:rsidP="00F031C3">
      <w:pPr>
        <w:widowControl w:val="0"/>
        <w:autoSpaceDE w:val="0"/>
        <w:autoSpaceDN w:val="0"/>
        <w:adjustRightInd w:val="0"/>
        <w:spacing w:after="200" w:line="360" w:lineRule="auto"/>
        <w:ind w:left="482" w:hanging="482"/>
        <w:rPr>
          <w:rFonts w:cs="Times New Roman"/>
        </w:rPr>
      </w:pPr>
      <w:r w:rsidRPr="00532AE0">
        <w:rPr>
          <w:rFonts w:cs="Times New Roman"/>
        </w:rPr>
        <w:t xml:space="preserve">Rangel, L. </w:t>
      </w:r>
      <w:r>
        <w:rPr>
          <w:rFonts w:cs="Times New Roman"/>
        </w:rPr>
        <w:t>A., &amp;</w:t>
      </w:r>
      <w:r w:rsidRPr="00532AE0">
        <w:rPr>
          <w:rFonts w:cs="Times New Roman"/>
        </w:rPr>
        <w:t xml:space="preserve"> Stivali, M. </w:t>
      </w:r>
      <w:r>
        <w:rPr>
          <w:rFonts w:cs="Times New Roman"/>
        </w:rPr>
        <w:t>(2018)</w:t>
      </w:r>
      <w:r w:rsidRPr="00532AE0">
        <w:rPr>
          <w:rFonts w:cs="Times New Roman"/>
        </w:rPr>
        <w:t>. Tendências da Seguridade Social na América Latina. In Santana</w:t>
      </w:r>
      <w:r>
        <w:rPr>
          <w:rFonts w:cs="Times New Roman"/>
        </w:rPr>
        <w:t>,</w:t>
      </w:r>
      <w:r w:rsidRPr="00532AE0">
        <w:rPr>
          <w:rFonts w:cs="Times New Roman"/>
        </w:rPr>
        <w:t xml:space="preserve"> J. P.</w:t>
      </w:r>
      <w:r>
        <w:rPr>
          <w:rFonts w:cs="Times New Roman"/>
        </w:rPr>
        <w:t>,</w:t>
      </w:r>
      <w:r w:rsidRPr="00532AE0">
        <w:rPr>
          <w:rFonts w:cs="Times New Roman"/>
        </w:rPr>
        <w:t xml:space="preserve"> Padilla</w:t>
      </w:r>
      <w:r>
        <w:rPr>
          <w:rFonts w:cs="Times New Roman"/>
        </w:rPr>
        <w:t>, M.,</w:t>
      </w:r>
      <w:r w:rsidRPr="00532AE0">
        <w:rPr>
          <w:rFonts w:cs="Times New Roman"/>
        </w:rPr>
        <w:t xml:space="preserve"> Nogueira</w:t>
      </w:r>
      <w:r>
        <w:rPr>
          <w:rFonts w:cs="Times New Roman"/>
        </w:rPr>
        <w:t>, R. P., &amp;</w:t>
      </w:r>
      <w:r w:rsidRPr="00532AE0">
        <w:rPr>
          <w:rFonts w:cs="Times New Roman"/>
        </w:rPr>
        <w:t xml:space="preserve"> Rodrigues</w:t>
      </w:r>
      <w:r>
        <w:rPr>
          <w:rFonts w:cs="Times New Roman"/>
        </w:rPr>
        <w:t>, V. A.</w:t>
      </w:r>
      <w:r w:rsidRPr="00532AE0">
        <w:rPr>
          <w:rFonts w:cs="Times New Roman"/>
        </w:rPr>
        <w:t xml:space="preserve"> (Org</w:t>
      </w:r>
      <w:r>
        <w:rPr>
          <w:rFonts w:cs="Times New Roman"/>
        </w:rPr>
        <w:t>s</w:t>
      </w:r>
      <w:r w:rsidRPr="00532AE0">
        <w:rPr>
          <w:rFonts w:cs="Times New Roman"/>
        </w:rPr>
        <w:t>.) Tendências da Seguridade Social na América Latina</w:t>
      </w:r>
      <w:r>
        <w:rPr>
          <w:rFonts w:cs="Times New Roman"/>
        </w:rPr>
        <w:t xml:space="preserve"> (p</w:t>
      </w:r>
      <w:r w:rsidRPr="00532AE0">
        <w:rPr>
          <w:rFonts w:cs="Times New Roman"/>
        </w:rPr>
        <w:t>p. 183-218</w:t>
      </w:r>
      <w:r>
        <w:rPr>
          <w:rFonts w:cs="Times New Roman"/>
        </w:rPr>
        <w:t>)</w:t>
      </w:r>
      <w:r w:rsidRPr="00532AE0">
        <w:rPr>
          <w:rFonts w:cs="Times New Roman"/>
        </w:rPr>
        <w:t>.</w:t>
      </w:r>
      <w:r>
        <w:rPr>
          <w:rFonts w:cs="Times New Roman"/>
        </w:rPr>
        <w:t xml:space="preserve"> </w:t>
      </w:r>
      <w:r w:rsidRPr="00532AE0">
        <w:rPr>
          <w:rFonts w:cs="Times New Roman"/>
        </w:rPr>
        <w:t>Brasília, DF: UnB</w:t>
      </w:r>
      <w:r>
        <w:rPr>
          <w:rFonts w:cs="Times New Roman"/>
        </w:rPr>
        <w:t>,</w:t>
      </w:r>
      <w:r w:rsidRPr="00532AE0">
        <w:rPr>
          <w:rFonts w:cs="Times New Roman"/>
        </w:rPr>
        <w:t xml:space="preserve"> Ob-servaRH</w:t>
      </w:r>
      <w:r>
        <w:rPr>
          <w:rFonts w:cs="Times New Roman"/>
        </w:rPr>
        <w:t>,</w:t>
      </w:r>
      <w:r w:rsidRPr="00532AE0">
        <w:rPr>
          <w:rFonts w:cs="Times New Roman"/>
        </w:rPr>
        <w:t xml:space="preserve"> Nesp</w:t>
      </w:r>
      <w:r>
        <w:rPr>
          <w:rFonts w:cs="Times New Roman"/>
        </w:rPr>
        <w:t>,</w:t>
      </w:r>
      <w:r w:rsidRPr="00532AE0">
        <w:rPr>
          <w:rFonts w:cs="Times New Roman"/>
        </w:rPr>
        <w:t xml:space="preserve"> Nethis</w:t>
      </w:r>
      <w:r>
        <w:rPr>
          <w:rFonts w:cs="Times New Roman"/>
        </w:rPr>
        <w:t>.</w:t>
      </w:r>
    </w:p>
    <w:p w14:paraId="08D5768E" w14:textId="77777777" w:rsidR="0034770D" w:rsidRDefault="0034770D" w:rsidP="00F031C3">
      <w:pPr>
        <w:widowControl w:val="0"/>
        <w:autoSpaceDE w:val="0"/>
        <w:autoSpaceDN w:val="0"/>
        <w:adjustRightInd w:val="0"/>
        <w:spacing w:after="200" w:line="360" w:lineRule="auto"/>
        <w:ind w:left="482" w:hanging="482"/>
        <w:rPr>
          <w:rFonts w:cs="Times New Roman"/>
        </w:rPr>
      </w:pPr>
      <w:r>
        <w:rPr>
          <w:rFonts w:cs="Times New Roman"/>
        </w:rPr>
        <w:t xml:space="preserve">Sá, R. A., &amp; Wanderbroocke, A. C. N. S. (2016). </w:t>
      </w:r>
      <w:r w:rsidRPr="00E66C1E">
        <w:rPr>
          <w:rFonts w:cs="Times New Roman"/>
        </w:rPr>
        <w:t xml:space="preserve">Os Significados </w:t>
      </w:r>
      <w:r>
        <w:rPr>
          <w:rFonts w:cs="Times New Roman"/>
        </w:rPr>
        <w:t>d</w:t>
      </w:r>
      <w:r w:rsidRPr="00E66C1E">
        <w:rPr>
          <w:rFonts w:cs="Times New Roman"/>
        </w:rPr>
        <w:t xml:space="preserve">o Trabalho Face </w:t>
      </w:r>
      <w:r>
        <w:rPr>
          <w:rFonts w:cs="Times New Roman"/>
        </w:rPr>
        <w:t>a</w:t>
      </w:r>
      <w:r w:rsidRPr="00E66C1E">
        <w:rPr>
          <w:rFonts w:cs="Times New Roman"/>
        </w:rPr>
        <w:t xml:space="preserve">o Envelhecimento </w:t>
      </w:r>
      <w:r>
        <w:rPr>
          <w:rFonts w:cs="Times New Roman"/>
        </w:rPr>
        <w:t>p</w:t>
      </w:r>
      <w:r w:rsidRPr="00E66C1E">
        <w:rPr>
          <w:rFonts w:cs="Times New Roman"/>
        </w:rPr>
        <w:t xml:space="preserve">ara Servidoras </w:t>
      </w:r>
      <w:r>
        <w:rPr>
          <w:rFonts w:cs="Times New Roman"/>
        </w:rPr>
        <w:t>d</w:t>
      </w:r>
      <w:r w:rsidRPr="00E66C1E">
        <w:rPr>
          <w:rFonts w:cs="Times New Roman"/>
        </w:rPr>
        <w:t xml:space="preserve">e </w:t>
      </w:r>
      <w:r>
        <w:rPr>
          <w:rFonts w:cs="Times New Roman"/>
        </w:rPr>
        <w:t>u</w:t>
      </w:r>
      <w:r w:rsidRPr="00E66C1E">
        <w:rPr>
          <w:rFonts w:cs="Times New Roman"/>
        </w:rPr>
        <w:t xml:space="preserve">ma Instituição Pública </w:t>
      </w:r>
      <w:r>
        <w:rPr>
          <w:rFonts w:cs="Times New Roman"/>
        </w:rPr>
        <w:t>d</w:t>
      </w:r>
      <w:r w:rsidRPr="00E66C1E">
        <w:rPr>
          <w:rFonts w:cs="Times New Roman"/>
        </w:rPr>
        <w:t>e Ensino Superior</w:t>
      </w:r>
      <w:r>
        <w:rPr>
          <w:rFonts w:cs="Times New Roman"/>
        </w:rPr>
        <w:t xml:space="preserve">. </w:t>
      </w:r>
      <w:r>
        <w:rPr>
          <w:rFonts w:cs="Times New Roman"/>
          <w:i/>
          <w:iCs/>
        </w:rPr>
        <w:t>Boletim de Psicologia</w:t>
      </w:r>
      <w:r>
        <w:rPr>
          <w:rFonts w:cs="Times New Roman"/>
        </w:rPr>
        <w:t xml:space="preserve">, </w:t>
      </w:r>
      <w:r>
        <w:rPr>
          <w:rFonts w:cs="Times New Roman"/>
          <w:i/>
          <w:iCs/>
        </w:rPr>
        <w:t>67</w:t>
      </w:r>
      <w:r>
        <w:rPr>
          <w:rFonts w:cs="Times New Roman"/>
        </w:rPr>
        <w:t>(145), 145-158.</w:t>
      </w:r>
    </w:p>
    <w:p w14:paraId="0031C8A8" w14:textId="77777777" w:rsidR="0034770D" w:rsidRPr="00940231" w:rsidRDefault="0034770D" w:rsidP="00F031C3">
      <w:pPr>
        <w:widowControl w:val="0"/>
        <w:autoSpaceDE w:val="0"/>
        <w:autoSpaceDN w:val="0"/>
        <w:adjustRightInd w:val="0"/>
        <w:spacing w:after="200" w:line="360" w:lineRule="auto"/>
        <w:ind w:left="482" w:hanging="482"/>
        <w:rPr>
          <w:rFonts w:cs="Times New Roman"/>
        </w:rPr>
      </w:pPr>
      <w:r w:rsidRPr="00F94D25">
        <w:rPr>
          <w:rFonts w:cs="Times New Roman"/>
        </w:rPr>
        <w:t>Santos, S. C., França, L. H. F. P., &amp; Pereira, M. M.</w:t>
      </w:r>
      <w:r>
        <w:rPr>
          <w:rFonts w:cs="Times New Roman"/>
        </w:rPr>
        <w:t xml:space="preserve"> (2018). Propriedades Psicométricas do Inventário de Motivos para Migração na Aposentadoria. </w:t>
      </w:r>
      <w:r>
        <w:rPr>
          <w:rFonts w:cs="Times New Roman"/>
          <w:i/>
          <w:iCs/>
        </w:rPr>
        <w:t>Revista Kairós-Gerontologia</w:t>
      </w:r>
      <w:r>
        <w:rPr>
          <w:rFonts w:cs="Times New Roman"/>
        </w:rPr>
        <w:t xml:space="preserve">, </w:t>
      </w:r>
      <w:r>
        <w:rPr>
          <w:rFonts w:cs="Times New Roman"/>
          <w:i/>
          <w:iCs/>
        </w:rPr>
        <w:t>21</w:t>
      </w:r>
      <w:r>
        <w:rPr>
          <w:rFonts w:cs="Times New Roman"/>
        </w:rPr>
        <w:t xml:space="preserve">(2), 91-112. </w:t>
      </w:r>
      <w:r w:rsidRPr="003A662C">
        <w:rPr>
          <w:rFonts w:cs="Times New Roman"/>
        </w:rPr>
        <w:t>https://doi.org/10.23925/2176-901X.2018v21i2p91-112</w:t>
      </w:r>
    </w:p>
    <w:p w14:paraId="10EB88CF" w14:textId="77777777" w:rsidR="0034770D" w:rsidRPr="00F94D25" w:rsidRDefault="0034770D" w:rsidP="00F031C3">
      <w:pPr>
        <w:widowControl w:val="0"/>
        <w:autoSpaceDE w:val="0"/>
        <w:autoSpaceDN w:val="0"/>
        <w:adjustRightInd w:val="0"/>
        <w:spacing w:after="200" w:line="360" w:lineRule="auto"/>
        <w:ind w:left="482" w:hanging="482"/>
        <w:rPr>
          <w:rFonts w:cs="Times New Roman"/>
          <w:i/>
          <w:noProof/>
        </w:rPr>
      </w:pPr>
      <w:r w:rsidRPr="00F94D25">
        <w:rPr>
          <w:rFonts w:cs="Times New Roman"/>
        </w:rPr>
        <w:t xml:space="preserve">Santos, S. C., França, L. H. F. P., &amp; Pereira, M. M. (2021). Evidências de Validade da Escala de Qualidade de Vida Coletiva Percebida, EQVCP, com Aposentados Migrantes na Região dos Lagos, RJ, Brasil. </w:t>
      </w:r>
      <w:r w:rsidRPr="00F94D25">
        <w:rPr>
          <w:rFonts w:cs="Times New Roman"/>
          <w:i/>
          <w:iCs/>
        </w:rPr>
        <w:t>Revista Kairós-Gerontologia</w:t>
      </w:r>
      <w:r w:rsidRPr="00F94D25">
        <w:rPr>
          <w:rFonts w:cs="Times New Roman"/>
        </w:rPr>
        <w:t xml:space="preserve">, </w:t>
      </w:r>
      <w:r w:rsidRPr="00F94D25">
        <w:rPr>
          <w:rFonts w:cs="Times New Roman"/>
          <w:i/>
          <w:iCs/>
        </w:rPr>
        <w:t>24</w:t>
      </w:r>
      <w:r w:rsidRPr="00F94D25">
        <w:rPr>
          <w:rFonts w:cs="Times New Roman"/>
        </w:rPr>
        <w:t>(1), 179-198. Doi: 10.23925/2176-901X.2021v24i1p179-198</w:t>
      </w:r>
    </w:p>
    <w:p w14:paraId="36EC3462" w14:textId="77777777" w:rsidR="0034770D" w:rsidRPr="00A13DE0" w:rsidRDefault="0034770D" w:rsidP="00F031C3">
      <w:pPr>
        <w:widowControl w:val="0"/>
        <w:autoSpaceDE w:val="0"/>
        <w:autoSpaceDN w:val="0"/>
        <w:adjustRightInd w:val="0"/>
        <w:spacing w:after="200" w:line="360" w:lineRule="auto"/>
        <w:ind w:left="480" w:hanging="480"/>
        <w:rPr>
          <w:rFonts w:cs="Times New Roman"/>
          <w:noProof/>
          <w:lang w:val="en-US"/>
        </w:rPr>
      </w:pPr>
      <w:r>
        <w:rPr>
          <w:rFonts w:cs="Times New Roman"/>
          <w:noProof/>
          <w:lang w:val="en-US"/>
        </w:rPr>
        <w:t xml:space="preserve">Seidl, J., Leandro-França, C., &amp; Murta, S. G. (2018). </w:t>
      </w:r>
      <w:r w:rsidRPr="00EA1A0B">
        <w:rPr>
          <w:rFonts w:cs="Times New Roman"/>
          <w:noProof/>
          <w:lang w:val="en-US"/>
        </w:rPr>
        <w:t>Avaliação de Impacto e Suporte de um Curso de Preparação para Aposentadoria</w:t>
      </w:r>
      <w:r>
        <w:rPr>
          <w:rFonts w:cs="Times New Roman"/>
          <w:noProof/>
          <w:lang w:val="en-US"/>
        </w:rPr>
        <w:t xml:space="preserve">. </w:t>
      </w:r>
      <w:r>
        <w:rPr>
          <w:rFonts w:cs="Times New Roman"/>
          <w:i/>
          <w:iCs/>
          <w:noProof/>
          <w:lang w:val="en-US"/>
        </w:rPr>
        <w:t>Revista Psicologia: organizações e trabalho</w:t>
      </w:r>
      <w:r>
        <w:rPr>
          <w:rFonts w:cs="Times New Roman"/>
          <w:noProof/>
          <w:lang w:val="en-US"/>
        </w:rPr>
        <w:t xml:space="preserve">, </w:t>
      </w:r>
      <w:r>
        <w:rPr>
          <w:rFonts w:cs="Times New Roman"/>
          <w:i/>
          <w:iCs/>
          <w:noProof/>
          <w:lang w:val="en-US"/>
        </w:rPr>
        <w:t>18</w:t>
      </w:r>
      <w:r>
        <w:rPr>
          <w:rFonts w:cs="Times New Roman"/>
          <w:noProof/>
          <w:lang w:val="en-US"/>
        </w:rPr>
        <w:t xml:space="preserve">(4), 494-502. </w:t>
      </w:r>
      <w:r w:rsidRPr="00A13DE0">
        <w:rPr>
          <w:rFonts w:cs="Times New Roman"/>
          <w:noProof/>
          <w:lang w:val="en-US"/>
        </w:rPr>
        <w:t>doi: 10.17652/rpot/2018.4.14732</w:t>
      </w:r>
    </w:p>
    <w:p w14:paraId="1EA26AE0" w14:textId="77777777" w:rsidR="0034770D" w:rsidRPr="00F94D25" w:rsidRDefault="0034770D" w:rsidP="00F031C3">
      <w:pPr>
        <w:widowControl w:val="0"/>
        <w:autoSpaceDE w:val="0"/>
        <w:autoSpaceDN w:val="0"/>
        <w:adjustRightInd w:val="0"/>
        <w:spacing w:after="200" w:line="360" w:lineRule="auto"/>
        <w:ind w:left="480" w:hanging="480"/>
        <w:rPr>
          <w:rFonts w:cs="Times New Roman"/>
          <w:noProof/>
          <w:lang w:val="en-US"/>
        </w:rPr>
      </w:pPr>
      <w:r w:rsidRPr="00F94D25">
        <w:rPr>
          <w:rFonts w:cs="Times New Roman"/>
          <w:noProof/>
          <w:lang w:val="en-US"/>
        </w:rPr>
        <w:t xml:space="preserve">Shultz, K. S., &amp; Wang, M. (2011). Psychological perspectives on the changing nature of retirement. </w:t>
      </w:r>
      <w:r w:rsidRPr="00F94D25">
        <w:rPr>
          <w:rFonts w:cs="Times New Roman"/>
          <w:i/>
          <w:noProof/>
          <w:lang w:val="en-US"/>
        </w:rPr>
        <w:t>American Psychologist</w:t>
      </w:r>
      <w:r w:rsidRPr="00F94D25">
        <w:rPr>
          <w:rFonts w:cs="Times New Roman"/>
          <w:noProof/>
          <w:lang w:val="en-US"/>
        </w:rPr>
        <w:t xml:space="preserve">, </w:t>
      </w:r>
      <w:r w:rsidRPr="00F94D25">
        <w:rPr>
          <w:rFonts w:cs="Times New Roman"/>
          <w:i/>
          <w:noProof/>
          <w:lang w:val="en-US"/>
        </w:rPr>
        <w:t>66</w:t>
      </w:r>
      <w:r w:rsidRPr="00F94D25">
        <w:rPr>
          <w:rFonts w:cs="Times New Roman"/>
          <w:noProof/>
          <w:lang w:val="en-US"/>
        </w:rPr>
        <w:t>(3), 170–179. https://doi.org/10.1037/a0022411</w:t>
      </w:r>
    </w:p>
    <w:p w14:paraId="57EAE62B" w14:textId="77777777" w:rsidR="0034770D" w:rsidRPr="00F94D25" w:rsidRDefault="0034770D" w:rsidP="00F031C3">
      <w:pPr>
        <w:widowControl w:val="0"/>
        <w:autoSpaceDE w:val="0"/>
        <w:autoSpaceDN w:val="0"/>
        <w:adjustRightInd w:val="0"/>
        <w:spacing w:after="200" w:line="360" w:lineRule="auto"/>
        <w:ind w:left="480" w:hanging="480"/>
        <w:rPr>
          <w:rFonts w:cs="Times New Roman"/>
          <w:noProof/>
          <w:lang w:val="en-US"/>
        </w:rPr>
      </w:pPr>
      <w:r w:rsidRPr="00F94D25">
        <w:rPr>
          <w:rFonts w:cs="Times New Roman"/>
          <w:noProof/>
          <w:lang w:val="en-US"/>
        </w:rPr>
        <w:t xml:space="preserve">Souza, A. P., &amp; França, L. H. F. P. (2020). Construção e evidências de validade da escala de motivos para continuar trabalhando na aposentadoria. </w:t>
      </w:r>
      <w:r w:rsidRPr="00F94D25">
        <w:rPr>
          <w:rFonts w:cs="Times New Roman"/>
          <w:i/>
          <w:iCs/>
          <w:noProof/>
          <w:lang w:val="en-US"/>
        </w:rPr>
        <w:t>Ciências Psicológicas</w:t>
      </w:r>
      <w:r w:rsidRPr="00F94D25">
        <w:rPr>
          <w:rFonts w:cs="Times New Roman"/>
          <w:noProof/>
          <w:lang w:val="en-US"/>
        </w:rPr>
        <w:t xml:space="preserve">, </w:t>
      </w:r>
      <w:r w:rsidRPr="00F94D25">
        <w:rPr>
          <w:rFonts w:cs="Times New Roman"/>
          <w:i/>
          <w:iCs/>
          <w:noProof/>
          <w:lang w:val="en-US"/>
        </w:rPr>
        <w:t>14</w:t>
      </w:r>
      <w:r w:rsidRPr="00F94D25">
        <w:rPr>
          <w:rFonts w:cs="Times New Roman"/>
          <w:noProof/>
          <w:lang w:val="en-US"/>
        </w:rPr>
        <w:t>(2). Doi: 10.22235/cp.v14i2.2256</w:t>
      </w:r>
    </w:p>
    <w:p w14:paraId="698CF4CF" w14:textId="77777777" w:rsidR="0034770D" w:rsidRDefault="0034770D" w:rsidP="00F031C3">
      <w:pPr>
        <w:spacing w:line="360" w:lineRule="auto"/>
        <w:ind w:left="720" w:hanging="720"/>
        <w:rPr>
          <w:rFonts w:cs="Times New Roman"/>
          <w:color w:val="000000"/>
        </w:rPr>
      </w:pPr>
      <w:r>
        <w:rPr>
          <w:rFonts w:cs="Times New Roman"/>
          <w:color w:val="000000"/>
        </w:rPr>
        <w:t>Vieceli</w:t>
      </w:r>
      <w:r w:rsidRPr="009D61E0">
        <w:rPr>
          <w:rFonts w:cs="Times New Roman"/>
          <w:color w:val="000000"/>
        </w:rPr>
        <w:t>, L. (</w:t>
      </w:r>
      <w:r>
        <w:rPr>
          <w:rFonts w:cs="Times New Roman"/>
          <w:color w:val="000000"/>
        </w:rPr>
        <w:t>27 de outubro de 2022</w:t>
      </w:r>
      <w:r w:rsidRPr="009D61E0">
        <w:rPr>
          <w:rFonts w:cs="Times New Roman"/>
          <w:color w:val="000000"/>
        </w:rPr>
        <w:t xml:space="preserve">). </w:t>
      </w:r>
      <w:r w:rsidRPr="00171AB5">
        <w:rPr>
          <w:rFonts w:cs="Times New Roman"/>
          <w:i/>
          <w:iCs/>
          <w:color w:val="000000"/>
        </w:rPr>
        <w:t>Desemprego recua para 8,7% e atinge 9,5 milhões</w:t>
      </w:r>
      <w:r w:rsidRPr="009D61E0">
        <w:rPr>
          <w:rFonts w:cs="Times New Roman"/>
          <w:color w:val="000000"/>
        </w:rPr>
        <w:t xml:space="preserve">. </w:t>
      </w:r>
      <w:r>
        <w:rPr>
          <w:rFonts w:cs="Times New Roman"/>
          <w:color w:val="000000"/>
        </w:rPr>
        <w:t>Estado de Minas</w:t>
      </w:r>
      <w:r w:rsidRPr="009D61E0">
        <w:rPr>
          <w:rFonts w:cs="Times New Roman"/>
          <w:color w:val="000000"/>
        </w:rPr>
        <w:t xml:space="preserve">. Recuperado em </w:t>
      </w:r>
      <w:r w:rsidRPr="00740B0B">
        <w:rPr>
          <w:rFonts w:cs="Times New Roman"/>
          <w:color w:val="000000"/>
        </w:rPr>
        <w:t>https://www.em.com.br/app/noticia/economia/2022/10/27/internas_economia,1412717/desemprego-recua-para-8-7-e-atinge-9-5-milhoes.shtml</w:t>
      </w:r>
    </w:p>
    <w:p w14:paraId="5F988655" w14:textId="77777777" w:rsidR="0034770D" w:rsidRPr="00F94D25" w:rsidRDefault="0034770D" w:rsidP="00F031C3">
      <w:pPr>
        <w:widowControl w:val="0"/>
        <w:autoSpaceDE w:val="0"/>
        <w:autoSpaceDN w:val="0"/>
        <w:adjustRightInd w:val="0"/>
        <w:spacing w:after="200" w:line="360" w:lineRule="auto"/>
        <w:ind w:left="482" w:hanging="482"/>
        <w:rPr>
          <w:rFonts w:cs="Times New Roman"/>
        </w:rPr>
      </w:pPr>
    </w:p>
    <w:p w14:paraId="7966629C" w14:textId="77777777" w:rsidR="00C70CDA" w:rsidRDefault="00C70CDA" w:rsidP="00F031C3">
      <w:pPr>
        <w:spacing w:line="360" w:lineRule="auto"/>
      </w:pPr>
    </w:p>
    <w:sectPr w:rsidR="00C70CDA" w:rsidSect="009D165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3E02"/>
    <w:multiLevelType w:val="hybridMultilevel"/>
    <w:tmpl w:val="04FCA1F6"/>
    <w:lvl w:ilvl="0" w:tplc="0BD09FD6">
      <w:numFmt w:val="bullet"/>
      <w:lvlText w:val="☐"/>
      <w:lvlJc w:val="left"/>
      <w:pPr>
        <w:ind w:left="1013" w:hanging="272"/>
      </w:pPr>
      <w:rPr>
        <w:rFonts w:ascii="Segoe UI Symbol" w:eastAsia="Segoe UI Symbol" w:hAnsi="Segoe UI Symbol" w:cs="Segoe UI Symbol" w:hint="default"/>
        <w:w w:val="100"/>
        <w:sz w:val="24"/>
        <w:szCs w:val="24"/>
        <w:lang w:val="pt-PT" w:eastAsia="en-US" w:bidi="ar-SA"/>
      </w:rPr>
    </w:lvl>
    <w:lvl w:ilvl="1" w:tplc="627EF474">
      <w:numFmt w:val="bullet"/>
      <w:lvlText w:val="•"/>
      <w:lvlJc w:val="left"/>
      <w:pPr>
        <w:ind w:left="1780" w:hanging="272"/>
      </w:pPr>
      <w:rPr>
        <w:lang w:val="pt-PT" w:eastAsia="en-US" w:bidi="ar-SA"/>
      </w:rPr>
    </w:lvl>
    <w:lvl w:ilvl="2" w:tplc="CFCECD20">
      <w:numFmt w:val="bullet"/>
      <w:lvlText w:val="•"/>
      <w:lvlJc w:val="left"/>
      <w:pPr>
        <w:ind w:left="2541" w:hanging="272"/>
      </w:pPr>
      <w:rPr>
        <w:lang w:val="pt-PT" w:eastAsia="en-US" w:bidi="ar-SA"/>
      </w:rPr>
    </w:lvl>
    <w:lvl w:ilvl="3" w:tplc="EF227F82">
      <w:numFmt w:val="bullet"/>
      <w:lvlText w:val="•"/>
      <w:lvlJc w:val="left"/>
      <w:pPr>
        <w:ind w:left="3301" w:hanging="272"/>
      </w:pPr>
      <w:rPr>
        <w:lang w:val="pt-PT" w:eastAsia="en-US" w:bidi="ar-SA"/>
      </w:rPr>
    </w:lvl>
    <w:lvl w:ilvl="4" w:tplc="11124E56">
      <w:numFmt w:val="bullet"/>
      <w:lvlText w:val="•"/>
      <w:lvlJc w:val="left"/>
      <w:pPr>
        <w:ind w:left="4062" w:hanging="272"/>
      </w:pPr>
      <w:rPr>
        <w:lang w:val="pt-PT" w:eastAsia="en-US" w:bidi="ar-SA"/>
      </w:rPr>
    </w:lvl>
    <w:lvl w:ilvl="5" w:tplc="BA0CF510">
      <w:numFmt w:val="bullet"/>
      <w:lvlText w:val="•"/>
      <w:lvlJc w:val="left"/>
      <w:pPr>
        <w:ind w:left="4823" w:hanging="272"/>
      </w:pPr>
      <w:rPr>
        <w:lang w:val="pt-PT" w:eastAsia="en-US" w:bidi="ar-SA"/>
      </w:rPr>
    </w:lvl>
    <w:lvl w:ilvl="6" w:tplc="0DE0BB22">
      <w:numFmt w:val="bullet"/>
      <w:lvlText w:val="•"/>
      <w:lvlJc w:val="left"/>
      <w:pPr>
        <w:ind w:left="5583" w:hanging="272"/>
      </w:pPr>
      <w:rPr>
        <w:lang w:val="pt-PT" w:eastAsia="en-US" w:bidi="ar-SA"/>
      </w:rPr>
    </w:lvl>
    <w:lvl w:ilvl="7" w:tplc="80C2F4C2">
      <w:numFmt w:val="bullet"/>
      <w:lvlText w:val="•"/>
      <w:lvlJc w:val="left"/>
      <w:pPr>
        <w:ind w:left="6344" w:hanging="272"/>
      </w:pPr>
      <w:rPr>
        <w:lang w:val="pt-PT" w:eastAsia="en-US" w:bidi="ar-SA"/>
      </w:rPr>
    </w:lvl>
    <w:lvl w:ilvl="8" w:tplc="3CB2C650">
      <w:numFmt w:val="bullet"/>
      <w:lvlText w:val="•"/>
      <w:lvlJc w:val="left"/>
      <w:pPr>
        <w:ind w:left="7105" w:hanging="272"/>
      </w:pPr>
      <w:rPr>
        <w:lang w:val="pt-PT" w:eastAsia="en-US" w:bidi="ar-SA"/>
      </w:rPr>
    </w:lvl>
  </w:abstractNum>
  <w:abstractNum w:abstractNumId="1" w15:restartNumberingAfterBreak="0">
    <w:nsid w:val="148C6C1C"/>
    <w:multiLevelType w:val="hybridMultilevel"/>
    <w:tmpl w:val="62D4C6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59537FB"/>
    <w:multiLevelType w:val="hybridMultilevel"/>
    <w:tmpl w:val="CEC4C9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98F37B5"/>
    <w:multiLevelType w:val="hybridMultilevel"/>
    <w:tmpl w:val="245E6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8719D4"/>
    <w:multiLevelType w:val="hybridMultilevel"/>
    <w:tmpl w:val="52CE00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547812"/>
    <w:multiLevelType w:val="hybridMultilevel"/>
    <w:tmpl w:val="5E5ECDD2"/>
    <w:lvl w:ilvl="0" w:tplc="04160001">
      <w:start w:val="1"/>
      <w:numFmt w:val="bullet"/>
      <w:lvlText w:val=""/>
      <w:lvlJc w:val="left"/>
      <w:pPr>
        <w:ind w:left="2160" w:hanging="360"/>
      </w:pPr>
      <w:rPr>
        <w:rFonts w:ascii="Symbol" w:hAnsi="Symbol" w:hint="default"/>
      </w:rPr>
    </w:lvl>
    <w:lvl w:ilvl="1" w:tplc="04160003">
      <w:start w:val="1"/>
      <w:numFmt w:val="bullet"/>
      <w:lvlText w:val="o"/>
      <w:lvlJc w:val="left"/>
      <w:pPr>
        <w:ind w:left="2880" w:hanging="360"/>
      </w:pPr>
      <w:rPr>
        <w:rFonts w:ascii="Courier New" w:hAnsi="Courier New" w:cs="Courier New" w:hint="default"/>
      </w:rPr>
    </w:lvl>
    <w:lvl w:ilvl="2" w:tplc="04160005">
      <w:start w:val="1"/>
      <w:numFmt w:val="bullet"/>
      <w:lvlText w:val=""/>
      <w:lvlJc w:val="left"/>
      <w:pPr>
        <w:ind w:left="3600" w:hanging="360"/>
      </w:pPr>
      <w:rPr>
        <w:rFonts w:ascii="Wingdings" w:hAnsi="Wingdings" w:hint="default"/>
      </w:rPr>
    </w:lvl>
    <w:lvl w:ilvl="3" w:tplc="04160001">
      <w:start w:val="1"/>
      <w:numFmt w:val="bullet"/>
      <w:lvlText w:val=""/>
      <w:lvlJc w:val="left"/>
      <w:pPr>
        <w:ind w:left="4320" w:hanging="360"/>
      </w:pPr>
      <w:rPr>
        <w:rFonts w:ascii="Symbol" w:hAnsi="Symbol" w:hint="default"/>
      </w:rPr>
    </w:lvl>
    <w:lvl w:ilvl="4" w:tplc="04160003">
      <w:start w:val="1"/>
      <w:numFmt w:val="bullet"/>
      <w:lvlText w:val="o"/>
      <w:lvlJc w:val="left"/>
      <w:pPr>
        <w:ind w:left="5040" w:hanging="360"/>
      </w:pPr>
      <w:rPr>
        <w:rFonts w:ascii="Courier New" w:hAnsi="Courier New" w:cs="Courier New" w:hint="default"/>
      </w:rPr>
    </w:lvl>
    <w:lvl w:ilvl="5" w:tplc="04160005">
      <w:start w:val="1"/>
      <w:numFmt w:val="bullet"/>
      <w:lvlText w:val=""/>
      <w:lvlJc w:val="left"/>
      <w:pPr>
        <w:ind w:left="5760" w:hanging="360"/>
      </w:pPr>
      <w:rPr>
        <w:rFonts w:ascii="Wingdings" w:hAnsi="Wingdings" w:hint="default"/>
      </w:rPr>
    </w:lvl>
    <w:lvl w:ilvl="6" w:tplc="04160001">
      <w:start w:val="1"/>
      <w:numFmt w:val="bullet"/>
      <w:lvlText w:val=""/>
      <w:lvlJc w:val="left"/>
      <w:pPr>
        <w:ind w:left="6480" w:hanging="360"/>
      </w:pPr>
      <w:rPr>
        <w:rFonts w:ascii="Symbol" w:hAnsi="Symbol" w:hint="default"/>
      </w:rPr>
    </w:lvl>
    <w:lvl w:ilvl="7" w:tplc="04160003">
      <w:start w:val="1"/>
      <w:numFmt w:val="bullet"/>
      <w:lvlText w:val="o"/>
      <w:lvlJc w:val="left"/>
      <w:pPr>
        <w:ind w:left="7200" w:hanging="360"/>
      </w:pPr>
      <w:rPr>
        <w:rFonts w:ascii="Courier New" w:hAnsi="Courier New" w:cs="Courier New" w:hint="default"/>
      </w:rPr>
    </w:lvl>
    <w:lvl w:ilvl="8" w:tplc="04160005">
      <w:start w:val="1"/>
      <w:numFmt w:val="bullet"/>
      <w:lvlText w:val=""/>
      <w:lvlJc w:val="left"/>
      <w:pPr>
        <w:ind w:left="7920" w:hanging="360"/>
      </w:pPr>
      <w:rPr>
        <w:rFonts w:ascii="Wingdings" w:hAnsi="Wingdings" w:hint="default"/>
      </w:rPr>
    </w:lvl>
  </w:abstractNum>
  <w:abstractNum w:abstractNumId="6" w15:restartNumberingAfterBreak="0">
    <w:nsid w:val="35414548"/>
    <w:multiLevelType w:val="hybridMultilevel"/>
    <w:tmpl w:val="E0E8A104"/>
    <w:lvl w:ilvl="0" w:tplc="0BD09FD6">
      <w:numFmt w:val="bullet"/>
      <w:lvlText w:val="☐"/>
      <w:lvlJc w:val="left"/>
      <w:pPr>
        <w:ind w:left="1461" w:hanging="360"/>
      </w:pPr>
      <w:rPr>
        <w:rFonts w:ascii="Segoe UI Symbol" w:eastAsia="Segoe UI Symbol" w:hAnsi="Segoe UI Symbol" w:cs="Segoe UI Symbol" w:hint="default"/>
        <w:w w:val="100"/>
        <w:sz w:val="24"/>
        <w:szCs w:val="24"/>
        <w:lang w:val="pt-PT" w:eastAsia="en-US" w:bidi="ar-SA"/>
      </w:rPr>
    </w:lvl>
    <w:lvl w:ilvl="1" w:tplc="04160003">
      <w:start w:val="1"/>
      <w:numFmt w:val="bullet"/>
      <w:lvlText w:val="o"/>
      <w:lvlJc w:val="left"/>
      <w:pPr>
        <w:ind w:left="2181" w:hanging="360"/>
      </w:pPr>
      <w:rPr>
        <w:rFonts w:ascii="Courier New" w:hAnsi="Courier New" w:cs="Courier New" w:hint="default"/>
      </w:rPr>
    </w:lvl>
    <w:lvl w:ilvl="2" w:tplc="04160005">
      <w:start w:val="1"/>
      <w:numFmt w:val="bullet"/>
      <w:lvlText w:val=""/>
      <w:lvlJc w:val="left"/>
      <w:pPr>
        <w:ind w:left="2901" w:hanging="360"/>
      </w:pPr>
      <w:rPr>
        <w:rFonts w:ascii="Wingdings" w:hAnsi="Wingdings" w:hint="default"/>
      </w:rPr>
    </w:lvl>
    <w:lvl w:ilvl="3" w:tplc="04160001">
      <w:start w:val="1"/>
      <w:numFmt w:val="bullet"/>
      <w:lvlText w:val=""/>
      <w:lvlJc w:val="left"/>
      <w:pPr>
        <w:ind w:left="3621" w:hanging="360"/>
      </w:pPr>
      <w:rPr>
        <w:rFonts w:ascii="Symbol" w:hAnsi="Symbol" w:hint="default"/>
      </w:rPr>
    </w:lvl>
    <w:lvl w:ilvl="4" w:tplc="04160003">
      <w:start w:val="1"/>
      <w:numFmt w:val="bullet"/>
      <w:lvlText w:val="o"/>
      <w:lvlJc w:val="left"/>
      <w:pPr>
        <w:ind w:left="4341" w:hanging="360"/>
      </w:pPr>
      <w:rPr>
        <w:rFonts w:ascii="Courier New" w:hAnsi="Courier New" w:cs="Courier New" w:hint="default"/>
      </w:rPr>
    </w:lvl>
    <w:lvl w:ilvl="5" w:tplc="04160005">
      <w:start w:val="1"/>
      <w:numFmt w:val="bullet"/>
      <w:lvlText w:val=""/>
      <w:lvlJc w:val="left"/>
      <w:pPr>
        <w:ind w:left="5061" w:hanging="360"/>
      </w:pPr>
      <w:rPr>
        <w:rFonts w:ascii="Wingdings" w:hAnsi="Wingdings" w:hint="default"/>
      </w:rPr>
    </w:lvl>
    <w:lvl w:ilvl="6" w:tplc="04160001">
      <w:start w:val="1"/>
      <w:numFmt w:val="bullet"/>
      <w:lvlText w:val=""/>
      <w:lvlJc w:val="left"/>
      <w:pPr>
        <w:ind w:left="5781" w:hanging="360"/>
      </w:pPr>
      <w:rPr>
        <w:rFonts w:ascii="Symbol" w:hAnsi="Symbol" w:hint="default"/>
      </w:rPr>
    </w:lvl>
    <w:lvl w:ilvl="7" w:tplc="04160003">
      <w:start w:val="1"/>
      <w:numFmt w:val="bullet"/>
      <w:lvlText w:val="o"/>
      <w:lvlJc w:val="left"/>
      <w:pPr>
        <w:ind w:left="6501" w:hanging="360"/>
      </w:pPr>
      <w:rPr>
        <w:rFonts w:ascii="Courier New" w:hAnsi="Courier New" w:cs="Courier New" w:hint="default"/>
      </w:rPr>
    </w:lvl>
    <w:lvl w:ilvl="8" w:tplc="04160005">
      <w:start w:val="1"/>
      <w:numFmt w:val="bullet"/>
      <w:lvlText w:val=""/>
      <w:lvlJc w:val="left"/>
      <w:pPr>
        <w:ind w:left="7221" w:hanging="360"/>
      </w:pPr>
      <w:rPr>
        <w:rFonts w:ascii="Wingdings" w:hAnsi="Wingdings" w:hint="default"/>
      </w:rPr>
    </w:lvl>
  </w:abstractNum>
  <w:abstractNum w:abstractNumId="7" w15:restartNumberingAfterBreak="0">
    <w:nsid w:val="36103B96"/>
    <w:multiLevelType w:val="hybridMultilevel"/>
    <w:tmpl w:val="31945D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9242972"/>
    <w:multiLevelType w:val="hybridMultilevel"/>
    <w:tmpl w:val="48AA38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EFA1434"/>
    <w:multiLevelType w:val="hybridMultilevel"/>
    <w:tmpl w:val="741CCAF2"/>
    <w:lvl w:ilvl="0" w:tplc="43600B14">
      <w:start w:val="1"/>
      <w:numFmt w:val="decimal"/>
      <w:lvlText w:val="%1."/>
      <w:lvlJc w:val="left"/>
      <w:pPr>
        <w:ind w:left="1102" w:hanging="360"/>
      </w:pPr>
      <w:rPr>
        <w:rFonts w:ascii="Times New Roman" w:eastAsia="Times New Roman" w:hAnsi="Times New Roman" w:cs="Times New Roman" w:hint="default"/>
        <w:b/>
        <w:bCs/>
        <w:w w:val="100"/>
        <w:sz w:val="24"/>
        <w:szCs w:val="24"/>
        <w:lang w:val="pt-PT" w:eastAsia="en-US" w:bidi="ar-SA"/>
      </w:rPr>
    </w:lvl>
    <w:lvl w:ilvl="1" w:tplc="6AD8492C">
      <w:numFmt w:val="bullet"/>
      <w:lvlText w:val="•"/>
      <w:lvlJc w:val="left"/>
      <w:pPr>
        <w:ind w:left="1852" w:hanging="360"/>
      </w:pPr>
      <w:rPr>
        <w:lang w:val="pt-PT" w:eastAsia="en-US" w:bidi="ar-SA"/>
      </w:rPr>
    </w:lvl>
    <w:lvl w:ilvl="2" w:tplc="783ACC50">
      <w:numFmt w:val="bullet"/>
      <w:lvlText w:val="•"/>
      <w:lvlJc w:val="left"/>
      <w:pPr>
        <w:ind w:left="2605" w:hanging="360"/>
      </w:pPr>
      <w:rPr>
        <w:lang w:val="pt-PT" w:eastAsia="en-US" w:bidi="ar-SA"/>
      </w:rPr>
    </w:lvl>
    <w:lvl w:ilvl="3" w:tplc="CB7E50B6">
      <w:numFmt w:val="bullet"/>
      <w:lvlText w:val="•"/>
      <w:lvlJc w:val="left"/>
      <w:pPr>
        <w:ind w:left="3357" w:hanging="360"/>
      </w:pPr>
      <w:rPr>
        <w:lang w:val="pt-PT" w:eastAsia="en-US" w:bidi="ar-SA"/>
      </w:rPr>
    </w:lvl>
    <w:lvl w:ilvl="4" w:tplc="ECB0C89E">
      <w:numFmt w:val="bullet"/>
      <w:lvlText w:val="•"/>
      <w:lvlJc w:val="left"/>
      <w:pPr>
        <w:ind w:left="4110" w:hanging="360"/>
      </w:pPr>
      <w:rPr>
        <w:lang w:val="pt-PT" w:eastAsia="en-US" w:bidi="ar-SA"/>
      </w:rPr>
    </w:lvl>
    <w:lvl w:ilvl="5" w:tplc="D6B0C83E">
      <w:numFmt w:val="bullet"/>
      <w:lvlText w:val="•"/>
      <w:lvlJc w:val="left"/>
      <w:pPr>
        <w:ind w:left="4863" w:hanging="360"/>
      </w:pPr>
      <w:rPr>
        <w:lang w:val="pt-PT" w:eastAsia="en-US" w:bidi="ar-SA"/>
      </w:rPr>
    </w:lvl>
    <w:lvl w:ilvl="6" w:tplc="8A0A1856">
      <w:numFmt w:val="bullet"/>
      <w:lvlText w:val="•"/>
      <w:lvlJc w:val="left"/>
      <w:pPr>
        <w:ind w:left="5615" w:hanging="360"/>
      </w:pPr>
      <w:rPr>
        <w:lang w:val="pt-PT" w:eastAsia="en-US" w:bidi="ar-SA"/>
      </w:rPr>
    </w:lvl>
    <w:lvl w:ilvl="7" w:tplc="08E23472">
      <w:numFmt w:val="bullet"/>
      <w:lvlText w:val="•"/>
      <w:lvlJc w:val="left"/>
      <w:pPr>
        <w:ind w:left="6368" w:hanging="360"/>
      </w:pPr>
      <w:rPr>
        <w:lang w:val="pt-PT" w:eastAsia="en-US" w:bidi="ar-SA"/>
      </w:rPr>
    </w:lvl>
    <w:lvl w:ilvl="8" w:tplc="7BFE34D4">
      <w:numFmt w:val="bullet"/>
      <w:lvlText w:val="•"/>
      <w:lvlJc w:val="left"/>
      <w:pPr>
        <w:ind w:left="7121" w:hanging="360"/>
      </w:pPr>
      <w:rPr>
        <w:lang w:val="pt-PT" w:eastAsia="en-US" w:bidi="ar-SA"/>
      </w:rPr>
    </w:lvl>
  </w:abstractNum>
  <w:abstractNum w:abstractNumId="10" w15:restartNumberingAfterBreak="0">
    <w:nsid w:val="71825204"/>
    <w:multiLevelType w:val="hybridMultilevel"/>
    <w:tmpl w:val="845C4F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8936E83"/>
    <w:multiLevelType w:val="hybridMultilevel"/>
    <w:tmpl w:val="C92E7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25686305">
    <w:abstractNumId w:val="10"/>
  </w:num>
  <w:num w:numId="2" w16cid:durableId="1827552709">
    <w:abstractNumId w:val="2"/>
  </w:num>
  <w:num w:numId="3" w16cid:durableId="1983195575">
    <w:abstractNumId w:val="11"/>
  </w:num>
  <w:num w:numId="4" w16cid:durableId="492839448">
    <w:abstractNumId w:val="5"/>
  </w:num>
  <w:num w:numId="5" w16cid:durableId="903562762">
    <w:abstractNumId w:val="8"/>
  </w:num>
  <w:num w:numId="6" w16cid:durableId="768046673">
    <w:abstractNumId w:val="9"/>
    <w:lvlOverride w:ilvl="0">
      <w:startOverride w:val="1"/>
    </w:lvlOverride>
    <w:lvlOverride w:ilvl="1"/>
    <w:lvlOverride w:ilvl="2"/>
    <w:lvlOverride w:ilvl="3"/>
    <w:lvlOverride w:ilvl="4"/>
    <w:lvlOverride w:ilvl="5"/>
    <w:lvlOverride w:ilvl="6"/>
    <w:lvlOverride w:ilvl="7"/>
    <w:lvlOverride w:ilvl="8"/>
  </w:num>
  <w:num w:numId="7" w16cid:durableId="449789928">
    <w:abstractNumId w:val="0"/>
  </w:num>
  <w:num w:numId="8" w16cid:durableId="1934313870">
    <w:abstractNumId w:val="6"/>
  </w:num>
  <w:num w:numId="9" w16cid:durableId="451243063">
    <w:abstractNumId w:val="3"/>
  </w:num>
  <w:num w:numId="10" w16cid:durableId="1301183151">
    <w:abstractNumId w:val="7"/>
  </w:num>
  <w:num w:numId="11" w16cid:durableId="1815370830">
    <w:abstractNumId w:val="1"/>
  </w:num>
  <w:num w:numId="12" w16cid:durableId="1851674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0D"/>
    <w:rsid w:val="00082739"/>
    <w:rsid w:val="000A2191"/>
    <w:rsid w:val="000B4B29"/>
    <w:rsid w:val="000D077B"/>
    <w:rsid w:val="00166145"/>
    <w:rsid w:val="001E4283"/>
    <w:rsid w:val="00263A24"/>
    <w:rsid w:val="00277AE7"/>
    <w:rsid w:val="002D0161"/>
    <w:rsid w:val="00345190"/>
    <w:rsid w:val="0034770D"/>
    <w:rsid w:val="00357585"/>
    <w:rsid w:val="00361EAC"/>
    <w:rsid w:val="0037125B"/>
    <w:rsid w:val="003744B7"/>
    <w:rsid w:val="003C2AED"/>
    <w:rsid w:val="003C365B"/>
    <w:rsid w:val="0053078A"/>
    <w:rsid w:val="00586A10"/>
    <w:rsid w:val="005A333D"/>
    <w:rsid w:val="005D4555"/>
    <w:rsid w:val="006E4D1D"/>
    <w:rsid w:val="007214BD"/>
    <w:rsid w:val="00734480"/>
    <w:rsid w:val="00743B63"/>
    <w:rsid w:val="007741D3"/>
    <w:rsid w:val="00815368"/>
    <w:rsid w:val="00833024"/>
    <w:rsid w:val="00850927"/>
    <w:rsid w:val="00872BEC"/>
    <w:rsid w:val="008A730A"/>
    <w:rsid w:val="008F3FE1"/>
    <w:rsid w:val="00950EA0"/>
    <w:rsid w:val="00986644"/>
    <w:rsid w:val="009B5ABE"/>
    <w:rsid w:val="009D1651"/>
    <w:rsid w:val="009F006A"/>
    <w:rsid w:val="00A1058B"/>
    <w:rsid w:val="00AC5F0C"/>
    <w:rsid w:val="00B94EDE"/>
    <w:rsid w:val="00BB44BA"/>
    <w:rsid w:val="00BB4DFB"/>
    <w:rsid w:val="00C3003A"/>
    <w:rsid w:val="00C5184A"/>
    <w:rsid w:val="00C70CDA"/>
    <w:rsid w:val="00CF2BE5"/>
    <w:rsid w:val="00D53B92"/>
    <w:rsid w:val="00E5631F"/>
    <w:rsid w:val="00F031C3"/>
    <w:rsid w:val="00F41614"/>
    <w:rsid w:val="00FC67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9C9C"/>
  <w15:chartTrackingRefBased/>
  <w15:docId w15:val="{3CA30F4A-5523-4CAF-B5AF-7D800ADE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70D"/>
    <w:rPr>
      <w:kern w:val="0"/>
      <w:szCs w:val="24"/>
      <w14:ligatures w14:val="none"/>
    </w:rPr>
  </w:style>
  <w:style w:type="paragraph" w:styleId="Ttulo1">
    <w:name w:val="heading 1"/>
    <w:basedOn w:val="Normal"/>
    <w:next w:val="Normal"/>
    <w:link w:val="Ttulo1Char"/>
    <w:uiPriority w:val="9"/>
    <w:qFormat/>
    <w:rsid w:val="0034770D"/>
    <w:pPr>
      <w:keepNext/>
      <w:keepLines/>
      <w:spacing w:after="0" w:line="480" w:lineRule="auto"/>
      <w:jc w:val="center"/>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34770D"/>
    <w:pPr>
      <w:keepNext/>
      <w:keepLines/>
      <w:spacing w:after="0" w:line="480" w:lineRule="auto"/>
      <w:outlineLvl w:val="1"/>
    </w:pPr>
    <w:rPr>
      <w:rFonts w:eastAsiaTheme="majorEastAsia" w:cstheme="majorBidi"/>
      <w:color w:val="000000" w:themeColor="text1"/>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770D"/>
    <w:rPr>
      <w:rFonts w:eastAsiaTheme="majorEastAsia" w:cstheme="majorBidi"/>
      <w:b/>
      <w:kern w:val="0"/>
      <w:szCs w:val="32"/>
      <w14:ligatures w14:val="none"/>
    </w:rPr>
  </w:style>
  <w:style w:type="character" w:customStyle="1" w:styleId="Ttulo2Char">
    <w:name w:val="Título 2 Char"/>
    <w:basedOn w:val="Fontepargpadro"/>
    <w:link w:val="Ttulo2"/>
    <w:uiPriority w:val="9"/>
    <w:rsid w:val="0034770D"/>
    <w:rPr>
      <w:rFonts w:eastAsiaTheme="majorEastAsia" w:cstheme="majorBidi"/>
      <w:color w:val="000000" w:themeColor="text1"/>
      <w:kern w:val="0"/>
      <w:szCs w:val="26"/>
      <w14:ligatures w14:val="none"/>
    </w:rPr>
  </w:style>
  <w:style w:type="paragraph" w:styleId="PargrafodaLista">
    <w:name w:val="List Paragraph"/>
    <w:basedOn w:val="Normal"/>
    <w:uiPriority w:val="34"/>
    <w:qFormat/>
    <w:rsid w:val="0034770D"/>
    <w:pPr>
      <w:spacing w:after="0" w:line="240" w:lineRule="auto"/>
      <w:ind w:left="720"/>
      <w:contextualSpacing/>
    </w:pPr>
    <w:rPr>
      <w:rFonts w:eastAsia="Times New Roman" w:cs="Times New Roman"/>
      <w:sz w:val="20"/>
      <w:szCs w:val="20"/>
      <w:lang w:eastAsia="pt-BR"/>
    </w:rPr>
  </w:style>
  <w:style w:type="paragraph" w:customStyle="1" w:styleId="Default">
    <w:name w:val="Default"/>
    <w:rsid w:val="0034770D"/>
    <w:pPr>
      <w:autoSpaceDE w:val="0"/>
      <w:autoSpaceDN w:val="0"/>
      <w:adjustRightInd w:val="0"/>
      <w:spacing w:after="0" w:line="240" w:lineRule="auto"/>
    </w:pPr>
    <w:rPr>
      <w:rFonts w:cs="Times New Roman"/>
      <w:color w:val="000000"/>
      <w:kern w:val="0"/>
      <w:szCs w:val="24"/>
      <w14:ligatures w14:val="none"/>
    </w:rPr>
  </w:style>
  <w:style w:type="paragraph" w:customStyle="1" w:styleId="Estilo1">
    <w:name w:val="Estilo1"/>
    <w:basedOn w:val="Normal"/>
    <w:link w:val="Estilo1Char"/>
    <w:rsid w:val="0034770D"/>
    <w:pPr>
      <w:spacing w:after="0" w:line="480" w:lineRule="auto"/>
      <w:jc w:val="both"/>
    </w:pPr>
    <w:rPr>
      <w:rFonts w:eastAsia="Times New Roman" w:cs="Times New Roman"/>
      <w:b/>
      <w:bCs/>
    </w:rPr>
  </w:style>
  <w:style w:type="character" w:customStyle="1" w:styleId="Estilo1Char">
    <w:name w:val="Estilo1 Char"/>
    <w:basedOn w:val="Fontepargpadro"/>
    <w:link w:val="Estilo1"/>
    <w:rsid w:val="0034770D"/>
    <w:rPr>
      <w:rFonts w:eastAsia="Times New Roman" w:cs="Times New Roman"/>
      <w:b/>
      <w:bCs/>
      <w:kern w:val="0"/>
      <w:szCs w:val="24"/>
      <w14:ligatures w14:val="none"/>
    </w:rPr>
  </w:style>
  <w:style w:type="paragraph" w:customStyle="1" w:styleId="Estilo3">
    <w:name w:val="Estilo3"/>
    <w:basedOn w:val="Estilo1"/>
    <w:link w:val="Estilo3Char"/>
    <w:qFormat/>
    <w:rsid w:val="0034770D"/>
    <w:pPr>
      <w:jc w:val="center"/>
    </w:pPr>
  </w:style>
  <w:style w:type="paragraph" w:customStyle="1" w:styleId="Estilo4">
    <w:name w:val="Estilo4"/>
    <w:basedOn w:val="Estilo3"/>
    <w:link w:val="Estilo4Char"/>
    <w:qFormat/>
    <w:rsid w:val="0034770D"/>
    <w:pPr>
      <w:jc w:val="left"/>
    </w:pPr>
    <w:rPr>
      <w:noProof/>
    </w:rPr>
  </w:style>
  <w:style w:type="character" w:customStyle="1" w:styleId="Estilo3Char">
    <w:name w:val="Estilo3 Char"/>
    <w:basedOn w:val="Estilo1Char"/>
    <w:link w:val="Estilo3"/>
    <w:rsid w:val="0034770D"/>
    <w:rPr>
      <w:rFonts w:eastAsia="Times New Roman" w:cs="Times New Roman"/>
      <w:b/>
      <w:bCs/>
      <w:kern w:val="0"/>
      <w:szCs w:val="24"/>
      <w14:ligatures w14:val="none"/>
    </w:rPr>
  </w:style>
  <w:style w:type="character" w:customStyle="1" w:styleId="Estilo4Char">
    <w:name w:val="Estilo4 Char"/>
    <w:basedOn w:val="Estilo3Char"/>
    <w:link w:val="Estilo4"/>
    <w:rsid w:val="0034770D"/>
    <w:rPr>
      <w:rFonts w:eastAsia="Times New Roman" w:cs="Times New Roman"/>
      <w:b/>
      <w:bCs/>
      <w:noProof/>
      <w:kern w:val="0"/>
      <w:szCs w:val="24"/>
      <w14:ligatures w14:val="none"/>
    </w:rPr>
  </w:style>
  <w:style w:type="character" w:styleId="Hyperlink">
    <w:name w:val="Hyperlink"/>
    <w:basedOn w:val="Fontepargpadro"/>
    <w:uiPriority w:val="99"/>
    <w:unhideWhenUsed/>
    <w:rsid w:val="0034770D"/>
    <w:rPr>
      <w:color w:val="0000FF"/>
      <w:u w:val="single"/>
    </w:rPr>
  </w:style>
  <w:style w:type="paragraph" w:styleId="Sumrio2">
    <w:name w:val="toc 2"/>
    <w:basedOn w:val="Normal"/>
    <w:next w:val="Normal"/>
    <w:autoRedefine/>
    <w:uiPriority w:val="39"/>
    <w:unhideWhenUsed/>
    <w:rsid w:val="0034770D"/>
    <w:pPr>
      <w:spacing w:after="100"/>
      <w:ind w:left="220"/>
    </w:pPr>
  </w:style>
  <w:style w:type="paragraph" w:styleId="Sumrio1">
    <w:name w:val="toc 1"/>
    <w:basedOn w:val="Normal"/>
    <w:next w:val="Normal"/>
    <w:uiPriority w:val="39"/>
    <w:unhideWhenUsed/>
    <w:rsid w:val="0034770D"/>
    <w:pPr>
      <w:tabs>
        <w:tab w:val="right" w:leader="dot" w:pos="9061"/>
      </w:tabs>
      <w:spacing w:after="100"/>
    </w:pPr>
  </w:style>
  <w:style w:type="paragraph" w:styleId="Sumrio3">
    <w:name w:val="toc 3"/>
    <w:basedOn w:val="Normal"/>
    <w:next w:val="Normal"/>
    <w:autoRedefine/>
    <w:uiPriority w:val="39"/>
    <w:unhideWhenUsed/>
    <w:rsid w:val="0034770D"/>
    <w:pPr>
      <w:spacing w:after="100"/>
      <w:ind w:left="440"/>
    </w:pPr>
  </w:style>
  <w:style w:type="paragraph" w:styleId="Textodecomentrio">
    <w:name w:val="annotation text"/>
    <w:basedOn w:val="Normal"/>
    <w:link w:val="TextodecomentrioChar"/>
    <w:uiPriority w:val="99"/>
    <w:unhideWhenUsed/>
    <w:rsid w:val="0034770D"/>
    <w:pPr>
      <w:spacing w:line="240" w:lineRule="auto"/>
    </w:pPr>
    <w:rPr>
      <w:sz w:val="20"/>
      <w:szCs w:val="20"/>
    </w:rPr>
  </w:style>
  <w:style w:type="character" w:customStyle="1" w:styleId="TextodecomentrioChar">
    <w:name w:val="Texto de comentário Char"/>
    <w:basedOn w:val="Fontepargpadro"/>
    <w:link w:val="Textodecomentrio"/>
    <w:uiPriority w:val="99"/>
    <w:rsid w:val="0034770D"/>
    <w:rPr>
      <w:kern w:val="0"/>
      <w:sz w:val="20"/>
      <w:szCs w:val="20"/>
      <w14:ligatures w14:val="none"/>
    </w:rPr>
  </w:style>
  <w:style w:type="paragraph" w:styleId="Textodenotaderodap">
    <w:name w:val="footnote text"/>
    <w:basedOn w:val="Normal"/>
    <w:link w:val="TextodenotaderodapChar"/>
    <w:uiPriority w:val="99"/>
    <w:semiHidden/>
    <w:unhideWhenUsed/>
    <w:rsid w:val="0034770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4770D"/>
    <w:rPr>
      <w:kern w:val="0"/>
      <w:sz w:val="20"/>
      <w:szCs w:val="20"/>
      <w14:ligatures w14:val="none"/>
    </w:rPr>
  </w:style>
  <w:style w:type="character" w:styleId="Refdenotaderodap">
    <w:name w:val="footnote reference"/>
    <w:basedOn w:val="Fontepargpadro"/>
    <w:uiPriority w:val="99"/>
    <w:semiHidden/>
    <w:unhideWhenUsed/>
    <w:rsid w:val="0034770D"/>
    <w:rPr>
      <w:vertAlign w:val="superscript"/>
    </w:rPr>
  </w:style>
  <w:style w:type="paragraph" w:styleId="Cabealho">
    <w:name w:val="header"/>
    <w:basedOn w:val="Normal"/>
    <w:link w:val="CabealhoChar"/>
    <w:uiPriority w:val="99"/>
    <w:unhideWhenUsed/>
    <w:rsid w:val="003477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770D"/>
    <w:rPr>
      <w:kern w:val="0"/>
      <w:szCs w:val="24"/>
      <w14:ligatures w14:val="none"/>
    </w:rPr>
  </w:style>
  <w:style w:type="paragraph" w:styleId="Rodap">
    <w:name w:val="footer"/>
    <w:basedOn w:val="Normal"/>
    <w:link w:val="RodapChar"/>
    <w:uiPriority w:val="99"/>
    <w:unhideWhenUsed/>
    <w:rsid w:val="0034770D"/>
    <w:pPr>
      <w:tabs>
        <w:tab w:val="center" w:pos="4252"/>
        <w:tab w:val="right" w:pos="8504"/>
      </w:tabs>
      <w:spacing w:after="0" w:line="240" w:lineRule="auto"/>
    </w:pPr>
  </w:style>
  <w:style w:type="character" w:customStyle="1" w:styleId="RodapChar">
    <w:name w:val="Rodapé Char"/>
    <w:basedOn w:val="Fontepargpadro"/>
    <w:link w:val="Rodap"/>
    <w:uiPriority w:val="99"/>
    <w:rsid w:val="0034770D"/>
    <w:rPr>
      <w:kern w:val="0"/>
      <w:szCs w:val="24"/>
      <w14:ligatures w14:val="none"/>
    </w:rPr>
  </w:style>
  <w:style w:type="paragraph" w:customStyle="1" w:styleId="Estilo5">
    <w:name w:val="Estilo5"/>
    <w:basedOn w:val="Normal"/>
    <w:link w:val="Estilo5Char"/>
    <w:qFormat/>
    <w:rsid w:val="0034770D"/>
    <w:rPr>
      <w:rFonts w:eastAsia="Times New Roman" w:cs="Times New Roman"/>
      <w:bCs/>
    </w:rPr>
  </w:style>
  <w:style w:type="character" w:customStyle="1" w:styleId="Estilo5Char">
    <w:name w:val="Estilo5 Char"/>
    <w:basedOn w:val="Fontepargpadro"/>
    <w:link w:val="Estilo5"/>
    <w:rsid w:val="0034770D"/>
    <w:rPr>
      <w:rFonts w:eastAsia="Times New Roman" w:cs="Times New Roman"/>
      <w:bCs/>
      <w:kern w:val="0"/>
      <w:szCs w:val="24"/>
      <w14:ligatures w14:val="none"/>
    </w:rPr>
  </w:style>
  <w:style w:type="character" w:styleId="MenoPendente">
    <w:name w:val="Unresolved Mention"/>
    <w:basedOn w:val="Fontepargpadro"/>
    <w:uiPriority w:val="99"/>
    <w:semiHidden/>
    <w:unhideWhenUsed/>
    <w:rsid w:val="0034770D"/>
    <w:rPr>
      <w:color w:val="605E5C"/>
      <w:shd w:val="clear" w:color="auto" w:fill="E1DFDD"/>
    </w:rPr>
  </w:style>
  <w:style w:type="character" w:styleId="Refdecomentrio">
    <w:name w:val="annotation reference"/>
    <w:basedOn w:val="Fontepargpadro"/>
    <w:uiPriority w:val="99"/>
    <w:semiHidden/>
    <w:unhideWhenUsed/>
    <w:rsid w:val="0034770D"/>
    <w:rPr>
      <w:sz w:val="16"/>
      <w:szCs w:val="16"/>
    </w:rPr>
  </w:style>
  <w:style w:type="paragraph" w:styleId="Assuntodocomentrio">
    <w:name w:val="annotation subject"/>
    <w:basedOn w:val="Textodecomentrio"/>
    <w:next w:val="Textodecomentrio"/>
    <w:link w:val="AssuntodocomentrioChar"/>
    <w:uiPriority w:val="99"/>
    <w:semiHidden/>
    <w:unhideWhenUsed/>
    <w:rsid w:val="0034770D"/>
    <w:rPr>
      <w:b/>
      <w:bCs/>
    </w:rPr>
  </w:style>
  <w:style w:type="character" w:customStyle="1" w:styleId="AssuntodocomentrioChar">
    <w:name w:val="Assunto do comentário Char"/>
    <w:basedOn w:val="TextodecomentrioChar"/>
    <w:link w:val="Assuntodocomentrio"/>
    <w:uiPriority w:val="99"/>
    <w:semiHidden/>
    <w:rsid w:val="0034770D"/>
    <w:rPr>
      <w:b/>
      <w:bCs/>
      <w:kern w:val="0"/>
      <w:sz w:val="20"/>
      <w:szCs w:val="20"/>
      <w14:ligatures w14:val="none"/>
    </w:rPr>
  </w:style>
  <w:style w:type="paragraph" w:styleId="Textodebalo">
    <w:name w:val="Balloon Text"/>
    <w:basedOn w:val="Normal"/>
    <w:link w:val="TextodebaloChar"/>
    <w:uiPriority w:val="99"/>
    <w:semiHidden/>
    <w:unhideWhenUsed/>
    <w:rsid w:val="003477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770D"/>
    <w:rPr>
      <w:rFonts w:ascii="Segoe UI" w:hAnsi="Segoe UI" w:cs="Segoe UI"/>
      <w:kern w:val="0"/>
      <w:sz w:val="18"/>
      <w:szCs w:val="18"/>
      <w14:ligatures w14:val="none"/>
    </w:rPr>
  </w:style>
  <w:style w:type="paragraph" w:customStyle="1" w:styleId="Estilo2">
    <w:name w:val="Estilo2"/>
    <w:basedOn w:val="Normal"/>
    <w:link w:val="Estilo2Char"/>
    <w:qFormat/>
    <w:rsid w:val="0034770D"/>
    <w:pPr>
      <w:spacing w:after="0" w:line="480" w:lineRule="auto"/>
      <w:ind w:firstLine="708"/>
    </w:pPr>
    <w:rPr>
      <w:rFonts w:eastAsia="Times New Roman" w:cs="Times New Roman"/>
      <w:b/>
      <w:bCs/>
    </w:rPr>
  </w:style>
  <w:style w:type="character" w:customStyle="1" w:styleId="Estilo2Char">
    <w:name w:val="Estilo2 Char"/>
    <w:basedOn w:val="Fontepargpadro"/>
    <w:link w:val="Estilo2"/>
    <w:rsid w:val="0034770D"/>
    <w:rPr>
      <w:rFonts w:eastAsia="Times New Roman" w:cs="Times New Roman"/>
      <w:b/>
      <w:bCs/>
      <w:kern w:val="0"/>
      <w:szCs w:val="24"/>
      <w14:ligatures w14:val="none"/>
    </w:rPr>
  </w:style>
  <w:style w:type="table" w:styleId="Tabelacomgrade">
    <w:name w:val="Table Grid"/>
    <w:basedOn w:val="Tabelanormal"/>
    <w:uiPriority w:val="39"/>
    <w:rsid w:val="0034770D"/>
    <w:pPr>
      <w:spacing w:after="0" w:line="240" w:lineRule="auto"/>
    </w:pPr>
    <w:rPr>
      <w:rFonts w:asciiTheme="minorHAnsi" w:hAnsiTheme="minorHAnsi"/>
      <w:kern w:val="0"/>
      <w:sz w:val="22"/>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34770D"/>
    <w:rPr>
      <w:color w:val="954F72" w:themeColor="followedHyperlink"/>
      <w:u w:val="single"/>
    </w:rPr>
  </w:style>
  <w:style w:type="paragraph" w:styleId="Corpodetexto">
    <w:name w:val="Body Text"/>
    <w:basedOn w:val="Normal"/>
    <w:link w:val="CorpodetextoChar"/>
    <w:uiPriority w:val="1"/>
    <w:semiHidden/>
    <w:unhideWhenUsed/>
    <w:qFormat/>
    <w:rsid w:val="0034770D"/>
    <w:pPr>
      <w:widowControl w:val="0"/>
      <w:autoSpaceDE w:val="0"/>
      <w:autoSpaceDN w:val="0"/>
      <w:spacing w:after="0" w:line="240" w:lineRule="auto"/>
    </w:pPr>
    <w:rPr>
      <w:rFonts w:eastAsia="Times New Roman" w:cs="Times New Roman"/>
      <w:lang w:val="pt-PT"/>
    </w:rPr>
  </w:style>
  <w:style w:type="character" w:customStyle="1" w:styleId="CorpodetextoChar">
    <w:name w:val="Corpo de texto Char"/>
    <w:basedOn w:val="Fontepargpadro"/>
    <w:link w:val="Corpodetexto"/>
    <w:uiPriority w:val="1"/>
    <w:semiHidden/>
    <w:rsid w:val="0034770D"/>
    <w:rPr>
      <w:rFonts w:eastAsia="Times New Roman" w:cs="Times New Roman"/>
      <w:kern w:val="0"/>
      <w:szCs w:val="24"/>
      <w:lang w:val="pt-PT"/>
      <w14:ligatures w14:val="none"/>
    </w:rPr>
  </w:style>
  <w:style w:type="paragraph" w:customStyle="1" w:styleId="TableParagraph">
    <w:name w:val="Table Paragraph"/>
    <w:basedOn w:val="Normal"/>
    <w:uiPriority w:val="1"/>
    <w:qFormat/>
    <w:rsid w:val="0034770D"/>
    <w:pPr>
      <w:widowControl w:val="0"/>
      <w:autoSpaceDE w:val="0"/>
      <w:autoSpaceDN w:val="0"/>
      <w:spacing w:after="0" w:line="254" w:lineRule="exact"/>
    </w:pPr>
    <w:rPr>
      <w:rFonts w:eastAsia="Times New Roman" w:cs="Times New Roman"/>
      <w:lang w:val="pt-PT"/>
    </w:rPr>
  </w:style>
  <w:style w:type="table" w:customStyle="1" w:styleId="TableNormal">
    <w:name w:val="Table Normal"/>
    <w:uiPriority w:val="2"/>
    <w:semiHidden/>
    <w:qFormat/>
    <w:rsid w:val="0034770D"/>
    <w:pPr>
      <w:widowControl w:val="0"/>
      <w:autoSpaceDE w:val="0"/>
      <w:autoSpaceDN w:val="0"/>
      <w:spacing w:after="0" w:line="240" w:lineRule="auto"/>
    </w:pPr>
    <w:rPr>
      <w:rFonts w:asciiTheme="minorHAnsi" w:hAnsiTheme="minorHAnsi"/>
      <w:kern w:val="0"/>
      <w:sz w:val="22"/>
      <w:szCs w:val="24"/>
      <w:lang w:val="en-US"/>
      <w14:ligatures w14:val="none"/>
    </w:rPr>
    <w:tblPr>
      <w:tblCellMar>
        <w:top w:w="0" w:type="dxa"/>
        <w:left w:w="0" w:type="dxa"/>
        <w:bottom w:w="0" w:type="dxa"/>
        <w:right w:w="0" w:type="dxa"/>
      </w:tblCellMar>
    </w:tblPr>
  </w:style>
  <w:style w:type="paragraph" w:styleId="CabealhodoSumrio">
    <w:name w:val="TOC Heading"/>
    <w:basedOn w:val="Ttulo1"/>
    <w:next w:val="Normal"/>
    <w:uiPriority w:val="39"/>
    <w:unhideWhenUsed/>
    <w:qFormat/>
    <w:rsid w:val="0034770D"/>
    <w:pPr>
      <w:spacing w:line="259" w:lineRule="auto"/>
      <w:outlineLvl w:val="9"/>
    </w:pPr>
    <w:rPr>
      <w:lang w:eastAsia="pt-BR"/>
    </w:rPr>
  </w:style>
  <w:style w:type="paragraph" w:styleId="Sumrio4">
    <w:name w:val="toc 4"/>
    <w:basedOn w:val="Normal"/>
    <w:next w:val="Normal"/>
    <w:autoRedefine/>
    <w:uiPriority w:val="39"/>
    <w:unhideWhenUsed/>
    <w:rsid w:val="0034770D"/>
    <w:pPr>
      <w:spacing w:after="100"/>
      <w:ind w:left="660"/>
    </w:pPr>
    <w:rPr>
      <w:rFonts w:asciiTheme="minorHAnsi" w:eastAsiaTheme="minorEastAsia" w:hAnsiTheme="minorHAnsi"/>
      <w:sz w:val="22"/>
      <w:szCs w:val="22"/>
      <w:lang w:eastAsia="pt-BR"/>
    </w:rPr>
  </w:style>
  <w:style w:type="paragraph" w:styleId="Sumrio5">
    <w:name w:val="toc 5"/>
    <w:basedOn w:val="Normal"/>
    <w:next w:val="Normal"/>
    <w:autoRedefine/>
    <w:uiPriority w:val="39"/>
    <w:unhideWhenUsed/>
    <w:rsid w:val="0034770D"/>
    <w:pPr>
      <w:spacing w:after="100"/>
      <w:ind w:left="880"/>
    </w:pPr>
    <w:rPr>
      <w:rFonts w:asciiTheme="minorHAnsi" w:eastAsiaTheme="minorEastAsia" w:hAnsiTheme="minorHAnsi"/>
      <w:sz w:val="22"/>
      <w:szCs w:val="22"/>
      <w:lang w:eastAsia="pt-BR"/>
    </w:rPr>
  </w:style>
  <w:style w:type="paragraph" w:styleId="Sumrio6">
    <w:name w:val="toc 6"/>
    <w:basedOn w:val="Normal"/>
    <w:next w:val="Normal"/>
    <w:autoRedefine/>
    <w:uiPriority w:val="39"/>
    <w:unhideWhenUsed/>
    <w:rsid w:val="0034770D"/>
    <w:pPr>
      <w:spacing w:after="100"/>
      <w:ind w:left="1100"/>
    </w:pPr>
    <w:rPr>
      <w:rFonts w:asciiTheme="minorHAnsi" w:eastAsiaTheme="minorEastAsia" w:hAnsiTheme="minorHAnsi"/>
      <w:sz w:val="22"/>
      <w:szCs w:val="22"/>
      <w:lang w:eastAsia="pt-BR"/>
    </w:rPr>
  </w:style>
  <w:style w:type="paragraph" w:styleId="Sumrio7">
    <w:name w:val="toc 7"/>
    <w:basedOn w:val="Normal"/>
    <w:next w:val="Normal"/>
    <w:autoRedefine/>
    <w:uiPriority w:val="39"/>
    <w:unhideWhenUsed/>
    <w:rsid w:val="0034770D"/>
    <w:pPr>
      <w:spacing w:after="100"/>
      <w:ind w:left="1320"/>
    </w:pPr>
    <w:rPr>
      <w:rFonts w:asciiTheme="minorHAnsi" w:eastAsiaTheme="minorEastAsia" w:hAnsiTheme="minorHAnsi"/>
      <w:sz w:val="22"/>
      <w:szCs w:val="22"/>
      <w:lang w:eastAsia="pt-BR"/>
    </w:rPr>
  </w:style>
  <w:style w:type="paragraph" w:styleId="Sumrio8">
    <w:name w:val="toc 8"/>
    <w:basedOn w:val="Normal"/>
    <w:next w:val="Normal"/>
    <w:autoRedefine/>
    <w:uiPriority w:val="39"/>
    <w:unhideWhenUsed/>
    <w:rsid w:val="0034770D"/>
    <w:pPr>
      <w:spacing w:after="100"/>
      <w:ind w:left="1540"/>
    </w:pPr>
    <w:rPr>
      <w:rFonts w:asciiTheme="minorHAnsi" w:eastAsiaTheme="minorEastAsia" w:hAnsiTheme="minorHAnsi"/>
      <w:sz w:val="22"/>
      <w:szCs w:val="22"/>
      <w:lang w:eastAsia="pt-BR"/>
    </w:rPr>
  </w:style>
  <w:style w:type="paragraph" w:styleId="Sumrio9">
    <w:name w:val="toc 9"/>
    <w:basedOn w:val="Normal"/>
    <w:next w:val="Normal"/>
    <w:autoRedefine/>
    <w:uiPriority w:val="39"/>
    <w:unhideWhenUsed/>
    <w:rsid w:val="0034770D"/>
    <w:pPr>
      <w:spacing w:after="100"/>
      <w:ind w:left="1760"/>
    </w:pPr>
    <w:rPr>
      <w:rFonts w:asciiTheme="minorHAnsi" w:eastAsiaTheme="minorEastAsia" w:hAnsiTheme="minorHAnsi"/>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5448/1980-8623.2015.4.194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4358</TotalTime>
  <Pages>21</Pages>
  <Words>5871</Words>
  <Characters>34174</Characters>
  <Application>Microsoft Office Word</Application>
  <DocSecurity>0</DocSecurity>
  <Lines>542</Lines>
  <Paragraphs>141</Paragraphs>
  <ScaleCrop>false</ScaleCrop>
  <Company/>
  <LinksUpToDate>false</LinksUpToDate>
  <CharactersWithSpaces>39904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Silveira</dc:creator>
  <cp:keywords/>
  <dc:description/>
  <cp:lastModifiedBy>Gabriel Silveira</cp:lastModifiedBy>
  <cp:revision>49</cp:revision>
  <dcterms:created xsi:type="dcterms:W3CDTF">2023-07-02T22:48:00Z</dcterms:created>
  <dcterms:modified xsi:type="dcterms:W3CDTF">2024-02-24T16:08:00Z</dcterms:modified>
</cp:coreProperties>
</file>