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486CF440" w:rsidR="00742E4A" w:rsidRPr="00984F54" w:rsidRDefault="00F31686" w:rsidP="00984F54">
      <w:pPr>
        <w:pStyle w:val="Titulodeartculo"/>
        <w:rPr>
          <w:i/>
          <w:lang w:val="pt-BR"/>
        </w:rPr>
      </w:pPr>
      <w:r w:rsidRPr="00984F54">
        <w:rPr>
          <w:sz w:val="40"/>
          <w:lang w:val="en-US"/>
        </w:rPr>
        <w:drawing>
          <wp:anchor distT="0" distB="0" distL="114300" distR="114300" simplePos="0" relativeHeight="251664384" behindDoc="0" locked="0" layoutInCell="1" allowOverlap="1" wp14:anchorId="4437BD97" wp14:editId="1E529CAE">
            <wp:simplePos x="0" y="0"/>
            <wp:positionH relativeFrom="margin">
              <wp:posOffset>4138344</wp:posOffset>
            </wp:positionH>
            <wp:positionV relativeFrom="paragraph">
              <wp:posOffset>1057715</wp:posOffset>
            </wp:positionV>
            <wp:extent cx="168910" cy="168910"/>
            <wp:effectExtent l="0" t="0" r="2540" b="254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554A03" w:rsidRPr="00984F54">
        <w:rPr>
          <w:sz w:val="40"/>
          <w:lang w:val="pt-BR"/>
        </w:rPr>
        <w:t xml:space="preserve"> </w:t>
      </w:r>
      <w:r w:rsidR="006D219F" w:rsidRPr="00984F54">
        <w:t>Memória social e desafios decoloniais: reflexões a partir de um estudo sobre representações de personalidades históricas no Brasil e em Portugal</w:t>
      </w:r>
    </w:p>
    <w:p w14:paraId="07B1149B" w14:textId="7D4BFC4B" w:rsidR="008E17AF" w:rsidRPr="00984F54" w:rsidRDefault="008E17AF" w:rsidP="00C413D4">
      <w:pPr>
        <w:rPr>
          <w:b/>
          <w:sz w:val="28"/>
          <w:lang w:val="pt-BR"/>
        </w:rPr>
      </w:pPr>
    </w:p>
    <w:p w14:paraId="6A4E0251" w14:textId="62DE646B" w:rsidR="00721BE2" w:rsidRPr="00984F54" w:rsidRDefault="0054683C" w:rsidP="00721BE2">
      <w:pPr>
        <w:pStyle w:val="Body"/>
        <w:jc w:val="both"/>
        <w:rPr>
          <w:i/>
          <w:sz w:val="32"/>
          <w:szCs w:val="28"/>
          <w:lang w:val="pt-BR"/>
        </w:rPr>
      </w:pPr>
      <w:bookmarkStart w:id="0" w:name="_Hlk90835901"/>
      <w:r w:rsidRPr="00984F54">
        <w:rPr>
          <w:b/>
          <w:bCs/>
          <w:color w:val="222222"/>
          <w:sz w:val="28"/>
          <w:szCs w:val="26"/>
          <w:u w:color="222222"/>
          <w:lang w:val="pt-BR"/>
        </w:rPr>
        <w:t>Luiza Lins</w:t>
      </w:r>
      <w:r w:rsidR="00AE2DAE" w:rsidRPr="00984F54">
        <w:rPr>
          <w:b/>
          <w:bCs/>
          <w:color w:val="222222"/>
          <w:sz w:val="28"/>
          <w:szCs w:val="26"/>
          <w:u w:color="222222"/>
          <w:lang w:val="pt-BR"/>
        </w:rPr>
        <w:t xml:space="preserve"> </w:t>
      </w:r>
      <w:r w:rsidR="005E205D" w:rsidRPr="00984F54">
        <w:rPr>
          <w:b/>
          <w:bCs/>
          <w:color w:val="222222"/>
          <w:sz w:val="28"/>
          <w:szCs w:val="26"/>
          <w:u w:color="222222"/>
          <w:vertAlign w:val="superscript"/>
          <w:lang w:val="en-GB"/>
        </w:rPr>
        <w:footnoteReference w:id="1"/>
      </w:r>
      <w:r w:rsidR="009A14AE" w:rsidRPr="00984F54">
        <w:rPr>
          <w:b/>
          <w:bCs/>
          <w:color w:val="4472C4" w:themeColor="accent1"/>
          <w:sz w:val="28"/>
          <w:szCs w:val="26"/>
          <w:u w:color="222222"/>
          <w:vertAlign w:val="superscript"/>
          <w:lang w:val="pt-BR"/>
        </w:rPr>
        <w:t xml:space="preserve"> a </w:t>
      </w:r>
      <w:r w:rsidR="0039161E" w:rsidRPr="00984F54">
        <w:rPr>
          <w:b/>
          <w:bCs/>
          <w:noProof/>
          <w:color w:val="222222"/>
          <w:sz w:val="28"/>
          <w:szCs w:val="26"/>
          <w:u w:color="222222"/>
          <w:lang w:val="en-US" w:eastAsia="en-US"/>
        </w:rPr>
        <w:drawing>
          <wp:inline distT="0" distB="0" distL="0" distR="0" wp14:anchorId="32AAC9E8" wp14:editId="3FF750B8">
            <wp:extent cx="133200" cy="133200"/>
            <wp:effectExtent l="0" t="0" r="0" b="0"/>
            <wp:docPr id="1073741827"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8D1149" w:rsidRPr="00984F54">
        <w:rPr>
          <w:b/>
          <w:bCs/>
          <w:color w:val="4472C4" w:themeColor="accent1"/>
          <w:sz w:val="28"/>
          <w:szCs w:val="26"/>
          <w:u w:color="222222"/>
          <w:vertAlign w:val="superscript"/>
          <w:lang w:val="pt-BR"/>
        </w:rPr>
        <w:t xml:space="preserve"> </w:t>
      </w:r>
      <w:r w:rsidR="00D806AD" w:rsidRPr="00984F54">
        <w:rPr>
          <w:b/>
          <w:bCs/>
          <w:color w:val="222222"/>
          <w:sz w:val="28"/>
          <w:szCs w:val="26"/>
          <w:u w:color="222222"/>
          <w:lang w:val="pt-BR"/>
        </w:rPr>
        <w:t>,</w:t>
      </w:r>
      <w:bookmarkEnd w:id="0"/>
      <w:r w:rsidR="008C1102" w:rsidRPr="00984F54">
        <w:rPr>
          <w:rFonts w:ascii="Segoe UI" w:hAnsi="Segoe UI" w:cs="Segoe UI"/>
          <w:color w:val="auto"/>
          <w:sz w:val="22"/>
          <w:szCs w:val="21"/>
          <w:bdr w:val="none" w:sz="0" w:space="0" w:color="auto"/>
          <w:shd w:val="clear" w:color="auto" w:fill="FFFFFF"/>
          <w:lang w:val="pt-BR"/>
          <w14:textOutline w14:w="0" w14:cap="rnd" w14:cmpd="sng" w14:algn="ctr">
            <w14:noFill/>
            <w14:prstDash w14:val="solid"/>
            <w14:bevel/>
          </w14:textOutline>
        </w:rPr>
        <w:t xml:space="preserve"> </w:t>
      </w:r>
      <w:r w:rsidR="008C1102" w:rsidRPr="00984F54">
        <w:rPr>
          <w:b/>
          <w:bCs/>
          <w:color w:val="222222"/>
          <w:sz w:val="28"/>
          <w:szCs w:val="26"/>
          <w:u w:color="222222"/>
          <w:lang w:val="pt-BR"/>
        </w:rPr>
        <w:t xml:space="preserve">Rosa Cabecinhas </w:t>
      </w:r>
      <w:r w:rsidR="009A14AE" w:rsidRPr="00984F54">
        <w:rPr>
          <w:b/>
          <w:bCs/>
          <w:color w:val="4472C4" w:themeColor="accent1"/>
          <w:sz w:val="28"/>
          <w:szCs w:val="26"/>
          <w:u w:color="222222"/>
          <w:vertAlign w:val="superscript"/>
          <w:lang w:val="pt-BR"/>
        </w:rPr>
        <w:t>a</w:t>
      </w:r>
      <w:r w:rsidR="009A14AE" w:rsidRPr="00984F54">
        <w:rPr>
          <w:b/>
          <w:bCs/>
          <w:noProof/>
          <w:color w:val="222222"/>
          <w:sz w:val="28"/>
          <w:szCs w:val="26"/>
          <w:u w:color="222222"/>
          <w:lang w:val="pt-BR" w:eastAsia="en-US"/>
        </w:rPr>
        <w:t xml:space="preserve"> </w:t>
      </w:r>
      <w:r w:rsidR="008C1102" w:rsidRPr="00984F54">
        <w:rPr>
          <w:b/>
          <w:bCs/>
          <w:noProof/>
          <w:color w:val="222222"/>
          <w:sz w:val="28"/>
          <w:szCs w:val="26"/>
          <w:u w:color="222222"/>
          <w:lang w:val="en-US" w:eastAsia="en-US"/>
        </w:rPr>
        <w:drawing>
          <wp:inline distT="0" distB="0" distL="0" distR="0" wp14:anchorId="2C60041D" wp14:editId="48F4AD23">
            <wp:extent cx="133200" cy="133200"/>
            <wp:effectExtent l="0" t="0" r="0" b="0"/>
            <wp:docPr id="3"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8C1102" w:rsidRPr="00984F54">
        <w:rPr>
          <w:b/>
          <w:bCs/>
          <w:color w:val="222222"/>
          <w:sz w:val="28"/>
          <w:szCs w:val="26"/>
          <w:u w:color="222222"/>
          <w:lang w:val="pt-BR"/>
        </w:rPr>
        <w:t>,</w:t>
      </w:r>
      <w:r w:rsidR="008C1102" w:rsidRPr="00984F54">
        <w:rPr>
          <w:sz w:val="28"/>
          <w:lang w:val="pt-BR"/>
        </w:rPr>
        <w:t xml:space="preserve"> </w:t>
      </w:r>
      <w:r w:rsidR="008C1102" w:rsidRPr="00984F54">
        <w:rPr>
          <w:b/>
          <w:bCs/>
          <w:color w:val="222222"/>
          <w:sz w:val="28"/>
          <w:szCs w:val="26"/>
          <w:u w:color="222222"/>
          <w:lang w:val="pt-BR"/>
        </w:rPr>
        <w:t>Marcus Eugênio Oliveira Lima</w:t>
      </w:r>
      <w:r w:rsidR="009A14AE" w:rsidRPr="00984F54">
        <w:rPr>
          <w:b/>
          <w:bCs/>
          <w:color w:val="4472C4" w:themeColor="accent1"/>
          <w:sz w:val="28"/>
          <w:szCs w:val="26"/>
          <w:u w:color="222222"/>
          <w:vertAlign w:val="superscript"/>
          <w:lang w:val="pt-BR"/>
        </w:rPr>
        <w:t xml:space="preserve"> b</w:t>
      </w:r>
      <w:r w:rsidR="008C1102" w:rsidRPr="00984F54">
        <w:rPr>
          <w:b/>
          <w:bCs/>
          <w:color w:val="222222"/>
          <w:sz w:val="28"/>
          <w:szCs w:val="26"/>
          <w:u w:color="222222"/>
          <w:lang w:val="pt-BR"/>
        </w:rPr>
        <w:t xml:space="preserve"> </w:t>
      </w:r>
      <w:r w:rsidR="008C1102" w:rsidRPr="00984F54">
        <w:rPr>
          <w:b/>
          <w:bCs/>
          <w:noProof/>
          <w:color w:val="222222"/>
          <w:sz w:val="28"/>
          <w:szCs w:val="26"/>
          <w:u w:color="222222"/>
          <w:lang w:val="en-US" w:eastAsia="en-US"/>
        </w:rPr>
        <w:drawing>
          <wp:inline distT="0" distB="0" distL="0" distR="0" wp14:anchorId="6AA88C7C" wp14:editId="2793234D">
            <wp:extent cx="133200" cy="133200"/>
            <wp:effectExtent l="0" t="0" r="0" b="0"/>
            <wp:docPr id="4"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8C1102" w:rsidRPr="00984F54">
        <w:rPr>
          <w:b/>
          <w:bCs/>
          <w:color w:val="222222"/>
          <w:sz w:val="28"/>
          <w:szCs w:val="26"/>
          <w:u w:color="222222"/>
          <w:lang w:val="pt-BR"/>
        </w:rPr>
        <w:t>, Joaquim Pires Valentim</w:t>
      </w:r>
      <w:r w:rsidR="009A14AE" w:rsidRPr="00984F54">
        <w:rPr>
          <w:b/>
          <w:bCs/>
          <w:color w:val="4472C4" w:themeColor="accent1"/>
          <w:sz w:val="28"/>
          <w:szCs w:val="26"/>
          <w:u w:color="222222"/>
          <w:vertAlign w:val="superscript"/>
          <w:lang w:val="pt-BR"/>
        </w:rPr>
        <w:t xml:space="preserve"> c</w:t>
      </w:r>
      <w:r w:rsidR="008C1102" w:rsidRPr="00984F54">
        <w:rPr>
          <w:b/>
          <w:bCs/>
          <w:color w:val="222222"/>
          <w:sz w:val="28"/>
          <w:szCs w:val="26"/>
          <w:u w:color="222222"/>
          <w:lang w:val="pt-BR"/>
        </w:rPr>
        <w:t xml:space="preserve"> </w:t>
      </w:r>
      <w:r w:rsidR="008C1102" w:rsidRPr="00984F54">
        <w:rPr>
          <w:b/>
          <w:bCs/>
          <w:noProof/>
          <w:color w:val="222222"/>
          <w:sz w:val="28"/>
          <w:szCs w:val="26"/>
          <w:u w:color="222222"/>
          <w:lang w:val="en-US" w:eastAsia="en-US"/>
        </w:rPr>
        <w:drawing>
          <wp:inline distT="0" distB="0" distL="0" distR="0" wp14:anchorId="76BA36A9" wp14:editId="25A97250">
            <wp:extent cx="133200" cy="133200"/>
            <wp:effectExtent l="0" t="0" r="0" b="0"/>
            <wp:docPr id="5"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8C1102" w:rsidRPr="00984F54">
        <w:rPr>
          <w:b/>
          <w:bCs/>
          <w:color w:val="222222"/>
          <w:sz w:val="28"/>
          <w:szCs w:val="26"/>
          <w:u w:color="222222"/>
          <w:lang w:val="pt-BR"/>
        </w:rPr>
        <w:t>,</w:t>
      </w:r>
      <w:r w:rsidR="00721BE2" w:rsidRPr="00984F54">
        <w:rPr>
          <w:b/>
          <w:bCs/>
          <w:color w:val="222222"/>
          <w:sz w:val="28"/>
          <w:szCs w:val="26"/>
          <w:u w:color="222222"/>
          <w:lang w:val="pt-BR"/>
        </w:rPr>
        <w:t xml:space="preserve"> &amp; </w:t>
      </w:r>
      <w:r w:rsidR="008C1102" w:rsidRPr="00984F54">
        <w:rPr>
          <w:b/>
          <w:bCs/>
          <w:color w:val="222222"/>
          <w:sz w:val="28"/>
          <w:szCs w:val="26"/>
          <w:u w:color="222222"/>
          <w:lang w:val="pt-BR"/>
        </w:rPr>
        <w:t xml:space="preserve">Elza Maria </w:t>
      </w:r>
      <w:proofErr w:type="spellStart"/>
      <w:r w:rsidR="008C1102" w:rsidRPr="00984F54">
        <w:rPr>
          <w:b/>
          <w:bCs/>
          <w:color w:val="222222"/>
          <w:sz w:val="28"/>
          <w:szCs w:val="26"/>
          <w:u w:color="222222"/>
          <w:lang w:val="pt-BR"/>
        </w:rPr>
        <w:t>Techio</w:t>
      </w:r>
      <w:proofErr w:type="spellEnd"/>
      <w:r w:rsidR="009A14AE" w:rsidRPr="00984F54">
        <w:rPr>
          <w:b/>
          <w:bCs/>
          <w:color w:val="4472C4" w:themeColor="accent1"/>
          <w:sz w:val="28"/>
          <w:szCs w:val="26"/>
          <w:u w:color="222222"/>
          <w:vertAlign w:val="superscript"/>
          <w:lang w:val="pt-BR"/>
        </w:rPr>
        <w:t xml:space="preserve"> </w:t>
      </w:r>
      <w:r w:rsidR="00EB7FC0" w:rsidRPr="00984F54">
        <w:rPr>
          <w:b/>
          <w:bCs/>
          <w:color w:val="4472C4" w:themeColor="accent1"/>
          <w:sz w:val="28"/>
          <w:szCs w:val="26"/>
          <w:u w:color="222222"/>
          <w:vertAlign w:val="superscript"/>
          <w:lang w:val="pt-BR"/>
        </w:rPr>
        <w:t>d</w:t>
      </w:r>
      <w:r w:rsidR="00721BE2" w:rsidRPr="00984F54">
        <w:rPr>
          <w:b/>
          <w:bCs/>
          <w:color w:val="222222"/>
          <w:sz w:val="28"/>
          <w:szCs w:val="26"/>
          <w:u w:color="222222"/>
          <w:lang w:val="pt-BR"/>
        </w:rPr>
        <w:t xml:space="preserve"> </w:t>
      </w:r>
      <w:r w:rsidR="00721BE2" w:rsidRPr="00984F54">
        <w:rPr>
          <w:b/>
          <w:bCs/>
          <w:noProof/>
          <w:color w:val="222222"/>
          <w:sz w:val="28"/>
          <w:szCs w:val="26"/>
          <w:u w:color="222222"/>
          <w:lang w:val="en-US" w:eastAsia="en-US"/>
        </w:rPr>
        <w:drawing>
          <wp:inline distT="0" distB="0" distL="0" distR="0" wp14:anchorId="4DBBD5FC" wp14:editId="030656BA">
            <wp:extent cx="133200" cy="133200"/>
            <wp:effectExtent l="0" t="0" r="0" b="0"/>
            <wp:docPr id="7" name="officeArt object" descr="Imagen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8"/>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721BE2" w:rsidRPr="00984F54">
        <w:rPr>
          <w:b/>
          <w:bCs/>
          <w:color w:val="4472C4" w:themeColor="accent1"/>
          <w:sz w:val="28"/>
          <w:szCs w:val="26"/>
          <w:u w:color="222222"/>
          <w:vertAlign w:val="superscript"/>
          <w:lang w:val="pt-BR"/>
        </w:rPr>
        <w:t xml:space="preserve">  </w:t>
      </w:r>
      <w:r w:rsidR="00721BE2" w:rsidRPr="00984F54">
        <w:rPr>
          <w:rStyle w:val="Refdenotaalpie"/>
          <w:b/>
          <w:bCs/>
          <w:sz w:val="28"/>
          <w:szCs w:val="26"/>
          <w:u w:color="222222"/>
          <w:lang w:val="en-GB"/>
        </w:rPr>
        <w:footnoteReference w:id="2"/>
      </w:r>
      <w:r w:rsidR="001A53AB" w:rsidRPr="00984F54">
        <w:rPr>
          <w:b/>
          <w:bCs/>
          <w:color w:val="4472C4" w:themeColor="accent1"/>
          <w:sz w:val="28"/>
          <w:szCs w:val="26"/>
          <w:u w:color="222222"/>
          <w:vertAlign w:val="superscript"/>
          <w:lang w:val="pt-BR"/>
        </w:rPr>
        <w:t xml:space="preserve"> </w:t>
      </w:r>
      <w:r w:rsidR="001A53AB" w:rsidRPr="00984F54">
        <w:rPr>
          <w:b/>
          <w:bCs/>
          <w:color w:val="auto"/>
          <w:sz w:val="28"/>
          <w:szCs w:val="26"/>
          <w:u w:color="222222"/>
          <w:vertAlign w:val="superscript"/>
          <w:lang w:val="pt-BR"/>
        </w:rPr>
        <w:t xml:space="preserve">&amp; </w:t>
      </w:r>
      <w:r w:rsidR="001A53AB" w:rsidRPr="00984F54">
        <w:rPr>
          <w:rStyle w:val="Refdenotaalpie"/>
          <w:b/>
          <w:bCs/>
          <w:color w:val="auto"/>
          <w:sz w:val="28"/>
          <w:szCs w:val="26"/>
          <w:u w:color="222222"/>
          <w:lang w:val="pt-BR"/>
        </w:rPr>
        <w:footnoteReference w:id="3"/>
      </w:r>
    </w:p>
    <w:p w14:paraId="7DE2414F" w14:textId="120C4A5D" w:rsidR="004B2E6E" w:rsidRPr="00984F54" w:rsidRDefault="004B2E6E" w:rsidP="00721BE2">
      <w:pPr>
        <w:pStyle w:val="Body"/>
        <w:jc w:val="both"/>
        <w:rPr>
          <w:i/>
          <w:sz w:val="32"/>
          <w:szCs w:val="28"/>
          <w:lang w:val="pt-BR"/>
        </w:rPr>
      </w:pPr>
    </w:p>
    <w:p w14:paraId="33C84708" w14:textId="5AF98A99" w:rsidR="00721BE2" w:rsidRPr="00984F54" w:rsidRDefault="00E2469B" w:rsidP="005A0E14">
      <w:pPr>
        <w:tabs>
          <w:tab w:val="num" w:pos="360"/>
        </w:tabs>
        <w:spacing w:line="276" w:lineRule="auto"/>
        <w:jc w:val="both"/>
        <w:rPr>
          <w:rFonts w:eastAsia="Arial Unicode MS" w:cs="Arial Unicode MS"/>
          <w:i/>
          <w:iCs/>
          <w:sz w:val="32"/>
          <w:szCs w:val="28"/>
          <w:lang w:val="pt-BR"/>
        </w:rPr>
      </w:pPr>
      <w:r w:rsidRPr="00984F54">
        <w:rPr>
          <w:rFonts w:eastAsia="Arial Unicode MS" w:cs="Arial Unicode MS"/>
          <w:bCs/>
          <w:i/>
          <w:iCs/>
          <w:sz w:val="32"/>
          <w:szCs w:val="28"/>
          <w:lang w:val="pt-BR"/>
        </w:rPr>
        <w:t>Univers</w:t>
      </w:r>
      <w:r w:rsidR="009A14AE" w:rsidRPr="00984F54">
        <w:rPr>
          <w:rFonts w:eastAsia="Arial Unicode MS" w:cs="Arial Unicode MS"/>
          <w:bCs/>
          <w:i/>
          <w:iCs/>
          <w:sz w:val="32"/>
          <w:szCs w:val="28"/>
          <w:lang w:val="pt-BR"/>
        </w:rPr>
        <w:t xml:space="preserve">idade do Minho, Braga, Portugal </w:t>
      </w:r>
      <w:r w:rsidR="009A14AE" w:rsidRPr="00984F54">
        <w:rPr>
          <w:b/>
          <w:bCs/>
          <w:color w:val="4472C4" w:themeColor="accent1"/>
          <w:sz w:val="28"/>
          <w:szCs w:val="26"/>
          <w:u w:color="222222"/>
          <w:vertAlign w:val="superscript"/>
          <w:lang w:val="pt-BR"/>
        </w:rPr>
        <w:t>a</w:t>
      </w:r>
      <w:r w:rsidR="009A14AE" w:rsidRPr="00984F54">
        <w:rPr>
          <w:sz w:val="28"/>
          <w:lang w:val="pt-BR"/>
        </w:rPr>
        <w:t xml:space="preserve">; </w:t>
      </w:r>
      <w:r w:rsidR="009E03E0" w:rsidRPr="00984F54">
        <w:rPr>
          <w:rFonts w:eastAsia="Arial Unicode MS" w:cs="Arial Unicode MS"/>
          <w:bCs/>
          <w:i/>
          <w:iCs/>
          <w:sz w:val="32"/>
          <w:szCs w:val="28"/>
          <w:lang w:val="pt-BR"/>
        </w:rPr>
        <w:t>Universidade Federal de Sergipe, São Cristóvão, Brasil</w:t>
      </w:r>
      <w:r w:rsidR="009A14AE" w:rsidRPr="00984F54">
        <w:rPr>
          <w:b/>
          <w:bCs/>
          <w:color w:val="4472C4" w:themeColor="accent1"/>
          <w:sz w:val="28"/>
          <w:szCs w:val="26"/>
          <w:u w:color="222222"/>
          <w:vertAlign w:val="superscript"/>
          <w:lang w:val="pt-BR"/>
        </w:rPr>
        <w:t xml:space="preserve"> b</w:t>
      </w:r>
      <w:r w:rsidR="009A14AE" w:rsidRPr="00984F54">
        <w:rPr>
          <w:rFonts w:eastAsia="Arial Unicode MS" w:cs="Arial Unicode MS"/>
          <w:bCs/>
          <w:i/>
          <w:iCs/>
          <w:sz w:val="32"/>
          <w:szCs w:val="28"/>
          <w:lang w:val="pt-BR"/>
        </w:rPr>
        <w:t>; Universidade de Coimbra, Coimbra, Portugal</w:t>
      </w:r>
      <w:r w:rsidR="009A14AE" w:rsidRPr="00984F54">
        <w:rPr>
          <w:b/>
          <w:bCs/>
          <w:color w:val="4472C4" w:themeColor="accent1"/>
          <w:sz w:val="28"/>
          <w:szCs w:val="26"/>
          <w:u w:color="222222"/>
          <w:vertAlign w:val="superscript"/>
          <w:lang w:val="pt-BR"/>
        </w:rPr>
        <w:t xml:space="preserve"> c</w:t>
      </w:r>
      <w:r w:rsidR="009A14AE" w:rsidRPr="00984F54">
        <w:rPr>
          <w:rFonts w:eastAsia="Arial Unicode MS" w:cs="Arial Unicode MS"/>
          <w:bCs/>
          <w:i/>
          <w:iCs/>
          <w:sz w:val="32"/>
          <w:szCs w:val="28"/>
          <w:lang w:val="pt-BR"/>
        </w:rPr>
        <w:t xml:space="preserve">; Universidade Federal da Bahia, Salvador, Brasil </w:t>
      </w:r>
      <w:r w:rsidR="00EB7FC0" w:rsidRPr="00984F54">
        <w:rPr>
          <w:b/>
          <w:bCs/>
          <w:color w:val="4472C4" w:themeColor="accent1"/>
          <w:sz w:val="28"/>
          <w:szCs w:val="26"/>
          <w:u w:color="222222"/>
          <w:vertAlign w:val="superscript"/>
          <w:lang w:val="pt-BR"/>
        </w:rPr>
        <w:t>d</w:t>
      </w:r>
      <w:r w:rsidR="009A14AE" w:rsidRPr="00984F54">
        <w:rPr>
          <w:rFonts w:eastAsia="Arial Unicode MS" w:cs="Arial Unicode MS"/>
          <w:bCs/>
          <w:i/>
          <w:iCs/>
          <w:sz w:val="32"/>
          <w:szCs w:val="28"/>
          <w:lang w:val="pt-BR"/>
        </w:rPr>
        <w:t>.</w:t>
      </w:r>
    </w:p>
    <w:p w14:paraId="03BFDC02" w14:textId="77777777" w:rsidR="00984F54" w:rsidRDefault="00984F54" w:rsidP="008B5E31">
      <w:pPr>
        <w:rPr>
          <w:rFonts w:ascii="Times" w:hAnsi="Times"/>
          <w:i/>
          <w:sz w:val="28"/>
          <w:szCs w:val="28"/>
          <w:lang w:val="pt-BR"/>
        </w:rPr>
      </w:pPr>
    </w:p>
    <w:p w14:paraId="3495F75C" w14:textId="59F79838" w:rsidR="00984F54" w:rsidRDefault="001C4E1C" w:rsidP="00984F54">
      <w:pPr>
        <w:rPr>
          <w:rFonts w:ascii="Times" w:hAnsi="Times"/>
          <w:i/>
          <w:sz w:val="28"/>
          <w:szCs w:val="28"/>
          <w:lang w:val="pt-BR"/>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1EAE141"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0A978DF0" w14:textId="77777777" w:rsidR="00984F54" w:rsidRPr="00984F54" w:rsidRDefault="00984F54" w:rsidP="00984F54">
      <w:pPr>
        <w:rPr>
          <w:lang w:val="pt-BR"/>
        </w:rPr>
      </w:pPr>
    </w:p>
    <w:p w14:paraId="599AC61C" w14:textId="5464A836" w:rsidR="00847288" w:rsidRPr="00984F54" w:rsidRDefault="00847288" w:rsidP="00B0685D">
      <w:pPr>
        <w:pStyle w:val="TtuloResumen"/>
        <w:rPr>
          <w:bCs/>
          <w:iCs/>
          <w:sz w:val="22"/>
        </w:rPr>
      </w:pPr>
      <w:r w:rsidRPr="00984F54">
        <w:rPr>
          <w:sz w:val="22"/>
        </w:rPr>
        <w:t>Resumo</w:t>
      </w:r>
    </w:p>
    <w:p w14:paraId="16ADD1F8" w14:textId="50795A5C" w:rsidR="00AE2DAE" w:rsidRPr="00984F54" w:rsidRDefault="00424EB1" w:rsidP="00AE2DAE">
      <w:pPr>
        <w:jc w:val="both"/>
        <w:rPr>
          <w:sz w:val="22"/>
          <w:szCs w:val="20"/>
          <w:lang w:val="pt-PT"/>
        </w:rPr>
      </w:pPr>
      <w:r w:rsidRPr="00984F54">
        <w:rPr>
          <w:sz w:val="22"/>
          <w:szCs w:val="20"/>
          <w:lang w:val="pt-PT"/>
        </w:rPr>
        <w:t>Neste artigo, objetivamos refletir sobre a memória social e os desafios decoloniais do presente a partir da análise de um estudo sobre representações de personalidades históricas, realizado no Brasil e em Portugal. Conduzimos um inquérito no qual os participantes eram convidados a evocar livremente pessoas ou grupos que consideravam mais importantes na História nacional, e em que medida consideravam o seu impacto positivo ou negativo para o país. Participaram 260 pessoas, sendo 96 brasileiras (</w:t>
      </w:r>
      <w:r w:rsidRPr="00984F54">
        <w:rPr>
          <w:i/>
          <w:iCs/>
          <w:sz w:val="22"/>
          <w:szCs w:val="20"/>
          <w:lang w:val="pt-PT"/>
        </w:rPr>
        <w:t>M</w:t>
      </w:r>
      <w:r w:rsidRPr="00984F54">
        <w:rPr>
          <w:sz w:val="22"/>
          <w:szCs w:val="20"/>
          <w:lang w:val="pt-PT"/>
        </w:rPr>
        <w:t xml:space="preserve">=34,6; </w:t>
      </w:r>
      <w:r w:rsidRPr="00984F54">
        <w:rPr>
          <w:i/>
          <w:iCs/>
          <w:sz w:val="22"/>
          <w:szCs w:val="20"/>
          <w:lang w:val="pt-PT"/>
        </w:rPr>
        <w:t>DP</w:t>
      </w:r>
      <w:r w:rsidRPr="00984F54">
        <w:rPr>
          <w:sz w:val="22"/>
          <w:szCs w:val="20"/>
          <w:lang w:val="pt-PT"/>
        </w:rPr>
        <w:t xml:space="preserve"> = 11,8), maioria homens (55,2%) e 164 portuguesas (</w:t>
      </w:r>
      <w:r w:rsidRPr="00984F54">
        <w:rPr>
          <w:i/>
          <w:iCs/>
          <w:sz w:val="22"/>
          <w:szCs w:val="20"/>
          <w:lang w:val="pt-PT"/>
        </w:rPr>
        <w:t>M</w:t>
      </w:r>
      <w:r w:rsidRPr="00984F54">
        <w:rPr>
          <w:sz w:val="22"/>
          <w:szCs w:val="20"/>
          <w:lang w:val="pt-PT"/>
        </w:rPr>
        <w:t xml:space="preserve">=19,92; </w:t>
      </w:r>
      <w:r w:rsidRPr="00984F54">
        <w:rPr>
          <w:i/>
          <w:iCs/>
          <w:sz w:val="22"/>
          <w:szCs w:val="20"/>
          <w:lang w:val="pt-PT"/>
        </w:rPr>
        <w:t>DP</w:t>
      </w:r>
      <w:r w:rsidRPr="00984F54">
        <w:rPr>
          <w:sz w:val="22"/>
          <w:szCs w:val="20"/>
          <w:lang w:val="pt-PT"/>
        </w:rPr>
        <w:t xml:space="preserve"> = 2,66), maioria mulheres (78%). Dentre os resultados, observamos que entre as 10 personalidades mais evocadas em cada país não houve uma única mulher - androcentrismo. Observamos também uma focalização na política, com ênfase na agência individual em detrimento da agência coletiva - solipsismo. Efeito particularmente evidente nos dados recolhidos em Portugal, em que o destaque vai para reis, governantes, navegadores e escritores. Personalidades associadas aos “Descobrimentos” foram frequentes, mas quase não houve menção a personalidades relacionadas à descolonização. Nos dados do Brasil, por outro lado, “Indígenas” e “Afrodescendentes” estavam entre os mais evocados. Discutimos implicações dessas “lembranças” e “esquecimentos” na memória social e a descolonização do pensamento enquanto tarefa crucial e particularmente desafiante.</w:t>
      </w:r>
    </w:p>
    <w:p w14:paraId="255CCE65" w14:textId="77777777" w:rsidR="00AE2DAE" w:rsidRPr="00984F54" w:rsidRDefault="00AE2DAE" w:rsidP="00AE2DAE">
      <w:pPr>
        <w:jc w:val="both"/>
        <w:rPr>
          <w:sz w:val="22"/>
          <w:szCs w:val="20"/>
          <w:lang w:val="pt-BR"/>
        </w:rPr>
      </w:pPr>
    </w:p>
    <w:p w14:paraId="7466AE1D" w14:textId="77777777" w:rsidR="00AE2DAE" w:rsidRPr="00984F54" w:rsidRDefault="00AE2DAE" w:rsidP="00AE2DAE">
      <w:pPr>
        <w:jc w:val="both"/>
        <w:rPr>
          <w:b/>
          <w:sz w:val="22"/>
          <w:szCs w:val="20"/>
          <w:lang w:val="pt-BR"/>
        </w:rPr>
      </w:pPr>
      <w:r w:rsidRPr="00984F54">
        <w:rPr>
          <w:b/>
          <w:sz w:val="22"/>
          <w:szCs w:val="20"/>
          <w:lang w:val="pt-BR"/>
        </w:rPr>
        <w:t>Palavras-chave</w:t>
      </w:r>
    </w:p>
    <w:p w14:paraId="117898A9" w14:textId="4384B35F" w:rsidR="00056BE3" w:rsidRDefault="00424EB1" w:rsidP="00056BE3">
      <w:pPr>
        <w:jc w:val="both"/>
        <w:rPr>
          <w:bCs/>
          <w:sz w:val="22"/>
          <w:szCs w:val="20"/>
          <w:lang w:val="pt-BR"/>
        </w:rPr>
      </w:pPr>
      <w:proofErr w:type="gramStart"/>
      <w:r w:rsidRPr="00984F54">
        <w:rPr>
          <w:bCs/>
          <w:sz w:val="22"/>
          <w:szCs w:val="20"/>
          <w:lang w:val="pt-BR"/>
        </w:rPr>
        <w:t>memória</w:t>
      </w:r>
      <w:proofErr w:type="gramEnd"/>
      <w:r w:rsidRPr="00984F54">
        <w:rPr>
          <w:bCs/>
          <w:sz w:val="22"/>
          <w:szCs w:val="20"/>
          <w:lang w:val="pt-BR"/>
        </w:rPr>
        <w:t xml:space="preserve"> social, representações sociais da história, colonialismo, descolonização</w:t>
      </w:r>
    </w:p>
    <w:p w14:paraId="54E22C7C" w14:textId="77777777" w:rsidR="00984F54" w:rsidRPr="00984F54" w:rsidRDefault="00984F54" w:rsidP="00056BE3">
      <w:pPr>
        <w:jc w:val="both"/>
        <w:rPr>
          <w:bCs/>
          <w:sz w:val="22"/>
          <w:szCs w:val="20"/>
          <w:lang w:val="pt-BR"/>
        </w:rPr>
      </w:pPr>
    </w:p>
    <w:p w14:paraId="18EAB1A9" w14:textId="7C60212C" w:rsidR="009B4F62" w:rsidRPr="00424EB1" w:rsidRDefault="009B4F62" w:rsidP="00AE2DAE">
      <w:pPr>
        <w:jc w:val="both"/>
        <w:rPr>
          <w:bCs/>
          <w:noProof/>
          <w:sz w:val="20"/>
          <w:szCs w:val="20"/>
          <w:lang w:val="pt-BR"/>
        </w:rPr>
      </w:pPr>
    </w:p>
    <w:p w14:paraId="0DAC1ABC" w14:textId="77777777" w:rsidR="00DD4453" w:rsidRDefault="00DD4453" w:rsidP="00DD4453">
      <w:pPr>
        <w:rPr>
          <w:lang w:val="en-US"/>
        </w:rPr>
      </w:pPr>
    </w:p>
    <w:p w14:paraId="6717E243" w14:textId="77777777" w:rsidR="00DD4453" w:rsidRDefault="00DD4453" w:rsidP="00DD4453">
      <w:pPr>
        <w:rPr>
          <w:lang w:val="en-US"/>
        </w:rPr>
      </w:pPr>
    </w:p>
    <w:p w14:paraId="1C067E57" w14:textId="77777777" w:rsidR="00DD4453" w:rsidRDefault="00DD4453" w:rsidP="00DD4453">
      <w:pPr>
        <w:rPr>
          <w:lang w:val="en-US"/>
        </w:rPr>
      </w:pPr>
    </w:p>
    <w:p w14:paraId="3F3B0AB2" w14:textId="77777777" w:rsidR="00DD4453" w:rsidRDefault="00DD4453" w:rsidP="00B0685D">
      <w:pPr>
        <w:pStyle w:val="TtuloResumen"/>
        <w:rPr>
          <w:sz w:val="22"/>
          <w:lang w:val="en-US"/>
        </w:rPr>
      </w:pPr>
    </w:p>
    <w:p w14:paraId="60C74093" w14:textId="25D6DF23" w:rsidR="00C413D4" w:rsidRPr="00984F54" w:rsidRDefault="004F7121" w:rsidP="00B0685D">
      <w:pPr>
        <w:pStyle w:val="TtuloResumen"/>
        <w:rPr>
          <w:sz w:val="22"/>
          <w:lang w:val="en-US"/>
        </w:rPr>
      </w:pPr>
      <w:r w:rsidRPr="00984F54">
        <w:rPr>
          <w:sz w:val="22"/>
          <w:lang w:val="en-US"/>
        </w:rPr>
        <w:t>Abstract</w:t>
      </w:r>
    </w:p>
    <w:p w14:paraId="26F27710" w14:textId="24EF6D11" w:rsidR="00AE2DAE" w:rsidRPr="00984F54" w:rsidRDefault="006D219F" w:rsidP="00AE2DAE">
      <w:pPr>
        <w:pStyle w:val="Resumen"/>
        <w:rPr>
          <w:sz w:val="22"/>
        </w:rPr>
      </w:pPr>
      <w:r w:rsidRPr="00984F54">
        <w:rPr>
          <w:sz w:val="22"/>
        </w:rPr>
        <w:t xml:space="preserve">In this paper, we aim to reflect on social memory and the </w:t>
      </w:r>
      <w:proofErr w:type="spellStart"/>
      <w:r w:rsidRPr="00984F54">
        <w:rPr>
          <w:sz w:val="22"/>
        </w:rPr>
        <w:t>decolonial</w:t>
      </w:r>
      <w:proofErr w:type="spellEnd"/>
      <w:r w:rsidRPr="00984F54">
        <w:rPr>
          <w:sz w:val="22"/>
        </w:rPr>
        <w:t xml:space="preserve"> challenges of the present by </w:t>
      </w:r>
      <w:proofErr w:type="spellStart"/>
      <w:r w:rsidRPr="00984F54">
        <w:rPr>
          <w:sz w:val="22"/>
        </w:rPr>
        <w:t>analysing</w:t>
      </w:r>
      <w:proofErr w:type="spellEnd"/>
      <w:r w:rsidRPr="00984F54">
        <w:rPr>
          <w:sz w:val="22"/>
        </w:rPr>
        <w:t xml:space="preserve"> a study on representations of historical personalities carried out in Brazil and Portugal. We conducted a survey in which participants were asked to freely evoke people or groups they considered to be the most important in national history, and to what extent they considered their impact on the country to be positive or negative. 260 people took part: 96 Brazilians (</w:t>
      </w:r>
      <w:r w:rsidRPr="00984F54">
        <w:rPr>
          <w:i/>
          <w:iCs/>
          <w:sz w:val="22"/>
        </w:rPr>
        <w:t>M</w:t>
      </w:r>
      <w:r w:rsidRPr="00984F54">
        <w:rPr>
          <w:sz w:val="22"/>
        </w:rPr>
        <w:t xml:space="preserve">= 34.6; </w:t>
      </w:r>
      <w:r w:rsidRPr="00984F54">
        <w:rPr>
          <w:i/>
          <w:iCs/>
          <w:sz w:val="22"/>
        </w:rPr>
        <w:t>SD</w:t>
      </w:r>
      <w:r w:rsidRPr="00984F54">
        <w:rPr>
          <w:sz w:val="22"/>
        </w:rPr>
        <w:t xml:space="preserve"> = 11.8), mostly men (55.2%) and 164 Portuguese (</w:t>
      </w:r>
      <w:r w:rsidRPr="00984F54">
        <w:rPr>
          <w:i/>
          <w:iCs/>
          <w:sz w:val="22"/>
        </w:rPr>
        <w:t>M</w:t>
      </w:r>
      <w:r w:rsidRPr="00984F54">
        <w:rPr>
          <w:sz w:val="22"/>
        </w:rPr>
        <w:t xml:space="preserve">= 19.92; </w:t>
      </w:r>
      <w:r w:rsidRPr="00984F54">
        <w:rPr>
          <w:i/>
          <w:iCs/>
          <w:sz w:val="22"/>
        </w:rPr>
        <w:t>SD</w:t>
      </w:r>
      <w:r w:rsidRPr="00984F54">
        <w:rPr>
          <w:sz w:val="22"/>
        </w:rPr>
        <w:t xml:space="preserve"> = 2.66), mostly women (78%). Among the results, we observed that there was not a single woman - </w:t>
      </w:r>
      <w:proofErr w:type="spellStart"/>
      <w:r w:rsidRPr="00984F54">
        <w:rPr>
          <w:sz w:val="22"/>
        </w:rPr>
        <w:t>androcentrism</w:t>
      </w:r>
      <w:proofErr w:type="spellEnd"/>
      <w:r w:rsidRPr="00984F54">
        <w:rPr>
          <w:sz w:val="22"/>
        </w:rPr>
        <w:t xml:space="preserve"> - among the 10 most evoked personalities in each country. We also observed a focus on politics, with an emphasis on individual agency to the detriment of collective agency - solipsism. This is particularly evident in the data collected in Portugal, where the emphasis is on kings, rulers, navigators and writers. Personalities associated with the ‘Discoveries’ were frequent, but there was almost no mention of personalities related to </w:t>
      </w:r>
      <w:proofErr w:type="spellStart"/>
      <w:r w:rsidRPr="00984F54">
        <w:rPr>
          <w:sz w:val="22"/>
        </w:rPr>
        <w:t>decolonisation</w:t>
      </w:r>
      <w:proofErr w:type="spellEnd"/>
      <w:r w:rsidRPr="00984F54">
        <w:rPr>
          <w:sz w:val="22"/>
        </w:rPr>
        <w:t>. In the data from Brazil, on the other hand, ‘Indigenous’ and ‘Afro-descendants’ were among the most evoked. We discuss</w:t>
      </w:r>
      <w:r w:rsidR="00DD1A55" w:rsidRPr="00984F54">
        <w:rPr>
          <w:sz w:val="22"/>
        </w:rPr>
        <w:t>ed the implications of</w:t>
      </w:r>
      <w:r w:rsidRPr="00984F54">
        <w:rPr>
          <w:sz w:val="22"/>
        </w:rPr>
        <w:t xml:space="preserve"> ‘</w:t>
      </w:r>
      <w:proofErr w:type="spellStart"/>
      <w:r w:rsidRPr="00984F54">
        <w:rPr>
          <w:sz w:val="22"/>
        </w:rPr>
        <w:t>rememberings</w:t>
      </w:r>
      <w:proofErr w:type="spellEnd"/>
      <w:r w:rsidRPr="00984F54">
        <w:rPr>
          <w:sz w:val="22"/>
        </w:rPr>
        <w:t>’ and ‘</w:t>
      </w:r>
      <w:proofErr w:type="spellStart"/>
      <w:r w:rsidRPr="00984F54">
        <w:rPr>
          <w:sz w:val="22"/>
        </w:rPr>
        <w:t>forgettings</w:t>
      </w:r>
      <w:proofErr w:type="spellEnd"/>
      <w:r w:rsidRPr="00984F54">
        <w:rPr>
          <w:sz w:val="22"/>
        </w:rPr>
        <w:t xml:space="preserve">’ for social memory and the </w:t>
      </w:r>
      <w:proofErr w:type="spellStart"/>
      <w:r w:rsidRPr="00984F54">
        <w:rPr>
          <w:sz w:val="22"/>
        </w:rPr>
        <w:t>decolonisation</w:t>
      </w:r>
      <w:proofErr w:type="spellEnd"/>
      <w:r w:rsidRPr="00984F54">
        <w:rPr>
          <w:sz w:val="22"/>
        </w:rPr>
        <w:t xml:space="preserve"> of thought as a crucial and particularly challenging task.</w:t>
      </w:r>
    </w:p>
    <w:p w14:paraId="3ECE5E7B" w14:textId="77777777" w:rsidR="00AE2DAE" w:rsidRPr="00984F54" w:rsidRDefault="00AE2DAE" w:rsidP="00AE2DAE">
      <w:pPr>
        <w:pStyle w:val="Resumen"/>
        <w:rPr>
          <w:sz w:val="22"/>
        </w:rPr>
      </w:pPr>
    </w:p>
    <w:p w14:paraId="0E0B5AF8" w14:textId="77777777" w:rsidR="00AE2DAE" w:rsidRPr="00984F54" w:rsidRDefault="00AE2DAE" w:rsidP="00AE2DAE">
      <w:pPr>
        <w:pStyle w:val="Resumen"/>
        <w:rPr>
          <w:b/>
          <w:sz w:val="22"/>
        </w:rPr>
      </w:pPr>
      <w:r w:rsidRPr="00984F54">
        <w:rPr>
          <w:b/>
          <w:sz w:val="22"/>
        </w:rPr>
        <w:t>Keywords</w:t>
      </w:r>
    </w:p>
    <w:p w14:paraId="3792DCB8" w14:textId="5C9517FB" w:rsidR="002D6B30" w:rsidRPr="00847288" w:rsidRDefault="00424EB1" w:rsidP="00973D69">
      <w:pPr>
        <w:pStyle w:val="Resumen"/>
        <w:rPr>
          <w:bCs/>
          <w:iCs/>
        </w:rPr>
      </w:pPr>
      <w:r w:rsidRPr="00984F54">
        <w:rPr>
          <w:bCs/>
          <w:sz w:val="22"/>
        </w:rPr>
        <w:t>social memory, social representations of history, colonialism, decolonization</w:t>
      </w:r>
      <w:r w:rsidR="009B4F62" w:rsidRPr="008A3E6A">
        <w:rPr>
          <w:bCs/>
          <w:noProof/>
          <w:lang w:eastAsia="en-US"/>
        </w:rPr>
        <w:drawing>
          <wp:anchor distT="0" distB="0" distL="114300" distR="114300" simplePos="0" relativeHeight="251670528" behindDoc="0" locked="0" layoutInCell="1" allowOverlap="1" wp14:anchorId="5C936340" wp14:editId="1D538670">
            <wp:simplePos x="0" y="0"/>
            <wp:positionH relativeFrom="column">
              <wp:posOffset>5400675</wp:posOffset>
            </wp:positionH>
            <wp:positionV relativeFrom="page">
              <wp:posOffset>9181465</wp:posOffset>
            </wp:positionV>
            <wp:extent cx="396000" cy="259200"/>
            <wp:effectExtent l="0" t="0" r="0" b="0"/>
            <wp:wrapNone/>
            <wp:docPr id="1" name="Gráfico 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9"/>
                    </pic:cNvPr>
                    <pic:cNvPicPr/>
                  </pic:nvPicPr>
                  <pic:blipFill>
                    <a:blip r:embed="rId20">
                      <a:extLst>
                        <a:ext uri="{96DAC541-7B7A-43D3-8B79-37D633B846F1}">
                          <asvg:svgBlip xmlns:arto="http://schemas.microsoft.com/office/word/2006/arto"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1"/>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002D6B30" w:rsidRPr="00847288">
        <w:rPr>
          <w:bCs/>
          <w:iCs/>
        </w:rPr>
        <w:br w:type="page"/>
      </w:r>
    </w:p>
    <w:p w14:paraId="513711DB" w14:textId="3139CB41" w:rsidR="00FE6082" w:rsidRPr="006D219F" w:rsidRDefault="006D219F" w:rsidP="00AE2DAE">
      <w:pPr>
        <w:pStyle w:val="Prrafocomn"/>
        <w:ind w:firstLine="0"/>
        <w:jc w:val="center"/>
      </w:pPr>
      <w:r w:rsidRPr="006D219F">
        <w:lastRenderedPageBreak/>
        <w:t xml:space="preserve">Social memory and </w:t>
      </w:r>
      <w:proofErr w:type="spellStart"/>
      <w:r w:rsidRPr="006D219F">
        <w:t>decolonial</w:t>
      </w:r>
      <w:proofErr w:type="spellEnd"/>
      <w:r w:rsidRPr="006D219F">
        <w:t xml:space="preserve"> challenges: reflections from a study on representations of historical personalities in Brazil and Portugal</w:t>
      </w:r>
    </w:p>
    <w:p w14:paraId="5ECA8B50" w14:textId="173327CB" w:rsidR="001A03E9" w:rsidRDefault="008463AB" w:rsidP="001A03E9">
      <w:pPr>
        <w:pStyle w:val="Ttulosinternos"/>
      </w:pPr>
      <w:r w:rsidRPr="00FE6082">
        <w:t>Introdução</w:t>
      </w:r>
    </w:p>
    <w:p w14:paraId="4CAB3DFE" w14:textId="564AF38F" w:rsidR="00973D69" w:rsidRPr="00973D69" w:rsidRDefault="00973D69" w:rsidP="00973D69">
      <w:pPr>
        <w:pStyle w:val="Prrafocomn"/>
        <w:rPr>
          <w:lang w:val="pt-PT"/>
        </w:rPr>
      </w:pPr>
      <w:r w:rsidRPr="00973D69">
        <w:rPr>
          <w:lang w:val="pt-PT"/>
        </w:rPr>
        <w:t xml:space="preserve">Em abril de 2023, o presidente do Brasil, Luiz Inácio Lula da Silva, foi convidado a realizar uma visita de Estado a Portugal, na ocasião das celebrações dos 49 anos do 25 de abril. Entre notas introdutórias do seu discurso, Lula referiu uma sensação de acolhimento experienciada no país. Em suas palavras: “Nos últimos dias, tive aqui em Portugal a inconfundível sensação de estar em casa, sentimento que, acredito, é compartilhado por todos os brasileiros que visitam Portugal e todos os portugueses que visitam o Brasil”. Na sequência, reafirmou a importância da Revolução dos Cravos, da reconquista das liberdades, dentre outros marcos que ela representou não só para Portugal, mas também para o Brasil que </w:t>
      </w:r>
      <w:r w:rsidR="00DD1A55">
        <w:rPr>
          <w:lang w:val="pt-PT"/>
        </w:rPr>
        <w:t>“</w:t>
      </w:r>
      <w:r w:rsidRPr="00973D69">
        <w:rPr>
          <w:lang w:val="pt-PT"/>
        </w:rPr>
        <w:t>assistia com admiração e esperança às mudanças políticas e sociais alcançadas pelos portugueses</w:t>
      </w:r>
      <w:r w:rsidR="00DD1A55">
        <w:rPr>
          <w:lang w:val="pt-PT"/>
        </w:rPr>
        <w:t>”</w:t>
      </w:r>
      <w:r w:rsidRPr="00973D69">
        <w:rPr>
          <w:lang w:val="pt-PT"/>
        </w:rPr>
        <w:t xml:space="preserve">. O discurso merece destaque não apenas pela importância da efeméride, mas, sobretudo, pela narrativa de integração que sustenta. </w:t>
      </w:r>
    </w:p>
    <w:p w14:paraId="60760805" w14:textId="77777777" w:rsidR="00973D69" w:rsidRPr="00973D69" w:rsidRDefault="00973D69" w:rsidP="00973D69">
      <w:pPr>
        <w:pStyle w:val="Prrafocomn"/>
        <w:rPr>
          <w:lang w:val="pt-PT"/>
        </w:rPr>
      </w:pPr>
      <w:r w:rsidRPr="00973D69">
        <w:rPr>
          <w:lang w:val="pt-PT"/>
        </w:rPr>
        <w:t>No entanto, cabe questionar se a memória social e as vivências cotidianas corroboram essa ideia de que “estamos em casa” referidas pelo presidente. Essa sensação é compartilhada entre brasileiros e portugueses? Brasil e Portugal possuem uma série de tratados e acordos bilaterais justificados por um passado em comum. Contudo, os acontecimentos que marcaram a história desses países são mais complexos do que parece representar o título de “países irmãos”. Apesar das narrativas de um sentimento de fraternidade cimentado numa alegada “convivência multissecular” e “passado comum”, a forma como os acontecimentos ligados à colonização são evocados por portugueses e por cidadãos de países que no passado foram colônias portuguesas, como o Brasil, é marcada por divergências e ambiguidades (e.g. Cabecinhas et al., 2006; Sá, Oliveira &amp; Prado, 2004). A análise de convergências e divergências nas memórias coletivas sobre um dado acontecimento é fundamental, pois a forma como um grupo representa sua história atua na definição da sua identidade social, nas relações com outros grupos, nas respostas a acontecimentos políticos, dentre outros desafios atuais (Liu et al., 2005).</w:t>
      </w:r>
    </w:p>
    <w:p w14:paraId="2B1EA459" w14:textId="78ABAE6B" w:rsidR="00973D69" w:rsidRPr="00973D69" w:rsidRDefault="00973D69" w:rsidP="00973D69">
      <w:pPr>
        <w:pStyle w:val="Prrafocomn"/>
        <w:rPr>
          <w:lang w:val="pt-BR"/>
        </w:rPr>
      </w:pPr>
      <w:proofErr w:type="spellStart"/>
      <w:r w:rsidRPr="00973D69">
        <w:rPr>
          <w:lang w:val="pt-BR"/>
        </w:rPr>
        <w:t>Hakoköngäs</w:t>
      </w:r>
      <w:proofErr w:type="spellEnd"/>
      <w:r w:rsidRPr="00973D69">
        <w:rPr>
          <w:lang w:val="pt-BR"/>
        </w:rPr>
        <w:t xml:space="preserve"> e </w:t>
      </w:r>
      <w:proofErr w:type="spellStart"/>
      <w:r w:rsidRPr="00973D69">
        <w:rPr>
          <w:lang w:val="pt-BR"/>
        </w:rPr>
        <w:t>Sakki</w:t>
      </w:r>
      <w:proofErr w:type="spellEnd"/>
      <w:r w:rsidRPr="00973D69">
        <w:rPr>
          <w:lang w:val="pt-BR"/>
        </w:rPr>
        <w:t xml:space="preserve"> (2016) defendem que </w:t>
      </w:r>
      <w:r w:rsidRPr="00973D69">
        <w:rPr>
          <w:lang w:val="pt-PT"/>
        </w:rPr>
        <w:t xml:space="preserve">o campo da memória coletiva é complexo e interdisciplinar, sendo empregadas por vezes deferentes terminologias como sinônimas. Entretanto, para os autores, a memória coletiva situa-se no cruzamento da teoria da identidade social (Tajfel, 1982) e da teoria das representações sociais (Moscovici, 1961/2004), pois «sua função primordial é criar um sentimento de </w:t>
      </w:r>
      <w:r w:rsidRPr="00973D69">
        <w:rPr>
          <w:lang w:val="pt-PT"/>
        </w:rPr>
        <w:lastRenderedPageBreak/>
        <w:t>identificação, um sentimento de continuidade e de solidariedade no seio de um grupo, bem como separar o grupo dos “outros”» (</w:t>
      </w:r>
      <w:proofErr w:type="spellStart"/>
      <w:r w:rsidRPr="00973D69">
        <w:rPr>
          <w:lang w:val="pt-BR"/>
        </w:rPr>
        <w:t>Hakoköngäs</w:t>
      </w:r>
      <w:proofErr w:type="spellEnd"/>
      <w:r w:rsidRPr="00973D69">
        <w:rPr>
          <w:lang w:val="pt-BR"/>
        </w:rPr>
        <w:t xml:space="preserve"> &amp; </w:t>
      </w:r>
      <w:proofErr w:type="spellStart"/>
      <w:r w:rsidRPr="00973D69">
        <w:rPr>
          <w:lang w:val="pt-BR"/>
        </w:rPr>
        <w:t>Sakki</w:t>
      </w:r>
      <w:proofErr w:type="spellEnd"/>
      <w:r w:rsidRPr="00973D69">
        <w:rPr>
          <w:lang w:val="pt-BR"/>
        </w:rPr>
        <w:t xml:space="preserve">, 2016, </w:t>
      </w:r>
      <w:r w:rsidRPr="00973D69">
        <w:rPr>
          <w:lang w:val="pt-PT"/>
        </w:rPr>
        <w:t>p. 2). Neste estudo, optamos pelo termo memória social e pelo conceito de representações sociais da história, um conjunto de representações do passado, c</w:t>
      </w:r>
      <w:r w:rsidR="00DD1A55">
        <w:rPr>
          <w:lang w:val="pt-PT"/>
        </w:rPr>
        <w:t>onstruído e partilhado</w:t>
      </w:r>
      <w:r w:rsidRPr="00973D69">
        <w:rPr>
          <w:lang w:val="pt-PT"/>
        </w:rPr>
        <w:t xml:space="preserve"> no seio de um grupo</w:t>
      </w:r>
      <w:r w:rsidRPr="00973D69">
        <w:rPr>
          <w:lang w:val="pt-BR"/>
        </w:rPr>
        <w:t>, a partir de uma pertença social comum (</w:t>
      </w:r>
      <w:proofErr w:type="spellStart"/>
      <w:r w:rsidRPr="00973D69">
        <w:rPr>
          <w:lang w:val="pt-BR"/>
        </w:rPr>
        <w:t>Licata</w:t>
      </w:r>
      <w:proofErr w:type="spellEnd"/>
      <w:r w:rsidRPr="00973D69">
        <w:rPr>
          <w:lang w:val="pt-BR"/>
        </w:rPr>
        <w:t xml:space="preserve"> &amp; Klein, 2005; Liu &amp; Hilton, 2005)</w:t>
      </w:r>
      <w:r w:rsidRPr="00973D69">
        <w:rPr>
          <w:lang w:val="pt-PT"/>
        </w:rPr>
        <w:t xml:space="preserve">. Estudos sobre representações sociais da história, tanto a nível internacional como nacional, têm identificado algumas tendências comuns, mas, também evidências de que cada grupo tem suas próprias ênfases e pontos de vista sobre a História </w:t>
      </w:r>
      <w:r w:rsidRPr="00973D69">
        <w:rPr>
          <w:lang w:val="pt-BR"/>
        </w:rPr>
        <w:t xml:space="preserve">(e.g., Cabecinhas et al., 2006; </w:t>
      </w:r>
      <w:proofErr w:type="spellStart"/>
      <w:r w:rsidRPr="00973D69">
        <w:rPr>
          <w:lang w:val="pt-BR"/>
        </w:rPr>
        <w:t>Hakoköngäs</w:t>
      </w:r>
      <w:proofErr w:type="spellEnd"/>
      <w:r w:rsidRPr="00973D69">
        <w:rPr>
          <w:lang w:val="pt-BR"/>
        </w:rPr>
        <w:t xml:space="preserve"> &amp; </w:t>
      </w:r>
      <w:proofErr w:type="spellStart"/>
      <w:r w:rsidRPr="00973D69">
        <w:rPr>
          <w:lang w:val="pt-BR"/>
        </w:rPr>
        <w:t>Sakki</w:t>
      </w:r>
      <w:proofErr w:type="spellEnd"/>
      <w:r w:rsidRPr="00973D69">
        <w:rPr>
          <w:lang w:val="pt-BR"/>
        </w:rPr>
        <w:t xml:space="preserve">, 2016; Liu et al., 2009; </w:t>
      </w:r>
      <w:proofErr w:type="spellStart"/>
      <w:r w:rsidRPr="00973D69">
        <w:rPr>
          <w:lang w:val="pt-BR"/>
        </w:rPr>
        <w:t>Pennebaker</w:t>
      </w:r>
      <w:proofErr w:type="spellEnd"/>
      <w:r w:rsidRPr="00973D69">
        <w:rPr>
          <w:lang w:val="pt-BR"/>
        </w:rPr>
        <w:t xml:space="preserve"> et al., 2006).</w:t>
      </w:r>
    </w:p>
    <w:p w14:paraId="5193BFD3" w14:textId="77777777" w:rsidR="00973D69" w:rsidRPr="00973D69" w:rsidRDefault="00973D69" w:rsidP="00973D69">
      <w:pPr>
        <w:pStyle w:val="Prrafocomn"/>
        <w:rPr>
          <w:lang w:val="pt-PT"/>
        </w:rPr>
      </w:pPr>
      <w:r w:rsidRPr="00973D69">
        <w:rPr>
          <w:lang w:val="pt-PT"/>
        </w:rPr>
        <w:t xml:space="preserve">Uma série de estudos sobre as </w:t>
      </w:r>
      <w:r w:rsidRPr="00973D69">
        <w:rPr>
          <w:lang w:val="pt-BR"/>
        </w:rPr>
        <w:t xml:space="preserve">representações sociais do passado colonial </w:t>
      </w:r>
      <w:r w:rsidRPr="00973D69">
        <w:rPr>
          <w:lang w:val="pt-PT"/>
        </w:rPr>
        <w:t>evidencia que as opiniões e emoções suscitadas pelos acontecimentos diferem em função do papel desempenhado pelo grupo durante o período colonial (Cabecinhas &amp; Feijó, 2010; Cabecinhas &amp; Nhaga, 2008). Mesmo no que diz</w:t>
      </w:r>
      <w:r w:rsidRPr="00973D69">
        <w:rPr>
          <w:lang w:val="pt-BR"/>
        </w:rPr>
        <w:t xml:space="preserve"> respeito às relações interculturais contemporâneas, antigos povos colonizados e antigos povos colonizadores experimentam impactos diferentes em esferas como a construção da identidade ou a discriminação social (</w:t>
      </w:r>
      <w:r w:rsidRPr="00973D69">
        <w:rPr>
          <w:lang w:val="pt-PT"/>
        </w:rPr>
        <w:t>Bobowik, et al., 2018). Nesse sentido, as dinâmicas da memória não podem ser entendidas sem considerarmos as múltiplas e persistentes assimetrias de poder, a agência individual e grupal e as interações cotidianas (Cabecinhas, 2019).</w:t>
      </w:r>
    </w:p>
    <w:p w14:paraId="2C32E529" w14:textId="77777777" w:rsidR="00973D69" w:rsidRPr="00973D69" w:rsidRDefault="00973D69" w:rsidP="00973D69">
      <w:pPr>
        <w:pStyle w:val="Prrafocomn"/>
        <w:rPr>
          <w:lang w:val="pt-PT"/>
        </w:rPr>
      </w:pPr>
      <w:r w:rsidRPr="00973D69">
        <w:rPr>
          <w:lang w:val="pt-PT"/>
        </w:rPr>
        <w:t>Em um estudo sobre representações da história da Europa, Bouchat et al. (2023), explicam como, desde o início do projeto europeu, têm sido promovidas narrativas históricas baseadas num conjunto específico de acontecimentos e valores supostamente comuns aos povos da Europa. Esse resgate de um “passado comum”, considerado fundamental no processo de integração europeia, vem, no entanto, acompanhado de um curioso silêncio de partes importantes da história do continente, como o colonialismo, a resistência ao colonialismo e os processos de descolonização.</w:t>
      </w:r>
    </w:p>
    <w:p w14:paraId="378E11C3" w14:textId="77777777" w:rsidR="00973D69" w:rsidRPr="00973D69" w:rsidRDefault="00973D69" w:rsidP="00973D69">
      <w:pPr>
        <w:pStyle w:val="Prrafocomn"/>
        <w:rPr>
          <w:lang w:val="pt-PT"/>
        </w:rPr>
      </w:pPr>
      <w:bookmarkStart w:id="1" w:name="_Hlk144576560"/>
      <w:bookmarkStart w:id="2" w:name="_Hlk144578296"/>
      <w:r w:rsidRPr="00973D69">
        <w:rPr>
          <w:lang w:val="pt-PT"/>
        </w:rPr>
        <w:t xml:space="preserve">A propagação de mitos e estereótipos que, por muito tempo, legitimaram o colonialismo enquanto empreendimento que alegadamente trouxe progresso e civilização, contribuiu para o silenciamento das realidades sociais e culturais dos povos outrora colonizados (Mbembe, 2015). Como os estereótipos atuam na justificação das ideologias, fornecendo ao grupo privilegiado uma “explicação” da sua posição enquanto tal, mesmo membros de grupos socialmente desfavorecidos em alguns contextos podem fazer uso de determinadas ideologias e estereótipos para explicar ou legitimar (implícita ou explicitamente) fatos sociais, como a violência contra grupos minorizados, contribuindo para a preservação de hierarquias e desigualdades (Mateus &amp; Pereira, 2023; </w:t>
      </w:r>
      <w:r w:rsidRPr="00973D69">
        <w:rPr>
          <w:lang w:val="pt-PT"/>
        </w:rPr>
        <w:lastRenderedPageBreak/>
        <w:t xml:space="preserve">Tajfel, 1982). Nessa direção, narrativas como a visão de que Portugal “deu novos mundos ao mundo” e outras representações presentes no imaginário social português continuam a influenciar relações intergrupais e processos identitários (Lins et al., 2024). </w:t>
      </w:r>
    </w:p>
    <w:p w14:paraId="604C44B3" w14:textId="77777777" w:rsidR="00973D69" w:rsidRPr="00973D69" w:rsidRDefault="00973D69" w:rsidP="00973D69">
      <w:pPr>
        <w:pStyle w:val="Prrafocomn"/>
        <w:rPr>
          <w:lang w:val="pt-PT"/>
        </w:rPr>
      </w:pPr>
      <w:r w:rsidRPr="00973D69">
        <w:rPr>
          <w:lang w:val="pt-PT"/>
        </w:rPr>
        <w:t xml:space="preserve">Ademais, o racismo e a discriminação persistentes que pessoas percebidas como estrangeiras nas sociedades europeias enfrentam não pode ser dissociado do passado colonial (Mignolo &amp; Walsh, 2018) ou de uma leitura colonialista do outro (Henriques, 2020). </w:t>
      </w:r>
      <w:bookmarkStart w:id="3" w:name="_Hlk150867350"/>
      <w:r w:rsidRPr="00973D69">
        <w:rPr>
          <w:lang w:val="pt-PT"/>
        </w:rPr>
        <w:t>Posto isso, neste artigo, objetivamos refletir sobre a memória social e os desafios decoloniais do presente a partir da análise de um estudo sobre representações de personalidades históricas, realizado no Brasil e em Portugal. Como ponto de partida e para uma melhor contextualização, revisitamos a seguir um conjunto de estudos sobre memória social e representações sociais da história.</w:t>
      </w:r>
      <w:bookmarkStart w:id="4" w:name="_Hlk144858137"/>
      <w:bookmarkEnd w:id="1"/>
      <w:bookmarkEnd w:id="3"/>
    </w:p>
    <w:p w14:paraId="01F5B92B" w14:textId="77777777" w:rsidR="00973D69" w:rsidRPr="00973D69" w:rsidRDefault="00973D69" w:rsidP="00973D69">
      <w:pPr>
        <w:pStyle w:val="SubtituloInterno"/>
        <w:rPr>
          <w:lang w:val="pt-BR"/>
        </w:rPr>
      </w:pPr>
      <w:r w:rsidRPr="00973D69">
        <w:rPr>
          <w:lang w:val="pt-BR"/>
        </w:rPr>
        <w:t>A “memória do mundo” e suas dinâmicas</w:t>
      </w:r>
    </w:p>
    <w:p w14:paraId="4ACD6795" w14:textId="77777777" w:rsidR="00973D69" w:rsidRPr="00973D69" w:rsidRDefault="00973D69" w:rsidP="00973D69">
      <w:pPr>
        <w:pStyle w:val="Prrafocomn"/>
        <w:rPr>
          <w:lang w:val="pt-PT"/>
        </w:rPr>
      </w:pPr>
      <w:r w:rsidRPr="00973D69">
        <w:rPr>
          <w:lang w:val="pt-PT"/>
        </w:rPr>
        <w:t>Os estudos da memória constituem um campo de grande atenção acadêmica e desenvolvimento nas últimas décadas em domínios variados, mas, especialmente, nas ciências sociais (</w:t>
      </w:r>
      <w:proofErr w:type="spellStart"/>
      <w:r w:rsidRPr="00973D69">
        <w:rPr>
          <w:lang w:val="pt-BR"/>
        </w:rPr>
        <w:t>Hakoköngäs</w:t>
      </w:r>
      <w:proofErr w:type="spellEnd"/>
      <w:r w:rsidRPr="00973D69">
        <w:rPr>
          <w:lang w:val="pt-BR"/>
        </w:rPr>
        <w:t xml:space="preserve"> &amp; </w:t>
      </w:r>
      <w:proofErr w:type="spellStart"/>
      <w:r w:rsidRPr="00973D69">
        <w:rPr>
          <w:lang w:val="pt-BR"/>
        </w:rPr>
        <w:t>Sakki</w:t>
      </w:r>
      <w:proofErr w:type="spellEnd"/>
      <w:r w:rsidRPr="00973D69">
        <w:rPr>
          <w:lang w:val="pt-BR"/>
        </w:rPr>
        <w:t>, 2016</w:t>
      </w:r>
      <w:r w:rsidRPr="00973D69">
        <w:rPr>
          <w:lang w:val="pt-PT"/>
        </w:rPr>
        <w:t xml:space="preserve">). As dinâmicas da memória social só podem ser compreendidas na sua interligação com o contexto social e cultural envolvente, processos identitários e representações sociais, o que passa necessariamente pela articulação de níveis de análise (Doise &amp; Valentim, 2015). Assim, é fundamental refletir sobre a “memória do mundo”, como as pessoas se relacionam com a história, bem como compreender os usos públicos do passado (e.g., Balbé et al., 2024; Cabecinhas &amp; Abadia, 2013). </w:t>
      </w:r>
    </w:p>
    <w:p w14:paraId="450BAB7A" w14:textId="77777777" w:rsidR="00973D69" w:rsidRPr="00973D69" w:rsidRDefault="00973D69" w:rsidP="00973D69">
      <w:pPr>
        <w:pStyle w:val="Prrafocomn"/>
        <w:rPr>
          <w:lang w:val="pt-PT"/>
        </w:rPr>
      </w:pPr>
      <w:r w:rsidRPr="00973D69">
        <w:rPr>
          <w:lang w:val="pt-PT"/>
        </w:rPr>
        <w:t xml:space="preserve">Marcadores como gênero, classe social ou origem geográfica influenciam a memória social, condicionando substancialmente o espectro das recordações possíveis numa dada sociedade (Cabecinhas et al., 2018b). Butera et al. (2017) abordam tal questão quando descrevem a criptomnésia social, fenômeno que ocorre quando valores promovidos por grupos “minoritários” são aceitos e integrados socialmente (como os direitos das mulheres), mas essa aceitação tem um custo, pois é acompanhada pelo “esquecimento” em relação ao papel desempenhado pelo grupo em causa. Mesmo quando uma minoria ativa tem sucesso em termos de influência, promovendo mudanças sociais consistentes, isso não significa que seu papel será socialmente “lembrado” e reconhecido. No exemplo, apesar dos avanços importantes quanto aos direitos das mulheres, os movimentos feministas ainda são vistos frequentemente de forma negativa e, muitas </w:t>
      </w:r>
      <w:r w:rsidRPr="00973D69">
        <w:rPr>
          <w:lang w:val="pt-PT"/>
        </w:rPr>
        <w:lastRenderedPageBreak/>
        <w:t xml:space="preserve">vezes, não recebem nenhum crédito por suas conquistas. Esse fenômeno ilustra como processos de influência social e, sobretudo, as posições de cada grupo na estrutura de poder atuam na construção e disseminação de memórias. </w:t>
      </w:r>
    </w:p>
    <w:p w14:paraId="6BBE4AD3" w14:textId="39520867" w:rsidR="00973D69" w:rsidRPr="00973D69" w:rsidRDefault="00973D69" w:rsidP="00973D69">
      <w:pPr>
        <w:pStyle w:val="Prrafocomn"/>
        <w:rPr>
          <w:lang w:val="pt-PT"/>
        </w:rPr>
      </w:pPr>
      <w:r w:rsidRPr="00973D69">
        <w:rPr>
          <w:lang w:val="pt-PT"/>
        </w:rPr>
        <w:t xml:space="preserve">Nos últimos anos, foram realizados vários estudos sobre representações sociais da história em dezenas de países, nos quais os participantes foram convidados a mencionar livremente acontecimentos e personalidades que consideravam mais importantes na história mundial, nacional ou supranacional (e.g., Bouchat et al., 2023; Brasil &amp; Cabecinhas, 2017; Liu et al., 2009; Pennebaker et al., 2006). Revisões de literatura (e.g., Cabecinhas, 2018b; Hilton &amp; Liu, 2017; Páez et al., 2016) destacaram um conjunto de tendências observadas, entre elas: a) </w:t>
      </w:r>
      <w:r w:rsidRPr="00973D69">
        <w:rPr>
          <w:i/>
          <w:lang w:val="pt-PT"/>
        </w:rPr>
        <w:t>centralidade da guerra e do conflito</w:t>
      </w:r>
      <w:r w:rsidRPr="00973D69">
        <w:rPr>
          <w:lang w:val="pt-PT"/>
        </w:rPr>
        <w:t xml:space="preserve"> </w:t>
      </w:r>
      <w:r w:rsidR="00172762">
        <w:rPr>
          <w:lang w:val="pt-PT"/>
        </w:rPr>
        <w:t>-</w:t>
      </w:r>
      <w:r w:rsidRPr="00973D69">
        <w:rPr>
          <w:lang w:val="pt-PT"/>
        </w:rPr>
        <w:t xml:space="preserve"> tendência para considerar eventos relativos a guerras, terrorismo, conflitos e revoluções entre os mais importantes da história mundial; b) </w:t>
      </w:r>
      <w:r w:rsidRPr="00973D69">
        <w:rPr>
          <w:i/>
          <w:lang w:val="pt-PT"/>
        </w:rPr>
        <w:t>efeito de recência</w:t>
      </w:r>
      <w:r w:rsidRPr="00973D69">
        <w:rPr>
          <w:lang w:val="pt-PT"/>
        </w:rPr>
        <w:t xml:space="preserve"> </w:t>
      </w:r>
      <w:r w:rsidR="00172762">
        <w:rPr>
          <w:lang w:val="pt-PT"/>
        </w:rPr>
        <w:t>-</w:t>
      </w:r>
      <w:r w:rsidRPr="00973D69">
        <w:rPr>
          <w:lang w:val="pt-PT"/>
        </w:rPr>
        <w:t xml:space="preserve"> tendência para recordar acontecimentos mais recentes, em detrimento dos mais remotos, bem como uma relação entre acontecimentos evocados e a agenda mediática no momento de recolha de dados; c) </w:t>
      </w:r>
      <w:r w:rsidRPr="00973D69">
        <w:rPr>
          <w:i/>
          <w:lang w:val="pt-PT"/>
        </w:rPr>
        <w:t xml:space="preserve">sociocentrismo </w:t>
      </w:r>
      <w:r w:rsidR="00172762">
        <w:rPr>
          <w:lang w:val="pt-PT"/>
        </w:rPr>
        <w:t>-</w:t>
      </w:r>
      <w:r w:rsidRPr="00973D69">
        <w:rPr>
          <w:lang w:val="pt-PT"/>
        </w:rPr>
        <w:t xml:space="preserve"> tendência para considerar acontecimentos que ocorreram no seu próprio país, ou que envolveram diretamente o seu país, entre os mais importantes, colocando o seu país no “mapa mundo”; d) </w:t>
      </w:r>
      <w:r w:rsidRPr="00973D69">
        <w:rPr>
          <w:i/>
          <w:lang w:val="pt-PT"/>
        </w:rPr>
        <w:t xml:space="preserve">eurocentrismo ou </w:t>
      </w:r>
      <w:r w:rsidRPr="00973D69">
        <w:rPr>
          <w:i/>
          <w:iCs/>
          <w:lang w:val="pt-PT"/>
        </w:rPr>
        <w:t>Westerncentrism</w:t>
      </w:r>
      <w:r w:rsidRPr="00973D69">
        <w:rPr>
          <w:i/>
          <w:lang w:val="pt-PT"/>
        </w:rPr>
        <w:t xml:space="preserve"> </w:t>
      </w:r>
      <w:r w:rsidR="00172762">
        <w:rPr>
          <w:lang w:val="pt-PT"/>
        </w:rPr>
        <w:t>-</w:t>
      </w:r>
      <w:r w:rsidRPr="00973D69">
        <w:rPr>
          <w:lang w:val="pt-PT"/>
        </w:rPr>
        <w:t xml:space="preserve"> tendência a uma visão que coloca os acontecimentos que ocorreram nos países ocidentais, nomeadamente, na Europa e Estados Unidos da América (EUA), como centro do mundo, reproduzindo as relações de poder hegemônicas na ordem mundial (Liu et al., 2005, 2009); e) </w:t>
      </w:r>
      <w:r w:rsidRPr="00973D69">
        <w:rPr>
          <w:i/>
          <w:iCs/>
          <w:lang w:val="pt-PT"/>
        </w:rPr>
        <w:t>efeito nostálgico</w:t>
      </w:r>
      <w:r w:rsidRPr="00973D69">
        <w:rPr>
          <w:lang w:val="pt-PT"/>
        </w:rPr>
        <w:t xml:space="preserve"> </w:t>
      </w:r>
      <w:r w:rsidR="00172762">
        <w:rPr>
          <w:lang w:val="pt-PT"/>
        </w:rPr>
        <w:t>-</w:t>
      </w:r>
      <w:r w:rsidRPr="00973D69">
        <w:rPr>
          <w:lang w:val="pt-PT"/>
        </w:rPr>
        <w:t xml:space="preserve"> tendência a considerar eventos mais remotos como mais positivos do que acontecimentos recentes (Páez et al., 2016); e f) androcentrismo </w:t>
      </w:r>
      <w:r w:rsidR="00172762">
        <w:rPr>
          <w:lang w:val="pt-PT"/>
        </w:rPr>
        <w:t>-</w:t>
      </w:r>
      <w:r w:rsidRPr="00973D69">
        <w:rPr>
          <w:lang w:val="pt-PT"/>
        </w:rPr>
        <w:t xml:space="preserve"> quase todas as personalidades consideradas mais importantes na história, nesses estudos, foram homens (Cabecinhas, 2018a). </w:t>
      </w:r>
    </w:p>
    <w:p w14:paraId="7E4962E1" w14:textId="77777777" w:rsidR="00973D69" w:rsidRPr="00973D69" w:rsidRDefault="00973D69" w:rsidP="00973D69">
      <w:pPr>
        <w:pStyle w:val="Prrafocomn"/>
        <w:rPr>
          <w:lang w:val="pt-PT"/>
        </w:rPr>
      </w:pPr>
      <w:r w:rsidRPr="00973D69">
        <w:rPr>
          <w:lang w:val="pt-PT"/>
        </w:rPr>
        <w:t xml:space="preserve">Quanto ao efeito de recência, verificou-se um destaque para personalidades dos últimos cem anos. Esse efeito foi, inclusive, mais acentuado na condição de evocação às personalidades do que aos acontecimentos (Brasil &amp; Cabecinhas, 2017; Liu et al., 2005). Verificou-se ainda um predomínio de governantes, políticos, líderes militares e líderes religiosos, em detrimento de outras áreas de atuação (Liu et al., 2009). As personalidades evocadas foram, sobretudo, homens, brancos, cristãos, oriundos de países ocidentais (e.g., Cabecinhas, 2018b). Cabe destacar que nos estudos iniciais foi pedido aos participantes para listarem cinco “personalidades” que consideravam mais importantes enquanto nos estudos mais recentes essa questão foi reformulada, passando a solicitar “pessoas ou grupos”, mas o efeito de personalização permaneceu entre os principais resultados (e.g., </w:t>
      </w:r>
      <w:r w:rsidRPr="00973D69">
        <w:rPr>
          <w:lang w:val="pt-PT"/>
        </w:rPr>
        <w:lastRenderedPageBreak/>
        <w:t>Bouchat et al., 2023). Ou seja, de forma geral, os participantes evocaram sobretudo pessoas singulares, tendo sido muito raras as referências a grupos, o que aponta para um efeito de solipsismo, no qual a história é percebida como produto da agência individual, descurando a agência coletiva (Cabecinhas, 2023).</w:t>
      </w:r>
    </w:p>
    <w:p w14:paraId="60635709" w14:textId="77777777" w:rsidR="00973D69" w:rsidRPr="00973D69" w:rsidRDefault="00973D69" w:rsidP="00973D69">
      <w:pPr>
        <w:pStyle w:val="Prrafocomn"/>
        <w:rPr>
          <w:lang w:val="pt-PT"/>
        </w:rPr>
      </w:pPr>
      <w:bookmarkStart w:id="5" w:name="_Hlk144865246"/>
      <w:r w:rsidRPr="00973D69">
        <w:rPr>
          <w:lang w:val="pt-PT"/>
        </w:rPr>
        <w:t xml:space="preserve">Dados recolhidos nos países africanos de língua oficial portuguesa </w:t>
      </w:r>
      <w:bookmarkEnd w:id="5"/>
      <w:r w:rsidRPr="00973D69">
        <w:rPr>
          <w:lang w:val="pt-PT"/>
        </w:rPr>
        <w:t>corroboraram esses padrões observados nos estudos supracitados. Em complemento, verificou-se também um significativo destaque para os efeitos opressivos do colonialismo e as lutas de libertação por parte dos participantes nos países africanos (e.g. Cabecinhas &amp; Feijó, 2010; Cupata, 2022; Mendes et al., 2010) e, em contrapartida, um silêncio da maioria dos participantes portugueses sobre estes processos (Cabecinhas, 2019).</w:t>
      </w:r>
    </w:p>
    <w:p w14:paraId="5E0ED380" w14:textId="77777777" w:rsidR="00973D69" w:rsidRPr="00973D69" w:rsidRDefault="00973D69" w:rsidP="00973D69">
      <w:pPr>
        <w:pStyle w:val="Prrafocomn"/>
        <w:rPr>
          <w:bCs/>
          <w:lang w:val="pt-PT"/>
        </w:rPr>
      </w:pPr>
      <w:r w:rsidRPr="00973D69">
        <w:rPr>
          <w:lang w:val="pt-PT"/>
        </w:rPr>
        <w:t xml:space="preserve">Os estudos reportados anteriormente foram realizados com questões abertas, isto é, os participantes foram chamados a evocar, sem qualquer listagem prévia, os acontecimentos que consideravam mais importantes na história nacional ou supranacional (por exemplo, história da Europa). Estudos realizados com questões fechadas permitiram aprofundar os conhecimentos sobre a estrutura e as funções dessas representações. Por exemplo, </w:t>
      </w:r>
      <w:r w:rsidRPr="00973D69">
        <w:rPr>
          <w:bCs/>
          <w:lang w:val="pt-PT"/>
        </w:rPr>
        <w:t>em um estudo sobre representações sociais do colonialismo em três países europeus (Bélgica, França e Portugal) e seis africanos (Angola, Burundi, Cabo Verde, República Democrática do Congo, Guiné-Bissau e Moçambique), Licata et al. (2018) demonstraram que as representações do colonialismo se estruturam em duas dimensões básicas: “exploração e racismo” e “desenvolvimento”</w:t>
      </w:r>
      <w:r w:rsidRPr="00973D69">
        <w:rPr>
          <w:lang w:val="pt-PT"/>
        </w:rPr>
        <w:t xml:space="preserve"> (por exemplo, “a</w:t>
      </w:r>
      <w:r w:rsidRPr="00973D69">
        <w:rPr>
          <w:bCs/>
          <w:lang w:val="pt-PT"/>
        </w:rPr>
        <w:t xml:space="preserve"> construção de vias de comunicação e de infraestruturas econômicas nas colônias”). Os resultados indicaram que </w:t>
      </w:r>
      <w:r w:rsidRPr="00973D69">
        <w:rPr>
          <w:lang w:val="pt-PT"/>
        </w:rPr>
        <w:t>as representações sociais do colonialismo entre os participantes europeus eram mais negativas, mas estes</w:t>
      </w:r>
      <w:r w:rsidRPr="00973D69">
        <w:rPr>
          <w:bCs/>
          <w:lang w:val="pt-PT"/>
        </w:rPr>
        <w:t xml:space="preserve"> não estabeleceram conexões entre o colonialismo, a vida cotidiana e implicações futuras para o seu país. Em contrapartida, </w:t>
      </w:r>
      <w:r w:rsidRPr="00973D69">
        <w:rPr>
          <w:lang w:val="pt-PT"/>
        </w:rPr>
        <w:t xml:space="preserve">entre os participantes africanos </w:t>
      </w:r>
      <w:r w:rsidRPr="00973D69">
        <w:rPr>
          <w:bCs/>
          <w:lang w:val="pt-PT"/>
        </w:rPr>
        <w:t>o passado colonial e suas continuidades são mais frequentemente percebidos como questões do presente</w:t>
      </w:r>
      <w:r w:rsidRPr="00973D69">
        <w:rPr>
          <w:lang w:val="pt-PT"/>
        </w:rPr>
        <w:t xml:space="preserve"> e com implicações no futuro </w:t>
      </w:r>
      <w:r w:rsidRPr="00973D69">
        <w:rPr>
          <w:bCs/>
          <w:lang w:val="pt-PT"/>
        </w:rPr>
        <w:t>(Licata et al., 2018).</w:t>
      </w:r>
    </w:p>
    <w:p w14:paraId="7450D4FC" w14:textId="09A03143" w:rsidR="00973D69" w:rsidRPr="00973D69" w:rsidRDefault="00973D69" w:rsidP="00973D69">
      <w:pPr>
        <w:pStyle w:val="Prrafocomn"/>
        <w:rPr>
          <w:lang w:val="pt-PT"/>
        </w:rPr>
      </w:pPr>
      <w:r w:rsidRPr="00973D69">
        <w:rPr>
          <w:lang w:val="pt-PT"/>
        </w:rPr>
        <w:t>Este conjunto de estudos evidencia a complexidade da memória social e os desafios decoloniais a ela associados. Mas, e quanto às relações específicas entre Brasil e Portugal?</w:t>
      </w:r>
      <w:bookmarkStart w:id="6" w:name="_Hlk144870417"/>
    </w:p>
    <w:p w14:paraId="5C07B0D2" w14:textId="77777777" w:rsidR="00973D69" w:rsidRPr="009E03E0" w:rsidRDefault="00973D69" w:rsidP="00973D69">
      <w:pPr>
        <w:pStyle w:val="SubtituloInterno"/>
        <w:rPr>
          <w:lang w:val="pt-BR"/>
        </w:rPr>
      </w:pPr>
      <w:r w:rsidRPr="009E03E0">
        <w:rPr>
          <w:lang w:val="pt-BR"/>
        </w:rPr>
        <w:t>Brasil e Portugal: algumas considerações</w:t>
      </w:r>
    </w:p>
    <w:bookmarkEnd w:id="6"/>
    <w:p w14:paraId="2E174A12" w14:textId="77777777" w:rsidR="00973D69" w:rsidRPr="00973D69" w:rsidRDefault="00973D69" w:rsidP="00973D69">
      <w:pPr>
        <w:pStyle w:val="Prrafocomn"/>
        <w:rPr>
          <w:lang w:val="pt-PT"/>
        </w:rPr>
      </w:pPr>
      <w:r w:rsidRPr="00973D69">
        <w:rPr>
          <w:lang w:val="pt-PT"/>
        </w:rPr>
        <w:t xml:space="preserve">Estudos anteriores realizados com participantes portugueses indicam que o impacto dos “Descobrimentos” na história nacional tem sido considerado </w:t>
      </w:r>
      <w:r w:rsidRPr="00973D69">
        <w:rPr>
          <w:lang w:val="pt-PT"/>
        </w:rPr>
        <w:lastRenderedPageBreak/>
        <w:t xml:space="preserve">consensualmente positivo, suscitando emoções como orgulho, alegria, felicidade e fascínio, independentemente do enquadramento da evocação deste acontecimento (história mundial ou história nacional) (e.g., Cabecinhas et al., 2006; Sá et al., 2004; Vala &amp; Saint-Maurice, 2004). Apesar de ser um acontecimento remoto, a maior parte dos participantes portugueses refere os “Descobrimentos”, os “Descobrimentos portugueses”, a “Descoberta do caminho marítimo para a Índia” ou a “Descoberta do Brasil”. Além disso, embora os participantes portugueses refiram outros acontecimentos, como a Fundação da nação e o 25 de Abril de 1974, o pioneirismo dos portugueses no panorama expansionista parece ainda permanecer na memória social enquanto um passado “glorioso” ou como a “idade de ouro” da nação (Cabecinhas, 2018b). </w:t>
      </w:r>
    </w:p>
    <w:p w14:paraId="4E816FF3" w14:textId="77777777" w:rsidR="00973D69" w:rsidRPr="00973D69" w:rsidRDefault="00973D69" w:rsidP="00973D69">
      <w:pPr>
        <w:pStyle w:val="Prrafocomn"/>
        <w:rPr>
          <w:lang w:val="pt-PT"/>
        </w:rPr>
      </w:pPr>
      <w:r w:rsidRPr="00973D69">
        <w:rPr>
          <w:lang w:val="pt-PT"/>
        </w:rPr>
        <w:t>A elevada saliência cognitiva do período dos “Descobrimentos” é um ponto dissonante quando comparado às memórias de participantes de outros países, nos quais se verificou um foco no passado mais recente da história nacional. Diversos autores têm discutido essa continuidade a partir de estudos sobre o ensino da história e o conteúdo dos manuais escolares (e.g. Araújo, 2020; Cabecinhas et al</w:t>
      </w:r>
      <w:r w:rsidRPr="00973D69">
        <w:rPr>
          <w:i/>
          <w:iCs/>
          <w:lang w:val="pt-PT"/>
        </w:rPr>
        <w:t>.,</w:t>
      </w:r>
      <w:r w:rsidRPr="00973D69">
        <w:rPr>
          <w:lang w:val="pt-PT"/>
        </w:rPr>
        <w:t xml:space="preserve"> 2022; Soares &amp; Jesuíno, 2004; Valentim &amp; Miguel, 2018)</w:t>
      </w:r>
      <w:r w:rsidRPr="00973D69">
        <w:rPr>
          <w:bCs/>
          <w:lang w:val="pt-PT"/>
        </w:rPr>
        <w:t>. Nesse c</w:t>
      </w:r>
      <w:r w:rsidRPr="00973D69">
        <w:rPr>
          <w:lang w:val="pt-PT"/>
        </w:rPr>
        <w:t xml:space="preserve">onteúdo reatualizado na mídia e em outros espaços sociais, apesar de alguma inclusão de “visões do outro”, parece não haver uma transformação concreta das estruturas narrativas. </w:t>
      </w:r>
    </w:p>
    <w:p w14:paraId="56B0AE31" w14:textId="77777777" w:rsidR="00973D69" w:rsidRPr="00973D69" w:rsidRDefault="00973D69" w:rsidP="00973D69">
      <w:pPr>
        <w:pStyle w:val="Prrafocomn"/>
        <w:rPr>
          <w:lang w:val="pt-PT"/>
        </w:rPr>
      </w:pPr>
      <w:r w:rsidRPr="00973D69">
        <w:rPr>
          <w:lang w:val="pt-PT"/>
        </w:rPr>
        <w:t>Ademais, Cabecinhas et al. (2006), em um estudo comparativo, indicavam uma “idealização dos Descobrimentos” e a dissociação entre a “chegada dos portugueses”, como um marco histórico, e o processo de “colonização”. Entre participantes brasileiros, por sua vez, o “Descobrimento” suscitou uma mistura de emoções (decepção, revolta, alegria, admiração e indiferença). Estes resultados demonstram que a tonalidade emocional de um acontecimento depende das pertenças sociais, políticas, geográficas e econômicas dos grupos envolvidos. Depende ainda da forma como cada grupo concebe o papel que desempenhou no acontecimento (Cabecinhas, 2019). Além dos “Descobrimentos”, os participantes brasileiros reportaram emoções ambivalentes face à presença portuguesa em outros acontecimentos: a “vinda da família real” para o Brasil, por exemplo, foi associada a emoções positivas. Já a “colonização portuguesa” suscitou emoções negativas (Cabecinhas et al., 2006).</w:t>
      </w:r>
    </w:p>
    <w:p w14:paraId="4825BFC1" w14:textId="09F53F03" w:rsidR="00973D69" w:rsidRPr="00973D69" w:rsidRDefault="00973D69" w:rsidP="00973D69">
      <w:pPr>
        <w:pStyle w:val="Prrafocomn"/>
        <w:rPr>
          <w:b/>
          <w:bCs/>
          <w:lang w:val="pt-PT"/>
        </w:rPr>
      </w:pPr>
      <w:r w:rsidRPr="00973D69">
        <w:rPr>
          <w:lang w:val="pt-PT"/>
        </w:rPr>
        <w:t xml:space="preserve">Nos estudos anteriores, os participantes brasileiros mencionaram também acontecimentos como a “Ditadura militar”, a “Abolição da escravatura”, a “Independência do Brasil” e algumas revoltas contra a colonização portuguesa durante os séculos XVIII e XIX (Cabecinhas et al., 2006). Em estudo recente realizado no Brasil, </w:t>
      </w:r>
      <w:r w:rsidRPr="00973D69">
        <w:rPr>
          <w:lang w:val="pt-PT"/>
        </w:rPr>
        <w:lastRenderedPageBreak/>
        <w:t>por Techio et al. (no prelo), os acontecimentos mais lembrados, em 2017, foram, nesta ordem: “Descobrimento do Brasil”, “Independência do Brasil”, “Escravidão”, “Colonização”, “Abolição da escravidão” e “Chegada dos portugueses”; em 2019: “Escravidão”, “Colonização”, “Descobrimento do Brasil”, “Chegada dos portugueses”, “Genocídio indígena” e “Brasil Colônia”; em 2020: “Escravidão”, “Descobrimento do Brasil”, “Colonização” e “Chegada dos portugueses”. Houve, portanto, referências ao passado colonial nessas evocações e parece estar subjacente a elas uma perspectiva mais crítica acerca desses marcos históricos.</w:t>
      </w:r>
      <w:bookmarkEnd w:id="4"/>
      <w:r w:rsidRPr="00973D69">
        <w:rPr>
          <w:lang w:val="pt-PT"/>
        </w:rPr>
        <w:t xml:space="preserve"> Nessa direção, analisaremos a seguir dados de um estudo sobre representações de personalidades históricas, realizado no Brasil e em Portugal. Apresentamos, inicialmente, o enquadramento metodológico do programa de pesquisa que deu origem ao estudo.</w:t>
      </w:r>
      <w:bookmarkEnd w:id="2"/>
    </w:p>
    <w:p w14:paraId="6B3A1DA3" w14:textId="77777777" w:rsidR="00973D69" w:rsidRPr="00973D69" w:rsidRDefault="00973D69" w:rsidP="00973D69">
      <w:pPr>
        <w:pStyle w:val="Ttulosinternos"/>
      </w:pPr>
      <w:r w:rsidRPr="00973D69">
        <w:t>Método</w:t>
      </w:r>
    </w:p>
    <w:p w14:paraId="2F8FDDD8" w14:textId="1B6BEDE8" w:rsidR="00973D69" w:rsidRPr="00973D69" w:rsidRDefault="00973D69" w:rsidP="00BB5CD1">
      <w:pPr>
        <w:pStyle w:val="Prrafocomn"/>
        <w:rPr>
          <w:lang w:val="pt-PT"/>
        </w:rPr>
      </w:pPr>
      <w:r w:rsidRPr="00973D69">
        <w:rPr>
          <w:lang w:val="pt-PT"/>
        </w:rPr>
        <w:t xml:space="preserve">Este estudo é parte de um projeto mais amplo com o objetivo de analisar as memórias sociais sobre a história supranacional e a história nacional, através de um inquérito por questionário </w:t>
      </w:r>
      <w:r w:rsidRPr="00973D69">
        <w:rPr>
          <w:i/>
          <w:iCs/>
          <w:lang w:val="pt-PT"/>
        </w:rPr>
        <w:t>online</w:t>
      </w:r>
      <w:r w:rsidRPr="00973D69">
        <w:rPr>
          <w:lang w:val="pt-PT"/>
        </w:rPr>
        <w:t>, cujos dados foram recolhidos em Portugal entre 2015 e 2016 (</w:t>
      </w:r>
      <w:r w:rsidR="00BB5CD1">
        <w:rPr>
          <w:lang w:val="pt-PT"/>
        </w:rPr>
        <w:t xml:space="preserve">no âmbito </w:t>
      </w:r>
      <w:r w:rsidR="00BB5CD1" w:rsidRPr="00BB5CD1">
        <w:rPr>
          <w:lang w:val="pt-PT"/>
        </w:rPr>
        <w:t>da Ação COST IS 1205 – “Dinâmicas psicossociais das representações da história na União Europeia alargada”) e no Brasil entre 2020 e 2021 (enquadrado no projeto CNPq nº 204632/2018-8, “Anomia, identidade nacional e racismo”</w:t>
      </w:r>
      <w:r w:rsidRPr="00973D69">
        <w:rPr>
          <w:lang w:val="pt-PT"/>
        </w:rPr>
        <w:t xml:space="preserve">). Neste artigo, abordaremos os resultados referentes à evocação livre de personalidades da história nacional (as demais questões foram objeto de análise em outros trabalhos). Em função do período de recolha de dados, apresentaremos primeiro os dados da amostra portuguesa e, em seguida, os dados da amostra brasileira. Na sequência, em uma discussão geral, propomos algumas reflexões a partir da relação entre as personalidades históricas mais recordadas pelos participantes dos dois países. </w:t>
      </w:r>
    </w:p>
    <w:p w14:paraId="1D6A399F" w14:textId="77777777" w:rsidR="00973D69" w:rsidRPr="009E03E0" w:rsidRDefault="00973D69" w:rsidP="00973D69">
      <w:pPr>
        <w:pStyle w:val="SubtituloInterno"/>
        <w:rPr>
          <w:lang w:val="pt-BR"/>
        </w:rPr>
      </w:pPr>
      <w:r w:rsidRPr="009E03E0">
        <w:rPr>
          <w:lang w:val="pt-BR"/>
        </w:rPr>
        <w:t>Participantes</w:t>
      </w:r>
      <w:bookmarkStart w:id="7" w:name="_Hlk150867583"/>
    </w:p>
    <w:p w14:paraId="1E930068" w14:textId="2A4731DC" w:rsidR="001069E7" w:rsidRDefault="00973D69" w:rsidP="001069E7">
      <w:pPr>
        <w:pStyle w:val="Prrafocomn"/>
        <w:rPr>
          <w:lang w:val="pt-PT"/>
        </w:rPr>
      </w:pPr>
      <w:r w:rsidRPr="00973D69">
        <w:rPr>
          <w:lang w:val="pt-PT"/>
        </w:rPr>
        <w:t>Participaram deste estudo 164 portugueses e 96 brasileiros</w:t>
      </w:r>
      <w:bookmarkEnd w:id="7"/>
      <w:r w:rsidRPr="00973D69">
        <w:rPr>
          <w:lang w:val="pt-PT"/>
        </w:rPr>
        <w:t xml:space="preserve">. Apresentamos na Tabela 1 os principais dados descritivos dos participantes, considerando as variáveis: idade, gênero, escolaridade. Quanto aos critérios para a composição da amostra, consideramos necessário apenas ter acima de 18 anos e condições de escolaridade para responder ao questionário. Em Portugal, como a recolha de dados aconteceu na universidade, frequentar um curso também foi, consequentemente, um critério de </w:t>
      </w:r>
      <w:r w:rsidRPr="00973D69">
        <w:rPr>
          <w:lang w:val="pt-PT"/>
        </w:rPr>
        <w:lastRenderedPageBreak/>
        <w:t>inclusão. Foram excluídos questionários incompletos, de participantes que não responderam sobre as personalidades da história nacional.</w:t>
      </w:r>
    </w:p>
    <w:p w14:paraId="34ABA6C7" w14:textId="2AEB43C1" w:rsidR="001069E7" w:rsidRPr="001069E7" w:rsidRDefault="001069E7" w:rsidP="001069E7">
      <w:pPr>
        <w:pStyle w:val="Prrafocomn"/>
        <w:ind w:firstLine="0"/>
        <w:rPr>
          <w:b/>
          <w:sz w:val="22"/>
          <w:szCs w:val="22"/>
          <w:lang w:val="pt-BR"/>
        </w:rPr>
      </w:pPr>
      <w:r w:rsidRPr="001069E7">
        <w:rPr>
          <w:b/>
          <w:sz w:val="22"/>
          <w:szCs w:val="22"/>
          <w:lang w:val="pt-BR" w:eastAsia="en-US"/>
        </w:rPr>
        <w:t>Tabela 1</w:t>
      </w:r>
    </w:p>
    <w:p w14:paraId="25C115B4" w14:textId="3829E441" w:rsidR="00973D69" w:rsidRPr="001069E7" w:rsidRDefault="001069E7" w:rsidP="001069E7">
      <w:pPr>
        <w:pStyle w:val="Prrafocomn"/>
        <w:ind w:firstLine="0"/>
        <w:rPr>
          <w:sz w:val="22"/>
          <w:szCs w:val="22"/>
          <w:lang w:val="pt-PT" w:eastAsia="en-US"/>
        </w:rPr>
      </w:pPr>
      <w:r w:rsidRPr="001069E7">
        <w:rPr>
          <w:i/>
          <w:iCs/>
          <w:sz w:val="22"/>
          <w:szCs w:val="22"/>
          <w:lang w:val="pt-BR" w:eastAsia="en-US"/>
        </w:rPr>
        <w:t>Dados Descritivos dos Participantes (Portugal e Brasil)</w:t>
      </w:r>
    </w:p>
    <w:tbl>
      <w:tblPr>
        <w:tblStyle w:val="Tablaconcuadrcula"/>
        <w:tblW w:w="5000" w:type="pct"/>
        <w:tblLook w:val="04A0" w:firstRow="1" w:lastRow="0" w:firstColumn="1" w:lastColumn="0" w:noHBand="0" w:noVBand="1"/>
      </w:tblPr>
      <w:tblGrid>
        <w:gridCol w:w="1524"/>
        <w:gridCol w:w="3502"/>
        <w:gridCol w:w="3478"/>
      </w:tblGrid>
      <w:tr w:rsidR="001069E7" w:rsidRPr="001069E7" w14:paraId="5337B3B4" w14:textId="77777777" w:rsidTr="00D12C38">
        <w:tc>
          <w:tcPr>
            <w:tcW w:w="896" w:type="pct"/>
            <w:tcBorders>
              <w:left w:val="nil"/>
              <w:bottom w:val="single" w:sz="4" w:space="0" w:color="auto"/>
              <w:right w:val="nil"/>
            </w:tcBorders>
          </w:tcPr>
          <w:p w14:paraId="41539B3F" w14:textId="77777777" w:rsidR="001069E7" w:rsidRPr="009E03E0" w:rsidRDefault="001069E7" w:rsidP="009907A8">
            <w:pPr>
              <w:autoSpaceDE w:val="0"/>
              <w:autoSpaceDN w:val="0"/>
              <w:adjustRightInd w:val="0"/>
              <w:spacing w:line="360" w:lineRule="auto"/>
              <w:jc w:val="center"/>
              <w:rPr>
                <w:rStyle w:val="normaltextrun"/>
                <w:b/>
                <w:bCs/>
                <w:color w:val="000000" w:themeColor="text1"/>
                <w:lang w:val="pt-BR"/>
              </w:rPr>
            </w:pPr>
          </w:p>
        </w:tc>
        <w:tc>
          <w:tcPr>
            <w:tcW w:w="2059" w:type="pct"/>
            <w:tcBorders>
              <w:left w:val="nil"/>
              <w:bottom w:val="single" w:sz="4" w:space="0" w:color="auto"/>
              <w:right w:val="nil"/>
            </w:tcBorders>
          </w:tcPr>
          <w:p w14:paraId="3F778C2A" w14:textId="77777777" w:rsidR="001069E7" w:rsidRPr="001069E7" w:rsidRDefault="001069E7" w:rsidP="009907A8">
            <w:pPr>
              <w:autoSpaceDE w:val="0"/>
              <w:autoSpaceDN w:val="0"/>
              <w:adjustRightInd w:val="0"/>
              <w:spacing w:line="360" w:lineRule="auto"/>
              <w:jc w:val="center"/>
              <w:rPr>
                <w:rStyle w:val="normaltextrun"/>
                <w:b/>
                <w:bCs/>
                <w:color w:val="000000" w:themeColor="text1"/>
              </w:rPr>
            </w:pPr>
            <w:r w:rsidRPr="001069E7">
              <w:rPr>
                <w:rStyle w:val="normaltextrun"/>
                <w:b/>
                <w:bCs/>
                <w:color w:val="000000" w:themeColor="text1"/>
              </w:rPr>
              <w:t>Portugal</w:t>
            </w:r>
          </w:p>
        </w:tc>
        <w:tc>
          <w:tcPr>
            <w:tcW w:w="2045" w:type="pct"/>
            <w:tcBorders>
              <w:left w:val="nil"/>
              <w:bottom w:val="single" w:sz="4" w:space="0" w:color="auto"/>
              <w:right w:val="nil"/>
            </w:tcBorders>
          </w:tcPr>
          <w:p w14:paraId="6848FDA6" w14:textId="77777777" w:rsidR="001069E7" w:rsidRPr="001069E7" w:rsidRDefault="001069E7" w:rsidP="009907A8">
            <w:pPr>
              <w:autoSpaceDE w:val="0"/>
              <w:autoSpaceDN w:val="0"/>
              <w:adjustRightInd w:val="0"/>
              <w:spacing w:line="360" w:lineRule="auto"/>
              <w:jc w:val="center"/>
              <w:rPr>
                <w:rStyle w:val="normaltextrun"/>
                <w:b/>
                <w:bCs/>
                <w:color w:val="000000" w:themeColor="text1"/>
              </w:rPr>
            </w:pPr>
            <w:r w:rsidRPr="001069E7">
              <w:rPr>
                <w:rStyle w:val="normaltextrun"/>
                <w:b/>
                <w:bCs/>
                <w:color w:val="000000" w:themeColor="text1"/>
              </w:rPr>
              <w:t>Brasil</w:t>
            </w:r>
          </w:p>
        </w:tc>
      </w:tr>
      <w:tr w:rsidR="001069E7" w:rsidRPr="001069E7" w14:paraId="1B5E4F75" w14:textId="77777777" w:rsidTr="00D12C38">
        <w:tc>
          <w:tcPr>
            <w:tcW w:w="896" w:type="pct"/>
            <w:tcBorders>
              <w:left w:val="nil"/>
              <w:bottom w:val="nil"/>
              <w:right w:val="nil"/>
            </w:tcBorders>
          </w:tcPr>
          <w:p w14:paraId="1AF5D789" w14:textId="77777777" w:rsidR="001069E7" w:rsidRPr="001069E7" w:rsidRDefault="001069E7" w:rsidP="009907A8">
            <w:pPr>
              <w:autoSpaceDE w:val="0"/>
              <w:autoSpaceDN w:val="0"/>
              <w:adjustRightInd w:val="0"/>
              <w:spacing w:line="360" w:lineRule="auto"/>
              <w:jc w:val="center"/>
              <w:rPr>
                <w:rStyle w:val="normaltextrun"/>
                <w:color w:val="000000" w:themeColor="text1"/>
              </w:rPr>
            </w:pPr>
            <w:r w:rsidRPr="001069E7">
              <w:rPr>
                <w:rStyle w:val="normaltextrun"/>
                <w:color w:val="000000" w:themeColor="text1"/>
              </w:rPr>
              <w:t>Total de Participantes</w:t>
            </w:r>
          </w:p>
        </w:tc>
        <w:tc>
          <w:tcPr>
            <w:tcW w:w="2059" w:type="pct"/>
            <w:tcBorders>
              <w:left w:val="nil"/>
              <w:bottom w:val="nil"/>
              <w:right w:val="nil"/>
            </w:tcBorders>
          </w:tcPr>
          <w:p w14:paraId="645A5FC2" w14:textId="77777777" w:rsidR="001069E7" w:rsidRPr="001069E7" w:rsidRDefault="001069E7" w:rsidP="009907A8">
            <w:pPr>
              <w:autoSpaceDE w:val="0"/>
              <w:autoSpaceDN w:val="0"/>
              <w:adjustRightInd w:val="0"/>
              <w:spacing w:line="360" w:lineRule="auto"/>
              <w:jc w:val="center"/>
              <w:rPr>
                <w:rStyle w:val="normaltextrun"/>
                <w:color w:val="000000" w:themeColor="text1"/>
              </w:rPr>
            </w:pPr>
            <w:r w:rsidRPr="001069E7">
              <w:rPr>
                <w:rStyle w:val="normaltextrun"/>
                <w:color w:val="000000" w:themeColor="text1"/>
              </w:rPr>
              <w:t>164</w:t>
            </w:r>
          </w:p>
        </w:tc>
        <w:tc>
          <w:tcPr>
            <w:tcW w:w="2045" w:type="pct"/>
            <w:tcBorders>
              <w:left w:val="nil"/>
              <w:bottom w:val="nil"/>
              <w:right w:val="nil"/>
            </w:tcBorders>
          </w:tcPr>
          <w:p w14:paraId="7A189022" w14:textId="77777777" w:rsidR="001069E7" w:rsidRPr="001069E7" w:rsidRDefault="001069E7" w:rsidP="009907A8">
            <w:pPr>
              <w:autoSpaceDE w:val="0"/>
              <w:autoSpaceDN w:val="0"/>
              <w:adjustRightInd w:val="0"/>
              <w:spacing w:line="360" w:lineRule="auto"/>
              <w:jc w:val="center"/>
              <w:rPr>
                <w:rStyle w:val="normaltextrun"/>
                <w:color w:val="000000" w:themeColor="text1"/>
              </w:rPr>
            </w:pPr>
            <w:r w:rsidRPr="001069E7">
              <w:rPr>
                <w:rStyle w:val="normaltextrun"/>
                <w:color w:val="000000" w:themeColor="text1"/>
              </w:rPr>
              <w:t>96</w:t>
            </w:r>
          </w:p>
        </w:tc>
      </w:tr>
      <w:tr w:rsidR="001069E7" w:rsidRPr="001069E7" w14:paraId="70BEF816" w14:textId="77777777" w:rsidTr="00D12C38">
        <w:tc>
          <w:tcPr>
            <w:tcW w:w="896" w:type="pct"/>
            <w:tcBorders>
              <w:top w:val="nil"/>
              <w:left w:val="nil"/>
              <w:bottom w:val="nil"/>
              <w:right w:val="nil"/>
            </w:tcBorders>
          </w:tcPr>
          <w:p w14:paraId="0C1AEC96" w14:textId="77777777" w:rsidR="001069E7" w:rsidRPr="001069E7" w:rsidRDefault="001069E7" w:rsidP="009907A8">
            <w:pPr>
              <w:autoSpaceDE w:val="0"/>
              <w:autoSpaceDN w:val="0"/>
              <w:adjustRightInd w:val="0"/>
              <w:spacing w:line="360" w:lineRule="auto"/>
              <w:jc w:val="center"/>
              <w:rPr>
                <w:rStyle w:val="normaltextrun"/>
                <w:color w:val="000000" w:themeColor="text1"/>
              </w:rPr>
            </w:pPr>
            <w:proofErr w:type="spellStart"/>
            <w:r w:rsidRPr="001069E7">
              <w:rPr>
                <w:rStyle w:val="normaltextrun"/>
                <w:color w:val="000000" w:themeColor="text1"/>
              </w:rPr>
              <w:t>Idade</w:t>
            </w:r>
            <w:proofErr w:type="spellEnd"/>
          </w:p>
        </w:tc>
        <w:tc>
          <w:tcPr>
            <w:tcW w:w="2059" w:type="pct"/>
            <w:tcBorders>
              <w:top w:val="nil"/>
              <w:left w:val="nil"/>
              <w:bottom w:val="nil"/>
              <w:right w:val="nil"/>
            </w:tcBorders>
          </w:tcPr>
          <w:p w14:paraId="7FF2E8FE" w14:textId="77777777" w:rsidR="001069E7" w:rsidRPr="001069E7" w:rsidRDefault="001069E7" w:rsidP="00D12C38">
            <w:pPr>
              <w:autoSpaceDE w:val="0"/>
              <w:autoSpaceDN w:val="0"/>
              <w:adjustRightInd w:val="0"/>
              <w:spacing w:line="360" w:lineRule="auto"/>
              <w:ind w:left="-112"/>
              <w:jc w:val="center"/>
              <w:rPr>
                <w:rStyle w:val="normaltextrun"/>
                <w:color w:val="000000" w:themeColor="text1"/>
              </w:rPr>
            </w:pPr>
            <w:r w:rsidRPr="001069E7">
              <w:rPr>
                <w:rStyle w:val="normaltextrun"/>
                <w:color w:val="000000" w:themeColor="text1"/>
              </w:rPr>
              <w:t xml:space="preserve">18 a 36 </w:t>
            </w:r>
            <w:proofErr w:type="spellStart"/>
            <w:r w:rsidRPr="001069E7">
              <w:rPr>
                <w:rStyle w:val="normaltextrun"/>
                <w:color w:val="000000" w:themeColor="text1"/>
              </w:rPr>
              <w:t>anos</w:t>
            </w:r>
            <w:proofErr w:type="spellEnd"/>
            <w:r w:rsidRPr="001069E7">
              <w:rPr>
                <w:rStyle w:val="normaltextrun"/>
                <w:color w:val="000000" w:themeColor="text1"/>
              </w:rPr>
              <w:t xml:space="preserve"> (</w:t>
            </w:r>
            <w:r w:rsidRPr="001069E7">
              <w:rPr>
                <w:rStyle w:val="normaltextrun"/>
                <w:i/>
                <w:iCs/>
                <w:color w:val="000000" w:themeColor="text1"/>
              </w:rPr>
              <w:t>M</w:t>
            </w:r>
            <w:r w:rsidRPr="001069E7">
              <w:rPr>
                <w:rStyle w:val="normaltextrun"/>
                <w:color w:val="000000" w:themeColor="text1"/>
              </w:rPr>
              <w:t xml:space="preserve"> = 19,92; </w:t>
            </w:r>
            <w:r w:rsidRPr="001069E7">
              <w:rPr>
                <w:rStyle w:val="normaltextrun"/>
                <w:i/>
                <w:iCs/>
                <w:color w:val="000000" w:themeColor="text1"/>
              </w:rPr>
              <w:t>DP</w:t>
            </w:r>
            <w:r w:rsidRPr="001069E7">
              <w:rPr>
                <w:rStyle w:val="normaltextrun"/>
                <w:color w:val="000000" w:themeColor="text1"/>
              </w:rPr>
              <w:t xml:space="preserve"> = 2,66)</w:t>
            </w:r>
          </w:p>
        </w:tc>
        <w:tc>
          <w:tcPr>
            <w:tcW w:w="2045" w:type="pct"/>
            <w:tcBorders>
              <w:top w:val="nil"/>
              <w:left w:val="nil"/>
              <w:bottom w:val="nil"/>
              <w:right w:val="nil"/>
            </w:tcBorders>
          </w:tcPr>
          <w:p w14:paraId="24E14273" w14:textId="77777777" w:rsidR="001069E7" w:rsidRPr="001069E7" w:rsidRDefault="001069E7" w:rsidP="009907A8">
            <w:pPr>
              <w:autoSpaceDE w:val="0"/>
              <w:autoSpaceDN w:val="0"/>
              <w:adjustRightInd w:val="0"/>
              <w:spacing w:line="360" w:lineRule="auto"/>
              <w:jc w:val="center"/>
              <w:rPr>
                <w:rStyle w:val="normaltextrun"/>
                <w:color w:val="000000" w:themeColor="text1"/>
              </w:rPr>
            </w:pPr>
            <w:r w:rsidRPr="001069E7">
              <w:rPr>
                <w:rStyle w:val="normaltextrun"/>
                <w:color w:val="000000" w:themeColor="text1"/>
              </w:rPr>
              <w:t xml:space="preserve">18 a 59 </w:t>
            </w:r>
            <w:proofErr w:type="spellStart"/>
            <w:r w:rsidRPr="001069E7">
              <w:rPr>
                <w:rStyle w:val="normaltextrun"/>
                <w:color w:val="000000" w:themeColor="text1"/>
              </w:rPr>
              <w:t>anos</w:t>
            </w:r>
            <w:proofErr w:type="spellEnd"/>
            <w:r w:rsidRPr="001069E7">
              <w:rPr>
                <w:rStyle w:val="normaltextrun"/>
                <w:color w:val="000000" w:themeColor="text1"/>
              </w:rPr>
              <w:t xml:space="preserve"> (</w:t>
            </w:r>
            <w:r w:rsidRPr="001069E7">
              <w:rPr>
                <w:rStyle w:val="normaltextrun"/>
                <w:i/>
                <w:iCs/>
                <w:color w:val="000000" w:themeColor="text1"/>
              </w:rPr>
              <w:t>M</w:t>
            </w:r>
            <w:r w:rsidRPr="001069E7">
              <w:rPr>
                <w:rStyle w:val="normaltextrun"/>
                <w:color w:val="000000" w:themeColor="text1"/>
              </w:rPr>
              <w:t xml:space="preserve"> = 34,6; </w:t>
            </w:r>
            <w:r w:rsidRPr="001069E7">
              <w:rPr>
                <w:rStyle w:val="normaltextrun"/>
                <w:i/>
                <w:iCs/>
                <w:color w:val="000000" w:themeColor="text1"/>
              </w:rPr>
              <w:t>DP</w:t>
            </w:r>
            <w:r w:rsidRPr="001069E7">
              <w:rPr>
                <w:rStyle w:val="normaltextrun"/>
                <w:color w:val="000000" w:themeColor="text1"/>
              </w:rPr>
              <w:t xml:space="preserve"> = 11,8)</w:t>
            </w:r>
          </w:p>
        </w:tc>
      </w:tr>
      <w:tr w:rsidR="001069E7" w:rsidRPr="001069E7" w14:paraId="7D1076D2" w14:textId="77777777" w:rsidTr="00D12C38">
        <w:tc>
          <w:tcPr>
            <w:tcW w:w="896" w:type="pct"/>
            <w:tcBorders>
              <w:top w:val="nil"/>
              <w:left w:val="nil"/>
              <w:bottom w:val="nil"/>
              <w:right w:val="nil"/>
            </w:tcBorders>
          </w:tcPr>
          <w:p w14:paraId="69405AAD" w14:textId="77777777" w:rsidR="001069E7" w:rsidRPr="001069E7" w:rsidRDefault="001069E7" w:rsidP="009907A8">
            <w:pPr>
              <w:autoSpaceDE w:val="0"/>
              <w:autoSpaceDN w:val="0"/>
              <w:adjustRightInd w:val="0"/>
              <w:spacing w:line="360" w:lineRule="auto"/>
              <w:jc w:val="center"/>
              <w:rPr>
                <w:rStyle w:val="normaltextrun"/>
                <w:color w:val="000000" w:themeColor="text1"/>
              </w:rPr>
            </w:pPr>
            <w:proofErr w:type="spellStart"/>
            <w:r w:rsidRPr="001069E7">
              <w:rPr>
                <w:rStyle w:val="normaltextrun"/>
                <w:color w:val="000000" w:themeColor="text1"/>
              </w:rPr>
              <w:t>Gênero</w:t>
            </w:r>
            <w:proofErr w:type="spellEnd"/>
          </w:p>
        </w:tc>
        <w:tc>
          <w:tcPr>
            <w:tcW w:w="2059" w:type="pct"/>
            <w:tcBorders>
              <w:top w:val="nil"/>
              <w:left w:val="nil"/>
              <w:bottom w:val="nil"/>
              <w:right w:val="nil"/>
            </w:tcBorders>
          </w:tcPr>
          <w:p w14:paraId="64E39442" w14:textId="77777777" w:rsidR="001069E7" w:rsidRPr="001069E7" w:rsidRDefault="001069E7" w:rsidP="009907A8">
            <w:pPr>
              <w:autoSpaceDE w:val="0"/>
              <w:autoSpaceDN w:val="0"/>
              <w:adjustRightInd w:val="0"/>
              <w:spacing w:line="360" w:lineRule="auto"/>
              <w:jc w:val="center"/>
              <w:rPr>
                <w:rStyle w:val="normaltextrun"/>
                <w:color w:val="000000" w:themeColor="text1"/>
              </w:rPr>
            </w:pPr>
            <w:r w:rsidRPr="001069E7">
              <w:rPr>
                <w:rStyle w:val="normaltextrun"/>
                <w:color w:val="000000" w:themeColor="text1"/>
              </w:rPr>
              <w:t xml:space="preserve">78% </w:t>
            </w:r>
            <w:proofErr w:type="spellStart"/>
            <w:r w:rsidRPr="001069E7">
              <w:rPr>
                <w:rStyle w:val="normaltextrun"/>
                <w:color w:val="000000" w:themeColor="text1"/>
              </w:rPr>
              <w:t>mulheres</w:t>
            </w:r>
            <w:proofErr w:type="spellEnd"/>
            <w:r w:rsidRPr="001069E7">
              <w:rPr>
                <w:rStyle w:val="normaltextrun"/>
                <w:color w:val="000000" w:themeColor="text1"/>
              </w:rPr>
              <w:t xml:space="preserve">; 22 % </w:t>
            </w:r>
            <w:proofErr w:type="spellStart"/>
            <w:r w:rsidRPr="001069E7">
              <w:rPr>
                <w:rStyle w:val="normaltextrun"/>
                <w:color w:val="000000" w:themeColor="text1"/>
              </w:rPr>
              <w:t>homens</w:t>
            </w:r>
            <w:proofErr w:type="spellEnd"/>
          </w:p>
        </w:tc>
        <w:tc>
          <w:tcPr>
            <w:tcW w:w="2045" w:type="pct"/>
            <w:tcBorders>
              <w:top w:val="nil"/>
              <w:left w:val="nil"/>
              <w:bottom w:val="nil"/>
              <w:right w:val="nil"/>
            </w:tcBorders>
          </w:tcPr>
          <w:p w14:paraId="09BB9A05" w14:textId="77777777" w:rsidR="001069E7" w:rsidRPr="001069E7" w:rsidRDefault="001069E7" w:rsidP="009907A8">
            <w:pPr>
              <w:autoSpaceDE w:val="0"/>
              <w:autoSpaceDN w:val="0"/>
              <w:adjustRightInd w:val="0"/>
              <w:spacing w:line="360" w:lineRule="auto"/>
              <w:jc w:val="center"/>
              <w:rPr>
                <w:rStyle w:val="normaltextrun"/>
                <w:color w:val="000000" w:themeColor="text1"/>
              </w:rPr>
            </w:pPr>
            <w:r w:rsidRPr="001069E7">
              <w:rPr>
                <w:rStyle w:val="normaltextrun"/>
                <w:color w:val="000000" w:themeColor="text1"/>
              </w:rPr>
              <w:t xml:space="preserve">55,2% </w:t>
            </w:r>
            <w:proofErr w:type="spellStart"/>
            <w:r w:rsidRPr="001069E7">
              <w:rPr>
                <w:rStyle w:val="normaltextrun"/>
                <w:color w:val="000000" w:themeColor="text1"/>
              </w:rPr>
              <w:t>homens</w:t>
            </w:r>
            <w:proofErr w:type="spellEnd"/>
            <w:r w:rsidRPr="001069E7">
              <w:rPr>
                <w:rStyle w:val="normaltextrun"/>
                <w:color w:val="000000" w:themeColor="text1"/>
              </w:rPr>
              <w:t xml:space="preserve">; 42,7% </w:t>
            </w:r>
            <w:proofErr w:type="spellStart"/>
            <w:r w:rsidRPr="001069E7">
              <w:rPr>
                <w:rStyle w:val="normaltextrun"/>
                <w:color w:val="000000" w:themeColor="text1"/>
              </w:rPr>
              <w:t>mulheres</w:t>
            </w:r>
            <w:proofErr w:type="spellEnd"/>
            <w:r w:rsidRPr="001069E7">
              <w:rPr>
                <w:rStyle w:val="normaltextrun"/>
                <w:color w:val="000000" w:themeColor="text1"/>
              </w:rPr>
              <w:t xml:space="preserve">; 2,1% </w:t>
            </w:r>
            <w:proofErr w:type="spellStart"/>
            <w:r w:rsidRPr="001069E7">
              <w:rPr>
                <w:rStyle w:val="normaltextrun"/>
                <w:color w:val="000000" w:themeColor="text1"/>
              </w:rPr>
              <w:t>não</w:t>
            </w:r>
            <w:proofErr w:type="spellEnd"/>
            <w:r w:rsidRPr="001069E7">
              <w:rPr>
                <w:rStyle w:val="normaltextrun"/>
                <w:color w:val="000000" w:themeColor="text1"/>
              </w:rPr>
              <w:t xml:space="preserve"> </w:t>
            </w:r>
            <w:proofErr w:type="spellStart"/>
            <w:r w:rsidRPr="001069E7">
              <w:rPr>
                <w:rStyle w:val="normaltextrun"/>
                <w:color w:val="000000" w:themeColor="text1"/>
              </w:rPr>
              <w:t>binário</w:t>
            </w:r>
            <w:proofErr w:type="spellEnd"/>
          </w:p>
        </w:tc>
      </w:tr>
      <w:tr w:rsidR="001069E7" w:rsidRPr="001069E7" w14:paraId="395FEA38" w14:textId="77777777" w:rsidTr="00D12C38">
        <w:tc>
          <w:tcPr>
            <w:tcW w:w="896" w:type="pct"/>
            <w:tcBorders>
              <w:top w:val="nil"/>
              <w:left w:val="nil"/>
              <w:bottom w:val="single" w:sz="4" w:space="0" w:color="auto"/>
              <w:right w:val="nil"/>
            </w:tcBorders>
          </w:tcPr>
          <w:p w14:paraId="7BAB61A7" w14:textId="77777777" w:rsidR="001069E7" w:rsidRPr="001069E7" w:rsidRDefault="001069E7" w:rsidP="009907A8">
            <w:pPr>
              <w:autoSpaceDE w:val="0"/>
              <w:autoSpaceDN w:val="0"/>
              <w:adjustRightInd w:val="0"/>
              <w:spacing w:line="360" w:lineRule="auto"/>
              <w:jc w:val="center"/>
              <w:rPr>
                <w:rStyle w:val="normaltextrun"/>
                <w:color w:val="000000" w:themeColor="text1"/>
              </w:rPr>
            </w:pPr>
            <w:proofErr w:type="spellStart"/>
            <w:r w:rsidRPr="001069E7">
              <w:rPr>
                <w:rStyle w:val="normaltextrun"/>
                <w:color w:val="000000" w:themeColor="text1"/>
              </w:rPr>
              <w:t>Escolaridade</w:t>
            </w:r>
            <w:proofErr w:type="spellEnd"/>
          </w:p>
        </w:tc>
        <w:tc>
          <w:tcPr>
            <w:tcW w:w="2059" w:type="pct"/>
            <w:tcBorders>
              <w:top w:val="nil"/>
              <w:left w:val="nil"/>
              <w:bottom w:val="single" w:sz="4" w:space="0" w:color="auto"/>
              <w:right w:val="nil"/>
            </w:tcBorders>
          </w:tcPr>
          <w:p w14:paraId="78CE3E2C" w14:textId="36243EC2" w:rsidR="001069E7" w:rsidRPr="001069E7" w:rsidRDefault="00C10A96" w:rsidP="009907A8">
            <w:pPr>
              <w:autoSpaceDE w:val="0"/>
              <w:autoSpaceDN w:val="0"/>
              <w:adjustRightInd w:val="0"/>
              <w:spacing w:line="360" w:lineRule="auto"/>
              <w:jc w:val="center"/>
              <w:rPr>
                <w:rStyle w:val="normaltextrun"/>
                <w:color w:val="000000" w:themeColor="text1"/>
                <w:lang w:val="pt-BR"/>
              </w:rPr>
            </w:pPr>
            <w:r>
              <w:rPr>
                <w:rStyle w:val="normaltextrun"/>
                <w:color w:val="000000" w:themeColor="text1"/>
                <w:lang w:val="pt-BR"/>
              </w:rPr>
              <w:t>100%</w:t>
            </w:r>
            <w:r w:rsidR="001069E7" w:rsidRPr="001069E7">
              <w:rPr>
                <w:rStyle w:val="normaltextrun"/>
                <w:color w:val="000000" w:themeColor="text1"/>
                <w:lang w:val="pt-BR"/>
              </w:rPr>
              <w:t xml:space="preserve"> do ensino superior</w:t>
            </w:r>
          </w:p>
        </w:tc>
        <w:tc>
          <w:tcPr>
            <w:tcW w:w="2045" w:type="pct"/>
            <w:tcBorders>
              <w:top w:val="nil"/>
              <w:left w:val="nil"/>
              <w:bottom w:val="single" w:sz="4" w:space="0" w:color="auto"/>
              <w:right w:val="nil"/>
            </w:tcBorders>
          </w:tcPr>
          <w:p w14:paraId="1B341D97" w14:textId="77777777" w:rsidR="001069E7" w:rsidRPr="001069E7" w:rsidRDefault="001069E7" w:rsidP="009907A8">
            <w:pPr>
              <w:autoSpaceDE w:val="0"/>
              <w:autoSpaceDN w:val="0"/>
              <w:adjustRightInd w:val="0"/>
              <w:spacing w:line="360" w:lineRule="auto"/>
              <w:jc w:val="center"/>
              <w:rPr>
                <w:rStyle w:val="normaltextrun"/>
                <w:color w:val="000000" w:themeColor="text1"/>
              </w:rPr>
            </w:pPr>
            <w:r w:rsidRPr="001069E7">
              <w:rPr>
                <w:rStyle w:val="normaltextrun"/>
                <w:color w:val="000000" w:themeColor="text1"/>
              </w:rPr>
              <w:t xml:space="preserve">64,6%, </w:t>
            </w:r>
            <w:proofErr w:type="spellStart"/>
            <w:r w:rsidRPr="001069E7">
              <w:rPr>
                <w:rStyle w:val="normaltextrun"/>
                <w:color w:val="000000" w:themeColor="text1"/>
              </w:rPr>
              <w:t>ensino</w:t>
            </w:r>
            <w:proofErr w:type="spellEnd"/>
            <w:r w:rsidRPr="001069E7">
              <w:rPr>
                <w:rStyle w:val="normaltextrun"/>
                <w:color w:val="000000" w:themeColor="text1"/>
              </w:rPr>
              <w:t xml:space="preserve"> superior completo 31,3% </w:t>
            </w:r>
            <w:proofErr w:type="spellStart"/>
            <w:r w:rsidRPr="001069E7">
              <w:rPr>
                <w:rStyle w:val="normaltextrun"/>
                <w:color w:val="000000" w:themeColor="text1"/>
              </w:rPr>
              <w:t>ensino</w:t>
            </w:r>
            <w:proofErr w:type="spellEnd"/>
            <w:r w:rsidRPr="001069E7">
              <w:rPr>
                <w:rStyle w:val="normaltextrun"/>
                <w:color w:val="000000" w:themeColor="text1"/>
              </w:rPr>
              <w:t xml:space="preserve"> superior incompleto</w:t>
            </w:r>
          </w:p>
        </w:tc>
      </w:tr>
    </w:tbl>
    <w:p w14:paraId="59C1D38D" w14:textId="0EEA98EB" w:rsidR="001069E7" w:rsidRDefault="001069E7" w:rsidP="001069E7">
      <w:pPr>
        <w:rPr>
          <w:lang w:val="pt-BR"/>
        </w:rPr>
      </w:pPr>
    </w:p>
    <w:p w14:paraId="58F926D1" w14:textId="77777777" w:rsidR="001069E7" w:rsidRDefault="001069E7" w:rsidP="001069E7">
      <w:pPr>
        <w:rPr>
          <w:lang w:val="pt-BR"/>
        </w:rPr>
      </w:pPr>
    </w:p>
    <w:p w14:paraId="6BFA4E03" w14:textId="3AD007A3" w:rsidR="001069E7" w:rsidRPr="001069E7" w:rsidRDefault="001069E7" w:rsidP="001069E7">
      <w:pPr>
        <w:pStyle w:val="SubtituloInterno"/>
        <w:rPr>
          <w:lang w:val="pt-BR"/>
        </w:rPr>
      </w:pPr>
      <w:r w:rsidRPr="001069E7">
        <w:rPr>
          <w:lang w:val="pt-BR"/>
        </w:rPr>
        <w:t>Procedimentos de coleta de dados e instrumento</w:t>
      </w:r>
    </w:p>
    <w:p w14:paraId="7C8FBA01" w14:textId="38D99C6E" w:rsidR="001069E7" w:rsidRPr="001069E7" w:rsidRDefault="001069E7" w:rsidP="001069E7">
      <w:pPr>
        <w:pStyle w:val="Prrafocomn"/>
        <w:rPr>
          <w:lang w:val="pt-PT" w:eastAsia="en-US"/>
        </w:rPr>
      </w:pPr>
      <w:bookmarkStart w:id="8" w:name="_Hlk144656681"/>
      <w:r w:rsidRPr="001069E7">
        <w:rPr>
          <w:lang w:val="pt-PT" w:eastAsia="en-US"/>
        </w:rPr>
        <w:t>Os participantes foram informados de que o objetivo do inquérito era investigar opiniões pessoais e não avaliar o nível de conhecimentos sobre a história.</w:t>
      </w:r>
      <w:bookmarkEnd w:id="8"/>
      <w:r w:rsidRPr="001069E7">
        <w:rPr>
          <w:lang w:val="pt-PT" w:eastAsia="en-US"/>
        </w:rPr>
        <w:t xml:space="preserve"> Ressaltamos que as respostas eram abertas, isto é, não era fornecida qualquer lista de personalidades ou grupos para que os participantes fizessem escolhas, pois o objetivo era analisar evocações espontâneas. Também não havia qualquer afirmação ou questão sobre colonialismo ou sobre colonização. Os questionários foram redigidos em língua portuguesa, com a mesma estrutura básica, tendo sido efetuadas apenas pequenas adaptações de conteúdo e linguagem em cada país, por exemplo, em Portugal eram feitas questões sobre a história de Portugal enquanto no Brasil eram colocadas questões sobre a h</w:t>
      </w:r>
      <w:r w:rsidR="00D12C38">
        <w:rPr>
          <w:lang w:val="pt-PT" w:eastAsia="en-US"/>
        </w:rPr>
        <w:t>istória do Brasil</w:t>
      </w:r>
      <w:r w:rsidRPr="001069E7">
        <w:rPr>
          <w:lang w:val="pt-PT" w:eastAsia="en-US"/>
        </w:rPr>
        <w:t xml:space="preserve">. </w:t>
      </w:r>
    </w:p>
    <w:p w14:paraId="30DFAE60" w14:textId="77777777" w:rsidR="001069E7" w:rsidRPr="001069E7" w:rsidRDefault="001069E7" w:rsidP="001069E7">
      <w:pPr>
        <w:pStyle w:val="Prrafocomn"/>
        <w:rPr>
          <w:lang w:val="pt-PT" w:eastAsia="en-US"/>
        </w:rPr>
      </w:pPr>
      <w:r w:rsidRPr="001069E7">
        <w:rPr>
          <w:lang w:val="pt-PT" w:eastAsia="en-US"/>
        </w:rPr>
        <w:t xml:space="preserve">No questionário, foi pedido aos participantes para listarem as pessoas ou grupos que consideravam mais importantes na História do seu país (em Portugal foram solicitadas cinco evocações, enquanto no Brasil foram solicitadas apenas três). Uma vez efetuada a listagem, os participantes deveriam avaliar em que medida consideravam que cada uma dessas pessoas ou grupos teve um impacto positivo ou negativo para a história do país (sendo 1 = </w:t>
      </w:r>
      <w:r w:rsidRPr="001069E7">
        <w:rPr>
          <w:i/>
          <w:iCs/>
          <w:lang w:val="pt-PT" w:eastAsia="en-US"/>
        </w:rPr>
        <w:t>muito negativo</w:t>
      </w:r>
      <w:r w:rsidRPr="001069E7">
        <w:rPr>
          <w:lang w:val="pt-PT" w:eastAsia="en-US"/>
        </w:rPr>
        <w:t xml:space="preserve"> e 7 = </w:t>
      </w:r>
      <w:r w:rsidRPr="001069E7">
        <w:rPr>
          <w:i/>
          <w:iCs/>
          <w:lang w:val="pt-PT" w:eastAsia="en-US"/>
        </w:rPr>
        <w:t>muito positivo</w:t>
      </w:r>
      <w:r w:rsidRPr="001069E7">
        <w:rPr>
          <w:lang w:val="pt-PT" w:eastAsia="en-US"/>
        </w:rPr>
        <w:t xml:space="preserve">). Tal avaliação constitui, portanto, uma medida do impacto atribuído à personalidade, nomeada como “valência”. A valência de uma personalidade é tanto mais positiva quanto mais próxima do ponto mais alto da escala (7), e tanto mais negativa quanto mais próxima do ponto mais baixo (1), ou neutra </w:t>
      </w:r>
      <w:r w:rsidRPr="001069E7">
        <w:rPr>
          <w:lang w:val="pt-PT" w:eastAsia="en-US"/>
        </w:rPr>
        <w:lastRenderedPageBreak/>
        <w:t xml:space="preserve">quando pouco se distancia do ponto médio da escala (4). Os instrumentos contavam também com as questões referentes aos dados sociodemográficos (e.g., idade, gênero, escolaridade). </w:t>
      </w:r>
    </w:p>
    <w:p w14:paraId="54892276" w14:textId="77777777" w:rsidR="001069E7" w:rsidRPr="009E03E0" w:rsidRDefault="001069E7" w:rsidP="001069E7">
      <w:pPr>
        <w:pStyle w:val="SubtituloInterno"/>
        <w:rPr>
          <w:lang w:val="pt-BR"/>
        </w:rPr>
      </w:pPr>
      <w:r w:rsidRPr="009E03E0">
        <w:rPr>
          <w:lang w:val="pt-BR"/>
        </w:rPr>
        <w:t>Procedimentos de análise de dados</w:t>
      </w:r>
    </w:p>
    <w:p w14:paraId="2BFBECC0" w14:textId="77777777" w:rsidR="001069E7" w:rsidRPr="001069E7" w:rsidRDefault="001069E7" w:rsidP="001069E7">
      <w:pPr>
        <w:pStyle w:val="Prrafocomn"/>
        <w:rPr>
          <w:lang w:val="pt-BR" w:eastAsia="en-US"/>
        </w:rPr>
      </w:pPr>
      <w:r w:rsidRPr="001069E7">
        <w:rPr>
          <w:lang w:val="pt-PT" w:eastAsia="en-US"/>
        </w:rPr>
        <w:t>Como objetivamos analisar as evocações das personalidades consideradas mais importantes, n</w:t>
      </w:r>
      <w:proofErr w:type="spellStart"/>
      <w:r w:rsidRPr="001069E7">
        <w:rPr>
          <w:lang w:val="pt-BR" w:eastAsia="en-US"/>
        </w:rPr>
        <w:t>a</w:t>
      </w:r>
      <w:proofErr w:type="spellEnd"/>
      <w:r w:rsidRPr="001069E7">
        <w:rPr>
          <w:lang w:val="pt-BR" w:eastAsia="en-US"/>
        </w:rPr>
        <w:t xml:space="preserve"> primeira etapa, as pessoas e grupos fornecidos por cada participante foram uniformizados, corrigindo erros ortográficos e realizando codificações a fim de possibilitar a comparação (e.g., “António Oliveira Salazar”, “A. Salazar”, etc. foram codificados em “Salazar”). As respostas foram então ordenadas de forma decrescente e classificadas de acordo com seu aparecimento em cada país. Este método descritivo foi utilizado na maioria dos estudos comparativos sobre representações sociais da história (e.g., Liu et al., 2009). As análises foram realizadas por meio de estatísticas descritivas com auxílio do </w:t>
      </w:r>
      <w:r w:rsidRPr="001069E7">
        <w:rPr>
          <w:i/>
          <w:iCs/>
          <w:lang w:val="pt-BR" w:eastAsia="en-US"/>
        </w:rPr>
        <w:t xml:space="preserve">IBM® SPSS </w:t>
      </w:r>
      <w:proofErr w:type="spellStart"/>
      <w:r w:rsidRPr="001069E7">
        <w:rPr>
          <w:i/>
          <w:iCs/>
          <w:lang w:val="pt-BR" w:eastAsia="en-US"/>
        </w:rPr>
        <w:t>Statistics</w:t>
      </w:r>
      <w:proofErr w:type="spellEnd"/>
      <w:r w:rsidRPr="001069E7">
        <w:rPr>
          <w:lang w:val="pt-BR" w:eastAsia="en-US"/>
        </w:rPr>
        <w:t xml:space="preserve"> e incluem o percentual de evocação e a média da valência de cada personalidade.</w:t>
      </w:r>
    </w:p>
    <w:p w14:paraId="3BDF9B56" w14:textId="77777777" w:rsidR="001069E7" w:rsidRPr="009E03E0" w:rsidRDefault="001069E7" w:rsidP="001069E7">
      <w:pPr>
        <w:pStyle w:val="SubtituloInterno"/>
        <w:rPr>
          <w:lang w:val="pt-BR"/>
        </w:rPr>
      </w:pPr>
      <w:r w:rsidRPr="009E03E0">
        <w:rPr>
          <w:lang w:val="pt-BR"/>
        </w:rPr>
        <w:t>Considerações éticas</w:t>
      </w:r>
    </w:p>
    <w:p w14:paraId="0C570C62" w14:textId="3F385D52" w:rsidR="001069E7" w:rsidRDefault="001069E7" w:rsidP="001069E7">
      <w:pPr>
        <w:pStyle w:val="Prrafocomn"/>
        <w:rPr>
          <w:lang w:val="pt-BR" w:eastAsia="en-US"/>
        </w:rPr>
      </w:pPr>
      <w:r w:rsidRPr="001069E7">
        <w:rPr>
          <w:lang w:val="pt-BR" w:eastAsia="en-US"/>
        </w:rPr>
        <w:t>Cabe destacar que esta investigação seguiu os padrões éticos gerais acordados para a atividade científica no Brasil e em Portugal. Os participantes foram convidados a colaborar voluntariamente com o estudo e informados acerca dos objetivos e procedimentos éticos seguidos, por meio de um Termo de Consentimento Livre e Esclarecido. Os questionários só foram apresentados após a anuência formalmente registrada por todos os participantes.</w:t>
      </w:r>
    </w:p>
    <w:p w14:paraId="7060ED99" w14:textId="4BB16854" w:rsidR="001069E7" w:rsidRDefault="001069E7" w:rsidP="001069E7">
      <w:pPr>
        <w:pStyle w:val="Prrafocomn"/>
        <w:rPr>
          <w:lang w:val="pt-BR" w:eastAsia="en-US"/>
        </w:rPr>
      </w:pPr>
    </w:p>
    <w:p w14:paraId="6FDD31EC" w14:textId="77777777" w:rsidR="001069E7" w:rsidRPr="001069E7" w:rsidRDefault="001069E7" w:rsidP="001069E7">
      <w:pPr>
        <w:pStyle w:val="Ttulosinternos"/>
      </w:pPr>
      <w:r w:rsidRPr="001069E7">
        <w:t>Resultados e discussão</w:t>
      </w:r>
    </w:p>
    <w:p w14:paraId="13D120D4" w14:textId="77777777" w:rsidR="001069E7" w:rsidRPr="009E03E0" w:rsidRDefault="001069E7" w:rsidP="001069E7">
      <w:pPr>
        <w:pStyle w:val="SubtituloInterno"/>
        <w:rPr>
          <w:lang w:val="pt-BR"/>
        </w:rPr>
      </w:pPr>
      <w:r w:rsidRPr="009E03E0">
        <w:rPr>
          <w:lang w:val="pt-BR"/>
        </w:rPr>
        <w:t>Portugal</w:t>
      </w:r>
    </w:p>
    <w:p w14:paraId="58E51365" w14:textId="68477000" w:rsidR="001069E7" w:rsidRDefault="001069E7" w:rsidP="001069E7">
      <w:pPr>
        <w:pStyle w:val="Prrafocomn"/>
        <w:rPr>
          <w:lang w:val="pt-BR" w:eastAsia="en-US"/>
        </w:rPr>
      </w:pPr>
      <w:r w:rsidRPr="001069E7">
        <w:rPr>
          <w:lang w:val="pt-BR" w:eastAsia="en-US"/>
        </w:rPr>
        <w:t>Em Portugal, foram no total 751 evocações. Na Tabela 2, apresentamos as 10 personalida</w:t>
      </w:r>
      <w:r w:rsidR="00D12C38">
        <w:rPr>
          <w:lang w:val="pt-BR" w:eastAsia="en-US"/>
        </w:rPr>
        <w:t>des mais evocadas, além</w:t>
      </w:r>
      <w:r w:rsidRPr="001069E7">
        <w:rPr>
          <w:lang w:val="pt-BR" w:eastAsia="en-US"/>
        </w:rPr>
        <w:t xml:space="preserve"> da valência associada a cada uma delas (sendo que a escala variava entre 1 = </w:t>
      </w:r>
      <w:r w:rsidRPr="001069E7">
        <w:rPr>
          <w:i/>
          <w:iCs/>
          <w:lang w:val="pt-BR" w:eastAsia="en-US"/>
        </w:rPr>
        <w:t xml:space="preserve">muito negativa </w:t>
      </w:r>
      <w:r w:rsidRPr="001069E7">
        <w:rPr>
          <w:lang w:val="pt-BR" w:eastAsia="en-US"/>
        </w:rPr>
        <w:t xml:space="preserve">e 7 = </w:t>
      </w:r>
      <w:r w:rsidRPr="001069E7">
        <w:rPr>
          <w:i/>
          <w:iCs/>
          <w:lang w:val="pt-BR" w:eastAsia="en-US"/>
        </w:rPr>
        <w:t>muito positiva</w:t>
      </w:r>
      <w:r w:rsidRPr="001069E7">
        <w:rPr>
          <w:lang w:val="pt-BR" w:eastAsia="en-US"/>
        </w:rPr>
        <w:t xml:space="preserve">). </w:t>
      </w:r>
    </w:p>
    <w:p w14:paraId="1B55D3E3" w14:textId="77777777" w:rsidR="001069E7" w:rsidRPr="001069E7" w:rsidRDefault="001069E7" w:rsidP="001069E7">
      <w:pPr>
        <w:pStyle w:val="Prrafocomn"/>
        <w:rPr>
          <w:lang w:val="pt-BR" w:eastAsia="en-US"/>
        </w:rPr>
      </w:pPr>
    </w:p>
    <w:p w14:paraId="6725F43D" w14:textId="77777777" w:rsidR="001069E7" w:rsidRPr="001069E7" w:rsidRDefault="001069E7" w:rsidP="001069E7">
      <w:pPr>
        <w:pStyle w:val="Prrafocomn"/>
        <w:rPr>
          <w:b/>
          <w:lang w:val="pt-BR" w:eastAsia="en-US"/>
        </w:rPr>
      </w:pPr>
    </w:p>
    <w:p w14:paraId="3617AD3D" w14:textId="77777777" w:rsidR="001069E7" w:rsidRPr="001069E7" w:rsidRDefault="001069E7" w:rsidP="001069E7">
      <w:pPr>
        <w:pStyle w:val="Prrafocomn"/>
        <w:ind w:firstLine="0"/>
        <w:rPr>
          <w:b/>
          <w:bCs/>
          <w:sz w:val="22"/>
          <w:szCs w:val="22"/>
          <w:lang w:val="pt-PT" w:eastAsia="en-US"/>
        </w:rPr>
      </w:pPr>
      <w:r w:rsidRPr="001069E7">
        <w:rPr>
          <w:b/>
          <w:bCs/>
          <w:sz w:val="22"/>
          <w:szCs w:val="22"/>
          <w:lang w:val="pt-PT" w:eastAsia="en-US"/>
        </w:rPr>
        <w:lastRenderedPageBreak/>
        <w:t>Tabela 2</w:t>
      </w:r>
    </w:p>
    <w:p w14:paraId="455DD846" w14:textId="321E3A71" w:rsidR="001069E7" w:rsidRPr="001069E7" w:rsidRDefault="001069E7" w:rsidP="001069E7">
      <w:pPr>
        <w:pStyle w:val="Prrafocomn"/>
        <w:ind w:firstLine="0"/>
        <w:rPr>
          <w:i/>
          <w:iCs/>
          <w:sz w:val="22"/>
          <w:szCs w:val="22"/>
          <w:lang w:val="pt-PT" w:eastAsia="en-US"/>
        </w:rPr>
      </w:pPr>
      <w:r w:rsidRPr="001069E7">
        <w:rPr>
          <w:i/>
          <w:iCs/>
          <w:sz w:val="22"/>
          <w:szCs w:val="22"/>
          <w:lang w:val="pt-PT" w:eastAsia="en-US"/>
        </w:rPr>
        <w:t xml:space="preserve">As </w:t>
      </w:r>
      <w:r w:rsidR="00E04666">
        <w:rPr>
          <w:i/>
          <w:iCs/>
          <w:sz w:val="22"/>
          <w:szCs w:val="22"/>
          <w:lang w:val="pt-PT" w:eastAsia="en-US"/>
        </w:rPr>
        <w:t>10 Personalidades Mais Recordada</w:t>
      </w:r>
      <w:r w:rsidRPr="001069E7">
        <w:rPr>
          <w:i/>
          <w:iCs/>
          <w:sz w:val="22"/>
          <w:szCs w:val="22"/>
          <w:lang w:val="pt-PT" w:eastAsia="en-US"/>
        </w:rPr>
        <w:t>s em Portugal: Evocação e Valência (Top 10)</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5"/>
        <w:gridCol w:w="575"/>
        <w:gridCol w:w="3334"/>
      </w:tblGrid>
      <w:tr w:rsidR="001069E7" w:rsidRPr="001069E7" w14:paraId="1F8C52DB" w14:textId="77777777" w:rsidTr="001069E7">
        <w:trPr>
          <w:trHeight w:val="273"/>
          <w:jc w:val="center"/>
        </w:trPr>
        <w:tc>
          <w:tcPr>
            <w:tcW w:w="2702" w:type="pct"/>
            <w:tcBorders>
              <w:top w:val="single" w:sz="4" w:space="0" w:color="auto"/>
              <w:left w:val="nil"/>
              <w:bottom w:val="single" w:sz="4" w:space="0" w:color="auto"/>
              <w:right w:val="nil"/>
            </w:tcBorders>
            <w:shd w:val="clear" w:color="auto" w:fill="auto"/>
            <w:hideMark/>
          </w:tcPr>
          <w:p w14:paraId="1CEE26AB" w14:textId="77777777" w:rsidR="001069E7" w:rsidRPr="001069E7" w:rsidRDefault="001069E7" w:rsidP="00E04666">
            <w:pPr>
              <w:spacing w:line="276" w:lineRule="auto"/>
              <w:jc w:val="center"/>
              <w:textAlignment w:val="baseline"/>
              <w:rPr>
                <w:b/>
                <w:bCs/>
                <w:color w:val="000000" w:themeColor="text1"/>
                <w:sz w:val="22"/>
                <w:szCs w:val="22"/>
              </w:rPr>
            </w:pPr>
            <w:r w:rsidRPr="001069E7">
              <w:rPr>
                <w:b/>
                <w:bCs/>
                <w:color w:val="000000" w:themeColor="text1"/>
                <w:sz w:val="22"/>
                <w:szCs w:val="22"/>
              </w:rPr>
              <w:t>Personalidades</w:t>
            </w:r>
          </w:p>
        </w:tc>
        <w:tc>
          <w:tcPr>
            <w:tcW w:w="338" w:type="pct"/>
            <w:tcBorders>
              <w:top w:val="single" w:sz="4" w:space="0" w:color="auto"/>
              <w:left w:val="nil"/>
              <w:bottom w:val="single" w:sz="4" w:space="0" w:color="auto"/>
              <w:right w:val="nil"/>
            </w:tcBorders>
            <w:shd w:val="clear" w:color="auto" w:fill="auto"/>
            <w:hideMark/>
          </w:tcPr>
          <w:p w14:paraId="774E41E3" w14:textId="77777777" w:rsidR="001069E7" w:rsidRPr="001069E7" w:rsidRDefault="001069E7" w:rsidP="00E04666">
            <w:pPr>
              <w:spacing w:line="276" w:lineRule="auto"/>
              <w:jc w:val="center"/>
              <w:rPr>
                <w:b/>
                <w:bCs/>
                <w:color w:val="000000" w:themeColor="text1"/>
                <w:sz w:val="22"/>
                <w:szCs w:val="22"/>
              </w:rPr>
            </w:pPr>
            <w:r w:rsidRPr="001069E7">
              <w:rPr>
                <w:b/>
                <w:bCs/>
                <w:color w:val="000000" w:themeColor="text1"/>
                <w:sz w:val="22"/>
                <w:szCs w:val="22"/>
              </w:rPr>
              <w:t>%</w:t>
            </w:r>
          </w:p>
        </w:tc>
        <w:tc>
          <w:tcPr>
            <w:tcW w:w="1960" w:type="pct"/>
            <w:tcBorders>
              <w:top w:val="single" w:sz="4" w:space="0" w:color="auto"/>
              <w:left w:val="nil"/>
              <w:bottom w:val="single" w:sz="4" w:space="0" w:color="auto"/>
              <w:right w:val="nil"/>
            </w:tcBorders>
            <w:shd w:val="clear" w:color="auto" w:fill="auto"/>
            <w:hideMark/>
          </w:tcPr>
          <w:p w14:paraId="67AE29F4" w14:textId="67D47EEE" w:rsidR="001069E7" w:rsidRPr="001069E7" w:rsidRDefault="001069E7" w:rsidP="00E04666">
            <w:pPr>
              <w:spacing w:line="276" w:lineRule="auto"/>
              <w:jc w:val="center"/>
              <w:textAlignment w:val="baseline"/>
              <w:rPr>
                <w:b/>
                <w:bCs/>
                <w:color w:val="000000" w:themeColor="text1"/>
                <w:sz w:val="22"/>
                <w:szCs w:val="22"/>
              </w:rPr>
            </w:pPr>
            <w:proofErr w:type="spellStart"/>
            <w:r w:rsidRPr="001069E7">
              <w:rPr>
                <w:b/>
                <w:bCs/>
                <w:color w:val="000000" w:themeColor="text1"/>
                <w:sz w:val="22"/>
                <w:szCs w:val="22"/>
              </w:rPr>
              <w:t>Valência</w:t>
            </w:r>
            <w:proofErr w:type="spellEnd"/>
            <w:r w:rsidRPr="001069E7">
              <w:rPr>
                <w:b/>
                <w:bCs/>
                <w:i/>
                <w:color w:val="000000" w:themeColor="text1"/>
                <w:sz w:val="22"/>
                <w:szCs w:val="22"/>
              </w:rPr>
              <w:t xml:space="preserve"> M</w:t>
            </w:r>
            <w:r w:rsidRPr="001069E7">
              <w:rPr>
                <w:b/>
                <w:bCs/>
                <w:color w:val="000000" w:themeColor="text1"/>
                <w:sz w:val="22"/>
                <w:szCs w:val="22"/>
              </w:rPr>
              <w:t xml:space="preserve"> (</w:t>
            </w:r>
            <w:r w:rsidRPr="001069E7">
              <w:rPr>
                <w:b/>
                <w:bCs/>
                <w:i/>
                <w:color w:val="000000" w:themeColor="text1"/>
                <w:sz w:val="22"/>
                <w:szCs w:val="22"/>
              </w:rPr>
              <w:t>DP</w:t>
            </w:r>
            <w:r w:rsidRPr="001069E7">
              <w:rPr>
                <w:b/>
                <w:bCs/>
                <w:color w:val="000000" w:themeColor="text1"/>
                <w:sz w:val="22"/>
                <w:szCs w:val="22"/>
              </w:rPr>
              <w:t>)</w:t>
            </w:r>
          </w:p>
        </w:tc>
      </w:tr>
      <w:tr w:rsidR="001069E7" w:rsidRPr="001069E7" w14:paraId="35018AB9" w14:textId="77777777" w:rsidTr="001069E7">
        <w:trPr>
          <w:trHeight w:val="171"/>
          <w:jc w:val="center"/>
        </w:trPr>
        <w:tc>
          <w:tcPr>
            <w:tcW w:w="2702" w:type="pct"/>
            <w:tcBorders>
              <w:top w:val="single" w:sz="4" w:space="0" w:color="auto"/>
              <w:left w:val="nil"/>
              <w:bottom w:val="nil"/>
              <w:right w:val="nil"/>
            </w:tcBorders>
            <w:shd w:val="clear" w:color="auto" w:fill="auto"/>
            <w:hideMark/>
          </w:tcPr>
          <w:p w14:paraId="65534D89" w14:textId="77777777" w:rsidR="001069E7" w:rsidRPr="001069E7" w:rsidRDefault="001069E7" w:rsidP="00E04666">
            <w:pPr>
              <w:pStyle w:val="Prrafodelista"/>
              <w:jc w:val="center"/>
              <w:textAlignment w:val="baseline"/>
              <w:rPr>
                <w:rFonts w:ascii="Times New Roman" w:hAnsi="Times New Roman" w:cs="Times New Roman"/>
              </w:rPr>
            </w:pPr>
            <w:r w:rsidRPr="001069E7">
              <w:rPr>
                <w:rFonts w:ascii="Times New Roman" w:hAnsi="Times New Roman" w:cs="Times New Roman"/>
                <w:color w:val="000000" w:themeColor="text1"/>
              </w:rPr>
              <w:t>Salazar</w:t>
            </w:r>
          </w:p>
        </w:tc>
        <w:tc>
          <w:tcPr>
            <w:tcW w:w="338" w:type="pct"/>
            <w:tcBorders>
              <w:top w:val="single" w:sz="4" w:space="0" w:color="auto"/>
              <w:left w:val="nil"/>
              <w:bottom w:val="nil"/>
              <w:right w:val="nil"/>
            </w:tcBorders>
            <w:shd w:val="clear" w:color="auto" w:fill="auto"/>
            <w:hideMark/>
          </w:tcPr>
          <w:p w14:paraId="47D26087" w14:textId="77777777" w:rsidR="001069E7" w:rsidRPr="001069E7" w:rsidRDefault="001069E7" w:rsidP="00E04666">
            <w:pPr>
              <w:spacing w:line="276" w:lineRule="auto"/>
              <w:jc w:val="center"/>
              <w:textAlignment w:val="baseline"/>
              <w:rPr>
                <w:color w:val="000000" w:themeColor="text1"/>
                <w:sz w:val="22"/>
                <w:szCs w:val="22"/>
              </w:rPr>
            </w:pPr>
            <w:r w:rsidRPr="001069E7">
              <w:rPr>
                <w:color w:val="000000" w:themeColor="text1"/>
                <w:sz w:val="22"/>
                <w:szCs w:val="22"/>
              </w:rPr>
              <w:t>82,9</w:t>
            </w:r>
          </w:p>
        </w:tc>
        <w:tc>
          <w:tcPr>
            <w:tcW w:w="1960" w:type="pct"/>
            <w:tcBorders>
              <w:top w:val="single" w:sz="4" w:space="0" w:color="auto"/>
              <w:left w:val="nil"/>
              <w:bottom w:val="nil"/>
              <w:right w:val="nil"/>
            </w:tcBorders>
            <w:shd w:val="clear" w:color="auto" w:fill="auto"/>
            <w:hideMark/>
          </w:tcPr>
          <w:p w14:paraId="6CCDFA20" w14:textId="77777777" w:rsidR="001069E7" w:rsidRPr="001069E7" w:rsidRDefault="001069E7" w:rsidP="00E04666">
            <w:pPr>
              <w:spacing w:line="276" w:lineRule="auto"/>
              <w:jc w:val="center"/>
              <w:textAlignment w:val="baseline"/>
              <w:rPr>
                <w:color w:val="000000" w:themeColor="text1"/>
                <w:sz w:val="22"/>
                <w:szCs w:val="22"/>
              </w:rPr>
            </w:pPr>
            <w:r w:rsidRPr="001069E7">
              <w:rPr>
                <w:color w:val="000000" w:themeColor="text1"/>
                <w:sz w:val="22"/>
                <w:szCs w:val="22"/>
              </w:rPr>
              <w:t>2,47 (1,47)</w:t>
            </w:r>
          </w:p>
        </w:tc>
      </w:tr>
      <w:tr w:rsidR="001069E7" w:rsidRPr="001069E7" w14:paraId="776FEDAE" w14:textId="77777777" w:rsidTr="001069E7">
        <w:trPr>
          <w:trHeight w:val="273"/>
          <w:jc w:val="center"/>
        </w:trPr>
        <w:tc>
          <w:tcPr>
            <w:tcW w:w="2702" w:type="pct"/>
            <w:tcBorders>
              <w:top w:val="nil"/>
              <w:left w:val="nil"/>
              <w:bottom w:val="nil"/>
              <w:right w:val="nil"/>
            </w:tcBorders>
            <w:shd w:val="clear" w:color="auto" w:fill="auto"/>
            <w:hideMark/>
          </w:tcPr>
          <w:p w14:paraId="1733A0AB" w14:textId="77777777" w:rsidR="001069E7" w:rsidRPr="001069E7" w:rsidRDefault="001069E7" w:rsidP="00E04666">
            <w:pPr>
              <w:pStyle w:val="Prrafodelista"/>
              <w:jc w:val="center"/>
              <w:textAlignment w:val="baseline"/>
              <w:rPr>
                <w:rFonts w:ascii="Times New Roman" w:hAnsi="Times New Roman" w:cs="Times New Roman"/>
                <w:color w:val="000000" w:themeColor="text1"/>
              </w:rPr>
            </w:pPr>
            <w:r w:rsidRPr="001069E7">
              <w:rPr>
                <w:rFonts w:ascii="Times New Roman" w:hAnsi="Times New Roman" w:cs="Times New Roman"/>
                <w:color w:val="000000" w:themeColor="text1"/>
              </w:rPr>
              <w:t xml:space="preserve">D. </w:t>
            </w:r>
            <w:proofErr w:type="spellStart"/>
            <w:r w:rsidRPr="001069E7">
              <w:rPr>
                <w:rFonts w:ascii="Times New Roman" w:hAnsi="Times New Roman" w:cs="Times New Roman"/>
                <w:color w:val="000000" w:themeColor="text1"/>
              </w:rPr>
              <w:t>Afonso</w:t>
            </w:r>
            <w:proofErr w:type="spellEnd"/>
            <w:r w:rsidRPr="001069E7">
              <w:rPr>
                <w:rFonts w:ascii="Times New Roman" w:hAnsi="Times New Roman" w:cs="Times New Roman"/>
                <w:color w:val="000000" w:themeColor="text1"/>
              </w:rPr>
              <w:t xml:space="preserve"> </w:t>
            </w:r>
            <w:proofErr w:type="spellStart"/>
            <w:r w:rsidRPr="001069E7">
              <w:rPr>
                <w:rFonts w:ascii="Times New Roman" w:hAnsi="Times New Roman" w:cs="Times New Roman"/>
                <w:color w:val="000000" w:themeColor="text1"/>
              </w:rPr>
              <w:t>Henriques</w:t>
            </w:r>
            <w:proofErr w:type="spellEnd"/>
          </w:p>
        </w:tc>
        <w:tc>
          <w:tcPr>
            <w:tcW w:w="338" w:type="pct"/>
            <w:tcBorders>
              <w:top w:val="nil"/>
              <w:left w:val="nil"/>
              <w:bottom w:val="nil"/>
              <w:right w:val="nil"/>
            </w:tcBorders>
            <w:shd w:val="clear" w:color="auto" w:fill="auto"/>
            <w:hideMark/>
          </w:tcPr>
          <w:p w14:paraId="32A78236" w14:textId="77777777" w:rsidR="001069E7" w:rsidRPr="001069E7" w:rsidRDefault="001069E7" w:rsidP="00E04666">
            <w:pPr>
              <w:spacing w:line="276" w:lineRule="auto"/>
              <w:jc w:val="center"/>
              <w:textAlignment w:val="baseline"/>
              <w:rPr>
                <w:color w:val="000000" w:themeColor="text1"/>
                <w:sz w:val="22"/>
                <w:szCs w:val="22"/>
              </w:rPr>
            </w:pPr>
            <w:r w:rsidRPr="001069E7">
              <w:rPr>
                <w:color w:val="000000" w:themeColor="text1"/>
                <w:sz w:val="22"/>
                <w:szCs w:val="22"/>
              </w:rPr>
              <w:t>78,0</w:t>
            </w:r>
          </w:p>
        </w:tc>
        <w:tc>
          <w:tcPr>
            <w:tcW w:w="1960" w:type="pct"/>
            <w:tcBorders>
              <w:top w:val="nil"/>
              <w:left w:val="nil"/>
              <w:bottom w:val="nil"/>
              <w:right w:val="nil"/>
            </w:tcBorders>
            <w:shd w:val="clear" w:color="auto" w:fill="auto"/>
            <w:hideMark/>
          </w:tcPr>
          <w:p w14:paraId="5F3B0D09" w14:textId="77777777" w:rsidR="001069E7" w:rsidRPr="001069E7" w:rsidRDefault="001069E7" w:rsidP="00E04666">
            <w:pPr>
              <w:spacing w:line="276" w:lineRule="auto"/>
              <w:jc w:val="center"/>
              <w:textAlignment w:val="baseline"/>
              <w:rPr>
                <w:color w:val="000000" w:themeColor="text1"/>
                <w:sz w:val="22"/>
                <w:szCs w:val="22"/>
              </w:rPr>
            </w:pPr>
            <w:r w:rsidRPr="001069E7">
              <w:rPr>
                <w:color w:val="000000" w:themeColor="text1"/>
                <w:sz w:val="22"/>
                <w:szCs w:val="22"/>
              </w:rPr>
              <w:t>6,27 (0,81)</w:t>
            </w:r>
          </w:p>
        </w:tc>
      </w:tr>
      <w:tr w:rsidR="001069E7" w:rsidRPr="001069E7" w14:paraId="55AB6A58" w14:textId="77777777" w:rsidTr="001069E7">
        <w:trPr>
          <w:trHeight w:val="273"/>
          <w:jc w:val="center"/>
        </w:trPr>
        <w:tc>
          <w:tcPr>
            <w:tcW w:w="2702" w:type="pct"/>
            <w:tcBorders>
              <w:top w:val="nil"/>
              <w:left w:val="nil"/>
              <w:bottom w:val="nil"/>
              <w:right w:val="nil"/>
            </w:tcBorders>
            <w:shd w:val="clear" w:color="auto" w:fill="auto"/>
            <w:hideMark/>
          </w:tcPr>
          <w:p w14:paraId="1BFE1D21" w14:textId="77777777" w:rsidR="001069E7" w:rsidRPr="001069E7" w:rsidRDefault="001069E7" w:rsidP="00E04666">
            <w:pPr>
              <w:pStyle w:val="Prrafodelista"/>
              <w:jc w:val="center"/>
              <w:textAlignment w:val="baseline"/>
              <w:rPr>
                <w:rFonts w:ascii="Times New Roman" w:hAnsi="Times New Roman" w:cs="Times New Roman"/>
                <w:color w:val="000000" w:themeColor="text1"/>
              </w:rPr>
            </w:pPr>
            <w:proofErr w:type="spellStart"/>
            <w:r w:rsidRPr="001069E7">
              <w:rPr>
                <w:rFonts w:ascii="Times New Roman" w:hAnsi="Times New Roman" w:cs="Times New Roman"/>
                <w:color w:val="000000" w:themeColor="text1"/>
              </w:rPr>
              <w:t>Camões</w:t>
            </w:r>
            <w:proofErr w:type="spellEnd"/>
          </w:p>
        </w:tc>
        <w:tc>
          <w:tcPr>
            <w:tcW w:w="338" w:type="pct"/>
            <w:tcBorders>
              <w:top w:val="nil"/>
              <w:left w:val="nil"/>
              <w:bottom w:val="nil"/>
              <w:right w:val="nil"/>
            </w:tcBorders>
            <w:shd w:val="clear" w:color="auto" w:fill="auto"/>
            <w:hideMark/>
          </w:tcPr>
          <w:p w14:paraId="7EB04AA2" w14:textId="77777777" w:rsidR="001069E7" w:rsidRPr="001069E7" w:rsidRDefault="001069E7" w:rsidP="00E04666">
            <w:pPr>
              <w:spacing w:line="276" w:lineRule="auto"/>
              <w:jc w:val="center"/>
              <w:textAlignment w:val="baseline"/>
              <w:rPr>
                <w:color w:val="000000" w:themeColor="text1"/>
                <w:sz w:val="22"/>
                <w:szCs w:val="22"/>
              </w:rPr>
            </w:pPr>
            <w:r w:rsidRPr="001069E7">
              <w:rPr>
                <w:color w:val="000000" w:themeColor="text1"/>
                <w:sz w:val="22"/>
                <w:szCs w:val="22"/>
              </w:rPr>
              <w:t>27,4</w:t>
            </w:r>
          </w:p>
        </w:tc>
        <w:tc>
          <w:tcPr>
            <w:tcW w:w="1960" w:type="pct"/>
            <w:tcBorders>
              <w:top w:val="nil"/>
              <w:left w:val="nil"/>
              <w:bottom w:val="nil"/>
              <w:right w:val="nil"/>
            </w:tcBorders>
            <w:shd w:val="clear" w:color="auto" w:fill="auto"/>
            <w:hideMark/>
          </w:tcPr>
          <w:p w14:paraId="4C2C2C46" w14:textId="77777777" w:rsidR="001069E7" w:rsidRPr="001069E7" w:rsidRDefault="001069E7" w:rsidP="00E04666">
            <w:pPr>
              <w:spacing w:line="276" w:lineRule="auto"/>
              <w:jc w:val="center"/>
              <w:textAlignment w:val="baseline"/>
              <w:rPr>
                <w:color w:val="000000" w:themeColor="text1"/>
                <w:sz w:val="22"/>
                <w:szCs w:val="22"/>
              </w:rPr>
            </w:pPr>
            <w:r w:rsidRPr="001069E7">
              <w:rPr>
                <w:color w:val="000000" w:themeColor="text1"/>
                <w:sz w:val="22"/>
                <w:szCs w:val="22"/>
              </w:rPr>
              <w:t>6,60 (0,69)</w:t>
            </w:r>
          </w:p>
        </w:tc>
      </w:tr>
      <w:tr w:rsidR="001069E7" w:rsidRPr="001069E7" w14:paraId="7C572AAD" w14:textId="77777777" w:rsidTr="001069E7">
        <w:trPr>
          <w:trHeight w:val="273"/>
          <w:jc w:val="center"/>
        </w:trPr>
        <w:tc>
          <w:tcPr>
            <w:tcW w:w="2702" w:type="pct"/>
            <w:tcBorders>
              <w:top w:val="nil"/>
              <w:left w:val="nil"/>
              <w:bottom w:val="nil"/>
              <w:right w:val="nil"/>
            </w:tcBorders>
            <w:shd w:val="clear" w:color="auto" w:fill="auto"/>
            <w:hideMark/>
          </w:tcPr>
          <w:p w14:paraId="2C1BA7E8" w14:textId="77777777" w:rsidR="001069E7" w:rsidRPr="001069E7" w:rsidRDefault="001069E7" w:rsidP="00E04666">
            <w:pPr>
              <w:pStyle w:val="Prrafodelista"/>
              <w:jc w:val="center"/>
              <w:textAlignment w:val="baseline"/>
              <w:rPr>
                <w:rFonts w:ascii="Times New Roman" w:hAnsi="Times New Roman" w:cs="Times New Roman"/>
                <w:color w:val="000000" w:themeColor="text1"/>
              </w:rPr>
            </w:pPr>
            <w:r w:rsidRPr="001069E7">
              <w:rPr>
                <w:rFonts w:ascii="Times New Roman" w:hAnsi="Times New Roman" w:cs="Times New Roman"/>
                <w:color w:val="000000" w:themeColor="text1"/>
              </w:rPr>
              <w:t>Fernando Pessoa</w:t>
            </w:r>
          </w:p>
        </w:tc>
        <w:tc>
          <w:tcPr>
            <w:tcW w:w="338" w:type="pct"/>
            <w:tcBorders>
              <w:top w:val="nil"/>
              <w:left w:val="nil"/>
              <w:bottom w:val="nil"/>
              <w:right w:val="nil"/>
            </w:tcBorders>
            <w:shd w:val="clear" w:color="auto" w:fill="auto"/>
            <w:hideMark/>
          </w:tcPr>
          <w:p w14:paraId="3C054560" w14:textId="77777777" w:rsidR="001069E7" w:rsidRPr="001069E7" w:rsidRDefault="001069E7" w:rsidP="00E04666">
            <w:pPr>
              <w:spacing w:line="276" w:lineRule="auto"/>
              <w:jc w:val="center"/>
              <w:textAlignment w:val="baseline"/>
              <w:rPr>
                <w:color w:val="000000" w:themeColor="text1"/>
                <w:sz w:val="22"/>
                <w:szCs w:val="22"/>
              </w:rPr>
            </w:pPr>
            <w:r w:rsidRPr="001069E7">
              <w:rPr>
                <w:color w:val="000000" w:themeColor="text1"/>
                <w:sz w:val="22"/>
                <w:szCs w:val="22"/>
              </w:rPr>
              <w:t>20,1</w:t>
            </w:r>
          </w:p>
        </w:tc>
        <w:tc>
          <w:tcPr>
            <w:tcW w:w="1960" w:type="pct"/>
            <w:tcBorders>
              <w:top w:val="nil"/>
              <w:left w:val="nil"/>
              <w:bottom w:val="nil"/>
              <w:right w:val="nil"/>
            </w:tcBorders>
            <w:shd w:val="clear" w:color="auto" w:fill="auto"/>
            <w:hideMark/>
          </w:tcPr>
          <w:p w14:paraId="31434267" w14:textId="77777777" w:rsidR="001069E7" w:rsidRPr="001069E7" w:rsidRDefault="001069E7" w:rsidP="00E04666">
            <w:pPr>
              <w:spacing w:line="276" w:lineRule="auto"/>
              <w:jc w:val="center"/>
              <w:textAlignment w:val="baseline"/>
              <w:rPr>
                <w:color w:val="000000" w:themeColor="text1"/>
                <w:sz w:val="22"/>
                <w:szCs w:val="22"/>
              </w:rPr>
            </w:pPr>
            <w:r w:rsidRPr="001069E7">
              <w:rPr>
                <w:color w:val="000000" w:themeColor="text1"/>
                <w:sz w:val="22"/>
                <w:szCs w:val="22"/>
              </w:rPr>
              <w:t>6,80 (0,40)</w:t>
            </w:r>
          </w:p>
        </w:tc>
      </w:tr>
      <w:tr w:rsidR="001069E7" w:rsidRPr="001069E7" w14:paraId="575AA855" w14:textId="77777777" w:rsidTr="001069E7">
        <w:trPr>
          <w:trHeight w:val="273"/>
          <w:jc w:val="center"/>
        </w:trPr>
        <w:tc>
          <w:tcPr>
            <w:tcW w:w="2702" w:type="pct"/>
            <w:tcBorders>
              <w:top w:val="nil"/>
              <w:left w:val="nil"/>
              <w:bottom w:val="nil"/>
              <w:right w:val="nil"/>
            </w:tcBorders>
            <w:shd w:val="clear" w:color="auto" w:fill="auto"/>
            <w:hideMark/>
          </w:tcPr>
          <w:p w14:paraId="370D3711" w14:textId="77777777" w:rsidR="001069E7" w:rsidRPr="001069E7" w:rsidRDefault="001069E7" w:rsidP="00E04666">
            <w:pPr>
              <w:pStyle w:val="Prrafodelista"/>
              <w:jc w:val="center"/>
              <w:textAlignment w:val="baseline"/>
              <w:rPr>
                <w:rFonts w:ascii="Times New Roman" w:hAnsi="Times New Roman" w:cs="Times New Roman"/>
                <w:color w:val="000000" w:themeColor="text1"/>
              </w:rPr>
            </w:pPr>
            <w:r w:rsidRPr="001069E7">
              <w:rPr>
                <w:rFonts w:ascii="Times New Roman" w:hAnsi="Times New Roman" w:cs="Times New Roman"/>
                <w:color w:val="000000" w:themeColor="text1"/>
              </w:rPr>
              <w:t>Vasco da Gama</w:t>
            </w:r>
          </w:p>
        </w:tc>
        <w:tc>
          <w:tcPr>
            <w:tcW w:w="338" w:type="pct"/>
            <w:tcBorders>
              <w:top w:val="nil"/>
              <w:left w:val="nil"/>
              <w:bottom w:val="nil"/>
              <w:right w:val="nil"/>
            </w:tcBorders>
            <w:shd w:val="clear" w:color="auto" w:fill="auto"/>
            <w:hideMark/>
          </w:tcPr>
          <w:p w14:paraId="110669B6" w14:textId="77777777" w:rsidR="001069E7" w:rsidRPr="001069E7" w:rsidRDefault="001069E7" w:rsidP="00E04666">
            <w:pPr>
              <w:spacing w:line="276" w:lineRule="auto"/>
              <w:jc w:val="center"/>
              <w:textAlignment w:val="baseline"/>
              <w:rPr>
                <w:color w:val="000000" w:themeColor="text1"/>
                <w:sz w:val="22"/>
                <w:szCs w:val="22"/>
              </w:rPr>
            </w:pPr>
            <w:r w:rsidRPr="001069E7">
              <w:rPr>
                <w:color w:val="000000" w:themeColor="text1"/>
                <w:sz w:val="22"/>
                <w:szCs w:val="22"/>
              </w:rPr>
              <w:t>18,9</w:t>
            </w:r>
          </w:p>
        </w:tc>
        <w:tc>
          <w:tcPr>
            <w:tcW w:w="1960" w:type="pct"/>
            <w:tcBorders>
              <w:top w:val="nil"/>
              <w:left w:val="nil"/>
              <w:bottom w:val="nil"/>
              <w:right w:val="nil"/>
            </w:tcBorders>
            <w:shd w:val="clear" w:color="auto" w:fill="auto"/>
            <w:hideMark/>
          </w:tcPr>
          <w:p w14:paraId="3E121920" w14:textId="77777777" w:rsidR="001069E7" w:rsidRPr="001069E7" w:rsidRDefault="001069E7" w:rsidP="00E04666">
            <w:pPr>
              <w:spacing w:line="276" w:lineRule="auto"/>
              <w:jc w:val="center"/>
              <w:textAlignment w:val="baseline"/>
              <w:rPr>
                <w:color w:val="000000" w:themeColor="text1"/>
                <w:sz w:val="22"/>
                <w:szCs w:val="22"/>
              </w:rPr>
            </w:pPr>
            <w:r w:rsidRPr="001069E7">
              <w:rPr>
                <w:color w:val="000000" w:themeColor="text1"/>
                <w:sz w:val="22"/>
                <w:szCs w:val="22"/>
              </w:rPr>
              <w:t>6,58 (0,56)</w:t>
            </w:r>
          </w:p>
        </w:tc>
      </w:tr>
      <w:tr w:rsidR="001069E7" w:rsidRPr="001069E7" w14:paraId="60C0D38D" w14:textId="77777777" w:rsidTr="001069E7">
        <w:trPr>
          <w:trHeight w:val="273"/>
          <w:jc w:val="center"/>
        </w:trPr>
        <w:tc>
          <w:tcPr>
            <w:tcW w:w="2702" w:type="pct"/>
            <w:tcBorders>
              <w:top w:val="nil"/>
              <w:left w:val="nil"/>
              <w:bottom w:val="nil"/>
              <w:right w:val="nil"/>
            </w:tcBorders>
            <w:shd w:val="clear" w:color="auto" w:fill="auto"/>
            <w:hideMark/>
          </w:tcPr>
          <w:p w14:paraId="4BF89833" w14:textId="77777777" w:rsidR="001069E7" w:rsidRPr="001069E7" w:rsidRDefault="001069E7" w:rsidP="00E04666">
            <w:pPr>
              <w:pStyle w:val="Prrafodelista"/>
              <w:jc w:val="center"/>
              <w:textAlignment w:val="baseline"/>
              <w:rPr>
                <w:rFonts w:ascii="Times New Roman" w:hAnsi="Times New Roman" w:cs="Times New Roman"/>
                <w:color w:val="000000" w:themeColor="text1"/>
              </w:rPr>
            </w:pPr>
            <w:proofErr w:type="spellStart"/>
            <w:r w:rsidRPr="001069E7">
              <w:rPr>
                <w:rFonts w:ascii="Times New Roman" w:hAnsi="Times New Roman" w:cs="Times New Roman"/>
                <w:color w:val="000000" w:themeColor="text1"/>
              </w:rPr>
              <w:t>Marquês</w:t>
            </w:r>
            <w:proofErr w:type="spellEnd"/>
            <w:r w:rsidRPr="001069E7">
              <w:rPr>
                <w:rFonts w:ascii="Times New Roman" w:hAnsi="Times New Roman" w:cs="Times New Roman"/>
                <w:color w:val="000000" w:themeColor="text1"/>
              </w:rPr>
              <w:t xml:space="preserve"> de </w:t>
            </w:r>
            <w:proofErr w:type="spellStart"/>
            <w:r w:rsidRPr="001069E7">
              <w:rPr>
                <w:rFonts w:ascii="Times New Roman" w:hAnsi="Times New Roman" w:cs="Times New Roman"/>
                <w:color w:val="000000" w:themeColor="text1"/>
              </w:rPr>
              <w:t>Pombal</w:t>
            </w:r>
            <w:proofErr w:type="spellEnd"/>
          </w:p>
        </w:tc>
        <w:tc>
          <w:tcPr>
            <w:tcW w:w="338" w:type="pct"/>
            <w:tcBorders>
              <w:top w:val="nil"/>
              <w:left w:val="nil"/>
              <w:bottom w:val="nil"/>
              <w:right w:val="nil"/>
            </w:tcBorders>
            <w:shd w:val="clear" w:color="auto" w:fill="auto"/>
            <w:hideMark/>
          </w:tcPr>
          <w:p w14:paraId="1AF3B5C5" w14:textId="77777777" w:rsidR="001069E7" w:rsidRPr="001069E7" w:rsidRDefault="001069E7" w:rsidP="00E04666">
            <w:pPr>
              <w:spacing w:line="276" w:lineRule="auto"/>
              <w:jc w:val="center"/>
              <w:textAlignment w:val="baseline"/>
              <w:rPr>
                <w:color w:val="000000" w:themeColor="text1"/>
                <w:sz w:val="22"/>
                <w:szCs w:val="22"/>
              </w:rPr>
            </w:pPr>
            <w:r w:rsidRPr="001069E7">
              <w:rPr>
                <w:color w:val="000000" w:themeColor="text1"/>
                <w:sz w:val="22"/>
                <w:szCs w:val="22"/>
              </w:rPr>
              <w:t>15,9</w:t>
            </w:r>
          </w:p>
        </w:tc>
        <w:tc>
          <w:tcPr>
            <w:tcW w:w="1960" w:type="pct"/>
            <w:tcBorders>
              <w:top w:val="nil"/>
              <w:left w:val="nil"/>
              <w:bottom w:val="nil"/>
              <w:right w:val="nil"/>
            </w:tcBorders>
            <w:shd w:val="clear" w:color="auto" w:fill="auto"/>
            <w:hideMark/>
          </w:tcPr>
          <w:p w14:paraId="129106DC" w14:textId="77777777" w:rsidR="001069E7" w:rsidRPr="001069E7" w:rsidRDefault="001069E7" w:rsidP="00E04666">
            <w:pPr>
              <w:spacing w:line="276" w:lineRule="auto"/>
              <w:jc w:val="center"/>
              <w:textAlignment w:val="baseline"/>
              <w:rPr>
                <w:color w:val="000000" w:themeColor="text1"/>
                <w:sz w:val="22"/>
                <w:szCs w:val="22"/>
              </w:rPr>
            </w:pPr>
            <w:r w:rsidRPr="001069E7">
              <w:rPr>
                <w:color w:val="000000" w:themeColor="text1"/>
                <w:sz w:val="22"/>
                <w:szCs w:val="22"/>
              </w:rPr>
              <w:t>5,79 (0,83)</w:t>
            </w:r>
          </w:p>
        </w:tc>
      </w:tr>
      <w:tr w:rsidR="001069E7" w:rsidRPr="001069E7" w14:paraId="1FFC3631" w14:textId="77777777" w:rsidTr="001069E7">
        <w:trPr>
          <w:trHeight w:val="273"/>
          <w:jc w:val="center"/>
        </w:trPr>
        <w:tc>
          <w:tcPr>
            <w:tcW w:w="2702" w:type="pct"/>
            <w:tcBorders>
              <w:top w:val="nil"/>
              <w:left w:val="nil"/>
              <w:bottom w:val="nil"/>
              <w:right w:val="nil"/>
            </w:tcBorders>
            <w:shd w:val="clear" w:color="auto" w:fill="auto"/>
            <w:hideMark/>
          </w:tcPr>
          <w:p w14:paraId="6080B9D0" w14:textId="77777777" w:rsidR="001069E7" w:rsidRPr="001069E7" w:rsidRDefault="001069E7" w:rsidP="00E04666">
            <w:pPr>
              <w:pStyle w:val="Prrafodelista"/>
              <w:jc w:val="center"/>
              <w:textAlignment w:val="baseline"/>
              <w:rPr>
                <w:rFonts w:ascii="Times New Roman" w:hAnsi="Times New Roman" w:cs="Times New Roman"/>
                <w:color w:val="000000" w:themeColor="text1"/>
              </w:rPr>
            </w:pPr>
            <w:r w:rsidRPr="001069E7">
              <w:rPr>
                <w:rFonts w:ascii="Times New Roman" w:hAnsi="Times New Roman" w:cs="Times New Roman"/>
                <w:color w:val="000000" w:themeColor="text1"/>
              </w:rPr>
              <w:t>Saramago</w:t>
            </w:r>
          </w:p>
        </w:tc>
        <w:tc>
          <w:tcPr>
            <w:tcW w:w="338" w:type="pct"/>
            <w:tcBorders>
              <w:top w:val="nil"/>
              <w:left w:val="nil"/>
              <w:bottom w:val="nil"/>
              <w:right w:val="nil"/>
            </w:tcBorders>
            <w:shd w:val="clear" w:color="auto" w:fill="auto"/>
            <w:hideMark/>
          </w:tcPr>
          <w:p w14:paraId="4565487D" w14:textId="77777777" w:rsidR="001069E7" w:rsidRPr="001069E7" w:rsidRDefault="001069E7" w:rsidP="00E04666">
            <w:pPr>
              <w:spacing w:line="276" w:lineRule="auto"/>
              <w:jc w:val="center"/>
              <w:textAlignment w:val="baseline"/>
              <w:rPr>
                <w:color w:val="000000" w:themeColor="text1"/>
                <w:sz w:val="22"/>
                <w:szCs w:val="22"/>
              </w:rPr>
            </w:pPr>
            <w:r w:rsidRPr="001069E7">
              <w:rPr>
                <w:color w:val="000000" w:themeColor="text1"/>
                <w:sz w:val="22"/>
                <w:szCs w:val="22"/>
              </w:rPr>
              <w:t>14,0</w:t>
            </w:r>
          </w:p>
        </w:tc>
        <w:tc>
          <w:tcPr>
            <w:tcW w:w="1960" w:type="pct"/>
            <w:tcBorders>
              <w:top w:val="nil"/>
              <w:left w:val="nil"/>
              <w:bottom w:val="nil"/>
              <w:right w:val="nil"/>
            </w:tcBorders>
            <w:shd w:val="clear" w:color="auto" w:fill="auto"/>
            <w:hideMark/>
          </w:tcPr>
          <w:p w14:paraId="599ABAC6" w14:textId="77777777" w:rsidR="001069E7" w:rsidRPr="001069E7" w:rsidRDefault="001069E7" w:rsidP="00E04666">
            <w:pPr>
              <w:spacing w:line="276" w:lineRule="auto"/>
              <w:jc w:val="center"/>
              <w:textAlignment w:val="baseline"/>
              <w:rPr>
                <w:color w:val="000000" w:themeColor="text1"/>
                <w:sz w:val="22"/>
                <w:szCs w:val="22"/>
              </w:rPr>
            </w:pPr>
            <w:r w:rsidRPr="001069E7">
              <w:rPr>
                <w:color w:val="000000" w:themeColor="text1"/>
                <w:sz w:val="22"/>
                <w:szCs w:val="22"/>
              </w:rPr>
              <w:t>6,33 (1,31)</w:t>
            </w:r>
          </w:p>
        </w:tc>
      </w:tr>
      <w:tr w:rsidR="001069E7" w:rsidRPr="001069E7" w14:paraId="00E98959" w14:textId="77777777" w:rsidTr="001069E7">
        <w:trPr>
          <w:trHeight w:val="273"/>
          <w:jc w:val="center"/>
        </w:trPr>
        <w:tc>
          <w:tcPr>
            <w:tcW w:w="2702" w:type="pct"/>
            <w:tcBorders>
              <w:top w:val="nil"/>
              <w:left w:val="nil"/>
              <w:bottom w:val="nil"/>
              <w:right w:val="nil"/>
            </w:tcBorders>
            <w:shd w:val="clear" w:color="auto" w:fill="auto"/>
            <w:hideMark/>
          </w:tcPr>
          <w:p w14:paraId="29B7BDBC" w14:textId="77777777" w:rsidR="001069E7" w:rsidRPr="001069E7" w:rsidRDefault="001069E7" w:rsidP="00E04666">
            <w:pPr>
              <w:pStyle w:val="Prrafodelista"/>
              <w:jc w:val="center"/>
              <w:textAlignment w:val="baseline"/>
              <w:rPr>
                <w:rFonts w:ascii="Times New Roman" w:hAnsi="Times New Roman" w:cs="Times New Roman"/>
                <w:color w:val="000000" w:themeColor="text1"/>
              </w:rPr>
            </w:pPr>
            <w:r w:rsidRPr="001069E7">
              <w:rPr>
                <w:rFonts w:ascii="Times New Roman" w:hAnsi="Times New Roman" w:cs="Times New Roman"/>
                <w:color w:val="000000" w:themeColor="text1"/>
              </w:rPr>
              <w:t xml:space="preserve">D. </w:t>
            </w:r>
            <w:proofErr w:type="spellStart"/>
            <w:r w:rsidRPr="001069E7">
              <w:rPr>
                <w:rFonts w:ascii="Times New Roman" w:hAnsi="Times New Roman" w:cs="Times New Roman"/>
                <w:color w:val="000000" w:themeColor="text1"/>
              </w:rPr>
              <w:t>Dinis</w:t>
            </w:r>
            <w:proofErr w:type="spellEnd"/>
          </w:p>
        </w:tc>
        <w:tc>
          <w:tcPr>
            <w:tcW w:w="338" w:type="pct"/>
            <w:tcBorders>
              <w:top w:val="nil"/>
              <w:left w:val="nil"/>
              <w:bottom w:val="nil"/>
              <w:right w:val="nil"/>
            </w:tcBorders>
            <w:shd w:val="clear" w:color="auto" w:fill="auto"/>
            <w:hideMark/>
          </w:tcPr>
          <w:p w14:paraId="08F6972A" w14:textId="77777777" w:rsidR="001069E7" w:rsidRPr="001069E7" w:rsidRDefault="001069E7" w:rsidP="00E04666">
            <w:pPr>
              <w:spacing w:line="276" w:lineRule="auto"/>
              <w:jc w:val="center"/>
              <w:textAlignment w:val="baseline"/>
              <w:rPr>
                <w:color w:val="000000" w:themeColor="text1"/>
                <w:sz w:val="22"/>
                <w:szCs w:val="22"/>
              </w:rPr>
            </w:pPr>
            <w:r w:rsidRPr="001069E7">
              <w:rPr>
                <w:color w:val="000000" w:themeColor="text1"/>
                <w:sz w:val="22"/>
                <w:szCs w:val="22"/>
              </w:rPr>
              <w:t>12,8</w:t>
            </w:r>
          </w:p>
        </w:tc>
        <w:tc>
          <w:tcPr>
            <w:tcW w:w="1960" w:type="pct"/>
            <w:tcBorders>
              <w:top w:val="nil"/>
              <w:left w:val="nil"/>
              <w:bottom w:val="nil"/>
              <w:right w:val="nil"/>
            </w:tcBorders>
            <w:shd w:val="clear" w:color="auto" w:fill="auto"/>
            <w:hideMark/>
          </w:tcPr>
          <w:p w14:paraId="7711CCC5" w14:textId="77777777" w:rsidR="001069E7" w:rsidRPr="001069E7" w:rsidRDefault="001069E7" w:rsidP="00E04666">
            <w:pPr>
              <w:spacing w:line="276" w:lineRule="auto"/>
              <w:jc w:val="center"/>
              <w:textAlignment w:val="baseline"/>
              <w:rPr>
                <w:color w:val="000000" w:themeColor="text1"/>
                <w:sz w:val="22"/>
                <w:szCs w:val="22"/>
              </w:rPr>
            </w:pPr>
            <w:r w:rsidRPr="001069E7">
              <w:rPr>
                <w:color w:val="000000" w:themeColor="text1"/>
                <w:sz w:val="22"/>
                <w:szCs w:val="22"/>
              </w:rPr>
              <w:t>5,73 (0,93)</w:t>
            </w:r>
          </w:p>
        </w:tc>
      </w:tr>
      <w:tr w:rsidR="001069E7" w:rsidRPr="001069E7" w14:paraId="067AED98" w14:textId="77777777" w:rsidTr="001069E7">
        <w:trPr>
          <w:trHeight w:val="273"/>
          <w:jc w:val="center"/>
        </w:trPr>
        <w:tc>
          <w:tcPr>
            <w:tcW w:w="2702" w:type="pct"/>
            <w:tcBorders>
              <w:top w:val="nil"/>
              <w:left w:val="nil"/>
              <w:bottom w:val="nil"/>
              <w:right w:val="nil"/>
            </w:tcBorders>
            <w:shd w:val="clear" w:color="auto" w:fill="auto"/>
            <w:hideMark/>
          </w:tcPr>
          <w:p w14:paraId="1A46BE7A" w14:textId="77777777" w:rsidR="001069E7" w:rsidRPr="001069E7" w:rsidRDefault="001069E7" w:rsidP="00E04666">
            <w:pPr>
              <w:pStyle w:val="Prrafodelista"/>
              <w:jc w:val="center"/>
              <w:textAlignment w:val="baseline"/>
              <w:rPr>
                <w:rFonts w:ascii="Times New Roman" w:hAnsi="Times New Roman" w:cs="Times New Roman"/>
                <w:color w:val="000000" w:themeColor="text1"/>
              </w:rPr>
            </w:pPr>
            <w:r w:rsidRPr="001069E7">
              <w:rPr>
                <w:rFonts w:ascii="Times New Roman" w:hAnsi="Times New Roman" w:cs="Times New Roman"/>
                <w:color w:val="000000" w:themeColor="text1"/>
              </w:rPr>
              <w:t xml:space="preserve">Pedro </w:t>
            </w:r>
            <w:proofErr w:type="spellStart"/>
            <w:r w:rsidRPr="001069E7">
              <w:rPr>
                <w:rFonts w:ascii="Times New Roman" w:hAnsi="Times New Roman" w:cs="Times New Roman"/>
                <w:color w:val="000000" w:themeColor="text1"/>
              </w:rPr>
              <w:t>Álvares</w:t>
            </w:r>
            <w:proofErr w:type="spellEnd"/>
            <w:r w:rsidRPr="001069E7">
              <w:rPr>
                <w:rFonts w:ascii="Times New Roman" w:hAnsi="Times New Roman" w:cs="Times New Roman"/>
                <w:color w:val="000000" w:themeColor="text1"/>
              </w:rPr>
              <w:t xml:space="preserve"> Cabral</w:t>
            </w:r>
          </w:p>
        </w:tc>
        <w:tc>
          <w:tcPr>
            <w:tcW w:w="338" w:type="pct"/>
            <w:tcBorders>
              <w:top w:val="nil"/>
              <w:left w:val="nil"/>
              <w:bottom w:val="nil"/>
              <w:right w:val="nil"/>
            </w:tcBorders>
            <w:shd w:val="clear" w:color="auto" w:fill="auto"/>
            <w:hideMark/>
          </w:tcPr>
          <w:p w14:paraId="27060911" w14:textId="77777777" w:rsidR="001069E7" w:rsidRPr="001069E7" w:rsidRDefault="001069E7" w:rsidP="00E04666">
            <w:pPr>
              <w:spacing w:line="276" w:lineRule="auto"/>
              <w:jc w:val="center"/>
              <w:textAlignment w:val="baseline"/>
              <w:rPr>
                <w:color w:val="000000" w:themeColor="text1"/>
                <w:sz w:val="22"/>
                <w:szCs w:val="22"/>
              </w:rPr>
            </w:pPr>
            <w:r w:rsidRPr="001069E7">
              <w:rPr>
                <w:color w:val="000000" w:themeColor="text1"/>
                <w:sz w:val="22"/>
                <w:szCs w:val="22"/>
              </w:rPr>
              <w:t>11,6</w:t>
            </w:r>
          </w:p>
        </w:tc>
        <w:tc>
          <w:tcPr>
            <w:tcW w:w="1960" w:type="pct"/>
            <w:tcBorders>
              <w:top w:val="nil"/>
              <w:left w:val="nil"/>
              <w:bottom w:val="nil"/>
              <w:right w:val="nil"/>
            </w:tcBorders>
            <w:shd w:val="clear" w:color="auto" w:fill="auto"/>
            <w:hideMark/>
          </w:tcPr>
          <w:p w14:paraId="2D969FBD" w14:textId="77777777" w:rsidR="001069E7" w:rsidRPr="001069E7" w:rsidRDefault="001069E7" w:rsidP="00E04666">
            <w:pPr>
              <w:spacing w:line="276" w:lineRule="auto"/>
              <w:jc w:val="center"/>
              <w:textAlignment w:val="baseline"/>
              <w:rPr>
                <w:color w:val="000000" w:themeColor="text1"/>
                <w:sz w:val="22"/>
                <w:szCs w:val="22"/>
              </w:rPr>
            </w:pPr>
            <w:r w:rsidRPr="001069E7">
              <w:rPr>
                <w:color w:val="000000" w:themeColor="text1"/>
                <w:sz w:val="22"/>
                <w:szCs w:val="22"/>
              </w:rPr>
              <w:t>5,89 (1,45)</w:t>
            </w:r>
          </w:p>
        </w:tc>
      </w:tr>
      <w:tr w:rsidR="001069E7" w:rsidRPr="001069E7" w14:paraId="6808E253" w14:textId="77777777" w:rsidTr="001069E7">
        <w:trPr>
          <w:trHeight w:val="273"/>
          <w:jc w:val="center"/>
        </w:trPr>
        <w:tc>
          <w:tcPr>
            <w:tcW w:w="2702" w:type="pct"/>
            <w:tcBorders>
              <w:top w:val="nil"/>
              <w:left w:val="nil"/>
              <w:bottom w:val="single" w:sz="4" w:space="0" w:color="auto"/>
              <w:right w:val="nil"/>
            </w:tcBorders>
            <w:shd w:val="clear" w:color="auto" w:fill="auto"/>
            <w:hideMark/>
          </w:tcPr>
          <w:p w14:paraId="34F98678" w14:textId="77777777" w:rsidR="001069E7" w:rsidRPr="001069E7" w:rsidRDefault="001069E7" w:rsidP="00E04666">
            <w:pPr>
              <w:pStyle w:val="Prrafodelista"/>
              <w:jc w:val="center"/>
              <w:textAlignment w:val="baseline"/>
              <w:rPr>
                <w:rFonts w:ascii="Times New Roman" w:hAnsi="Times New Roman" w:cs="Times New Roman"/>
                <w:color w:val="000000" w:themeColor="text1"/>
              </w:rPr>
            </w:pPr>
            <w:proofErr w:type="spellStart"/>
            <w:r w:rsidRPr="001069E7">
              <w:rPr>
                <w:rFonts w:ascii="Times New Roman" w:hAnsi="Times New Roman" w:cs="Times New Roman"/>
                <w:color w:val="000000" w:themeColor="text1"/>
              </w:rPr>
              <w:t>Salgueiro</w:t>
            </w:r>
            <w:proofErr w:type="spellEnd"/>
            <w:r w:rsidRPr="001069E7">
              <w:rPr>
                <w:rFonts w:ascii="Times New Roman" w:hAnsi="Times New Roman" w:cs="Times New Roman"/>
                <w:color w:val="000000" w:themeColor="text1"/>
              </w:rPr>
              <w:t xml:space="preserve"> </w:t>
            </w:r>
            <w:proofErr w:type="spellStart"/>
            <w:r w:rsidRPr="001069E7">
              <w:rPr>
                <w:rFonts w:ascii="Times New Roman" w:hAnsi="Times New Roman" w:cs="Times New Roman"/>
                <w:color w:val="000000" w:themeColor="text1"/>
              </w:rPr>
              <w:t>Maia</w:t>
            </w:r>
            <w:proofErr w:type="spellEnd"/>
          </w:p>
        </w:tc>
        <w:tc>
          <w:tcPr>
            <w:tcW w:w="338" w:type="pct"/>
            <w:tcBorders>
              <w:top w:val="nil"/>
              <w:left w:val="nil"/>
              <w:bottom w:val="single" w:sz="4" w:space="0" w:color="auto"/>
              <w:right w:val="nil"/>
            </w:tcBorders>
            <w:shd w:val="clear" w:color="auto" w:fill="auto"/>
            <w:hideMark/>
          </w:tcPr>
          <w:p w14:paraId="63A88C29" w14:textId="77777777" w:rsidR="001069E7" w:rsidRPr="001069E7" w:rsidRDefault="001069E7" w:rsidP="00E04666">
            <w:pPr>
              <w:spacing w:line="276" w:lineRule="auto"/>
              <w:jc w:val="center"/>
              <w:textAlignment w:val="baseline"/>
              <w:rPr>
                <w:color w:val="000000" w:themeColor="text1"/>
                <w:sz w:val="22"/>
                <w:szCs w:val="22"/>
              </w:rPr>
            </w:pPr>
            <w:r w:rsidRPr="001069E7">
              <w:rPr>
                <w:color w:val="000000" w:themeColor="text1"/>
                <w:sz w:val="22"/>
                <w:szCs w:val="22"/>
              </w:rPr>
              <w:t>10,4</w:t>
            </w:r>
          </w:p>
        </w:tc>
        <w:tc>
          <w:tcPr>
            <w:tcW w:w="1960" w:type="pct"/>
            <w:tcBorders>
              <w:top w:val="nil"/>
              <w:left w:val="nil"/>
              <w:bottom w:val="single" w:sz="4" w:space="0" w:color="auto"/>
              <w:right w:val="nil"/>
            </w:tcBorders>
            <w:shd w:val="clear" w:color="auto" w:fill="auto"/>
            <w:hideMark/>
          </w:tcPr>
          <w:p w14:paraId="5415EBEE" w14:textId="77777777" w:rsidR="001069E7" w:rsidRPr="001069E7" w:rsidRDefault="001069E7" w:rsidP="00E04666">
            <w:pPr>
              <w:spacing w:line="276" w:lineRule="auto"/>
              <w:jc w:val="center"/>
              <w:textAlignment w:val="baseline"/>
              <w:rPr>
                <w:color w:val="000000" w:themeColor="text1"/>
                <w:sz w:val="22"/>
                <w:szCs w:val="22"/>
              </w:rPr>
            </w:pPr>
            <w:r w:rsidRPr="001069E7">
              <w:rPr>
                <w:color w:val="000000" w:themeColor="text1"/>
                <w:sz w:val="22"/>
                <w:szCs w:val="22"/>
              </w:rPr>
              <w:t>6,29 (0,91)</w:t>
            </w:r>
          </w:p>
        </w:tc>
      </w:tr>
    </w:tbl>
    <w:p w14:paraId="13D6949D" w14:textId="77777777" w:rsidR="001069E7" w:rsidRPr="001069E7" w:rsidRDefault="001069E7" w:rsidP="001069E7">
      <w:pPr>
        <w:pStyle w:val="Prrafocomn"/>
        <w:ind w:firstLine="0"/>
        <w:rPr>
          <w:lang w:val="pt-PT" w:eastAsia="en-US"/>
        </w:rPr>
      </w:pPr>
      <w:r w:rsidRPr="001069E7">
        <w:rPr>
          <w:i/>
          <w:iCs/>
          <w:lang w:val="pt-PT" w:eastAsia="en-US"/>
        </w:rPr>
        <w:t>Nota</w:t>
      </w:r>
      <w:r w:rsidRPr="001069E7">
        <w:rPr>
          <w:lang w:val="pt-PT" w:eastAsia="en-US"/>
        </w:rPr>
        <w:t xml:space="preserve">. </w:t>
      </w:r>
      <w:r w:rsidRPr="001069E7">
        <w:rPr>
          <w:i/>
          <w:iCs/>
          <w:lang w:val="pt-PT" w:eastAsia="en-US"/>
        </w:rPr>
        <w:t>%</w:t>
      </w:r>
      <w:r w:rsidRPr="001069E7">
        <w:rPr>
          <w:lang w:val="pt-PT" w:eastAsia="en-US"/>
        </w:rPr>
        <w:t xml:space="preserve"> = percentual de participantes que espontaneamente evocaram a personalidade, </w:t>
      </w:r>
      <w:r w:rsidRPr="001069E7">
        <w:rPr>
          <w:i/>
          <w:iCs/>
          <w:lang w:val="pt-PT" w:eastAsia="en-US"/>
        </w:rPr>
        <w:t>M</w:t>
      </w:r>
      <w:r w:rsidRPr="001069E7">
        <w:rPr>
          <w:lang w:val="pt-PT" w:eastAsia="en-US"/>
        </w:rPr>
        <w:t xml:space="preserve"> = Média e </w:t>
      </w:r>
      <w:r w:rsidRPr="001069E7">
        <w:rPr>
          <w:i/>
          <w:iCs/>
          <w:lang w:val="pt-PT" w:eastAsia="en-US"/>
        </w:rPr>
        <w:t>DP</w:t>
      </w:r>
      <w:r w:rsidRPr="001069E7">
        <w:rPr>
          <w:lang w:val="pt-PT" w:eastAsia="en-US"/>
        </w:rPr>
        <w:t xml:space="preserve"> = Desvio-Padrão. </w:t>
      </w:r>
    </w:p>
    <w:p w14:paraId="45080C15" w14:textId="77777777" w:rsidR="001069E7" w:rsidRPr="001069E7" w:rsidRDefault="001069E7" w:rsidP="001069E7">
      <w:pPr>
        <w:pStyle w:val="Prrafocomn"/>
        <w:rPr>
          <w:lang w:val="pt-PT" w:eastAsia="en-US"/>
        </w:rPr>
      </w:pPr>
      <w:r w:rsidRPr="001069E7">
        <w:rPr>
          <w:lang w:val="pt-PT" w:eastAsia="en-US"/>
        </w:rPr>
        <w:t>À semelhança dos estudos realizados anteriormente em Portugal, Salazar, promotor da mais longa ditadura da Europa ocidental no século XX, ocupa o topo da tabela. Em geral, os participantes avaliaram positivamente o impacto das personalidades mais frequentemente evocadas, com exceção de Salazar percepcionado de forma mais negativa (</w:t>
      </w:r>
      <w:r w:rsidRPr="001069E7">
        <w:rPr>
          <w:i/>
          <w:iCs/>
          <w:lang w:val="pt-PT" w:eastAsia="en-US"/>
        </w:rPr>
        <w:t>M</w:t>
      </w:r>
      <w:r w:rsidRPr="001069E7">
        <w:rPr>
          <w:lang w:val="pt-PT" w:eastAsia="en-US"/>
        </w:rPr>
        <w:t xml:space="preserve">=2,47; </w:t>
      </w:r>
      <w:r w:rsidRPr="001069E7">
        <w:rPr>
          <w:i/>
          <w:iCs/>
          <w:lang w:val="pt-PT" w:eastAsia="en-US"/>
        </w:rPr>
        <w:t>DP</w:t>
      </w:r>
      <w:r w:rsidRPr="001069E7">
        <w:rPr>
          <w:lang w:val="pt-PT" w:eastAsia="en-US"/>
        </w:rPr>
        <w:t>= 1,47). A lista das 10 personalidades consideradas, por estes participantes, como as mais importantes da história nacional foi toda composta por homens portugueses. A representação de gênero é, portanto, o primeiro ponto de destaque nestas evocações, pois as mulheres nem mesmo foram representadas nesta lista. A mulher com mais evocações foi a fadista Amália Rodrigues (</w:t>
      </w:r>
      <w:r w:rsidRPr="001069E7">
        <w:rPr>
          <w:i/>
          <w:lang w:val="pt-PT" w:eastAsia="en-US"/>
        </w:rPr>
        <w:t>n</w:t>
      </w:r>
      <w:r w:rsidRPr="001069E7">
        <w:rPr>
          <w:lang w:val="pt-PT" w:eastAsia="en-US"/>
        </w:rPr>
        <w:t>=7), em 18º lugar, e as demais 12 personalidades femininas mencionadas pelos participantes portugueses tiveram apenas uma evocação cada. Comparando com os resultados de estudos anteriores (Cabecinhas et al., 2006), tal padrão androcêntrico não diminui, bem pelo contrário, já que nenhuma mulher figura entre as personalidades mais nomeadas.</w:t>
      </w:r>
    </w:p>
    <w:p w14:paraId="60C462A9" w14:textId="77777777" w:rsidR="001069E7" w:rsidRPr="001069E7" w:rsidRDefault="001069E7" w:rsidP="001069E7">
      <w:pPr>
        <w:pStyle w:val="Prrafocomn"/>
        <w:rPr>
          <w:lang w:val="pt-PT" w:eastAsia="en-US"/>
        </w:rPr>
      </w:pPr>
      <w:r w:rsidRPr="001069E7">
        <w:rPr>
          <w:lang w:val="pt-PT" w:eastAsia="en-US"/>
        </w:rPr>
        <w:t xml:space="preserve">Tal como em estudos anteriores, observamos a presença e importância atribuída aos reis e outras personalidades que exerceram funções políticas, sobretudo as ligadas à conquista da nacionalidade, como D. Afonso Henriques (2º mais mencionado), o “Rei fundador” do país (1106/1109 -1185), D. Dinis (1261-1325) (8º), sexto rei de Portugal, </w:t>
      </w:r>
      <w:r w:rsidRPr="001069E7">
        <w:rPr>
          <w:lang w:val="pt-PT" w:eastAsia="en-US"/>
        </w:rPr>
        <w:lastRenderedPageBreak/>
        <w:t>célebre por ter fundado a primeira universidade no país e mandado plantar o pinhal de Leiria, cuja madeira serviu para construir as naus dos “Descobrimentos”, também Marquês de Pombal (1699-1782) (6º mais mencionado), diplomata e estadista português, ministro do reino de D. José I (1750-1777) e conhecido pelo seu papel no período imediatamente a seguir ao terramoto de 1755 na reconstrução da cidade de Lisboa.</w:t>
      </w:r>
    </w:p>
    <w:p w14:paraId="6909CFD9" w14:textId="77777777" w:rsidR="001069E7" w:rsidRPr="001069E7" w:rsidRDefault="001069E7" w:rsidP="001069E7">
      <w:pPr>
        <w:pStyle w:val="Prrafocomn"/>
        <w:rPr>
          <w:lang w:val="pt-PT" w:eastAsia="en-US"/>
        </w:rPr>
      </w:pPr>
      <w:r w:rsidRPr="001069E7">
        <w:rPr>
          <w:lang w:val="pt-PT" w:eastAsia="en-US"/>
        </w:rPr>
        <w:t xml:space="preserve">Cabe destacar a presença dos navegadores e exploradores, Vasco da Gama (5º), comandante das primeiras navegações, via Cabo, da Europa à Índia (1498) e Pedro Álvares Cabral (9º), capitão-mor da frota que avistou a costa do Brasil em 22 de abril de 1500, entre as personalidades mais mencionadas, bem como sua avaliação positiva (acima de cinco pontos na escala de valência), o que parece indicar a permanência de uma representação dos “Descobrimentos” enquanto marco positivo. Apesar das recentes discussões mais críticas, essa centralidade parece indicar que o período do expansionismo português ainda permanece na memória social enquanto uma “glória” nacional, dissociado do colonialismo e seus efeitos, como o tráfico humano, genocídio indígena e outras formas de opressão. </w:t>
      </w:r>
    </w:p>
    <w:p w14:paraId="3877AB99" w14:textId="77777777" w:rsidR="001069E7" w:rsidRPr="001069E7" w:rsidRDefault="001069E7" w:rsidP="001069E7">
      <w:pPr>
        <w:pStyle w:val="Prrafocomn"/>
        <w:rPr>
          <w:lang w:val="pt-PT" w:eastAsia="en-US"/>
        </w:rPr>
      </w:pPr>
      <w:r w:rsidRPr="001069E7">
        <w:rPr>
          <w:lang w:val="pt-PT" w:eastAsia="en-US"/>
        </w:rPr>
        <w:t>Observa-se também a importância do 25 de Abril pela evocação frequente da figura de Salgueiro Maia (10º) (1944-1992), um dos militares que liderou as forças revolucionárias durante a Revolução em 1974</w:t>
      </w:r>
      <w:r w:rsidRPr="001069E7">
        <w:rPr>
          <w:lang w:val="pt-BR" w:eastAsia="en-US"/>
        </w:rPr>
        <w:t xml:space="preserve"> </w:t>
      </w:r>
      <w:r w:rsidRPr="001069E7">
        <w:rPr>
          <w:lang w:val="pt-PT" w:eastAsia="en-US"/>
        </w:rPr>
        <w:t xml:space="preserve">que atualmente surge nos manuais escolares como um ícone da revolução. Houve também referências aos: “revolucionários de abril”, “capitães de abril”, “soldados de abril” ou “heróis de abril” (13º; </w:t>
      </w:r>
      <w:r w:rsidRPr="001069E7">
        <w:rPr>
          <w:i/>
          <w:lang w:val="pt-PT" w:eastAsia="en-US"/>
        </w:rPr>
        <w:t>n</w:t>
      </w:r>
      <w:r w:rsidRPr="001069E7">
        <w:rPr>
          <w:lang w:val="pt-PT" w:eastAsia="en-US"/>
        </w:rPr>
        <w:t xml:space="preserve">=12), dos poucos grupos mencionados por parte dos participantes de Portugal. Dentre as assimetrias, uma tendência notável nessas evocações é o fato de as pessoas serem mencionadas com muito mais frequência do que os grupos. </w:t>
      </w:r>
    </w:p>
    <w:p w14:paraId="08C10718" w14:textId="42B8D99C" w:rsidR="001069E7" w:rsidRPr="001069E7" w:rsidRDefault="001069E7" w:rsidP="001069E7">
      <w:pPr>
        <w:pStyle w:val="Prrafocomn"/>
        <w:rPr>
          <w:b/>
          <w:bCs/>
          <w:i/>
          <w:iCs/>
          <w:lang w:val="pt-PT" w:eastAsia="en-US"/>
        </w:rPr>
      </w:pPr>
      <w:r w:rsidRPr="001069E7">
        <w:rPr>
          <w:lang w:val="pt-PT" w:eastAsia="en-US"/>
        </w:rPr>
        <w:t xml:space="preserve">Com considerável destaque aparecem também alguns escritores portugueses reconhecidos internacionalmente: Camões (3º), poeta, autor de “Os Lusíadas”, Fernando Pessoa (4º), poeta e figura central do Modernismo português, e Saramago (7º), escritor galardoado com o Nobel de Literatura de 1998. Já os cientistas, quando aparecem, estão muito longe do topo do </w:t>
      </w:r>
      <w:r w:rsidRPr="001069E7">
        <w:rPr>
          <w:i/>
          <w:iCs/>
          <w:lang w:val="pt-PT" w:eastAsia="en-US"/>
        </w:rPr>
        <w:t>ranking</w:t>
      </w:r>
      <w:r w:rsidRPr="001069E7">
        <w:rPr>
          <w:lang w:val="pt-PT" w:eastAsia="en-US"/>
        </w:rPr>
        <w:t xml:space="preserve">, Beatriz Ângelo, médica e feminista portuguesa e primeira mulher a votar em Portugal e Egas Moniz (neurocirurgião, primeiro português laureado com o Prêmio Nobel, 1949), por exemplo, foram mencionados uma vez cada. Resumindo, em consonância com a tendência observada em pesquisas anteriores, entre evocações dos portugueses, surgem em destaque governantes e personalidades associadas aos “Descobrimentos” e quase não há menção a mulheres, nem a personalidades </w:t>
      </w:r>
      <w:r w:rsidRPr="001069E7">
        <w:rPr>
          <w:lang w:val="pt-PT" w:eastAsia="en-US"/>
        </w:rPr>
        <w:lastRenderedPageBreak/>
        <w:t xml:space="preserve">inequivocamente relacionadas à luta pelos direitos humanos e processos de descolonização. </w:t>
      </w:r>
    </w:p>
    <w:p w14:paraId="7039DA1D" w14:textId="77777777" w:rsidR="001069E7" w:rsidRPr="009E03E0" w:rsidRDefault="001069E7" w:rsidP="001069E7">
      <w:pPr>
        <w:pStyle w:val="SubtituloInterno"/>
        <w:rPr>
          <w:lang w:val="pt-BR"/>
        </w:rPr>
      </w:pPr>
      <w:r w:rsidRPr="009E03E0">
        <w:rPr>
          <w:lang w:val="pt-BR"/>
        </w:rPr>
        <w:t>Brasil</w:t>
      </w:r>
    </w:p>
    <w:p w14:paraId="767185CA" w14:textId="77777777" w:rsidR="001069E7" w:rsidRPr="001069E7" w:rsidRDefault="001069E7" w:rsidP="001069E7">
      <w:pPr>
        <w:pStyle w:val="Prrafocomn"/>
        <w:rPr>
          <w:lang w:val="pt-PT" w:eastAsia="en-US"/>
        </w:rPr>
      </w:pPr>
      <w:r w:rsidRPr="001069E7">
        <w:rPr>
          <w:lang w:val="pt-PT" w:eastAsia="en-US"/>
        </w:rPr>
        <w:t>No Brasil, foram no total 265 evocações. Na Tabela 3, apresentamos as 10 personalidades mais evocadas pelos participantes e a valência associada a cada uma delas.</w:t>
      </w:r>
    </w:p>
    <w:p w14:paraId="6E46976D" w14:textId="77777777" w:rsidR="001069E7" w:rsidRPr="001069E7" w:rsidRDefault="001069E7" w:rsidP="001069E7">
      <w:pPr>
        <w:pStyle w:val="Prrafocomn"/>
        <w:ind w:firstLine="0"/>
        <w:rPr>
          <w:b/>
          <w:bCs/>
          <w:lang w:val="pt-PT" w:eastAsia="en-US"/>
        </w:rPr>
      </w:pPr>
      <w:r w:rsidRPr="001069E7">
        <w:rPr>
          <w:b/>
          <w:bCs/>
          <w:lang w:val="pt-PT" w:eastAsia="en-US"/>
        </w:rPr>
        <w:t>Tabela 3</w:t>
      </w:r>
    </w:p>
    <w:p w14:paraId="252C35BF" w14:textId="301A871D" w:rsidR="001069E7" w:rsidRDefault="001069E7" w:rsidP="001069E7">
      <w:pPr>
        <w:pStyle w:val="Prrafocomn"/>
        <w:ind w:firstLine="0"/>
        <w:rPr>
          <w:i/>
          <w:iCs/>
          <w:lang w:val="pt-PT" w:eastAsia="en-US"/>
        </w:rPr>
      </w:pPr>
      <w:r w:rsidRPr="001069E7">
        <w:rPr>
          <w:i/>
          <w:iCs/>
          <w:lang w:val="pt-PT" w:eastAsia="en-US"/>
        </w:rPr>
        <w:t xml:space="preserve">As </w:t>
      </w:r>
      <w:r w:rsidR="00E04666">
        <w:rPr>
          <w:i/>
          <w:iCs/>
          <w:lang w:val="pt-PT" w:eastAsia="en-US"/>
        </w:rPr>
        <w:t>10 Personalidades Mais Recordada</w:t>
      </w:r>
      <w:r w:rsidRPr="001069E7">
        <w:rPr>
          <w:i/>
          <w:iCs/>
          <w:lang w:val="pt-PT" w:eastAsia="en-US"/>
        </w:rPr>
        <w:t>s no Brasil: Evocação e Valência (Top 10)</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1221"/>
        <w:gridCol w:w="3597"/>
      </w:tblGrid>
      <w:tr w:rsidR="001069E7" w:rsidRPr="001069E7" w14:paraId="4627972E" w14:textId="77777777" w:rsidTr="00E04666">
        <w:trPr>
          <w:trHeight w:val="301"/>
          <w:jc w:val="center"/>
        </w:trPr>
        <w:tc>
          <w:tcPr>
            <w:tcW w:w="2167" w:type="pct"/>
            <w:tcBorders>
              <w:top w:val="single" w:sz="4" w:space="0" w:color="auto"/>
              <w:left w:val="nil"/>
              <w:bottom w:val="single" w:sz="4" w:space="0" w:color="auto"/>
              <w:right w:val="nil"/>
            </w:tcBorders>
            <w:shd w:val="clear" w:color="auto" w:fill="auto"/>
            <w:hideMark/>
          </w:tcPr>
          <w:p w14:paraId="68E4AF14" w14:textId="77777777" w:rsidR="001069E7" w:rsidRPr="001069E7" w:rsidRDefault="001069E7" w:rsidP="009907A8">
            <w:pPr>
              <w:spacing w:line="360" w:lineRule="auto"/>
              <w:jc w:val="center"/>
              <w:textAlignment w:val="baseline"/>
              <w:rPr>
                <w:b/>
                <w:bCs/>
                <w:color w:val="000000" w:themeColor="text1"/>
                <w:sz w:val="22"/>
                <w:szCs w:val="20"/>
              </w:rPr>
            </w:pPr>
            <w:bookmarkStart w:id="9" w:name="_Hlk150835555"/>
            <w:r w:rsidRPr="001069E7">
              <w:rPr>
                <w:b/>
                <w:bCs/>
                <w:color w:val="000000" w:themeColor="text1"/>
                <w:sz w:val="22"/>
                <w:szCs w:val="20"/>
              </w:rPr>
              <w:t>Personalidades</w:t>
            </w:r>
          </w:p>
        </w:tc>
        <w:tc>
          <w:tcPr>
            <w:tcW w:w="718" w:type="pct"/>
            <w:tcBorders>
              <w:top w:val="single" w:sz="4" w:space="0" w:color="auto"/>
              <w:left w:val="nil"/>
              <w:bottom w:val="single" w:sz="4" w:space="0" w:color="auto"/>
              <w:right w:val="nil"/>
            </w:tcBorders>
            <w:shd w:val="clear" w:color="auto" w:fill="auto"/>
            <w:hideMark/>
          </w:tcPr>
          <w:p w14:paraId="281D8356" w14:textId="77777777" w:rsidR="001069E7" w:rsidRPr="001069E7" w:rsidRDefault="001069E7" w:rsidP="009907A8">
            <w:pPr>
              <w:spacing w:line="360" w:lineRule="auto"/>
              <w:jc w:val="center"/>
              <w:rPr>
                <w:b/>
                <w:bCs/>
                <w:color w:val="000000" w:themeColor="text1"/>
                <w:sz w:val="22"/>
                <w:szCs w:val="20"/>
              </w:rPr>
            </w:pPr>
            <w:r w:rsidRPr="001069E7">
              <w:rPr>
                <w:b/>
                <w:bCs/>
                <w:color w:val="000000" w:themeColor="text1"/>
                <w:sz w:val="22"/>
                <w:szCs w:val="20"/>
              </w:rPr>
              <w:t>%</w:t>
            </w:r>
          </w:p>
        </w:tc>
        <w:tc>
          <w:tcPr>
            <w:tcW w:w="2115" w:type="pct"/>
            <w:tcBorders>
              <w:top w:val="single" w:sz="4" w:space="0" w:color="auto"/>
              <w:left w:val="nil"/>
              <w:bottom w:val="single" w:sz="4" w:space="0" w:color="auto"/>
              <w:right w:val="nil"/>
            </w:tcBorders>
            <w:shd w:val="clear" w:color="auto" w:fill="auto"/>
            <w:hideMark/>
          </w:tcPr>
          <w:p w14:paraId="0F443165" w14:textId="77777777" w:rsidR="001069E7" w:rsidRPr="001069E7" w:rsidRDefault="001069E7" w:rsidP="009907A8">
            <w:pPr>
              <w:spacing w:line="360" w:lineRule="auto"/>
              <w:jc w:val="center"/>
              <w:textAlignment w:val="baseline"/>
              <w:rPr>
                <w:b/>
                <w:bCs/>
                <w:color w:val="000000" w:themeColor="text1"/>
                <w:sz w:val="22"/>
                <w:szCs w:val="20"/>
              </w:rPr>
            </w:pPr>
            <w:proofErr w:type="spellStart"/>
            <w:r w:rsidRPr="001069E7">
              <w:rPr>
                <w:b/>
                <w:bCs/>
                <w:color w:val="000000" w:themeColor="text1"/>
                <w:sz w:val="22"/>
                <w:szCs w:val="20"/>
              </w:rPr>
              <w:t>Avaliação</w:t>
            </w:r>
            <w:proofErr w:type="spellEnd"/>
            <w:r w:rsidRPr="001069E7">
              <w:rPr>
                <w:b/>
                <w:bCs/>
                <w:color w:val="000000" w:themeColor="text1"/>
                <w:sz w:val="22"/>
                <w:szCs w:val="20"/>
              </w:rPr>
              <w:t xml:space="preserve"> </w:t>
            </w:r>
            <w:r w:rsidRPr="001069E7">
              <w:rPr>
                <w:b/>
                <w:bCs/>
                <w:i/>
                <w:color w:val="000000" w:themeColor="text1"/>
                <w:sz w:val="22"/>
                <w:szCs w:val="20"/>
              </w:rPr>
              <w:t>M</w:t>
            </w:r>
            <w:r w:rsidRPr="001069E7">
              <w:rPr>
                <w:b/>
                <w:bCs/>
                <w:color w:val="000000" w:themeColor="text1"/>
                <w:sz w:val="22"/>
                <w:szCs w:val="20"/>
              </w:rPr>
              <w:t xml:space="preserve"> (</w:t>
            </w:r>
            <w:r w:rsidRPr="001069E7">
              <w:rPr>
                <w:b/>
                <w:bCs/>
                <w:i/>
                <w:color w:val="000000" w:themeColor="text1"/>
                <w:sz w:val="22"/>
                <w:szCs w:val="20"/>
              </w:rPr>
              <w:t>DP</w:t>
            </w:r>
            <w:r w:rsidRPr="001069E7">
              <w:rPr>
                <w:b/>
                <w:bCs/>
                <w:color w:val="000000" w:themeColor="text1"/>
                <w:sz w:val="22"/>
                <w:szCs w:val="20"/>
              </w:rPr>
              <w:t>)</w:t>
            </w:r>
          </w:p>
        </w:tc>
      </w:tr>
      <w:tr w:rsidR="001069E7" w:rsidRPr="001069E7" w14:paraId="37B316A3" w14:textId="77777777" w:rsidTr="00E04666">
        <w:trPr>
          <w:trHeight w:val="301"/>
          <w:jc w:val="center"/>
        </w:trPr>
        <w:tc>
          <w:tcPr>
            <w:tcW w:w="2167" w:type="pct"/>
            <w:tcBorders>
              <w:top w:val="single" w:sz="4" w:space="0" w:color="auto"/>
              <w:left w:val="nil"/>
              <w:bottom w:val="nil"/>
              <w:right w:val="nil"/>
            </w:tcBorders>
            <w:shd w:val="clear" w:color="auto" w:fill="auto"/>
            <w:hideMark/>
          </w:tcPr>
          <w:p w14:paraId="77DF8EFB" w14:textId="77777777" w:rsidR="001069E7" w:rsidRPr="001069E7" w:rsidRDefault="001069E7" w:rsidP="009907A8">
            <w:pPr>
              <w:spacing w:line="360" w:lineRule="auto"/>
              <w:jc w:val="center"/>
              <w:textAlignment w:val="baseline"/>
              <w:rPr>
                <w:color w:val="000000" w:themeColor="text1"/>
                <w:sz w:val="22"/>
                <w:szCs w:val="20"/>
              </w:rPr>
            </w:pPr>
            <w:proofErr w:type="spellStart"/>
            <w:r w:rsidRPr="001069E7">
              <w:rPr>
                <w:color w:val="000000" w:themeColor="text1"/>
                <w:sz w:val="22"/>
                <w:szCs w:val="20"/>
              </w:rPr>
              <w:t>Getúlio</w:t>
            </w:r>
            <w:proofErr w:type="spellEnd"/>
            <w:r w:rsidRPr="001069E7">
              <w:rPr>
                <w:color w:val="000000" w:themeColor="text1"/>
                <w:sz w:val="22"/>
                <w:szCs w:val="20"/>
              </w:rPr>
              <w:t xml:space="preserve"> Vargas</w:t>
            </w:r>
          </w:p>
        </w:tc>
        <w:tc>
          <w:tcPr>
            <w:tcW w:w="718" w:type="pct"/>
            <w:tcBorders>
              <w:top w:val="single" w:sz="4" w:space="0" w:color="auto"/>
              <w:left w:val="nil"/>
              <w:bottom w:val="nil"/>
              <w:right w:val="nil"/>
            </w:tcBorders>
            <w:shd w:val="clear" w:color="auto" w:fill="auto"/>
            <w:hideMark/>
          </w:tcPr>
          <w:p w14:paraId="567D3A21" w14:textId="77777777" w:rsidR="001069E7" w:rsidRPr="001069E7" w:rsidRDefault="001069E7" w:rsidP="009907A8">
            <w:pPr>
              <w:spacing w:line="360" w:lineRule="auto"/>
              <w:jc w:val="center"/>
              <w:textAlignment w:val="baseline"/>
              <w:rPr>
                <w:color w:val="000000" w:themeColor="text1"/>
                <w:sz w:val="22"/>
                <w:szCs w:val="20"/>
              </w:rPr>
            </w:pPr>
            <w:r w:rsidRPr="001069E7">
              <w:rPr>
                <w:color w:val="000000" w:themeColor="text1"/>
                <w:sz w:val="22"/>
                <w:szCs w:val="20"/>
              </w:rPr>
              <w:t>33,3</w:t>
            </w:r>
          </w:p>
        </w:tc>
        <w:tc>
          <w:tcPr>
            <w:tcW w:w="2115" w:type="pct"/>
            <w:tcBorders>
              <w:top w:val="single" w:sz="4" w:space="0" w:color="auto"/>
              <w:left w:val="nil"/>
              <w:bottom w:val="nil"/>
              <w:right w:val="nil"/>
            </w:tcBorders>
            <w:shd w:val="clear" w:color="auto" w:fill="auto"/>
            <w:hideMark/>
          </w:tcPr>
          <w:p w14:paraId="1D2BE313" w14:textId="77777777" w:rsidR="001069E7" w:rsidRPr="001069E7" w:rsidRDefault="001069E7" w:rsidP="009907A8">
            <w:pPr>
              <w:spacing w:line="360" w:lineRule="auto"/>
              <w:jc w:val="center"/>
              <w:textAlignment w:val="baseline"/>
              <w:rPr>
                <w:color w:val="000000" w:themeColor="text1"/>
                <w:sz w:val="22"/>
                <w:szCs w:val="20"/>
              </w:rPr>
            </w:pPr>
            <w:r w:rsidRPr="001069E7">
              <w:rPr>
                <w:color w:val="000000" w:themeColor="text1"/>
                <w:sz w:val="22"/>
                <w:szCs w:val="20"/>
              </w:rPr>
              <w:t>4,64 (1,45)</w:t>
            </w:r>
          </w:p>
        </w:tc>
      </w:tr>
      <w:tr w:rsidR="001069E7" w:rsidRPr="001069E7" w14:paraId="7BF40D76" w14:textId="77777777" w:rsidTr="001069E7">
        <w:trPr>
          <w:trHeight w:val="301"/>
          <w:jc w:val="center"/>
        </w:trPr>
        <w:tc>
          <w:tcPr>
            <w:tcW w:w="2167" w:type="pct"/>
            <w:tcBorders>
              <w:top w:val="nil"/>
              <w:left w:val="nil"/>
              <w:bottom w:val="nil"/>
              <w:right w:val="nil"/>
            </w:tcBorders>
            <w:shd w:val="clear" w:color="auto" w:fill="auto"/>
          </w:tcPr>
          <w:p w14:paraId="6C7830AC" w14:textId="77777777" w:rsidR="001069E7" w:rsidRPr="001069E7" w:rsidRDefault="001069E7" w:rsidP="009907A8">
            <w:pPr>
              <w:spacing w:line="360" w:lineRule="auto"/>
              <w:jc w:val="center"/>
              <w:textAlignment w:val="baseline"/>
              <w:rPr>
                <w:color w:val="000000" w:themeColor="text1"/>
                <w:sz w:val="22"/>
                <w:szCs w:val="20"/>
              </w:rPr>
            </w:pPr>
            <w:r w:rsidRPr="001069E7">
              <w:rPr>
                <w:color w:val="000000" w:themeColor="text1"/>
                <w:sz w:val="22"/>
                <w:szCs w:val="20"/>
              </w:rPr>
              <w:t>D. Pedro II</w:t>
            </w:r>
          </w:p>
        </w:tc>
        <w:tc>
          <w:tcPr>
            <w:tcW w:w="718" w:type="pct"/>
            <w:tcBorders>
              <w:top w:val="nil"/>
              <w:left w:val="nil"/>
              <w:bottom w:val="nil"/>
              <w:right w:val="nil"/>
            </w:tcBorders>
            <w:shd w:val="clear" w:color="auto" w:fill="auto"/>
          </w:tcPr>
          <w:p w14:paraId="59F01EEF" w14:textId="77777777" w:rsidR="001069E7" w:rsidRPr="001069E7" w:rsidRDefault="001069E7" w:rsidP="009907A8">
            <w:pPr>
              <w:spacing w:line="360" w:lineRule="auto"/>
              <w:jc w:val="center"/>
              <w:textAlignment w:val="baseline"/>
              <w:rPr>
                <w:color w:val="000000" w:themeColor="text1"/>
                <w:sz w:val="22"/>
                <w:szCs w:val="20"/>
              </w:rPr>
            </w:pPr>
            <w:r w:rsidRPr="001069E7">
              <w:rPr>
                <w:color w:val="000000" w:themeColor="text1"/>
                <w:sz w:val="22"/>
                <w:szCs w:val="20"/>
              </w:rPr>
              <w:t>26,0</w:t>
            </w:r>
          </w:p>
        </w:tc>
        <w:tc>
          <w:tcPr>
            <w:tcW w:w="2115" w:type="pct"/>
            <w:tcBorders>
              <w:top w:val="nil"/>
              <w:left w:val="nil"/>
              <w:bottom w:val="nil"/>
              <w:right w:val="nil"/>
            </w:tcBorders>
            <w:shd w:val="clear" w:color="auto" w:fill="auto"/>
          </w:tcPr>
          <w:p w14:paraId="6BDF98C1" w14:textId="77777777" w:rsidR="001069E7" w:rsidRPr="001069E7" w:rsidRDefault="001069E7" w:rsidP="009907A8">
            <w:pPr>
              <w:spacing w:line="360" w:lineRule="auto"/>
              <w:jc w:val="center"/>
              <w:textAlignment w:val="baseline"/>
              <w:rPr>
                <w:color w:val="000000" w:themeColor="text1"/>
                <w:sz w:val="22"/>
                <w:szCs w:val="20"/>
              </w:rPr>
            </w:pPr>
            <w:r w:rsidRPr="001069E7">
              <w:rPr>
                <w:color w:val="000000" w:themeColor="text1"/>
                <w:sz w:val="22"/>
                <w:szCs w:val="20"/>
              </w:rPr>
              <w:t>5,64 (1,62)</w:t>
            </w:r>
          </w:p>
        </w:tc>
      </w:tr>
      <w:tr w:rsidR="001069E7" w:rsidRPr="001069E7" w14:paraId="6720FE94" w14:textId="77777777" w:rsidTr="001069E7">
        <w:trPr>
          <w:trHeight w:val="301"/>
          <w:jc w:val="center"/>
        </w:trPr>
        <w:tc>
          <w:tcPr>
            <w:tcW w:w="2167" w:type="pct"/>
            <w:tcBorders>
              <w:top w:val="nil"/>
              <w:left w:val="nil"/>
              <w:bottom w:val="nil"/>
              <w:right w:val="nil"/>
            </w:tcBorders>
            <w:shd w:val="clear" w:color="auto" w:fill="auto"/>
          </w:tcPr>
          <w:p w14:paraId="5CB550B1" w14:textId="77777777" w:rsidR="001069E7" w:rsidRPr="001069E7" w:rsidRDefault="001069E7" w:rsidP="009907A8">
            <w:pPr>
              <w:spacing w:line="360" w:lineRule="auto"/>
              <w:jc w:val="center"/>
              <w:textAlignment w:val="baseline"/>
              <w:rPr>
                <w:color w:val="000000" w:themeColor="text1"/>
                <w:sz w:val="22"/>
                <w:szCs w:val="20"/>
              </w:rPr>
            </w:pPr>
            <w:r w:rsidRPr="001069E7">
              <w:rPr>
                <w:color w:val="000000" w:themeColor="text1"/>
                <w:sz w:val="22"/>
                <w:szCs w:val="20"/>
              </w:rPr>
              <w:t>Indígenas*</w:t>
            </w:r>
          </w:p>
        </w:tc>
        <w:tc>
          <w:tcPr>
            <w:tcW w:w="718" w:type="pct"/>
            <w:tcBorders>
              <w:top w:val="nil"/>
              <w:left w:val="nil"/>
              <w:bottom w:val="nil"/>
              <w:right w:val="nil"/>
            </w:tcBorders>
            <w:shd w:val="clear" w:color="auto" w:fill="auto"/>
          </w:tcPr>
          <w:p w14:paraId="32E574A3" w14:textId="77777777" w:rsidR="001069E7" w:rsidRPr="001069E7" w:rsidRDefault="001069E7" w:rsidP="009907A8">
            <w:pPr>
              <w:spacing w:line="360" w:lineRule="auto"/>
              <w:jc w:val="center"/>
              <w:textAlignment w:val="baseline"/>
              <w:rPr>
                <w:color w:val="000000" w:themeColor="text1"/>
                <w:sz w:val="22"/>
                <w:szCs w:val="20"/>
              </w:rPr>
            </w:pPr>
            <w:r w:rsidRPr="001069E7">
              <w:rPr>
                <w:color w:val="000000" w:themeColor="text1"/>
                <w:sz w:val="22"/>
                <w:szCs w:val="20"/>
              </w:rPr>
              <w:t>19,8</w:t>
            </w:r>
          </w:p>
        </w:tc>
        <w:tc>
          <w:tcPr>
            <w:tcW w:w="2115" w:type="pct"/>
            <w:tcBorders>
              <w:top w:val="nil"/>
              <w:left w:val="nil"/>
              <w:bottom w:val="nil"/>
              <w:right w:val="nil"/>
            </w:tcBorders>
            <w:shd w:val="clear" w:color="auto" w:fill="auto"/>
          </w:tcPr>
          <w:p w14:paraId="27B85EFE" w14:textId="77777777" w:rsidR="001069E7" w:rsidRPr="001069E7" w:rsidRDefault="001069E7" w:rsidP="009907A8">
            <w:pPr>
              <w:spacing w:line="360" w:lineRule="auto"/>
              <w:jc w:val="center"/>
              <w:textAlignment w:val="baseline"/>
              <w:rPr>
                <w:color w:val="000000" w:themeColor="text1"/>
                <w:sz w:val="22"/>
                <w:szCs w:val="20"/>
              </w:rPr>
            </w:pPr>
            <w:r w:rsidRPr="001069E7">
              <w:rPr>
                <w:color w:val="000000" w:themeColor="text1"/>
                <w:sz w:val="22"/>
                <w:szCs w:val="20"/>
              </w:rPr>
              <w:t>6,77 (0,54)</w:t>
            </w:r>
          </w:p>
        </w:tc>
      </w:tr>
      <w:tr w:rsidR="001069E7" w:rsidRPr="001069E7" w14:paraId="5AEC24E6" w14:textId="77777777" w:rsidTr="001069E7">
        <w:trPr>
          <w:trHeight w:val="301"/>
          <w:jc w:val="center"/>
        </w:trPr>
        <w:tc>
          <w:tcPr>
            <w:tcW w:w="2167" w:type="pct"/>
            <w:tcBorders>
              <w:top w:val="nil"/>
              <w:left w:val="nil"/>
              <w:bottom w:val="nil"/>
              <w:right w:val="nil"/>
            </w:tcBorders>
            <w:shd w:val="clear" w:color="auto" w:fill="auto"/>
            <w:hideMark/>
          </w:tcPr>
          <w:p w14:paraId="77D35877" w14:textId="77777777" w:rsidR="001069E7" w:rsidRPr="001069E7" w:rsidRDefault="001069E7" w:rsidP="009907A8">
            <w:pPr>
              <w:spacing w:line="360" w:lineRule="auto"/>
              <w:jc w:val="center"/>
              <w:textAlignment w:val="baseline"/>
              <w:rPr>
                <w:color w:val="000000" w:themeColor="text1"/>
                <w:sz w:val="22"/>
                <w:szCs w:val="20"/>
              </w:rPr>
            </w:pPr>
            <w:r w:rsidRPr="001069E7">
              <w:rPr>
                <w:color w:val="000000" w:themeColor="text1"/>
                <w:sz w:val="22"/>
                <w:szCs w:val="20"/>
              </w:rPr>
              <w:t>Lula da Silva</w:t>
            </w:r>
          </w:p>
        </w:tc>
        <w:tc>
          <w:tcPr>
            <w:tcW w:w="718" w:type="pct"/>
            <w:tcBorders>
              <w:top w:val="nil"/>
              <w:left w:val="nil"/>
              <w:bottom w:val="nil"/>
              <w:right w:val="nil"/>
            </w:tcBorders>
            <w:shd w:val="clear" w:color="auto" w:fill="auto"/>
            <w:hideMark/>
          </w:tcPr>
          <w:p w14:paraId="01F5D23B" w14:textId="77777777" w:rsidR="001069E7" w:rsidRPr="001069E7" w:rsidRDefault="001069E7" w:rsidP="009907A8">
            <w:pPr>
              <w:spacing w:line="360" w:lineRule="auto"/>
              <w:jc w:val="center"/>
              <w:textAlignment w:val="baseline"/>
              <w:rPr>
                <w:color w:val="000000" w:themeColor="text1"/>
                <w:sz w:val="22"/>
                <w:szCs w:val="20"/>
              </w:rPr>
            </w:pPr>
            <w:r w:rsidRPr="001069E7">
              <w:rPr>
                <w:color w:val="000000" w:themeColor="text1"/>
                <w:sz w:val="22"/>
                <w:szCs w:val="20"/>
              </w:rPr>
              <w:t>16,7</w:t>
            </w:r>
          </w:p>
        </w:tc>
        <w:tc>
          <w:tcPr>
            <w:tcW w:w="2115" w:type="pct"/>
            <w:tcBorders>
              <w:top w:val="nil"/>
              <w:left w:val="nil"/>
              <w:bottom w:val="nil"/>
              <w:right w:val="nil"/>
            </w:tcBorders>
            <w:shd w:val="clear" w:color="auto" w:fill="auto"/>
            <w:hideMark/>
          </w:tcPr>
          <w:p w14:paraId="4E8EE4CB" w14:textId="77777777" w:rsidR="001069E7" w:rsidRPr="001069E7" w:rsidRDefault="001069E7" w:rsidP="009907A8">
            <w:pPr>
              <w:spacing w:line="360" w:lineRule="auto"/>
              <w:jc w:val="center"/>
              <w:textAlignment w:val="baseline"/>
              <w:rPr>
                <w:color w:val="000000" w:themeColor="text1"/>
                <w:sz w:val="22"/>
                <w:szCs w:val="20"/>
              </w:rPr>
            </w:pPr>
            <w:r w:rsidRPr="001069E7">
              <w:rPr>
                <w:color w:val="000000" w:themeColor="text1"/>
                <w:sz w:val="22"/>
                <w:szCs w:val="20"/>
              </w:rPr>
              <w:t>5,93 (1,66)</w:t>
            </w:r>
          </w:p>
        </w:tc>
      </w:tr>
      <w:tr w:rsidR="001069E7" w:rsidRPr="001069E7" w14:paraId="4483C320" w14:textId="77777777" w:rsidTr="001069E7">
        <w:trPr>
          <w:trHeight w:val="301"/>
          <w:jc w:val="center"/>
        </w:trPr>
        <w:tc>
          <w:tcPr>
            <w:tcW w:w="2167" w:type="pct"/>
            <w:tcBorders>
              <w:top w:val="nil"/>
              <w:left w:val="nil"/>
              <w:bottom w:val="nil"/>
              <w:right w:val="nil"/>
            </w:tcBorders>
            <w:shd w:val="clear" w:color="auto" w:fill="auto"/>
          </w:tcPr>
          <w:p w14:paraId="305084A4" w14:textId="77777777" w:rsidR="001069E7" w:rsidRPr="001069E7" w:rsidRDefault="001069E7" w:rsidP="009907A8">
            <w:pPr>
              <w:spacing w:line="360" w:lineRule="auto"/>
              <w:jc w:val="center"/>
              <w:textAlignment w:val="baseline"/>
              <w:rPr>
                <w:color w:val="000000" w:themeColor="text1"/>
                <w:sz w:val="22"/>
                <w:szCs w:val="20"/>
              </w:rPr>
            </w:pPr>
            <w:proofErr w:type="spellStart"/>
            <w:r w:rsidRPr="001069E7">
              <w:rPr>
                <w:color w:val="000000" w:themeColor="text1"/>
                <w:sz w:val="22"/>
                <w:szCs w:val="20"/>
              </w:rPr>
              <w:t>Afrodescendentes</w:t>
            </w:r>
            <w:proofErr w:type="spellEnd"/>
            <w:r w:rsidRPr="001069E7">
              <w:rPr>
                <w:color w:val="000000" w:themeColor="text1"/>
                <w:sz w:val="22"/>
                <w:szCs w:val="20"/>
              </w:rPr>
              <w:t>*</w:t>
            </w:r>
          </w:p>
        </w:tc>
        <w:tc>
          <w:tcPr>
            <w:tcW w:w="718" w:type="pct"/>
            <w:tcBorders>
              <w:top w:val="nil"/>
              <w:left w:val="nil"/>
              <w:bottom w:val="nil"/>
              <w:right w:val="nil"/>
            </w:tcBorders>
            <w:shd w:val="clear" w:color="auto" w:fill="auto"/>
          </w:tcPr>
          <w:p w14:paraId="1BFD4F70" w14:textId="77777777" w:rsidR="001069E7" w:rsidRPr="001069E7" w:rsidRDefault="001069E7" w:rsidP="009907A8">
            <w:pPr>
              <w:spacing w:line="360" w:lineRule="auto"/>
              <w:jc w:val="center"/>
              <w:textAlignment w:val="baseline"/>
              <w:rPr>
                <w:color w:val="000000" w:themeColor="text1"/>
                <w:sz w:val="22"/>
                <w:szCs w:val="20"/>
              </w:rPr>
            </w:pPr>
            <w:r w:rsidRPr="001069E7">
              <w:rPr>
                <w:color w:val="000000" w:themeColor="text1"/>
                <w:sz w:val="22"/>
                <w:szCs w:val="20"/>
              </w:rPr>
              <w:t>15,6</w:t>
            </w:r>
          </w:p>
        </w:tc>
        <w:tc>
          <w:tcPr>
            <w:tcW w:w="2115" w:type="pct"/>
            <w:tcBorders>
              <w:top w:val="nil"/>
              <w:left w:val="nil"/>
              <w:bottom w:val="nil"/>
              <w:right w:val="nil"/>
            </w:tcBorders>
            <w:shd w:val="clear" w:color="auto" w:fill="auto"/>
          </w:tcPr>
          <w:p w14:paraId="5FDD3694" w14:textId="77777777" w:rsidR="001069E7" w:rsidRPr="001069E7" w:rsidRDefault="001069E7" w:rsidP="009907A8">
            <w:pPr>
              <w:spacing w:line="360" w:lineRule="auto"/>
              <w:jc w:val="center"/>
              <w:textAlignment w:val="baseline"/>
              <w:rPr>
                <w:color w:val="000000" w:themeColor="text1"/>
                <w:sz w:val="22"/>
                <w:szCs w:val="20"/>
              </w:rPr>
            </w:pPr>
            <w:r w:rsidRPr="001069E7">
              <w:rPr>
                <w:color w:val="000000" w:themeColor="text1"/>
                <w:sz w:val="22"/>
                <w:szCs w:val="20"/>
              </w:rPr>
              <w:t>6,73 (0,59)</w:t>
            </w:r>
          </w:p>
        </w:tc>
      </w:tr>
      <w:tr w:rsidR="001069E7" w:rsidRPr="001069E7" w14:paraId="43DB56A0" w14:textId="77777777" w:rsidTr="001069E7">
        <w:trPr>
          <w:trHeight w:val="301"/>
          <w:jc w:val="center"/>
        </w:trPr>
        <w:tc>
          <w:tcPr>
            <w:tcW w:w="2167" w:type="pct"/>
            <w:tcBorders>
              <w:top w:val="nil"/>
              <w:left w:val="nil"/>
              <w:bottom w:val="nil"/>
              <w:right w:val="nil"/>
            </w:tcBorders>
            <w:shd w:val="clear" w:color="auto" w:fill="auto"/>
          </w:tcPr>
          <w:p w14:paraId="0DE18A08" w14:textId="77777777" w:rsidR="001069E7" w:rsidRPr="001069E7" w:rsidRDefault="001069E7" w:rsidP="009907A8">
            <w:pPr>
              <w:spacing w:line="360" w:lineRule="auto"/>
              <w:jc w:val="center"/>
              <w:textAlignment w:val="baseline"/>
              <w:rPr>
                <w:color w:val="000000" w:themeColor="text1"/>
                <w:sz w:val="22"/>
                <w:szCs w:val="20"/>
              </w:rPr>
            </w:pPr>
            <w:r w:rsidRPr="001069E7">
              <w:rPr>
                <w:color w:val="000000" w:themeColor="text1"/>
                <w:sz w:val="22"/>
                <w:szCs w:val="20"/>
              </w:rPr>
              <w:t>Colonizadores</w:t>
            </w:r>
          </w:p>
        </w:tc>
        <w:tc>
          <w:tcPr>
            <w:tcW w:w="718" w:type="pct"/>
            <w:tcBorders>
              <w:top w:val="nil"/>
              <w:left w:val="nil"/>
              <w:bottom w:val="nil"/>
              <w:right w:val="nil"/>
            </w:tcBorders>
            <w:shd w:val="clear" w:color="auto" w:fill="auto"/>
          </w:tcPr>
          <w:p w14:paraId="2078FB7F" w14:textId="77777777" w:rsidR="001069E7" w:rsidRPr="001069E7" w:rsidRDefault="001069E7" w:rsidP="009907A8">
            <w:pPr>
              <w:spacing w:line="360" w:lineRule="auto"/>
              <w:jc w:val="center"/>
              <w:textAlignment w:val="baseline"/>
              <w:rPr>
                <w:color w:val="000000" w:themeColor="text1"/>
                <w:sz w:val="22"/>
                <w:szCs w:val="20"/>
              </w:rPr>
            </w:pPr>
            <w:r w:rsidRPr="001069E7">
              <w:rPr>
                <w:color w:val="000000" w:themeColor="text1"/>
                <w:sz w:val="22"/>
                <w:szCs w:val="20"/>
              </w:rPr>
              <w:t>10,4</w:t>
            </w:r>
          </w:p>
        </w:tc>
        <w:tc>
          <w:tcPr>
            <w:tcW w:w="2115" w:type="pct"/>
            <w:tcBorders>
              <w:top w:val="nil"/>
              <w:left w:val="nil"/>
              <w:bottom w:val="nil"/>
              <w:right w:val="nil"/>
            </w:tcBorders>
            <w:shd w:val="clear" w:color="auto" w:fill="auto"/>
          </w:tcPr>
          <w:p w14:paraId="5C54FF84" w14:textId="77777777" w:rsidR="001069E7" w:rsidRPr="001069E7" w:rsidRDefault="001069E7" w:rsidP="009907A8">
            <w:pPr>
              <w:spacing w:line="360" w:lineRule="auto"/>
              <w:jc w:val="center"/>
              <w:textAlignment w:val="baseline"/>
              <w:rPr>
                <w:color w:val="000000" w:themeColor="text1"/>
                <w:sz w:val="22"/>
                <w:szCs w:val="20"/>
              </w:rPr>
            </w:pPr>
            <w:r w:rsidRPr="001069E7">
              <w:rPr>
                <w:color w:val="000000" w:themeColor="text1"/>
                <w:sz w:val="22"/>
                <w:szCs w:val="20"/>
              </w:rPr>
              <w:t>2,30 (1,76)</w:t>
            </w:r>
          </w:p>
        </w:tc>
      </w:tr>
      <w:tr w:rsidR="001069E7" w:rsidRPr="001069E7" w14:paraId="6F6D5F3F" w14:textId="77777777" w:rsidTr="001069E7">
        <w:trPr>
          <w:trHeight w:val="301"/>
          <w:jc w:val="center"/>
        </w:trPr>
        <w:tc>
          <w:tcPr>
            <w:tcW w:w="2167" w:type="pct"/>
            <w:tcBorders>
              <w:top w:val="nil"/>
              <w:left w:val="nil"/>
              <w:bottom w:val="nil"/>
              <w:right w:val="nil"/>
            </w:tcBorders>
            <w:shd w:val="clear" w:color="auto" w:fill="auto"/>
          </w:tcPr>
          <w:p w14:paraId="509712A3" w14:textId="77777777" w:rsidR="001069E7" w:rsidRPr="001069E7" w:rsidRDefault="001069E7" w:rsidP="009907A8">
            <w:pPr>
              <w:spacing w:line="360" w:lineRule="auto"/>
              <w:jc w:val="center"/>
              <w:textAlignment w:val="baseline"/>
              <w:rPr>
                <w:color w:val="000000" w:themeColor="text1"/>
                <w:sz w:val="22"/>
                <w:szCs w:val="20"/>
              </w:rPr>
            </w:pPr>
            <w:r w:rsidRPr="001069E7">
              <w:rPr>
                <w:color w:val="000000" w:themeColor="text1"/>
                <w:sz w:val="22"/>
                <w:szCs w:val="20"/>
              </w:rPr>
              <w:t>D. Pedro I</w:t>
            </w:r>
          </w:p>
        </w:tc>
        <w:tc>
          <w:tcPr>
            <w:tcW w:w="718" w:type="pct"/>
            <w:tcBorders>
              <w:top w:val="nil"/>
              <w:left w:val="nil"/>
              <w:bottom w:val="nil"/>
              <w:right w:val="nil"/>
            </w:tcBorders>
            <w:shd w:val="clear" w:color="auto" w:fill="auto"/>
          </w:tcPr>
          <w:p w14:paraId="4EB2E13D" w14:textId="77777777" w:rsidR="001069E7" w:rsidRPr="001069E7" w:rsidRDefault="001069E7" w:rsidP="009907A8">
            <w:pPr>
              <w:spacing w:line="360" w:lineRule="auto"/>
              <w:jc w:val="center"/>
              <w:textAlignment w:val="baseline"/>
              <w:rPr>
                <w:color w:val="000000" w:themeColor="text1"/>
                <w:sz w:val="22"/>
                <w:szCs w:val="20"/>
              </w:rPr>
            </w:pPr>
            <w:r w:rsidRPr="001069E7">
              <w:rPr>
                <w:color w:val="000000" w:themeColor="text1"/>
                <w:sz w:val="22"/>
                <w:szCs w:val="20"/>
              </w:rPr>
              <w:t>8,3</w:t>
            </w:r>
          </w:p>
        </w:tc>
        <w:tc>
          <w:tcPr>
            <w:tcW w:w="2115" w:type="pct"/>
            <w:tcBorders>
              <w:top w:val="nil"/>
              <w:left w:val="nil"/>
              <w:bottom w:val="nil"/>
              <w:right w:val="nil"/>
            </w:tcBorders>
            <w:shd w:val="clear" w:color="auto" w:fill="auto"/>
          </w:tcPr>
          <w:p w14:paraId="3F77BBD3" w14:textId="77777777" w:rsidR="001069E7" w:rsidRPr="001069E7" w:rsidRDefault="001069E7" w:rsidP="009907A8">
            <w:pPr>
              <w:spacing w:line="360" w:lineRule="auto"/>
              <w:jc w:val="center"/>
              <w:textAlignment w:val="baseline"/>
              <w:rPr>
                <w:color w:val="000000" w:themeColor="text1"/>
                <w:sz w:val="22"/>
                <w:szCs w:val="20"/>
              </w:rPr>
            </w:pPr>
            <w:r w:rsidRPr="001069E7">
              <w:rPr>
                <w:color w:val="000000" w:themeColor="text1"/>
                <w:sz w:val="22"/>
                <w:szCs w:val="20"/>
              </w:rPr>
              <w:t>6,50 (0,83)</w:t>
            </w:r>
          </w:p>
        </w:tc>
      </w:tr>
      <w:tr w:rsidR="001069E7" w:rsidRPr="001069E7" w14:paraId="42ECF3FA" w14:textId="77777777" w:rsidTr="001069E7">
        <w:trPr>
          <w:trHeight w:val="301"/>
          <w:jc w:val="center"/>
        </w:trPr>
        <w:tc>
          <w:tcPr>
            <w:tcW w:w="2167" w:type="pct"/>
            <w:tcBorders>
              <w:top w:val="nil"/>
              <w:left w:val="nil"/>
              <w:bottom w:val="nil"/>
              <w:right w:val="nil"/>
            </w:tcBorders>
            <w:shd w:val="clear" w:color="auto" w:fill="auto"/>
          </w:tcPr>
          <w:p w14:paraId="51EBECAC" w14:textId="77777777" w:rsidR="001069E7" w:rsidRPr="001069E7" w:rsidRDefault="001069E7" w:rsidP="009907A8">
            <w:pPr>
              <w:spacing w:line="360" w:lineRule="auto"/>
              <w:jc w:val="center"/>
              <w:textAlignment w:val="baseline"/>
              <w:rPr>
                <w:color w:val="000000" w:themeColor="text1"/>
                <w:sz w:val="22"/>
                <w:szCs w:val="20"/>
              </w:rPr>
            </w:pPr>
            <w:r w:rsidRPr="001069E7">
              <w:rPr>
                <w:color w:val="000000" w:themeColor="text1"/>
                <w:sz w:val="22"/>
                <w:szCs w:val="20"/>
              </w:rPr>
              <w:t xml:space="preserve">Jair </w:t>
            </w:r>
            <w:proofErr w:type="spellStart"/>
            <w:r w:rsidRPr="001069E7">
              <w:rPr>
                <w:color w:val="000000" w:themeColor="text1"/>
                <w:sz w:val="22"/>
                <w:szCs w:val="20"/>
              </w:rPr>
              <w:t>Bolsonaro</w:t>
            </w:r>
            <w:proofErr w:type="spellEnd"/>
          </w:p>
        </w:tc>
        <w:tc>
          <w:tcPr>
            <w:tcW w:w="718" w:type="pct"/>
            <w:tcBorders>
              <w:top w:val="nil"/>
              <w:left w:val="nil"/>
              <w:bottom w:val="nil"/>
              <w:right w:val="nil"/>
            </w:tcBorders>
            <w:shd w:val="clear" w:color="auto" w:fill="auto"/>
          </w:tcPr>
          <w:p w14:paraId="62E354D4" w14:textId="77777777" w:rsidR="001069E7" w:rsidRPr="001069E7" w:rsidRDefault="001069E7" w:rsidP="009907A8">
            <w:pPr>
              <w:spacing w:line="360" w:lineRule="auto"/>
              <w:jc w:val="center"/>
              <w:textAlignment w:val="baseline"/>
              <w:rPr>
                <w:color w:val="000000" w:themeColor="text1"/>
                <w:sz w:val="22"/>
                <w:szCs w:val="20"/>
              </w:rPr>
            </w:pPr>
            <w:r w:rsidRPr="001069E7">
              <w:rPr>
                <w:color w:val="000000" w:themeColor="text1"/>
                <w:sz w:val="22"/>
                <w:szCs w:val="20"/>
              </w:rPr>
              <w:t>7,3</w:t>
            </w:r>
          </w:p>
        </w:tc>
        <w:tc>
          <w:tcPr>
            <w:tcW w:w="2115" w:type="pct"/>
            <w:tcBorders>
              <w:top w:val="nil"/>
              <w:left w:val="nil"/>
              <w:bottom w:val="nil"/>
              <w:right w:val="nil"/>
            </w:tcBorders>
            <w:shd w:val="clear" w:color="auto" w:fill="auto"/>
          </w:tcPr>
          <w:p w14:paraId="463A3AC2" w14:textId="77777777" w:rsidR="001069E7" w:rsidRPr="001069E7" w:rsidRDefault="001069E7" w:rsidP="009907A8">
            <w:pPr>
              <w:spacing w:line="360" w:lineRule="auto"/>
              <w:jc w:val="center"/>
              <w:textAlignment w:val="baseline"/>
              <w:rPr>
                <w:color w:val="000000" w:themeColor="text1"/>
                <w:sz w:val="22"/>
                <w:szCs w:val="20"/>
              </w:rPr>
            </w:pPr>
            <w:r w:rsidRPr="001069E7">
              <w:rPr>
                <w:color w:val="000000" w:themeColor="text1"/>
                <w:sz w:val="22"/>
                <w:szCs w:val="20"/>
              </w:rPr>
              <w:t>2,00 (2,23)</w:t>
            </w:r>
          </w:p>
        </w:tc>
      </w:tr>
      <w:tr w:rsidR="001069E7" w:rsidRPr="001069E7" w14:paraId="160E6CE9" w14:textId="77777777" w:rsidTr="001069E7">
        <w:trPr>
          <w:trHeight w:val="301"/>
          <w:jc w:val="center"/>
        </w:trPr>
        <w:tc>
          <w:tcPr>
            <w:tcW w:w="2167" w:type="pct"/>
            <w:tcBorders>
              <w:top w:val="nil"/>
              <w:left w:val="nil"/>
              <w:bottom w:val="nil"/>
              <w:right w:val="nil"/>
            </w:tcBorders>
            <w:shd w:val="clear" w:color="auto" w:fill="auto"/>
          </w:tcPr>
          <w:p w14:paraId="17588CF3" w14:textId="77777777" w:rsidR="001069E7" w:rsidRPr="001069E7" w:rsidRDefault="001069E7" w:rsidP="009907A8">
            <w:pPr>
              <w:spacing w:line="360" w:lineRule="auto"/>
              <w:jc w:val="center"/>
              <w:textAlignment w:val="baseline"/>
              <w:rPr>
                <w:color w:val="000000" w:themeColor="text1"/>
                <w:sz w:val="22"/>
                <w:szCs w:val="20"/>
              </w:rPr>
            </w:pPr>
            <w:proofErr w:type="spellStart"/>
            <w:r w:rsidRPr="001069E7">
              <w:rPr>
                <w:color w:val="000000" w:themeColor="text1"/>
                <w:sz w:val="22"/>
                <w:szCs w:val="20"/>
              </w:rPr>
              <w:t>Juscelino</w:t>
            </w:r>
            <w:proofErr w:type="spellEnd"/>
            <w:r w:rsidRPr="001069E7">
              <w:rPr>
                <w:color w:val="000000" w:themeColor="text1"/>
                <w:sz w:val="22"/>
                <w:szCs w:val="20"/>
              </w:rPr>
              <w:t xml:space="preserve"> </w:t>
            </w:r>
            <w:proofErr w:type="spellStart"/>
            <w:r w:rsidRPr="001069E7">
              <w:rPr>
                <w:color w:val="000000" w:themeColor="text1"/>
                <w:sz w:val="22"/>
                <w:szCs w:val="20"/>
              </w:rPr>
              <w:t>Kubitschek</w:t>
            </w:r>
            <w:proofErr w:type="spellEnd"/>
          </w:p>
        </w:tc>
        <w:tc>
          <w:tcPr>
            <w:tcW w:w="718" w:type="pct"/>
            <w:tcBorders>
              <w:top w:val="nil"/>
              <w:left w:val="nil"/>
              <w:bottom w:val="nil"/>
              <w:right w:val="nil"/>
            </w:tcBorders>
            <w:shd w:val="clear" w:color="auto" w:fill="auto"/>
          </w:tcPr>
          <w:p w14:paraId="3B23F290" w14:textId="77777777" w:rsidR="001069E7" w:rsidRPr="001069E7" w:rsidRDefault="001069E7" w:rsidP="009907A8">
            <w:pPr>
              <w:spacing w:line="360" w:lineRule="auto"/>
              <w:jc w:val="center"/>
              <w:textAlignment w:val="baseline"/>
              <w:rPr>
                <w:color w:val="000000" w:themeColor="text1"/>
                <w:sz w:val="22"/>
                <w:szCs w:val="20"/>
              </w:rPr>
            </w:pPr>
            <w:r w:rsidRPr="001069E7">
              <w:rPr>
                <w:color w:val="000000" w:themeColor="text1"/>
                <w:sz w:val="22"/>
                <w:szCs w:val="20"/>
              </w:rPr>
              <w:t>7,3</w:t>
            </w:r>
          </w:p>
        </w:tc>
        <w:tc>
          <w:tcPr>
            <w:tcW w:w="2115" w:type="pct"/>
            <w:tcBorders>
              <w:top w:val="nil"/>
              <w:left w:val="nil"/>
              <w:bottom w:val="nil"/>
              <w:right w:val="nil"/>
            </w:tcBorders>
            <w:shd w:val="clear" w:color="auto" w:fill="auto"/>
          </w:tcPr>
          <w:p w14:paraId="6D1D3F33" w14:textId="77777777" w:rsidR="001069E7" w:rsidRPr="001069E7" w:rsidRDefault="001069E7" w:rsidP="009907A8">
            <w:pPr>
              <w:spacing w:line="360" w:lineRule="auto"/>
              <w:jc w:val="center"/>
              <w:textAlignment w:val="baseline"/>
              <w:rPr>
                <w:color w:val="000000" w:themeColor="text1"/>
                <w:sz w:val="22"/>
                <w:szCs w:val="20"/>
              </w:rPr>
            </w:pPr>
            <w:r w:rsidRPr="001069E7">
              <w:rPr>
                <w:color w:val="000000" w:themeColor="text1"/>
                <w:sz w:val="22"/>
                <w:szCs w:val="20"/>
              </w:rPr>
              <w:t>5,00 (1,91)</w:t>
            </w:r>
          </w:p>
        </w:tc>
      </w:tr>
      <w:tr w:rsidR="001069E7" w:rsidRPr="001069E7" w14:paraId="160C7D79" w14:textId="77777777" w:rsidTr="001069E7">
        <w:trPr>
          <w:trHeight w:val="301"/>
          <w:jc w:val="center"/>
        </w:trPr>
        <w:tc>
          <w:tcPr>
            <w:tcW w:w="2167" w:type="pct"/>
            <w:tcBorders>
              <w:top w:val="nil"/>
              <w:left w:val="nil"/>
              <w:bottom w:val="single" w:sz="4" w:space="0" w:color="auto"/>
              <w:right w:val="nil"/>
            </w:tcBorders>
            <w:shd w:val="clear" w:color="auto" w:fill="auto"/>
          </w:tcPr>
          <w:p w14:paraId="4274D0FB" w14:textId="77777777" w:rsidR="001069E7" w:rsidRPr="001069E7" w:rsidRDefault="001069E7" w:rsidP="009907A8">
            <w:pPr>
              <w:spacing w:line="360" w:lineRule="auto"/>
              <w:jc w:val="center"/>
              <w:textAlignment w:val="baseline"/>
              <w:rPr>
                <w:color w:val="000000" w:themeColor="text1"/>
                <w:sz w:val="22"/>
                <w:szCs w:val="20"/>
              </w:rPr>
            </w:pPr>
            <w:r w:rsidRPr="001069E7">
              <w:rPr>
                <w:color w:val="000000" w:themeColor="text1"/>
                <w:sz w:val="22"/>
                <w:szCs w:val="20"/>
              </w:rPr>
              <w:t>Militares</w:t>
            </w:r>
          </w:p>
        </w:tc>
        <w:tc>
          <w:tcPr>
            <w:tcW w:w="718" w:type="pct"/>
            <w:tcBorders>
              <w:top w:val="nil"/>
              <w:left w:val="nil"/>
              <w:bottom w:val="single" w:sz="4" w:space="0" w:color="auto"/>
              <w:right w:val="nil"/>
            </w:tcBorders>
            <w:shd w:val="clear" w:color="auto" w:fill="auto"/>
          </w:tcPr>
          <w:p w14:paraId="1681F8B7" w14:textId="77777777" w:rsidR="001069E7" w:rsidRPr="001069E7" w:rsidRDefault="001069E7" w:rsidP="009907A8">
            <w:pPr>
              <w:spacing w:line="360" w:lineRule="auto"/>
              <w:jc w:val="center"/>
              <w:textAlignment w:val="baseline"/>
              <w:rPr>
                <w:color w:val="000000" w:themeColor="text1"/>
                <w:sz w:val="22"/>
                <w:szCs w:val="20"/>
              </w:rPr>
            </w:pPr>
            <w:r w:rsidRPr="001069E7">
              <w:rPr>
                <w:color w:val="000000" w:themeColor="text1"/>
                <w:sz w:val="22"/>
                <w:szCs w:val="20"/>
              </w:rPr>
              <w:t>7,3</w:t>
            </w:r>
          </w:p>
        </w:tc>
        <w:tc>
          <w:tcPr>
            <w:tcW w:w="2115" w:type="pct"/>
            <w:tcBorders>
              <w:top w:val="nil"/>
              <w:left w:val="nil"/>
              <w:bottom w:val="single" w:sz="4" w:space="0" w:color="auto"/>
              <w:right w:val="nil"/>
            </w:tcBorders>
            <w:shd w:val="clear" w:color="auto" w:fill="auto"/>
          </w:tcPr>
          <w:p w14:paraId="132F3B8E" w14:textId="77777777" w:rsidR="001069E7" w:rsidRPr="001069E7" w:rsidRDefault="001069E7" w:rsidP="009907A8">
            <w:pPr>
              <w:spacing w:line="360" w:lineRule="auto"/>
              <w:jc w:val="center"/>
              <w:textAlignment w:val="baseline"/>
              <w:rPr>
                <w:color w:val="000000" w:themeColor="text1"/>
                <w:sz w:val="22"/>
                <w:szCs w:val="20"/>
              </w:rPr>
            </w:pPr>
            <w:r w:rsidRPr="001069E7">
              <w:rPr>
                <w:color w:val="000000" w:themeColor="text1"/>
                <w:sz w:val="22"/>
                <w:szCs w:val="20"/>
              </w:rPr>
              <w:t>2,85 (2,34)</w:t>
            </w:r>
          </w:p>
        </w:tc>
      </w:tr>
    </w:tbl>
    <w:bookmarkEnd w:id="9"/>
    <w:p w14:paraId="3ECB8C66" w14:textId="37B226CC" w:rsidR="001069E7" w:rsidRPr="001069E7" w:rsidRDefault="001069E7" w:rsidP="001069E7">
      <w:pPr>
        <w:pStyle w:val="Prrafocomn"/>
        <w:ind w:firstLine="0"/>
        <w:rPr>
          <w:lang w:val="pt-PT" w:eastAsia="en-US"/>
        </w:rPr>
      </w:pPr>
      <w:r w:rsidRPr="001069E7">
        <w:rPr>
          <w:i/>
          <w:iCs/>
          <w:lang w:val="pt-PT" w:eastAsia="en-US"/>
        </w:rPr>
        <w:t>Nota.</w:t>
      </w:r>
      <w:r w:rsidRPr="001069E7">
        <w:rPr>
          <w:lang w:val="pt-PT" w:eastAsia="en-US"/>
        </w:rPr>
        <w:t xml:space="preserve"> </w:t>
      </w:r>
      <w:r w:rsidRPr="001069E7">
        <w:rPr>
          <w:i/>
          <w:iCs/>
          <w:lang w:val="pt-PT" w:eastAsia="en-US"/>
        </w:rPr>
        <w:t>%</w:t>
      </w:r>
      <w:r w:rsidRPr="001069E7">
        <w:rPr>
          <w:lang w:val="pt-PT" w:eastAsia="en-US"/>
        </w:rPr>
        <w:t xml:space="preserve"> = percentual de participantes que espontaneamente evocaram a personalidade, </w:t>
      </w:r>
      <w:r w:rsidRPr="001069E7">
        <w:rPr>
          <w:i/>
          <w:iCs/>
          <w:lang w:val="pt-PT" w:eastAsia="en-US"/>
        </w:rPr>
        <w:t>M</w:t>
      </w:r>
      <w:r w:rsidRPr="001069E7">
        <w:rPr>
          <w:lang w:val="pt-PT" w:eastAsia="en-US"/>
        </w:rPr>
        <w:t xml:space="preserve"> = Média e </w:t>
      </w:r>
      <w:r w:rsidRPr="001069E7">
        <w:rPr>
          <w:i/>
          <w:iCs/>
          <w:lang w:val="pt-PT" w:eastAsia="en-US"/>
        </w:rPr>
        <w:t>DP</w:t>
      </w:r>
      <w:r w:rsidRPr="001069E7">
        <w:rPr>
          <w:lang w:val="pt-PT" w:eastAsia="en-US"/>
        </w:rPr>
        <w:t xml:space="preserve"> = Desvio-Padrão. *As personalidades “Indígenas” e “Afrodescendentes” são categorias que reúnem evocações desses grupos em diferentes termos empregados pelos participantes, tais como “Povos originários/nativos”, “Índios”, "Africanos e seus descendentes" e "Afro Brasileiros".</w:t>
      </w:r>
    </w:p>
    <w:p w14:paraId="28E87124" w14:textId="77777777" w:rsidR="001069E7" w:rsidRPr="001069E7" w:rsidRDefault="001069E7" w:rsidP="001069E7">
      <w:pPr>
        <w:pStyle w:val="Prrafocomn"/>
        <w:rPr>
          <w:lang w:val="pt-PT" w:eastAsia="en-US"/>
        </w:rPr>
      </w:pPr>
      <w:r w:rsidRPr="001069E7">
        <w:rPr>
          <w:lang w:val="pt-PT" w:eastAsia="en-US"/>
        </w:rPr>
        <w:t xml:space="preserve">Assim como em Portugal, é possível observar a ausência de mulheres na lista das personalidades mais evocadas pelos participantes brasileiros, embora tenham sido mencionadas personalidades femininas como Anita Garibaldi (revolucionária conhecida por sua participação na Revolução Farroupilha), Marielle Franco (socióloga, ativista e política brasileira, assassinada em um atentado em 2018) e Princesa Isabel (princesa que, enquanto regente do Império, assinou a Lei Áurea, que extinguiu a escravidão no Brasil em 1888), nenhuma delas teve mais de quatro evocações. </w:t>
      </w:r>
    </w:p>
    <w:p w14:paraId="784946AB" w14:textId="77777777" w:rsidR="001069E7" w:rsidRPr="001069E7" w:rsidRDefault="001069E7" w:rsidP="001069E7">
      <w:pPr>
        <w:pStyle w:val="Prrafocomn"/>
        <w:rPr>
          <w:lang w:val="pt-PT" w:eastAsia="en-US"/>
        </w:rPr>
      </w:pPr>
      <w:r w:rsidRPr="001069E7">
        <w:rPr>
          <w:lang w:val="pt-PT" w:eastAsia="en-US"/>
        </w:rPr>
        <w:t xml:space="preserve">Dentre as personalidades mais mencionadas, destacam-se políticos e governantes (homens), sendo quase metade da lista composta por ex-presidentes da história recente. Getúlio Vargas, personalidade no topo da lista, foi o 14.º presidente do Brasil, ocupando </w:t>
      </w:r>
      <w:r w:rsidRPr="001069E7">
        <w:rPr>
          <w:lang w:val="pt-PT" w:eastAsia="en-US"/>
        </w:rPr>
        <w:lastRenderedPageBreak/>
        <w:t xml:space="preserve">o cargo durante 19 anos. Getúlio pode ser considerado uma figura ambígua na história. Por um lado, lembrado pelo trabalho na consolidação das leis trabalhistas do país, por outro, pelo caráter ditatorial e a simpatia do governo com o nazismo. Lula da Silva (ex-metalúrgico, ex-sindicalista e 39.º presidente do Brasil desde 2023, além de ter sido o 35.º presidente, entre 2003 e 2011). Jair Bolsonaro (militar reformado e político brasileiro, 38.º presidente do Brasil, 2019 - 2022) e Juscelino Kubitschek (21.º presidente, entre 1956 e 1961 e o responsável pela construção da atual capital do país, Brasília). A única mulher que assumiu o cargo na história do Brasil (2011-2016), Dilma Rousseff, não compõe a lista dos mais evocados. </w:t>
      </w:r>
    </w:p>
    <w:p w14:paraId="2E291119" w14:textId="77777777" w:rsidR="001069E7" w:rsidRPr="001069E7" w:rsidRDefault="001069E7" w:rsidP="001069E7">
      <w:pPr>
        <w:pStyle w:val="Prrafocomn"/>
        <w:rPr>
          <w:lang w:val="pt-BR" w:eastAsia="en-US"/>
        </w:rPr>
      </w:pPr>
      <w:r w:rsidRPr="001069E7">
        <w:rPr>
          <w:lang w:val="pt-BR" w:eastAsia="en-US"/>
        </w:rPr>
        <w:t>No Brasil, a predominância de</w:t>
      </w:r>
      <w:r w:rsidRPr="001069E7">
        <w:rPr>
          <w:lang w:val="pt-PT" w:eastAsia="en-US"/>
        </w:rPr>
        <w:t xml:space="preserve"> políticos e governantes ainda foi mais acentuada do que em Portugal. </w:t>
      </w:r>
      <w:r w:rsidRPr="001069E7">
        <w:rPr>
          <w:lang w:val="pt-BR" w:eastAsia="en-US"/>
        </w:rPr>
        <w:t xml:space="preserve">Nenhum artista, por exemplo, foi mencionado mais de quatro vezes. Essa ausência pode se dar em função de diferenças culturais difíceis de mensurar, mas também ao contexto e ao perfil dos participantes quanto ao espectro político. No período da coleta de dados, acontecimentos como a prisão de Lula da Silva e a eleição de Jair Bolsonaro, bem como </w:t>
      </w:r>
      <w:r w:rsidRPr="001069E7">
        <w:rPr>
          <w:lang w:val="pt-PT" w:eastAsia="en-US"/>
        </w:rPr>
        <w:t xml:space="preserve">sua atualização mediática tornaram as questões políticas (e a polarização esquerda </w:t>
      </w:r>
      <w:r w:rsidRPr="001069E7">
        <w:rPr>
          <w:i/>
          <w:iCs/>
          <w:lang w:val="pt-PT" w:eastAsia="en-US"/>
        </w:rPr>
        <w:t>vs</w:t>
      </w:r>
      <w:r w:rsidRPr="001069E7">
        <w:rPr>
          <w:lang w:val="pt-PT" w:eastAsia="en-US"/>
        </w:rPr>
        <w:t>. direita) um dos temas mais proeminentes e centrais no debate público do país.</w:t>
      </w:r>
    </w:p>
    <w:p w14:paraId="7881B309" w14:textId="3BBD85F6" w:rsidR="001069E7" w:rsidRPr="001069E7" w:rsidRDefault="001069E7" w:rsidP="001069E7">
      <w:pPr>
        <w:pStyle w:val="Prrafocomn"/>
        <w:rPr>
          <w:lang w:val="pt-PT" w:eastAsia="en-US"/>
        </w:rPr>
      </w:pPr>
      <w:r w:rsidRPr="001069E7">
        <w:rPr>
          <w:lang w:val="pt-PT" w:eastAsia="en-US"/>
        </w:rPr>
        <w:t>Entre os participantes do Brasil, ainda que menções a pessoas singulares tenham predominado, também foram frequentes as nomeações a grupos, nomeadamente, “Indígenas” “Afrodescendentes”, os “Militares” e os “Colonizadores”. Os “Indígenas” representam os dif</w:t>
      </w:r>
      <w:r w:rsidR="00E04666">
        <w:rPr>
          <w:lang w:val="pt-PT" w:eastAsia="en-US"/>
        </w:rPr>
        <w:t>erentes povos</w:t>
      </w:r>
      <w:r w:rsidRPr="001069E7">
        <w:rPr>
          <w:lang w:val="pt-PT" w:eastAsia="en-US"/>
        </w:rPr>
        <w:t xml:space="preserve"> que habitam o Brasil desde milênios antes do início da colonização portuguesa. Já o termo “Afrodescendentes” representa aqui a parcela da população brasileira autoidentificada como descendente de povos nativos da África que foram escravizados no país. Durante o período da escravidão, entre os séculos XVI e XIX, o Brasil recebeu aproximadamente cinco milhões de africanos. A presença de “Indígenas” e “Afrodescendentes” pode ser resultado de políticas públicas e do fortalecimento de movimentos sociais em prol de uma maior igualdade e valorização da importância desses grupos na realidade brasileira, bem como da crescente reavaliação crítica de marcos históricos, como o “Descobrimento” e a Independência do país. </w:t>
      </w:r>
    </w:p>
    <w:p w14:paraId="22BE6100" w14:textId="5E87E3EA" w:rsidR="001069E7" w:rsidRPr="001069E7" w:rsidRDefault="001069E7" w:rsidP="001069E7">
      <w:pPr>
        <w:pStyle w:val="Prrafocomn"/>
        <w:rPr>
          <w:lang w:val="pt-PT" w:eastAsia="en-US"/>
        </w:rPr>
      </w:pPr>
      <w:r w:rsidRPr="001069E7">
        <w:rPr>
          <w:lang w:val="pt-PT" w:eastAsia="en-US"/>
        </w:rPr>
        <w:t xml:space="preserve">Os “militares” consistem no grupo marcado pelo histórico repressivo da ditadura militar brasileira, regime instaurado em 1964 e que durou até 1985. E o termo “Colonizadores”, por sua vez, representa o grupo responsável pela colonização do Brasil. A Coroa Portuguesa implementou a política de colonização a partir da década de 1530, </w:t>
      </w:r>
      <w:r w:rsidRPr="001069E7">
        <w:rPr>
          <w:lang w:val="pt-PT" w:eastAsia="en-US"/>
        </w:rPr>
        <w:lastRenderedPageBreak/>
        <w:t xml:space="preserve">marcada pela exploração em ciclos econômicos </w:t>
      </w:r>
      <w:r w:rsidR="00172762">
        <w:rPr>
          <w:lang w:val="pt-PT" w:eastAsia="en-US"/>
        </w:rPr>
        <w:t>-</w:t>
      </w:r>
      <w:r w:rsidRPr="001069E7">
        <w:rPr>
          <w:lang w:val="pt-PT" w:eastAsia="en-US"/>
        </w:rPr>
        <w:t xml:space="preserve"> pau-brasil, açúcar e ouro </w:t>
      </w:r>
      <w:r w:rsidR="00172762">
        <w:rPr>
          <w:lang w:val="pt-PT" w:eastAsia="en-US"/>
        </w:rPr>
        <w:t>-</w:t>
      </w:r>
      <w:r w:rsidRPr="001069E7">
        <w:rPr>
          <w:lang w:val="pt-PT" w:eastAsia="en-US"/>
        </w:rPr>
        <w:t xml:space="preserve">, além da escravização de indígenas e africanos. </w:t>
      </w:r>
    </w:p>
    <w:p w14:paraId="7C9BF2DF" w14:textId="5A769AD4" w:rsidR="001069E7" w:rsidRPr="001069E7" w:rsidRDefault="001069E7" w:rsidP="001069E7">
      <w:pPr>
        <w:pStyle w:val="Prrafocomn"/>
        <w:rPr>
          <w:lang w:val="pt-BR" w:eastAsia="en-US"/>
        </w:rPr>
      </w:pPr>
      <w:r w:rsidRPr="001069E7">
        <w:rPr>
          <w:lang w:val="pt-BR" w:eastAsia="en-US"/>
        </w:rPr>
        <w:t>Além disso, a temática do colonialismo emerge na evocação desses grupos, mas, também, na presença de representantes da coroa portuguesa, como D. Pedro I</w:t>
      </w:r>
      <w:r w:rsidR="000C5B73">
        <w:rPr>
          <w:lang w:val="pt-BR" w:eastAsia="en-US"/>
        </w:rPr>
        <w:t xml:space="preserve"> (primeiro Imperador do Brasil, </w:t>
      </w:r>
      <w:r w:rsidRPr="001069E7">
        <w:rPr>
          <w:lang w:val="pt-BR" w:eastAsia="en-US"/>
        </w:rPr>
        <w:t>1822-1831) e D. Pedro II (segundo e último monarca do Império do Brasil, tendo imperado du</w:t>
      </w:r>
      <w:r w:rsidR="000C5B73">
        <w:rPr>
          <w:lang w:val="pt-BR" w:eastAsia="en-US"/>
        </w:rPr>
        <w:t>rante um período de 58 anos, 1831-</w:t>
      </w:r>
      <w:r w:rsidRPr="001069E7">
        <w:rPr>
          <w:lang w:val="pt-BR" w:eastAsia="en-US"/>
        </w:rPr>
        <w:t xml:space="preserve">1889). Embora haja evidências do crescimento de uma leitura mais crítica acerca da história (Cabecinhas et al., 2006; </w:t>
      </w:r>
      <w:proofErr w:type="spellStart"/>
      <w:r w:rsidRPr="001069E7">
        <w:rPr>
          <w:lang w:val="pt-BR" w:eastAsia="en-US"/>
        </w:rPr>
        <w:t>Techio</w:t>
      </w:r>
      <w:proofErr w:type="spellEnd"/>
      <w:r w:rsidRPr="001069E7">
        <w:rPr>
          <w:lang w:val="pt-BR" w:eastAsia="en-US"/>
        </w:rPr>
        <w:t xml:space="preserve"> et al., no prelo), tais personalidades ainda apresentam avaliações positivas neste estudo (em média seis pontos na escala de valência), o que pode representar a força e manutenção da narrativa histórica dominante. Pois, marcos como a independência do Brasil ou a abolição da escravatura continuam a ser narrados enquanto atos heroicos ou benevolentes dos representantes da coroa portuguesa (grito do Ipiranga; assinatura da Lei Áurea), negligenciando a importância das diversas lutas populares que enfraqueceram o colonialismo e o regime escravocrata. </w:t>
      </w:r>
    </w:p>
    <w:p w14:paraId="05C145DC" w14:textId="758C83A0" w:rsidR="001069E7" w:rsidRPr="001069E7" w:rsidRDefault="001069E7" w:rsidP="001069E7">
      <w:pPr>
        <w:pStyle w:val="Prrafocomn"/>
        <w:rPr>
          <w:lang w:val="pt-BR" w:eastAsia="en-US"/>
        </w:rPr>
      </w:pPr>
      <w:r w:rsidRPr="001069E7">
        <w:rPr>
          <w:lang w:val="pt-BR" w:eastAsia="en-US"/>
        </w:rPr>
        <w:t xml:space="preserve">Entretanto, a presença e avaliação positiva de grupos </w:t>
      </w:r>
      <w:proofErr w:type="spellStart"/>
      <w:r w:rsidRPr="001069E7">
        <w:rPr>
          <w:lang w:val="pt-BR" w:eastAsia="en-US"/>
        </w:rPr>
        <w:t>minorizados</w:t>
      </w:r>
      <w:proofErr w:type="spellEnd"/>
      <w:r w:rsidRPr="001069E7">
        <w:rPr>
          <w:lang w:val="pt-BR" w:eastAsia="en-US"/>
        </w:rPr>
        <w:t>, como os “Indígenas” (</w:t>
      </w:r>
      <w:r w:rsidRPr="001069E7">
        <w:rPr>
          <w:i/>
          <w:iCs/>
          <w:lang w:val="pt-BR" w:eastAsia="en-US"/>
        </w:rPr>
        <w:t xml:space="preserve">M </w:t>
      </w:r>
      <w:r w:rsidRPr="001069E7">
        <w:rPr>
          <w:lang w:val="pt-BR" w:eastAsia="en-US"/>
        </w:rPr>
        <w:t>= 6,77) e “Afrodescendentes” (</w:t>
      </w:r>
      <w:r w:rsidRPr="001069E7">
        <w:rPr>
          <w:i/>
          <w:iCs/>
          <w:lang w:val="pt-BR" w:eastAsia="en-US"/>
        </w:rPr>
        <w:t>M</w:t>
      </w:r>
      <w:r>
        <w:rPr>
          <w:lang w:val="pt-BR" w:eastAsia="en-US"/>
        </w:rPr>
        <w:t xml:space="preserve"> = 6,73</w:t>
      </w:r>
      <w:r w:rsidRPr="001069E7">
        <w:rPr>
          <w:lang w:val="pt-BR" w:eastAsia="en-US"/>
        </w:rPr>
        <w:t>), as mais altas média</w:t>
      </w:r>
      <w:r>
        <w:rPr>
          <w:lang w:val="pt-BR" w:eastAsia="en-US"/>
        </w:rPr>
        <w:t>s</w:t>
      </w:r>
      <w:r w:rsidRPr="001069E7">
        <w:rPr>
          <w:lang w:val="pt-BR" w:eastAsia="en-US"/>
        </w:rPr>
        <w:t xml:space="preserve"> de valências no </w:t>
      </w:r>
      <w:r w:rsidRPr="001069E7">
        <w:rPr>
          <w:i/>
          <w:iCs/>
          <w:lang w:val="pt-BR" w:eastAsia="en-US"/>
        </w:rPr>
        <w:t>top</w:t>
      </w:r>
      <w:r w:rsidRPr="001069E7">
        <w:rPr>
          <w:lang w:val="pt-BR" w:eastAsia="en-US"/>
        </w:rPr>
        <w:t xml:space="preserve"> 10, por um lado, e a avaliação negativa dos “Colonizadores” (</w:t>
      </w:r>
      <w:r w:rsidRPr="001069E7">
        <w:rPr>
          <w:i/>
          <w:iCs/>
          <w:lang w:val="pt-BR" w:eastAsia="en-US"/>
        </w:rPr>
        <w:t>M</w:t>
      </w:r>
      <w:r w:rsidRPr="001069E7">
        <w:rPr>
          <w:lang w:val="pt-BR" w:eastAsia="en-US"/>
        </w:rPr>
        <w:t xml:space="preserve"> = 2,3), a mais baixa valência, por outro lado, parecem simbolizar um processo de reconstrução crítica do passado colonial em curso no Brasil. Embora não esteja entre o </w:t>
      </w:r>
      <w:r w:rsidRPr="001069E7">
        <w:rPr>
          <w:i/>
          <w:iCs/>
          <w:lang w:val="pt-BR" w:eastAsia="en-US"/>
        </w:rPr>
        <w:t>Top 10</w:t>
      </w:r>
      <w:r w:rsidRPr="001069E7">
        <w:rPr>
          <w:lang w:val="pt-BR" w:eastAsia="en-US"/>
        </w:rPr>
        <w:t xml:space="preserve">, a figura de Zumbi dos Palmares (11º lugar), por exemplo, importante símbolo da resistência negra, líder do maior quilombo do período colonial, parece compor essa atualização contra hegemônica da história nacional, ao relembrar que não houve nada pacífico na luta contra a escravidão e pela independência do Brasil. </w:t>
      </w:r>
    </w:p>
    <w:p w14:paraId="6F360436" w14:textId="77777777" w:rsidR="001069E7" w:rsidRPr="001069E7" w:rsidRDefault="001069E7" w:rsidP="001069E7">
      <w:pPr>
        <w:pStyle w:val="Ttulosinternos"/>
      </w:pPr>
      <w:r w:rsidRPr="001069E7">
        <w:t>Discussão Geral</w:t>
      </w:r>
    </w:p>
    <w:p w14:paraId="064C77E4" w14:textId="77777777" w:rsidR="001069E7" w:rsidRPr="001069E7" w:rsidRDefault="001069E7" w:rsidP="001069E7">
      <w:pPr>
        <w:pStyle w:val="Prrafocomn"/>
        <w:rPr>
          <w:lang w:val="pt-PT" w:eastAsia="en-US"/>
        </w:rPr>
      </w:pPr>
      <w:r w:rsidRPr="001069E7">
        <w:rPr>
          <w:lang w:val="pt-PT" w:eastAsia="en-US"/>
        </w:rPr>
        <w:t>Embora a comparação entre os dados dos dois países não esteja entre os objetivos deste estudo (nem seja possível em função de características da amostra: não-representativas e com assimetrias na distribuição, em termos de idade e gênero), propomos nesta seção</w:t>
      </w:r>
      <w:r w:rsidRPr="001069E7">
        <w:rPr>
          <w:b/>
          <w:bCs/>
          <w:lang w:val="pt-PT" w:eastAsia="en-US"/>
        </w:rPr>
        <w:t xml:space="preserve"> </w:t>
      </w:r>
      <w:r w:rsidRPr="001069E7">
        <w:rPr>
          <w:lang w:val="pt-PT" w:eastAsia="en-US"/>
        </w:rPr>
        <w:t>algumas reflexões a partir da relação entre as personalidades históricas mais recordadas pelos participantes dos dois países.</w:t>
      </w:r>
      <w:r w:rsidRPr="001069E7">
        <w:rPr>
          <w:b/>
          <w:bCs/>
          <w:lang w:val="pt-PT" w:eastAsia="en-US"/>
        </w:rPr>
        <w:t xml:space="preserve"> </w:t>
      </w:r>
      <w:r w:rsidRPr="001069E7">
        <w:rPr>
          <w:lang w:val="pt-PT" w:eastAsia="en-US"/>
        </w:rPr>
        <w:t>De maneira geral, as evocações tanto dos participantes brasileiros quando dos portugueses parecem corroborar com os achados da literatura</w:t>
      </w:r>
      <w:bookmarkStart w:id="10" w:name="_Hlk144672079"/>
      <w:bookmarkStart w:id="11" w:name="_Hlk150868004"/>
      <w:r w:rsidRPr="001069E7">
        <w:rPr>
          <w:lang w:val="pt-PT" w:eastAsia="en-US"/>
        </w:rPr>
        <w:t xml:space="preserve"> (e.g., Cabecinhas, 2019; Hilton &amp; Liu, 2017; Páez et al., 2016), especialmente, quanto às ausências</w:t>
      </w:r>
      <w:bookmarkEnd w:id="10"/>
      <w:r w:rsidRPr="001069E7">
        <w:rPr>
          <w:lang w:val="pt-PT" w:eastAsia="en-US"/>
        </w:rPr>
        <w:t xml:space="preserve"> ou assimetrias. </w:t>
      </w:r>
    </w:p>
    <w:p w14:paraId="3EA02B70" w14:textId="77777777" w:rsidR="001069E7" w:rsidRPr="001069E7" w:rsidRDefault="001069E7" w:rsidP="001069E7">
      <w:pPr>
        <w:pStyle w:val="Prrafocomn"/>
        <w:rPr>
          <w:b/>
          <w:bCs/>
          <w:lang w:val="pt-PT" w:eastAsia="en-US"/>
        </w:rPr>
      </w:pPr>
      <w:r w:rsidRPr="001069E7">
        <w:rPr>
          <w:lang w:val="pt-PT" w:eastAsia="en-US"/>
        </w:rPr>
        <w:lastRenderedPageBreak/>
        <w:t xml:space="preserve">Em ambos os países, os dados evidenciam representações da história androcêntricas, não havendo nenhuma mulher no </w:t>
      </w:r>
      <w:r w:rsidRPr="001069E7">
        <w:rPr>
          <w:i/>
          <w:iCs/>
          <w:lang w:val="pt-PT" w:eastAsia="en-US"/>
        </w:rPr>
        <w:t>Top</w:t>
      </w:r>
      <w:r w:rsidRPr="001069E7">
        <w:rPr>
          <w:lang w:val="pt-PT" w:eastAsia="en-US"/>
        </w:rPr>
        <w:t xml:space="preserve"> 10 das personalidades evocadas. Isso não significa, por si só, que os participantes sejam preconceituosos contra as mulheres em um nível de análise individual. O que essa ausência indica é, sobretudo, como a discriminação de gênero é uma questão sistêmica de grande impacto, refletindo-se no silenciamento do papel das mulheres na história. Como a ideia de superioridade racial e cultural do homem branco e a sua “missão civilizadora” é uma das dimensões fundamentais do sistema ideológico colonial (Henriques, 2020), a tarefa de visibilizar as mulheres da história é também parte dos desafios decoloniais do presente.</w:t>
      </w:r>
    </w:p>
    <w:p w14:paraId="21AF37B7" w14:textId="77777777" w:rsidR="001069E7" w:rsidRPr="001069E7" w:rsidRDefault="001069E7" w:rsidP="001069E7">
      <w:pPr>
        <w:pStyle w:val="Prrafocomn"/>
        <w:rPr>
          <w:lang w:val="pt-PT" w:eastAsia="en-US"/>
        </w:rPr>
      </w:pPr>
      <w:r w:rsidRPr="001069E7">
        <w:rPr>
          <w:lang w:val="pt-PT" w:eastAsia="en-US"/>
        </w:rPr>
        <w:t>Além disso, a análise das evocações dos participantes do Brasil e de Portugal indica a centralidade da política e, consequentemente, a negligência de outras áreas, como a científica ou ambiental (questão que se torna ainda mais relevante se considerarmos que os participantes são quase todos universitários); além do efeito de recência e uma tendência para o solipsismo: os participantes nomearam mais pessoas singulares e poucos grupos ou movimentos sociais. No Brasil, esse efeito foi menos acentuado, pois houve grupos nacionais importantes entre os mais evocados</w:t>
      </w:r>
      <w:bookmarkEnd w:id="11"/>
      <w:r w:rsidRPr="001069E7">
        <w:rPr>
          <w:lang w:val="pt-PT" w:eastAsia="en-US"/>
        </w:rPr>
        <w:t>.</w:t>
      </w:r>
    </w:p>
    <w:p w14:paraId="59F91AA8" w14:textId="249B8E59" w:rsidR="001069E7" w:rsidRPr="001069E7" w:rsidRDefault="001069E7" w:rsidP="001069E7">
      <w:pPr>
        <w:pStyle w:val="Prrafocomn"/>
        <w:rPr>
          <w:lang w:val="pt-PT" w:eastAsia="en-US"/>
        </w:rPr>
      </w:pPr>
      <w:r w:rsidRPr="001069E7">
        <w:rPr>
          <w:lang w:val="pt-PT" w:eastAsia="en-US"/>
        </w:rPr>
        <w:t xml:space="preserve">Observa-se, também, nessas evocações, a centralidade dos “heróis nacionais”, figuras relacionadas a narrativas de conquistas e conflitos. Enquanto que no caso dos participantes portugueses todas as personalidades que compõem o </w:t>
      </w:r>
      <w:r w:rsidRPr="001069E7">
        <w:rPr>
          <w:i/>
          <w:iCs/>
          <w:lang w:val="pt-PT" w:eastAsia="en-US"/>
        </w:rPr>
        <w:t>Top 10</w:t>
      </w:r>
      <w:r w:rsidRPr="001069E7">
        <w:rPr>
          <w:lang w:val="pt-PT" w:eastAsia="en-US"/>
        </w:rPr>
        <w:t xml:space="preserve"> são homens e portugueses, no caso dos participantes brasileiros são nomeadas personalidades de origem portuguesa ou representantes de Portugal durante o período colonial. Cabe refletir sobre a presença dessas personalidades entre as consideradas mais importantes na história do país, em detrimento de personalidades brasileiras. Nessa direção, alguns autores têm evidenciado como, apesar de serem frequentemente subestimados, o colonialismo e seus efeitos opressivos continuam a moldar as mentalidades e ainda estão </w:t>
      </w:r>
      <w:r w:rsidRPr="001069E7">
        <w:rPr>
          <w:lang w:val="pt-BR" w:eastAsia="en-US"/>
        </w:rPr>
        <w:t xml:space="preserve">presentes nas atuais dinâmicas psicossociais entre antigos povos colonizados e colonizadores, </w:t>
      </w:r>
      <w:r w:rsidRPr="001069E7">
        <w:rPr>
          <w:lang w:val="pt-PT" w:eastAsia="en-US"/>
        </w:rPr>
        <w:t xml:space="preserve">atuando na reprodução de determinados estereótipos sociais e na manutenção do colonialismo como forma de relação social (Bobowik, et al., 2018; Quijano, 2005; </w:t>
      </w:r>
      <w:r w:rsidR="002F3DCD" w:rsidRPr="001069E7">
        <w:rPr>
          <w:lang w:val="pt-PT" w:eastAsia="en-US"/>
        </w:rPr>
        <w:t>Licata</w:t>
      </w:r>
      <w:r w:rsidR="002F3DCD" w:rsidRPr="001069E7">
        <w:rPr>
          <w:lang w:val="pt-PT" w:eastAsia="en-US"/>
        </w:rPr>
        <w:t xml:space="preserve"> </w:t>
      </w:r>
      <w:r w:rsidR="002F3DCD">
        <w:rPr>
          <w:lang w:val="pt-PT" w:eastAsia="en-US"/>
        </w:rPr>
        <w:t xml:space="preserve">&amp; </w:t>
      </w:r>
      <w:r w:rsidRPr="001069E7">
        <w:rPr>
          <w:lang w:val="pt-PT" w:eastAsia="en-US"/>
        </w:rPr>
        <w:t>Vol</w:t>
      </w:r>
      <w:r w:rsidR="002F3DCD">
        <w:rPr>
          <w:lang w:val="pt-PT" w:eastAsia="en-US"/>
        </w:rPr>
        <w:t>pato</w:t>
      </w:r>
      <w:r w:rsidRPr="001069E7">
        <w:rPr>
          <w:lang w:val="pt-PT" w:eastAsia="en-US"/>
        </w:rPr>
        <w:t xml:space="preserve">, 2010). </w:t>
      </w:r>
    </w:p>
    <w:p w14:paraId="44807B31" w14:textId="77777777" w:rsidR="001069E7" w:rsidRPr="001069E7" w:rsidRDefault="001069E7" w:rsidP="001069E7">
      <w:pPr>
        <w:pStyle w:val="Prrafocomn"/>
        <w:rPr>
          <w:lang w:val="pt-PT" w:eastAsia="en-US"/>
        </w:rPr>
      </w:pPr>
      <w:proofErr w:type="spellStart"/>
      <w:r w:rsidRPr="001069E7">
        <w:rPr>
          <w:lang w:val="pt-BR" w:eastAsia="en-US"/>
        </w:rPr>
        <w:t>Licata</w:t>
      </w:r>
      <w:proofErr w:type="spellEnd"/>
      <w:r w:rsidRPr="001069E7">
        <w:rPr>
          <w:lang w:val="pt-BR" w:eastAsia="en-US"/>
        </w:rPr>
        <w:t xml:space="preserve"> et al. </w:t>
      </w:r>
      <w:r w:rsidRPr="001069E7">
        <w:rPr>
          <w:lang w:val="pt-PT" w:eastAsia="en-US"/>
        </w:rPr>
        <w:t xml:space="preserve">(2018), por exemplo, mostraram que as representações sociais do colonialismo estavam associadas à identificação nacional entre os participantes de países africanos anteriormente colonizados, mas não entre os participantes de países europeus anteriormente colonizadores, como se o colonialismo não tivesse impactado também a Europa. Nessa direção, para Ribeiro e Ribeiro (2016) é fundamental discutir como o imperialismo definiu a Europa e como ela também precisa ser descolonizada, por meio </w:t>
      </w:r>
      <w:r w:rsidRPr="001069E7">
        <w:rPr>
          <w:lang w:val="pt-PT" w:eastAsia="en-US"/>
        </w:rPr>
        <w:lastRenderedPageBreak/>
        <w:t>de um “trabalho da memória”. Para os autores, esse trabalho se tornou um imperativo simultaneamente político e ético, a fim de promover reflexões que tragam para o centro do debate as incidências contemporâneas do passado colonial.</w:t>
      </w:r>
    </w:p>
    <w:p w14:paraId="1002F0AD" w14:textId="77777777" w:rsidR="001069E7" w:rsidRPr="001069E7" w:rsidRDefault="001069E7" w:rsidP="001069E7">
      <w:pPr>
        <w:pStyle w:val="Prrafocomn"/>
        <w:rPr>
          <w:lang w:val="pt-PT" w:eastAsia="en-US"/>
        </w:rPr>
      </w:pPr>
      <w:r w:rsidRPr="001069E7">
        <w:rPr>
          <w:lang w:val="pt-PT" w:eastAsia="en-US"/>
        </w:rPr>
        <w:t xml:space="preserve">Entre os brasileiros que participaram deste estudo, parece haver uma contraposição entre a versão contada pelos grupos dominantes (“D. Pedro I” e “D. Pedro II”) e as lutas populares de resistência (“Indígenas” e “Afrodescendentes”). O que leva a uma reflexão sobre o papel determinante do poder nas representações sociais da história. Pois, em uma dimensão linguística, poder é o que determina como as histórias são contadas, por quem e quando são contadas. “Poder é a capacidade de contar a história de outra pessoa e torná-la sua história definitiva” (Adichie, 2009, p. 16). </w:t>
      </w:r>
    </w:p>
    <w:p w14:paraId="5BD7E993" w14:textId="7305CA6C" w:rsidR="001069E7" w:rsidRPr="001069E7" w:rsidRDefault="001069E7" w:rsidP="001069E7">
      <w:pPr>
        <w:pStyle w:val="Prrafocomn"/>
        <w:rPr>
          <w:lang w:val="pt-PT" w:eastAsia="en-US"/>
        </w:rPr>
      </w:pPr>
      <w:r w:rsidRPr="001069E7">
        <w:rPr>
          <w:lang w:val="pt-PT" w:eastAsia="en-US"/>
        </w:rPr>
        <w:t xml:space="preserve">Com isso, cabe questionar: como a reflexão sobre a memória social a partir das personalidades históricas pode ser útil para o enfrentamento dos desafios decoloniais? Em resposta, vários trabalhos (e.g. Bouchat et al., 2023; Cabecinhas </w:t>
      </w:r>
      <w:r w:rsidR="002F3DCD">
        <w:rPr>
          <w:lang w:val="pt-PT" w:eastAsia="en-US"/>
        </w:rPr>
        <w:t xml:space="preserve">&amp; Nhaga, 2008; </w:t>
      </w:r>
      <w:r w:rsidR="002F3DCD" w:rsidRPr="001069E7">
        <w:rPr>
          <w:lang w:val="pt-PT" w:eastAsia="en-US"/>
        </w:rPr>
        <w:t>Licata</w:t>
      </w:r>
      <w:r w:rsidR="002F3DCD">
        <w:rPr>
          <w:lang w:val="pt-PT" w:eastAsia="en-US"/>
        </w:rPr>
        <w:t xml:space="preserve"> &amp; Volpato</w:t>
      </w:r>
      <w:r w:rsidRPr="001069E7">
        <w:rPr>
          <w:lang w:val="pt-PT" w:eastAsia="en-US"/>
        </w:rPr>
        <w:t>, 2010) têm ressaltado que embora as memórias de conflitos passados muitas vezes constituam entraves ao diálogo, a mobilização de diferentes visões do passado, por outro lado, pode auxiliar a reconciliação intergrupal, o respeito e reconhecimento mútuo. Assim, dar a conhecer os diferentes olhares sobre o passado é essencial no combate ao apagamento da memória de algumas pessoas e grupos minorizados (Cabecinhas, 2023; Gutman &amp; Wüstenberg, 2023). Nesse contexto, a descolonização do pensamento, de modo a desconstruir “velhos” estereótipos e as continuidades do colonialismo como forma de relação social (Quijano, 2005) é uma tarefa particularmente desafiante.</w:t>
      </w:r>
    </w:p>
    <w:p w14:paraId="7EB2CA31" w14:textId="77777777" w:rsidR="001069E7" w:rsidRPr="001069E7" w:rsidRDefault="001069E7" w:rsidP="001069E7">
      <w:pPr>
        <w:pStyle w:val="Ttulosinternos"/>
      </w:pPr>
      <w:r w:rsidRPr="001069E7">
        <w:t>Considerações finais</w:t>
      </w:r>
    </w:p>
    <w:p w14:paraId="2C03B98E" w14:textId="77777777" w:rsidR="001069E7" w:rsidRPr="001069E7" w:rsidRDefault="001069E7" w:rsidP="001069E7">
      <w:pPr>
        <w:pStyle w:val="Prrafocomn"/>
        <w:rPr>
          <w:lang w:val="pt-PT" w:eastAsia="en-US"/>
        </w:rPr>
      </w:pPr>
      <w:r w:rsidRPr="001069E7">
        <w:rPr>
          <w:lang w:val="pt-PT" w:eastAsia="en-US"/>
        </w:rPr>
        <w:t>Neste artigo,</w:t>
      </w:r>
      <w:bookmarkStart w:id="12" w:name="_Hlk147896292"/>
      <w:r w:rsidRPr="001069E7">
        <w:rPr>
          <w:lang w:val="pt-PT" w:eastAsia="en-US"/>
        </w:rPr>
        <w:t xml:space="preserve"> nosso objetivo principal foi refletir sobre a memória social e os desafios decoloniais do presente a partir da análise de um estudo sobre representações de personalidades históricas, realizado no Brasil e em Portugal. </w:t>
      </w:r>
      <w:bookmarkEnd w:id="12"/>
      <w:r w:rsidRPr="001069E7">
        <w:rPr>
          <w:lang w:val="pt-PT" w:eastAsia="en-US"/>
        </w:rPr>
        <w:t>Em resposta a esse objetivo, destacamos que personalidades relacionadas ao passado colonial foram espontaneamente evocadas nos dois países, embora com diferentes avaliações quanto ao seu impacto na história nacional.</w:t>
      </w:r>
    </w:p>
    <w:p w14:paraId="25F24AE3" w14:textId="3495F075" w:rsidR="001069E7" w:rsidRPr="001069E7" w:rsidRDefault="001069E7" w:rsidP="001069E7">
      <w:pPr>
        <w:pStyle w:val="Prrafocomn"/>
        <w:rPr>
          <w:lang w:val="pt-PT" w:eastAsia="en-US"/>
        </w:rPr>
      </w:pPr>
      <w:r w:rsidRPr="001069E7">
        <w:rPr>
          <w:lang w:val="pt-PT" w:eastAsia="en-US"/>
        </w:rPr>
        <w:t xml:space="preserve">A recorrência e a avaliação positiva dos navegadores em Portugal, além da não referência a personalidades inequivocamente relacionadas ao processo de descolonização e à luta contra a violência colonial, parecem indicar a continuidade de uma visão positiva dos “Descobrimentos” (para os participantes deste estudo) como forma de manter uma </w:t>
      </w:r>
      <w:r w:rsidRPr="001069E7">
        <w:rPr>
          <w:lang w:val="pt-PT" w:eastAsia="en-US"/>
        </w:rPr>
        <w:lastRenderedPageBreak/>
        <w:t>identidade positiva, uma vez que o passado é lido, “esquecido” e reconstruído de forma a manter a identidade positiva dos grupos. Em oposição a esse silêncio a respeito do colonialismo e seus efeitos mais brutais, como o tráfico humano e outras formas de opressão, entre os participantes brasileiros, os “colonizadores” foram as personalidades com pior</w:t>
      </w:r>
      <w:r w:rsidR="00191008">
        <w:rPr>
          <w:lang w:val="pt-PT" w:eastAsia="en-US"/>
        </w:rPr>
        <w:t xml:space="preserve"> avaliação entre os mais evocada</w:t>
      </w:r>
      <w:r w:rsidRPr="001069E7">
        <w:rPr>
          <w:lang w:val="pt-PT" w:eastAsia="en-US"/>
        </w:rPr>
        <w:t xml:space="preserve">s. Já “Indígenas” e “Afrodescendentes”, enquanto símbolo de luta e resistência, foram as personalidades melhor avaliadas. </w:t>
      </w:r>
    </w:p>
    <w:p w14:paraId="5B2FB92F" w14:textId="77777777" w:rsidR="001069E7" w:rsidRPr="001069E7" w:rsidRDefault="001069E7" w:rsidP="001069E7">
      <w:pPr>
        <w:pStyle w:val="Prrafocomn"/>
        <w:rPr>
          <w:lang w:val="pt-PT" w:eastAsia="en-US"/>
        </w:rPr>
      </w:pPr>
      <w:r w:rsidRPr="001069E7">
        <w:rPr>
          <w:lang w:val="pt-PT" w:eastAsia="en-US"/>
        </w:rPr>
        <w:t xml:space="preserve">Porém, figuras relacionadas ao passado colonial como D. Pedro I e D. Pedro II também permaneceram centrais nas representações sociais da história para os participantes no Brasil, sendo avaliados positivamente. Assim, narrativas abertamente críticas e enfáticas quanto ao caráter negativo e de exploração do colonialismo parecem coexistir com outras que celebram os colonizadores e sua importância histórica. Cabe discutir as consequências dessa centralidade no quadro dos desafios decoloniais e refletir sobre as “âncoras” ativadas na evocação de cada uma dessas personalidades (Cabecinhas et al, 2006). Tais ambivalências quanto às personalidades relacionadas ao colonialismo evidenciam como a memória social é um “campo de disputa” e de luta simbólica entre grupos. Entretanto, cabe salientar que este é um estudo exploratório, não sendo possível generalizar seus resultados para toda a população do Brasil ou de Portugal, pois não foram usadas amostras representativas. </w:t>
      </w:r>
    </w:p>
    <w:p w14:paraId="50E02E4B" w14:textId="77777777" w:rsidR="001069E7" w:rsidRPr="001069E7" w:rsidRDefault="001069E7" w:rsidP="001069E7">
      <w:pPr>
        <w:pStyle w:val="Prrafocomn"/>
        <w:rPr>
          <w:lang w:val="pt-PT" w:eastAsia="en-US"/>
        </w:rPr>
      </w:pPr>
      <w:r w:rsidRPr="001069E7">
        <w:rPr>
          <w:lang w:val="pt-PT" w:eastAsia="en-US"/>
        </w:rPr>
        <w:t>Enquanto limitações, é importante referir as diferenças específicas quanto aos participantes e instrumentos aplicados nos dois países. A questão da distribuição da amostra em termos de idade e gênero, por exemplo, impossibilita a comparação e contraste entre os dados. Em função de tal assimetria, os resultados relatados podem ser influenciados pelas diferenças de gênero, por exemplo, e não apenas pelo enquadramento em termos da nacionalidade. Diante disso, reforçamos que não temos a intenção de fazer inferências ou extrapolações para a população em geral de cada país. O objetivo é promover reflexões a partir da relação entre as personalidades mais recordadas pelos participantes, considerando que os mesmos estão inseridos em diferentes realidades e momentos históricos.</w:t>
      </w:r>
    </w:p>
    <w:p w14:paraId="435CD481" w14:textId="77777777" w:rsidR="001069E7" w:rsidRPr="001069E7" w:rsidRDefault="001069E7" w:rsidP="001069E7">
      <w:pPr>
        <w:pStyle w:val="Prrafocomn"/>
        <w:rPr>
          <w:lang w:val="pt-PT" w:eastAsia="en-US"/>
        </w:rPr>
      </w:pPr>
      <w:r w:rsidRPr="001069E7">
        <w:rPr>
          <w:lang w:val="pt-PT" w:eastAsia="en-US"/>
        </w:rPr>
        <w:t xml:space="preserve">Outra limitação a ser considerada na leitura desses resultados é o período de coleta de dados entre os dois países. A coleta de dados em Portugal ocorreu em 2015/2016 enquanto no Brasil em 2021/2022, cobrindo um período de intensas transformações sociais em todo o mundo, com a pandemia de COVID-19 e a intensificação dos movimentos decoloniais e as mobilizações antirracistas do movimento </w:t>
      </w:r>
      <w:r w:rsidRPr="001069E7">
        <w:rPr>
          <w:i/>
          <w:iCs/>
          <w:lang w:val="pt-PT" w:eastAsia="en-US"/>
        </w:rPr>
        <w:t>Black Lives Matter,</w:t>
      </w:r>
      <w:r w:rsidRPr="001069E7">
        <w:rPr>
          <w:lang w:val="pt-PT" w:eastAsia="en-US"/>
        </w:rPr>
        <w:t xml:space="preserve"> após o assassinato de George Floyd nos EUA. Nessa direção, novos estudos </w:t>
      </w:r>
      <w:r w:rsidRPr="001069E7">
        <w:rPr>
          <w:lang w:val="pt-PT" w:eastAsia="en-US"/>
        </w:rPr>
        <w:lastRenderedPageBreak/>
        <w:t xml:space="preserve">podem ser realizados a fim de avaliar, inclusive, o impacto desses acontecimentos na memória social. </w:t>
      </w:r>
    </w:p>
    <w:p w14:paraId="5B5129DC" w14:textId="77777777" w:rsidR="001069E7" w:rsidRPr="001069E7" w:rsidRDefault="001069E7" w:rsidP="001069E7">
      <w:pPr>
        <w:pStyle w:val="Prrafocomn"/>
        <w:rPr>
          <w:lang w:val="pt-PT" w:eastAsia="en-US"/>
        </w:rPr>
      </w:pPr>
      <w:r w:rsidRPr="001069E7">
        <w:rPr>
          <w:lang w:val="pt-PT" w:eastAsia="en-US"/>
        </w:rPr>
        <w:t xml:space="preserve">Estudos futuros podem considerar também uma amostra mais ampla e com melhor distribuição, além de outras metodologias, como grupos focais, capazes de ampliar as discussões suscitadas pelos dados e matizar algumas das tendências observadas. Ademais, como foram analisadas evocações espontâneas, cabe considerar o possível impacto da recência ou atualização mediática de determinados temas no imaginário social, como a proximidade do período eleitoral, a comemoração do bicentenário da independência do Brasil, em 2022, ou a exibição, no período da recolha de dados, de uma novela de grande audiência no país: “Nos Tempos do Imperador”, que contava a trajetória de Pedro II, à frente da Corte brasileira. </w:t>
      </w:r>
    </w:p>
    <w:p w14:paraId="7A8DE59D" w14:textId="2F8650BC" w:rsidR="001069E7" w:rsidRDefault="001069E7" w:rsidP="001069E7">
      <w:pPr>
        <w:pStyle w:val="Prrafocomn"/>
        <w:rPr>
          <w:bCs/>
          <w:lang w:val="pt-PT" w:eastAsia="en-US"/>
        </w:rPr>
      </w:pPr>
      <w:r w:rsidRPr="001069E7">
        <w:rPr>
          <w:lang w:val="pt-PT" w:eastAsia="en-US"/>
        </w:rPr>
        <w:t>Em suma, as reflexões propostas neste estudo podem ser relacionadas a outras investigações (Bobowik, et al.,</w:t>
      </w:r>
      <w:r w:rsidRPr="001069E7" w:rsidDel="004F0FA2">
        <w:rPr>
          <w:lang w:val="pt-PT" w:eastAsia="en-US"/>
        </w:rPr>
        <w:t xml:space="preserve"> </w:t>
      </w:r>
      <w:r w:rsidRPr="001069E7">
        <w:rPr>
          <w:lang w:val="pt-PT" w:eastAsia="en-US"/>
        </w:rPr>
        <w:t xml:space="preserve">2018; </w:t>
      </w:r>
      <w:proofErr w:type="spellStart"/>
      <w:r w:rsidRPr="001069E7">
        <w:rPr>
          <w:lang w:val="pt-BR" w:eastAsia="en-US"/>
        </w:rPr>
        <w:t>Licata</w:t>
      </w:r>
      <w:proofErr w:type="spellEnd"/>
      <w:r w:rsidRPr="001069E7">
        <w:rPr>
          <w:lang w:val="pt-BR" w:eastAsia="en-US"/>
        </w:rPr>
        <w:t xml:space="preserve"> et al., </w:t>
      </w:r>
      <w:r w:rsidRPr="001069E7">
        <w:rPr>
          <w:lang w:val="pt-PT" w:eastAsia="en-US"/>
        </w:rPr>
        <w:t xml:space="preserve">2018) </w:t>
      </w:r>
      <w:r w:rsidRPr="001069E7">
        <w:rPr>
          <w:bCs/>
          <w:lang w:val="pt-PT" w:eastAsia="en-US"/>
        </w:rPr>
        <w:t xml:space="preserve">sobre as representações do passado colonial que, igualmente, </w:t>
      </w:r>
      <w:r w:rsidRPr="001069E7">
        <w:rPr>
          <w:lang w:val="pt-PT" w:eastAsia="en-US"/>
        </w:rPr>
        <w:t xml:space="preserve">convidam-nos a um aprofundamento sobre os efeitos ou as incidências contemporâneas do colonialismo. Entre memórias e desafios decoloniais, destacamos que determinadas ausências ou “esquecimentos” (como as discussões sobre o colonialismo e seus efeitos ou a invisibilização das mulheres na história) podem ter uma série de implicações nas relações entre pessoas e grupos nas sociedades contemporâneas, como os casos de discriminação e racismo. Nesse contexto, as narrativas históricas (e uma maior diversidade nas histórias) podem ser importantes ferramentas, pois o modo como o passado é representado por um grupo afeta suas práticas sociais, visões do presente, a participação na ação coletiva e agendas para o futuro (Cabecinhas, 2019; Freel &amp; Bilali, 2022; Makanju et al., 2023), além de desempenhar um papel crucial nos </w:t>
      </w:r>
      <w:r w:rsidRPr="001069E7">
        <w:rPr>
          <w:bCs/>
          <w:lang w:val="pt-PT" w:eastAsia="en-US"/>
        </w:rPr>
        <w:t>processos de reconciliação e reparação histórica (</w:t>
      </w:r>
      <w:r w:rsidR="002F3DCD" w:rsidRPr="001069E7">
        <w:rPr>
          <w:lang w:val="pt-PT" w:eastAsia="en-US"/>
        </w:rPr>
        <w:t>Licata</w:t>
      </w:r>
      <w:r w:rsidR="002F3DCD" w:rsidRPr="001069E7">
        <w:rPr>
          <w:lang w:val="pt-PT" w:eastAsia="en-US"/>
        </w:rPr>
        <w:t xml:space="preserve"> </w:t>
      </w:r>
      <w:r w:rsidR="002F3DCD">
        <w:rPr>
          <w:lang w:val="pt-PT" w:eastAsia="en-US"/>
        </w:rPr>
        <w:t>&amp; Volpato</w:t>
      </w:r>
      <w:r w:rsidRPr="001069E7">
        <w:rPr>
          <w:lang w:val="pt-PT" w:eastAsia="en-US"/>
        </w:rPr>
        <w:t>, 2010)</w:t>
      </w:r>
      <w:r w:rsidRPr="001069E7">
        <w:rPr>
          <w:bCs/>
          <w:lang w:val="pt-PT" w:eastAsia="en-US"/>
        </w:rPr>
        <w:t>.</w:t>
      </w:r>
    </w:p>
    <w:p w14:paraId="72AB3B8B" w14:textId="77777777" w:rsidR="001069E7" w:rsidRDefault="001069E7" w:rsidP="001069E7">
      <w:pPr>
        <w:pStyle w:val="Prrafocomn"/>
        <w:rPr>
          <w:bCs/>
          <w:lang w:val="pt-PT" w:eastAsia="en-US"/>
        </w:rPr>
      </w:pPr>
    </w:p>
    <w:p w14:paraId="04ADC5B6" w14:textId="77777777" w:rsidR="001069E7" w:rsidRDefault="001069E7" w:rsidP="001069E7">
      <w:pPr>
        <w:pStyle w:val="Prrafocomn"/>
        <w:rPr>
          <w:bCs/>
          <w:lang w:val="pt-PT" w:eastAsia="en-US"/>
        </w:rPr>
      </w:pPr>
    </w:p>
    <w:p w14:paraId="69111D7A" w14:textId="77777777" w:rsidR="001069E7" w:rsidRDefault="001069E7" w:rsidP="001069E7">
      <w:pPr>
        <w:pStyle w:val="Prrafocomn"/>
        <w:rPr>
          <w:bCs/>
          <w:lang w:val="pt-PT" w:eastAsia="en-US"/>
        </w:rPr>
      </w:pPr>
    </w:p>
    <w:p w14:paraId="2FE11162" w14:textId="77777777" w:rsidR="001069E7" w:rsidRDefault="001069E7" w:rsidP="001069E7">
      <w:pPr>
        <w:pStyle w:val="Prrafocomn"/>
        <w:rPr>
          <w:bCs/>
          <w:lang w:val="pt-PT" w:eastAsia="en-US"/>
        </w:rPr>
      </w:pPr>
    </w:p>
    <w:p w14:paraId="61190955" w14:textId="683D98BC" w:rsidR="006A6BAB" w:rsidRPr="006A6BAB" w:rsidRDefault="006A6BAB" w:rsidP="001069E7">
      <w:pPr>
        <w:pStyle w:val="Prrafocomn"/>
        <w:ind w:firstLine="0"/>
        <w:rPr>
          <w:lang w:val="pt-BR"/>
        </w:rPr>
      </w:pPr>
      <w:r w:rsidRPr="006A6BAB">
        <w:rPr>
          <w:lang w:val="pt-BR"/>
        </w:rPr>
        <w:br w:type="page"/>
      </w:r>
    </w:p>
    <w:p w14:paraId="258A1D9C" w14:textId="1E2B93AC" w:rsidR="00E67180" w:rsidRPr="00E67180" w:rsidRDefault="008502BB" w:rsidP="00E67180">
      <w:pPr>
        <w:pStyle w:val="Ttulosinternos"/>
        <w:rPr>
          <w:bCs/>
        </w:rPr>
      </w:pPr>
      <w:r w:rsidRPr="008502BB">
        <w:rPr>
          <w:bCs/>
        </w:rPr>
        <w:lastRenderedPageBreak/>
        <w:t>Referências</w:t>
      </w:r>
    </w:p>
    <w:p w14:paraId="2F3F40BE" w14:textId="77777777" w:rsidR="000E301F" w:rsidRPr="00172762" w:rsidRDefault="000E301F" w:rsidP="000E301F">
      <w:pPr>
        <w:pStyle w:val="Referencias"/>
        <w:spacing w:line="360" w:lineRule="auto"/>
        <w:rPr>
          <w:szCs w:val="23"/>
          <w:lang w:val="pt-BR"/>
        </w:rPr>
      </w:pPr>
      <w:proofErr w:type="spellStart"/>
      <w:r w:rsidRPr="00172762">
        <w:rPr>
          <w:szCs w:val="23"/>
          <w:lang w:val="pt-BR"/>
        </w:rPr>
        <w:t>Adichie</w:t>
      </w:r>
      <w:proofErr w:type="spellEnd"/>
      <w:r w:rsidRPr="00172762">
        <w:rPr>
          <w:szCs w:val="23"/>
          <w:lang w:val="pt-BR"/>
        </w:rPr>
        <w:t>, C. N. (2009). </w:t>
      </w:r>
      <w:r w:rsidRPr="00172762">
        <w:rPr>
          <w:i/>
          <w:iCs/>
          <w:szCs w:val="23"/>
          <w:lang w:val="pt-BR"/>
        </w:rPr>
        <w:t>O perigo da história única</w:t>
      </w:r>
      <w:r w:rsidRPr="00172762">
        <w:rPr>
          <w:szCs w:val="23"/>
          <w:lang w:val="pt-BR"/>
        </w:rPr>
        <w:t>. Companhia das Letras.</w:t>
      </w:r>
    </w:p>
    <w:p w14:paraId="28A38BBF" w14:textId="04B5A42D" w:rsidR="000E301F" w:rsidRPr="00172762" w:rsidRDefault="000E301F" w:rsidP="000E301F">
      <w:pPr>
        <w:pStyle w:val="Referencias"/>
        <w:spacing w:line="360" w:lineRule="auto"/>
        <w:rPr>
          <w:szCs w:val="23"/>
          <w:lang w:val="pt-BR"/>
        </w:rPr>
      </w:pPr>
      <w:r w:rsidRPr="00172762">
        <w:rPr>
          <w:szCs w:val="23"/>
          <w:lang w:val="pt-BR"/>
        </w:rPr>
        <w:t xml:space="preserve">Araújo, M. (2020). Os “compridos narizes” dos portugueses: Expo’98, manuais escolares e história em </w:t>
      </w:r>
      <w:proofErr w:type="spellStart"/>
      <w:r w:rsidRPr="00172762">
        <w:rPr>
          <w:szCs w:val="23"/>
          <w:lang w:val="pt-BR"/>
        </w:rPr>
        <w:t>multiperspectividade</w:t>
      </w:r>
      <w:proofErr w:type="spellEnd"/>
      <w:r w:rsidRPr="00172762">
        <w:rPr>
          <w:szCs w:val="23"/>
          <w:lang w:val="pt-BR"/>
        </w:rPr>
        <w:t>. </w:t>
      </w:r>
      <w:r w:rsidRPr="00172762">
        <w:rPr>
          <w:i/>
          <w:iCs/>
          <w:szCs w:val="23"/>
          <w:lang w:val="pt-BR"/>
        </w:rPr>
        <w:t>Revista Língua-Lugar</w:t>
      </w:r>
      <w:r w:rsidRPr="00172762">
        <w:rPr>
          <w:szCs w:val="23"/>
          <w:lang w:val="pt-BR"/>
        </w:rPr>
        <w:t>, </w:t>
      </w:r>
      <w:r w:rsidRPr="00172762">
        <w:rPr>
          <w:i/>
          <w:iCs/>
          <w:szCs w:val="23"/>
          <w:lang w:val="pt-BR"/>
        </w:rPr>
        <w:t>249</w:t>
      </w:r>
      <w:r w:rsidRPr="00172762">
        <w:rPr>
          <w:szCs w:val="23"/>
          <w:lang w:val="pt-BR"/>
        </w:rPr>
        <w:t>, 66</w:t>
      </w:r>
      <w:r w:rsidR="00172762">
        <w:rPr>
          <w:szCs w:val="23"/>
          <w:lang w:val="pt-BR"/>
        </w:rPr>
        <w:t>-</w:t>
      </w:r>
      <w:r w:rsidRPr="00172762">
        <w:rPr>
          <w:szCs w:val="23"/>
          <w:lang w:val="pt-BR"/>
        </w:rPr>
        <w:t>85. </w:t>
      </w:r>
      <w:hyperlink r:id="rId22" w:tgtFrame="_blank" w:history="1">
        <w:r w:rsidRPr="00172762">
          <w:rPr>
            <w:rStyle w:val="Hipervnculo"/>
            <w:szCs w:val="23"/>
            <w:lang w:val="pt-BR"/>
          </w:rPr>
          <w:t>https://doi.org/10.34913/journals/lingua-lugar.2020.e208</w:t>
        </w:r>
      </w:hyperlink>
    </w:p>
    <w:p w14:paraId="2534E63F" w14:textId="77777777" w:rsidR="000E301F" w:rsidRPr="00172762" w:rsidRDefault="000E301F" w:rsidP="000E301F">
      <w:pPr>
        <w:pStyle w:val="Referencias"/>
        <w:spacing w:line="360" w:lineRule="auto"/>
        <w:rPr>
          <w:szCs w:val="23"/>
          <w:lang w:val="pt-BR"/>
        </w:rPr>
      </w:pPr>
      <w:proofErr w:type="spellStart"/>
      <w:r w:rsidRPr="00172762">
        <w:rPr>
          <w:szCs w:val="23"/>
          <w:lang w:val="pt-BR"/>
        </w:rPr>
        <w:t>Balbé</w:t>
      </w:r>
      <w:proofErr w:type="spellEnd"/>
      <w:r w:rsidRPr="00172762">
        <w:rPr>
          <w:szCs w:val="23"/>
          <w:lang w:val="pt-BR"/>
        </w:rPr>
        <w:t>, A. D., Lins, L., &amp; Cabecinhas, R. (2024). “Não tem como a gente fugir do que nos ensinam”: Debates sobre memória pública e educação com estudantes do ensino secundário português. </w:t>
      </w:r>
      <w:r w:rsidRPr="00172762">
        <w:rPr>
          <w:i/>
          <w:iCs/>
          <w:szCs w:val="23"/>
          <w:lang w:val="pt-BR"/>
        </w:rPr>
        <w:t>Revista Brasileira de História</w:t>
      </w:r>
      <w:r w:rsidRPr="00172762">
        <w:rPr>
          <w:szCs w:val="23"/>
          <w:lang w:val="pt-BR"/>
        </w:rPr>
        <w:t>, </w:t>
      </w:r>
      <w:r w:rsidRPr="00172762">
        <w:rPr>
          <w:i/>
          <w:iCs/>
          <w:szCs w:val="23"/>
          <w:lang w:val="pt-BR"/>
        </w:rPr>
        <w:t>44</w:t>
      </w:r>
      <w:r w:rsidRPr="00172762">
        <w:rPr>
          <w:szCs w:val="23"/>
          <w:lang w:val="pt-BR"/>
        </w:rPr>
        <w:t>(1). </w:t>
      </w:r>
      <w:hyperlink r:id="rId23" w:tgtFrame="_blank" w:history="1">
        <w:r w:rsidRPr="00172762">
          <w:rPr>
            <w:rStyle w:val="Hipervnculo"/>
            <w:szCs w:val="23"/>
            <w:lang w:val="pt-BR"/>
          </w:rPr>
          <w:t>https://doi.org/10.15448/1980-864X.2024.1.45807</w:t>
        </w:r>
      </w:hyperlink>
    </w:p>
    <w:p w14:paraId="7971B9C7" w14:textId="7AD1570C" w:rsidR="000E301F" w:rsidRPr="00172762" w:rsidRDefault="000E301F" w:rsidP="000E301F">
      <w:pPr>
        <w:pStyle w:val="Referencias"/>
        <w:spacing w:line="360" w:lineRule="auto"/>
        <w:rPr>
          <w:szCs w:val="23"/>
        </w:rPr>
      </w:pPr>
      <w:proofErr w:type="spellStart"/>
      <w:r w:rsidRPr="00172762">
        <w:rPr>
          <w:szCs w:val="23"/>
          <w:lang w:val="pt-BR"/>
        </w:rPr>
        <w:t>Bobowik</w:t>
      </w:r>
      <w:proofErr w:type="spellEnd"/>
      <w:r w:rsidRPr="00172762">
        <w:rPr>
          <w:szCs w:val="23"/>
          <w:lang w:val="pt-BR"/>
        </w:rPr>
        <w:t xml:space="preserve">, M., Valentim, J. P., &amp; </w:t>
      </w:r>
      <w:proofErr w:type="spellStart"/>
      <w:r w:rsidRPr="00172762">
        <w:rPr>
          <w:szCs w:val="23"/>
          <w:lang w:val="pt-BR"/>
        </w:rPr>
        <w:t>Licata</w:t>
      </w:r>
      <w:proofErr w:type="spellEnd"/>
      <w:r w:rsidRPr="00172762">
        <w:rPr>
          <w:szCs w:val="23"/>
          <w:lang w:val="pt-BR"/>
        </w:rPr>
        <w:t xml:space="preserve">, L. (2018). </w:t>
      </w:r>
      <w:r w:rsidRPr="00172762">
        <w:rPr>
          <w:szCs w:val="23"/>
        </w:rPr>
        <w:t>Introduction to the Special Issue: Colonial past and intercultural relations. </w:t>
      </w:r>
      <w:r w:rsidRPr="00172762">
        <w:rPr>
          <w:i/>
          <w:iCs/>
          <w:szCs w:val="23"/>
        </w:rPr>
        <w:t>International Journal of Intercultural Relations</w:t>
      </w:r>
      <w:r w:rsidRPr="00172762">
        <w:rPr>
          <w:szCs w:val="23"/>
        </w:rPr>
        <w:t>, </w:t>
      </w:r>
      <w:r w:rsidRPr="00172762">
        <w:rPr>
          <w:i/>
          <w:iCs/>
          <w:szCs w:val="23"/>
        </w:rPr>
        <w:t>62</w:t>
      </w:r>
      <w:r w:rsidRPr="00172762">
        <w:rPr>
          <w:szCs w:val="23"/>
        </w:rPr>
        <w:t>, 1</w:t>
      </w:r>
      <w:r w:rsidR="00172762">
        <w:rPr>
          <w:szCs w:val="23"/>
        </w:rPr>
        <w:t>-</w:t>
      </w:r>
      <w:r w:rsidRPr="00172762">
        <w:rPr>
          <w:szCs w:val="23"/>
        </w:rPr>
        <w:t>12. </w:t>
      </w:r>
      <w:hyperlink r:id="rId24" w:tgtFrame="_blank" w:history="1">
        <w:r w:rsidRPr="00172762">
          <w:rPr>
            <w:rStyle w:val="Hipervnculo"/>
            <w:szCs w:val="23"/>
          </w:rPr>
          <w:t>https://doi.org/10.1016/j.ijintrel.2017.10.003</w:t>
        </w:r>
      </w:hyperlink>
    </w:p>
    <w:p w14:paraId="1AF0FEA8" w14:textId="77777777" w:rsidR="000E301F" w:rsidRPr="00172762" w:rsidRDefault="000E301F" w:rsidP="000E301F">
      <w:pPr>
        <w:pStyle w:val="Referencias"/>
        <w:spacing w:line="360" w:lineRule="auto"/>
        <w:rPr>
          <w:szCs w:val="23"/>
        </w:rPr>
      </w:pPr>
      <w:proofErr w:type="spellStart"/>
      <w:r w:rsidRPr="00172762">
        <w:rPr>
          <w:szCs w:val="23"/>
        </w:rPr>
        <w:t>Bouchat</w:t>
      </w:r>
      <w:proofErr w:type="spellEnd"/>
      <w:r w:rsidRPr="00172762">
        <w:rPr>
          <w:szCs w:val="23"/>
        </w:rPr>
        <w:t xml:space="preserve">, P., </w:t>
      </w:r>
      <w:proofErr w:type="spellStart"/>
      <w:r w:rsidRPr="00172762">
        <w:rPr>
          <w:szCs w:val="23"/>
        </w:rPr>
        <w:t>Cabecinhas</w:t>
      </w:r>
      <w:proofErr w:type="spellEnd"/>
      <w:r w:rsidRPr="00172762">
        <w:rPr>
          <w:szCs w:val="23"/>
        </w:rPr>
        <w:t xml:space="preserve">, R., Licata, L., </w:t>
      </w:r>
      <w:proofErr w:type="spellStart"/>
      <w:r w:rsidRPr="00172762">
        <w:rPr>
          <w:szCs w:val="23"/>
        </w:rPr>
        <w:t>Charton</w:t>
      </w:r>
      <w:proofErr w:type="spellEnd"/>
      <w:r w:rsidRPr="00172762">
        <w:rPr>
          <w:szCs w:val="23"/>
        </w:rPr>
        <w:t xml:space="preserve">, M., </w:t>
      </w:r>
      <w:proofErr w:type="spellStart"/>
      <w:r w:rsidRPr="00172762">
        <w:rPr>
          <w:szCs w:val="23"/>
        </w:rPr>
        <w:t>Chryssochoou</w:t>
      </w:r>
      <w:proofErr w:type="spellEnd"/>
      <w:r w:rsidRPr="00172762">
        <w:rPr>
          <w:szCs w:val="23"/>
        </w:rPr>
        <w:t xml:space="preserve">, X., </w:t>
      </w:r>
      <w:proofErr w:type="spellStart"/>
      <w:r w:rsidRPr="00172762">
        <w:rPr>
          <w:szCs w:val="23"/>
        </w:rPr>
        <w:t>Delouvée</w:t>
      </w:r>
      <w:proofErr w:type="spellEnd"/>
      <w:r w:rsidRPr="00172762">
        <w:rPr>
          <w:szCs w:val="23"/>
        </w:rPr>
        <w:t>, S., ... &amp; Hilton, D. (2023). Social representations of European history by the European youth: A cross-country comparison. </w:t>
      </w:r>
      <w:r w:rsidRPr="00172762">
        <w:rPr>
          <w:i/>
          <w:iCs/>
          <w:szCs w:val="23"/>
        </w:rPr>
        <w:t>Journal of Social and Political Psychology</w:t>
      </w:r>
      <w:r w:rsidRPr="00172762">
        <w:rPr>
          <w:szCs w:val="23"/>
        </w:rPr>
        <w:t>, </w:t>
      </w:r>
      <w:r w:rsidRPr="00172762">
        <w:rPr>
          <w:i/>
          <w:iCs/>
          <w:szCs w:val="23"/>
        </w:rPr>
        <w:t>11</w:t>
      </w:r>
      <w:r w:rsidRPr="00172762">
        <w:rPr>
          <w:szCs w:val="23"/>
        </w:rPr>
        <w:t>(1). </w:t>
      </w:r>
      <w:hyperlink r:id="rId25" w:tgtFrame="_blank" w:history="1">
        <w:r w:rsidRPr="00172762">
          <w:rPr>
            <w:rStyle w:val="Hipervnculo"/>
            <w:szCs w:val="23"/>
          </w:rPr>
          <w:t>https://doi.org/10.5964/jspp.9805</w:t>
        </w:r>
      </w:hyperlink>
    </w:p>
    <w:p w14:paraId="2A663425" w14:textId="06968EBC" w:rsidR="000E301F" w:rsidRPr="00172762" w:rsidRDefault="000E301F" w:rsidP="000E301F">
      <w:pPr>
        <w:pStyle w:val="Referencias"/>
        <w:spacing w:line="360" w:lineRule="auto"/>
        <w:rPr>
          <w:szCs w:val="23"/>
        </w:rPr>
      </w:pPr>
      <w:proofErr w:type="spellStart"/>
      <w:r w:rsidRPr="00172762">
        <w:rPr>
          <w:szCs w:val="23"/>
        </w:rPr>
        <w:t>Butera</w:t>
      </w:r>
      <w:proofErr w:type="spellEnd"/>
      <w:r w:rsidRPr="00172762">
        <w:rPr>
          <w:szCs w:val="23"/>
        </w:rPr>
        <w:t xml:space="preserve">, F., </w:t>
      </w:r>
      <w:proofErr w:type="spellStart"/>
      <w:r w:rsidRPr="00172762">
        <w:rPr>
          <w:szCs w:val="23"/>
        </w:rPr>
        <w:t>Vernet</w:t>
      </w:r>
      <w:proofErr w:type="spellEnd"/>
      <w:r w:rsidRPr="00172762">
        <w:rPr>
          <w:szCs w:val="23"/>
        </w:rPr>
        <w:t xml:space="preserve">, J.-P., &amp; </w:t>
      </w:r>
      <w:proofErr w:type="spellStart"/>
      <w:r w:rsidRPr="00172762">
        <w:rPr>
          <w:szCs w:val="23"/>
        </w:rPr>
        <w:t>Vala</w:t>
      </w:r>
      <w:proofErr w:type="spellEnd"/>
      <w:r w:rsidRPr="00172762">
        <w:rPr>
          <w:szCs w:val="23"/>
        </w:rPr>
        <w:t>, J. (2017). Influencing people’s (negative) attitudes towards active minorities: The case of feminist movements. In </w:t>
      </w:r>
      <w:r w:rsidRPr="00172762">
        <w:rPr>
          <w:i/>
          <w:iCs/>
          <w:szCs w:val="23"/>
        </w:rPr>
        <w:t>Majority and minority influence</w:t>
      </w:r>
      <w:r w:rsidRPr="00172762">
        <w:rPr>
          <w:szCs w:val="23"/>
        </w:rPr>
        <w:t> (pp. 123</w:t>
      </w:r>
      <w:r w:rsidR="00172762">
        <w:rPr>
          <w:szCs w:val="23"/>
        </w:rPr>
        <w:t>-</w:t>
      </w:r>
      <w:r w:rsidRPr="00172762">
        <w:rPr>
          <w:szCs w:val="23"/>
        </w:rPr>
        <w:t>140). Routledge. </w:t>
      </w:r>
      <w:hyperlink r:id="rId26" w:tgtFrame="_blank" w:history="1">
        <w:r w:rsidRPr="00172762">
          <w:rPr>
            <w:rStyle w:val="Hipervnculo"/>
            <w:szCs w:val="23"/>
          </w:rPr>
          <w:t>https://doi.org/10.4324/9781315666648-8</w:t>
        </w:r>
      </w:hyperlink>
    </w:p>
    <w:p w14:paraId="2DEB435D" w14:textId="5084CEF4" w:rsidR="000E301F" w:rsidRPr="00172762" w:rsidRDefault="000E301F" w:rsidP="000E301F">
      <w:pPr>
        <w:pStyle w:val="Referencias"/>
        <w:spacing w:line="360" w:lineRule="auto"/>
        <w:rPr>
          <w:szCs w:val="23"/>
        </w:rPr>
      </w:pPr>
      <w:r w:rsidRPr="00172762">
        <w:rPr>
          <w:szCs w:val="23"/>
          <w:lang w:val="pt-BR"/>
        </w:rPr>
        <w:t xml:space="preserve">Brasil, J. A., &amp; Cabecinhas, R. (2017). </w:t>
      </w:r>
      <w:r w:rsidRPr="00172762">
        <w:rPr>
          <w:szCs w:val="23"/>
        </w:rPr>
        <w:t>Social representations of Latin American history and (post)colonial relations in Brazil, Chile, and Mexico. </w:t>
      </w:r>
      <w:r w:rsidRPr="00172762">
        <w:rPr>
          <w:i/>
          <w:iCs/>
          <w:szCs w:val="23"/>
        </w:rPr>
        <w:t>Journal of Social and Political Psychology</w:t>
      </w:r>
      <w:r w:rsidRPr="00172762">
        <w:rPr>
          <w:szCs w:val="23"/>
        </w:rPr>
        <w:t>, </w:t>
      </w:r>
      <w:r w:rsidRPr="00172762">
        <w:rPr>
          <w:i/>
          <w:iCs/>
          <w:szCs w:val="23"/>
        </w:rPr>
        <w:t>5</w:t>
      </w:r>
      <w:r w:rsidRPr="00172762">
        <w:rPr>
          <w:szCs w:val="23"/>
        </w:rPr>
        <w:t>(2), 537</w:t>
      </w:r>
      <w:r w:rsidR="00172762">
        <w:rPr>
          <w:szCs w:val="23"/>
        </w:rPr>
        <w:t>-</w:t>
      </w:r>
      <w:r w:rsidRPr="00172762">
        <w:rPr>
          <w:szCs w:val="23"/>
        </w:rPr>
        <w:t>557. </w:t>
      </w:r>
      <w:hyperlink r:id="rId27" w:tgtFrame="_blank" w:history="1">
        <w:r w:rsidRPr="00172762">
          <w:rPr>
            <w:rStyle w:val="Hipervnculo"/>
            <w:szCs w:val="23"/>
          </w:rPr>
          <w:t>https://doi.org/10.5964/jspp.v5i2.701</w:t>
        </w:r>
      </w:hyperlink>
    </w:p>
    <w:p w14:paraId="35840B0C" w14:textId="481C2100" w:rsidR="000E301F" w:rsidRPr="00172762" w:rsidRDefault="000E301F" w:rsidP="000E301F">
      <w:pPr>
        <w:pStyle w:val="Referencias"/>
        <w:spacing w:line="360" w:lineRule="auto"/>
        <w:rPr>
          <w:szCs w:val="23"/>
          <w:lang w:val="pt-BR"/>
        </w:rPr>
      </w:pPr>
      <w:r w:rsidRPr="00172762">
        <w:rPr>
          <w:szCs w:val="23"/>
          <w:lang w:val="pt-BR"/>
        </w:rPr>
        <w:t>Cabecinhas, R. (2023). A memória da nação na era planetária: Passados e futuros em debate. </w:t>
      </w:r>
      <w:r w:rsidRPr="00172762">
        <w:rPr>
          <w:i/>
          <w:iCs/>
          <w:szCs w:val="23"/>
          <w:lang w:val="pt-BR"/>
        </w:rPr>
        <w:t>Análise Social</w:t>
      </w:r>
      <w:r w:rsidRPr="00172762">
        <w:rPr>
          <w:szCs w:val="23"/>
          <w:lang w:val="pt-BR"/>
        </w:rPr>
        <w:t>, </w:t>
      </w:r>
      <w:r w:rsidRPr="00172762">
        <w:rPr>
          <w:i/>
          <w:iCs/>
          <w:szCs w:val="23"/>
          <w:lang w:val="pt-BR"/>
        </w:rPr>
        <w:t>58</w:t>
      </w:r>
      <w:r w:rsidRPr="00172762">
        <w:rPr>
          <w:szCs w:val="23"/>
          <w:lang w:val="pt-BR"/>
        </w:rPr>
        <w:t>(249), 766</w:t>
      </w:r>
      <w:r w:rsidR="00172762">
        <w:rPr>
          <w:szCs w:val="23"/>
          <w:lang w:val="pt-BR"/>
        </w:rPr>
        <w:t>-</w:t>
      </w:r>
      <w:r w:rsidRPr="00172762">
        <w:rPr>
          <w:szCs w:val="23"/>
          <w:lang w:val="pt-BR"/>
        </w:rPr>
        <w:t>788. </w:t>
      </w:r>
      <w:hyperlink r:id="rId28" w:tgtFrame="_blank" w:history="1">
        <w:r w:rsidRPr="00172762">
          <w:rPr>
            <w:rStyle w:val="Hipervnculo"/>
            <w:szCs w:val="23"/>
            <w:lang w:val="pt-BR"/>
          </w:rPr>
          <w:t>https://www.jstor.org/stable/27281277</w:t>
        </w:r>
      </w:hyperlink>
    </w:p>
    <w:p w14:paraId="25A8910B" w14:textId="5B8604FD" w:rsidR="000E301F" w:rsidRPr="00172762" w:rsidRDefault="000E301F" w:rsidP="000E301F">
      <w:pPr>
        <w:pStyle w:val="Referencias"/>
        <w:spacing w:line="360" w:lineRule="auto"/>
        <w:rPr>
          <w:szCs w:val="23"/>
          <w:lang w:val="pt-BR"/>
        </w:rPr>
      </w:pPr>
      <w:r w:rsidRPr="00172762">
        <w:rPr>
          <w:szCs w:val="23"/>
          <w:lang w:val="pt-BR"/>
        </w:rPr>
        <w:t>Cabecinhas, R. (2018a). Quem quer ser apagada? Memória coletiva e assimetria simbólica. In C. Nogueira &amp; J. M. Oliveira (Eds.), </w:t>
      </w:r>
      <w:r w:rsidRPr="00172762">
        <w:rPr>
          <w:i/>
          <w:iCs/>
          <w:szCs w:val="23"/>
          <w:lang w:val="pt-BR"/>
        </w:rPr>
        <w:t>Lígia Amâncio: O género como ação sobre o mundo</w:t>
      </w:r>
      <w:r w:rsidRPr="00172762">
        <w:rPr>
          <w:szCs w:val="23"/>
          <w:lang w:val="pt-BR"/>
        </w:rPr>
        <w:t> (pp. 113</w:t>
      </w:r>
      <w:r w:rsidR="00172762">
        <w:rPr>
          <w:szCs w:val="23"/>
          <w:lang w:val="pt-BR"/>
        </w:rPr>
        <w:t>-</w:t>
      </w:r>
      <w:r w:rsidRPr="00172762">
        <w:rPr>
          <w:szCs w:val="23"/>
          <w:lang w:val="pt-BR"/>
        </w:rPr>
        <w:t>132). CIS-IUL. </w:t>
      </w:r>
      <w:hyperlink r:id="rId29" w:tgtFrame="_blank" w:history="1">
        <w:r w:rsidRPr="00172762">
          <w:rPr>
            <w:rStyle w:val="Hipervnculo"/>
            <w:szCs w:val="23"/>
            <w:lang w:val="pt-BR"/>
          </w:rPr>
          <w:t>http://hdl.handle.net/1822/58927</w:t>
        </w:r>
      </w:hyperlink>
    </w:p>
    <w:p w14:paraId="4ED129FD" w14:textId="77777777" w:rsidR="000E301F" w:rsidRPr="00172762" w:rsidRDefault="000E301F" w:rsidP="000E301F">
      <w:pPr>
        <w:pStyle w:val="Referencias"/>
        <w:spacing w:line="360" w:lineRule="auto"/>
        <w:rPr>
          <w:szCs w:val="23"/>
          <w:lang w:val="pt-BR"/>
        </w:rPr>
      </w:pPr>
      <w:r w:rsidRPr="00172762">
        <w:rPr>
          <w:szCs w:val="23"/>
          <w:lang w:val="pt-BR"/>
        </w:rPr>
        <w:t>Cabecinhas, R. (2018b). </w:t>
      </w:r>
      <w:r w:rsidRPr="00172762">
        <w:rPr>
          <w:i/>
          <w:iCs/>
          <w:szCs w:val="23"/>
          <w:lang w:val="pt-BR"/>
        </w:rPr>
        <w:t>Memórias (</w:t>
      </w:r>
      <w:proofErr w:type="spellStart"/>
      <w:proofErr w:type="gramStart"/>
      <w:r w:rsidRPr="00172762">
        <w:rPr>
          <w:i/>
          <w:iCs/>
          <w:szCs w:val="23"/>
          <w:lang w:val="pt-BR"/>
        </w:rPr>
        <w:t>des</w:t>
      </w:r>
      <w:proofErr w:type="spellEnd"/>
      <w:r w:rsidRPr="00172762">
        <w:rPr>
          <w:i/>
          <w:iCs/>
          <w:szCs w:val="23"/>
          <w:lang w:val="pt-BR"/>
        </w:rPr>
        <w:t>)alinhadas</w:t>
      </w:r>
      <w:proofErr w:type="gramEnd"/>
      <w:r w:rsidRPr="00172762">
        <w:rPr>
          <w:i/>
          <w:iCs/>
          <w:szCs w:val="23"/>
          <w:lang w:val="pt-BR"/>
        </w:rPr>
        <w:t>: Representações sociais da história e comunicação intercultural</w:t>
      </w:r>
      <w:r w:rsidRPr="00172762">
        <w:rPr>
          <w:szCs w:val="23"/>
          <w:lang w:val="pt-BR"/>
        </w:rPr>
        <w:t>. Universidade do Minho. </w:t>
      </w:r>
      <w:hyperlink r:id="rId30" w:tgtFrame="_blank" w:history="1">
        <w:r w:rsidRPr="00172762">
          <w:rPr>
            <w:rStyle w:val="Hipervnculo"/>
            <w:szCs w:val="23"/>
            <w:lang w:val="pt-BR"/>
          </w:rPr>
          <w:t>https://hdl.handle.net/1822/62836</w:t>
        </w:r>
      </w:hyperlink>
    </w:p>
    <w:p w14:paraId="4944A454" w14:textId="4F438C37" w:rsidR="000E301F" w:rsidRPr="00172762" w:rsidRDefault="000E301F" w:rsidP="000E301F">
      <w:pPr>
        <w:pStyle w:val="Referencias"/>
        <w:spacing w:line="360" w:lineRule="auto"/>
        <w:rPr>
          <w:szCs w:val="23"/>
        </w:rPr>
      </w:pPr>
      <w:r w:rsidRPr="00172762">
        <w:rPr>
          <w:szCs w:val="23"/>
          <w:lang w:val="pt-BR"/>
        </w:rPr>
        <w:lastRenderedPageBreak/>
        <w:t xml:space="preserve">Cabecinhas, R. (2019). </w:t>
      </w:r>
      <w:proofErr w:type="gramStart"/>
      <w:r w:rsidRPr="00172762">
        <w:rPr>
          <w:szCs w:val="23"/>
          <w:lang w:val="pt-BR"/>
        </w:rPr>
        <w:t>Luso(</w:t>
      </w:r>
      <w:proofErr w:type="gramEnd"/>
      <w:r w:rsidRPr="00172762">
        <w:rPr>
          <w:szCs w:val="23"/>
          <w:lang w:val="pt-BR"/>
        </w:rPr>
        <w:t>A)fonias: Memórias cruzadas sobre o colonialismo português. </w:t>
      </w:r>
      <w:proofErr w:type="spellStart"/>
      <w:r w:rsidRPr="00172762">
        <w:rPr>
          <w:i/>
          <w:iCs/>
          <w:szCs w:val="23"/>
        </w:rPr>
        <w:t>Estudos</w:t>
      </w:r>
      <w:proofErr w:type="spellEnd"/>
      <w:r w:rsidRPr="00172762">
        <w:rPr>
          <w:i/>
          <w:iCs/>
          <w:szCs w:val="23"/>
        </w:rPr>
        <w:t xml:space="preserve"> </w:t>
      </w:r>
      <w:proofErr w:type="spellStart"/>
      <w:r w:rsidRPr="00172762">
        <w:rPr>
          <w:i/>
          <w:iCs/>
          <w:szCs w:val="23"/>
        </w:rPr>
        <w:t>Ibero</w:t>
      </w:r>
      <w:proofErr w:type="spellEnd"/>
      <w:r w:rsidRPr="00172762">
        <w:rPr>
          <w:i/>
          <w:iCs/>
          <w:szCs w:val="23"/>
        </w:rPr>
        <w:t>-Americanos</w:t>
      </w:r>
      <w:r w:rsidRPr="00172762">
        <w:rPr>
          <w:szCs w:val="23"/>
        </w:rPr>
        <w:t>, </w:t>
      </w:r>
      <w:r w:rsidRPr="00172762">
        <w:rPr>
          <w:i/>
          <w:iCs/>
          <w:szCs w:val="23"/>
        </w:rPr>
        <w:t>45</w:t>
      </w:r>
      <w:r w:rsidRPr="00172762">
        <w:rPr>
          <w:szCs w:val="23"/>
        </w:rPr>
        <w:t>(2), 16</w:t>
      </w:r>
      <w:r w:rsidR="00172762">
        <w:rPr>
          <w:szCs w:val="23"/>
        </w:rPr>
        <w:t>-</w:t>
      </w:r>
      <w:r w:rsidRPr="00172762">
        <w:rPr>
          <w:szCs w:val="23"/>
        </w:rPr>
        <w:t>25. </w:t>
      </w:r>
      <w:hyperlink r:id="rId31" w:tgtFrame="_blank" w:history="1">
        <w:r w:rsidRPr="00172762">
          <w:rPr>
            <w:rStyle w:val="Hipervnculo"/>
            <w:szCs w:val="23"/>
          </w:rPr>
          <w:t>https://doi.org/10.15448/1980-864X.2019.2.32857</w:t>
        </w:r>
      </w:hyperlink>
    </w:p>
    <w:p w14:paraId="6961070D" w14:textId="1A1F1D44" w:rsidR="000E301F" w:rsidRPr="00172762" w:rsidRDefault="000E301F" w:rsidP="000E301F">
      <w:pPr>
        <w:pStyle w:val="Referencias"/>
        <w:spacing w:line="360" w:lineRule="auto"/>
        <w:rPr>
          <w:szCs w:val="23"/>
        </w:rPr>
      </w:pPr>
      <w:proofErr w:type="spellStart"/>
      <w:r w:rsidRPr="00172762">
        <w:rPr>
          <w:szCs w:val="23"/>
        </w:rPr>
        <w:t>Cabecinhas</w:t>
      </w:r>
      <w:proofErr w:type="spellEnd"/>
      <w:r w:rsidRPr="00172762">
        <w:rPr>
          <w:szCs w:val="23"/>
        </w:rPr>
        <w:t xml:space="preserve">, R., &amp; </w:t>
      </w:r>
      <w:proofErr w:type="spellStart"/>
      <w:r w:rsidRPr="00172762">
        <w:rPr>
          <w:szCs w:val="23"/>
        </w:rPr>
        <w:t>Abadia</w:t>
      </w:r>
      <w:proofErr w:type="spellEnd"/>
      <w:r w:rsidRPr="00172762">
        <w:rPr>
          <w:szCs w:val="23"/>
        </w:rPr>
        <w:t xml:space="preserve">, L. (2013). Preamble </w:t>
      </w:r>
      <w:r w:rsidR="00172762">
        <w:rPr>
          <w:szCs w:val="23"/>
        </w:rPr>
        <w:t>-</w:t>
      </w:r>
      <w:r w:rsidRPr="00172762">
        <w:rPr>
          <w:szCs w:val="23"/>
        </w:rPr>
        <w:t xml:space="preserve"> Narratives and social memory: Dialogic challenges. In R. </w:t>
      </w:r>
      <w:proofErr w:type="spellStart"/>
      <w:r w:rsidRPr="00172762">
        <w:rPr>
          <w:szCs w:val="23"/>
        </w:rPr>
        <w:t>Cabecinhas</w:t>
      </w:r>
      <w:proofErr w:type="spellEnd"/>
      <w:r w:rsidRPr="00172762">
        <w:rPr>
          <w:szCs w:val="23"/>
        </w:rPr>
        <w:t xml:space="preserve"> &amp; L. </w:t>
      </w:r>
      <w:proofErr w:type="spellStart"/>
      <w:r w:rsidRPr="00172762">
        <w:rPr>
          <w:szCs w:val="23"/>
        </w:rPr>
        <w:t>Abadia</w:t>
      </w:r>
      <w:proofErr w:type="spellEnd"/>
      <w:r w:rsidRPr="00172762">
        <w:rPr>
          <w:szCs w:val="23"/>
        </w:rPr>
        <w:t xml:space="preserve"> (Eds.), </w:t>
      </w:r>
      <w:r w:rsidRPr="00172762">
        <w:rPr>
          <w:i/>
          <w:iCs/>
          <w:szCs w:val="23"/>
        </w:rPr>
        <w:t>Narratives and social memory: Theoretical and methodological approaches</w:t>
      </w:r>
      <w:r w:rsidRPr="00172762">
        <w:rPr>
          <w:szCs w:val="23"/>
        </w:rPr>
        <w:t> (pp. 5</w:t>
      </w:r>
      <w:r w:rsidR="00172762">
        <w:rPr>
          <w:szCs w:val="23"/>
        </w:rPr>
        <w:t>-</w:t>
      </w:r>
      <w:r w:rsidRPr="00172762">
        <w:rPr>
          <w:szCs w:val="23"/>
        </w:rPr>
        <w:t>9). CECS.</w:t>
      </w:r>
    </w:p>
    <w:p w14:paraId="4A586413" w14:textId="791B6C76" w:rsidR="000E301F" w:rsidRPr="00172762" w:rsidRDefault="000E301F" w:rsidP="000E301F">
      <w:pPr>
        <w:pStyle w:val="Referencias"/>
        <w:spacing w:line="360" w:lineRule="auto"/>
        <w:rPr>
          <w:szCs w:val="23"/>
        </w:rPr>
      </w:pPr>
      <w:proofErr w:type="spellStart"/>
      <w:r w:rsidRPr="00172762">
        <w:rPr>
          <w:szCs w:val="23"/>
        </w:rPr>
        <w:t>Cabecinhas</w:t>
      </w:r>
      <w:proofErr w:type="spellEnd"/>
      <w:r w:rsidRPr="00172762">
        <w:rPr>
          <w:szCs w:val="23"/>
        </w:rPr>
        <w:t xml:space="preserve">, R., &amp; </w:t>
      </w:r>
      <w:proofErr w:type="spellStart"/>
      <w:r w:rsidRPr="00172762">
        <w:rPr>
          <w:szCs w:val="23"/>
        </w:rPr>
        <w:t>Feijó</w:t>
      </w:r>
      <w:proofErr w:type="spellEnd"/>
      <w:r w:rsidRPr="00172762">
        <w:rPr>
          <w:szCs w:val="23"/>
        </w:rPr>
        <w:t>, J. (2010). Collective memories of Portuguese colonial action in Africa: Representations of the colonial past among Mozambicans and Portuguese youths. </w:t>
      </w:r>
      <w:r w:rsidRPr="00172762">
        <w:rPr>
          <w:i/>
          <w:iCs/>
          <w:szCs w:val="23"/>
        </w:rPr>
        <w:t>International Journal of Conflict and Violence</w:t>
      </w:r>
      <w:r w:rsidRPr="00172762">
        <w:rPr>
          <w:szCs w:val="23"/>
        </w:rPr>
        <w:t>, </w:t>
      </w:r>
      <w:r w:rsidRPr="00172762">
        <w:rPr>
          <w:i/>
          <w:iCs/>
          <w:szCs w:val="23"/>
        </w:rPr>
        <w:t>4</w:t>
      </w:r>
      <w:r w:rsidRPr="00172762">
        <w:rPr>
          <w:szCs w:val="23"/>
        </w:rPr>
        <w:t>(1), 28</w:t>
      </w:r>
      <w:r w:rsidR="00172762">
        <w:rPr>
          <w:szCs w:val="23"/>
        </w:rPr>
        <w:t>-</w:t>
      </w:r>
      <w:r w:rsidRPr="00172762">
        <w:rPr>
          <w:szCs w:val="23"/>
        </w:rPr>
        <w:t>44.</w:t>
      </w:r>
    </w:p>
    <w:p w14:paraId="3C040B63" w14:textId="6C5BE451" w:rsidR="000E301F" w:rsidRPr="00172762" w:rsidRDefault="000E301F" w:rsidP="000E301F">
      <w:pPr>
        <w:pStyle w:val="Referencias"/>
        <w:spacing w:line="360" w:lineRule="auto"/>
        <w:rPr>
          <w:szCs w:val="23"/>
          <w:lang w:val="pt-BR"/>
        </w:rPr>
      </w:pPr>
      <w:proofErr w:type="spellStart"/>
      <w:r w:rsidRPr="00172762">
        <w:rPr>
          <w:szCs w:val="23"/>
        </w:rPr>
        <w:t>Cabecinhas</w:t>
      </w:r>
      <w:proofErr w:type="spellEnd"/>
      <w:r w:rsidRPr="00172762">
        <w:rPr>
          <w:szCs w:val="23"/>
        </w:rPr>
        <w:t xml:space="preserve">, R., Lima, M. E. O., &amp; Chaves, A. M. (2006). </w:t>
      </w:r>
      <w:r w:rsidRPr="00172762">
        <w:rPr>
          <w:szCs w:val="23"/>
          <w:lang w:val="pt-BR"/>
        </w:rPr>
        <w:t>Identidades nacionais e memória social: Hegemonia e polémica nas representações sociais da história. In J. Miranda &amp; M. I. João (Eds.), </w:t>
      </w:r>
      <w:r w:rsidRPr="00172762">
        <w:rPr>
          <w:i/>
          <w:iCs/>
          <w:szCs w:val="23"/>
          <w:lang w:val="pt-BR"/>
        </w:rPr>
        <w:t>Identidades nacionais em debate</w:t>
      </w:r>
      <w:r w:rsidRPr="00172762">
        <w:rPr>
          <w:szCs w:val="23"/>
          <w:lang w:val="pt-BR"/>
        </w:rPr>
        <w:t> (pp. 67</w:t>
      </w:r>
      <w:r w:rsidR="00172762">
        <w:rPr>
          <w:szCs w:val="23"/>
          <w:lang w:val="pt-BR"/>
        </w:rPr>
        <w:t>-</w:t>
      </w:r>
      <w:r w:rsidRPr="00172762">
        <w:rPr>
          <w:szCs w:val="23"/>
          <w:lang w:val="pt-BR"/>
        </w:rPr>
        <w:t>92). Celta.</w:t>
      </w:r>
    </w:p>
    <w:p w14:paraId="0235B0AE" w14:textId="3E918E16" w:rsidR="000E301F" w:rsidRPr="00172762" w:rsidRDefault="000E301F" w:rsidP="000E301F">
      <w:pPr>
        <w:pStyle w:val="Referencias"/>
        <w:spacing w:line="360" w:lineRule="auto"/>
        <w:rPr>
          <w:szCs w:val="23"/>
          <w:lang w:val="pt-BR"/>
        </w:rPr>
      </w:pPr>
      <w:r w:rsidRPr="00172762">
        <w:rPr>
          <w:szCs w:val="23"/>
          <w:lang w:val="pt-BR"/>
        </w:rPr>
        <w:t xml:space="preserve">Cabecinhas, R., &amp; </w:t>
      </w:r>
      <w:proofErr w:type="spellStart"/>
      <w:r w:rsidRPr="00172762">
        <w:rPr>
          <w:szCs w:val="23"/>
          <w:lang w:val="pt-BR"/>
        </w:rPr>
        <w:t>Nhaga</w:t>
      </w:r>
      <w:proofErr w:type="spellEnd"/>
      <w:r w:rsidRPr="00172762">
        <w:rPr>
          <w:szCs w:val="23"/>
          <w:lang w:val="pt-BR"/>
        </w:rPr>
        <w:t>, N. (2008). Memórias coloniais e diálogos pós-coloniais: Guiné-Bissau e Portugal. In R. Cabecinhas &amp; L. Cunha (Eds.), </w:t>
      </w:r>
      <w:r w:rsidRPr="00172762">
        <w:rPr>
          <w:i/>
          <w:iCs/>
          <w:szCs w:val="23"/>
          <w:lang w:val="pt-BR"/>
        </w:rPr>
        <w:t>Comunicação intercultural: Perspectivas, dilemas e desafios</w:t>
      </w:r>
      <w:r w:rsidRPr="00172762">
        <w:rPr>
          <w:szCs w:val="23"/>
          <w:lang w:val="pt-BR"/>
        </w:rPr>
        <w:t> (pp. 109</w:t>
      </w:r>
      <w:r w:rsidR="00172762">
        <w:rPr>
          <w:szCs w:val="23"/>
          <w:lang w:val="pt-BR"/>
        </w:rPr>
        <w:t>-</w:t>
      </w:r>
      <w:r w:rsidRPr="00172762">
        <w:rPr>
          <w:szCs w:val="23"/>
          <w:lang w:val="pt-BR"/>
        </w:rPr>
        <w:t>132). Campo das Letras.</w:t>
      </w:r>
    </w:p>
    <w:p w14:paraId="60C7C346" w14:textId="77777777" w:rsidR="000E301F" w:rsidRPr="00172762" w:rsidRDefault="000E301F" w:rsidP="000E301F">
      <w:pPr>
        <w:pStyle w:val="Referencias"/>
        <w:spacing w:line="360" w:lineRule="auto"/>
        <w:rPr>
          <w:szCs w:val="23"/>
        </w:rPr>
      </w:pPr>
      <w:proofErr w:type="spellStart"/>
      <w:r w:rsidRPr="00172762">
        <w:rPr>
          <w:szCs w:val="23"/>
          <w:lang w:val="pt-BR"/>
        </w:rPr>
        <w:t>Cupata</w:t>
      </w:r>
      <w:proofErr w:type="spellEnd"/>
      <w:r w:rsidRPr="00172762">
        <w:rPr>
          <w:szCs w:val="23"/>
          <w:lang w:val="pt-BR"/>
        </w:rPr>
        <w:t>, J. L. (2022). </w:t>
      </w:r>
      <w:r w:rsidRPr="00172762">
        <w:rPr>
          <w:i/>
          <w:iCs/>
          <w:szCs w:val="23"/>
          <w:lang w:val="pt-BR"/>
        </w:rPr>
        <w:t>Representações sociais da história de África no sistema de ensino angolano</w:t>
      </w:r>
      <w:r w:rsidRPr="00172762">
        <w:rPr>
          <w:szCs w:val="23"/>
          <w:lang w:val="pt-BR"/>
        </w:rPr>
        <w:t xml:space="preserve"> (Tese de doutoramento). </w:t>
      </w:r>
      <w:proofErr w:type="spellStart"/>
      <w:r w:rsidRPr="00172762">
        <w:rPr>
          <w:szCs w:val="23"/>
        </w:rPr>
        <w:t>Universidade</w:t>
      </w:r>
      <w:proofErr w:type="spellEnd"/>
      <w:r w:rsidRPr="00172762">
        <w:rPr>
          <w:szCs w:val="23"/>
        </w:rPr>
        <w:t xml:space="preserve"> do Minho.</w:t>
      </w:r>
    </w:p>
    <w:p w14:paraId="6A9B39E2" w14:textId="77777777" w:rsidR="000E301F" w:rsidRPr="00172762" w:rsidRDefault="000E301F" w:rsidP="000E301F">
      <w:pPr>
        <w:pStyle w:val="Referencias"/>
        <w:spacing w:line="360" w:lineRule="auto"/>
        <w:rPr>
          <w:szCs w:val="23"/>
        </w:rPr>
      </w:pPr>
      <w:proofErr w:type="spellStart"/>
      <w:r w:rsidRPr="00172762">
        <w:rPr>
          <w:szCs w:val="23"/>
        </w:rPr>
        <w:t>Doise</w:t>
      </w:r>
      <w:proofErr w:type="spellEnd"/>
      <w:r w:rsidRPr="00172762">
        <w:rPr>
          <w:szCs w:val="23"/>
        </w:rPr>
        <w:t xml:space="preserve">, W., &amp; </w:t>
      </w:r>
      <w:proofErr w:type="spellStart"/>
      <w:r w:rsidRPr="00172762">
        <w:rPr>
          <w:szCs w:val="23"/>
        </w:rPr>
        <w:t>Valentim</w:t>
      </w:r>
      <w:proofErr w:type="spellEnd"/>
      <w:r w:rsidRPr="00172762">
        <w:rPr>
          <w:szCs w:val="23"/>
        </w:rPr>
        <w:t>, J. P. (2015). Levels of analysis in social psychology. Elsevier Ltd.</w:t>
      </w:r>
    </w:p>
    <w:p w14:paraId="600881B2" w14:textId="5FCE9338" w:rsidR="000E301F" w:rsidRPr="00172762" w:rsidRDefault="000E301F" w:rsidP="000E301F">
      <w:pPr>
        <w:pStyle w:val="Referencias"/>
        <w:spacing w:line="360" w:lineRule="auto"/>
        <w:rPr>
          <w:szCs w:val="23"/>
        </w:rPr>
      </w:pPr>
      <w:proofErr w:type="spellStart"/>
      <w:r w:rsidRPr="00172762">
        <w:rPr>
          <w:szCs w:val="23"/>
        </w:rPr>
        <w:t>Freel</w:t>
      </w:r>
      <w:proofErr w:type="spellEnd"/>
      <w:r w:rsidRPr="00172762">
        <w:rPr>
          <w:szCs w:val="23"/>
        </w:rPr>
        <w:t xml:space="preserve">, S. H., &amp; </w:t>
      </w:r>
      <w:proofErr w:type="spellStart"/>
      <w:r w:rsidRPr="00172762">
        <w:rPr>
          <w:szCs w:val="23"/>
        </w:rPr>
        <w:t>Bilali</w:t>
      </w:r>
      <w:proofErr w:type="spellEnd"/>
      <w:r w:rsidRPr="00172762">
        <w:rPr>
          <w:szCs w:val="23"/>
        </w:rPr>
        <w:t>, R. (2022). Putting the past into action: How historical narratives shape participation in collective action. </w:t>
      </w:r>
      <w:r w:rsidRPr="00172762">
        <w:rPr>
          <w:i/>
          <w:iCs/>
          <w:szCs w:val="23"/>
        </w:rPr>
        <w:t>European Journal of Social Psychology</w:t>
      </w:r>
      <w:r w:rsidRPr="00172762">
        <w:rPr>
          <w:szCs w:val="23"/>
        </w:rPr>
        <w:t>, </w:t>
      </w:r>
      <w:r w:rsidRPr="00172762">
        <w:rPr>
          <w:i/>
          <w:iCs/>
          <w:szCs w:val="23"/>
        </w:rPr>
        <w:t>52</w:t>
      </w:r>
      <w:r w:rsidRPr="00172762">
        <w:rPr>
          <w:szCs w:val="23"/>
        </w:rPr>
        <w:t>(1), 204</w:t>
      </w:r>
      <w:r w:rsidR="00172762">
        <w:rPr>
          <w:szCs w:val="23"/>
        </w:rPr>
        <w:t>-</w:t>
      </w:r>
      <w:r w:rsidRPr="00172762">
        <w:rPr>
          <w:szCs w:val="23"/>
        </w:rPr>
        <w:t>222. </w:t>
      </w:r>
      <w:hyperlink r:id="rId32" w:tgtFrame="_blank" w:history="1">
        <w:r w:rsidRPr="00172762">
          <w:rPr>
            <w:rStyle w:val="Hipervnculo"/>
            <w:szCs w:val="23"/>
          </w:rPr>
          <w:t>https://doi.org/10.1002/ejsp.2813</w:t>
        </w:r>
      </w:hyperlink>
    </w:p>
    <w:p w14:paraId="41646766" w14:textId="03D43570" w:rsidR="000E301F" w:rsidRPr="00172762" w:rsidRDefault="000E301F" w:rsidP="000E301F">
      <w:pPr>
        <w:pStyle w:val="Referencias"/>
        <w:spacing w:line="360" w:lineRule="auto"/>
        <w:rPr>
          <w:szCs w:val="23"/>
          <w:lang w:val="pt-BR"/>
        </w:rPr>
      </w:pPr>
      <w:proofErr w:type="spellStart"/>
      <w:r w:rsidRPr="00172762">
        <w:rPr>
          <w:szCs w:val="23"/>
        </w:rPr>
        <w:t>Gutman</w:t>
      </w:r>
      <w:proofErr w:type="spellEnd"/>
      <w:r w:rsidRPr="00172762">
        <w:rPr>
          <w:szCs w:val="23"/>
        </w:rPr>
        <w:t xml:space="preserve">, Y., &amp; </w:t>
      </w:r>
      <w:proofErr w:type="spellStart"/>
      <w:r w:rsidRPr="00172762">
        <w:rPr>
          <w:szCs w:val="23"/>
        </w:rPr>
        <w:t>Wüstenberg</w:t>
      </w:r>
      <w:proofErr w:type="spellEnd"/>
      <w:r w:rsidRPr="00172762">
        <w:rPr>
          <w:szCs w:val="23"/>
        </w:rPr>
        <w:t xml:space="preserve">, J. (2023). Introduction: The activist </w:t>
      </w:r>
      <w:proofErr w:type="gramStart"/>
      <w:r w:rsidRPr="00172762">
        <w:rPr>
          <w:szCs w:val="23"/>
        </w:rPr>
        <w:t>turn</w:t>
      </w:r>
      <w:proofErr w:type="gramEnd"/>
      <w:r w:rsidRPr="00172762">
        <w:rPr>
          <w:szCs w:val="23"/>
        </w:rPr>
        <w:t xml:space="preserve"> in memory studies. In Y. </w:t>
      </w:r>
      <w:proofErr w:type="spellStart"/>
      <w:r w:rsidRPr="00172762">
        <w:rPr>
          <w:szCs w:val="23"/>
        </w:rPr>
        <w:t>Gutman</w:t>
      </w:r>
      <w:proofErr w:type="spellEnd"/>
      <w:r w:rsidRPr="00172762">
        <w:rPr>
          <w:szCs w:val="23"/>
        </w:rPr>
        <w:t xml:space="preserve"> &amp; J. </w:t>
      </w:r>
      <w:proofErr w:type="spellStart"/>
      <w:r w:rsidRPr="00172762">
        <w:rPr>
          <w:szCs w:val="23"/>
        </w:rPr>
        <w:t>Wüstenberg</w:t>
      </w:r>
      <w:proofErr w:type="spellEnd"/>
      <w:r w:rsidRPr="00172762">
        <w:rPr>
          <w:szCs w:val="23"/>
        </w:rPr>
        <w:t xml:space="preserve"> (Eds.), </w:t>
      </w:r>
      <w:r w:rsidRPr="00172762">
        <w:rPr>
          <w:i/>
          <w:iCs/>
          <w:szCs w:val="23"/>
        </w:rPr>
        <w:t>The Routledge handbook of memory activism</w:t>
      </w:r>
      <w:r w:rsidRPr="00172762">
        <w:rPr>
          <w:szCs w:val="23"/>
        </w:rPr>
        <w:t> (pp. 5</w:t>
      </w:r>
      <w:r w:rsidR="00172762">
        <w:rPr>
          <w:szCs w:val="23"/>
        </w:rPr>
        <w:t>-</w:t>
      </w:r>
      <w:r w:rsidRPr="00172762">
        <w:rPr>
          <w:szCs w:val="23"/>
        </w:rPr>
        <w:t xml:space="preserve">15). </w:t>
      </w:r>
      <w:proofErr w:type="spellStart"/>
      <w:r w:rsidRPr="00172762">
        <w:rPr>
          <w:szCs w:val="23"/>
          <w:lang w:val="pt-BR"/>
        </w:rPr>
        <w:t>Routledge</w:t>
      </w:r>
      <w:proofErr w:type="spellEnd"/>
      <w:r w:rsidRPr="00172762">
        <w:rPr>
          <w:szCs w:val="23"/>
          <w:lang w:val="pt-BR"/>
        </w:rPr>
        <w:t>.</w:t>
      </w:r>
    </w:p>
    <w:p w14:paraId="43DF96CF" w14:textId="77777777" w:rsidR="000E301F" w:rsidRPr="00172762" w:rsidRDefault="000E301F" w:rsidP="000E301F">
      <w:pPr>
        <w:pStyle w:val="Referencias"/>
        <w:spacing w:line="360" w:lineRule="auto"/>
        <w:rPr>
          <w:szCs w:val="23"/>
        </w:rPr>
      </w:pPr>
      <w:r w:rsidRPr="00172762">
        <w:rPr>
          <w:szCs w:val="23"/>
          <w:lang w:val="pt-BR"/>
        </w:rPr>
        <w:t>Henriques, I. C. (2020). </w:t>
      </w:r>
      <w:r w:rsidRPr="00172762">
        <w:rPr>
          <w:i/>
          <w:iCs/>
          <w:szCs w:val="23"/>
          <w:lang w:val="pt-BR"/>
        </w:rPr>
        <w:t>A descolonização da história: Portugal, a África e a desconstrução de mitos historiográficos</w:t>
      </w:r>
      <w:r w:rsidRPr="00172762">
        <w:rPr>
          <w:szCs w:val="23"/>
          <w:lang w:val="pt-BR"/>
        </w:rPr>
        <w:t xml:space="preserve">. </w:t>
      </w:r>
      <w:proofErr w:type="spellStart"/>
      <w:r w:rsidRPr="00172762">
        <w:rPr>
          <w:szCs w:val="23"/>
        </w:rPr>
        <w:t>Caleidoscópio</w:t>
      </w:r>
      <w:proofErr w:type="spellEnd"/>
      <w:r w:rsidRPr="00172762">
        <w:rPr>
          <w:szCs w:val="23"/>
        </w:rPr>
        <w:t>.</w:t>
      </w:r>
    </w:p>
    <w:p w14:paraId="73A96C78" w14:textId="0BBF13A4" w:rsidR="000E301F" w:rsidRPr="00172762" w:rsidRDefault="000E301F" w:rsidP="000E301F">
      <w:pPr>
        <w:pStyle w:val="Referencias"/>
        <w:spacing w:line="360" w:lineRule="auto"/>
        <w:rPr>
          <w:szCs w:val="23"/>
        </w:rPr>
      </w:pPr>
      <w:r w:rsidRPr="00172762">
        <w:rPr>
          <w:szCs w:val="23"/>
        </w:rPr>
        <w:t>Hilton, D. J., &amp; Liu, J. H. (2017). History as the narrative of a people: From function to structure and content. </w:t>
      </w:r>
      <w:r w:rsidRPr="00172762">
        <w:rPr>
          <w:i/>
          <w:iCs/>
          <w:szCs w:val="23"/>
        </w:rPr>
        <w:t>Memory Studies</w:t>
      </w:r>
      <w:r w:rsidRPr="00172762">
        <w:rPr>
          <w:szCs w:val="23"/>
        </w:rPr>
        <w:t>, </w:t>
      </w:r>
      <w:r w:rsidRPr="00172762">
        <w:rPr>
          <w:i/>
          <w:iCs/>
          <w:szCs w:val="23"/>
        </w:rPr>
        <w:t>10</w:t>
      </w:r>
      <w:r w:rsidRPr="00172762">
        <w:rPr>
          <w:szCs w:val="23"/>
        </w:rPr>
        <w:t>(3), 297</w:t>
      </w:r>
      <w:r w:rsidR="00172762">
        <w:rPr>
          <w:szCs w:val="23"/>
        </w:rPr>
        <w:t>-</w:t>
      </w:r>
      <w:r w:rsidRPr="00172762">
        <w:rPr>
          <w:szCs w:val="23"/>
        </w:rPr>
        <w:t>309. </w:t>
      </w:r>
      <w:hyperlink r:id="rId33" w:tgtFrame="_blank" w:history="1">
        <w:r w:rsidRPr="00172762">
          <w:rPr>
            <w:rStyle w:val="Hipervnculo"/>
            <w:szCs w:val="23"/>
          </w:rPr>
          <w:t>https://doi.org/10.1177/1750698017701612</w:t>
        </w:r>
      </w:hyperlink>
    </w:p>
    <w:p w14:paraId="45B33FAA" w14:textId="795887ED" w:rsidR="000E301F" w:rsidRPr="00172762" w:rsidRDefault="000E301F" w:rsidP="000E301F">
      <w:pPr>
        <w:pStyle w:val="Referencias"/>
        <w:spacing w:line="360" w:lineRule="auto"/>
        <w:rPr>
          <w:szCs w:val="23"/>
        </w:rPr>
      </w:pPr>
      <w:proofErr w:type="spellStart"/>
      <w:r w:rsidRPr="00172762">
        <w:rPr>
          <w:szCs w:val="23"/>
        </w:rPr>
        <w:t>Hakoköngäs</w:t>
      </w:r>
      <w:proofErr w:type="spellEnd"/>
      <w:r w:rsidRPr="00172762">
        <w:rPr>
          <w:szCs w:val="23"/>
        </w:rPr>
        <w:t xml:space="preserve">, E., &amp; </w:t>
      </w:r>
      <w:proofErr w:type="spellStart"/>
      <w:r w:rsidRPr="00172762">
        <w:rPr>
          <w:szCs w:val="23"/>
        </w:rPr>
        <w:t>Sakki</w:t>
      </w:r>
      <w:proofErr w:type="spellEnd"/>
      <w:r w:rsidRPr="00172762">
        <w:rPr>
          <w:szCs w:val="23"/>
        </w:rPr>
        <w:t>, I. (2016). Visualized collective memories: Social representations of history in images found in Finnish history textbooks. </w:t>
      </w:r>
      <w:r w:rsidRPr="00172762">
        <w:rPr>
          <w:i/>
          <w:iCs/>
          <w:szCs w:val="23"/>
        </w:rPr>
        <w:t xml:space="preserve">Journal </w:t>
      </w:r>
      <w:r w:rsidRPr="00172762">
        <w:rPr>
          <w:i/>
          <w:iCs/>
          <w:szCs w:val="23"/>
        </w:rPr>
        <w:lastRenderedPageBreak/>
        <w:t>of Community &amp; Applied Social Psychology</w:t>
      </w:r>
      <w:r w:rsidRPr="00172762">
        <w:rPr>
          <w:szCs w:val="23"/>
        </w:rPr>
        <w:t>, </w:t>
      </w:r>
      <w:r w:rsidRPr="00172762">
        <w:rPr>
          <w:i/>
          <w:iCs/>
          <w:szCs w:val="23"/>
        </w:rPr>
        <w:t>26</w:t>
      </w:r>
      <w:r w:rsidRPr="00172762">
        <w:rPr>
          <w:szCs w:val="23"/>
        </w:rPr>
        <w:t>(6), 496</w:t>
      </w:r>
      <w:r w:rsidR="00172762">
        <w:rPr>
          <w:szCs w:val="23"/>
        </w:rPr>
        <w:t>-</w:t>
      </w:r>
      <w:r w:rsidRPr="00172762">
        <w:rPr>
          <w:szCs w:val="23"/>
        </w:rPr>
        <w:t>517. </w:t>
      </w:r>
      <w:hyperlink r:id="rId34" w:tgtFrame="_blank" w:history="1">
        <w:r w:rsidRPr="00172762">
          <w:rPr>
            <w:rStyle w:val="Hipervnculo"/>
            <w:szCs w:val="23"/>
          </w:rPr>
          <w:t>https://doi.org/10.1002/casp.2276</w:t>
        </w:r>
      </w:hyperlink>
    </w:p>
    <w:p w14:paraId="089E3135" w14:textId="06D438E2" w:rsidR="000E301F" w:rsidRPr="00172762" w:rsidRDefault="000E301F" w:rsidP="000E301F">
      <w:pPr>
        <w:pStyle w:val="Referencias"/>
        <w:spacing w:line="360" w:lineRule="auto"/>
        <w:rPr>
          <w:szCs w:val="23"/>
        </w:rPr>
      </w:pPr>
      <w:proofErr w:type="spellStart"/>
      <w:r w:rsidRPr="00172762">
        <w:rPr>
          <w:szCs w:val="23"/>
          <w:lang w:val="pt-BR"/>
        </w:rPr>
        <w:t>Licata</w:t>
      </w:r>
      <w:proofErr w:type="spellEnd"/>
      <w:r w:rsidRPr="00172762">
        <w:rPr>
          <w:szCs w:val="23"/>
          <w:lang w:val="pt-BR"/>
        </w:rPr>
        <w:t xml:space="preserve">, L., Khan, S. S., </w:t>
      </w:r>
      <w:proofErr w:type="spellStart"/>
      <w:r w:rsidRPr="00172762">
        <w:rPr>
          <w:szCs w:val="23"/>
          <w:lang w:val="pt-BR"/>
        </w:rPr>
        <w:t>Lastrego</w:t>
      </w:r>
      <w:proofErr w:type="spellEnd"/>
      <w:r w:rsidRPr="00172762">
        <w:rPr>
          <w:szCs w:val="23"/>
          <w:lang w:val="pt-BR"/>
        </w:rPr>
        <w:t xml:space="preserve">, S., Cabecinhas, R., Valentim, J. P., &amp; Liu, J. H. (2018). </w:t>
      </w:r>
      <w:r w:rsidRPr="00172762">
        <w:rPr>
          <w:szCs w:val="23"/>
        </w:rPr>
        <w:t>Social representations of colonialism in Africa and in Europe: Structure and relevance for contemporary intergroup relations. </w:t>
      </w:r>
      <w:r w:rsidRPr="00172762">
        <w:rPr>
          <w:i/>
          <w:iCs/>
          <w:szCs w:val="23"/>
        </w:rPr>
        <w:t>International Journal of Intercultural Relations</w:t>
      </w:r>
      <w:r w:rsidRPr="00172762">
        <w:rPr>
          <w:szCs w:val="23"/>
        </w:rPr>
        <w:t>, </w:t>
      </w:r>
      <w:r w:rsidRPr="00172762">
        <w:rPr>
          <w:i/>
          <w:iCs/>
          <w:szCs w:val="23"/>
        </w:rPr>
        <w:t>62</w:t>
      </w:r>
      <w:r w:rsidRPr="00172762">
        <w:rPr>
          <w:szCs w:val="23"/>
        </w:rPr>
        <w:t>, 68</w:t>
      </w:r>
      <w:r w:rsidR="00172762">
        <w:rPr>
          <w:szCs w:val="23"/>
        </w:rPr>
        <w:t>-</w:t>
      </w:r>
      <w:r w:rsidRPr="00172762">
        <w:rPr>
          <w:szCs w:val="23"/>
        </w:rPr>
        <w:t>79. </w:t>
      </w:r>
      <w:hyperlink r:id="rId35" w:tgtFrame="_blank" w:history="1">
        <w:r w:rsidRPr="00172762">
          <w:rPr>
            <w:rStyle w:val="Hipervnculo"/>
            <w:szCs w:val="23"/>
          </w:rPr>
          <w:t>https://doi.org/10.1016/j.ijintrel.2017.05.004</w:t>
        </w:r>
      </w:hyperlink>
    </w:p>
    <w:p w14:paraId="4D7DFFEE" w14:textId="1A00AE27" w:rsidR="00172762" w:rsidRDefault="000E301F" w:rsidP="00172762">
      <w:pPr>
        <w:pStyle w:val="Referencias"/>
        <w:spacing w:line="360" w:lineRule="auto"/>
        <w:rPr>
          <w:szCs w:val="23"/>
          <w:lang w:val="pt-BR"/>
        </w:rPr>
      </w:pPr>
      <w:r w:rsidRPr="00172762">
        <w:rPr>
          <w:szCs w:val="23"/>
        </w:rPr>
        <w:t xml:space="preserve">Licata, L., &amp; Klein, O. (2005). Regards </w:t>
      </w:r>
      <w:proofErr w:type="spellStart"/>
      <w:r w:rsidRPr="00172762">
        <w:rPr>
          <w:szCs w:val="23"/>
        </w:rPr>
        <w:t>croisés</w:t>
      </w:r>
      <w:proofErr w:type="spellEnd"/>
      <w:r w:rsidRPr="00172762">
        <w:rPr>
          <w:szCs w:val="23"/>
        </w:rPr>
        <w:t xml:space="preserve"> sur un passé </w:t>
      </w:r>
      <w:proofErr w:type="spellStart"/>
      <w:r w:rsidRPr="00172762">
        <w:rPr>
          <w:szCs w:val="23"/>
        </w:rPr>
        <w:t>commun</w:t>
      </w:r>
      <w:proofErr w:type="spellEnd"/>
      <w:r w:rsidRPr="00172762">
        <w:rPr>
          <w:szCs w:val="23"/>
        </w:rPr>
        <w:t xml:space="preserve">: </w:t>
      </w:r>
      <w:proofErr w:type="spellStart"/>
      <w:r w:rsidRPr="00172762">
        <w:rPr>
          <w:szCs w:val="23"/>
        </w:rPr>
        <w:t>Anciens</w:t>
      </w:r>
      <w:proofErr w:type="spellEnd"/>
      <w:r w:rsidRPr="00172762">
        <w:rPr>
          <w:szCs w:val="23"/>
        </w:rPr>
        <w:t xml:space="preserve"> </w:t>
      </w:r>
      <w:proofErr w:type="spellStart"/>
      <w:r w:rsidRPr="00172762">
        <w:rPr>
          <w:szCs w:val="23"/>
        </w:rPr>
        <w:t>colonisés</w:t>
      </w:r>
      <w:proofErr w:type="spellEnd"/>
      <w:r w:rsidRPr="00172762">
        <w:rPr>
          <w:szCs w:val="23"/>
        </w:rPr>
        <w:t xml:space="preserve"> et </w:t>
      </w:r>
      <w:proofErr w:type="spellStart"/>
      <w:r w:rsidRPr="00172762">
        <w:rPr>
          <w:szCs w:val="23"/>
        </w:rPr>
        <w:t>anciens</w:t>
      </w:r>
      <w:proofErr w:type="spellEnd"/>
      <w:r w:rsidRPr="00172762">
        <w:rPr>
          <w:szCs w:val="23"/>
        </w:rPr>
        <w:t xml:space="preserve"> </w:t>
      </w:r>
      <w:proofErr w:type="spellStart"/>
      <w:r w:rsidRPr="00172762">
        <w:rPr>
          <w:szCs w:val="23"/>
        </w:rPr>
        <w:t>coloniaux</w:t>
      </w:r>
      <w:proofErr w:type="spellEnd"/>
      <w:r w:rsidRPr="00172762">
        <w:rPr>
          <w:szCs w:val="23"/>
        </w:rPr>
        <w:t xml:space="preserve"> face à </w:t>
      </w:r>
      <w:proofErr w:type="spellStart"/>
      <w:r w:rsidRPr="00172762">
        <w:rPr>
          <w:szCs w:val="23"/>
        </w:rPr>
        <w:t>l’action</w:t>
      </w:r>
      <w:proofErr w:type="spellEnd"/>
      <w:r w:rsidRPr="00172762">
        <w:rPr>
          <w:szCs w:val="23"/>
        </w:rPr>
        <w:t xml:space="preserve"> </w:t>
      </w:r>
      <w:proofErr w:type="spellStart"/>
      <w:r w:rsidRPr="00172762">
        <w:rPr>
          <w:szCs w:val="23"/>
        </w:rPr>
        <w:t>belge</w:t>
      </w:r>
      <w:proofErr w:type="spellEnd"/>
      <w:r w:rsidRPr="00172762">
        <w:rPr>
          <w:szCs w:val="23"/>
        </w:rPr>
        <w:t xml:space="preserve"> au Congo. In M. Sanchez-</w:t>
      </w:r>
      <w:proofErr w:type="spellStart"/>
      <w:r w:rsidRPr="00172762">
        <w:rPr>
          <w:szCs w:val="23"/>
        </w:rPr>
        <w:t>Mazas</w:t>
      </w:r>
      <w:proofErr w:type="spellEnd"/>
      <w:r w:rsidRPr="00172762">
        <w:rPr>
          <w:szCs w:val="23"/>
        </w:rPr>
        <w:t xml:space="preserve"> &amp; L. Licata (Eds.), </w:t>
      </w:r>
      <w:proofErr w:type="spellStart"/>
      <w:r w:rsidRPr="00172762">
        <w:rPr>
          <w:i/>
          <w:iCs/>
          <w:szCs w:val="23"/>
        </w:rPr>
        <w:t>L'Autre</w:t>
      </w:r>
      <w:proofErr w:type="spellEnd"/>
      <w:r w:rsidRPr="00172762">
        <w:rPr>
          <w:i/>
          <w:iCs/>
          <w:szCs w:val="23"/>
        </w:rPr>
        <w:t xml:space="preserve">: Regards </w:t>
      </w:r>
      <w:proofErr w:type="spellStart"/>
      <w:r w:rsidRPr="00172762">
        <w:rPr>
          <w:i/>
          <w:iCs/>
          <w:szCs w:val="23"/>
        </w:rPr>
        <w:t>psychosociaux</w:t>
      </w:r>
      <w:proofErr w:type="spellEnd"/>
      <w:r w:rsidRPr="00172762">
        <w:rPr>
          <w:szCs w:val="23"/>
        </w:rPr>
        <w:t> (pp. 241</w:t>
      </w:r>
      <w:r w:rsidR="00172762">
        <w:rPr>
          <w:szCs w:val="23"/>
        </w:rPr>
        <w:t>-</w:t>
      </w:r>
      <w:r w:rsidRPr="00172762">
        <w:rPr>
          <w:szCs w:val="23"/>
        </w:rPr>
        <w:t xml:space="preserve">277). </w:t>
      </w:r>
      <w:proofErr w:type="spellStart"/>
      <w:r w:rsidRPr="00172762">
        <w:rPr>
          <w:szCs w:val="23"/>
          <w:lang w:val="pt-BR"/>
        </w:rPr>
        <w:t>Presses</w:t>
      </w:r>
      <w:proofErr w:type="spellEnd"/>
      <w:r w:rsidRPr="00172762">
        <w:rPr>
          <w:szCs w:val="23"/>
          <w:lang w:val="pt-BR"/>
        </w:rPr>
        <w:t xml:space="preserve"> </w:t>
      </w:r>
      <w:proofErr w:type="spellStart"/>
      <w:r w:rsidRPr="00172762">
        <w:rPr>
          <w:szCs w:val="23"/>
          <w:lang w:val="pt-BR"/>
        </w:rPr>
        <w:t>Universitaires</w:t>
      </w:r>
      <w:proofErr w:type="spellEnd"/>
      <w:r w:rsidRPr="00172762">
        <w:rPr>
          <w:szCs w:val="23"/>
          <w:lang w:val="pt-BR"/>
        </w:rPr>
        <w:t xml:space="preserve"> de Grenoble.</w:t>
      </w:r>
    </w:p>
    <w:p w14:paraId="222790E4" w14:textId="77777777" w:rsidR="002F3DCD" w:rsidRPr="00172762" w:rsidRDefault="002F3DCD" w:rsidP="002F3DCD">
      <w:pPr>
        <w:pStyle w:val="Referencias"/>
        <w:spacing w:line="360" w:lineRule="auto"/>
        <w:rPr>
          <w:szCs w:val="23"/>
        </w:rPr>
      </w:pPr>
      <w:r w:rsidRPr="00172762">
        <w:rPr>
          <w:szCs w:val="23"/>
        </w:rPr>
        <w:t xml:space="preserve">Licata, L. </w:t>
      </w:r>
      <w:r>
        <w:rPr>
          <w:szCs w:val="23"/>
        </w:rPr>
        <w:t xml:space="preserve">&amp; </w:t>
      </w:r>
      <w:proofErr w:type="spellStart"/>
      <w:r>
        <w:rPr>
          <w:szCs w:val="23"/>
        </w:rPr>
        <w:t>Volpato</w:t>
      </w:r>
      <w:proofErr w:type="spellEnd"/>
      <w:r>
        <w:rPr>
          <w:szCs w:val="23"/>
        </w:rPr>
        <w:t>, C.</w:t>
      </w:r>
      <w:r w:rsidRPr="00172762">
        <w:rPr>
          <w:szCs w:val="23"/>
        </w:rPr>
        <w:t xml:space="preserve"> (2010). Introduction: Collective memories of colonial violence. </w:t>
      </w:r>
      <w:r w:rsidRPr="00172762">
        <w:rPr>
          <w:i/>
          <w:iCs/>
          <w:szCs w:val="23"/>
        </w:rPr>
        <w:t>International Journal of Conflict and Violence, 4</w:t>
      </w:r>
      <w:r w:rsidRPr="00172762">
        <w:rPr>
          <w:szCs w:val="23"/>
        </w:rPr>
        <w:t>(1), 4</w:t>
      </w:r>
      <w:r>
        <w:rPr>
          <w:szCs w:val="23"/>
        </w:rPr>
        <w:t>-</w:t>
      </w:r>
      <w:r w:rsidRPr="00172762">
        <w:rPr>
          <w:szCs w:val="23"/>
        </w:rPr>
        <w:t xml:space="preserve">10. </w:t>
      </w:r>
      <w:hyperlink r:id="rId36" w:tgtFrame="_new" w:history="1">
        <w:r w:rsidRPr="00172762">
          <w:rPr>
            <w:rStyle w:val="Hipervnculo"/>
            <w:szCs w:val="23"/>
          </w:rPr>
          <w:t>https://doi.org/10.4119/ijcv-2811</w:t>
        </w:r>
      </w:hyperlink>
    </w:p>
    <w:p w14:paraId="75D03AEE" w14:textId="6281CF28" w:rsidR="00172762" w:rsidRPr="00172762" w:rsidRDefault="00172762" w:rsidP="00172762">
      <w:pPr>
        <w:pStyle w:val="Referencias"/>
        <w:spacing w:line="360" w:lineRule="auto"/>
        <w:rPr>
          <w:szCs w:val="23"/>
          <w:lang w:val="pt-BR"/>
        </w:rPr>
      </w:pPr>
      <w:r w:rsidRPr="00172762">
        <w:rPr>
          <w:szCs w:val="23"/>
          <w:lang w:val="pt-BR"/>
        </w:rPr>
        <w:t xml:space="preserve">Lins, L., Brasil, J. A., &amp; Cabecinhas, R. (2024). “A história do meu país”: Reflexões sobre a memória social e os futuros do passado nas narrativas de jovens portugueses. </w:t>
      </w:r>
      <w:r w:rsidRPr="00172762">
        <w:rPr>
          <w:i/>
          <w:iCs/>
          <w:szCs w:val="23"/>
          <w:lang w:val="pt-BR"/>
        </w:rPr>
        <w:t>Revista Crítica de Ciências Sociais, 133</w:t>
      </w:r>
      <w:r w:rsidRPr="00172762">
        <w:rPr>
          <w:szCs w:val="23"/>
          <w:lang w:val="pt-BR"/>
        </w:rPr>
        <w:t>, 97</w:t>
      </w:r>
      <w:r>
        <w:rPr>
          <w:szCs w:val="23"/>
          <w:lang w:val="pt-BR"/>
        </w:rPr>
        <w:t>-</w:t>
      </w:r>
      <w:r w:rsidRPr="00172762">
        <w:rPr>
          <w:szCs w:val="23"/>
          <w:lang w:val="pt-BR"/>
        </w:rPr>
        <w:t xml:space="preserve">120. </w:t>
      </w:r>
      <w:hyperlink r:id="rId37" w:tgtFrame="_new" w:history="1">
        <w:r w:rsidRPr="00172762">
          <w:rPr>
            <w:rStyle w:val="Hipervnculo"/>
            <w:szCs w:val="23"/>
            <w:lang w:val="pt-BR"/>
          </w:rPr>
          <w:t>https://doi.org/10.4000/11pr6</w:t>
        </w:r>
      </w:hyperlink>
    </w:p>
    <w:p w14:paraId="5071A4C3" w14:textId="5FF51CD0" w:rsidR="00172762" w:rsidRPr="00172762" w:rsidRDefault="00172762" w:rsidP="00172762">
      <w:pPr>
        <w:pStyle w:val="Referencias"/>
        <w:spacing w:line="360" w:lineRule="auto"/>
        <w:rPr>
          <w:szCs w:val="23"/>
        </w:rPr>
      </w:pPr>
      <w:r w:rsidRPr="00172762">
        <w:rPr>
          <w:szCs w:val="23"/>
          <w:lang w:val="pt-BR"/>
        </w:rPr>
        <w:t>Liu, J. H., Goldstein-</w:t>
      </w:r>
      <w:proofErr w:type="spellStart"/>
      <w:r w:rsidRPr="00172762">
        <w:rPr>
          <w:szCs w:val="23"/>
          <w:lang w:val="pt-BR"/>
        </w:rPr>
        <w:t>Hawes</w:t>
      </w:r>
      <w:proofErr w:type="spellEnd"/>
      <w:r w:rsidRPr="00172762">
        <w:rPr>
          <w:szCs w:val="23"/>
          <w:lang w:val="pt-BR"/>
        </w:rPr>
        <w:t xml:space="preserve">, R., Hilton, D. J., Huang, L., </w:t>
      </w:r>
      <w:proofErr w:type="spellStart"/>
      <w:r w:rsidRPr="00172762">
        <w:rPr>
          <w:szCs w:val="23"/>
          <w:lang w:val="pt-BR"/>
        </w:rPr>
        <w:t>Gastardo-Conaco</w:t>
      </w:r>
      <w:proofErr w:type="spellEnd"/>
      <w:r w:rsidRPr="00172762">
        <w:rPr>
          <w:szCs w:val="23"/>
          <w:lang w:val="pt-BR"/>
        </w:rPr>
        <w:t xml:space="preserve">, C., </w:t>
      </w:r>
      <w:proofErr w:type="spellStart"/>
      <w:r w:rsidRPr="00172762">
        <w:rPr>
          <w:szCs w:val="23"/>
          <w:lang w:val="pt-BR"/>
        </w:rPr>
        <w:t>Dresler</w:t>
      </w:r>
      <w:proofErr w:type="spellEnd"/>
      <w:r w:rsidRPr="00172762">
        <w:rPr>
          <w:szCs w:val="23"/>
          <w:lang w:val="pt-BR"/>
        </w:rPr>
        <w:t xml:space="preserve">-Hawke, E., … </w:t>
      </w:r>
      <w:r w:rsidRPr="00172762">
        <w:rPr>
          <w:szCs w:val="23"/>
        </w:rPr>
        <w:t xml:space="preserve">Hidaka, Y. (2005). Social representations of events and people in world history across twelve cultures. </w:t>
      </w:r>
      <w:r w:rsidRPr="00172762">
        <w:rPr>
          <w:i/>
          <w:iCs/>
          <w:szCs w:val="23"/>
        </w:rPr>
        <w:t>Journal of Cross-Cultural Psychology, 36</w:t>
      </w:r>
      <w:r w:rsidRPr="00172762">
        <w:rPr>
          <w:szCs w:val="23"/>
        </w:rPr>
        <w:t>(2), 171</w:t>
      </w:r>
      <w:r>
        <w:rPr>
          <w:szCs w:val="23"/>
        </w:rPr>
        <w:t>-</w:t>
      </w:r>
      <w:r w:rsidRPr="00172762">
        <w:rPr>
          <w:szCs w:val="23"/>
        </w:rPr>
        <w:t xml:space="preserve">191. </w:t>
      </w:r>
      <w:hyperlink r:id="rId38" w:tgtFrame="_new" w:history="1">
        <w:r w:rsidRPr="00172762">
          <w:rPr>
            <w:rStyle w:val="Hipervnculo"/>
            <w:szCs w:val="23"/>
          </w:rPr>
          <w:t>https://doi.org/10.1177/0022022104272900</w:t>
        </w:r>
      </w:hyperlink>
    </w:p>
    <w:p w14:paraId="32CAA0B0" w14:textId="38A2D84B" w:rsidR="00172762" w:rsidRPr="00172762" w:rsidRDefault="00172762" w:rsidP="00172762">
      <w:pPr>
        <w:pStyle w:val="Referencias"/>
        <w:spacing w:line="360" w:lineRule="auto"/>
        <w:rPr>
          <w:szCs w:val="23"/>
        </w:rPr>
      </w:pPr>
      <w:r w:rsidRPr="00172762">
        <w:rPr>
          <w:szCs w:val="23"/>
        </w:rPr>
        <w:t xml:space="preserve">Liu, J. H., &amp; Hilton, D. (2005). How the past weighs on the present: Towards a social psychology of </w:t>
      </w:r>
      <w:proofErr w:type="gramStart"/>
      <w:r w:rsidRPr="00172762">
        <w:rPr>
          <w:szCs w:val="23"/>
        </w:rPr>
        <w:t>histories.</w:t>
      </w:r>
      <w:proofErr w:type="gramEnd"/>
      <w:r w:rsidRPr="00172762">
        <w:rPr>
          <w:szCs w:val="23"/>
        </w:rPr>
        <w:t xml:space="preserve"> </w:t>
      </w:r>
      <w:r w:rsidRPr="00172762">
        <w:rPr>
          <w:i/>
          <w:iCs/>
          <w:szCs w:val="23"/>
        </w:rPr>
        <w:t>British Journal of Social Psychology, 44</w:t>
      </w:r>
      <w:r w:rsidRPr="00172762">
        <w:rPr>
          <w:szCs w:val="23"/>
        </w:rPr>
        <w:t>(4), 537</w:t>
      </w:r>
      <w:r>
        <w:rPr>
          <w:szCs w:val="23"/>
        </w:rPr>
        <w:t>-</w:t>
      </w:r>
      <w:r w:rsidRPr="00172762">
        <w:rPr>
          <w:szCs w:val="23"/>
        </w:rPr>
        <w:t xml:space="preserve">556. </w:t>
      </w:r>
      <w:hyperlink r:id="rId39" w:tgtFrame="_new" w:history="1">
        <w:r w:rsidRPr="00172762">
          <w:rPr>
            <w:rStyle w:val="Hipervnculo"/>
            <w:szCs w:val="23"/>
          </w:rPr>
          <w:t>https://doi.org/10.1348/014466605X27162</w:t>
        </w:r>
      </w:hyperlink>
    </w:p>
    <w:p w14:paraId="22833D3B" w14:textId="5B88FEF6" w:rsidR="00172762" w:rsidRPr="00172762" w:rsidRDefault="00172762" w:rsidP="00172762">
      <w:pPr>
        <w:pStyle w:val="Referencias"/>
        <w:spacing w:line="360" w:lineRule="auto"/>
        <w:rPr>
          <w:szCs w:val="23"/>
        </w:rPr>
      </w:pPr>
      <w:r w:rsidRPr="00172762">
        <w:rPr>
          <w:szCs w:val="23"/>
        </w:rPr>
        <w:t xml:space="preserve">Liu, J. H., </w:t>
      </w:r>
      <w:proofErr w:type="spellStart"/>
      <w:r w:rsidRPr="00172762">
        <w:rPr>
          <w:szCs w:val="23"/>
        </w:rPr>
        <w:t>Páez</w:t>
      </w:r>
      <w:proofErr w:type="spellEnd"/>
      <w:r w:rsidRPr="00172762">
        <w:rPr>
          <w:szCs w:val="23"/>
        </w:rPr>
        <w:t xml:space="preserve">, D., </w:t>
      </w:r>
      <w:proofErr w:type="spellStart"/>
      <w:r w:rsidRPr="00172762">
        <w:rPr>
          <w:szCs w:val="23"/>
        </w:rPr>
        <w:t>Slawuta</w:t>
      </w:r>
      <w:proofErr w:type="spellEnd"/>
      <w:r w:rsidRPr="00172762">
        <w:rPr>
          <w:szCs w:val="23"/>
        </w:rPr>
        <w:t xml:space="preserve">, P., </w:t>
      </w:r>
      <w:proofErr w:type="spellStart"/>
      <w:r w:rsidRPr="00172762">
        <w:rPr>
          <w:szCs w:val="23"/>
        </w:rPr>
        <w:t>Cabecinhas</w:t>
      </w:r>
      <w:proofErr w:type="spellEnd"/>
      <w:r w:rsidRPr="00172762">
        <w:rPr>
          <w:szCs w:val="23"/>
        </w:rPr>
        <w:t xml:space="preserve">, R., </w:t>
      </w:r>
      <w:proofErr w:type="spellStart"/>
      <w:r w:rsidRPr="00172762">
        <w:rPr>
          <w:szCs w:val="23"/>
        </w:rPr>
        <w:t>Techio</w:t>
      </w:r>
      <w:proofErr w:type="spellEnd"/>
      <w:r w:rsidRPr="00172762">
        <w:rPr>
          <w:szCs w:val="23"/>
        </w:rPr>
        <w:t xml:space="preserve">, E. M., </w:t>
      </w:r>
      <w:proofErr w:type="spellStart"/>
      <w:r w:rsidRPr="00172762">
        <w:rPr>
          <w:szCs w:val="23"/>
        </w:rPr>
        <w:t>Kokdemir</w:t>
      </w:r>
      <w:proofErr w:type="spellEnd"/>
      <w:r w:rsidRPr="00172762">
        <w:rPr>
          <w:szCs w:val="23"/>
        </w:rPr>
        <w:t xml:space="preserve">, D., &amp; </w:t>
      </w:r>
      <w:proofErr w:type="spellStart"/>
      <w:r w:rsidRPr="00172762">
        <w:rPr>
          <w:szCs w:val="23"/>
        </w:rPr>
        <w:t>Zlobina</w:t>
      </w:r>
      <w:proofErr w:type="spellEnd"/>
      <w:r w:rsidRPr="00172762">
        <w:rPr>
          <w:szCs w:val="23"/>
        </w:rPr>
        <w:t xml:space="preserve">, A. (2009). Representing world history in the 21st century: The impact of 9/11, the Iraq War, and the nation-state on dynamics of collective remembering. </w:t>
      </w:r>
      <w:r w:rsidRPr="00172762">
        <w:rPr>
          <w:i/>
          <w:iCs/>
          <w:szCs w:val="23"/>
        </w:rPr>
        <w:t>Journal of Cross-Cultural Psychology, 40</w:t>
      </w:r>
      <w:r w:rsidRPr="00172762">
        <w:rPr>
          <w:szCs w:val="23"/>
        </w:rPr>
        <w:t>(4), 667</w:t>
      </w:r>
      <w:r>
        <w:rPr>
          <w:szCs w:val="23"/>
        </w:rPr>
        <w:t>-</w:t>
      </w:r>
      <w:r w:rsidRPr="00172762">
        <w:rPr>
          <w:szCs w:val="23"/>
        </w:rPr>
        <w:t xml:space="preserve">692. </w:t>
      </w:r>
      <w:hyperlink r:id="rId40" w:tgtFrame="_new" w:history="1">
        <w:r w:rsidRPr="00172762">
          <w:rPr>
            <w:rStyle w:val="Hipervnculo"/>
            <w:szCs w:val="23"/>
          </w:rPr>
          <w:t>https://doi.org/10.1177/0022022109335557</w:t>
        </w:r>
      </w:hyperlink>
    </w:p>
    <w:p w14:paraId="1FD0CA3E" w14:textId="63F30E70" w:rsidR="00172762" w:rsidRPr="00172762" w:rsidRDefault="00172762" w:rsidP="00172762">
      <w:pPr>
        <w:pStyle w:val="Referencias"/>
        <w:spacing w:line="360" w:lineRule="auto"/>
        <w:rPr>
          <w:szCs w:val="23"/>
        </w:rPr>
      </w:pPr>
      <w:proofErr w:type="spellStart"/>
      <w:r w:rsidRPr="00172762">
        <w:rPr>
          <w:szCs w:val="23"/>
        </w:rPr>
        <w:t>Makanju</w:t>
      </w:r>
      <w:proofErr w:type="spellEnd"/>
      <w:r w:rsidRPr="00172762">
        <w:rPr>
          <w:szCs w:val="23"/>
        </w:rPr>
        <w:t xml:space="preserve">, D., Livingstone, A. G., &amp; </w:t>
      </w:r>
      <w:proofErr w:type="spellStart"/>
      <w:r w:rsidRPr="00172762">
        <w:rPr>
          <w:szCs w:val="23"/>
        </w:rPr>
        <w:t>Sweetman</w:t>
      </w:r>
      <w:proofErr w:type="spellEnd"/>
      <w:r w:rsidRPr="00172762">
        <w:rPr>
          <w:szCs w:val="23"/>
        </w:rPr>
        <w:t xml:space="preserve">, J. (2023). How group members appraise collective history: Appraisal dimensions of collective history and their role in in-group engagement. </w:t>
      </w:r>
      <w:r w:rsidRPr="00172762">
        <w:rPr>
          <w:i/>
          <w:iCs/>
          <w:szCs w:val="23"/>
        </w:rPr>
        <w:t>Journal of Social and Political Psychology, 11</w:t>
      </w:r>
      <w:r w:rsidRPr="00172762">
        <w:rPr>
          <w:szCs w:val="23"/>
        </w:rPr>
        <w:t>(1), 229</w:t>
      </w:r>
      <w:r>
        <w:rPr>
          <w:szCs w:val="23"/>
        </w:rPr>
        <w:t>-</w:t>
      </w:r>
      <w:r w:rsidRPr="00172762">
        <w:rPr>
          <w:szCs w:val="23"/>
        </w:rPr>
        <w:t xml:space="preserve">246. </w:t>
      </w:r>
      <w:hyperlink r:id="rId41" w:tgtFrame="_new" w:history="1">
        <w:r w:rsidRPr="00172762">
          <w:rPr>
            <w:rStyle w:val="Hipervnculo"/>
            <w:szCs w:val="23"/>
          </w:rPr>
          <w:t>https://doi.org/10.5964/jspp.6355</w:t>
        </w:r>
      </w:hyperlink>
    </w:p>
    <w:p w14:paraId="27EB5CC7" w14:textId="77777777" w:rsidR="00172762" w:rsidRPr="00172762" w:rsidRDefault="00172762" w:rsidP="00172762">
      <w:pPr>
        <w:pStyle w:val="Referencias"/>
        <w:spacing w:line="360" w:lineRule="auto"/>
        <w:rPr>
          <w:szCs w:val="23"/>
          <w:lang w:val="pt-BR"/>
        </w:rPr>
      </w:pPr>
      <w:r w:rsidRPr="00172762">
        <w:rPr>
          <w:szCs w:val="23"/>
          <w:lang w:val="pt-BR"/>
        </w:rPr>
        <w:t xml:space="preserve">Mateus, K. S., &amp; Pereira, C. R. (2023). </w:t>
      </w:r>
      <w:r w:rsidRPr="00172762">
        <w:rPr>
          <w:szCs w:val="23"/>
        </w:rPr>
        <w:t xml:space="preserve">System justification in the social explanation of the violence against </w:t>
      </w:r>
      <w:proofErr w:type="spellStart"/>
      <w:r w:rsidRPr="00172762">
        <w:rPr>
          <w:szCs w:val="23"/>
        </w:rPr>
        <w:t>minoritized</w:t>
      </w:r>
      <w:proofErr w:type="spellEnd"/>
      <w:r w:rsidRPr="00172762">
        <w:rPr>
          <w:szCs w:val="23"/>
        </w:rPr>
        <w:t xml:space="preserve"> groups. </w:t>
      </w:r>
      <w:r w:rsidRPr="00172762">
        <w:rPr>
          <w:i/>
          <w:iCs/>
          <w:szCs w:val="23"/>
          <w:lang w:val="pt-BR"/>
        </w:rPr>
        <w:t xml:space="preserve">Revista Interamericana de </w:t>
      </w:r>
      <w:proofErr w:type="spellStart"/>
      <w:r w:rsidRPr="00172762">
        <w:rPr>
          <w:i/>
          <w:iCs/>
          <w:szCs w:val="23"/>
          <w:lang w:val="pt-BR"/>
        </w:rPr>
        <w:lastRenderedPageBreak/>
        <w:t>Psicología</w:t>
      </w:r>
      <w:proofErr w:type="spellEnd"/>
      <w:r w:rsidRPr="00172762">
        <w:rPr>
          <w:i/>
          <w:iCs/>
          <w:szCs w:val="23"/>
          <w:lang w:val="pt-BR"/>
        </w:rPr>
        <w:t>/</w:t>
      </w:r>
      <w:proofErr w:type="spellStart"/>
      <w:r w:rsidRPr="00172762">
        <w:rPr>
          <w:i/>
          <w:iCs/>
          <w:szCs w:val="23"/>
          <w:lang w:val="pt-BR"/>
        </w:rPr>
        <w:t>Interamerican</w:t>
      </w:r>
      <w:proofErr w:type="spellEnd"/>
      <w:r w:rsidRPr="00172762">
        <w:rPr>
          <w:i/>
          <w:iCs/>
          <w:szCs w:val="23"/>
          <w:lang w:val="pt-BR"/>
        </w:rPr>
        <w:t xml:space="preserve"> </w:t>
      </w:r>
      <w:proofErr w:type="spellStart"/>
      <w:r w:rsidRPr="00172762">
        <w:rPr>
          <w:i/>
          <w:iCs/>
          <w:szCs w:val="23"/>
          <w:lang w:val="pt-BR"/>
        </w:rPr>
        <w:t>Journal</w:t>
      </w:r>
      <w:proofErr w:type="spellEnd"/>
      <w:r w:rsidRPr="00172762">
        <w:rPr>
          <w:i/>
          <w:iCs/>
          <w:szCs w:val="23"/>
          <w:lang w:val="pt-BR"/>
        </w:rPr>
        <w:t xml:space="preserve"> </w:t>
      </w:r>
      <w:proofErr w:type="spellStart"/>
      <w:r w:rsidRPr="00172762">
        <w:rPr>
          <w:i/>
          <w:iCs/>
          <w:szCs w:val="23"/>
          <w:lang w:val="pt-BR"/>
        </w:rPr>
        <w:t>of</w:t>
      </w:r>
      <w:proofErr w:type="spellEnd"/>
      <w:r w:rsidRPr="00172762">
        <w:rPr>
          <w:i/>
          <w:iCs/>
          <w:szCs w:val="23"/>
          <w:lang w:val="pt-BR"/>
        </w:rPr>
        <w:t xml:space="preserve"> </w:t>
      </w:r>
      <w:proofErr w:type="spellStart"/>
      <w:r w:rsidRPr="00172762">
        <w:rPr>
          <w:i/>
          <w:iCs/>
          <w:szCs w:val="23"/>
          <w:lang w:val="pt-BR"/>
        </w:rPr>
        <w:t>Psychology</w:t>
      </w:r>
      <w:proofErr w:type="spellEnd"/>
      <w:r w:rsidRPr="00172762">
        <w:rPr>
          <w:i/>
          <w:iCs/>
          <w:szCs w:val="23"/>
          <w:lang w:val="pt-BR"/>
        </w:rPr>
        <w:t>, 57</w:t>
      </w:r>
      <w:r w:rsidRPr="00172762">
        <w:rPr>
          <w:szCs w:val="23"/>
          <w:lang w:val="pt-BR"/>
        </w:rPr>
        <w:t xml:space="preserve">(3). </w:t>
      </w:r>
      <w:hyperlink r:id="rId42" w:tgtFrame="_new" w:history="1">
        <w:r w:rsidRPr="00172762">
          <w:rPr>
            <w:rStyle w:val="Hipervnculo"/>
            <w:szCs w:val="23"/>
            <w:lang w:val="pt-BR"/>
          </w:rPr>
          <w:t>https://doi.org/10.30849/ripijp.v57i3.1743</w:t>
        </w:r>
      </w:hyperlink>
    </w:p>
    <w:p w14:paraId="0B53173D" w14:textId="3AF703DE" w:rsidR="00172762" w:rsidRPr="00172762" w:rsidRDefault="00172762" w:rsidP="00172762">
      <w:pPr>
        <w:pStyle w:val="Referencias"/>
        <w:spacing w:line="360" w:lineRule="auto"/>
        <w:rPr>
          <w:szCs w:val="23"/>
          <w:lang w:val="pt-BR"/>
        </w:rPr>
      </w:pPr>
      <w:r w:rsidRPr="00172762">
        <w:rPr>
          <w:szCs w:val="23"/>
          <w:lang w:val="pt-BR"/>
        </w:rPr>
        <w:t xml:space="preserve">Mendes, J., Silva, E., &amp; Cabecinhas, R. (2010). Memória </w:t>
      </w:r>
      <w:proofErr w:type="spellStart"/>
      <w:r w:rsidRPr="00172762">
        <w:rPr>
          <w:szCs w:val="23"/>
          <w:lang w:val="pt-BR"/>
        </w:rPr>
        <w:t>colectiva</w:t>
      </w:r>
      <w:proofErr w:type="spellEnd"/>
      <w:r w:rsidRPr="00172762">
        <w:rPr>
          <w:szCs w:val="23"/>
          <w:lang w:val="pt-BR"/>
        </w:rPr>
        <w:t xml:space="preserve"> e identidade nacional: Jovens angolanos face à história de Angola. </w:t>
      </w:r>
      <w:r w:rsidRPr="00172762">
        <w:rPr>
          <w:i/>
          <w:iCs/>
          <w:szCs w:val="23"/>
          <w:lang w:val="pt-BR"/>
        </w:rPr>
        <w:t>Anuário Internacional de Comunicação Lusófona, 8</w:t>
      </w:r>
      <w:r w:rsidRPr="00172762">
        <w:rPr>
          <w:szCs w:val="23"/>
          <w:lang w:val="pt-BR"/>
        </w:rPr>
        <w:t>, 206</w:t>
      </w:r>
      <w:r>
        <w:rPr>
          <w:szCs w:val="23"/>
          <w:lang w:val="pt-BR"/>
        </w:rPr>
        <w:t>-</w:t>
      </w:r>
      <w:r w:rsidRPr="00172762">
        <w:rPr>
          <w:szCs w:val="23"/>
          <w:lang w:val="pt-BR"/>
        </w:rPr>
        <w:t>221.</w:t>
      </w:r>
    </w:p>
    <w:p w14:paraId="0DAF2394" w14:textId="77777777" w:rsidR="00172762" w:rsidRPr="00172762" w:rsidRDefault="00172762" w:rsidP="00172762">
      <w:pPr>
        <w:pStyle w:val="Referencias"/>
        <w:spacing w:line="360" w:lineRule="auto"/>
        <w:rPr>
          <w:szCs w:val="23"/>
          <w:lang w:val="pt-BR"/>
        </w:rPr>
      </w:pPr>
      <w:proofErr w:type="spellStart"/>
      <w:r w:rsidRPr="00172762">
        <w:rPr>
          <w:szCs w:val="23"/>
          <w:lang w:val="pt-BR"/>
        </w:rPr>
        <w:t>Mbembe</w:t>
      </w:r>
      <w:proofErr w:type="spellEnd"/>
      <w:r w:rsidRPr="00172762">
        <w:rPr>
          <w:szCs w:val="23"/>
          <w:lang w:val="pt-BR"/>
        </w:rPr>
        <w:t xml:space="preserve">, A. (2015). </w:t>
      </w:r>
      <w:proofErr w:type="spellStart"/>
      <w:r w:rsidRPr="00172762">
        <w:rPr>
          <w:i/>
          <w:iCs/>
          <w:szCs w:val="23"/>
          <w:lang w:val="pt-BR"/>
        </w:rPr>
        <w:t>Decolonizing</w:t>
      </w:r>
      <w:proofErr w:type="spellEnd"/>
      <w:r w:rsidRPr="00172762">
        <w:rPr>
          <w:i/>
          <w:iCs/>
          <w:szCs w:val="23"/>
          <w:lang w:val="pt-BR"/>
        </w:rPr>
        <w:t xml:space="preserve"> </w:t>
      </w:r>
      <w:proofErr w:type="spellStart"/>
      <w:r w:rsidRPr="00172762">
        <w:rPr>
          <w:i/>
          <w:iCs/>
          <w:szCs w:val="23"/>
          <w:lang w:val="pt-BR"/>
        </w:rPr>
        <w:t>knowledge</w:t>
      </w:r>
      <w:proofErr w:type="spellEnd"/>
      <w:r w:rsidRPr="00172762">
        <w:rPr>
          <w:i/>
          <w:iCs/>
          <w:szCs w:val="23"/>
          <w:lang w:val="pt-BR"/>
        </w:rPr>
        <w:t xml:space="preserve"> </w:t>
      </w:r>
      <w:proofErr w:type="spellStart"/>
      <w:r w:rsidRPr="00172762">
        <w:rPr>
          <w:i/>
          <w:iCs/>
          <w:szCs w:val="23"/>
          <w:lang w:val="pt-BR"/>
        </w:rPr>
        <w:t>and</w:t>
      </w:r>
      <w:proofErr w:type="spellEnd"/>
      <w:r w:rsidRPr="00172762">
        <w:rPr>
          <w:i/>
          <w:iCs/>
          <w:szCs w:val="23"/>
          <w:lang w:val="pt-BR"/>
        </w:rPr>
        <w:t xml:space="preserve"> </w:t>
      </w:r>
      <w:proofErr w:type="spellStart"/>
      <w:r w:rsidRPr="00172762">
        <w:rPr>
          <w:i/>
          <w:iCs/>
          <w:szCs w:val="23"/>
          <w:lang w:val="pt-BR"/>
        </w:rPr>
        <w:t>the</w:t>
      </w:r>
      <w:proofErr w:type="spellEnd"/>
      <w:r w:rsidRPr="00172762">
        <w:rPr>
          <w:i/>
          <w:iCs/>
          <w:szCs w:val="23"/>
          <w:lang w:val="pt-BR"/>
        </w:rPr>
        <w:t xml:space="preserve"> </w:t>
      </w:r>
      <w:proofErr w:type="spellStart"/>
      <w:r w:rsidRPr="00172762">
        <w:rPr>
          <w:i/>
          <w:iCs/>
          <w:szCs w:val="23"/>
          <w:lang w:val="pt-BR"/>
        </w:rPr>
        <w:t>question</w:t>
      </w:r>
      <w:proofErr w:type="spellEnd"/>
      <w:r w:rsidRPr="00172762">
        <w:rPr>
          <w:i/>
          <w:iCs/>
          <w:szCs w:val="23"/>
          <w:lang w:val="pt-BR"/>
        </w:rPr>
        <w:t xml:space="preserve"> </w:t>
      </w:r>
      <w:proofErr w:type="spellStart"/>
      <w:r w:rsidRPr="00172762">
        <w:rPr>
          <w:i/>
          <w:iCs/>
          <w:szCs w:val="23"/>
          <w:lang w:val="pt-BR"/>
        </w:rPr>
        <w:t>of</w:t>
      </w:r>
      <w:proofErr w:type="spellEnd"/>
      <w:r w:rsidRPr="00172762">
        <w:rPr>
          <w:i/>
          <w:iCs/>
          <w:szCs w:val="23"/>
          <w:lang w:val="pt-BR"/>
        </w:rPr>
        <w:t xml:space="preserve"> </w:t>
      </w:r>
      <w:proofErr w:type="spellStart"/>
      <w:r w:rsidRPr="00172762">
        <w:rPr>
          <w:i/>
          <w:iCs/>
          <w:szCs w:val="23"/>
          <w:lang w:val="pt-BR"/>
        </w:rPr>
        <w:t>the</w:t>
      </w:r>
      <w:proofErr w:type="spellEnd"/>
      <w:r w:rsidRPr="00172762">
        <w:rPr>
          <w:i/>
          <w:iCs/>
          <w:szCs w:val="23"/>
          <w:lang w:val="pt-BR"/>
        </w:rPr>
        <w:t xml:space="preserve"> </w:t>
      </w:r>
      <w:proofErr w:type="spellStart"/>
      <w:r w:rsidRPr="00172762">
        <w:rPr>
          <w:i/>
          <w:iCs/>
          <w:szCs w:val="23"/>
          <w:lang w:val="pt-BR"/>
        </w:rPr>
        <w:t>archive</w:t>
      </w:r>
      <w:proofErr w:type="spellEnd"/>
      <w:r w:rsidRPr="00172762">
        <w:rPr>
          <w:szCs w:val="23"/>
          <w:lang w:val="pt-BR"/>
        </w:rPr>
        <w:t xml:space="preserve"> [Palestra]. Platform for Experimental </w:t>
      </w:r>
      <w:proofErr w:type="spellStart"/>
      <w:r w:rsidRPr="00172762">
        <w:rPr>
          <w:szCs w:val="23"/>
          <w:lang w:val="pt-BR"/>
        </w:rPr>
        <w:t>Collaborative</w:t>
      </w:r>
      <w:proofErr w:type="spellEnd"/>
      <w:r w:rsidRPr="00172762">
        <w:rPr>
          <w:szCs w:val="23"/>
          <w:lang w:val="pt-BR"/>
        </w:rPr>
        <w:t xml:space="preserve"> </w:t>
      </w:r>
      <w:proofErr w:type="spellStart"/>
      <w:r w:rsidRPr="00172762">
        <w:rPr>
          <w:szCs w:val="23"/>
          <w:lang w:val="pt-BR"/>
        </w:rPr>
        <w:t>Ethnography</w:t>
      </w:r>
      <w:proofErr w:type="spellEnd"/>
      <w:r w:rsidRPr="00172762">
        <w:rPr>
          <w:szCs w:val="23"/>
          <w:lang w:val="pt-BR"/>
        </w:rPr>
        <w:t>. https://worldpece.org/content/mbembe-achille-2015-“decolonizing-knowledge-and-question-archive”-africa-country</w:t>
      </w:r>
    </w:p>
    <w:p w14:paraId="12F4A2E2" w14:textId="77777777" w:rsidR="00172762" w:rsidRPr="00172762" w:rsidRDefault="00172762" w:rsidP="00172762">
      <w:pPr>
        <w:pStyle w:val="Referencias"/>
        <w:spacing w:line="360" w:lineRule="auto"/>
        <w:rPr>
          <w:szCs w:val="23"/>
        </w:rPr>
      </w:pPr>
      <w:proofErr w:type="spellStart"/>
      <w:r w:rsidRPr="00172762">
        <w:rPr>
          <w:szCs w:val="23"/>
        </w:rPr>
        <w:t>Mignolo</w:t>
      </w:r>
      <w:proofErr w:type="spellEnd"/>
      <w:r w:rsidRPr="00172762">
        <w:rPr>
          <w:szCs w:val="23"/>
        </w:rPr>
        <w:t xml:space="preserve">, W. D., &amp; Walsh, C. E. (2018). </w:t>
      </w:r>
      <w:r w:rsidRPr="00172762">
        <w:rPr>
          <w:i/>
          <w:iCs/>
          <w:szCs w:val="23"/>
        </w:rPr>
        <w:t xml:space="preserve">On </w:t>
      </w:r>
      <w:proofErr w:type="spellStart"/>
      <w:r w:rsidRPr="00172762">
        <w:rPr>
          <w:i/>
          <w:iCs/>
          <w:szCs w:val="23"/>
        </w:rPr>
        <w:t>decoloniality</w:t>
      </w:r>
      <w:proofErr w:type="spellEnd"/>
      <w:r w:rsidRPr="00172762">
        <w:rPr>
          <w:i/>
          <w:iCs/>
          <w:szCs w:val="23"/>
        </w:rPr>
        <w:t>: Concepts, analytics, praxis.</w:t>
      </w:r>
      <w:r w:rsidRPr="00172762">
        <w:rPr>
          <w:szCs w:val="23"/>
        </w:rPr>
        <w:t xml:space="preserve"> Duke University Press.</w:t>
      </w:r>
    </w:p>
    <w:p w14:paraId="4E1981D5" w14:textId="77777777" w:rsidR="00172762" w:rsidRPr="00172762" w:rsidRDefault="00172762" w:rsidP="00172762">
      <w:pPr>
        <w:pStyle w:val="Referencias"/>
        <w:spacing w:line="360" w:lineRule="auto"/>
        <w:rPr>
          <w:szCs w:val="23"/>
        </w:rPr>
      </w:pPr>
      <w:r w:rsidRPr="00172762">
        <w:rPr>
          <w:szCs w:val="23"/>
        </w:rPr>
        <w:t xml:space="preserve">Moscovici, S. (2004). </w:t>
      </w:r>
      <w:r w:rsidRPr="00172762">
        <w:rPr>
          <w:i/>
          <w:iCs/>
          <w:szCs w:val="23"/>
        </w:rPr>
        <w:t xml:space="preserve">La </w:t>
      </w:r>
      <w:proofErr w:type="spellStart"/>
      <w:r w:rsidRPr="00172762">
        <w:rPr>
          <w:i/>
          <w:iCs/>
          <w:szCs w:val="23"/>
        </w:rPr>
        <w:t>psychanalyse</w:t>
      </w:r>
      <w:proofErr w:type="spellEnd"/>
      <w:r w:rsidRPr="00172762">
        <w:rPr>
          <w:i/>
          <w:iCs/>
          <w:szCs w:val="23"/>
        </w:rPr>
        <w:t>, son image et son public.</w:t>
      </w:r>
      <w:r w:rsidRPr="00172762">
        <w:rPr>
          <w:szCs w:val="23"/>
        </w:rPr>
        <w:t xml:space="preserve"> Presses </w:t>
      </w:r>
      <w:proofErr w:type="spellStart"/>
      <w:r w:rsidRPr="00172762">
        <w:rPr>
          <w:szCs w:val="23"/>
        </w:rPr>
        <w:t>Universitaires</w:t>
      </w:r>
      <w:proofErr w:type="spellEnd"/>
      <w:r w:rsidRPr="00172762">
        <w:rPr>
          <w:szCs w:val="23"/>
        </w:rPr>
        <w:t xml:space="preserve"> de France. (</w:t>
      </w:r>
      <w:proofErr w:type="spellStart"/>
      <w:r w:rsidRPr="00172762">
        <w:rPr>
          <w:szCs w:val="23"/>
        </w:rPr>
        <w:t>Obra</w:t>
      </w:r>
      <w:proofErr w:type="spellEnd"/>
      <w:r w:rsidRPr="00172762">
        <w:rPr>
          <w:szCs w:val="23"/>
        </w:rPr>
        <w:t xml:space="preserve"> </w:t>
      </w:r>
      <w:proofErr w:type="spellStart"/>
      <w:r w:rsidRPr="00172762">
        <w:rPr>
          <w:szCs w:val="23"/>
        </w:rPr>
        <w:t>originalmente</w:t>
      </w:r>
      <w:proofErr w:type="spellEnd"/>
      <w:r w:rsidRPr="00172762">
        <w:rPr>
          <w:szCs w:val="23"/>
        </w:rPr>
        <w:t xml:space="preserve"> </w:t>
      </w:r>
      <w:proofErr w:type="spellStart"/>
      <w:r w:rsidRPr="00172762">
        <w:rPr>
          <w:szCs w:val="23"/>
        </w:rPr>
        <w:t>publicada</w:t>
      </w:r>
      <w:proofErr w:type="spellEnd"/>
      <w:r w:rsidRPr="00172762">
        <w:rPr>
          <w:szCs w:val="23"/>
        </w:rPr>
        <w:t xml:space="preserve"> </w:t>
      </w:r>
      <w:proofErr w:type="spellStart"/>
      <w:r w:rsidRPr="00172762">
        <w:rPr>
          <w:szCs w:val="23"/>
        </w:rPr>
        <w:t>en</w:t>
      </w:r>
      <w:proofErr w:type="spellEnd"/>
      <w:r w:rsidRPr="00172762">
        <w:rPr>
          <w:szCs w:val="23"/>
        </w:rPr>
        <w:t xml:space="preserve"> 1961).</w:t>
      </w:r>
    </w:p>
    <w:p w14:paraId="43969807" w14:textId="37C7E1BE" w:rsidR="00172762" w:rsidRPr="00172762" w:rsidRDefault="00172762" w:rsidP="00172762">
      <w:pPr>
        <w:pStyle w:val="Referencias"/>
        <w:spacing w:line="360" w:lineRule="auto"/>
        <w:rPr>
          <w:szCs w:val="23"/>
        </w:rPr>
      </w:pPr>
      <w:r w:rsidRPr="00172762">
        <w:rPr>
          <w:szCs w:val="23"/>
        </w:rPr>
        <w:t xml:space="preserve">Moscovici, S. (1988). Notes towards a description of social representations. </w:t>
      </w:r>
      <w:r w:rsidRPr="00172762">
        <w:rPr>
          <w:i/>
          <w:iCs/>
          <w:szCs w:val="23"/>
        </w:rPr>
        <w:t>European Journal of Social Psychology, 18</w:t>
      </w:r>
      <w:r w:rsidRPr="00172762">
        <w:rPr>
          <w:szCs w:val="23"/>
        </w:rPr>
        <w:t>(3), 211</w:t>
      </w:r>
      <w:r>
        <w:rPr>
          <w:szCs w:val="23"/>
        </w:rPr>
        <w:t>-</w:t>
      </w:r>
      <w:r w:rsidRPr="00172762">
        <w:rPr>
          <w:szCs w:val="23"/>
        </w:rPr>
        <w:t>250.</w:t>
      </w:r>
    </w:p>
    <w:p w14:paraId="0353219C" w14:textId="537B5038" w:rsidR="00172762" w:rsidRPr="00172762" w:rsidRDefault="00172762" w:rsidP="00172762">
      <w:pPr>
        <w:pStyle w:val="Referencias"/>
        <w:spacing w:line="360" w:lineRule="auto"/>
        <w:rPr>
          <w:szCs w:val="23"/>
        </w:rPr>
      </w:pPr>
      <w:proofErr w:type="spellStart"/>
      <w:r w:rsidRPr="009E03E0">
        <w:rPr>
          <w:szCs w:val="23"/>
          <w:lang w:val="pt-BR"/>
        </w:rPr>
        <w:t>Páez</w:t>
      </w:r>
      <w:proofErr w:type="spellEnd"/>
      <w:r w:rsidRPr="009E03E0">
        <w:rPr>
          <w:szCs w:val="23"/>
          <w:lang w:val="pt-BR"/>
        </w:rPr>
        <w:t xml:space="preserve">, D., </w:t>
      </w:r>
      <w:proofErr w:type="spellStart"/>
      <w:r w:rsidRPr="009E03E0">
        <w:rPr>
          <w:szCs w:val="23"/>
          <w:lang w:val="pt-BR"/>
        </w:rPr>
        <w:t>Bobowik</w:t>
      </w:r>
      <w:proofErr w:type="spellEnd"/>
      <w:r w:rsidRPr="009E03E0">
        <w:rPr>
          <w:szCs w:val="23"/>
          <w:lang w:val="pt-BR"/>
        </w:rPr>
        <w:t xml:space="preserve">, M., De </w:t>
      </w:r>
      <w:proofErr w:type="spellStart"/>
      <w:r w:rsidRPr="009E03E0">
        <w:rPr>
          <w:szCs w:val="23"/>
          <w:lang w:val="pt-BR"/>
        </w:rPr>
        <w:t>Guissmé</w:t>
      </w:r>
      <w:proofErr w:type="spellEnd"/>
      <w:r w:rsidRPr="009E03E0">
        <w:rPr>
          <w:szCs w:val="23"/>
          <w:lang w:val="pt-BR"/>
        </w:rPr>
        <w:t xml:space="preserve">, L., Liu, J. H., &amp; </w:t>
      </w:r>
      <w:proofErr w:type="spellStart"/>
      <w:r w:rsidRPr="009E03E0">
        <w:rPr>
          <w:szCs w:val="23"/>
          <w:lang w:val="pt-BR"/>
        </w:rPr>
        <w:t>Licata</w:t>
      </w:r>
      <w:proofErr w:type="spellEnd"/>
      <w:r w:rsidRPr="009E03E0">
        <w:rPr>
          <w:szCs w:val="23"/>
          <w:lang w:val="pt-BR"/>
        </w:rPr>
        <w:t xml:space="preserve">, L. (2016). </w:t>
      </w:r>
      <w:proofErr w:type="spellStart"/>
      <w:r w:rsidRPr="009E03E0">
        <w:rPr>
          <w:szCs w:val="23"/>
          <w:lang w:val="pt-BR"/>
        </w:rPr>
        <w:t>Mémoire</w:t>
      </w:r>
      <w:proofErr w:type="spellEnd"/>
      <w:r w:rsidRPr="009E03E0">
        <w:rPr>
          <w:szCs w:val="23"/>
          <w:lang w:val="pt-BR"/>
        </w:rPr>
        <w:t xml:space="preserve"> </w:t>
      </w:r>
      <w:proofErr w:type="spellStart"/>
      <w:r w:rsidRPr="009E03E0">
        <w:rPr>
          <w:szCs w:val="23"/>
          <w:lang w:val="pt-BR"/>
        </w:rPr>
        <w:t>collective</w:t>
      </w:r>
      <w:proofErr w:type="spellEnd"/>
      <w:r w:rsidRPr="009E03E0">
        <w:rPr>
          <w:szCs w:val="23"/>
          <w:lang w:val="pt-BR"/>
        </w:rPr>
        <w:t xml:space="preserve"> et </w:t>
      </w:r>
      <w:proofErr w:type="spellStart"/>
      <w:r w:rsidRPr="009E03E0">
        <w:rPr>
          <w:szCs w:val="23"/>
          <w:lang w:val="pt-BR"/>
        </w:rPr>
        <w:t>représentations</w:t>
      </w:r>
      <w:proofErr w:type="spellEnd"/>
      <w:r w:rsidRPr="009E03E0">
        <w:rPr>
          <w:szCs w:val="23"/>
          <w:lang w:val="pt-BR"/>
        </w:rPr>
        <w:t xml:space="preserve"> </w:t>
      </w:r>
      <w:proofErr w:type="spellStart"/>
      <w:r w:rsidRPr="009E03E0">
        <w:rPr>
          <w:szCs w:val="23"/>
          <w:lang w:val="pt-BR"/>
        </w:rPr>
        <w:t>sociales</w:t>
      </w:r>
      <w:proofErr w:type="spellEnd"/>
      <w:r w:rsidRPr="009E03E0">
        <w:rPr>
          <w:szCs w:val="23"/>
          <w:lang w:val="pt-BR"/>
        </w:rPr>
        <w:t xml:space="preserve"> de </w:t>
      </w:r>
      <w:proofErr w:type="spellStart"/>
      <w:r w:rsidRPr="009E03E0">
        <w:rPr>
          <w:szCs w:val="23"/>
          <w:lang w:val="pt-BR"/>
        </w:rPr>
        <w:t>l’histoire</w:t>
      </w:r>
      <w:proofErr w:type="spellEnd"/>
      <w:r w:rsidRPr="009E03E0">
        <w:rPr>
          <w:szCs w:val="23"/>
          <w:lang w:val="pt-BR"/>
        </w:rPr>
        <w:t xml:space="preserve">. In G. </w:t>
      </w:r>
      <w:proofErr w:type="spellStart"/>
      <w:r w:rsidRPr="009E03E0">
        <w:rPr>
          <w:szCs w:val="23"/>
          <w:lang w:val="pt-BR"/>
        </w:rPr>
        <w:t>Lo</w:t>
      </w:r>
      <w:proofErr w:type="spellEnd"/>
      <w:r w:rsidRPr="009E03E0">
        <w:rPr>
          <w:szCs w:val="23"/>
          <w:lang w:val="pt-BR"/>
        </w:rPr>
        <w:t xml:space="preserve"> </w:t>
      </w:r>
      <w:proofErr w:type="spellStart"/>
      <w:r w:rsidRPr="009E03E0">
        <w:rPr>
          <w:szCs w:val="23"/>
          <w:lang w:val="pt-BR"/>
        </w:rPr>
        <w:t>Monaco</w:t>
      </w:r>
      <w:proofErr w:type="spellEnd"/>
      <w:r w:rsidRPr="009E03E0">
        <w:rPr>
          <w:szCs w:val="23"/>
          <w:lang w:val="pt-BR"/>
        </w:rPr>
        <w:t xml:space="preserve">, S. </w:t>
      </w:r>
      <w:proofErr w:type="spellStart"/>
      <w:r w:rsidRPr="009E03E0">
        <w:rPr>
          <w:szCs w:val="23"/>
          <w:lang w:val="pt-BR"/>
        </w:rPr>
        <w:t>Delouvée</w:t>
      </w:r>
      <w:proofErr w:type="spellEnd"/>
      <w:r w:rsidRPr="009E03E0">
        <w:rPr>
          <w:szCs w:val="23"/>
          <w:lang w:val="pt-BR"/>
        </w:rPr>
        <w:t xml:space="preserve">, &amp; P. </w:t>
      </w:r>
      <w:proofErr w:type="spellStart"/>
      <w:r w:rsidRPr="009E03E0">
        <w:rPr>
          <w:szCs w:val="23"/>
          <w:lang w:val="pt-BR"/>
        </w:rPr>
        <w:t>Rateu</w:t>
      </w:r>
      <w:proofErr w:type="spellEnd"/>
      <w:r w:rsidRPr="009E03E0">
        <w:rPr>
          <w:szCs w:val="23"/>
          <w:lang w:val="pt-BR"/>
        </w:rPr>
        <w:t xml:space="preserve"> (Eds.), </w:t>
      </w:r>
      <w:proofErr w:type="spellStart"/>
      <w:r w:rsidRPr="009E03E0">
        <w:rPr>
          <w:i/>
          <w:iCs/>
          <w:szCs w:val="23"/>
          <w:lang w:val="pt-BR"/>
        </w:rPr>
        <w:t>Les</w:t>
      </w:r>
      <w:proofErr w:type="spellEnd"/>
      <w:r w:rsidRPr="009E03E0">
        <w:rPr>
          <w:i/>
          <w:iCs/>
          <w:szCs w:val="23"/>
          <w:lang w:val="pt-BR"/>
        </w:rPr>
        <w:t xml:space="preserve"> </w:t>
      </w:r>
      <w:proofErr w:type="spellStart"/>
      <w:r w:rsidRPr="009E03E0">
        <w:rPr>
          <w:i/>
          <w:iCs/>
          <w:szCs w:val="23"/>
          <w:lang w:val="pt-BR"/>
        </w:rPr>
        <w:t>représentations</w:t>
      </w:r>
      <w:proofErr w:type="spellEnd"/>
      <w:r w:rsidRPr="009E03E0">
        <w:rPr>
          <w:i/>
          <w:iCs/>
          <w:szCs w:val="23"/>
          <w:lang w:val="pt-BR"/>
        </w:rPr>
        <w:t xml:space="preserve"> </w:t>
      </w:r>
      <w:proofErr w:type="spellStart"/>
      <w:r w:rsidRPr="009E03E0">
        <w:rPr>
          <w:i/>
          <w:iCs/>
          <w:szCs w:val="23"/>
          <w:lang w:val="pt-BR"/>
        </w:rPr>
        <w:t>sociales</w:t>
      </w:r>
      <w:proofErr w:type="spellEnd"/>
      <w:r w:rsidRPr="009E03E0">
        <w:rPr>
          <w:i/>
          <w:iCs/>
          <w:szCs w:val="23"/>
          <w:lang w:val="pt-BR"/>
        </w:rPr>
        <w:t xml:space="preserve">: </w:t>
      </w:r>
      <w:proofErr w:type="spellStart"/>
      <w:r w:rsidRPr="009E03E0">
        <w:rPr>
          <w:i/>
          <w:iCs/>
          <w:szCs w:val="23"/>
          <w:lang w:val="pt-BR"/>
        </w:rPr>
        <w:t>Théories</w:t>
      </w:r>
      <w:proofErr w:type="spellEnd"/>
      <w:r w:rsidRPr="009E03E0">
        <w:rPr>
          <w:i/>
          <w:iCs/>
          <w:szCs w:val="23"/>
          <w:lang w:val="pt-BR"/>
        </w:rPr>
        <w:t xml:space="preserve">, </w:t>
      </w:r>
      <w:proofErr w:type="spellStart"/>
      <w:r w:rsidRPr="009E03E0">
        <w:rPr>
          <w:i/>
          <w:iCs/>
          <w:szCs w:val="23"/>
          <w:lang w:val="pt-BR"/>
        </w:rPr>
        <w:t>méthodes</w:t>
      </w:r>
      <w:proofErr w:type="spellEnd"/>
      <w:r w:rsidRPr="009E03E0">
        <w:rPr>
          <w:i/>
          <w:iCs/>
          <w:szCs w:val="23"/>
          <w:lang w:val="pt-BR"/>
        </w:rPr>
        <w:t xml:space="preserve"> et </w:t>
      </w:r>
      <w:proofErr w:type="spellStart"/>
      <w:r w:rsidRPr="009E03E0">
        <w:rPr>
          <w:i/>
          <w:iCs/>
          <w:szCs w:val="23"/>
          <w:lang w:val="pt-BR"/>
        </w:rPr>
        <w:t>applications</w:t>
      </w:r>
      <w:proofErr w:type="spellEnd"/>
      <w:r w:rsidRPr="009E03E0">
        <w:rPr>
          <w:szCs w:val="23"/>
          <w:lang w:val="pt-BR"/>
        </w:rPr>
        <w:t xml:space="preserve"> (pp. 539-552). </w:t>
      </w:r>
      <w:r w:rsidRPr="00172762">
        <w:rPr>
          <w:szCs w:val="23"/>
        </w:rPr>
        <w:t xml:space="preserve">De </w:t>
      </w:r>
      <w:proofErr w:type="spellStart"/>
      <w:r w:rsidRPr="00172762">
        <w:rPr>
          <w:szCs w:val="23"/>
        </w:rPr>
        <w:t>Boeck</w:t>
      </w:r>
      <w:proofErr w:type="spellEnd"/>
      <w:r w:rsidRPr="00172762">
        <w:rPr>
          <w:szCs w:val="23"/>
        </w:rPr>
        <w:t>.</w:t>
      </w:r>
    </w:p>
    <w:p w14:paraId="273D01B7" w14:textId="623F8BF2" w:rsidR="00172762" w:rsidRPr="00172762" w:rsidRDefault="00172762" w:rsidP="00172762">
      <w:pPr>
        <w:pStyle w:val="Referencias"/>
        <w:spacing w:line="360" w:lineRule="auto"/>
        <w:rPr>
          <w:szCs w:val="23"/>
          <w:lang w:val="pt-BR"/>
        </w:rPr>
      </w:pPr>
      <w:proofErr w:type="spellStart"/>
      <w:r w:rsidRPr="00172762">
        <w:rPr>
          <w:szCs w:val="23"/>
        </w:rPr>
        <w:t>Pennebaker</w:t>
      </w:r>
      <w:proofErr w:type="spellEnd"/>
      <w:r w:rsidRPr="00172762">
        <w:rPr>
          <w:szCs w:val="23"/>
        </w:rPr>
        <w:t xml:space="preserve">, J. W., </w:t>
      </w:r>
      <w:proofErr w:type="spellStart"/>
      <w:r w:rsidRPr="00172762">
        <w:rPr>
          <w:szCs w:val="23"/>
        </w:rPr>
        <w:t>Páez</w:t>
      </w:r>
      <w:proofErr w:type="spellEnd"/>
      <w:r w:rsidRPr="00172762">
        <w:rPr>
          <w:szCs w:val="23"/>
        </w:rPr>
        <w:t xml:space="preserve">, D., </w:t>
      </w:r>
      <w:proofErr w:type="spellStart"/>
      <w:r w:rsidRPr="00172762">
        <w:rPr>
          <w:szCs w:val="23"/>
        </w:rPr>
        <w:t>Deschamps</w:t>
      </w:r>
      <w:proofErr w:type="spellEnd"/>
      <w:r w:rsidRPr="00172762">
        <w:rPr>
          <w:szCs w:val="23"/>
        </w:rPr>
        <w:t xml:space="preserve">, J.-C., </w:t>
      </w:r>
      <w:proofErr w:type="spellStart"/>
      <w:r w:rsidRPr="00172762">
        <w:rPr>
          <w:szCs w:val="23"/>
        </w:rPr>
        <w:t>Rentfrow</w:t>
      </w:r>
      <w:proofErr w:type="spellEnd"/>
      <w:r w:rsidRPr="00172762">
        <w:rPr>
          <w:szCs w:val="23"/>
        </w:rPr>
        <w:t xml:space="preserve">, J., Davis, M., </w:t>
      </w:r>
      <w:proofErr w:type="spellStart"/>
      <w:r w:rsidRPr="00172762">
        <w:rPr>
          <w:szCs w:val="23"/>
        </w:rPr>
        <w:t>Techio</w:t>
      </w:r>
      <w:proofErr w:type="spellEnd"/>
      <w:r w:rsidRPr="00172762">
        <w:rPr>
          <w:szCs w:val="23"/>
        </w:rPr>
        <w:t xml:space="preserve">, E. M., … </w:t>
      </w:r>
      <w:proofErr w:type="spellStart"/>
      <w:r w:rsidRPr="00172762">
        <w:rPr>
          <w:szCs w:val="23"/>
        </w:rPr>
        <w:t>Zubieta</w:t>
      </w:r>
      <w:proofErr w:type="spellEnd"/>
      <w:r w:rsidRPr="00172762">
        <w:rPr>
          <w:szCs w:val="23"/>
        </w:rPr>
        <w:t xml:space="preserve">, E. (2006). The social psychology of history: Defining the most important events of world history. </w:t>
      </w:r>
      <w:proofErr w:type="spellStart"/>
      <w:r w:rsidRPr="00172762">
        <w:rPr>
          <w:i/>
          <w:iCs/>
          <w:szCs w:val="23"/>
          <w:lang w:val="pt-BR"/>
        </w:rPr>
        <w:t>Psicología</w:t>
      </w:r>
      <w:proofErr w:type="spellEnd"/>
      <w:r w:rsidRPr="00172762">
        <w:rPr>
          <w:i/>
          <w:iCs/>
          <w:szCs w:val="23"/>
          <w:lang w:val="pt-BR"/>
        </w:rPr>
        <w:t xml:space="preserve"> Política, 32</w:t>
      </w:r>
      <w:r w:rsidRPr="00172762">
        <w:rPr>
          <w:szCs w:val="23"/>
          <w:lang w:val="pt-BR"/>
        </w:rPr>
        <w:t>, 15</w:t>
      </w:r>
      <w:r>
        <w:rPr>
          <w:szCs w:val="23"/>
          <w:lang w:val="pt-BR"/>
        </w:rPr>
        <w:t>-</w:t>
      </w:r>
      <w:r w:rsidRPr="00172762">
        <w:rPr>
          <w:szCs w:val="23"/>
          <w:lang w:val="pt-BR"/>
        </w:rPr>
        <w:t>32.</w:t>
      </w:r>
    </w:p>
    <w:p w14:paraId="6A778B1E" w14:textId="0D33775A" w:rsidR="00172762" w:rsidRPr="00172762" w:rsidRDefault="00172762" w:rsidP="00172762">
      <w:pPr>
        <w:pStyle w:val="Referencias"/>
        <w:spacing w:line="360" w:lineRule="auto"/>
        <w:rPr>
          <w:szCs w:val="23"/>
          <w:lang w:val="pt-BR"/>
        </w:rPr>
      </w:pPr>
      <w:proofErr w:type="spellStart"/>
      <w:r w:rsidRPr="00172762">
        <w:rPr>
          <w:szCs w:val="23"/>
          <w:lang w:val="pt-BR"/>
        </w:rPr>
        <w:t>Quijano</w:t>
      </w:r>
      <w:proofErr w:type="spellEnd"/>
      <w:r w:rsidRPr="00172762">
        <w:rPr>
          <w:szCs w:val="23"/>
          <w:lang w:val="pt-BR"/>
        </w:rPr>
        <w:t xml:space="preserve">, A. (2005). </w:t>
      </w:r>
      <w:proofErr w:type="spellStart"/>
      <w:r w:rsidRPr="00172762">
        <w:rPr>
          <w:szCs w:val="23"/>
          <w:lang w:val="pt-BR"/>
        </w:rPr>
        <w:t>Colonialidade</w:t>
      </w:r>
      <w:proofErr w:type="spellEnd"/>
      <w:r w:rsidRPr="00172762">
        <w:rPr>
          <w:szCs w:val="23"/>
          <w:lang w:val="pt-BR"/>
        </w:rPr>
        <w:t xml:space="preserve"> do poder, </w:t>
      </w:r>
      <w:proofErr w:type="spellStart"/>
      <w:r w:rsidRPr="00172762">
        <w:rPr>
          <w:szCs w:val="23"/>
          <w:lang w:val="pt-BR"/>
        </w:rPr>
        <w:t>eurocentrismo</w:t>
      </w:r>
      <w:proofErr w:type="spellEnd"/>
      <w:r w:rsidRPr="00172762">
        <w:rPr>
          <w:szCs w:val="23"/>
          <w:lang w:val="pt-BR"/>
        </w:rPr>
        <w:t xml:space="preserve"> e América Latina. In E. Lander (Ed.), </w:t>
      </w:r>
      <w:r w:rsidRPr="00172762">
        <w:rPr>
          <w:i/>
          <w:iCs/>
          <w:szCs w:val="23"/>
          <w:lang w:val="pt-BR"/>
        </w:rPr>
        <w:t xml:space="preserve">A </w:t>
      </w:r>
      <w:proofErr w:type="spellStart"/>
      <w:r w:rsidRPr="00172762">
        <w:rPr>
          <w:i/>
          <w:iCs/>
          <w:szCs w:val="23"/>
          <w:lang w:val="pt-BR"/>
        </w:rPr>
        <w:t>colonialidade</w:t>
      </w:r>
      <w:proofErr w:type="spellEnd"/>
      <w:r w:rsidRPr="00172762">
        <w:rPr>
          <w:i/>
          <w:iCs/>
          <w:szCs w:val="23"/>
          <w:lang w:val="pt-BR"/>
        </w:rPr>
        <w:t xml:space="preserve"> do saber: </w:t>
      </w:r>
      <w:proofErr w:type="spellStart"/>
      <w:r w:rsidRPr="00172762">
        <w:rPr>
          <w:i/>
          <w:iCs/>
          <w:szCs w:val="23"/>
          <w:lang w:val="pt-BR"/>
        </w:rPr>
        <w:t>Eurocentrismo</w:t>
      </w:r>
      <w:proofErr w:type="spellEnd"/>
      <w:r w:rsidRPr="00172762">
        <w:rPr>
          <w:i/>
          <w:iCs/>
          <w:szCs w:val="23"/>
          <w:lang w:val="pt-BR"/>
        </w:rPr>
        <w:t xml:space="preserve"> e ciências sociais. Perspectivas latino-americanas</w:t>
      </w:r>
      <w:r w:rsidRPr="00172762">
        <w:rPr>
          <w:szCs w:val="23"/>
          <w:lang w:val="pt-BR"/>
        </w:rPr>
        <w:t xml:space="preserve"> (pp. 227</w:t>
      </w:r>
      <w:r>
        <w:rPr>
          <w:szCs w:val="23"/>
          <w:lang w:val="pt-BR"/>
        </w:rPr>
        <w:t>-</w:t>
      </w:r>
      <w:r w:rsidRPr="00172762">
        <w:rPr>
          <w:szCs w:val="23"/>
          <w:lang w:val="pt-BR"/>
        </w:rPr>
        <w:t xml:space="preserve">278). </w:t>
      </w:r>
      <w:proofErr w:type="spellStart"/>
      <w:r w:rsidRPr="00172762">
        <w:rPr>
          <w:szCs w:val="23"/>
          <w:lang w:val="pt-BR"/>
        </w:rPr>
        <w:t>Colección</w:t>
      </w:r>
      <w:proofErr w:type="spellEnd"/>
      <w:r w:rsidRPr="00172762">
        <w:rPr>
          <w:szCs w:val="23"/>
          <w:lang w:val="pt-BR"/>
        </w:rPr>
        <w:t xml:space="preserve"> </w:t>
      </w:r>
      <w:proofErr w:type="spellStart"/>
      <w:r w:rsidRPr="00172762">
        <w:rPr>
          <w:szCs w:val="23"/>
          <w:lang w:val="pt-BR"/>
        </w:rPr>
        <w:t>Sur</w:t>
      </w:r>
      <w:proofErr w:type="spellEnd"/>
      <w:r w:rsidRPr="00172762">
        <w:rPr>
          <w:szCs w:val="23"/>
          <w:lang w:val="pt-BR"/>
        </w:rPr>
        <w:t xml:space="preserve"> </w:t>
      </w:r>
      <w:proofErr w:type="spellStart"/>
      <w:r w:rsidRPr="00172762">
        <w:rPr>
          <w:szCs w:val="23"/>
          <w:lang w:val="pt-BR"/>
        </w:rPr>
        <w:t>Sur</w:t>
      </w:r>
      <w:proofErr w:type="spellEnd"/>
      <w:r w:rsidRPr="00172762">
        <w:rPr>
          <w:szCs w:val="23"/>
          <w:lang w:val="pt-BR"/>
        </w:rPr>
        <w:t>, CLACSO.</w:t>
      </w:r>
    </w:p>
    <w:p w14:paraId="0720F33D" w14:textId="77777777" w:rsidR="00172762" w:rsidRPr="00172762" w:rsidRDefault="00172762" w:rsidP="00172762">
      <w:pPr>
        <w:pStyle w:val="Referencias"/>
        <w:spacing w:line="360" w:lineRule="auto"/>
        <w:rPr>
          <w:szCs w:val="23"/>
          <w:lang w:val="pt-BR"/>
        </w:rPr>
      </w:pPr>
      <w:r w:rsidRPr="00172762">
        <w:rPr>
          <w:szCs w:val="23"/>
          <w:lang w:val="pt-BR"/>
        </w:rPr>
        <w:t xml:space="preserve">Ribeiro, A. S., &amp; Ribeiro, M. C. (2016). </w:t>
      </w:r>
      <w:r w:rsidRPr="00172762">
        <w:rPr>
          <w:i/>
          <w:iCs/>
          <w:szCs w:val="23"/>
          <w:lang w:val="pt-BR"/>
        </w:rPr>
        <w:t>Geometrias da memória: Configurações pós-coloniais.</w:t>
      </w:r>
      <w:r w:rsidRPr="00172762">
        <w:rPr>
          <w:szCs w:val="23"/>
          <w:lang w:val="pt-BR"/>
        </w:rPr>
        <w:t xml:space="preserve"> Afrontamento.</w:t>
      </w:r>
    </w:p>
    <w:p w14:paraId="16202FDF" w14:textId="7C844272" w:rsidR="00172762" w:rsidRPr="00172762" w:rsidRDefault="00172762" w:rsidP="00172762">
      <w:pPr>
        <w:pStyle w:val="Referencias"/>
        <w:spacing w:line="360" w:lineRule="auto"/>
        <w:rPr>
          <w:szCs w:val="23"/>
          <w:lang w:val="pt-BR"/>
        </w:rPr>
      </w:pPr>
      <w:r w:rsidRPr="00172762">
        <w:rPr>
          <w:szCs w:val="23"/>
          <w:lang w:val="pt-BR"/>
        </w:rPr>
        <w:t xml:space="preserve">Sá, C. P., Oliveira, D. C., &amp; Prado, L. A. (2004). As memórias </w:t>
      </w:r>
      <w:proofErr w:type="spellStart"/>
      <w:r w:rsidRPr="00172762">
        <w:rPr>
          <w:szCs w:val="23"/>
          <w:lang w:val="pt-BR"/>
        </w:rPr>
        <w:t>colectivas</w:t>
      </w:r>
      <w:proofErr w:type="spellEnd"/>
      <w:r w:rsidRPr="00172762">
        <w:rPr>
          <w:szCs w:val="23"/>
          <w:lang w:val="pt-BR"/>
        </w:rPr>
        <w:t xml:space="preserve"> do descobrimento do Brasil: Imagem comum e juízos diferenciados nas populações portuguesa e brasileira. </w:t>
      </w:r>
      <w:r w:rsidRPr="00172762">
        <w:rPr>
          <w:i/>
          <w:iCs/>
          <w:szCs w:val="23"/>
          <w:lang w:val="pt-BR"/>
        </w:rPr>
        <w:t>Psicologia, 17</w:t>
      </w:r>
      <w:r w:rsidRPr="00172762">
        <w:rPr>
          <w:szCs w:val="23"/>
          <w:lang w:val="pt-BR"/>
        </w:rPr>
        <w:t>(2), 275</w:t>
      </w:r>
      <w:r>
        <w:rPr>
          <w:szCs w:val="23"/>
          <w:lang w:val="pt-BR"/>
        </w:rPr>
        <w:t>-</w:t>
      </w:r>
      <w:r w:rsidRPr="00172762">
        <w:rPr>
          <w:szCs w:val="23"/>
          <w:lang w:val="pt-BR"/>
        </w:rPr>
        <w:t xml:space="preserve">291. </w:t>
      </w:r>
      <w:hyperlink r:id="rId43" w:tgtFrame="_new" w:history="1">
        <w:r w:rsidRPr="00172762">
          <w:rPr>
            <w:rStyle w:val="Hipervnculo"/>
            <w:szCs w:val="23"/>
            <w:lang w:val="pt-BR"/>
          </w:rPr>
          <w:t>https://doi.org/10.17575/rpsicol.v17i2.448</w:t>
        </w:r>
      </w:hyperlink>
    </w:p>
    <w:p w14:paraId="6BD94724" w14:textId="11CABD45" w:rsidR="00172762" w:rsidRPr="00172762" w:rsidRDefault="00172762" w:rsidP="00172762">
      <w:pPr>
        <w:pStyle w:val="Referencias"/>
        <w:spacing w:line="360" w:lineRule="auto"/>
        <w:rPr>
          <w:szCs w:val="23"/>
          <w:lang w:val="pt-BR"/>
        </w:rPr>
      </w:pPr>
      <w:r w:rsidRPr="00172762">
        <w:rPr>
          <w:szCs w:val="23"/>
          <w:lang w:val="pt-BR"/>
        </w:rPr>
        <w:t xml:space="preserve">Soares, C., &amp; Jesuíno, J. C. (2004). Memória social e representações sobre o descobrimento do Brasil: Análise dos manuais portugueses de história. </w:t>
      </w:r>
      <w:r w:rsidRPr="00172762">
        <w:rPr>
          <w:i/>
          <w:iCs/>
          <w:szCs w:val="23"/>
          <w:lang w:val="pt-BR"/>
        </w:rPr>
        <w:t>Psicologia, 17</w:t>
      </w:r>
      <w:r w:rsidRPr="00172762">
        <w:rPr>
          <w:szCs w:val="23"/>
          <w:lang w:val="pt-BR"/>
        </w:rPr>
        <w:t>(2), 321</w:t>
      </w:r>
      <w:r>
        <w:rPr>
          <w:szCs w:val="23"/>
          <w:lang w:val="pt-BR"/>
        </w:rPr>
        <w:t>-</w:t>
      </w:r>
      <w:r w:rsidRPr="00172762">
        <w:rPr>
          <w:szCs w:val="23"/>
          <w:lang w:val="pt-BR"/>
        </w:rPr>
        <w:t xml:space="preserve">337. </w:t>
      </w:r>
      <w:hyperlink r:id="rId44" w:tgtFrame="_new" w:history="1">
        <w:r w:rsidRPr="00172762">
          <w:rPr>
            <w:rStyle w:val="Hipervnculo"/>
            <w:szCs w:val="23"/>
            <w:lang w:val="pt-BR"/>
          </w:rPr>
          <w:t>https://doi.org/10.17575/rpsicol.v17i2.451</w:t>
        </w:r>
      </w:hyperlink>
    </w:p>
    <w:p w14:paraId="098B14B6" w14:textId="090F5203" w:rsidR="00172762" w:rsidRPr="00172762" w:rsidRDefault="00172762" w:rsidP="00172762">
      <w:pPr>
        <w:pStyle w:val="Referencias"/>
        <w:spacing w:line="360" w:lineRule="auto"/>
        <w:rPr>
          <w:szCs w:val="23"/>
          <w:lang w:val="pt-BR"/>
        </w:rPr>
      </w:pPr>
      <w:proofErr w:type="spellStart"/>
      <w:r w:rsidRPr="00172762">
        <w:rPr>
          <w:szCs w:val="23"/>
          <w:lang w:val="pt-BR"/>
        </w:rPr>
        <w:lastRenderedPageBreak/>
        <w:t>Tajfel</w:t>
      </w:r>
      <w:proofErr w:type="spellEnd"/>
      <w:r w:rsidRPr="00172762">
        <w:rPr>
          <w:szCs w:val="23"/>
          <w:lang w:val="pt-BR"/>
        </w:rPr>
        <w:t xml:space="preserve">, H. (1982). Comportamento intergrupo e psicologia social da mudança. In </w:t>
      </w:r>
      <w:r w:rsidRPr="00172762">
        <w:rPr>
          <w:i/>
          <w:iCs/>
          <w:szCs w:val="23"/>
          <w:lang w:val="pt-BR"/>
        </w:rPr>
        <w:t>Mudança social e psicologia social</w:t>
      </w:r>
      <w:r w:rsidRPr="00172762">
        <w:rPr>
          <w:szCs w:val="23"/>
          <w:lang w:val="pt-BR"/>
        </w:rPr>
        <w:t xml:space="preserve"> (pp. 13</w:t>
      </w:r>
      <w:r>
        <w:rPr>
          <w:szCs w:val="23"/>
          <w:lang w:val="pt-BR"/>
        </w:rPr>
        <w:t>-</w:t>
      </w:r>
      <w:r w:rsidRPr="00172762">
        <w:rPr>
          <w:szCs w:val="23"/>
          <w:lang w:val="pt-BR"/>
        </w:rPr>
        <w:t>24). Livros Horizonte.</w:t>
      </w:r>
    </w:p>
    <w:p w14:paraId="37A63B7F" w14:textId="77777777" w:rsidR="00172762" w:rsidRPr="00172762" w:rsidRDefault="00172762" w:rsidP="00172762">
      <w:pPr>
        <w:pStyle w:val="Referencias"/>
        <w:spacing w:line="360" w:lineRule="auto"/>
        <w:rPr>
          <w:szCs w:val="23"/>
          <w:lang w:val="pt-BR"/>
        </w:rPr>
      </w:pPr>
      <w:proofErr w:type="spellStart"/>
      <w:r w:rsidRPr="00172762">
        <w:rPr>
          <w:szCs w:val="23"/>
          <w:lang w:val="pt-BR"/>
        </w:rPr>
        <w:t>Techio</w:t>
      </w:r>
      <w:proofErr w:type="spellEnd"/>
      <w:r w:rsidRPr="00172762">
        <w:rPr>
          <w:szCs w:val="23"/>
          <w:lang w:val="pt-BR"/>
        </w:rPr>
        <w:t xml:space="preserve">, E. M., </w:t>
      </w:r>
      <w:proofErr w:type="spellStart"/>
      <w:r w:rsidRPr="00172762">
        <w:rPr>
          <w:szCs w:val="23"/>
          <w:lang w:val="pt-BR"/>
        </w:rPr>
        <w:t>Lukelo</w:t>
      </w:r>
      <w:proofErr w:type="spellEnd"/>
      <w:r w:rsidRPr="00172762">
        <w:rPr>
          <w:szCs w:val="23"/>
          <w:lang w:val="pt-BR"/>
        </w:rPr>
        <w:t>, H., Alencar, J., &amp; Costa, R. (</w:t>
      </w:r>
      <w:proofErr w:type="spellStart"/>
      <w:r w:rsidRPr="00172762">
        <w:rPr>
          <w:szCs w:val="23"/>
          <w:lang w:val="pt-BR"/>
        </w:rPr>
        <w:t>en</w:t>
      </w:r>
      <w:proofErr w:type="spellEnd"/>
      <w:r w:rsidRPr="00172762">
        <w:rPr>
          <w:szCs w:val="23"/>
          <w:lang w:val="pt-BR"/>
        </w:rPr>
        <w:t xml:space="preserve"> prensa). Representação social do passado: Um estudo sobre a memória histórica em estudantes universitários.</w:t>
      </w:r>
    </w:p>
    <w:p w14:paraId="7F454582" w14:textId="7F971FE4" w:rsidR="00172762" w:rsidRPr="00172762" w:rsidRDefault="00172762" w:rsidP="00172762">
      <w:pPr>
        <w:pStyle w:val="Referencias"/>
        <w:spacing w:line="360" w:lineRule="auto"/>
        <w:rPr>
          <w:szCs w:val="23"/>
          <w:lang w:val="pt-BR"/>
        </w:rPr>
      </w:pPr>
      <w:proofErr w:type="spellStart"/>
      <w:r w:rsidRPr="00172762">
        <w:rPr>
          <w:szCs w:val="23"/>
        </w:rPr>
        <w:t>Vala</w:t>
      </w:r>
      <w:proofErr w:type="spellEnd"/>
      <w:r w:rsidRPr="00172762">
        <w:rPr>
          <w:szCs w:val="23"/>
        </w:rPr>
        <w:t xml:space="preserve">, J., &amp; Saint-Maurice, A. (2004). </w:t>
      </w:r>
      <w:r w:rsidRPr="00172762">
        <w:rPr>
          <w:szCs w:val="23"/>
          <w:lang w:val="pt-BR"/>
        </w:rPr>
        <w:t xml:space="preserve">Representações sociais sobre o descobrimento do Brasil: Os </w:t>
      </w:r>
      <w:proofErr w:type="spellStart"/>
      <w:r w:rsidRPr="00172762">
        <w:rPr>
          <w:szCs w:val="23"/>
          <w:lang w:val="pt-BR"/>
        </w:rPr>
        <w:t>actores</w:t>
      </w:r>
      <w:proofErr w:type="spellEnd"/>
      <w:r w:rsidRPr="00172762">
        <w:rPr>
          <w:szCs w:val="23"/>
          <w:lang w:val="pt-BR"/>
        </w:rPr>
        <w:t xml:space="preserve"> e a colonização. </w:t>
      </w:r>
      <w:r w:rsidRPr="00172762">
        <w:rPr>
          <w:i/>
          <w:iCs/>
          <w:szCs w:val="23"/>
          <w:lang w:val="pt-BR"/>
        </w:rPr>
        <w:t>Psicologia, 17</w:t>
      </w:r>
      <w:r w:rsidRPr="00172762">
        <w:rPr>
          <w:szCs w:val="23"/>
          <w:lang w:val="pt-BR"/>
        </w:rPr>
        <w:t>(2), 385</w:t>
      </w:r>
      <w:r>
        <w:rPr>
          <w:szCs w:val="23"/>
          <w:lang w:val="pt-BR"/>
        </w:rPr>
        <w:t>-</w:t>
      </w:r>
      <w:r w:rsidRPr="00172762">
        <w:rPr>
          <w:szCs w:val="23"/>
          <w:lang w:val="pt-BR"/>
        </w:rPr>
        <w:t xml:space="preserve">404. </w:t>
      </w:r>
      <w:hyperlink r:id="rId45" w:tgtFrame="_new" w:history="1">
        <w:r w:rsidRPr="00172762">
          <w:rPr>
            <w:rStyle w:val="Hipervnculo"/>
            <w:szCs w:val="23"/>
            <w:lang w:val="pt-BR"/>
          </w:rPr>
          <w:t>https://doi.org/10.17575/rpsicol.v17i2.456</w:t>
        </w:r>
      </w:hyperlink>
    </w:p>
    <w:p w14:paraId="1F888C48" w14:textId="5E28231D" w:rsidR="00172762" w:rsidRPr="00172762" w:rsidRDefault="00172762" w:rsidP="00172762">
      <w:pPr>
        <w:pStyle w:val="Referencias"/>
        <w:spacing w:line="360" w:lineRule="auto"/>
        <w:rPr>
          <w:szCs w:val="23"/>
        </w:rPr>
      </w:pPr>
      <w:r w:rsidRPr="00172762">
        <w:rPr>
          <w:szCs w:val="23"/>
          <w:lang w:val="pt-BR"/>
        </w:rPr>
        <w:t xml:space="preserve">Valentim, J. P., &amp; Miguel, I. (2018). </w:t>
      </w:r>
      <w:r w:rsidRPr="00172762">
        <w:rPr>
          <w:szCs w:val="23"/>
        </w:rPr>
        <w:t xml:space="preserve">Colonialism in Portuguese history textbooks: A diachronic psychosocial study. In K. van Nieuwenhuyse &amp; J. P. </w:t>
      </w:r>
      <w:proofErr w:type="spellStart"/>
      <w:r w:rsidRPr="00172762">
        <w:rPr>
          <w:szCs w:val="23"/>
        </w:rPr>
        <w:t>Valentim</w:t>
      </w:r>
      <w:proofErr w:type="spellEnd"/>
      <w:r w:rsidRPr="00172762">
        <w:rPr>
          <w:szCs w:val="23"/>
        </w:rPr>
        <w:t xml:space="preserve"> (Eds.), </w:t>
      </w:r>
      <w:r w:rsidRPr="00172762">
        <w:rPr>
          <w:i/>
          <w:iCs/>
          <w:szCs w:val="23"/>
        </w:rPr>
        <w:t>The colonial past in history textbooks. Historical and social psychological perspectives</w:t>
      </w:r>
      <w:r w:rsidRPr="00172762">
        <w:rPr>
          <w:szCs w:val="23"/>
        </w:rPr>
        <w:t xml:space="preserve"> (pp. 133</w:t>
      </w:r>
      <w:r>
        <w:rPr>
          <w:szCs w:val="23"/>
        </w:rPr>
        <w:t>-</w:t>
      </w:r>
      <w:r w:rsidRPr="00172762">
        <w:rPr>
          <w:szCs w:val="23"/>
        </w:rPr>
        <w:t>154). Information Age Publishing.</w:t>
      </w:r>
    </w:p>
    <w:p w14:paraId="14E7ABE4" w14:textId="7503D03F" w:rsidR="00FE51EC" w:rsidRPr="00205CAF" w:rsidRDefault="00FE51EC" w:rsidP="009907A8">
      <w:pPr>
        <w:pStyle w:val="Referencias"/>
        <w:spacing w:line="360" w:lineRule="auto"/>
        <w:rPr>
          <w:sz w:val="23"/>
          <w:szCs w:val="23"/>
        </w:rPr>
      </w:pPr>
    </w:p>
    <w:p w14:paraId="2F72CA94" w14:textId="1C253583" w:rsidR="00E67180" w:rsidRPr="00FE51EC" w:rsidRDefault="0043460F" w:rsidP="0043460F">
      <w:pPr>
        <w:pStyle w:val="Referencias"/>
        <w:spacing w:line="360" w:lineRule="auto"/>
      </w:pPr>
      <w:r w:rsidRPr="00FE51EC">
        <w:t xml:space="preserve"> </w:t>
      </w:r>
    </w:p>
    <w:p w14:paraId="59FACE2C" w14:textId="77777777" w:rsidR="00FE6082" w:rsidRDefault="00FE6082" w:rsidP="00534025">
      <w:pPr>
        <w:shd w:val="clear" w:color="auto" w:fill="FFFFFF"/>
        <w:spacing w:line="260" w:lineRule="exact"/>
        <w:jc w:val="right"/>
        <w:rPr>
          <w:i/>
          <w:iCs/>
          <w:sz w:val="20"/>
          <w:szCs w:val="20"/>
          <w:lang w:val="en-US"/>
        </w:rPr>
      </w:pPr>
    </w:p>
    <w:p w14:paraId="4E4CDB4E" w14:textId="747ED025" w:rsidR="00147EED" w:rsidRPr="00FE51EC" w:rsidRDefault="00147EED" w:rsidP="00534025">
      <w:pPr>
        <w:shd w:val="clear" w:color="auto" w:fill="FFFFFF"/>
        <w:spacing w:line="260" w:lineRule="exact"/>
        <w:jc w:val="right"/>
        <w:rPr>
          <w:i/>
          <w:iCs/>
          <w:sz w:val="20"/>
          <w:szCs w:val="20"/>
          <w:lang w:val="en-US"/>
        </w:rPr>
      </w:pPr>
      <w:r w:rsidRPr="00A97847">
        <w:rPr>
          <w:i/>
          <w:iCs/>
          <w:sz w:val="20"/>
          <w:szCs w:val="20"/>
          <w:lang w:val="en-US"/>
        </w:rPr>
        <w:t>Received:</w:t>
      </w:r>
      <w:r w:rsidR="008D1149" w:rsidRPr="00A97847">
        <w:rPr>
          <w:i/>
          <w:iCs/>
          <w:sz w:val="20"/>
          <w:szCs w:val="20"/>
          <w:lang w:val="en-US"/>
        </w:rPr>
        <w:t xml:space="preserve"> </w:t>
      </w:r>
      <w:r w:rsidR="000E301F" w:rsidRPr="000E301F">
        <w:rPr>
          <w:i/>
          <w:iCs/>
          <w:sz w:val="20"/>
          <w:szCs w:val="20"/>
          <w:lang w:val="en-US"/>
        </w:rPr>
        <w:t>2024-03-11</w:t>
      </w:r>
    </w:p>
    <w:p w14:paraId="61C27069" w14:textId="6AD4CB44" w:rsidR="00534025" w:rsidRPr="00FE51EC" w:rsidRDefault="00147EED" w:rsidP="00534025">
      <w:pPr>
        <w:shd w:val="clear" w:color="auto" w:fill="FFFFFF"/>
        <w:spacing w:line="260" w:lineRule="exact"/>
        <w:jc w:val="right"/>
        <w:rPr>
          <w:i/>
          <w:iCs/>
          <w:sz w:val="20"/>
          <w:szCs w:val="20"/>
          <w:lang w:val="en-US"/>
        </w:rPr>
      </w:pPr>
      <w:r w:rsidRPr="00A97847">
        <w:rPr>
          <w:i/>
          <w:iCs/>
          <w:sz w:val="20"/>
          <w:szCs w:val="20"/>
          <w:lang w:val="en-US"/>
        </w:rPr>
        <w:t>Accepted:</w:t>
      </w:r>
      <w:r w:rsidR="008D1149" w:rsidRPr="00A97847">
        <w:rPr>
          <w:i/>
          <w:iCs/>
          <w:sz w:val="20"/>
          <w:szCs w:val="20"/>
          <w:lang w:val="en-US"/>
        </w:rPr>
        <w:t xml:space="preserve"> </w:t>
      </w:r>
      <w:r w:rsidR="000E301F" w:rsidRPr="000E301F">
        <w:rPr>
          <w:i/>
          <w:iCs/>
          <w:sz w:val="20"/>
          <w:szCs w:val="20"/>
          <w:lang w:val="en-US"/>
        </w:rPr>
        <w:t>2025-02-25</w:t>
      </w:r>
    </w:p>
    <w:p w14:paraId="312A8921" w14:textId="0B5136DD" w:rsidR="00147EED" w:rsidRPr="008502BB" w:rsidRDefault="00147EED" w:rsidP="00E1574F">
      <w:pPr>
        <w:shd w:val="clear" w:color="auto" w:fill="FFFFFF"/>
        <w:spacing w:line="260" w:lineRule="exact"/>
        <w:jc w:val="right"/>
        <w:rPr>
          <w:i/>
          <w:iCs/>
          <w:sz w:val="20"/>
          <w:szCs w:val="20"/>
          <w:lang w:val="en-US"/>
        </w:rPr>
      </w:pPr>
      <w:bookmarkStart w:id="13" w:name="_GoBack"/>
      <w:bookmarkEnd w:id="13"/>
    </w:p>
    <w:sectPr w:rsidR="00147EED" w:rsidRPr="008502BB" w:rsidSect="00686DA9">
      <w:headerReference w:type="even" r:id="rId46"/>
      <w:headerReference w:type="default" r:id="rId47"/>
      <w:footerReference w:type="even" r:id="rId48"/>
      <w:footerReference w:type="default" r:id="rId49"/>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29ADC" w14:textId="77777777" w:rsidR="00592ACC" w:rsidRDefault="00592ACC" w:rsidP="00C413D4">
      <w:r>
        <w:separator/>
      </w:r>
    </w:p>
  </w:endnote>
  <w:endnote w:type="continuationSeparator" w:id="0">
    <w:p w14:paraId="6909C46D" w14:textId="77777777" w:rsidR="00592ACC" w:rsidRDefault="00592ACC"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383A5BD2" w:rsidR="009907A8" w:rsidRDefault="009907A8"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DD4453">
          <w:rPr>
            <w:rStyle w:val="Nmerodepgina"/>
            <w:rFonts w:ascii="Times" w:hAnsi="Times"/>
            <w:noProof/>
            <w:sz w:val="16"/>
            <w:szCs w:val="16"/>
          </w:rPr>
          <w:t>24</w:t>
        </w:r>
        <w:r w:rsidRPr="007F5913">
          <w:rPr>
            <w:rStyle w:val="Nmerodepgina"/>
            <w:rFonts w:ascii="Times" w:hAnsi="Times"/>
            <w:sz w:val="16"/>
            <w:szCs w:val="16"/>
          </w:rPr>
          <w:fldChar w:fldCharType="end"/>
        </w:r>
      </w:p>
    </w:sdtContent>
  </w:sdt>
  <w:p w14:paraId="4737EBA2" w14:textId="77777777" w:rsidR="009907A8" w:rsidRDefault="009907A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2FCACFFA" w:rsidR="009907A8" w:rsidRDefault="009907A8"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DD4453">
          <w:rPr>
            <w:rStyle w:val="Nmerodepgina"/>
            <w:rFonts w:ascii="Times" w:hAnsi="Times"/>
            <w:noProof/>
            <w:sz w:val="16"/>
            <w:szCs w:val="16"/>
          </w:rPr>
          <w:t>25</w:t>
        </w:r>
        <w:r w:rsidRPr="007F5913">
          <w:rPr>
            <w:rStyle w:val="Nmerodepgina"/>
            <w:rFonts w:ascii="Times" w:hAnsi="Times"/>
            <w:sz w:val="16"/>
            <w:szCs w:val="16"/>
          </w:rPr>
          <w:fldChar w:fldCharType="end"/>
        </w:r>
      </w:p>
    </w:sdtContent>
  </w:sdt>
  <w:p w14:paraId="420682C3" w14:textId="77777777" w:rsidR="009907A8" w:rsidRDefault="009907A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B3DEB" w14:textId="77777777" w:rsidR="00592ACC" w:rsidRDefault="00592ACC" w:rsidP="00C413D4">
      <w:r>
        <w:separator/>
      </w:r>
    </w:p>
  </w:footnote>
  <w:footnote w:type="continuationSeparator" w:id="0">
    <w:p w14:paraId="399D5876" w14:textId="77777777" w:rsidR="00592ACC" w:rsidRDefault="00592ACC" w:rsidP="00C413D4">
      <w:r>
        <w:continuationSeparator/>
      </w:r>
    </w:p>
  </w:footnote>
  <w:footnote w:id="1">
    <w:p w14:paraId="480D2936" w14:textId="1DE1F481" w:rsidR="009907A8" w:rsidRPr="004728AF" w:rsidRDefault="009907A8" w:rsidP="005E205D">
      <w:pPr>
        <w:pStyle w:val="Body"/>
        <w:rPr>
          <w:rStyle w:val="Hipervnculo"/>
          <w:rFonts w:ascii="Times" w:hAnsi="Times"/>
          <w:b/>
          <w:bCs/>
          <w:color w:val="000000"/>
          <w:sz w:val="16"/>
          <w:szCs w:val="16"/>
          <w:u w:val="none"/>
          <w:lang w:val="en-US"/>
        </w:rPr>
      </w:pPr>
      <w:r w:rsidRPr="004728AF">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proofErr w:type="spellStart"/>
      <w:r w:rsidRPr="0054683C">
        <w:rPr>
          <w:rFonts w:ascii="Times" w:hAnsi="Times"/>
          <w:b/>
          <w:bCs/>
          <w:sz w:val="16"/>
          <w:szCs w:val="16"/>
          <w:lang w:val="en-US"/>
        </w:rPr>
        <w:t>Luiza</w:t>
      </w:r>
      <w:proofErr w:type="spellEnd"/>
      <w:r w:rsidRPr="0054683C">
        <w:rPr>
          <w:rFonts w:ascii="Times" w:hAnsi="Times"/>
          <w:b/>
          <w:bCs/>
          <w:sz w:val="16"/>
          <w:szCs w:val="16"/>
          <w:lang w:val="en-US"/>
        </w:rPr>
        <w:t xml:space="preserve"> </w:t>
      </w:r>
      <w:proofErr w:type="spellStart"/>
      <w:r w:rsidRPr="0054683C">
        <w:rPr>
          <w:rFonts w:ascii="Times" w:hAnsi="Times"/>
          <w:b/>
          <w:bCs/>
          <w:sz w:val="16"/>
          <w:szCs w:val="16"/>
          <w:lang w:val="en-US"/>
        </w:rPr>
        <w:t>Lins</w:t>
      </w:r>
      <w:proofErr w:type="spellEnd"/>
      <w:r w:rsidRPr="008463AB">
        <w:rPr>
          <w:rFonts w:ascii="Times" w:hAnsi="Times"/>
          <w:b/>
          <w:bCs/>
          <w:sz w:val="16"/>
          <w:szCs w:val="16"/>
          <w:lang w:val="en-US"/>
        </w:rPr>
        <w:t>:</w:t>
      </w:r>
      <w:r>
        <w:rPr>
          <w:rFonts w:ascii="Times" w:hAnsi="Times"/>
          <w:b/>
          <w:bCs/>
          <w:sz w:val="16"/>
          <w:szCs w:val="16"/>
          <w:lang w:val="en-US"/>
        </w:rPr>
        <w:t xml:space="preserve"> </w:t>
      </w:r>
      <w:hyperlink r:id="rId1" w:history="1">
        <w:r>
          <w:rPr>
            <w:rStyle w:val="Hipervnculo"/>
            <w:rFonts w:ascii="Times" w:hAnsi="Times"/>
            <w:bCs/>
            <w:sz w:val="16"/>
            <w:szCs w:val="16"/>
            <w:lang w:val="en-US"/>
          </w:rPr>
          <w:t>luizaalins@hotmail.com</w:t>
        </w:r>
      </w:hyperlink>
      <w:r>
        <w:rPr>
          <w:rFonts w:ascii="Times" w:hAnsi="Times"/>
          <w:b/>
          <w:bCs/>
          <w:sz w:val="16"/>
          <w:szCs w:val="16"/>
          <w:lang w:val="en-US"/>
        </w:rPr>
        <w:t xml:space="preserve"> </w:t>
      </w:r>
    </w:p>
  </w:footnote>
  <w:footnote w:id="2">
    <w:p w14:paraId="21063C70" w14:textId="77777777" w:rsidR="009907A8" w:rsidRPr="00DC7034" w:rsidRDefault="009907A8" w:rsidP="00721BE2">
      <w:pPr>
        <w:pStyle w:val="Textonotapie"/>
        <w:rPr>
          <w:sz w:val="16"/>
          <w:szCs w:val="16"/>
          <w:lang w:val="en-US"/>
        </w:rPr>
      </w:pPr>
      <w:r w:rsidRPr="004728AF">
        <w:rPr>
          <w:b/>
          <w:bCs/>
          <w:color w:val="222222"/>
          <w:u w:color="222222"/>
          <w:bdr w:val="nil"/>
          <w:vertAlign w:val="superscript"/>
          <w:lang w:val="es-AR"/>
          <w14:textOutline w14:w="0" w14:cap="flat" w14:cmpd="sng" w14:algn="ctr">
            <w14:noFill/>
            <w14:prstDash w14:val="solid"/>
            <w14:bevel/>
          </w14:textOutline>
        </w:rPr>
        <w:footnoteRef/>
      </w:r>
      <w:r w:rsidRPr="00DC7034">
        <w:rPr>
          <w:b/>
          <w:bCs/>
          <w:color w:val="222222"/>
          <w:szCs w:val="28"/>
          <w:u w:color="222222"/>
          <w:bdr w:val="nil"/>
          <w:vertAlign w:val="superscript"/>
          <w:lang w:val="en-US"/>
          <w14:textOutline w14:w="0" w14:cap="flat" w14:cmpd="sng" w14:algn="ctr">
            <w14:noFill/>
            <w14:prstDash w14:val="solid"/>
            <w14:bevel/>
          </w14:textOutline>
        </w:rPr>
        <w:t xml:space="preserve"> </w:t>
      </w:r>
      <w:r w:rsidRPr="004728AF">
        <w:rPr>
          <w:b/>
          <w:bCs/>
          <w:i/>
          <w:iCs/>
          <w:sz w:val="16"/>
          <w:szCs w:val="16"/>
          <w:lang w:val="en-US"/>
        </w:rPr>
        <w:t>Conflicts of Interest</w:t>
      </w:r>
      <w:r w:rsidRPr="004728AF">
        <w:rPr>
          <w:b/>
          <w:bCs/>
          <w:sz w:val="16"/>
          <w:szCs w:val="16"/>
          <w:lang w:val="en-US"/>
        </w:rPr>
        <w:t>:</w:t>
      </w:r>
      <w:r w:rsidRPr="004728AF">
        <w:rPr>
          <w:sz w:val="16"/>
          <w:szCs w:val="16"/>
          <w:lang w:val="en-US"/>
        </w:rPr>
        <w:t xml:space="preserve"> The authors declare that the research was conducted in the absence of any commercial or financial relationships that could be construed as a potential conflict of interest</w:t>
      </w:r>
      <w:r w:rsidRPr="00DC7034">
        <w:rPr>
          <w:sz w:val="16"/>
          <w:szCs w:val="16"/>
          <w:lang w:val="en-US"/>
        </w:rPr>
        <w:t>.</w:t>
      </w:r>
    </w:p>
  </w:footnote>
  <w:footnote w:id="3">
    <w:p w14:paraId="546A4980" w14:textId="347E828D" w:rsidR="001A53AB" w:rsidRPr="001A53AB" w:rsidRDefault="001A53AB" w:rsidP="001A53AB">
      <w:pPr>
        <w:pStyle w:val="Textonotapie"/>
        <w:rPr>
          <w:sz w:val="18"/>
          <w:lang w:val="pt-BR"/>
        </w:rPr>
      </w:pPr>
      <w:r w:rsidRPr="00434814">
        <w:rPr>
          <w:rStyle w:val="Refdenotaalpie"/>
          <w:b/>
        </w:rPr>
        <w:footnoteRef/>
      </w:r>
      <w:r w:rsidRPr="001A53AB">
        <w:rPr>
          <w:b/>
          <w:lang w:val="pt-BR"/>
        </w:rPr>
        <w:t xml:space="preserve"> </w:t>
      </w:r>
      <w:r w:rsidRPr="001A53AB">
        <w:rPr>
          <w:b/>
          <w:i/>
          <w:sz w:val="18"/>
          <w:lang w:val="pt-BR"/>
        </w:rPr>
        <w:t>Agradecimento</w:t>
      </w:r>
      <w:r w:rsidRPr="001A53AB">
        <w:rPr>
          <w:b/>
          <w:i/>
          <w:sz w:val="18"/>
          <w:lang w:val="pt-BR"/>
        </w:rPr>
        <w:t xml:space="preserve">: </w:t>
      </w:r>
      <w:r w:rsidRPr="001A53AB">
        <w:rPr>
          <w:sz w:val="18"/>
          <w:lang w:val="pt-BR"/>
        </w:rPr>
        <w:t>Este artigo foi desenvolvido no âmbito do projeto “</w:t>
      </w:r>
      <w:proofErr w:type="spellStart"/>
      <w:r w:rsidRPr="001A53AB">
        <w:rPr>
          <w:sz w:val="18"/>
          <w:lang w:val="pt-BR"/>
        </w:rPr>
        <w:t>MigraMediaActs</w:t>
      </w:r>
      <w:proofErr w:type="spellEnd"/>
      <w:r w:rsidRPr="001A53AB">
        <w:rPr>
          <w:sz w:val="18"/>
          <w:lang w:val="pt-BR"/>
        </w:rPr>
        <w:t xml:space="preserve"> – Migrações, media e ativismos em língua portuguesa: descolonizar paisagens mediáticas e imaginar futuros alternativos” (PTDC/COM-CSS/3121/2021), financiado por fundos nacionais através da FCT – Fundação para a Ciência e a Tecnologia, I.P., e no âmbito do projeto e I&amp;D “</w:t>
      </w:r>
      <w:proofErr w:type="spellStart"/>
      <w:r w:rsidRPr="001A53AB">
        <w:rPr>
          <w:sz w:val="18"/>
          <w:lang w:val="pt-BR"/>
        </w:rPr>
        <w:t>Conciliare</w:t>
      </w:r>
      <w:proofErr w:type="spellEnd"/>
      <w:r w:rsidRPr="001A53AB">
        <w:rPr>
          <w:sz w:val="18"/>
          <w:lang w:val="pt-BR"/>
        </w:rPr>
        <w:t xml:space="preserve">: </w:t>
      </w:r>
      <w:proofErr w:type="spellStart"/>
      <w:r w:rsidRPr="001A53AB">
        <w:rPr>
          <w:sz w:val="18"/>
          <w:lang w:val="pt-BR"/>
        </w:rPr>
        <w:t>Confidently</w:t>
      </w:r>
      <w:proofErr w:type="spellEnd"/>
      <w:r w:rsidRPr="001A53AB">
        <w:rPr>
          <w:sz w:val="18"/>
          <w:lang w:val="pt-BR"/>
        </w:rPr>
        <w:t xml:space="preserve"> </w:t>
      </w:r>
      <w:proofErr w:type="spellStart"/>
      <w:r w:rsidRPr="001A53AB">
        <w:rPr>
          <w:sz w:val="18"/>
          <w:lang w:val="pt-BR"/>
        </w:rPr>
        <w:t>Changing</w:t>
      </w:r>
      <w:proofErr w:type="spellEnd"/>
      <w:r w:rsidRPr="001A53AB">
        <w:rPr>
          <w:sz w:val="18"/>
          <w:lang w:val="pt-BR"/>
        </w:rPr>
        <w:t xml:space="preserve"> Colonial </w:t>
      </w:r>
      <w:proofErr w:type="spellStart"/>
      <w:r w:rsidRPr="001A53AB">
        <w:rPr>
          <w:sz w:val="18"/>
          <w:lang w:val="pt-BR"/>
        </w:rPr>
        <w:t>Heritage</w:t>
      </w:r>
      <w:proofErr w:type="spellEnd"/>
      <w:r w:rsidRPr="001A53AB">
        <w:rPr>
          <w:sz w:val="18"/>
          <w:lang w:val="pt-BR"/>
        </w:rPr>
        <w:t xml:space="preserve">” (“HORIZON-CL2-2023-HERITAGE-01-04: Cultural </w:t>
      </w:r>
      <w:proofErr w:type="spellStart"/>
      <w:r w:rsidRPr="001A53AB">
        <w:rPr>
          <w:sz w:val="18"/>
          <w:lang w:val="pt-BR"/>
        </w:rPr>
        <w:t>heritage</w:t>
      </w:r>
      <w:proofErr w:type="spellEnd"/>
      <w:r w:rsidRPr="001A53AB">
        <w:rPr>
          <w:sz w:val="18"/>
          <w:lang w:val="pt-BR"/>
        </w:rPr>
        <w:t xml:space="preserve"> in </w:t>
      </w:r>
      <w:proofErr w:type="spellStart"/>
      <w:r w:rsidRPr="001A53AB">
        <w:rPr>
          <w:sz w:val="18"/>
          <w:lang w:val="pt-BR"/>
        </w:rPr>
        <w:t>transformation</w:t>
      </w:r>
      <w:proofErr w:type="spellEnd"/>
      <w:r w:rsidRPr="001A53AB">
        <w:rPr>
          <w:sz w:val="18"/>
          <w:lang w:val="pt-BR"/>
        </w:rPr>
        <w:t xml:space="preserve"> – </w:t>
      </w:r>
      <w:proofErr w:type="spellStart"/>
      <w:r w:rsidRPr="001A53AB">
        <w:rPr>
          <w:sz w:val="18"/>
          <w:lang w:val="pt-BR"/>
        </w:rPr>
        <w:t>facing</w:t>
      </w:r>
      <w:proofErr w:type="spellEnd"/>
      <w:r w:rsidRPr="001A53AB">
        <w:rPr>
          <w:sz w:val="18"/>
          <w:lang w:val="pt-BR"/>
        </w:rPr>
        <w:t xml:space="preserve"> </w:t>
      </w:r>
      <w:proofErr w:type="spellStart"/>
      <w:r w:rsidRPr="001A53AB">
        <w:rPr>
          <w:sz w:val="18"/>
          <w:lang w:val="pt-BR"/>
        </w:rPr>
        <w:t>change</w:t>
      </w:r>
      <w:proofErr w:type="spellEnd"/>
      <w:r w:rsidRPr="001A53AB">
        <w:rPr>
          <w:sz w:val="18"/>
          <w:lang w:val="pt-BR"/>
        </w:rPr>
        <w:t xml:space="preserve"> </w:t>
      </w:r>
      <w:proofErr w:type="spellStart"/>
      <w:r w:rsidRPr="001A53AB">
        <w:rPr>
          <w:sz w:val="18"/>
          <w:lang w:val="pt-BR"/>
        </w:rPr>
        <w:t>with</w:t>
      </w:r>
      <w:proofErr w:type="spellEnd"/>
      <w:r w:rsidRPr="001A53AB">
        <w:rPr>
          <w:sz w:val="18"/>
          <w:lang w:val="pt-BR"/>
        </w:rPr>
        <w:t xml:space="preserve"> </w:t>
      </w:r>
      <w:proofErr w:type="spellStart"/>
      <w:r w:rsidRPr="001A53AB">
        <w:rPr>
          <w:sz w:val="18"/>
          <w:lang w:val="pt-BR"/>
        </w:rPr>
        <w:t>confidence</w:t>
      </w:r>
      <w:proofErr w:type="spellEnd"/>
      <w:r w:rsidRPr="001A53AB">
        <w:rPr>
          <w:sz w:val="18"/>
          <w:lang w:val="pt-BR"/>
        </w:rPr>
        <w:t>”, GA n.º 101132582)</w:t>
      </w:r>
      <w:r>
        <w:rPr>
          <w:sz w:val="18"/>
          <w:lang w:val="pt-BR"/>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10936486" w:rsidR="009907A8" w:rsidRPr="005A0E14" w:rsidRDefault="009907A8" w:rsidP="005A0E14">
    <w:pPr>
      <w:pStyle w:val="Encabezado"/>
      <w:jc w:val="center"/>
      <w:rPr>
        <w:lang w:val="pt-BR"/>
      </w:rPr>
    </w:pPr>
    <w:r w:rsidRPr="005A0E14">
      <w:rPr>
        <w:rFonts w:ascii="Times" w:hAnsi="Times" w:cs="Times New Roman (Body CS)"/>
        <w:b/>
        <w:bCs/>
        <w:smallCaps/>
        <w:sz w:val="20"/>
        <w:szCs w:val="20"/>
        <w:lang w:val="pt-BR"/>
      </w:rPr>
      <w:t>L</w:t>
    </w:r>
    <w:r w:rsidR="00DD1A55">
      <w:rPr>
        <w:rFonts w:ascii="Times" w:hAnsi="Times" w:cs="Times New Roman (Body CS)"/>
        <w:b/>
        <w:bCs/>
        <w:smallCaps/>
        <w:sz w:val="20"/>
        <w:szCs w:val="20"/>
        <w:lang w:val="pt-BR"/>
      </w:rPr>
      <w:t>ins, Cabecinhas, Lima,</w:t>
    </w:r>
    <w:r w:rsidRPr="005A0E14">
      <w:rPr>
        <w:rFonts w:ascii="Times" w:hAnsi="Times" w:cs="Times New Roman (Body CS)"/>
        <w:b/>
        <w:bCs/>
        <w:smallCaps/>
        <w:sz w:val="20"/>
        <w:szCs w:val="20"/>
        <w:lang w:val="pt-BR"/>
      </w:rPr>
      <w:t xml:space="preserve"> Valentim, &amp; </w:t>
    </w:r>
    <w:proofErr w:type="spellStart"/>
    <w:r w:rsidRPr="005A0E14">
      <w:rPr>
        <w:rFonts w:ascii="Times" w:hAnsi="Times" w:cs="Times New Roman (Body CS)"/>
        <w:b/>
        <w:bCs/>
        <w:smallCaps/>
        <w:sz w:val="20"/>
        <w:szCs w:val="20"/>
        <w:lang w:val="pt-BR"/>
      </w:rPr>
      <w:t>Techio</w:t>
    </w:r>
    <w:proofErr w:type="spell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9907A8" w:rsidRDefault="009907A8"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46806FAA" w:rsidR="009907A8" w:rsidRDefault="009907A8" w:rsidP="00C413D4">
    <w:pPr>
      <w:pStyle w:val="Encabezado"/>
      <w:jc w:val="right"/>
      <w:rPr>
        <w:rFonts w:ascii="Times" w:hAnsi="Times"/>
        <w:i/>
        <w:sz w:val="18"/>
        <w:szCs w:val="18"/>
        <w:lang w:val="es-ES"/>
      </w:rPr>
    </w:pPr>
    <w:r>
      <w:rPr>
        <w:rFonts w:ascii="Times" w:hAnsi="Times"/>
        <w:i/>
        <w:sz w:val="18"/>
        <w:szCs w:val="18"/>
        <w:lang w:val="es-ES"/>
      </w:rPr>
      <w:t>2025, Vol., 59, e2020</w:t>
    </w:r>
  </w:p>
  <w:p w14:paraId="1AAB67EA" w14:textId="77777777" w:rsidR="009907A8" w:rsidRPr="00FB7013" w:rsidRDefault="009907A8">
    <w:pPr>
      <w:pStyle w:val="Encabezado"/>
      <w:rPr>
        <w:lang w:val="pt-P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4C5D"/>
    <w:multiLevelType w:val="hybridMultilevel"/>
    <w:tmpl w:val="D18C75A4"/>
    <w:numStyleLink w:val="EstiloImportado1"/>
  </w:abstractNum>
  <w:abstractNum w:abstractNumId="1" w15:restartNumberingAfterBreak="0">
    <w:nsid w:val="2C2B275C"/>
    <w:multiLevelType w:val="multilevel"/>
    <w:tmpl w:val="46405316"/>
    <w:styleLink w:val="WW8Num2"/>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77484522"/>
    <w:multiLevelType w:val="hybridMultilevel"/>
    <w:tmpl w:val="D18C75A4"/>
    <w:styleLink w:val="EstiloImportado1"/>
    <w:lvl w:ilvl="0" w:tplc="B5ECC65C">
      <w:start w:val="1"/>
      <w:numFmt w:val="bullet"/>
      <w:lvlText w:val="-"/>
      <w:lvlJc w:val="left"/>
      <w:pPr>
        <w:tabs>
          <w:tab w:val="left" w:pos="355"/>
        </w:tabs>
        <w:ind w:left="204" w:hanging="204"/>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66101094">
      <w:start w:val="1"/>
      <w:numFmt w:val="bullet"/>
      <w:lvlText w:val="•"/>
      <w:lvlJc w:val="left"/>
      <w:pPr>
        <w:tabs>
          <w:tab w:val="left" w:pos="355"/>
        </w:tabs>
        <w:ind w:left="1070" w:hanging="204"/>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A908372">
      <w:start w:val="1"/>
      <w:numFmt w:val="bullet"/>
      <w:lvlText w:val="•"/>
      <w:lvlJc w:val="left"/>
      <w:pPr>
        <w:tabs>
          <w:tab w:val="left" w:pos="355"/>
        </w:tabs>
        <w:ind w:left="2021" w:hanging="204"/>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9E87334">
      <w:start w:val="1"/>
      <w:numFmt w:val="bullet"/>
      <w:lvlText w:val="•"/>
      <w:lvlJc w:val="left"/>
      <w:pPr>
        <w:tabs>
          <w:tab w:val="left" w:pos="355"/>
        </w:tabs>
        <w:ind w:left="2971" w:hanging="204"/>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ECB6A274">
      <w:start w:val="1"/>
      <w:numFmt w:val="bullet"/>
      <w:lvlText w:val="•"/>
      <w:lvlJc w:val="left"/>
      <w:pPr>
        <w:tabs>
          <w:tab w:val="left" w:pos="355"/>
        </w:tabs>
        <w:ind w:left="3922" w:hanging="204"/>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D5966B40">
      <w:start w:val="1"/>
      <w:numFmt w:val="bullet"/>
      <w:lvlText w:val="•"/>
      <w:lvlJc w:val="left"/>
      <w:pPr>
        <w:tabs>
          <w:tab w:val="left" w:pos="355"/>
        </w:tabs>
        <w:ind w:left="4873" w:hanging="204"/>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ECC01916">
      <w:start w:val="1"/>
      <w:numFmt w:val="bullet"/>
      <w:lvlText w:val="•"/>
      <w:lvlJc w:val="left"/>
      <w:pPr>
        <w:tabs>
          <w:tab w:val="left" w:pos="355"/>
        </w:tabs>
        <w:ind w:left="5823" w:hanging="204"/>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C0FC0AD6">
      <w:start w:val="1"/>
      <w:numFmt w:val="bullet"/>
      <w:lvlText w:val="•"/>
      <w:lvlJc w:val="left"/>
      <w:pPr>
        <w:tabs>
          <w:tab w:val="left" w:pos="355"/>
        </w:tabs>
        <w:ind w:left="6774" w:hanging="204"/>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36863328">
      <w:start w:val="1"/>
      <w:numFmt w:val="bullet"/>
      <w:lvlText w:val="•"/>
      <w:lvlJc w:val="left"/>
      <w:pPr>
        <w:tabs>
          <w:tab w:val="left" w:pos="355"/>
        </w:tabs>
        <w:ind w:left="7725" w:hanging="204"/>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EB7"/>
    <w:rsid w:val="00002E1B"/>
    <w:rsid w:val="0000650C"/>
    <w:rsid w:val="000104E5"/>
    <w:rsid w:val="000134B3"/>
    <w:rsid w:val="00020341"/>
    <w:rsid w:val="000378AF"/>
    <w:rsid w:val="00041F66"/>
    <w:rsid w:val="00043604"/>
    <w:rsid w:val="0005428C"/>
    <w:rsid w:val="000547D8"/>
    <w:rsid w:val="00056BE3"/>
    <w:rsid w:val="000609C9"/>
    <w:rsid w:val="000636EC"/>
    <w:rsid w:val="00064F18"/>
    <w:rsid w:val="0006678E"/>
    <w:rsid w:val="00067898"/>
    <w:rsid w:val="00070D8D"/>
    <w:rsid w:val="000715BB"/>
    <w:rsid w:val="0007205A"/>
    <w:rsid w:val="000733FA"/>
    <w:rsid w:val="00075F71"/>
    <w:rsid w:val="000815D5"/>
    <w:rsid w:val="000928CA"/>
    <w:rsid w:val="00094513"/>
    <w:rsid w:val="000A323A"/>
    <w:rsid w:val="000A6ECE"/>
    <w:rsid w:val="000B01FD"/>
    <w:rsid w:val="000B1FE0"/>
    <w:rsid w:val="000B32F6"/>
    <w:rsid w:val="000B6A67"/>
    <w:rsid w:val="000C383D"/>
    <w:rsid w:val="000C5B73"/>
    <w:rsid w:val="000D111A"/>
    <w:rsid w:val="000D6953"/>
    <w:rsid w:val="000E301F"/>
    <w:rsid w:val="000E5BB5"/>
    <w:rsid w:val="000E759A"/>
    <w:rsid w:val="000E7B98"/>
    <w:rsid w:val="000F56BA"/>
    <w:rsid w:val="001001E7"/>
    <w:rsid w:val="001006DE"/>
    <w:rsid w:val="00105D4F"/>
    <w:rsid w:val="00106780"/>
    <w:rsid w:val="001069E7"/>
    <w:rsid w:val="001127D1"/>
    <w:rsid w:val="0011572C"/>
    <w:rsid w:val="00122236"/>
    <w:rsid w:val="001253E7"/>
    <w:rsid w:val="00136F83"/>
    <w:rsid w:val="001407B5"/>
    <w:rsid w:val="001444E3"/>
    <w:rsid w:val="0014506C"/>
    <w:rsid w:val="0014510D"/>
    <w:rsid w:val="00146254"/>
    <w:rsid w:val="001465A7"/>
    <w:rsid w:val="00147EED"/>
    <w:rsid w:val="00151604"/>
    <w:rsid w:val="00153CA7"/>
    <w:rsid w:val="0015407E"/>
    <w:rsid w:val="001565B1"/>
    <w:rsid w:val="001565EE"/>
    <w:rsid w:val="00160E3C"/>
    <w:rsid w:val="00166DA0"/>
    <w:rsid w:val="00167A76"/>
    <w:rsid w:val="00171E35"/>
    <w:rsid w:val="001721EB"/>
    <w:rsid w:val="00172762"/>
    <w:rsid w:val="00173AA9"/>
    <w:rsid w:val="0017464F"/>
    <w:rsid w:val="001761E7"/>
    <w:rsid w:val="00180590"/>
    <w:rsid w:val="0018535A"/>
    <w:rsid w:val="00191008"/>
    <w:rsid w:val="00191CBC"/>
    <w:rsid w:val="00194839"/>
    <w:rsid w:val="00197853"/>
    <w:rsid w:val="001A03E9"/>
    <w:rsid w:val="001A3023"/>
    <w:rsid w:val="001A4444"/>
    <w:rsid w:val="001A53AB"/>
    <w:rsid w:val="001A695F"/>
    <w:rsid w:val="001C41E9"/>
    <w:rsid w:val="001C4490"/>
    <w:rsid w:val="001C4E1C"/>
    <w:rsid w:val="001D1BE8"/>
    <w:rsid w:val="001D2426"/>
    <w:rsid w:val="001D354F"/>
    <w:rsid w:val="001E1F5C"/>
    <w:rsid w:val="001E1F61"/>
    <w:rsid w:val="001E4251"/>
    <w:rsid w:val="001E4CD1"/>
    <w:rsid w:val="001F67B6"/>
    <w:rsid w:val="001F7920"/>
    <w:rsid w:val="001F7DA4"/>
    <w:rsid w:val="002012E8"/>
    <w:rsid w:val="00201E32"/>
    <w:rsid w:val="00203EC7"/>
    <w:rsid w:val="00205CAF"/>
    <w:rsid w:val="00213397"/>
    <w:rsid w:val="00220223"/>
    <w:rsid w:val="002202F7"/>
    <w:rsid w:val="00222862"/>
    <w:rsid w:val="00223CA4"/>
    <w:rsid w:val="00226282"/>
    <w:rsid w:val="002334D9"/>
    <w:rsid w:val="0023574D"/>
    <w:rsid w:val="00236AEF"/>
    <w:rsid w:val="0023743D"/>
    <w:rsid w:val="00237B55"/>
    <w:rsid w:val="00240895"/>
    <w:rsid w:val="002411D2"/>
    <w:rsid w:val="00246BCD"/>
    <w:rsid w:val="00246D04"/>
    <w:rsid w:val="00247BDE"/>
    <w:rsid w:val="0025179C"/>
    <w:rsid w:val="002561F2"/>
    <w:rsid w:val="00257D49"/>
    <w:rsid w:val="002624E0"/>
    <w:rsid w:val="002666C8"/>
    <w:rsid w:val="00271502"/>
    <w:rsid w:val="00272605"/>
    <w:rsid w:val="00277F54"/>
    <w:rsid w:val="00287B47"/>
    <w:rsid w:val="002927D7"/>
    <w:rsid w:val="00293998"/>
    <w:rsid w:val="00293DDA"/>
    <w:rsid w:val="00294547"/>
    <w:rsid w:val="0029543C"/>
    <w:rsid w:val="002A0D91"/>
    <w:rsid w:val="002A2C68"/>
    <w:rsid w:val="002A5654"/>
    <w:rsid w:val="002B307F"/>
    <w:rsid w:val="002B6891"/>
    <w:rsid w:val="002B7F65"/>
    <w:rsid w:val="002C0CD6"/>
    <w:rsid w:val="002C1EB1"/>
    <w:rsid w:val="002C60F5"/>
    <w:rsid w:val="002C7DF0"/>
    <w:rsid w:val="002D0207"/>
    <w:rsid w:val="002D0771"/>
    <w:rsid w:val="002D0FB7"/>
    <w:rsid w:val="002D1053"/>
    <w:rsid w:val="002D1CFA"/>
    <w:rsid w:val="002D6B30"/>
    <w:rsid w:val="002D7BFF"/>
    <w:rsid w:val="002D7E12"/>
    <w:rsid w:val="002E2011"/>
    <w:rsid w:val="002E2799"/>
    <w:rsid w:val="002E5EA3"/>
    <w:rsid w:val="002E6BEF"/>
    <w:rsid w:val="002F070D"/>
    <w:rsid w:val="002F0CE9"/>
    <w:rsid w:val="002F257B"/>
    <w:rsid w:val="002F38C8"/>
    <w:rsid w:val="002F3DCD"/>
    <w:rsid w:val="002F3E37"/>
    <w:rsid w:val="002F4017"/>
    <w:rsid w:val="00302C5C"/>
    <w:rsid w:val="003128A7"/>
    <w:rsid w:val="00314CF9"/>
    <w:rsid w:val="00315976"/>
    <w:rsid w:val="003164A5"/>
    <w:rsid w:val="0032193D"/>
    <w:rsid w:val="00325456"/>
    <w:rsid w:val="00333677"/>
    <w:rsid w:val="00340FA8"/>
    <w:rsid w:val="0034107D"/>
    <w:rsid w:val="00342F6D"/>
    <w:rsid w:val="0035081C"/>
    <w:rsid w:val="00351BE1"/>
    <w:rsid w:val="0035245F"/>
    <w:rsid w:val="00354AA6"/>
    <w:rsid w:val="003664A7"/>
    <w:rsid w:val="00366950"/>
    <w:rsid w:val="0037284D"/>
    <w:rsid w:val="00384F7F"/>
    <w:rsid w:val="003858F9"/>
    <w:rsid w:val="0039161E"/>
    <w:rsid w:val="00393ECF"/>
    <w:rsid w:val="003A1180"/>
    <w:rsid w:val="003A4251"/>
    <w:rsid w:val="003A58E9"/>
    <w:rsid w:val="003B1DF2"/>
    <w:rsid w:val="003B2D88"/>
    <w:rsid w:val="003B3A06"/>
    <w:rsid w:val="003B4EFF"/>
    <w:rsid w:val="003B6C23"/>
    <w:rsid w:val="003C2CEE"/>
    <w:rsid w:val="003C3A84"/>
    <w:rsid w:val="003C49D9"/>
    <w:rsid w:val="003C4AA4"/>
    <w:rsid w:val="003C53B0"/>
    <w:rsid w:val="003C628B"/>
    <w:rsid w:val="003D1DE2"/>
    <w:rsid w:val="003D2892"/>
    <w:rsid w:val="003D75C9"/>
    <w:rsid w:val="003E6583"/>
    <w:rsid w:val="003E7618"/>
    <w:rsid w:val="003F1F0B"/>
    <w:rsid w:val="003F2E93"/>
    <w:rsid w:val="003F4AB1"/>
    <w:rsid w:val="00403B8B"/>
    <w:rsid w:val="00406054"/>
    <w:rsid w:val="004071D5"/>
    <w:rsid w:val="0041371A"/>
    <w:rsid w:val="00414BBB"/>
    <w:rsid w:val="00416C45"/>
    <w:rsid w:val="00420DE6"/>
    <w:rsid w:val="00424EB1"/>
    <w:rsid w:val="00432090"/>
    <w:rsid w:val="0043458C"/>
    <w:rsid w:val="0043460F"/>
    <w:rsid w:val="004411CE"/>
    <w:rsid w:val="00441E83"/>
    <w:rsid w:val="00443C8E"/>
    <w:rsid w:val="0044630A"/>
    <w:rsid w:val="00447E89"/>
    <w:rsid w:val="00462135"/>
    <w:rsid w:val="00462BA7"/>
    <w:rsid w:val="0047234C"/>
    <w:rsid w:val="004728AF"/>
    <w:rsid w:val="00475708"/>
    <w:rsid w:val="00476CF4"/>
    <w:rsid w:val="00482F3F"/>
    <w:rsid w:val="00491015"/>
    <w:rsid w:val="00491D3A"/>
    <w:rsid w:val="004A1C22"/>
    <w:rsid w:val="004A1D0F"/>
    <w:rsid w:val="004A26F0"/>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5581"/>
    <w:rsid w:val="004E5D4A"/>
    <w:rsid w:val="004F27B1"/>
    <w:rsid w:val="004F7121"/>
    <w:rsid w:val="004F75E9"/>
    <w:rsid w:val="00505F4C"/>
    <w:rsid w:val="00507543"/>
    <w:rsid w:val="00513E4D"/>
    <w:rsid w:val="005209EF"/>
    <w:rsid w:val="00527A99"/>
    <w:rsid w:val="00533336"/>
    <w:rsid w:val="00534025"/>
    <w:rsid w:val="0053418A"/>
    <w:rsid w:val="005349DF"/>
    <w:rsid w:val="00540616"/>
    <w:rsid w:val="00540FA3"/>
    <w:rsid w:val="00541F7B"/>
    <w:rsid w:val="0054384D"/>
    <w:rsid w:val="00544E4F"/>
    <w:rsid w:val="0054683C"/>
    <w:rsid w:val="00552412"/>
    <w:rsid w:val="005544E5"/>
    <w:rsid w:val="00554A03"/>
    <w:rsid w:val="00565DA0"/>
    <w:rsid w:val="0057203B"/>
    <w:rsid w:val="00582881"/>
    <w:rsid w:val="00585FC4"/>
    <w:rsid w:val="0059034C"/>
    <w:rsid w:val="00590387"/>
    <w:rsid w:val="00591A0D"/>
    <w:rsid w:val="00592ACC"/>
    <w:rsid w:val="00595C9D"/>
    <w:rsid w:val="00596803"/>
    <w:rsid w:val="005A0ADC"/>
    <w:rsid w:val="005A0E14"/>
    <w:rsid w:val="005A32E2"/>
    <w:rsid w:val="005C5113"/>
    <w:rsid w:val="005C627F"/>
    <w:rsid w:val="005C68DE"/>
    <w:rsid w:val="005D0E10"/>
    <w:rsid w:val="005D3031"/>
    <w:rsid w:val="005E00FF"/>
    <w:rsid w:val="005E205D"/>
    <w:rsid w:val="005E3D7A"/>
    <w:rsid w:val="005F2766"/>
    <w:rsid w:val="005F5A5D"/>
    <w:rsid w:val="0061019C"/>
    <w:rsid w:val="0061023E"/>
    <w:rsid w:val="006111A2"/>
    <w:rsid w:val="00614EDE"/>
    <w:rsid w:val="00620D0A"/>
    <w:rsid w:val="00623C7A"/>
    <w:rsid w:val="006250A6"/>
    <w:rsid w:val="00625A9A"/>
    <w:rsid w:val="0063089C"/>
    <w:rsid w:val="00632747"/>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549"/>
    <w:rsid w:val="00694FF4"/>
    <w:rsid w:val="006969C1"/>
    <w:rsid w:val="00697A99"/>
    <w:rsid w:val="006A07C0"/>
    <w:rsid w:val="006A0FB1"/>
    <w:rsid w:val="006A1BA2"/>
    <w:rsid w:val="006A23D2"/>
    <w:rsid w:val="006A6BAB"/>
    <w:rsid w:val="006B0812"/>
    <w:rsid w:val="006B2988"/>
    <w:rsid w:val="006B4DA3"/>
    <w:rsid w:val="006B67C9"/>
    <w:rsid w:val="006B6C8D"/>
    <w:rsid w:val="006B740C"/>
    <w:rsid w:val="006C2146"/>
    <w:rsid w:val="006C21BC"/>
    <w:rsid w:val="006D219F"/>
    <w:rsid w:val="006D330D"/>
    <w:rsid w:val="006D38C5"/>
    <w:rsid w:val="006D7BFC"/>
    <w:rsid w:val="006E0541"/>
    <w:rsid w:val="006E1236"/>
    <w:rsid w:val="006E4870"/>
    <w:rsid w:val="006F51A0"/>
    <w:rsid w:val="006F5633"/>
    <w:rsid w:val="006F7E7E"/>
    <w:rsid w:val="00705B8A"/>
    <w:rsid w:val="00705EF6"/>
    <w:rsid w:val="00713A40"/>
    <w:rsid w:val="00715EFB"/>
    <w:rsid w:val="00720420"/>
    <w:rsid w:val="007219A4"/>
    <w:rsid w:val="00721BE2"/>
    <w:rsid w:val="00724F5C"/>
    <w:rsid w:val="00727BD0"/>
    <w:rsid w:val="00732778"/>
    <w:rsid w:val="00732EF8"/>
    <w:rsid w:val="00734F22"/>
    <w:rsid w:val="00735EB4"/>
    <w:rsid w:val="00741238"/>
    <w:rsid w:val="007421EE"/>
    <w:rsid w:val="00742E4A"/>
    <w:rsid w:val="00743177"/>
    <w:rsid w:val="007444EE"/>
    <w:rsid w:val="0074640C"/>
    <w:rsid w:val="00746F2D"/>
    <w:rsid w:val="00746FB3"/>
    <w:rsid w:val="00752326"/>
    <w:rsid w:val="00753223"/>
    <w:rsid w:val="00754227"/>
    <w:rsid w:val="00770AE4"/>
    <w:rsid w:val="00771B8A"/>
    <w:rsid w:val="00772128"/>
    <w:rsid w:val="007741C9"/>
    <w:rsid w:val="007757C7"/>
    <w:rsid w:val="007848F7"/>
    <w:rsid w:val="00785339"/>
    <w:rsid w:val="007858E4"/>
    <w:rsid w:val="00787D7E"/>
    <w:rsid w:val="00793FDC"/>
    <w:rsid w:val="007947E8"/>
    <w:rsid w:val="00795D57"/>
    <w:rsid w:val="00796131"/>
    <w:rsid w:val="007A391A"/>
    <w:rsid w:val="007A7C7C"/>
    <w:rsid w:val="007B5DA8"/>
    <w:rsid w:val="007B686A"/>
    <w:rsid w:val="007B6A7D"/>
    <w:rsid w:val="007C4A34"/>
    <w:rsid w:val="007C4BA5"/>
    <w:rsid w:val="007D0BA9"/>
    <w:rsid w:val="007D6A4D"/>
    <w:rsid w:val="007D7E6B"/>
    <w:rsid w:val="007E1038"/>
    <w:rsid w:val="007E129F"/>
    <w:rsid w:val="007E4C07"/>
    <w:rsid w:val="007F2F33"/>
    <w:rsid w:val="007F38FD"/>
    <w:rsid w:val="007F3B72"/>
    <w:rsid w:val="007F5FDB"/>
    <w:rsid w:val="00800313"/>
    <w:rsid w:val="00802DB3"/>
    <w:rsid w:val="00804C60"/>
    <w:rsid w:val="0081083B"/>
    <w:rsid w:val="008114AC"/>
    <w:rsid w:val="008148CC"/>
    <w:rsid w:val="00814EE3"/>
    <w:rsid w:val="008204EF"/>
    <w:rsid w:val="008225BA"/>
    <w:rsid w:val="00840AC4"/>
    <w:rsid w:val="0084305D"/>
    <w:rsid w:val="00845659"/>
    <w:rsid w:val="008463AB"/>
    <w:rsid w:val="00847288"/>
    <w:rsid w:val="008502BB"/>
    <w:rsid w:val="0086025A"/>
    <w:rsid w:val="00861A27"/>
    <w:rsid w:val="00861D2F"/>
    <w:rsid w:val="00872EFD"/>
    <w:rsid w:val="00873223"/>
    <w:rsid w:val="00876D90"/>
    <w:rsid w:val="00880F34"/>
    <w:rsid w:val="00886B3C"/>
    <w:rsid w:val="00887460"/>
    <w:rsid w:val="00891C98"/>
    <w:rsid w:val="008962AE"/>
    <w:rsid w:val="00897638"/>
    <w:rsid w:val="008B0F10"/>
    <w:rsid w:val="008B1294"/>
    <w:rsid w:val="008B1447"/>
    <w:rsid w:val="008B19BA"/>
    <w:rsid w:val="008B251F"/>
    <w:rsid w:val="008B4B3A"/>
    <w:rsid w:val="008B5E31"/>
    <w:rsid w:val="008B6937"/>
    <w:rsid w:val="008C0DE4"/>
    <w:rsid w:val="008C0E7E"/>
    <w:rsid w:val="008C0EB9"/>
    <w:rsid w:val="008C1102"/>
    <w:rsid w:val="008C26F9"/>
    <w:rsid w:val="008C409A"/>
    <w:rsid w:val="008C60E1"/>
    <w:rsid w:val="008D1149"/>
    <w:rsid w:val="008D2794"/>
    <w:rsid w:val="008D4ADD"/>
    <w:rsid w:val="008D509E"/>
    <w:rsid w:val="008D5268"/>
    <w:rsid w:val="008E17AF"/>
    <w:rsid w:val="008E2DA6"/>
    <w:rsid w:val="008E5E6A"/>
    <w:rsid w:val="008F4B8A"/>
    <w:rsid w:val="009014AC"/>
    <w:rsid w:val="0090320C"/>
    <w:rsid w:val="009032D5"/>
    <w:rsid w:val="00903DEB"/>
    <w:rsid w:val="00905C5F"/>
    <w:rsid w:val="00922B3A"/>
    <w:rsid w:val="00923438"/>
    <w:rsid w:val="00923446"/>
    <w:rsid w:val="009246B9"/>
    <w:rsid w:val="0093565E"/>
    <w:rsid w:val="009401BC"/>
    <w:rsid w:val="00943B5C"/>
    <w:rsid w:val="009442DF"/>
    <w:rsid w:val="009446F0"/>
    <w:rsid w:val="00950BD4"/>
    <w:rsid w:val="0095579B"/>
    <w:rsid w:val="00964CC6"/>
    <w:rsid w:val="00967D26"/>
    <w:rsid w:val="009703F5"/>
    <w:rsid w:val="00973D69"/>
    <w:rsid w:val="00984F54"/>
    <w:rsid w:val="00985EFA"/>
    <w:rsid w:val="00986BF6"/>
    <w:rsid w:val="0099015D"/>
    <w:rsid w:val="009907A8"/>
    <w:rsid w:val="00990AFE"/>
    <w:rsid w:val="00993315"/>
    <w:rsid w:val="00994A21"/>
    <w:rsid w:val="009A14AE"/>
    <w:rsid w:val="009A22B9"/>
    <w:rsid w:val="009B2568"/>
    <w:rsid w:val="009B3E5E"/>
    <w:rsid w:val="009B4D60"/>
    <w:rsid w:val="009B4F62"/>
    <w:rsid w:val="009C307F"/>
    <w:rsid w:val="009C43B4"/>
    <w:rsid w:val="009C4CF0"/>
    <w:rsid w:val="009D075B"/>
    <w:rsid w:val="009D2551"/>
    <w:rsid w:val="009E03E0"/>
    <w:rsid w:val="009F3E43"/>
    <w:rsid w:val="009F58C4"/>
    <w:rsid w:val="009F7B75"/>
    <w:rsid w:val="00A00535"/>
    <w:rsid w:val="00A03605"/>
    <w:rsid w:val="00A03E89"/>
    <w:rsid w:val="00A07982"/>
    <w:rsid w:val="00A114D6"/>
    <w:rsid w:val="00A12C83"/>
    <w:rsid w:val="00A12C89"/>
    <w:rsid w:val="00A13797"/>
    <w:rsid w:val="00A234ED"/>
    <w:rsid w:val="00A2762E"/>
    <w:rsid w:val="00A411A9"/>
    <w:rsid w:val="00A457D0"/>
    <w:rsid w:val="00A516C7"/>
    <w:rsid w:val="00A51F19"/>
    <w:rsid w:val="00A61B22"/>
    <w:rsid w:val="00A63DCC"/>
    <w:rsid w:val="00A64E60"/>
    <w:rsid w:val="00A72239"/>
    <w:rsid w:val="00A75E5A"/>
    <w:rsid w:val="00A76B39"/>
    <w:rsid w:val="00A7762D"/>
    <w:rsid w:val="00A80283"/>
    <w:rsid w:val="00A806CF"/>
    <w:rsid w:val="00A95630"/>
    <w:rsid w:val="00A97847"/>
    <w:rsid w:val="00A97C99"/>
    <w:rsid w:val="00AA735D"/>
    <w:rsid w:val="00AB1AC5"/>
    <w:rsid w:val="00AB277A"/>
    <w:rsid w:val="00AB3BF6"/>
    <w:rsid w:val="00AB44A9"/>
    <w:rsid w:val="00AB45ED"/>
    <w:rsid w:val="00AB5679"/>
    <w:rsid w:val="00AC16AF"/>
    <w:rsid w:val="00AC17C1"/>
    <w:rsid w:val="00AC590B"/>
    <w:rsid w:val="00AC7994"/>
    <w:rsid w:val="00AD0AE0"/>
    <w:rsid w:val="00AD3238"/>
    <w:rsid w:val="00AD374A"/>
    <w:rsid w:val="00AE2924"/>
    <w:rsid w:val="00AE2DAE"/>
    <w:rsid w:val="00AE48D4"/>
    <w:rsid w:val="00AF03FD"/>
    <w:rsid w:val="00AF2B1C"/>
    <w:rsid w:val="00B054C8"/>
    <w:rsid w:val="00B06283"/>
    <w:rsid w:val="00B0685D"/>
    <w:rsid w:val="00B07ECE"/>
    <w:rsid w:val="00B07F0A"/>
    <w:rsid w:val="00B105AD"/>
    <w:rsid w:val="00B114CD"/>
    <w:rsid w:val="00B11571"/>
    <w:rsid w:val="00B14F89"/>
    <w:rsid w:val="00B2208A"/>
    <w:rsid w:val="00B34D17"/>
    <w:rsid w:val="00B35B61"/>
    <w:rsid w:val="00B4006F"/>
    <w:rsid w:val="00B42559"/>
    <w:rsid w:val="00B44523"/>
    <w:rsid w:val="00B44BB1"/>
    <w:rsid w:val="00B461DC"/>
    <w:rsid w:val="00B511FB"/>
    <w:rsid w:val="00B546B7"/>
    <w:rsid w:val="00B56D7D"/>
    <w:rsid w:val="00B60E75"/>
    <w:rsid w:val="00B628F1"/>
    <w:rsid w:val="00B6329B"/>
    <w:rsid w:val="00B63E3C"/>
    <w:rsid w:val="00B6522A"/>
    <w:rsid w:val="00B67695"/>
    <w:rsid w:val="00B71804"/>
    <w:rsid w:val="00B73881"/>
    <w:rsid w:val="00B74207"/>
    <w:rsid w:val="00B74BFD"/>
    <w:rsid w:val="00B74D71"/>
    <w:rsid w:val="00B75E4E"/>
    <w:rsid w:val="00B75E90"/>
    <w:rsid w:val="00B775DB"/>
    <w:rsid w:val="00B821DD"/>
    <w:rsid w:val="00B8269E"/>
    <w:rsid w:val="00B837AD"/>
    <w:rsid w:val="00B83BA0"/>
    <w:rsid w:val="00B845A1"/>
    <w:rsid w:val="00B87BAC"/>
    <w:rsid w:val="00B92519"/>
    <w:rsid w:val="00B934E6"/>
    <w:rsid w:val="00B958C9"/>
    <w:rsid w:val="00B9678D"/>
    <w:rsid w:val="00BA459C"/>
    <w:rsid w:val="00BA684F"/>
    <w:rsid w:val="00BA6E73"/>
    <w:rsid w:val="00BA79C8"/>
    <w:rsid w:val="00BB521A"/>
    <w:rsid w:val="00BB5CD1"/>
    <w:rsid w:val="00BC1671"/>
    <w:rsid w:val="00BC2AFB"/>
    <w:rsid w:val="00BC3980"/>
    <w:rsid w:val="00BD0EE6"/>
    <w:rsid w:val="00BD26F5"/>
    <w:rsid w:val="00BD2994"/>
    <w:rsid w:val="00BD2A57"/>
    <w:rsid w:val="00BD3521"/>
    <w:rsid w:val="00BE1FBF"/>
    <w:rsid w:val="00BE2858"/>
    <w:rsid w:val="00BE399B"/>
    <w:rsid w:val="00BF1A9B"/>
    <w:rsid w:val="00BF2629"/>
    <w:rsid w:val="00BF2953"/>
    <w:rsid w:val="00BF41E9"/>
    <w:rsid w:val="00BF6A48"/>
    <w:rsid w:val="00BF6F2A"/>
    <w:rsid w:val="00C00093"/>
    <w:rsid w:val="00C01611"/>
    <w:rsid w:val="00C02FC7"/>
    <w:rsid w:val="00C06D6D"/>
    <w:rsid w:val="00C10A96"/>
    <w:rsid w:val="00C14765"/>
    <w:rsid w:val="00C1601D"/>
    <w:rsid w:val="00C2267F"/>
    <w:rsid w:val="00C413D4"/>
    <w:rsid w:val="00C51C25"/>
    <w:rsid w:val="00C559E8"/>
    <w:rsid w:val="00C55B07"/>
    <w:rsid w:val="00C57A71"/>
    <w:rsid w:val="00C83D23"/>
    <w:rsid w:val="00C86D23"/>
    <w:rsid w:val="00C92787"/>
    <w:rsid w:val="00CA2F24"/>
    <w:rsid w:val="00CA4236"/>
    <w:rsid w:val="00CA4688"/>
    <w:rsid w:val="00CB3863"/>
    <w:rsid w:val="00CB62C5"/>
    <w:rsid w:val="00CC05DE"/>
    <w:rsid w:val="00CC446C"/>
    <w:rsid w:val="00CC4527"/>
    <w:rsid w:val="00CC7D22"/>
    <w:rsid w:val="00CF055F"/>
    <w:rsid w:val="00CF3DAF"/>
    <w:rsid w:val="00CF44A4"/>
    <w:rsid w:val="00CF4B56"/>
    <w:rsid w:val="00CF5D21"/>
    <w:rsid w:val="00D10976"/>
    <w:rsid w:val="00D12C38"/>
    <w:rsid w:val="00D13238"/>
    <w:rsid w:val="00D14026"/>
    <w:rsid w:val="00D223EC"/>
    <w:rsid w:val="00D33385"/>
    <w:rsid w:val="00D347EE"/>
    <w:rsid w:val="00D35C5E"/>
    <w:rsid w:val="00D43347"/>
    <w:rsid w:val="00D441A1"/>
    <w:rsid w:val="00D45408"/>
    <w:rsid w:val="00D52D9E"/>
    <w:rsid w:val="00D5546B"/>
    <w:rsid w:val="00D600FE"/>
    <w:rsid w:val="00D609BB"/>
    <w:rsid w:val="00D63A1F"/>
    <w:rsid w:val="00D63DE6"/>
    <w:rsid w:val="00D63FEC"/>
    <w:rsid w:val="00D70EF7"/>
    <w:rsid w:val="00D763CF"/>
    <w:rsid w:val="00D806AD"/>
    <w:rsid w:val="00D914D4"/>
    <w:rsid w:val="00D94A3F"/>
    <w:rsid w:val="00DA1097"/>
    <w:rsid w:val="00DA1867"/>
    <w:rsid w:val="00DA67C5"/>
    <w:rsid w:val="00DA7481"/>
    <w:rsid w:val="00DA759A"/>
    <w:rsid w:val="00DB239D"/>
    <w:rsid w:val="00DB42F2"/>
    <w:rsid w:val="00DB4880"/>
    <w:rsid w:val="00DB7C50"/>
    <w:rsid w:val="00DB7F40"/>
    <w:rsid w:val="00DB7F55"/>
    <w:rsid w:val="00DC0A8F"/>
    <w:rsid w:val="00DC34A0"/>
    <w:rsid w:val="00DC3DA7"/>
    <w:rsid w:val="00DC4550"/>
    <w:rsid w:val="00DC7034"/>
    <w:rsid w:val="00DD1A55"/>
    <w:rsid w:val="00DD4453"/>
    <w:rsid w:val="00DD4D7B"/>
    <w:rsid w:val="00DD574C"/>
    <w:rsid w:val="00DD6159"/>
    <w:rsid w:val="00DD7D52"/>
    <w:rsid w:val="00DE1119"/>
    <w:rsid w:val="00DE6465"/>
    <w:rsid w:val="00DF29D2"/>
    <w:rsid w:val="00DF37F2"/>
    <w:rsid w:val="00DF799A"/>
    <w:rsid w:val="00E04437"/>
    <w:rsid w:val="00E04666"/>
    <w:rsid w:val="00E07DEA"/>
    <w:rsid w:val="00E11D72"/>
    <w:rsid w:val="00E1574F"/>
    <w:rsid w:val="00E16C65"/>
    <w:rsid w:val="00E24012"/>
    <w:rsid w:val="00E24283"/>
    <w:rsid w:val="00E2469B"/>
    <w:rsid w:val="00E2493C"/>
    <w:rsid w:val="00E26D7E"/>
    <w:rsid w:val="00E30168"/>
    <w:rsid w:val="00E31885"/>
    <w:rsid w:val="00E32976"/>
    <w:rsid w:val="00E3741F"/>
    <w:rsid w:val="00E4068E"/>
    <w:rsid w:val="00E51EA2"/>
    <w:rsid w:val="00E5202D"/>
    <w:rsid w:val="00E52901"/>
    <w:rsid w:val="00E53313"/>
    <w:rsid w:val="00E62B05"/>
    <w:rsid w:val="00E6518A"/>
    <w:rsid w:val="00E67180"/>
    <w:rsid w:val="00E70B5F"/>
    <w:rsid w:val="00E72E8C"/>
    <w:rsid w:val="00E7327E"/>
    <w:rsid w:val="00E74675"/>
    <w:rsid w:val="00E75B56"/>
    <w:rsid w:val="00E76958"/>
    <w:rsid w:val="00E7723C"/>
    <w:rsid w:val="00E81056"/>
    <w:rsid w:val="00E92FE9"/>
    <w:rsid w:val="00E94280"/>
    <w:rsid w:val="00E97D42"/>
    <w:rsid w:val="00EA2F07"/>
    <w:rsid w:val="00EA541A"/>
    <w:rsid w:val="00EB10D8"/>
    <w:rsid w:val="00EB1572"/>
    <w:rsid w:val="00EB1F5D"/>
    <w:rsid w:val="00EB4DC6"/>
    <w:rsid w:val="00EB7FC0"/>
    <w:rsid w:val="00EC562B"/>
    <w:rsid w:val="00EC5657"/>
    <w:rsid w:val="00EC6B8F"/>
    <w:rsid w:val="00ED0CF5"/>
    <w:rsid w:val="00ED194B"/>
    <w:rsid w:val="00ED7BBA"/>
    <w:rsid w:val="00EE0656"/>
    <w:rsid w:val="00EE37DB"/>
    <w:rsid w:val="00EF7170"/>
    <w:rsid w:val="00F07162"/>
    <w:rsid w:val="00F07D24"/>
    <w:rsid w:val="00F12770"/>
    <w:rsid w:val="00F14E9B"/>
    <w:rsid w:val="00F157E5"/>
    <w:rsid w:val="00F17BC5"/>
    <w:rsid w:val="00F21A4C"/>
    <w:rsid w:val="00F2312F"/>
    <w:rsid w:val="00F25DD5"/>
    <w:rsid w:val="00F263CD"/>
    <w:rsid w:val="00F27CB5"/>
    <w:rsid w:val="00F31686"/>
    <w:rsid w:val="00F31F4A"/>
    <w:rsid w:val="00F3641B"/>
    <w:rsid w:val="00F4526C"/>
    <w:rsid w:val="00F51115"/>
    <w:rsid w:val="00F522D7"/>
    <w:rsid w:val="00F65680"/>
    <w:rsid w:val="00F70FFE"/>
    <w:rsid w:val="00F7184A"/>
    <w:rsid w:val="00F824D6"/>
    <w:rsid w:val="00F92967"/>
    <w:rsid w:val="00FA7CFE"/>
    <w:rsid w:val="00FB1095"/>
    <w:rsid w:val="00FB1587"/>
    <w:rsid w:val="00FB7013"/>
    <w:rsid w:val="00FC099C"/>
    <w:rsid w:val="00FC66DA"/>
    <w:rsid w:val="00FD2956"/>
    <w:rsid w:val="00FD2D27"/>
    <w:rsid w:val="00FD67E7"/>
    <w:rsid w:val="00FE0717"/>
    <w:rsid w:val="00FE2EFA"/>
    <w:rsid w:val="00FE3104"/>
    <w:rsid w:val="00FE31A3"/>
    <w:rsid w:val="00FE51EC"/>
    <w:rsid w:val="00FE6082"/>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E54265E9-F22F-48C6-B5AF-8EC5ECE4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C559E8"/>
    <w:pPr>
      <w:jc w:val="both"/>
    </w:pPr>
    <w:rPr>
      <w:sz w:val="20"/>
      <w:szCs w:val="20"/>
      <w:lang w:val="en-US"/>
    </w:rPr>
  </w:style>
  <w:style w:type="paragraph" w:customStyle="1" w:styleId="Titulodeartculo">
    <w:name w:val="Titulo de artículo"/>
    <w:basedOn w:val="Normal"/>
    <w:link w:val="TitulodeartculoCar"/>
    <w:autoRedefine/>
    <w:qFormat/>
    <w:rsid w:val="00984F54"/>
    <w:pPr>
      <w:jc w:val="center"/>
      <w:outlineLvl w:val="0"/>
    </w:pPr>
    <w:rPr>
      <w:b/>
      <w:noProof/>
      <w:sz w:val="44"/>
      <w:szCs w:val="44"/>
      <w:lang w:val="pt-PT" w:eastAsia="en-US"/>
    </w:rPr>
  </w:style>
  <w:style w:type="character" w:customStyle="1" w:styleId="TitulodeartculoCar">
    <w:name w:val="Titulo de artículo Car"/>
    <w:basedOn w:val="Fuentedeprrafopredeter"/>
    <w:link w:val="Titulodeartculo"/>
    <w:rsid w:val="00984F54"/>
    <w:rPr>
      <w:rFonts w:ascii="Times New Roman" w:eastAsia="Times New Roman" w:hAnsi="Times New Roman" w:cs="Times New Roman"/>
      <w:b/>
      <w:noProof/>
      <w:sz w:val="44"/>
      <w:szCs w:val="44"/>
      <w:lang w:val="pt-PT"/>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B0685D"/>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B0685D"/>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533336"/>
    <w:pPr>
      <w:spacing w:before="100" w:beforeAutospacing="1" w:after="100" w:afterAutospacing="1"/>
      <w:jc w:val="center"/>
      <w:outlineLvl w:val="0"/>
    </w:pPr>
    <w:rPr>
      <w:b/>
      <w:lang w:val="pt-BR" w:eastAsia="en-US"/>
    </w:rPr>
  </w:style>
  <w:style w:type="character" w:customStyle="1" w:styleId="TtulosinternosCar">
    <w:name w:val="Títulos internos Car"/>
    <w:basedOn w:val="Fuentedeprrafopredeter"/>
    <w:link w:val="Ttulosinternos"/>
    <w:rsid w:val="00533336"/>
    <w:rPr>
      <w:rFonts w:ascii="Times New Roman" w:eastAsia="Times New Roman" w:hAnsi="Times New Roman" w:cs="Times New Roman"/>
      <w:b/>
      <w:lang w:val="pt-BR"/>
    </w:rPr>
  </w:style>
  <w:style w:type="paragraph" w:customStyle="1" w:styleId="SubtituloInterno">
    <w:name w:val="Subtitulo Interno"/>
    <w:basedOn w:val="Normal"/>
    <w:link w:val="SubtituloInternoCar"/>
    <w:autoRedefine/>
    <w:qFormat/>
    <w:rsid w:val="001A03E9"/>
    <w:pPr>
      <w:spacing w:before="100" w:beforeAutospacing="1" w:after="100" w:afterAutospacing="1" w:line="360" w:lineRule="auto"/>
      <w:contextualSpacing/>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1A03E9"/>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val="es-AR"/>
    </w:rPr>
  </w:style>
  <w:style w:type="table" w:customStyle="1" w:styleId="TableNormal1">
    <w:name w:val="Table Normal1"/>
    <w:uiPriority w:val="2"/>
    <w:qFormat/>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paragraph" w:customStyle="1" w:styleId="SubtituloInternonivel2">
    <w:name w:val="Subtitulo Interno nivel 2"/>
    <w:basedOn w:val="SubtituloInterno"/>
    <w:qFormat/>
    <w:rsid w:val="00BE2858"/>
    <w:pPr>
      <w:outlineLvl w:val="2"/>
    </w:pPr>
    <w:rPr>
      <w:b w:val="0"/>
      <w:bCs/>
    </w:rPr>
  </w:style>
  <w:style w:type="paragraph" w:customStyle="1" w:styleId="Standard">
    <w:name w:val="Standard"/>
    <w:rsid w:val="003F4AB1"/>
    <w:pPr>
      <w:suppressAutoHyphens/>
      <w:autoSpaceDN w:val="0"/>
      <w:textAlignment w:val="baseline"/>
    </w:pPr>
    <w:rPr>
      <w:rFonts w:ascii="Times New Roman" w:eastAsia="Times New Roman" w:hAnsi="Times New Roman" w:cs="Times New Roman"/>
      <w:kern w:val="3"/>
      <w:lang w:val="pt-BR" w:eastAsia="zh-CN"/>
    </w:rPr>
  </w:style>
  <w:style w:type="character" w:customStyle="1" w:styleId="Tipodeletrapredefinidodopargrafo">
    <w:name w:val="Tipo de letra predefinido do parágrafo"/>
    <w:rsid w:val="003F4AB1"/>
  </w:style>
  <w:style w:type="numbering" w:customStyle="1" w:styleId="WW8Num2">
    <w:name w:val="WW8Num2"/>
    <w:basedOn w:val="Sinlista"/>
    <w:rsid w:val="00A806CF"/>
    <w:pPr>
      <w:numPr>
        <w:numId w:val="1"/>
      </w:numPr>
    </w:pPr>
  </w:style>
  <w:style w:type="character" w:customStyle="1" w:styleId="WW8Num15z0">
    <w:name w:val="WW8Num15z0"/>
    <w:rsid w:val="00A806CF"/>
  </w:style>
  <w:style w:type="table" w:styleId="Tablanormal4">
    <w:name w:val="Plain Table 4"/>
    <w:basedOn w:val="Tablanormal"/>
    <w:uiPriority w:val="99"/>
    <w:rsid w:val="009B256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35245F"/>
    <w:pPr>
      <w:widowControl w:val="0"/>
      <w:autoSpaceDE w:val="0"/>
      <w:autoSpaceDN w:val="0"/>
    </w:pPr>
    <w:rPr>
      <w:sz w:val="22"/>
      <w:szCs w:val="22"/>
      <w:lang w:val="pt-PT" w:eastAsia="en-US"/>
    </w:rPr>
  </w:style>
  <w:style w:type="numbering" w:customStyle="1" w:styleId="EstiloImportado1">
    <w:name w:val="Estilo Importado 1"/>
    <w:rsid w:val="001A03E9"/>
    <w:pPr>
      <w:numPr>
        <w:numId w:val="2"/>
      </w:numPr>
    </w:pPr>
  </w:style>
  <w:style w:type="table" w:customStyle="1" w:styleId="TableNormal">
    <w:name w:val="Table Normal"/>
    <w:rsid w:val="001A03E9"/>
    <w:pPr>
      <w:pBdr>
        <w:top w:val="nil"/>
        <w:left w:val="nil"/>
        <w:bottom w:val="nil"/>
        <w:right w:val="nil"/>
        <w:between w:val="nil"/>
        <w:bar w:val="nil"/>
      </w:pBdr>
    </w:pPr>
    <w:rPr>
      <w:rFonts w:ascii="Times New Roman" w:eastAsia="Arial Unicode MS" w:hAnsi="Times New Roman" w:cs="Times New Roman"/>
      <w:sz w:val="20"/>
      <w:szCs w:val="20"/>
      <w:bdr w:val="nil"/>
      <w:lang w:val="pt-BR" w:eastAsia="pt-BR"/>
    </w:rPr>
    <w:tblPr>
      <w:tblInd w:w="0" w:type="dxa"/>
      <w:tblCellMar>
        <w:top w:w="0" w:type="dxa"/>
        <w:left w:w="0" w:type="dxa"/>
        <w:bottom w:w="0" w:type="dxa"/>
        <w:right w:w="0" w:type="dxa"/>
      </w:tblCellMar>
    </w:tblPr>
  </w:style>
  <w:style w:type="paragraph" w:customStyle="1" w:styleId="Corpo">
    <w:name w:val="Corpo"/>
    <w:rsid w:val="001A03E9"/>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pt-BR" w:eastAsia="pt-BR"/>
      <w14:textOutline w14:w="0" w14:cap="flat" w14:cmpd="sng" w14:algn="ctr">
        <w14:noFill/>
        <w14:prstDash w14:val="solid"/>
        <w14:bevel/>
      </w14:textOutline>
    </w:rPr>
  </w:style>
  <w:style w:type="character" w:customStyle="1" w:styleId="normaltextrun">
    <w:name w:val="normaltextrun"/>
    <w:basedOn w:val="Fuentedeprrafopredeter"/>
    <w:rsid w:val="00106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8646796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25663215">
      <w:bodyDiv w:val="1"/>
      <w:marLeft w:val="0"/>
      <w:marRight w:val="0"/>
      <w:marTop w:val="0"/>
      <w:marBottom w:val="0"/>
      <w:divBdr>
        <w:top w:val="none" w:sz="0" w:space="0" w:color="auto"/>
        <w:left w:val="none" w:sz="0" w:space="0" w:color="auto"/>
        <w:bottom w:val="none" w:sz="0" w:space="0" w:color="auto"/>
        <w:right w:val="none" w:sz="0" w:space="0" w:color="auto"/>
      </w:divBdr>
    </w:div>
    <w:div w:id="130632984">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00240819">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84035">
      <w:bodyDiv w:val="1"/>
      <w:marLeft w:val="0"/>
      <w:marRight w:val="0"/>
      <w:marTop w:val="0"/>
      <w:marBottom w:val="0"/>
      <w:divBdr>
        <w:top w:val="none" w:sz="0" w:space="0" w:color="auto"/>
        <w:left w:val="none" w:sz="0" w:space="0" w:color="auto"/>
        <w:bottom w:val="none" w:sz="0" w:space="0" w:color="auto"/>
        <w:right w:val="none" w:sz="0" w:space="0" w:color="auto"/>
      </w:divBdr>
    </w:div>
    <w:div w:id="648755548">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11614194">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0918197">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885065146">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075781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2362636">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60357418">
      <w:bodyDiv w:val="1"/>
      <w:marLeft w:val="0"/>
      <w:marRight w:val="0"/>
      <w:marTop w:val="0"/>
      <w:marBottom w:val="0"/>
      <w:divBdr>
        <w:top w:val="none" w:sz="0" w:space="0" w:color="auto"/>
        <w:left w:val="none" w:sz="0" w:space="0" w:color="auto"/>
        <w:bottom w:val="none" w:sz="0" w:space="0" w:color="auto"/>
        <w:right w:val="none" w:sz="0" w:space="0" w:color="auto"/>
      </w:divBdr>
      <w:divsChild>
        <w:div w:id="823163386">
          <w:marLeft w:val="0"/>
          <w:marRight w:val="0"/>
          <w:marTop w:val="0"/>
          <w:marBottom w:val="0"/>
          <w:divBdr>
            <w:top w:val="none" w:sz="0" w:space="0" w:color="auto"/>
            <w:left w:val="none" w:sz="0" w:space="0" w:color="auto"/>
            <w:bottom w:val="none" w:sz="0" w:space="0" w:color="auto"/>
            <w:right w:val="none" w:sz="0" w:space="0" w:color="auto"/>
          </w:divBdr>
          <w:divsChild>
            <w:div w:id="999578928">
              <w:marLeft w:val="0"/>
              <w:marRight w:val="0"/>
              <w:marTop w:val="0"/>
              <w:marBottom w:val="0"/>
              <w:divBdr>
                <w:top w:val="none" w:sz="0" w:space="0" w:color="auto"/>
                <w:left w:val="none" w:sz="0" w:space="0" w:color="auto"/>
                <w:bottom w:val="none" w:sz="0" w:space="0" w:color="auto"/>
                <w:right w:val="none" w:sz="0" w:space="0" w:color="auto"/>
              </w:divBdr>
            </w:div>
          </w:divsChild>
        </w:div>
        <w:div w:id="149640961">
          <w:marLeft w:val="0"/>
          <w:marRight w:val="0"/>
          <w:marTop w:val="0"/>
          <w:marBottom w:val="0"/>
          <w:divBdr>
            <w:top w:val="none" w:sz="0" w:space="0" w:color="auto"/>
            <w:left w:val="none" w:sz="0" w:space="0" w:color="auto"/>
            <w:bottom w:val="none" w:sz="0" w:space="0" w:color="auto"/>
            <w:right w:val="none" w:sz="0" w:space="0" w:color="auto"/>
          </w:divBdr>
          <w:divsChild>
            <w:div w:id="325862598">
              <w:marLeft w:val="0"/>
              <w:marRight w:val="0"/>
              <w:marTop w:val="0"/>
              <w:marBottom w:val="0"/>
              <w:divBdr>
                <w:top w:val="none" w:sz="0" w:space="0" w:color="auto"/>
                <w:left w:val="none" w:sz="0" w:space="0" w:color="auto"/>
                <w:bottom w:val="none" w:sz="0" w:space="0" w:color="auto"/>
                <w:right w:val="none" w:sz="0" w:space="0" w:color="auto"/>
              </w:divBdr>
            </w:div>
          </w:divsChild>
        </w:div>
        <w:div w:id="1482310873">
          <w:marLeft w:val="0"/>
          <w:marRight w:val="0"/>
          <w:marTop w:val="0"/>
          <w:marBottom w:val="0"/>
          <w:divBdr>
            <w:top w:val="none" w:sz="0" w:space="0" w:color="auto"/>
            <w:left w:val="none" w:sz="0" w:space="0" w:color="auto"/>
            <w:bottom w:val="none" w:sz="0" w:space="0" w:color="auto"/>
            <w:right w:val="none" w:sz="0" w:space="0" w:color="auto"/>
          </w:divBdr>
          <w:divsChild>
            <w:div w:id="1776053678">
              <w:marLeft w:val="0"/>
              <w:marRight w:val="0"/>
              <w:marTop w:val="0"/>
              <w:marBottom w:val="0"/>
              <w:divBdr>
                <w:top w:val="none" w:sz="0" w:space="0" w:color="auto"/>
                <w:left w:val="none" w:sz="0" w:space="0" w:color="auto"/>
                <w:bottom w:val="none" w:sz="0" w:space="0" w:color="auto"/>
                <w:right w:val="none" w:sz="0" w:space="0" w:color="auto"/>
              </w:divBdr>
            </w:div>
          </w:divsChild>
        </w:div>
        <w:div w:id="1068766478">
          <w:marLeft w:val="0"/>
          <w:marRight w:val="0"/>
          <w:marTop w:val="0"/>
          <w:marBottom w:val="0"/>
          <w:divBdr>
            <w:top w:val="none" w:sz="0" w:space="0" w:color="auto"/>
            <w:left w:val="none" w:sz="0" w:space="0" w:color="auto"/>
            <w:bottom w:val="none" w:sz="0" w:space="0" w:color="auto"/>
            <w:right w:val="none" w:sz="0" w:space="0" w:color="auto"/>
          </w:divBdr>
          <w:divsChild>
            <w:div w:id="13231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8842622">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48371609">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66028852">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orcid.org/0000-0003-0149-6450" TargetMode="External"/><Relationship Id="rId26" Type="http://schemas.openxmlformats.org/officeDocument/2006/relationships/hyperlink" Target="https://doi.org/10.4324/9781315666648-8" TargetMode="External"/><Relationship Id="rId39" Type="http://schemas.openxmlformats.org/officeDocument/2006/relationships/hyperlink" Target="https://doi.org/10.1348/014466605X27162" TargetMode="External"/><Relationship Id="rId21" Type="http://schemas.openxmlformats.org/officeDocument/2006/relationships/image" Target="media/image4.svg"/><Relationship Id="rId34" Type="http://schemas.openxmlformats.org/officeDocument/2006/relationships/hyperlink" Target="https://doi.org/10.1002/casp.2276" TargetMode="External"/><Relationship Id="rId42" Type="http://schemas.openxmlformats.org/officeDocument/2006/relationships/hyperlink" Target="https://doi.org/10.30849/ripijp.v57i3.1743"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2-9632-3693" TargetMode="External"/><Relationship Id="rId29" Type="http://schemas.openxmlformats.org/officeDocument/2006/relationships/hyperlink" Target="http://hdl.handle.net/1822/58927" TargetMode="External"/><Relationship Id="rId11" Type="http://schemas.openxmlformats.org/officeDocument/2006/relationships/hyperlink" Target="https://orcid.org/0000-0002-6131-9264" TargetMode="External"/><Relationship Id="rId24" Type="http://schemas.openxmlformats.org/officeDocument/2006/relationships/hyperlink" Target="https://doi.org/10.1016/j.ijintrel.2017.10.003" TargetMode="External"/><Relationship Id="rId32" Type="http://schemas.openxmlformats.org/officeDocument/2006/relationships/hyperlink" Target="https://doi.org/10.1002/ejsp.2813" TargetMode="External"/><Relationship Id="rId37" Type="http://schemas.openxmlformats.org/officeDocument/2006/relationships/hyperlink" Target="https://doi.org/10.4000/11pr6" TargetMode="External"/><Relationship Id="rId40" Type="http://schemas.openxmlformats.org/officeDocument/2006/relationships/hyperlink" Target="https://doi.org/10.1177/0022022109335557" TargetMode="External"/><Relationship Id="rId45" Type="http://schemas.openxmlformats.org/officeDocument/2006/relationships/hyperlink" Target="https://doi.org/10.17575/rpsicol.v17i2.456" TargetMode="External"/><Relationship Id="rId5" Type="http://schemas.openxmlformats.org/officeDocument/2006/relationships/webSettings" Target="webSettings.xml"/><Relationship Id="rId15" Type="http://schemas.openxmlformats.org/officeDocument/2006/relationships/hyperlink" Target="https://orcid.org/0000-0001-5280-130X" TargetMode="External"/><Relationship Id="rId23" Type="http://schemas.openxmlformats.org/officeDocument/2006/relationships/hyperlink" Target="https://doi.org/10.15448/1980-864X.2024.1.45807" TargetMode="External"/><Relationship Id="rId28" Type="http://schemas.openxmlformats.org/officeDocument/2006/relationships/hyperlink" Target="https://www.jstor.org/stable/27281277" TargetMode="External"/><Relationship Id="rId36" Type="http://schemas.openxmlformats.org/officeDocument/2006/relationships/hyperlink" Target="https://doi.org/10.4119/ijcv-2811" TargetMode="External"/><Relationship Id="rId49"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sipsych.org/" TargetMode="External"/><Relationship Id="rId31" Type="http://schemas.openxmlformats.org/officeDocument/2006/relationships/hyperlink" Target="https://doi.org/10.15448/1980-864X.2019.2.32857" TargetMode="External"/><Relationship Id="rId44" Type="http://schemas.openxmlformats.org/officeDocument/2006/relationships/hyperlink" Target="https://doi.org/10.17575/rpsicol.v17i2.451" TargetMode="External"/><Relationship Id="rId4" Type="http://schemas.openxmlformats.org/officeDocument/2006/relationships/settings" Target="settings.xml"/><Relationship Id="rId9" Type="http://schemas.openxmlformats.org/officeDocument/2006/relationships/hyperlink" Target="https://doi.org/10.30849/ripijp.v57i2.1646" TargetMode="External"/><Relationship Id="rId14" Type="http://schemas.openxmlformats.org/officeDocument/2006/relationships/hyperlink" Target="https://orcid.org/0000-0002-1491-3420" TargetMode="External"/><Relationship Id="rId22" Type="http://schemas.openxmlformats.org/officeDocument/2006/relationships/hyperlink" Target="https://doi.org/10.34913/journals/lingua-lugar.2020.e208" TargetMode="External"/><Relationship Id="rId27" Type="http://schemas.openxmlformats.org/officeDocument/2006/relationships/hyperlink" Target="https://doi.org/10.5964/jspp.v5i2.701" TargetMode="External"/><Relationship Id="rId30" Type="http://schemas.openxmlformats.org/officeDocument/2006/relationships/hyperlink" Target="https://hdl.handle.net/1822/62836" TargetMode="External"/><Relationship Id="rId35" Type="http://schemas.openxmlformats.org/officeDocument/2006/relationships/hyperlink" Target="https://doi.org/10.1016/j.ijintrel.2017.05.004" TargetMode="External"/><Relationship Id="rId43" Type="http://schemas.openxmlformats.org/officeDocument/2006/relationships/hyperlink" Target="https://doi.org/10.17575/rpsicol.v17i2.448" TargetMode="External"/><Relationship Id="rId48" Type="http://schemas.openxmlformats.org/officeDocument/2006/relationships/footer" Target="footer1.xml"/><Relationship Id="rId8" Type="http://schemas.openxmlformats.org/officeDocument/2006/relationships/hyperlink" Target="https://doi.org/10.30849/ripijp.v59(2025).e2020"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orcid.org/0000-0001-5306-4073" TargetMode="External"/><Relationship Id="rId17" Type="http://schemas.openxmlformats.org/officeDocument/2006/relationships/hyperlink" Target="https://orcid.org/0000-0002-8229-7674" TargetMode="External"/><Relationship Id="rId25" Type="http://schemas.openxmlformats.org/officeDocument/2006/relationships/hyperlink" Target="https://doi.org/10.5964/jspp.9805" TargetMode="External"/><Relationship Id="rId33" Type="http://schemas.openxmlformats.org/officeDocument/2006/relationships/hyperlink" Target="https://doi.org/10.1177/1750698017701612" TargetMode="External"/><Relationship Id="rId38" Type="http://schemas.openxmlformats.org/officeDocument/2006/relationships/hyperlink" Target="https://doi.org/10.1177/0022022104272900" TargetMode="External"/><Relationship Id="rId46" Type="http://schemas.openxmlformats.org/officeDocument/2006/relationships/header" Target="header1.xml"/><Relationship Id="rId20" Type="http://schemas.openxmlformats.org/officeDocument/2006/relationships/image" Target="media/image3.png"/><Relationship Id="rId41" Type="http://schemas.openxmlformats.org/officeDocument/2006/relationships/hyperlink" Target="https://doi.org/10.5964/jspp.6355"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luizaalins@hotmail.com?subject=RIP/IJP:Mem&#243;ria%20social%20e%20desafios%20decoloniais:%20reflex&#245;es%20a%20partir%20de%20um%20estudo%20sobre%20representa&#231;&#245;es%20de%20personalidades%20hist&#243;ricas%20no%20Brasil%20e%20em%20Portuga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1AD69-AB6F-4BCD-83FA-1C4C996D5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25</Pages>
  <Words>8784</Words>
  <Characters>50069</Characters>
  <Application>Microsoft Office Word</Application>
  <DocSecurity>0</DocSecurity>
  <Lines>417</Lines>
  <Paragraphs>117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25</cp:revision>
  <cp:lastPrinted>2024-09-03T14:44:00Z</cp:lastPrinted>
  <dcterms:created xsi:type="dcterms:W3CDTF">2025-02-28T06:52:00Z</dcterms:created>
  <dcterms:modified xsi:type="dcterms:W3CDTF">2025-03-31T18:13:00Z</dcterms:modified>
</cp:coreProperties>
</file>