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75B2C5C" w14:textId="77777777" w:rsidR="00556848" w:rsidRPr="00297D77" w:rsidRDefault="00BC3217" w:rsidP="00297D77">
      <w:pPr>
        <w:spacing w:line="360" w:lineRule="auto"/>
        <w:jc w:val="center"/>
        <w:rPr>
          <w:b/>
          <w:bCs/>
          <w:sz w:val="24"/>
          <w:szCs w:val="24"/>
          <w:lang w:val="en-US"/>
        </w:rPr>
      </w:pPr>
      <w:bookmarkStart w:id="0" w:name="_Hlk158118740"/>
      <w:r w:rsidRPr="00297D77">
        <w:rPr>
          <w:b/>
          <w:bCs/>
          <w:sz w:val="24"/>
          <w:szCs w:val="24"/>
        </w:rPr>
        <w:t>The effectiveness of a third-generation cognitive behavioral therapy intervention program on psychological well-being for nursing professionals</w:t>
      </w:r>
    </w:p>
    <w:bookmarkEnd w:id="0"/>
    <w:p w14:paraId="0FC1AB41" w14:textId="77777777" w:rsidR="001564C4" w:rsidRPr="00297D77" w:rsidRDefault="001564C4" w:rsidP="00297D77">
      <w:pPr>
        <w:spacing w:line="360" w:lineRule="auto"/>
        <w:rPr>
          <w:sz w:val="24"/>
          <w:szCs w:val="24"/>
          <w:lang w:val="en-US"/>
        </w:rPr>
      </w:pPr>
    </w:p>
    <w:p w14:paraId="13D38A53" w14:textId="77777777" w:rsidR="009A3632" w:rsidRPr="00297D77" w:rsidRDefault="00BC3217" w:rsidP="00297D77">
      <w:pPr>
        <w:spacing w:line="360" w:lineRule="auto"/>
        <w:jc w:val="center"/>
        <w:rPr>
          <w:b/>
          <w:bCs/>
          <w:sz w:val="24"/>
          <w:szCs w:val="24"/>
          <w:lang w:val="en-US"/>
        </w:rPr>
      </w:pPr>
      <w:r w:rsidRPr="00297D77">
        <w:rPr>
          <w:b/>
          <w:bCs/>
          <w:sz w:val="24"/>
          <w:szCs w:val="24"/>
        </w:rPr>
        <w:br w:type="page"/>
      </w:r>
    </w:p>
    <w:p w14:paraId="356E3DFD" w14:textId="77777777" w:rsidR="004F31FB" w:rsidRPr="00297D77" w:rsidRDefault="00BC3217" w:rsidP="00297D77">
      <w:pPr>
        <w:spacing w:line="360" w:lineRule="auto"/>
        <w:jc w:val="center"/>
        <w:rPr>
          <w:b/>
          <w:bCs/>
          <w:sz w:val="24"/>
          <w:szCs w:val="24"/>
          <w:lang w:val="en-US"/>
        </w:rPr>
      </w:pPr>
      <w:bookmarkStart w:id="1" w:name="_Hlk158120237"/>
      <w:r w:rsidRPr="00297D77">
        <w:rPr>
          <w:b/>
          <w:bCs/>
          <w:sz w:val="24"/>
          <w:szCs w:val="24"/>
        </w:rPr>
        <w:lastRenderedPageBreak/>
        <w:t>Abstract</w:t>
      </w:r>
    </w:p>
    <w:bookmarkEnd w:id="1"/>
    <w:p w14:paraId="02DAC4D5" w14:textId="799B8FAF" w:rsidR="004C0F61" w:rsidRPr="00297D77" w:rsidRDefault="00913570" w:rsidP="00B61CE4">
      <w:pPr>
        <w:spacing w:line="360" w:lineRule="auto"/>
        <w:jc w:val="left"/>
        <w:rPr>
          <w:sz w:val="24"/>
          <w:szCs w:val="24"/>
        </w:rPr>
      </w:pPr>
      <w:r w:rsidRPr="00297D77">
        <w:rPr>
          <w:sz w:val="24"/>
          <w:szCs w:val="24"/>
        </w:rPr>
        <w:t xml:space="preserve">Nursing professionals (NPs) play a crucial role in public health by providing direct care and maintaining the quality of health services. However, they face emotional challenges that can affect their psychological well-being (PW). The purpose of this study was to evaluate whether the implementation of a Dialectical Behavioral Skills Training (DBT) program could increase PW levels among NPs in healthcare </w:t>
      </w:r>
      <w:proofErr w:type="spellStart"/>
      <w:r w:rsidRPr="00297D77">
        <w:rPr>
          <w:sz w:val="24"/>
          <w:szCs w:val="24"/>
        </w:rPr>
        <w:t>centers</w:t>
      </w:r>
      <w:proofErr w:type="spellEnd"/>
      <w:r w:rsidRPr="00297D77">
        <w:rPr>
          <w:sz w:val="24"/>
          <w:szCs w:val="24"/>
        </w:rPr>
        <w:t xml:space="preserve"> in the Northern Cuenca District of the Ministry of Public Health (MSP). The present research is an experimental study employing a two-group randomized design with pre- and postintervention measures. The instruments used were a sociodemographic instrument and the Ryff Psychological Well-being Scale.</w:t>
      </w:r>
      <w:r w:rsidR="00286FA1" w:rsidRPr="00297D77">
        <w:rPr>
          <w:sz w:val="24"/>
          <w:szCs w:val="24"/>
        </w:rPr>
        <w:t xml:space="preserve"> The study included 83 nursing professionals (NPs) from health </w:t>
      </w:r>
      <w:proofErr w:type="spellStart"/>
      <w:r w:rsidR="00286FA1" w:rsidRPr="00297D77">
        <w:rPr>
          <w:sz w:val="24"/>
          <w:szCs w:val="24"/>
        </w:rPr>
        <w:t>centers</w:t>
      </w:r>
      <w:proofErr w:type="spellEnd"/>
      <w:r w:rsidR="00286FA1" w:rsidRPr="00297D77">
        <w:rPr>
          <w:sz w:val="24"/>
          <w:szCs w:val="24"/>
        </w:rPr>
        <w:t xml:space="preserve"> in Cuenca. </w:t>
      </w:r>
      <w:proofErr w:type="spellStart"/>
      <w:r w:rsidR="00286FA1" w:rsidRPr="00297D77">
        <w:rPr>
          <w:sz w:val="24"/>
          <w:szCs w:val="24"/>
        </w:rPr>
        <w:t>Nonprobabilistic</w:t>
      </w:r>
      <w:proofErr w:type="spellEnd"/>
      <w:r w:rsidR="00286FA1" w:rsidRPr="00297D77">
        <w:rPr>
          <w:sz w:val="24"/>
          <w:szCs w:val="24"/>
        </w:rPr>
        <w:t xml:space="preserve"> convenience sampling was used due to Ministry of Health restrictions. A minimum sample of 30 participants (27 female, 3 male) aged 20-65 ensured statistical accuracy while considering workplace demands and resources.</w:t>
      </w:r>
      <w:r w:rsidRPr="00297D77">
        <w:rPr>
          <w:sz w:val="24"/>
          <w:szCs w:val="24"/>
        </w:rPr>
        <w:t xml:space="preserve"> </w:t>
      </w:r>
      <w:r w:rsidR="00370F57" w:rsidRPr="00370F57">
        <w:rPr>
          <w:color w:val="FF0000"/>
          <w:sz w:val="24"/>
          <w:szCs w:val="24"/>
        </w:rPr>
        <w:t xml:space="preserve">The results indicated that the contextual therapy intervention program significantly improved the psychological well-being (PW) of nursing professionals (NPs), offering an effective strategy to address the emotional challenges they encounter in their work. The study emphasizes the importance of implementing targeted interventions, such as Dialectical </w:t>
      </w:r>
      <w:proofErr w:type="spellStart"/>
      <w:r w:rsidR="00370F57" w:rsidRPr="00370F57">
        <w:rPr>
          <w:color w:val="FF0000"/>
          <w:sz w:val="24"/>
          <w:szCs w:val="24"/>
        </w:rPr>
        <w:t>Behavior</w:t>
      </w:r>
      <w:proofErr w:type="spellEnd"/>
      <w:r w:rsidR="00370F57" w:rsidRPr="00370F57">
        <w:rPr>
          <w:color w:val="FF0000"/>
          <w:sz w:val="24"/>
          <w:szCs w:val="24"/>
        </w:rPr>
        <w:t xml:space="preserve"> Therapy (DBT), to enhance the psychological well-being of healthcare professionals.</w:t>
      </w:r>
    </w:p>
    <w:p w14:paraId="36DFFAD0" w14:textId="7480E4F9" w:rsidR="007853BB" w:rsidRPr="00297D77" w:rsidRDefault="00BC3217" w:rsidP="00B61CE4">
      <w:pPr>
        <w:spacing w:line="360" w:lineRule="auto"/>
        <w:jc w:val="left"/>
        <w:rPr>
          <w:sz w:val="24"/>
          <w:szCs w:val="24"/>
        </w:rPr>
      </w:pPr>
      <w:r w:rsidRPr="00297D77">
        <w:rPr>
          <w:b/>
          <w:bCs/>
          <w:sz w:val="24"/>
          <w:szCs w:val="24"/>
        </w:rPr>
        <w:t>Keywords</w:t>
      </w:r>
      <w:r w:rsidR="006613BA" w:rsidRPr="00297D77">
        <w:rPr>
          <w:sz w:val="24"/>
          <w:szCs w:val="24"/>
        </w:rPr>
        <w:t xml:space="preserve">: Psychological well-being, cognitive‒behavioral therapy, dialectical behavioral skills, </w:t>
      </w:r>
      <w:r w:rsidR="00156A0D" w:rsidRPr="00156A0D">
        <w:rPr>
          <w:color w:val="FF0000"/>
          <w:sz w:val="24"/>
          <w:szCs w:val="24"/>
        </w:rPr>
        <w:t>DBT</w:t>
      </w:r>
      <w:r w:rsidR="006613BA" w:rsidRPr="00297D77">
        <w:rPr>
          <w:sz w:val="24"/>
          <w:szCs w:val="24"/>
        </w:rPr>
        <w:t>.</w:t>
      </w:r>
    </w:p>
    <w:p w14:paraId="23340167" w14:textId="77777777" w:rsidR="00B61CE4" w:rsidRDefault="00B61CE4" w:rsidP="00297D77">
      <w:pPr>
        <w:pStyle w:val="Prrafodelista"/>
        <w:numPr>
          <w:ilvl w:val="0"/>
          <w:numId w:val="4"/>
        </w:numPr>
        <w:spacing w:line="360" w:lineRule="auto"/>
        <w:rPr>
          <w:sz w:val="24"/>
          <w:szCs w:val="24"/>
        </w:rPr>
      </w:pPr>
      <w:r>
        <w:rPr>
          <w:sz w:val="24"/>
          <w:szCs w:val="24"/>
        </w:rPr>
        <w:br w:type="page"/>
      </w:r>
    </w:p>
    <w:p w14:paraId="5F111480" w14:textId="77777777" w:rsidR="00B61CE4" w:rsidRPr="00B61CE4" w:rsidRDefault="00B61CE4" w:rsidP="00B61CE4">
      <w:pPr>
        <w:spacing w:line="360" w:lineRule="auto"/>
        <w:jc w:val="center"/>
        <w:rPr>
          <w:b/>
          <w:bCs/>
          <w:sz w:val="24"/>
          <w:szCs w:val="24"/>
          <w:lang w:val="es-CL"/>
        </w:rPr>
      </w:pPr>
      <w:r w:rsidRPr="00B61CE4">
        <w:rPr>
          <w:b/>
          <w:bCs/>
          <w:sz w:val="24"/>
          <w:szCs w:val="24"/>
          <w:lang w:val="es-CL"/>
        </w:rPr>
        <w:lastRenderedPageBreak/>
        <w:t>Resumen</w:t>
      </w:r>
    </w:p>
    <w:p w14:paraId="2D4C5C73" w14:textId="1EF68902" w:rsidR="00B61CE4" w:rsidRPr="00156A0D" w:rsidRDefault="00B61CE4" w:rsidP="00370F57">
      <w:pPr>
        <w:spacing w:line="360" w:lineRule="auto"/>
        <w:jc w:val="left"/>
        <w:rPr>
          <w:sz w:val="24"/>
          <w:szCs w:val="24"/>
          <w:lang w:val="es-CL"/>
        </w:rPr>
      </w:pPr>
      <w:r w:rsidRPr="00156A0D">
        <w:rPr>
          <w:sz w:val="24"/>
          <w:szCs w:val="24"/>
          <w:lang w:val="es-CL"/>
        </w:rPr>
        <w:t>Los profesionales de enfermería (</w:t>
      </w:r>
      <w:proofErr w:type="spellStart"/>
      <w:r w:rsidRPr="00156A0D">
        <w:rPr>
          <w:sz w:val="24"/>
          <w:szCs w:val="24"/>
          <w:lang w:val="es-CL"/>
        </w:rPr>
        <w:t>NPs</w:t>
      </w:r>
      <w:proofErr w:type="spellEnd"/>
      <w:r w:rsidRPr="00156A0D">
        <w:rPr>
          <w:sz w:val="24"/>
          <w:szCs w:val="24"/>
          <w:lang w:val="es-CL"/>
        </w:rPr>
        <w:t>, por sus siglas en inglés) desempeñan un papel crucial en la salud pública al brindar atención directa y mantener la calidad de los servicios de salud. Sin embargo, enfrentan desafíos emocionales que pueden afectar su bienestar psicológico (PW, por sus siglas en inglés). El propósito de este estudio fue evaluar si la implementación de un programa de Entrenamiento en Habilidades Conductuales Dialécticas (</w:t>
      </w:r>
      <w:bookmarkStart w:id="2" w:name="_Hlk179318808"/>
      <w:r w:rsidRPr="00156A0D">
        <w:rPr>
          <w:sz w:val="24"/>
          <w:szCs w:val="24"/>
          <w:lang w:val="es-CL"/>
        </w:rPr>
        <w:t>DBT</w:t>
      </w:r>
      <w:bookmarkEnd w:id="2"/>
      <w:r w:rsidRPr="00156A0D">
        <w:rPr>
          <w:sz w:val="24"/>
          <w:szCs w:val="24"/>
          <w:lang w:val="es-CL"/>
        </w:rPr>
        <w:t xml:space="preserve">, por sus siglas en inglés) podría aumentar los niveles de PW entre los </w:t>
      </w:r>
      <w:proofErr w:type="spellStart"/>
      <w:r w:rsidRPr="00156A0D">
        <w:rPr>
          <w:sz w:val="24"/>
          <w:szCs w:val="24"/>
          <w:lang w:val="es-CL"/>
        </w:rPr>
        <w:t>NPs</w:t>
      </w:r>
      <w:proofErr w:type="spellEnd"/>
      <w:r w:rsidRPr="00156A0D">
        <w:rPr>
          <w:sz w:val="24"/>
          <w:szCs w:val="24"/>
          <w:lang w:val="es-CL"/>
        </w:rPr>
        <w:t xml:space="preserve"> en los centros de atención médica en el Distrito Norte de Cuenca del Ministerio de Salud Pública (MSP). La presente investigación es un estudio experimental que emplea un diseño aleatorio de dos grupos con medidas pre y post intervención. Los instrumentos utilizados fueron un instrumento sociodemográfico y la Escala de Bienestar Psicológico de Ryff. El estudio incluyó a 83 profesionales de enfermería (</w:t>
      </w:r>
      <w:proofErr w:type="spellStart"/>
      <w:r w:rsidRPr="00156A0D">
        <w:rPr>
          <w:sz w:val="24"/>
          <w:szCs w:val="24"/>
          <w:lang w:val="es-CL"/>
        </w:rPr>
        <w:t>NPs</w:t>
      </w:r>
      <w:proofErr w:type="spellEnd"/>
      <w:r w:rsidRPr="00156A0D">
        <w:rPr>
          <w:sz w:val="24"/>
          <w:szCs w:val="24"/>
          <w:lang w:val="es-CL"/>
        </w:rPr>
        <w:t xml:space="preserve">) de centros de salud en Cuenca. Se utilizó un muestreo no probabilístico por conveniencia debido a restricciones del Ministerio de Salud. Una muestra mínima de 30 participantes (27 mujeres, 3 hombres) de entre 20 y 65 años garantizó la precisión estadística, teniendo en cuenta las demandas y recursos laborales. </w:t>
      </w:r>
      <w:r w:rsidR="00370F57" w:rsidRPr="00370F57">
        <w:rPr>
          <w:color w:val="FF0000"/>
          <w:sz w:val="24"/>
          <w:szCs w:val="24"/>
          <w:lang w:val="es-CL"/>
        </w:rPr>
        <w:t xml:space="preserve">Los resultados indicaron que el programa de intervención de terapia contextual mejoró significativamente el </w:t>
      </w:r>
      <w:r w:rsidR="00370F57">
        <w:rPr>
          <w:color w:val="FF0000"/>
          <w:sz w:val="24"/>
          <w:szCs w:val="24"/>
          <w:lang w:val="es-CL"/>
        </w:rPr>
        <w:t>PW</w:t>
      </w:r>
      <w:r w:rsidR="00370F57" w:rsidRPr="00370F57">
        <w:rPr>
          <w:color w:val="FF0000"/>
          <w:sz w:val="24"/>
          <w:szCs w:val="24"/>
          <w:lang w:val="es-CL"/>
        </w:rPr>
        <w:t xml:space="preserve"> de los </w:t>
      </w:r>
      <w:proofErr w:type="spellStart"/>
      <w:r w:rsidR="00370F57" w:rsidRPr="00370F57">
        <w:rPr>
          <w:color w:val="FF0000"/>
          <w:sz w:val="24"/>
          <w:szCs w:val="24"/>
          <w:lang w:val="es-CL"/>
        </w:rPr>
        <w:t>NPs</w:t>
      </w:r>
      <w:proofErr w:type="spellEnd"/>
      <w:r w:rsidR="00370F57" w:rsidRPr="00370F57">
        <w:rPr>
          <w:color w:val="FF0000"/>
          <w:sz w:val="24"/>
          <w:szCs w:val="24"/>
          <w:lang w:val="es-CL"/>
        </w:rPr>
        <w:t>, ofreciendo una estrategia efectiva para abordar los desafíos emocionales que enfrentan en su trabajo. El estudio subraya la importancia de implementar intervenciones dirigidas como DBT</w:t>
      </w:r>
      <w:r w:rsidR="00370F57">
        <w:rPr>
          <w:color w:val="FF0000"/>
          <w:sz w:val="24"/>
          <w:szCs w:val="24"/>
          <w:lang w:val="es-CL"/>
        </w:rPr>
        <w:t xml:space="preserve"> </w:t>
      </w:r>
      <w:r w:rsidR="00370F57" w:rsidRPr="00370F57">
        <w:rPr>
          <w:color w:val="FF0000"/>
          <w:sz w:val="24"/>
          <w:szCs w:val="24"/>
          <w:lang w:val="es-CL"/>
        </w:rPr>
        <w:t>para mejorar el bienestar psicológico de los profesionales de la salud.</w:t>
      </w:r>
    </w:p>
    <w:p w14:paraId="5AE1E46F" w14:textId="729AE4C0" w:rsidR="009A3632" w:rsidRPr="00B61CE4" w:rsidRDefault="00B61CE4" w:rsidP="00B61CE4">
      <w:pPr>
        <w:spacing w:line="360" w:lineRule="auto"/>
        <w:jc w:val="left"/>
        <w:rPr>
          <w:sz w:val="24"/>
          <w:szCs w:val="24"/>
          <w:lang w:val="es-CL"/>
        </w:rPr>
      </w:pPr>
      <w:r w:rsidRPr="00156A0D">
        <w:rPr>
          <w:b/>
          <w:bCs/>
          <w:sz w:val="24"/>
          <w:szCs w:val="24"/>
          <w:lang w:val="es-CL"/>
        </w:rPr>
        <w:t>Palabras clave:</w:t>
      </w:r>
      <w:r w:rsidRPr="00156A0D">
        <w:rPr>
          <w:sz w:val="24"/>
          <w:szCs w:val="24"/>
          <w:lang w:val="es-CL"/>
        </w:rPr>
        <w:t xml:space="preserve"> Bienestar psicológico, terapia cognitivo-conductual, habilidades conductuales dialécticas, </w:t>
      </w:r>
      <w:r w:rsidR="00156A0D" w:rsidRPr="00156A0D">
        <w:rPr>
          <w:color w:val="FF0000"/>
          <w:sz w:val="24"/>
          <w:szCs w:val="24"/>
          <w:lang w:val="es-CL"/>
        </w:rPr>
        <w:t>DBT</w:t>
      </w:r>
      <w:r w:rsidRPr="00156A0D">
        <w:rPr>
          <w:sz w:val="24"/>
          <w:szCs w:val="24"/>
          <w:lang w:val="es-CL"/>
        </w:rPr>
        <w:t>.</w:t>
      </w:r>
      <w:r w:rsidRPr="00B61CE4">
        <w:rPr>
          <w:sz w:val="24"/>
          <w:szCs w:val="24"/>
          <w:lang w:val="es-CL"/>
        </w:rPr>
        <w:br w:type="page"/>
      </w:r>
    </w:p>
    <w:p w14:paraId="27056B10" w14:textId="236B40A1" w:rsidR="00313AF5" w:rsidRPr="00297D77" w:rsidRDefault="00297D77" w:rsidP="00297D77">
      <w:pPr>
        <w:spacing w:line="360" w:lineRule="auto"/>
        <w:ind w:left="360"/>
        <w:jc w:val="center"/>
        <w:rPr>
          <w:b/>
          <w:bCs/>
          <w:sz w:val="24"/>
          <w:szCs w:val="24"/>
          <w:lang w:val="en-US"/>
        </w:rPr>
      </w:pPr>
      <w:bookmarkStart w:id="3" w:name="_Hlk158120417"/>
      <w:r w:rsidRPr="00297D77">
        <w:rPr>
          <w:b/>
          <w:bCs/>
          <w:sz w:val="24"/>
          <w:szCs w:val="24"/>
        </w:rPr>
        <w:lastRenderedPageBreak/>
        <w:t>Introduction</w:t>
      </w:r>
    </w:p>
    <w:p w14:paraId="31147921" w14:textId="77777777" w:rsidR="009D3D7E" w:rsidRDefault="00BC3217" w:rsidP="00297D77">
      <w:pPr>
        <w:spacing w:line="360" w:lineRule="auto"/>
        <w:jc w:val="left"/>
        <w:rPr>
          <w:color w:val="C00000"/>
          <w:sz w:val="24"/>
          <w:szCs w:val="24"/>
        </w:rPr>
      </w:pPr>
      <w:r w:rsidRPr="00297D77">
        <w:rPr>
          <w:sz w:val="24"/>
          <w:szCs w:val="24"/>
        </w:rPr>
        <w:t xml:space="preserve">Nursing professionals (NPs) face significant challenges that impact their psychological well-being (PW) (Katana et al., 2019). High workloads, exposure to stressful situations, inadequate resources, and lack of emotional support in the workplace are among the factors contributing to stress levels, burnout, and mental health deterioration among nursing professionals </w:t>
      </w:r>
      <w:r w:rsidRPr="00297D77">
        <w:rPr>
          <w:sz w:val="24"/>
          <w:szCs w:val="24"/>
          <w:lang w:val="en-US"/>
        </w:rPr>
        <w:fldChar w:fldCharType="begin" w:fldLock="1"/>
      </w:r>
      <w:r w:rsidRPr="00297D77">
        <w:rPr>
          <w:sz w:val="24"/>
          <w:szCs w:val="24"/>
        </w:rPr>
        <w:instrText>ADDIN CSL_CITATION {"citationItems":[{"id":"ITEM-1","itemData":{"DOI":"10.3928/01484834-20170222-04","ISSN":"0148-4834","author":[{"dropping-particle":"","family":"Cantrell","given":"Melody L.","non-dropping-particle":"","parse-names":false,"suffix":""},{"dropping-particle":"","family":"Meyer","given":"Susan L.","non-dropping-particle":"","parse-names":false,"suffix":""},{"dropping-particle":"","family":"Mosack","given":"Victoria","non-dropping-particle":"","parse-names":false,"suffix":""}],"container-title":"Journal of Nursing Education","id":"ITEM-1","issue":"3","issued":{"date-parts":[["2017","3"]]},"page":"139-144","title":"Effects of simulation on nursing student stress: An integrative review","type":"article-journal","volume":"56"},"uris":["http://www.mendeley.com/documents/?uuid=1a488411-cf1f-4f72-ba35-73996e622b4b"]},{"id":"ITEM-2","itemData":{"DOI":"10.1016/j.cnre.2015.09.003","ISSN":"20957718","author":[{"dropping-particle":"","family":"Qu","given":"Hai-Ying","non-dropping-particle":"","parse-names":false,"suffix":""},{"dropping-particle":"","family":"Wang","given":"Chun-Mei","non-dropping-particle":"","parse-names":false,"suffix":""}],"container-title":"Chinese Nursing Research","id":"ITEM-2","issue":"2-3","issued":{"date-parts":[["2015","6"]]},"page":"61-66","title":"Study on the relationships between nurses' job burnout and subjective well-being","type":"article-journal","volume":"2"},"uris":["http://www.mendeley.com/documents/?uuid=d75c02ec-830f-4af6-b5e6-fe378849e476"]},{"id":"ITEM-3","itemData":{"DOI":"10.1016/j.nedt.2018.01.009","ISSN":"02606917","author":[{"dropping-particle":"","family":"Tung","given":"Yi-Jung","non-dropping-particle":"","parse-names":false,"suffix":""},{"dropping-particle":"","family":"Lo","given":"Kenneth K.H.","non-dropping-particle":"","parse-names":false,"suffix":""},{"dropping-particle":"","family":"Ho","given":"Roger C.M.","non-dropping-particle":"","parse-names":false,"suffix":""},{"dropping-particle":"","family":"Tam","given":"Wai San Wilson","non-dropping-particle":"","parse-names":false,"suffix":""}],"container-title":"Nurse Education Today","id":"ITEM-3","issued":{"date-parts":[["2018","4"]]},"page":"119-129","title":"Prevalence of depression among nursing students: A systematic review and meta-analysis","type":"article-journal","volume":"63"},"uris":["http://www.mendeley.com/documents/?uuid=d7e54e93-ba3c-4a37-95f7-871186384158"]}],"mendeley":{"formattedCitation":"(Cantrell et al., 2017; Qu &amp; Wang, 2015; Tung et al., 2018)","plainTextFormattedCitation":"(Cantrell et al., 2017; Qu &amp; Wang, 2015; Tung et al., 2018)","previouslyFormattedCitation":"(Cantrell et al., 2017; Qu &amp; Wang, 2015; Tung et al., 2018)"},"properties":{"noteIndex":0},"schema":"https://github.com/citation-style-language/schema/raw/master/csl-citation.json"}</w:instrText>
      </w:r>
      <w:r w:rsidRPr="00297D77">
        <w:rPr>
          <w:sz w:val="24"/>
          <w:szCs w:val="24"/>
          <w:lang w:val="en-US"/>
        </w:rPr>
        <w:fldChar w:fldCharType="separate"/>
      </w:r>
      <w:r w:rsidRPr="00297D77">
        <w:rPr>
          <w:noProof/>
          <w:sz w:val="24"/>
          <w:szCs w:val="24"/>
        </w:rPr>
        <w:t>(Cantrell et al., 2017; Qu &amp; Wang, 2015; Tung et al., 2018)</w:t>
      </w:r>
      <w:r w:rsidRPr="00297D77">
        <w:rPr>
          <w:sz w:val="24"/>
          <w:szCs w:val="24"/>
          <w:lang w:val="en-US"/>
        </w:rPr>
        <w:fldChar w:fldCharType="end"/>
      </w:r>
      <w:r w:rsidRPr="00297D77">
        <w:rPr>
          <w:sz w:val="24"/>
          <w:szCs w:val="24"/>
        </w:rPr>
        <w:t>.</w:t>
      </w:r>
      <w:r w:rsidR="00C206A3">
        <w:rPr>
          <w:sz w:val="24"/>
          <w:szCs w:val="24"/>
        </w:rPr>
        <w:t xml:space="preserve"> </w:t>
      </w:r>
      <w:r w:rsidR="00DB72D9" w:rsidRPr="00DB72D9">
        <w:rPr>
          <w:color w:val="C00000"/>
          <w:sz w:val="24"/>
          <w:szCs w:val="24"/>
        </w:rPr>
        <w:t>One of the main problems faced by healthcare professionals, such as nurses, is burnout, or occupational exhaustion (Lyndon, 2017).</w:t>
      </w:r>
      <w:r w:rsidR="007A0A6A" w:rsidRPr="00DB72D9">
        <w:rPr>
          <w:color w:val="C00000"/>
          <w:sz w:val="24"/>
          <w:szCs w:val="24"/>
          <w:lang w:val="en-US"/>
        </w:rPr>
        <w:t xml:space="preserve"> </w:t>
      </w:r>
      <w:r w:rsidR="00A13D22" w:rsidRPr="00A13D22">
        <w:rPr>
          <w:color w:val="C00000"/>
          <w:sz w:val="24"/>
          <w:szCs w:val="24"/>
        </w:rPr>
        <w:t xml:space="preserve">Burnout, or occupational exhaustion, is a state of emotional, mental, and physical fatigue caused by prolonged work-related stress. It manifests through symptoms such as depersonalization towards colleagues and patients, as well as low personal accomplishment. It may also include physical symptoms, such as sleep disturbances, and </w:t>
      </w:r>
      <w:proofErr w:type="spellStart"/>
      <w:r w:rsidR="00A13D22" w:rsidRPr="00A13D22">
        <w:rPr>
          <w:color w:val="C00000"/>
          <w:sz w:val="24"/>
          <w:szCs w:val="24"/>
        </w:rPr>
        <w:t>behavioral</w:t>
      </w:r>
      <w:proofErr w:type="spellEnd"/>
      <w:r w:rsidR="00A13D22" w:rsidRPr="00A13D22">
        <w:rPr>
          <w:color w:val="C00000"/>
          <w:sz w:val="24"/>
          <w:szCs w:val="24"/>
        </w:rPr>
        <w:t xml:space="preserve"> changes, such as irritability and frustration (Freudenberger, 1974). It is estimated that burnout affects between 10% and 70% of nurses, with 47% to 52% reporting symptoms of fatigue and exhaustion (Lyndon, 2017; Zhang et al., 2018). Additionally, it has been associated with symptoms of stress, anxiety, and depression, negatively impacting patient safety (de Oliveira et al., 2023; Dollarhide et al., 2014; Saleh et al., 2014). Research indicates that high levels of stress and burnout are related to decreased overall well-being and an increased frequency of medical errors. One study found a significant correlation between poor well-being and lower patient safety, underscoring the importance of addressing burnout not only as an individual issue but also as a critical factor in the quality of care (Hall et al., 2016). </w:t>
      </w:r>
    </w:p>
    <w:p w14:paraId="15E91E81" w14:textId="0C01833D" w:rsidR="00313AF5" w:rsidRPr="00297D77" w:rsidRDefault="00A13D22" w:rsidP="009D3D7E">
      <w:pPr>
        <w:spacing w:line="360" w:lineRule="auto"/>
        <w:ind w:firstLine="708"/>
        <w:jc w:val="left"/>
        <w:rPr>
          <w:sz w:val="24"/>
          <w:szCs w:val="24"/>
          <w:lang w:val="en-US"/>
        </w:rPr>
      </w:pPr>
      <w:r w:rsidRPr="00A13D22">
        <w:rPr>
          <w:color w:val="C00000"/>
          <w:sz w:val="24"/>
          <w:szCs w:val="24"/>
        </w:rPr>
        <w:t>Therefore, studying psychological well-being is essential, as it represents a positive state of functioning that enables individuals to reach their full potential, cope with stressful situations, perform productively, and contribute to the community (Trudel-Fitzgerald et al., 2019).</w:t>
      </w:r>
      <w:r w:rsidR="009D3D7E">
        <w:rPr>
          <w:color w:val="C00000"/>
          <w:sz w:val="24"/>
          <w:szCs w:val="24"/>
        </w:rPr>
        <w:t xml:space="preserve"> </w:t>
      </w:r>
      <w:r w:rsidR="00BC3217" w:rsidRPr="00297D77">
        <w:rPr>
          <w:sz w:val="24"/>
          <w:szCs w:val="24"/>
        </w:rPr>
        <w:t xml:space="preserve">This situation not only affects the quality of life and individual well-being of nurses but can also influence the quality of patient care and the overall effectiveness of the healthcare system </w:t>
      </w:r>
      <w:r w:rsidR="00BC3217" w:rsidRPr="00297D77">
        <w:rPr>
          <w:sz w:val="24"/>
          <w:szCs w:val="24"/>
          <w:lang w:val="en-US"/>
        </w:rPr>
        <w:fldChar w:fldCharType="begin" w:fldLock="1"/>
      </w:r>
      <w:r w:rsidR="00BC3217" w:rsidRPr="00297D77">
        <w:rPr>
          <w:sz w:val="24"/>
          <w:szCs w:val="24"/>
        </w:rPr>
        <w:instrText>ADDIN CSL_CITATION {"citationItems":[{"id":"ITEM-1","itemData":{"DOI":"10.1108/PR-11-2018-0478","ISSN":"0048-3486","author":[{"dropping-particle":"","family":"Yousaf","given":"Saira","non-dropping-particle":"","parse-names":false,"suffix":""},{"dropping-particle":"","family":"Rasheed","given":"Muhammad Imran","non-dropping-particle":"","parse-names":false,"suffix":""},{"dropping-particle":"","family":"Hameed","given":"Zahid","non-dropping-particle":"","parse-names":false,"suffix":""},{"dropping-particle":"","family":"Luqman","given":"Adeel","non-dropping-particle":"","parse-names":false,"suffix":""}],"container-title":"Personnel Review","id":"ITEM-1","issue":"3","issued":{"date-parts":[["2020","3","23"]]},"page":"755-773","title":"Occupational stress and its outcomes: The role of work-social support in the hospitality industry","type":"article-journal","volume":"49"},"uris":["http://www.mendeley.com/documents/?uuid=3f43a925-24d2-43fa-bec6-8dc877e8b0dc"]}],"mendeley":{"formattedCitation":"(Yousaf et al., 2020)","plainTextFormattedCitation":"(Yousaf et al., 2020)","previouslyFormattedCitation":"(Yousaf et al., 2020)"},"properties":{"noteIndex":0},"schema":"https://github.com/citation-style-language/schema/raw/master/csl-citation.json"}</w:instrText>
      </w:r>
      <w:r w:rsidR="00BC3217" w:rsidRPr="00297D77">
        <w:rPr>
          <w:sz w:val="24"/>
          <w:szCs w:val="24"/>
          <w:lang w:val="en-US"/>
        </w:rPr>
        <w:fldChar w:fldCharType="separate"/>
      </w:r>
      <w:r w:rsidR="00BC3217" w:rsidRPr="00297D77">
        <w:rPr>
          <w:noProof/>
          <w:sz w:val="24"/>
          <w:szCs w:val="24"/>
        </w:rPr>
        <w:t>(Yousaf et al., 2020)</w:t>
      </w:r>
      <w:r w:rsidR="00BC3217" w:rsidRPr="00297D77">
        <w:rPr>
          <w:sz w:val="24"/>
          <w:szCs w:val="24"/>
          <w:lang w:val="en-US"/>
        </w:rPr>
        <w:fldChar w:fldCharType="end"/>
      </w:r>
      <w:r w:rsidR="00BC3217" w:rsidRPr="00297D77">
        <w:rPr>
          <w:sz w:val="24"/>
          <w:szCs w:val="24"/>
        </w:rPr>
        <w:t>.</w:t>
      </w:r>
    </w:p>
    <w:p w14:paraId="2B43FE9A" w14:textId="041FF212" w:rsidR="00313AF5" w:rsidRPr="00297D77" w:rsidRDefault="00BC3217" w:rsidP="00297D77">
      <w:pPr>
        <w:spacing w:line="360" w:lineRule="auto"/>
        <w:ind w:firstLine="708"/>
        <w:jc w:val="left"/>
        <w:rPr>
          <w:sz w:val="24"/>
          <w:szCs w:val="24"/>
          <w:lang w:val="en-US"/>
        </w:rPr>
      </w:pPr>
      <w:r w:rsidRPr="00297D77">
        <w:rPr>
          <w:sz w:val="24"/>
          <w:szCs w:val="24"/>
        </w:rPr>
        <w:t xml:space="preserve">Additionally, it is associated with gratitude, interpersonal relationship skills, and life satisfaction in NPs </w:t>
      </w:r>
      <w:r w:rsidRPr="00297D77">
        <w:rPr>
          <w:sz w:val="24"/>
          <w:szCs w:val="24"/>
          <w:lang w:val="en-US"/>
        </w:rPr>
        <w:fldChar w:fldCharType="begin" w:fldLock="1"/>
      </w:r>
      <w:r w:rsidRPr="00297D77">
        <w:rPr>
          <w:sz w:val="24"/>
          <w:szCs w:val="24"/>
        </w:rPr>
        <w:instrText>ADDIN CSL_CITATION {"citationItems":[{"id":"ITEM-1","itemData":{"DOI":"10.5977/jkasne.2015.21.2.276","ISSN":"1225-9578","author":[{"dropping-particle":"","family":"Jun","given":"Won-Hee","non-dropping-particle":"","parse-names":false,"suffix":""},{"dropping-particle":"","family":"Cha","given":"Kyeong-Sook","non-dropping-particle":"","parse-names":false,"suffix":""},{"dropping-particle":"","family":"Lee","given":"Kee-Lyong","non-dropping-particle":"","parse-names":false,"suffix":""}],"container-title":"The Journal of Korean Academic Society of Nursing Education","id":"ITEM-1","issue":"2","issued":{"date-parts":[["2015","5","31"]]},"page":"276-284","title":"Factors affecting subjective well-being in nursing students","type":"article-journal","volume":"21"},"uris":["http://www.mendeley.com/documents/?uuid=81f4921a-fedc-491a-beb3-b5cb4583d36a"]}],"mendeley":{"formattedCitation":"(Jun et al., 2015)","plainTextFormattedCitation":"(Jun et al., 2015)","previouslyFormattedCitation":"(Jun et al., 2015)"},"properties":{"noteIndex":0},"schema":"https://github.com/citation-style-language/schema/raw/master/csl-citation.json"}</w:instrText>
      </w:r>
      <w:r w:rsidRPr="00297D77">
        <w:rPr>
          <w:sz w:val="24"/>
          <w:szCs w:val="24"/>
          <w:lang w:val="en-US"/>
        </w:rPr>
        <w:fldChar w:fldCharType="separate"/>
      </w:r>
      <w:r w:rsidRPr="00297D77">
        <w:rPr>
          <w:noProof/>
          <w:sz w:val="24"/>
          <w:szCs w:val="24"/>
        </w:rPr>
        <w:t>(Jun et al., 2015)</w:t>
      </w:r>
      <w:r w:rsidRPr="00297D77">
        <w:rPr>
          <w:sz w:val="24"/>
          <w:szCs w:val="24"/>
          <w:lang w:val="en-US"/>
        </w:rPr>
        <w:fldChar w:fldCharType="end"/>
      </w:r>
      <w:r w:rsidRPr="00297D77">
        <w:rPr>
          <w:sz w:val="24"/>
          <w:szCs w:val="24"/>
        </w:rPr>
        <w:t xml:space="preserve">. Similarly, it is linked to quality of life, job and academic performance, satisfaction in interpersonal relationships, and the ability to face challenges </w:t>
      </w:r>
      <w:r w:rsidRPr="00297D77">
        <w:rPr>
          <w:sz w:val="24"/>
          <w:szCs w:val="24"/>
          <w:lang w:val="en-US"/>
        </w:rPr>
        <w:fldChar w:fldCharType="begin" w:fldLock="1"/>
      </w:r>
      <w:r w:rsidRPr="00297D77">
        <w:rPr>
          <w:sz w:val="24"/>
          <w:szCs w:val="24"/>
        </w:rPr>
        <w:instrText>ADDIN CSL_CITATION {"citationItems":[{"id":"ITEM-1","itemData":{"DOI":"10.29059/rpcc.20201215-119","ISSN":"20071833","abstract":"Objetivo: Conocer la predictibilidad del Bienestar Psicológico y Subjetivo en el Bienestar Laboral en una muestra de profesionales sanitarios del Ecuador. Método: Estudio descriptivo correlacional, predictor y de corte transversal con pruebas de evaluación del bienestar. Muestra: 144 trabajadores (65,3% mujeres), entre 23 a 59 años (M= 33,6; Ds= 8,2). Procedentes de tres unidades de salud de la provincia de Bolívar, Ecuador. Un 47,2% son médicos y el 53,8% restante son personal de enfermería. Resultados: Los niveles de Bienestar Psicológico, Subjetivo y Laboral son adecuados. Se constató correlaciones moderadas y bajas del Bienestar Psicológico y Subjetivo con el Bienestar Laboral. El 22% de la varianza del Bienestar Laboral es predicho por el Bienestar Psicológico y la Satisfacción de la vida. Conclusión: El Bienestar Psicológico y Subjetivo, predicen el Bienestar Laboral en profesionales de la salud.","author":[{"dropping-particle":"","family":"Yánez-Ramos","given":"Dayana","non-dropping-particle":"","parse-names":false,"suffix":""},{"dropping-particle":"","family":"Moreta-Herrera","given":"Carlos Rodrigo","non-dropping-particle":"","parse-names":false,"suffix":""}],"container-title":"Revista de Psicología y Ciencias del Comportamiento de la Unidad Académica de Ciencias Jurídicas y Sociales","id":"ITEM-1","issue":"2","issued":{"date-parts":[["2020","12","15"]]},"page":"99-111","title":"Relación del bienestar psicológico, subjetivo y laboral. Análisis en profesionales de la salud en Ecuador","type":"article-journal","volume":"11"},"uris":["http://www.mendeley.com/documents/?uuid=3cfda3b6-ebdd-46dd-90a6-b2cbb8b865ea"]}],"mendeley":{"formattedCitation":"(Yánez-Ramos &amp; Moreta-Herrera, 2020)","plainTextFormattedCitation":"(Yánez-Ramos &amp; Moreta-Herrera, 2020)","previouslyFormattedCitation":"(Yánez-Ramos &amp; Moreta-Herrera, 2020)"},"properties":{"noteIndex":0},"schema":"https://github.com/citation-style-language/schema/raw/master/csl-citation.json"}</w:instrText>
      </w:r>
      <w:r w:rsidRPr="00297D77">
        <w:rPr>
          <w:sz w:val="24"/>
          <w:szCs w:val="24"/>
          <w:lang w:val="en-US"/>
        </w:rPr>
        <w:fldChar w:fldCharType="separate"/>
      </w:r>
      <w:r w:rsidRPr="00297D77">
        <w:rPr>
          <w:noProof/>
          <w:sz w:val="24"/>
          <w:szCs w:val="24"/>
        </w:rPr>
        <w:t>(Yánez-Ramos &amp; Moreta-Herrera, 2020)</w:t>
      </w:r>
      <w:r w:rsidRPr="00297D77">
        <w:rPr>
          <w:sz w:val="24"/>
          <w:szCs w:val="24"/>
          <w:lang w:val="en-US"/>
        </w:rPr>
        <w:fldChar w:fldCharType="end"/>
      </w:r>
      <w:r w:rsidRPr="00297D77">
        <w:rPr>
          <w:sz w:val="24"/>
          <w:szCs w:val="24"/>
        </w:rPr>
        <w:t>.</w:t>
      </w:r>
    </w:p>
    <w:p w14:paraId="6A8B1536" w14:textId="77777777" w:rsidR="00313AF5" w:rsidRPr="00297D77" w:rsidRDefault="00BC3217" w:rsidP="00297D77">
      <w:pPr>
        <w:spacing w:line="360" w:lineRule="auto"/>
        <w:ind w:firstLine="708"/>
        <w:jc w:val="left"/>
        <w:rPr>
          <w:sz w:val="24"/>
          <w:szCs w:val="24"/>
        </w:rPr>
      </w:pPr>
      <w:r w:rsidRPr="00297D77">
        <w:rPr>
          <w:sz w:val="24"/>
          <w:szCs w:val="24"/>
        </w:rPr>
        <w:lastRenderedPageBreak/>
        <w:t xml:space="preserve">Thus, various approaches and theoretical models have emerged with the purpose of defining and evaluating PW. Some of these approaches emphasize the importance of cognitive factors, such as perceived control and optimism </w:t>
      </w:r>
      <w:r w:rsidRPr="00297D77">
        <w:rPr>
          <w:sz w:val="24"/>
          <w:szCs w:val="24"/>
          <w:lang w:val="en-US"/>
        </w:rPr>
        <w:fldChar w:fldCharType="begin" w:fldLock="1"/>
      </w:r>
      <w:r w:rsidRPr="00297D77">
        <w:rPr>
          <w:sz w:val="24"/>
          <w:szCs w:val="24"/>
        </w:rPr>
        <w:instrText>ADDIN CSL_CITATION {"citationItems":[{"id":"ITEM-1","itemData":{"DOI":"10.1007/s10902-011-9285-3","ISSN":"1389-4978","author":[{"dropping-particle":"","family":"Dagenais-Desmarais","given":"Véronique","non-dropping-particle":"","parse-names":false,"suffix":""},{"dropping-particle":"","family":"Savoie","given":"André","non-dropping-particle":"","parse-names":false,"suffix":""}],"container-title":"Journal of Happiness Studies","id":"ITEM-1","issue":"4","issued":{"date-parts":[["2012","8","16"]]},"page":"659-684","title":"What is psychological well-being, really? A grassroots approach from the organizational sciences","type":"article-journal","volume":"13"},"uris":["http://www.mendeley.com/documents/?uuid=14753286-d25f-42e2-b519-3f04b362ba14"]}],"mendeley":{"formattedCitation":"(Dagenais-Desmarais &amp; Savoie, 2012)","plainTextFormattedCitation":"(Dagenais-Desmarais &amp; Savoie, 2012)","previouslyFormattedCitation":"(Dagenais-Desmarais &amp; Savoie, 2012)"},"properties":{"noteIndex":0},"schema":"https://github.com/citation-style-language/schema/raw/master/csl-citation.json"}</w:instrText>
      </w:r>
      <w:r w:rsidRPr="00297D77">
        <w:rPr>
          <w:sz w:val="24"/>
          <w:szCs w:val="24"/>
          <w:lang w:val="en-US"/>
        </w:rPr>
        <w:fldChar w:fldCharType="separate"/>
      </w:r>
      <w:r w:rsidRPr="00297D77">
        <w:rPr>
          <w:noProof/>
          <w:sz w:val="24"/>
          <w:szCs w:val="24"/>
        </w:rPr>
        <w:t>(Dagenais-Desmarais &amp; Savoie, 2012)</w:t>
      </w:r>
      <w:r w:rsidRPr="00297D77">
        <w:rPr>
          <w:sz w:val="24"/>
          <w:szCs w:val="24"/>
          <w:lang w:val="en-US"/>
        </w:rPr>
        <w:fldChar w:fldCharType="end"/>
      </w:r>
      <w:r w:rsidRPr="00297D77">
        <w:rPr>
          <w:sz w:val="24"/>
          <w:szCs w:val="24"/>
        </w:rPr>
        <w:t xml:space="preserve">, while others focus on emotional aspects, such as the ability to manage both positive and negative emotions in a healthy way and the ability to regulate emotions </w:t>
      </w:r>
      <w:r w:rsidRPr="00297D77">
        <w:rPr>
          <w:sz w:val="24"/>
          <w:szCs w:val="24"/>
          <w:lang w:val="en-US"/>
        </w:rPr>
        <w:fldChar w:fldCharType="begin" w:fldLock="1"/>
      </w:r>
      <w:r w:rsidRPr="00297D77">
        <w:rPr>
          <w:sz w:val="24"/>
          <w:szCs w:val="24"/>
        </w:rPr>
        <w:instrText>ADDIN CSL_CITATION {"citationItems":[{"id":"ITEM-1","itemData":{"DOI":"10.1007/s10902-006-9019-0","ISSN":"1389-4978","author":[{"dropping-particle":"","family":"Ryff","given":"Carol D.","non-dropping-particle":"","parse-names":false,"suffix":""},{"dropping-particle":"","family":"Singer","given":"Burton H.","non-dropping-particle":"","parse-names":false,"suffix":""}],"container-title":"Journal of Happiness Studies","id":"ITEM-1","issue":"1","issued":{"date-parts":[["2008","1","5"]]},"page":"13-39","title":"Know thyself and become what you are: A eudaimonic approach to psychological well-being","type":"article-journal","volume":"9"},"uris":["http://www.mendeley.com/documents/?uuid=2c3da26f-998f-459f-9ab0-55b0579115e1"]}],"mendeley":{"formattedCitation":"(Ryff &amp; Singer, 2008)","plainTextFormattedCitation":"(Ryff &amp; Singer, 2008)","previouslyFormattedCitation":"(Ryff &amp; Singer, 2008)"},"properties":{"noteIndex":0},"schema":"https://github.com/citation-style-language/schema/raw/master/csl-citation.json"}</w:instrText>
      </w:r>
      <w:r w:rsidRPr="00297D77">
        <w:rPr>
          <w:sz w:val="24"/>
          <w:szCs w:val="24"/>
          <w:lang w:val="en-US"/>
        </w:rPr>
        <w:fldChar w:fldCharType="separate"/>
      </w:r>
      <w:r w:rsidRPr="00297D77">
        <w:rPr>
          <w:noProof/>
          <w:sz w:val="24"/>
          <w:szCs w:val="24"/>
        </w:rPr>
        <w:t>(Ryff &amp; Singer, 2008)</w:t>
      </w:r>
      <w:r w:rsidRPr="00297D77">
        <w:rPr>
          <w:sz w:val="24"/>
          <w:szCs w:val="24"/>
          <w:lang w:val="en-US"/>
        </w:rPr>
        <w:fldChar w:fldCharType="end"/>
      </w:r>
      <w:r w:rsidRPr="00297D77">
        <w:rPr>
          <w:sz w:val="24"/>
          <w:szCs w:val="24"/>
        </w:rPr>
        <w:t xml:space="preserve">. In this context, psychological well-being (PW) emerges as a crucial element in preserving optimal mental health. It goes beyond the mere absence of mental or emotional disorders, also encompassing a sense of well-being and fulfilment. Likewise, the psychological well-being of nursing professionals (NPs) significantly influences their own health, the quality of patient care, and the stability of the healthcare system as a whole </w:t>
      </w:r>
      <w:r w:rsidRPr="00297D77">
        <w:rPr>
          <w:sz w:val="24"/>
          <w:szCs w:val="24"/>
          <w:lang w:val="en-US"/>
        </w:rPr>
        <w:fldChar w:fldCharType="begin" w:fldLock="1"/>
      </w:r>
      <w:r w:rsidRPr="00297D77">
        <w:rPr>
          <w:sz w:val="24"/>
          <w:szCs w:val="24"/>
        </w:rPr>
        <w:instrText>ADDIN CSL_CITATION {"citationItems":[{"id":"ITEM-1","itemData":{"DOI":"10.1177/08980101221079472","ISSN":"0898-0101","abstract":"Introduction: The impact of occupational stress on the mental health and well-being of nurses is a growing concern, magnified by the COVID-19 pandemic. Such compromised health is considered an occupational and patient safety risk. Our aim is to critically examine, analyze, and synthesize the evidence regarding MBSR on the perceived stress levels of nurses including overall mental health and well-being. Methods: An integrative review was conducted. Databases included were PubMed, Embase, PsychINFO, CINAHL, and the Cochrane Library. Inclusion criteria were English only, MBSR, and practicing nurses. Results: We identified 833 articles during database searching. After removal of duplicates and two rounds of screening, 15 articles were included in the final analysis. Several themes were derived with 60% of the studies showing a significant effect of MBSR on decreasing stress. Other significant themes were the decrease in burnout and increase in mindfulness. Conclusions: MBSR may be an effective holistic method of improving mental health for nurses during the COVID-19 pandemic. In both the abbreviated and full, 8-week versions of MBSR, the findings indicate the intervention can reduce depression, anxiety, and stress. Future recommendations include larger sample sizes and measurements other than self-reports to promote generalizability.","author":[{"dropping-particle":"","family":"Wexler","given":"Teressa M.","non-dropping-particle":"","parse-names":false,"suffix":""},{"dropping-particle":"","family":"Schellinger","given":"Jana","non-dropping-particle":"","parse-names":false,"suffix":""}],"container-title":"Journal of Holistic Nursing","id":"ITEM-1","issue":"1","issued":{"date-parts":[["2023","3","25"]]},"page":"40-59","title":"Mindfulness-based stress reduction for nurses: An integrative review","type":"article-journal","volume":"41"},"uris":["http://www.mendeley.com/documents/?uuid=d31994ff-f4a1-491c-bea1-1e138c371510"]}],"mendeley":{"formattedCitation":"(Wexler &amp; Schellinger, 2023)","plainTextFormattedCitation":"(Wexler &amp; Schellinger, 2023)","previouslyFormattedCitation":"(Wexler &amp; Schellinger, 2023)"},"properties":{"noteIndex":0},"schema":"https://github.com/citation-style-language/schema/raw/master/csl-citation.json"}</w:instrText>
      </w:r>
      <w:r w:rsidRPr="00297D77">
        <w:rPr>
          <w:sz w:val="24"/>
          <w:szCs w:val="24"/>
          <w:lang w:val="en-US"/>
        </w:rPr>
        <w:fldChar w:fldCharType="separate"/>
      </w:r>
      <w:r w:rsidRPr="00297D77">
        <w:rPr>
          <w:noProof/>
          <w:sz w:val="24"/>
          <w:szCs w:val="24"/>
        </w:rPr>
        <w:t>(Wexler &amp; Schellinger, 2023)</w:t>
      </w:r>
      <w:r w:rsidRPr="00297D77">
        <w:rPr>
          <w:sz w:val="24"/>
          <w:szCs w:val="24"/>
          <w:lang w:val="en-US"/>
        </w:rPr>
        <w:fldChar w:fldCharType="end"/>
      </w:r>
      <w:r w:rsidRPr="00297D77">
        <w:rPr>
          <w:sz w:val="24"/>
          <w:szCs w:val="24"/>
        </w:rPr>
        <w:t>.</w:t>
      </w:r>
    </w:p>
    <w:p w14:paraId="74B9AC74" w14:textId="151D48A3" w:rsidR="00313AF5" w:rsidRPr="00297D77" w:rsidRDefault="00A31F4B" w:rsidP="00297D77">
      <w:pPr>
        <w:spacing w:line="360" w:lineRule="auto"/>
        <w:rPr>
          <w:b/>
          <w:bCs/>
          <w:i/>
          <w:iCs/>
          <w:color w:val="000000"/>
          <w:sz w:val="24"/>
          <w:szCs w:val="24"/>
          <w:lang w:val="en-US"/>
        </w:rPr>
      </w:pPr>
      <w:r w:rsidRPr="00A31F4B">
        <w:rPr>
          <w:b/>
          <w:bCs/>
          <w:i/>
          <w:iCs/>
          <w:color w:val="FF0000"/>
          <w:sz w:val="24"/>
          <w:szCs w:val="24"/>
        </w:rPr>
        <w:t>Contextual therapies</w:t>
      </w:r>
    </w:p>
    <w:p w14:paraId="046573E0" w14:textId="205C2D0F" w:rsidR="00313AF5" w:rsidRPr="00297D77" w:rsidRDefault="00A336F2" w:rsidP="00A336F2">
      <w:pPr>
        <w:spacing w:line="360" w:lineRule="auto"/>
        <w:jc w:val="left"/>
        <w:rPr>
          <w:color w:val="000000"/>
          <w:sz w:val="24"/>
          <w:szCs w:val="24"/>
          <w:lang w:val="en-US"/>
        </w:rPr>
      </w:pPr>
      <w:r>
        <w:rPr>
          <w:color w:val="000000"/>
          <w:sz w:val="24"/>
          <w:szCs w:val="24"/>
        </w:rPr>
        <w:t xml:space="preserve">Contextual therapies, such as </w:t>
      </w:r>
      <w:r w:rsidR="00BC3217" w:rsidRPr="00297D77">
        <w:rPr>
          <w:color w:val="000000"/>
          <w:sz w:val="24"/>
          <w:szCs w:val="24"/>
        </w:rPr>
        <w:t xml:space="preserve">Dialectical </w:t>
      </w:r>
      <w:proofErr w:type="spellStart"/>
      <w:r w:rsidR="00156A0D" w:rsidRPr="00924D0F">
        <w:rPr>
          <w:color w:val="FF0000"/>
          <w:sz w:val="24"/>
          <w:szCs w:val="24"/>
        </w:rPr>
        <w:t>behavioral</w:t>
      </w:r>
      <w:proofErr w:type="spellEnd"/>
      <w:r w:rsidR="00156A0D" w:rsidRPr="00924D0F">
        <w:rPr>
          <w:color w:val="FF0000"/>
          <w:sz w:val="24"/>
          <w:szCs w:val="24"/>
        </w:rPr>
        <w:t xml:space="preserve"> </w:t>
      </w:r>
      <w:r w:rsidR="00BC3217" w:rsidRPr="00297D77">
        <w:rPr>
          <w:color w:val="000000"/>
          <w:sz w:val="24"/>
          <w:szCs w:val="24"/>
        </w:rPr>
        <w:t xml:space="preserve">therapy (DBT), which is prominent in this category, has proven effective for various mental health issues </w:t>
      </w:r>
      <w:r w:rsidR="00BC3217" w:rsidRPr="00297D77">
        <w:rPr>
          <w:color w:val="000000"/>
          <w:sz w:val="24"/>
          <w:szCs w:val="24"/>
          <w:lang w:val="en-US"/>
        </w:rPr>
        <w:fldChar w:fldCharType="begin" w:fldLock="1"/>
      </w:r>
      <w:r w:rsidR="00BC3217" w:rsidRPr="00297D77">
        <w:rPr>
          <w:color w:val="000000"/>
          <w:sz w:val="24"/>
          <w:szCs w:val="24"/>
        </w:rPr>
        <w:instrText>ADDIN CSL_CITATION {"citationItems":[{"id":"ITEM-1","itemData":{"author":[{"dropping-particle":"","family":"Linehan","given":"M","non-dropping-particle":"","parse-names":false,"suffix":""}],"edition":"Second","id":"ITEM-1","issued":{"date-parts":[["2015"]]},"publisher":"New York, NY: Guilford Publications","title":"Skills training manual","type":"book"},"uris":["http://www.mendeley.com/documents/?uuid=83beb87f-825b-488c-b261-8445583449c9"]}],"mendeley":{"formattedCitation":"(Linehan, 2015)","plainTextFormattedCitation":"(Linehan, 2015)","previouslyFormattedCitation":"(Linehan, 2015)"},"properties":{"noteIndex":0},"schema":"https://github.com/citation-style-language/schema/raw/master/csl-citation.json"}</w:instrText>
      </w:r>
      <w:r w:rsidR="00BC3217" w:rsidRPr="00297D77">
        <w:rPr>
          <w:color w:val="000000"/>
          <w:sz w:val="24"/>
          <w:szCs w:val="24"/>
          <w:lang w:val="en-US"/>
        </w:rPr>
        <w:fldChar w:fldCharType="separate"/>
      </w:r>
      <w:r w:rsidR="00BC3217" w:rsidRPr="00297D77">
        <w:rPr>
          <w:noProof/>
          <w:color w:val="000000"/>
          <w:sz w:val="24"/>
          <w:szCs w:val="24"/>
        </w:rPr>
        <w:t>(Linehan, 2015)</w:t>
      </w:r>
      <w:r w:rsidR="00BC3217" w:rsidRPr="00297D77">
        <w:rPr>
          <w:color w:val="000000"/>
          <w:sz w:val="24"/>
          <w:szCs w:val="24"/>
          <w:lang w:val="en-US"/>
        </w:rPr>
        <w:fldChar w:fldCharType="end"/>
      </w:r>
      <w:r w:rsidR="00BC3217" w:rsidRPr="00297D77">
        <w:rPr>
          <w:color w:val="000000"/>
          <w:sz w:val="24"/>
          <w:szCs w:val="24"/>
        </w:rPr>
        <w:t xml:space="preserve">. It combines behavioral strategies with acceptance and mindfulness techniques, emphasizing emotional regulation and distress tolerance. It is based on the premise that individuals can acquire skills to manage intense emotions and reduce impulsivity. Similarly, </w:t>
      </w:r>
      <w:r w:rsidRPr="00A336F2">
        <w:rPr>
          <w:color w:val="FF0000"/>
          <w:sz w:val="24"/>
          <w:szCs w:val="24"/>
        </w:rPr>
        <w:t>contextual</w:t>
      </w:r>
      <w:r w:rsidR="00BC3217" w:rsidRPr="00A336F2">
        <w:rPr>
          <w:color w:val="FF0000"/>
          <w:sz w:val="24"/>
          <w:szCs w:val="24"/>
        </w:rPr>
        <w:t xml:space="preserve"> therapies </w:t>
      </w:r>
      <w:r w:rsidR="00BC3217" w:rsidRPr="00297D77">
        <w:rPr>
          <w:color w:val="000000"/>
          <w:sz w:val="24"/>
          <w:szCs w:val="24"/>
        </w:rPr>
        <w:t xml:space="preserve">include </w:t>
      </w:r>
      <w:r w:rsidR="00156A0D" w:rsidRPr="00156A0D">
        <w:rPr>
          <w:color w:val="FF0000"/>
          <w:sz w:val="24"/>
          <w:szCs w:val="24"/>
        </w:rPr>
        <w:t>A</w:t>
      </w:r>
      <w:r w:rsidR="00BC3217" w:rsidRPr="00156A0D">
        <w:rPr>
          <w:color w:val="FF0000"/>
          <w:sz w:val="24"/>
          <w:szCs w:val="24"/>
        </w:rPr>
        <w:t xml:space="preserve">cceptance and </w:t>
      </w:r>
      <w:r w:rsidR="00156A0D" w:rsidRPr="00156A0D">
        <w:rPr>
          <w:color w:val="FF0000"/>
          <w:sz w:val="24"/>
          <w:szCs w:val="24"/>
        </w:rPr>
        <w:t>C</w:t>
      </w:r>
      <w:r w:rsidR="00BC3217" w:rsidRPr="00156A0D">
        <w:rPr>
          <w:color w:val="FF0000"/>
          <w:sz w:val="24"/>
          <w:szCs w:val="24"/>
        </w:rPr>
        <w:t xml:space="preserve">ommitment </w:t>
      </w:r>
      <w:r w:rsidR="00156A0D" w:rsidRPr="00156A0D">
        <w:rPr>
          <w:color w:val="FF0000"/>
          <w:sz w:val="24"/>
          <w:szCs w:val="24"/>
        </w:rPr>
        <w:t>T</w:t>
      </w:r>
      <w:r w:rsidR="00BC3217" w:rsidRPr="00156A0D">
        <w:rPr>
          <w:color w:val="FF0000"/>
          <w:sz w:val="24"/>
          <w:szCs w:val="24"/>
        </w:rPr>
        <w:t>herapy (ACT)</w:t>
      </w:r>
      <w:r w:rsidR="00BC3217" w:rsidRPr="00297D77">
        <w:rPr>
          <w:color w:val="000000"/>
          <w:sz w:val="24"/>
          <w:szCs w:val="24"/>
        </w:rPr>
        <w:t xml:space="preserve">, which focuses on assisting individuals in accepting difficult thoughts and emotions rather than fighting or trying to control them </w:t>
      </w:r>
      <w:r w:rsidR="00BC3217" w:rsidRPr="00297D77">
        <w:rPr>
          <w:color w:val="000000"/>
          <w:sz w:val="24"/>
          <w:szCs w:val="24"/>
          <w:lang w:val="en-US"/>
        </w:rPr>
        <w:fldChar w:fldCharType="begin" w:fldLock="1"/>
      </w:r>
      <w:r w:rsidR="00BC3217" w:rsidRPr="00297D77">
        <w:rPr>
          <w:color w:val="000000"/>
          <w:sz w:val="24"/>
          <w:szCs w:val="24"/>
        </w:rPr>
        <w:instrText>ADDIN CSL_CITATION {"citationItems":[{"id":"ITEM-1","itemData":{"DOI":"10.1016/j.jcbs.2020.09.009","ISSN":"22121447","author":[{"dropping-particle":"","family":"Gloster","given":"Andrew T.","non-dropping-particle":"","parse-names":false,"suffix":""},{"dropping-particle":"","family":"Walder","given":"Noemi","non-dropping-particle":"","parse-names":false,"suffix":""},{"dropping-particle":"","family":"Levin","given":"Michael E.","non-dropping-particle":"","parse-names":false,"suffix":""},{"dropping-particle":"","family":"Twohig","given":"Michael P.","non-dropping-particle":"","parse-names":false,"suffix":""},{"dropping-particle":"","family":"Karekla","given":"Maria","non-dropping-particle":"","parse-names":false,"suffix":""}],"container-title":"Journal of Contextual Behavioral Science","id":"ITEM-1","issued":{"date-parts":[["2020","10"]]},"page":"181-192","title":"The empirical status of acceptance and commitment therapy: A review of meta-analyses","type":"article-journal","volume":"18"},"uris":["http://www.mendeley.com/documents/?uuid=8c1c6d95-2323-4b63-8104-520d5231c5d9"]}],"mendeley":{"formattedCitation":"(Gloster et al., 2020)","plainTextFormattedCitation":"(Gloster et al., 2020)","previouslyFormattedCitation":"(Gloster et al., 2020)"},"properties":{"noteIndex":0},"schema":"https://github.com/citation-style-language/schema/raw/master/csl-citation.json"}</w:instrText>
      </w:r>
      <w:r w:rsidR="00BC3217" w:rsidRPr="00297D77">
        <w:rPr>
          <w:color w:val="000000"/>
          <w:sz w:val="24"/>
          <w:szCs w:val="24"/>
          <w:lang w:val="en-US"/>
        </w:rPr>
        <w:fldChar w:fldCharType="separate"/>
      </w:r>
      <w:r w:rsidR="00BC3217" w:rsidRPr="00297D77">
        <w:rPr>
          <w:noProof/>
          <w:color w:val="000000"/>
          <w:sz w:val="24"/>
          <w:szCs w:val="24"/>
        </w:rPr>
        <w:t>(Gloster et al., 2020)</w:t>
      </w:r>
      <w:r w:rsidR="00BC3217" w:rsidRPr="00297D77">
        <w:rPr>
          <w:color w:val="000000"/>
          <w:sz w:val="24"/>
          <w:szCs w:val="24"/>
          <w:lang w:val="en-US"/>
        </w:rPr>
        <w:fldChar w:fldCharType="end"/>
      </w:r>
      <w:r w:rsidR="00BC3217" w:rsidRPr="00297D77">
        <w:rPr>
          <w:color w:val="000000"/>
          <w:sz w:val="24"/>
          <w:szCs w:val="24"/>
        </w:rPr>
        <w:t>.</w:t>
      </w:r>
    </w:p>
    <w:p w14:paraId="431B161E" w14:textId="1873C723" w:rsidR="00313AF5" w:rsidRPr="00297D77" w:rsidRDefault="00BC3217" w:rsidP="00297D77">
      <w:pPr>
        <w:spacing w:line="360" w:lineRule="auto"/>
        <w:ind w:firstLine="708"/>
        <w:jc w:val="left"/>
        <w:rPr>
          <w:color w:val="000000"/>
          <w:sz w:val="24"/>
          <w:szCs w:val="24"/>
          <w:lang w:val="en-US"/>
        </w:rPr>
      </w:pPr>
      <w:r w:rsidRPr="00297D77">
        <w:rPr>
          <w:color w:val="000000"/>
          <w:sz w:val="24"/>
          <w:szCs w:val="24"/>
        </w:rPr>
        <w:t xml:space="preserve">In addition to DBT and ACT, there are other therapeutic modalities for </w:t>
      </w:r>
      <w:r w:rsidR="00A336F2" w:rsidRPr="00A336F2">
        <w:rPr>
          <w:color w:val="FF0000"/>
          <w:sz w:val="24"/>
          <w:szCs w:val="24"/>
        </w:rPr>
        <w:t>contextual</w:t>
      </w:r>
      <w:r w:rsidRPr="00A336F2">
        <w:rPr>
          <w:color w:val="FF0000"/>
          <w:sz w:val="24"/>
          <w:szCs w:val="24"/>
        </w:rPr>
        <w:t xml:space="preserve"> </w:t>
      </w:r>
      <w:r w:rsidRPr="00297D77">
        <w:rPr>
          <w:color w:val="000000"/>
          <w:sz w:val="24"/>
          <w:szCs w:val="24"/>
        </w:rPr>
        <w:t xml:space="preserve">therapies. For example, </w:t>
      </w:r>
      <w:r w:rsidR="00924D0F">
        <w:rPr>
          <w:color w:val="000000"/>
          <w:sz w:val="24"/>
          <w:szCs w:val="24"/>
        </w:rPr>
        <w:t>M</w:t>
      </w:r>
      <w:r w:rsidRPr="00297D77">
        <w:rPr>
          <w:color w:val="000000"/>
          <w:sz w:val="24"/>
          <w:szCs w:val="24"/>
        </w:rPr>
        <w:t>indfulness-</w:t>
      </w:r>
      <w:r w:rsidR="00924D0F">
        <w:rPr>
          <w:color w:val="000000"/>
          <w:sz w:val="24"/>
          <w:szCs w:val="24"/>
        </w:rPr>
        <w:t>B</w:t>
      </w:r>
      <w:r w:rsidRPr="00297D77">
        <w:rPr>
          <w:color w:val="000000"/>
          <w:sz w:val="24"/>
          <w:szCs w:val="24"/>
        </w:rPr>
        <w:t xml:space="preserve">ased </w:t>
      </w:r>
      <w:r w:rsidR="00924D0F">
        <w:rPr>
          <w:color w:val="000000"/>
          <w:sz w:val="24"/>
          <w:szCs w:val="24"/>
        </w:rPr>
        <w:t>C</w:t>
      </w:r>
      <w:r w:rsidRPr="00297D77">
        <w:rPr>
          <w:color w:val="000000"/>
          <w:sz w:val="24"/>
          <w:szCs w:val="24"/>
        </w:rPr>
        <w:t xml:space="preserve">ognitive </w:t>
      </w:r>
      <w:r w:rsidR="00924D0F">
        <w:rPr>
          <w:color w:val="000000"/>
          <w:sz w:val="24"/>
          <w:szCs w:val="24"/>
        </w:rPr>
        <w:t>T</w:t>
      </w:r>
      <w:r w:rsidRPr="00297D77">
        <w:rPr>
          <w:color w:val="000000"/>
          <w:sz w:val="24"/>
          <w:szCs w:val="24"/>
        </w:rPr>
        <w:t xml:space="preserve">herapy combines elements of cognitive therapy with mindfulness practices. Its main focus is to help individuals develop greater awareness of their thoughts, emotions, and bodily sensations through mindfulness, allowing them to observe them without judgment or automatic reaction </w:t>
      </w:r>
      <w:r w:rsidRPr="00297D77">
        <w:rPr>
          <w:color w:val="000000"/>
          <w:sz w:val="24"/>
          <w:szCs w:val="24"/>
          <w:lang w:val="en-US"/>
        </w:rPr>
        <w:fldChar w:fldCharType="begin" w:fldLock="1"/>
      </w:r>
      <w:r w:rsidRPr="00297D77">
        <w:rPr>
          <w:color w:val="000000"/>
          <w:sz w:val="24"/>
          <w:szCs w:val="24"/>
        </w:rPr>
        <w:instrText>ADDIN CSL_CITATION {"citationItems":[{"id":"ITEM-1","itemData":{"DOI":"10.1080/16506073.2018.1556330","ISSN":"1650-6073","author":[{"dropping-particle":"","family":"Goldberg","given":"Simon B.","non-dropping-particle":"","parse-names":false,"suffix":""},{"dropping-particle":"","family":"Tucker","given":"Raymond P.","non-dropping-particle":"","parse-names":false,"suffix":""},{"dropping-particle":"","family":"Greene","given":"Preston A.","non-dropping-particle":"","parse-names":false,"suffix":""},{"dropping-particle":"","family":"Davidson","given":"Richard J.","non-dropping-particle":"","parse-names":false,"suffix":""},{"dropping-particle":"","family":"Kearney","given":"David J.","non-dropping-particle":"","parse-names":false,"suffix":""},{"dropping-particle":"","family":"Simpson","given":"Tracy L.","non-dropping-particle":"","parse-names":false,"suffix":""}],"container-title":"Cognitive Behaviour Therapy","id":"ITEM-1","issue":"6","issued":{"date-parts":[["2019","11","2"]]},"page":"445-462","title":"Mindfulness-based cognitive therapy for the treatment of current depressive symptoms: a meta-analysis","type":"article-journal","volume":"48"},"uris":["http://www.mendeley.com/documents/?uuid=a6b7639e-cb58-4edd-94c1-33c7d4558f78"]}],"mendeley":{"formattedCitation":"(Goldberg et al., 2019)","plainTextFormattedCitation":"(Goldberg et al., 2019)","previouslyFormattedCitation":"(Goldberg et al., 2019)"},"properties":{"noteIndex":0},"schema":"https://github.com/citation-style-language/schema/raw/master/csl-citation.json"}</w:instrText>
      </w:r>
      <w:r w:rsidRPr="00297D77">
        <w:rPr>
          <w:color w:val="000000"/>
          <w:sz w:val="24"/>
          <w:szCs w:val="24"/>
          <w:lang w:val="en-US"/>
        </w:rPr>
        <w:fldChar w:fldCharType="separate"/>
      </w:r>
      <w:r w:rsidRPr="00297D77">
        <w:rPr>
          <w:noProof/>
          <w:color w:val="000000"/>
          <w:sz w:val="24"/>
          <w:szCs w:val="24"/>
        </w:rPr>
        <w:t>(Goldberg et al., 2019)</w:t>
      </w:r>
      <w:r w:rsidRPr="00297D77">
        <w:rPr>
          <w:color w:val="000000"/>
          <w:sz w:val="24"/>
          <w:szCs w:val="24"/>
          <w:lang w:val="en-US"/>
        </w:rPr>
        <w:fldChar w:fldCharType="end"/>
      </w:r>
      <w:r w:rsidRPr="00297D77">
        <w:rPr>
          <w:color w:val="000000"/>
          <w:sz w:val="24"/>
          <w:szCs w:val="24"/>
        </w:rPr>
        <w:t xml:space="preserve">. On the other hand, functional analytic psychotherapy is based on the theory of functional analysis, which involves identifying and understanding how problematic </w:t>
      </w:r>
      <w:proofErr w:type="spellStart"/>
      <w:r w:rsidRPr="00297D77">
        <w:rPr>
          <w:color w:val="000000"/>
          <w:sz w:val="24"/>
          <w:szCs w:val="24"/>
        </w:rPr>
        <w:t>behaviors</w:t>
      </w:r>
      <w:proofErr w:type="spellEnd"/>
      <w:r w:rsidRPr="00297D77">
        <w:rPr>
          <w:color w:val="000000"/>
          <w:sz w:val="24"/>
          <w:szCs w:val="24"/>
        </w:rPr>
        <w:t xml:space="preserve"> are maintained in the context of relationships with others. It focuses on improving interpersonal relationships by addressing dysfunctional patterns of </w:t>
      </w:r>
      <w:proofErr w:type="spellStart"/>
      <w:r w:rsidRPr="00297D77">
        <w:rPr>
          <w:color w:val="000000"/>
          <w:sz w:val="24"/>
          <w:szCs w:val="24"/>
        </w:rPr>
        <w:t>behavior</w:t>
      </w:r>
      <w:proofErr w:type="spellEnd"/>
      <w:r w:rsidRPr="00297D77">
        <w:rPr>
          <w:color w:val="000000"/>
          <w:sz w:val="24"/>
          <w:szCs w:val="24"/>
        </w:rPr>
        <w:t xml:space="preserve"> in social interactions </w:t>
      </w:r>
      <w:r w:rsidRPr="00297D77">
        <w:rPr>
          <w:color w:val="000000"/>
          <w:sz w:val="24"/>
          <w:szCs w:val="24"/>
          <w:lang w:val="en-US"/>
        </w:rPr>
        <w:fldChar w:fldCharType="begin" w:fldLock="1"/>
      </w:r>
      <w:r w:rsidRPr="00297D77">
        <w:rPr>
          <w:color w:val="000000"/>
          <w:sz w:val="24"/>
          <w:szCs w:val="24"/>
        </w:rPr>
        <w:instrText>ADDIN CSL_CITATION {"citationItems":[{"id":"ITEM-1","itemData":{"DOI":"https://doi.org/10.7334/psicothema2018.202","author":[{"dropping-particle":"","family":"Macías","given":"J","non-dropping-particle":"","parse-names":false,"suffix":""},{"dropping-particle":"","family":"Valero-Aguayo","given":"L","non-dropping-particle":"","parse-names":false,"suffix":""},{"dropping-particle":"","family":"Bond","given":"F","non-dropping-particle":"","parse-names":false,"suffix":""},{"dropping-particle":"","family":"Blanca","given":"M","non-dropping-particle":"","parse-names":false,"suffix":""}],"container-title":"Psicothema","id":"ITEM-1","issue":"1","issued":{"date-parts":[["2019"]]},"page":"24-29","title":"The efficacy of functional-analytic psychotherapy and acceptance and commitment therapy (FACT) for public employees","type":"article-journal","volume":"31"},"uris":["http://www.mendeley.com/documents/?uuid=0661ca5a-a173-4acf-8db9-9a380e19ea0c"]}],"mendeley":{"formattedCitation":"(Macías et al., 2019)","plainTextFormattedCitation":"(Macías et al., 2019)","previouslyFormattedCitation":"(Macías et al., 2019)"},"properties":{"noteIndex":0},"schema":"https://github.com/citation-style-language/schema/raw/master/csl-citation.json"}</w:instrText>
      </w:r>
      <w:r w:rsidRPr="00297D77">
        <w:rPr>
          <w:color w:val="000000"/>
          <w:sz w:val="24"/>
          <w:szCs w:val="24"/>
          <w:lang w:val="en-US"/>
        </w:rPr>
        <w:fldChar w:fldCharType="separate"/>
      </w:r>
      <w:r w:rsidRPr="00297D77">
        <w:rPr>
          <w:noProof/>
          <w:color w:val="000000"/>
          <w:sz w:val="24"/>
          <w:szCs w:val="24"/>
        </w:rPr>
        <w:t>(Macías et al., 2019)</w:t>
      </w:r>
      <w:r w:rsidRPr="00297D77">
        <w:rPr>
          <w:color w:val="000000"/>
          <w:sz w:val="24"/>
          <w:szCs w:val="24"/>
          <w:lang w:val="en-US"/>
        </w:rPr>
        <w:fldChar w:fldCharType="end"/>
      </w:r>
      <w:r w:rsidRPr="00297D77">
        <w:rPr>
          <w:color w:val="000000"/>
          <w:sz w:val="24"/>
          <w:szCs w:val="24"/>
        </w:rPr>
        <w:t xml:space="preserve">. The therapist works in real time with the client, providing immediate feedback and reinforcing desired </w:t>
      </w:r>
      <w:proofErr w:type="spellStart"/>
      <w:r w:rsidRPr="00297D77">
        <w:rPr>
          <w:color w:val="000000"/>
          <w:sz w:val="24"/>
          <w:szCs w:val="24"/>
        </w:rPr>
        <w:t>behaviors</w:t>
      </w:r>
      <w:proofErr w:type="spellEnd"/>
      <w:r w:rsidRPr="00297D77">
        <w:rPr>
          <w:color w:val="000000"/>
          <w:sz w:val="24"/>
          <w:szCs w:val="24"/>
        </w:rPr>
        <w:t xml:space="preserve">. Metacognitive therapy focuses on how people think about their own thoughts and how they regulate and monitor their cognitive processes. Instead of solely focusing on modifying </w:t>
      </w:r>
      <w:r w:rsidRPr="00297D77">
        <w:rPr>
          <w:color w:val="000000"/>
          <w:sz w:val="24"/>
          <w:szCs w:val="24"/>
        </w:rPr>
        <w:lastRenderedPageBreak/>
        <w:t xml:space="preserve">negative thoughts, this intervention seeks to help individuals change their thinking strategies and their relationships with thought, such as through rumination and excessive worrying </w:t>
      </w:r>
      <w:r w:rsidRPr="00297D77">
        <w:rPr>
          <w:color w:val="000000"/>
          <w:sz w:val="24"/>
          <w:szCs w:val="24"/>
          <w:lang w:val="en-US"/>
        </w:rPr>
        <w:fldChar w:fldCharType="begin" w:fldLock="1"/>
      </w:r>
      <w:r w:rsidRPr="00297D77">
        <w:rPr>
          <w:color w:val="000000"/>
          <w:sz w:val="24"/>
          <w:szCs w:val="24"/>
        </w:rPr>
        <w:instrText>ADDIN CSL_CITATION {"citationItems":[{"id":"ITEM-1","itemData":{"DOI":"10.3389/fpsyg.2018.02211","ISSN":"1664-1078","author":[{"dropping-particle":"","family":"Normann","given":"Nicoline","non-dropping-particle":"","parse-names":false,"suffix":""},{"dropping-particle":"","family":"Morina","given":"Nexhmedin","non-dropping-particle":"","parse-names":false,"suffix":""}],"container-title":"Frontiers in Psychology","id":"ITEM-1","issued":{"date-parts":[["2018","11","14"]]},"title":"The efficacy of metacognitive therapy: A systematic review and meta-analysis","type":"article-journal","volume":"9"},"uris":["http://www.mendeley.com/documents/?uuid=c0498db9-07c7-4954-b4ca-90843d397104"]}],"mendeley":{"formattedCitation":"(Normann &amp; Morina, 2018)","plainTextFormattedCitation":"(Normann &amp; Morina, 2018)","previouslyFormattedCitation":"(Normann &amp; Morina, 2018)"},"properties":{"noteIndex":0},"schema":"https://github.com/citation-style-language/schema/raw/master/csl-citation.json"}</w:instrText>
      </w:r>
      <w:r w:rsidRPr="00297D77">
        <w:rPr>
          <w:color w:val="000000"/>
          <w:sz w:val="24"/>
          <w:szCs w:val="24"/>
          <w:lang w:val="en-US"/>
        </w:rPr>
        <w:fldChar w:fldCharType="separate"/>
      </w:r>
      <w:r w:rsidRPr="00297D77">
        <w:rPr>
          <w:noProof/>
          <w:color w:val="000000"/>
          <w:sz w:val="24"/>
          <w:szCs w:val="24"/>
        </w:rPr>
        <w:t>(Normann &amp; Morina, 2018)</w:t>
      </w:r>
      <w:r w:rsidRPr="00297D77">
        <w:rPr>
          <w:color w:val="000000"/>
          <w:sz w:val="24"/>
          <w:szCs w:val="24"/>
          <w:lang w:val="en-US"/>
        </w:rPr>
        <w:fldChar w:fldCharType="end"/>
      </w:r>
      <w:r w:rsidRPr="00297D77">
        <w:rPr>
          <w:color w:val="000000"/>
          <w:sz w:val="24"/>
          <w:szCs w:val="24"/>
        </w:rPr>
        <w:t>. It is based on the idea, that changing the way people think about their thoughts can be an effective strategy for addressing mental health problems.</w:t>
      </w:r>
    </w:p>
    <w:p w14:paraId="012C4A27" w14:textId="23EC3DA9" w:rsidR="00313AF5" w:rsidRPr="00297D77" w:rsidRDefault="00BC3217" w:rsidP="00297D77">
      <w:pPr>
        <w:spacing w:line="360" w:lineRule="auto"/>
        <w:ind w:firstLine="708"/>
        <w:jc w:val="left"/>
        <w:rPr>
          <w:color w:val="000000"/>
          <w:sz w:val="24"/>
          <w:szCs w:val="24"/>
          <w:lang w:val="en-US"/>
        </w:rPr>
      </w:pPr>
      <w:r w:rsidRPr="00297D77">
        <w:rPr>
          <w:color w:val="000000"/>
          <w:sz w:val="24"/>
          <w:szCs w:val="24"/>
        </w:rPr>
        <w:t xml:space="preserve">These </w:t>
      </w:r>
      <w:r w:rsidR="00A336F2">
        <w:rPr>
          <w:color w:val="000000"/>
          <w:sz w:val="24"/>
          <w:szCs w:val="24"/>
        </w:rPr>
        <w:t>contextual</w:t>
      </w:r>
      <w:r w:rsidRPr="00297D77">
        <w:rPr>
          <w:color w:val="000000"/>
          <w:sz w:val="24"/>
          <w:szCs w:val="24"/>
        </w:rPr>
        <w:t xml:space="preserve"> therapies share a common theoretical basis, focusing on promoting acceptance, mindfulness, commitment, and emotional self-regulation (García et al., 2017). Although each of these therapeutic modalities has its own techniques and specific approaches, their overall goal is to assist individuals in developing psychological and emotional skills, facilitating a more fulfilling and meaningful life. The four fundamental skills of dialectical </w:t>
      </w:r>
      <w:proofErr w:type="spellStart"/>
      <w:r w:rsidRPr="00297D77">
        <w:rPr>
          <w:color w:val="000000"/>
          <w:sz w:val="24"/>
          <w:szCs w:val="24"/>
        </w:rPr>
        <w:t>behavior</w:t>
      </w:r>
      <w:proofErr w:type="spellEnd"/>
      <w:r w:rsidRPr="00297D77">
        <w:rPr>
          <w:color w:val="000000"/>
          <w:sz w:val="24"/>
          <w:szCs w:val="24"/>
        </w:rPr>
        <w:t xml:space="preserve"> therapy—distress tolerance, mindfulness, emotional regulation, and interpersonal effectiveness—are referred to as </w:t>
      </w:r>
      <w:r w:rsidRPr="00156A0D">
        <w:rPr>
          <w:i/>
          <w:color w:val="FF0000"/>
          <w:sz w:val="24"/>
          <w:szCs w:val="24"/>
        </w:rPr>
        <w:t>DBT skills training</w:t>
      </w:r>
      <w:r w:rsidRPr="00156A0D">
        <w:rPr>
          <w:color w:val="FF0000"/>
          <w:sz w:val="24"/>
          <w:szCs w:val="24"/>
        </w:rPr>
        <w:t xml:space="preserve"> </w:t>
      </w:r>
      <w:r w:rsidRPr="00297D77">
        <w:rPr>
          <w:color w:val="000000"/>
          <w:sz w:val="24"/>
          <w:szCs w:val="24"/>
          <w:lang w:val="en-US"/>
        </w:rPr>
        <w:fldChar w:fldCharType="begin" w:fldLock="1"/>
      </w:r>
      <w:r w:rsidRPr="00297D77">
        <w:rPr>
          <w:color w:val="000000"/>
          <w:sz w:val="24"/>
          <w:szCs w:val="24"/>
        </w:rPr>
        <w:instrText>ADDIN CSL_CITATION {"citationItems":[{"id":"ITEM-1","itemData":{"author":[{"dropping-particle":"","family":"Dijk","given":"S","non-dropping-particle":"Van","parse-names":false,"suffix":""}],"id":"ITEM-1","issued":{"date-parts":[["2013"]]},"publisher":"New Harbinger Publications","title":"DBT made simple: A step-by-step guide to Dialectical Behavior Therapy","type":"book"},"uris":["http://www.mendeley.com/documents/?uuid=6ec2a39b-454f-48f7-a569-ac0a96d0be61"]}],"mendeley":{"formattedCitation":"(Van Dijk, 2013)","plainTextFormattedCitation":"(Van Dijk, 2013)","previouslyFormattedCitation":"(Van Dijk, 2013)"},"properties":{"noteIndex":0},"schema":"https://github.com/citation-style-language/schema/raw/master/csl-citation.json"}</w:instrText>
      </w:r>
      <w:r w:rsidRPr="00297D77">
        <w:rPr>
          <w:color w:val="000000"/>
          <w:sz w:val="24"/>
          <w:szCs w:val="24"/>
          <w:lang w:val="en-US"/>
        </w:rPr>
        <w:fldChar w:fldCharType="separate"/>
      </w:r>
      <w:r w:rsidRPr="00297D77">
        <w:rPr>
          <w:noProof/>
          <w:color w:val="000000"/>
          <w:sz w:val="24"/>
          <w:szCs w:val="24"/>
        </w:rPr>
        <w:t>(Van Dijk, 2013)</w:t>
      </w:r>
      <w:r w:rsidRPr="00297D77">
        <w:rPr>
          <w:color w:val="000000"/>
          <w:sz w:val="24"/>
          <w:szCs w:val="24"/>
          <w:lang w:val="en-US"/>
        </w:rPr>
        <w:fldChar w:fldCharType="end"/>
      </w:r>
      <w:r w:rsidRPr="00297D77">
        <w:rPr>
          <w:color w:val="000000"/>
          <w:sz w:val="24"/>
          <w:szCs w:val="24"/>
        </w:rPr>
        <w:t xml:space="preserve">. In 2021, a study investigated the impact of DBT skills training on emotional regulation and whether improvements in specific facets of emotional regulation would be linked to training in particular modules. A total of one hundred thirty-six patients diagnosed with various mental health conditions participated in the study. Emotional regulation was assessed at the beginning and end of each module. The analysis showed that each skills training module was associated with improvements in emotional regulation </w:t>
      </w:r>
      <w:r w:rsidRPr="00297D77">
        <w:rPr>
          <w:color w:val="000000"/>
          <w:sz w:val="24"/>
          <w:szCs w:val="24"/>
          <w:lang w:val="en-US"/>
        </w:rPr>
        <w:fldChar w:fldCharType="begin" w:fldLock="1"/>
      </w:r>
      <w:r w:rsidR="00826819" w:rsidRPr="00297D77">
        <w:rPr>
          <w:color w:val="000000"/>
          <w:sz w:val="24"/>
          <w:szCs w:val="24"/>
        </w:rPr>
        <w:instrText>ADDIN CSL_CITATION {"citationItems":[{"id":"ITEM-1","itemData":{"DOI":"10.1080/10503307.2021.1878306","ISSN":"1050-3307","author":[{"dropping-particle":"","family":"Heath","given":"Nicole","non-dropping-particle":"","parse-names":false,"suffix":""},{"dropping-particle":"","family":"Midkiff","given":"Melanie F.","non-dropping-particle":"","parse-names":false,"suffix":""},{"dropping-particle":"","family":"Gerhart","given":"James","non-dropping-particle":"","parse-names":false,"suffix":""},{"dropping-particle":"","family":"Turow","given":"Rachel Goldsmith","non-dropping-particle":"","parse-names":false,"suffix":""}],"container-title":"Psychotherapy Research","id":"ITEM-1","issue":"8","issued":{"date-parts":[["2021","11","17"]]},"page":"1001-1011","title":"Group-based DBT skills training modules are linked to independent and additive improvements in emotion regulation in a heterogeneous outpatient sample","type":"article-journal","volume":"31"},"uris":["http://www.mendeley.com/documents/?uuid=76d54e0b-ace5-4274-9cb4-8944d77295f3"]}],"mendeley":{"formattedCitation":"(Heath et al., 2021)","plainTextFormattedCitation":"(Heath et al., 2021)","previouslyFormattedCitation":"(Heath et al., 2021)"},"properties":{"noteIndex":0},"schema":"https://github.com/citation-style-language/schema/raw/master/csl-citation.json"}</w:instrText>
      </w:r>
      <w:r w:rsidRPr="00297D77">
        <w:rPr>
          <w:color w:val="000000"/>
          <w:sz w:val="24"/>
          <w:szCs w:val="24"/>
          <w:lang w:val="en-US"/>
        </w:rPr>
        <w:fldChar w:fldCharType="separate"/>
      </w:r>
      <w:r w:rsidRPr="00297D77">
        <w:rPr>
          <w:noProof/>
          <w:color w:val="000000"/>
          <w:sz w:val="24"/>
          <w:szCs w:val="24"/>
        </w:rPr>
        <w:t>(Heath et al., 2021)</w:t>
      </w:r>
      <w:r w:rsidRPr="00297D77">
        <w:rPr>
          <w:color w:val="000000"/>
          <w:sz w:val="24"/>
          <w:szCs w:val="24"/>
          <w:lang w:val="en-US"/>
        </w:rPr>
        <w:fldChar w:fldCharType="end"/>
      </w:r>
      <w:r w:rsidRPr="00297D77">
        <w:rPr>
          <w:color w:val="000000"/>
          <w:sz w:val="24"/>
          <w:szCs w:val="24"/>
        </w:rPr>
        <w:t>.</w:t>
      </w:r>
    </w:p>
    <w:p w14:paraId="1B257810" w14:textId="4C5F9BEA" w:rsidR="00826819" w:rsidRPr="00297D77" w:rsidRDefault="00BC3217" w:rsidP="00297D77">
      <w:pPr>
        <w:spacing w:line="360" w:lineRule="auto"/>
        <w:rPr>
          <w:b/>
          <w:bCs/>
          <w:i/>
          <w:iCs/>
          <w:color w:val="000000"/>
          <w:sz w:val="24"/>
          <w:szCs w:val="24"/>
        </w:rPr>
      </w:pPr>
      <w:r w:rsidRPr="00297D77">
        <w:rPr>
          <w:b/>
          <w:bCs/>
          <w:i/>
          <w:iCs/>
          <w:color w:val="000000"/>
          <w:sz w:val="24"/>
          <w:szCs w:val="24"/>
        </w:rPr>
        <w:t>Dialectical behavioral skills for nursing professionals</w:t>
      </w:r>
    </w:p>
    <w:p w14:paraId="077BB2A4" w14:textId="77777777" w:rsidR="00826819" w:rsidRPr="00297D77" w:rsidRDefault="00BC3217" w:rsidP="00297D77">
      <w:pPr>
        <w:spacing w:line="360" w:lineRule="auto"/>
        <w:jc w:val="left"/>
        <w:rPr>
          <w:color w:val="000000"/>
          <w:sz w:val="24"/>
          <w:szCs w:val="24"/>
          <w:lang w:val="en-US"/>
        </w:rPr>
      </w:pPr>
      <w:r w:rsidRPr="00297D77">
        <w:rPr>
          <w:color w:val="000000"/>
          <w:sz w:val="24"/>
          <w:szCs w:val="24"/>
        </w:rPr>
        <w:t xml:space="preserve">Implementing dialectical behavioral skills training (DBT) for nursing professionals (NPs) involves teaching a set of skills designed to help them manage their emotions, communicate effectively, and develop healthy relationships </w:t>
      </w:r>
      <w:r w:rsidRPr="00297D77">
        <w:rPr>
          <w:color w:val="000000"/>
          <w:sz w:val="24"/>
          <w:szCs w:val="24"/>
          <w:lang w:val="en-US"/>
        </w:rPr>
        <w:fldChar w:fldCharType="begin" w:fldLock="1"/>
      </w:r>
      <w:r w:rsidRPr="00297D77">
        <w:rPr>
          <w:color w:val="000000"/>
          <w:sz w:val="24"/>
          <w:szCs w:val="24"/>
        </w:rPr>
        <w:instrText>ADDIN CSL_CITATION {"citationItems":[{"id":"ITEM-1","itemData":{"DOI":"10.1016/j.nedt.2019.02.009","ISSN":"02606917","author":[{"dropping-particle":"","family":"Beanlands","given":"Heather","non-dropping-particle":"","parse-names":false,"suffix":""},{"dropping-particle":"","family":"McCay","given":"Elizabeth","non-dropping-particle":"","parse-names":false,"suffix":""},{"dropping-particle":"","family":"Fredericks","given":"Suzanne","non-dropping-particle":"","parse-names":false,"suffix":""},{"dropping-particle":"","family":"Newman","given":"Kristine","non-dropping-particle":"","parse-names":false,"suffix":""},{"dropping-particle":"","family":"Rose","given":"Donald","non-dropping-particle":"","parse-names":false,"suffix":""},{"dropping-particle":"","family":"Santa Mina","given":"Elaine","non-dropping-particle":"","parse-names":false,"suffix":""},{"dropping-particle":"","family":"Schindel Martin","given":"Lori","non-dropping-particle":"","parse-names":false,"suffix":""},{"dropping-particle":"","family":"Schwind","given":"Jasna","non-dropping-particle":"","parse-names":false,"suffix":""},{"dropping-particle":"","family":"Sidani","given":"Souraya","non-dropping-particle":"","parse-names":false,"suffix":""},{"dropping-particle":"","family":"Aiello","given":"Andria","non-dropping-particle":"","parse-names":false,"suffix":""},{"dropping-particle":"","family":"Wang","given":"Angel","non-dropping-particle":"","parse-names":false,"suffix":""}],"container-title":"Nurse Education Today","id":"ITEM-1","issued":{"date-parts":[["2019","5"]]},"page":"222-227","title":"Decreasing stress and supporting emotional well-being among senior nursing students: A pilot test of an evidence-based intervention","type":"article-journal","volume":"76"},"uris":["http://www.mendeley.com/documents/?uuid=3e50e252-62f3-4441-85be-7087dfeb98c2"]}],"mendeley":{"formattedCitation":"(Beanlands et al., 2019)","plainTextFormattedCitation":"(Beanlands et al., 2019)","previouslyFormattedCitation":"(Beanlands et al., 2019)"},"properties":{"noteIndex":0},"schema":"https://github.com/citation-style-language/schema/raw/master/csl-citation.json"}</w:instrText>
      </w:r>
      <w:r w:rsidRPr="00297D77">
        <w:rPr>
          <w:color w:val="000000"/>
          <w:sz w:val="24"/>
          <w:szCs w:val="24"/>
          <w:lang w:val="en-US"/>
        </w:rPr>
        <w:fldChar w:fldCharType="separate"/>
      </w:r>
      <w:r w:rsidRPr="00297D77">
        <w:rPr>
          <w:noProof/>
          <w:color w:val="000000"/>
          <w:sz w:val="24"/>
          <w:szCs w:val="24"/>
        </w:rPr>
        <w:t>(Beanlands et al., 2019)</w:t>
      </w:r>
      <w:r w:rsidRPr="00297D77">
        <w:rPr>
          <w:color w:val="000000"/>
          <w:sz w:val="24"/>
          <w:szCs w:val="24"/>
          <w:lang w:val="en-US"/>
        </w:rPr>
        <w:fldChar w:fldCharType="end"/>
      </w:r>
      <w:r w:rsidRPr="00297D77">
        <w:rPr>
          <w:color w:val="000000"/>
          <w:sz w:val="24"/>
          <w:szCs w:val="24"/>
        </w:rPr>
        <w:t xml:space="preserve">. By developing these skills, NPs can acquire new ways of interpreting situations, which can help them be more effective in their work. Through this process, they can also learn to identify their emotions and manage their reactions to challenging situations. The practice of mindfulness can significantly contribute to improving individuals’ concentration, facilitating decision-making, and fostering adaptive responses to stressful scenarios. Communication is similarly enriched through this intervention, allowing NPs to express themselves clearly and assertively. At the same time, empathy and receptiveness towards the needs of others are encouraged. This approach not only strengthens the connection between nurses and their patients but also promotes strong relationships with colleagues, thus creating a more collaborative work environment. This set of </w:t>
      </w:r>
      <w:r w:rsidRPr="00297D77">
        <w:rPr>
          <w:color w:val="000000"/>
          <w:sz w:val="24"/>
          <w:szCs w:val="24"/>
        </w:rPr>
        <w:lastRenderedPageBreak/>
        <w:t>skills contributes not only to improving the quality of care provided but also to creating a more cohesive and efficient work environment.</w:t>
      </w:r>
    </w:p>
    <w:p w14:paraId="03F37D9E" w14:textId="77777777" w:rsidR="0053794F" w:rsidRDefault="0053794F" w:rsidP="00297D77">
      <w:pPr>
        <w:spacing w:line="360" w:lineRule="auto"/>
        <w:ind w:firstLine="708"/>
        <w:jc w:val="left"/>
        <w:rPr>
          <w:color w:val="C00000"/>
          <w:sz w:val="24"/>
          <w:szCs w:val="24"/>
        </w:rPr>
      </w:pPr>
      <w:r w:rsidRPr="0053794F">
        <w:rPr>
          <w:color w:val="C00000"/>
          <w:sz w:val="24"/>
          <w:szCs w:val="24"/>
        </w:rPr>
        <w:t xml:space="preserve">Contextual therapy-based interventions, including mindfulness, have demonstrated a positive impact on healthcare professionals by improving their health, increasing empathy and work engagement, and reducing burnout and negative emotions (Kim et al., 2019; Suleiman-Martos et al., 2020; Chen et al., 2017). These interventions have also shown effectiveness in decreasing levels of burnout and depersonalization, as well as increasing personal accomplishment (Conversano et al., 2020). Furthermore, training in Dialectical </w:t>
      </w:r>
      <w:proofErr w:type="spellStart"/>
      <w:r w:rsidRPr="0053794F">
        <w:rPr>
          <w:color w:val="C00000"/>
          <w:sz w:val="24"/>
          <w:szCs w:val="24"/>
        </w:rPr>
        <w:t>Behavior</w:t>
      </w:r>
      <w:proofErr w:type="spellEnd"/>
      <w:r w:rsidRPr="0053794F">
        <w:rPr>
          <w:color w:val="C00000"/>
          <w:sz w:val="24"/>
          <w:szCs w:val="24"/>
        </w:rPr>
        <w:t xml:space="preserve"> Therapy (DBT) skills can help reduce the perception of burnout. In 2021, a study was conducted to assess burnout among nursing professionals in a combined inpatient and day hospital unit for </w:t>
      </w:r>
      <w:proofErr w:type="spellStart"/>
      <w:r w:rsidRPr="0053794F">
        <w:rPr>
          <w:color w:val="C00000"/>
          <w:sz w:val="24"/>
          <w:szCs w:val="24"/>
        </w:rPr>
        <w:t>pediatric</w:t>
      </w:r>
      <w:proofErr w:type="spellEnd"/>
      <w:r w:rsidRPr="0053794F">
        <w:rPr>
          <w:color w:val="C00000"/>
          <w:sz w:val="24"/>
          <w:szCs w:val="24"/>
        </w:rPr>
        <w:t xml:space="preserve"> eating disorders after they had been trained in dialectical </w:t>
      </w:r>
      <w:proofErr w:type="spellStart"/>
      <w:r w:rsidRPr="0053794F">
        <w:rPr>
          <w:color w:val="C00000"/>
          <w:sz w:val="24"/>
          <w:szCs w:val="24"/>
        </w:rPr>
        <w:t>behavior</w:t>
      </w:r>
      <w:proofErr w:type="spellEnd"/>
      <w:r w:rsidRPr="0053794F">
        <w:rPr>
          <w:color w:val="C00000"/>
          <w:sz w:val="24"/>
          <w:szCs w:val="24"/>
        </w:rPr>
        <w:t xml:space="preserve"> skills. The results indicated that staff believed teaching dialectical </w:t>
      </w:r>
      <w:proofErr w:type="spellStart"/>
      <w:r w:rsidRPr="0053794F">
        <w:rPr>
          <w:color w:val="C00000"/>
          <w:sz w:val="24"/>
          <w:szCs w:val="24"/>
        </w:rPr>
        <w:t>behavior</w:t>
      </w:r>
      <w:proofErr w:type="spellEnd"/>
      <w:r w:rsidRPr="0053794F">
        <w:rPr>
          <w:color w:val="C00000"/>
          <w:sz w:val="24"/>
          <w:szCs w:val="24"/>
        </w:rPr>
        <w:t xml:space="preserve"> skills has the potential to reduce burnout (Couturier et al., 2021).</w:t>
      </w:r>
    </w:p>
    <w:p w14:paraId="02B91029" w14:textId="1D709AE8" w:rsidR="00826819" w:rsidRPr="00297D77" w:rsidRDefault="00BC3217" w:rsidP="00297D77">
      <w:pPr>
        <w:spacing w:line="360" w:lineRule="auto"/>
        <w:ind w:firstLine="708"/>
        <w:jc w:val="left"/>
        <w:rPr>
          <w:color w:val="000000"/>
          <w:sz w:val="24"/>
          <w:szCs w:val="24"/>
          <w:lang w:val="en-US"/>
        </w:rPr>
      </w:pPr>
      <w:r w:rsidRPr="00297D77">
        <w:rPr>
          <w:color w:val="000000"/>
          <w:sz w:val="24"/>
          <w:szCs w:val="24"/>
        </w:rPr>
        <w:t xml:space="preserve">On the other hand, in 2023, research was conducted to determine whether teaching interpersonal effectiveness skills through workshops could improve professional fulfilment and interpersonal coping ability and reduce dysfunctional coping styles in 72 NPs. The results indicated a significant improvement in all three areas mentioned, suggesting the effectiveness and feasibility of teaching DBT interpersonal effectiveness skills in this population </w:t>
      </w:r>
      <w:r w:rsidRPr="00297D77">
        <w:rPr>
          <w:color w:val="000000"/>
          <w:sz w:val="24"/>
          <w:szCs w:val="24"/>
          <w:lang w:val="en-US"/>
        </w:rPr>
        <w:fldChar w:fldCharType="begin" w:fldLock="1"/>
      </w:r>
      <w:r w:rsidRPr="00297D77">
        <w:rPr>
          <w:color w:val="000000"/>
          <w:sz w:val="24"/>
          <w:szCs w:val="24"/>
        </w:rPr>
        <w:instrText>ADDIN CSL_CITATION {"citationItems":[{"id":"ITEM-1","itemData":{"DOI":"10.1016/j.heliyon.2023.e14066","ISSN":"24058440","author":[{"dropping-particle":"","family":"Wu","given":"Shu-I","non-dropping-particle":"","parse-names":false,"suffix":""},{"dropping-particle":"","family":"Liu","given":"Shen-Ing","non-dropping-particle":"","parse-names":false,"suffix":""},{"dropping-particle":"","family":"Wu","given":"Yih-Jer","non-dropping-particle":"","parse-names":false,"suffix":""},{"dropping-particle":"","family":"Huang","given":"Ling-Lang","non-dropping-particle":"","parse-names":false,"suffix":""},{"dropping-particle":"","family":"Liu","given":"Thih-ju","non-dropping-particle":"","parse-names":false,"suffix":""},{"dropping-particle":"","family":"Kao","given":"Kai-Liang","non-dropping-particle":"","parse-names":false,"suffix":""},{"dropping-particle":"","family":"Lee","given":"Yu-Hsia","non-dropping-particle":"","parse-names":false,"suffix":""}],"container-title":"Heliyon","id":"ITEM-1","issue":"3","issued":{"date-parts":[["2023","3"]]},"page":"e14066","title":"The efficacy of applying the Interpersonal Effectiveness skills of dialectical behavior therapy into communication skills workshop for clinical nurses","type":"article-journal","volume":"9"},"uris":["http://www.mendeley.com/documents/?uuid=b075df85-faea-4a6f-9b83-5cf9c2366eea"]}],"mendeley":{"formattedCitation":"(Wu et al., 2023)","plainTextFormattedCitation":"(Wu et al., 2023)","previouslyFormattedCitation":"(Wu et al., 2023)"},"properties":{"noteIndex":0},"schema":"https://github.com/citation-style-language/schema/raw/master/csl-citation.json"}</w:instrText>
      </w:r>
      <w:r w:rsidRPr="00297D77">
        <w:rPr>
          <w:color w:val="000000"/>
          <w:sz w:val="24"/>
          <w:szCs w:val="24"/>
          <w:lang w:val="en-US"/>
        </w:rPr>
        <w:fldChar w:fldCharType="separate"/>
      </w:r>
      <w:r w:rsidRPr="00297D77">
        <w:rPr>
          <w:noProof/>
          <w:color w:val="000000"/>
          <w:sz w:val="24"/>
          <w:szCs w:val="24"/>
        </w:rPr>
        <w:t>(Wu et al., 2023)</w:t>
      </w:r>
      <w:r w:rsidRPr="00297D77">
        <w:rPr>
          <w:color w:val="000000"/>
          <w:sz w:val="24"/>
          <w:szCs w:val="24"/>
          <w:lang w:val="en-US"/>
        </w:rPr>
        <w:fldChar w:fldCharType="end"/>
      </w:r>
      <w:r w:rsidRPr="00297D77">
        <w:rPr>
          <w:color w:val="000000"/>
          <w:sz w:val="24"/>
          <w:szCs w:val="24"/>
        </w:rPr>
        <w:t>.</w:t>
      </w:r>
    </w:p>
    <w:p w14:paraId="10ADA3EA" w14:textId="77777777" w:rsidR="00826819" w:rsidRPr="00297D77" w:rsidRDefault="00BC3217" w:rsidP="00297D77">
      <w:pPr>
        <w:spacing w:line="360" w:lineRule="auto"/>
        <w:rPr>
          <w:b/>
          <w:bCs/>
          <w:i/>
          <w:iCs/>
          <w:color w:val="000000"/>
          <w:sz w:val="24"/>
          <w:szCs w:val="24"/>
        </w:rPr>
      </w:pPr>
      <w:r w:rsidRPr="00297D77">
        <w:rPr>
          <w:b/>
          <w:bCs/>
          <w:i/>
          <w:iCs/>
          <w:color w:val="000000"/>
          <w:sz w:val="24"/>
          <w:szCs w:val="24"/>
        </w:rPr>
        <w:t>Psychological well-being model and dialectical behavioral skills training</w:t>
      </w:r>
    </w:p>
    <w:p w14:paraId="70760DE1" w14:textId="77777777" w:rsidR="00826819" w:rsidRPr="00297D77" w:rsidRDefault="00BC3217" w:rsidP="00297D77">
      <w:pPr>
        <w:spacing w:line="360" w:lineRule="auto"/>
        <w:jc w:val="left"/>
        <w:rPr>
          <w:color w:val="000000"/>
          <w:sz w:val="24"/>
          <w:szCs w:val="24"/>
          <w:lang w:val="en-US"/>
        </w:rPr>
      </w:pPr>
      <w:r w:rsidRPr="00297D77">
        <w:rPr>
          <w:color w:val="000000"/>
          <w:sz w:val="24"/>
          <w:szCs w:val="24"/>
        </w:rPr>
        <w:t xml:space="preserve">The psychological well-being (PW) model </w:t>
      </w:r>
      <w:r w:rsidRPr="00297D77">
        <w:rPr>
          <w:color w:val="000000"/>
          <w:sz w:val="24"/>
          <w:szCs w:val="24"/>
          <w:lang w:val="en-US"/>
        </w:rPr>
        <w:fldChar w:fldCharType="begin" w:fldLock="1"/>
      </w:r>
      <w:r w:rsidRPr="00297D77">
        <w:rPr>
          <w:color w:val="000000"/>
          <w:sz w:val="24"/>
          <w:szCs w:val="24"/>
        </w:rPr>
        <w:instrText>ADDIN CSL_CITATION {"citationItems":[{"id":"ITEM-1","itemData":{"DOI":"10.1177/016502548901200102","ISSN":"0165-0254","abstract":"Previous approaches to the study of successful ageing are reviewed. It is argued that there has been an absence of theory guiding this research; an implicit negativism in the proposed conceptions of well-being; a neglect of the possibility for continued growth and development in old age; and a failure to see conceptions of positive ageing as human constructions that are open to cultural variations and historical change. An alternative approach that draws on the convergence in life-span developmental theories, clinical theories of personal growth, and mental health perspectives is presented. Six criteria of well-being result from this integration: self-acceptance, positive relations with others, autonomy, environmental mastery, purpose in life, and personal growth. These dimensions are defined and their relevance for the study of adulthood and ageing is discussed. New avenues for investigating successful ageing as a human construction are presented with emphasis given to the complementarity between quantitative and qualitative research strategies.","author":[{"dropping-particle":"","family":"Ryff","given":"Carol D.","non-dropping-particle":"","parse-names":false,"suffix":""}],"container-title":"International Journal of Behavioral Development","id":"ITEM-1","issue":"1","issued":{"date-parts":[["1989","3","30"]]},"page":"35-55","title":"Beyond Ponce de Leon and Life Satisfaction: New directions in quest of successful ageing","type":"article-journal","volume":"12"},"uris":["http://www.mendeley.com/documents/?uuid=4ce9f799-a320-41ae-9775-02a952140519"]}],"mendeley":{"formattedCitation":"(Ryff, 1989)","plainTextFormattedCitation":"(Ryff, 1989)","previouslyFormattedCitation":"(Ryff, 1989)"},"properties":{"noteIndex":0},"schema":"https://github.com/citation-style-language/schema/raw/master/csl-citation.json"}</w:instrText>
      </w:r>
      <w:r w:rsidRPr="00297D77">
        <w:rPr>
          <w:color w:val="000000"/>
          <w:sz w:val="24"/>
          <w:szCs w:val="24"/>
          <w:lang w:val="en-US"/>
        </w:rPr>
        <w:fldChar w:fldCharType="separate"/>
      </w:r>
      <w:r w:rsidRPr="00297D77">
        <w:rPr>
          <w:noProof/>
          <w:color w:val="000000"/>
          <w:sz w:val="24"/>
          <w:szCs w:val="24"/>
        </w:rPr>
        <w:t>(Ryff, 1989)</w:t>
      </w:r>
      <w:r w:rsidRPr="00297D77">
        <w:rPr>
          <w:color w:val="000000"/>
          <w:sz w:val="24"/>
          <w:szCs w:val="24"/>
          <w:lang w:val="en-US"/>
        </w:rPr>
        <w:fldChar w:fldCharType="end"/>
      </w:r>
      <w:r w:rsidRPr="00297D77">
        <w:rPr>
          <w:color w:val="000000"/>
          <w:sz w:val="24"/>
          <w:szCs w:val="24"/>
        </w:rPr>
        <w:t xml:space="preserve"> and dialectical behavioral skills training (DBT) are valuable resources that complement each other to promote PW in various areas of life. DBT has the potential to foster autonomy, improve environmental mastery, cultivate positive relationships, and increase self-awareness and acceptance, which are fundamental elements of PW </w:t>
      </w:r>
      <w:r w:rsidRPr="00297D77">
        <w:rPr>
          <w:color w:val="000000"/>
          <w:sz w:val="24"/>
          <w:szCs w:val="24"/>
          <w:lang w:val="en-US"/>
        </w:rPr>
        <w:fldChar w:fldCharType="begin" w:fldLock="1"/>
      </w:r>
      <w:r w:rsidRPr="00297D77">
        <w:rPr>
          <w:color w:val="000000"/>
          <w:sz w:val="24"/>
          <w:szCs w:val="24"/>
        </w:rPr>
        <w:instrText>ADDIN CSL_CITATION {"citationItems":[{"id":"ITEM-1","itemData":{"DOI":"10.1111/aphw.12398","ISSN":"1758-0846","abstract":"This meta‐analysis enhances our insight into the effectiveness of interventions aimed at improving eudaemonic well‐being. The focal outcome of these interventions is Ryff's Scales of Psychological Well‐being. We summarized experimental studies and concluded whether a specific intervention approach improves individual positive functioning by assessing the six dimensions of psychological well‐being and the composite score of well‐being. Our study confirmed that eudaemonic well‐being can be improved. The strongest influence is seen in integral programs that link directly to Ryff's conceptual model. Breaking down to dimensional scores, existing interventions had the strongest influence on Environmental Mastery, Personal Growth, and Self‐Acceptance. The weakest influence was on Autonomy and Positive Relations with Others. Overall, our result is an important contribution to the well‐being literature in that it shows, more convincing than previous meta‐analyses due to its exclusive and comprehensive focus on Ryff's model, that psychological eudaemonic well‐being can be enhanced by targeted intervention programs.","author":[{"dropping-particle":"","family":"Dierendonck","given":"Dirk","non-dropping-particle":"van","parse-names":false,"suffix":""},{"dropping-particle":"","family":"Lam","given":"Hodar","non-dropping-particle":"","parse-names":false,"suffix":""}],"container-title":"Applied Psychology: Health and Well-Being","id":"ITEM-1","issue":"2","issued":{"date-parts":[["2023","5","8"]]},"page":"594-610","title":"Interventions to enhance eudaemonic psychological well‐being: A meta‐analytic review with Ryff's Scales of Psychological Well‐being","type":"article-journal","volume":"15"},"uris":["http://www.mendeley.com/documents/?uuid=547f226f-95cf-4bb6-a636-d90c9be54024"]}],"mendeley":{"formattedCitation":"(van Dierendonck &amp; Lam, 2023)","plainTextFormattedCitation":"(van Dierendonck &amp; Lam, 2023)","previouslyFormattedCitation":"(van Dierendonck &amp; Lam, 2023)"},"properties":{"noteIndex":0},"schema":"https://github.com/citation-style-language/schema/raw/master/csl-citation.json"}</w:instrText>
      </w:r>
      <w:r w:rsidRPr="00297D77">
        <w:rPr>
          <w:color w:val="000000"/>
          <w:sz w:val="24"/>
          <w:szCs w:val="24"/>
          <w:lang w:val="en-US"/>
        </w:rPr>
        <w:fldChar w:fldCharType="separate"/>
      </w:r>
      <w:r w:rsidRPr="00297D77">
        <w:rPr>
          <w:noProof/>
          <w:color w:val="000000"/>
          <w:sz w:val="24"/>
          <w:szCs w:val="24"/>
        </w:rPr>
        <w:t>(van Dierendonck &amp; Lam, 2023)</w:t>
      </w:r>
      <w:r w:rsidRPr="00297D77">
        <w:rPr>
          <w:color w:val="000000"/>
          <w:sz w:val="24"/>
          <w:szCs w:val="24"/>
          <w:lang w:val="en-US"/>
        </w:rPr>
        <w:fldChar w:fldCharType="end"/>
      </w:r>
      <w:r w:rsidRPr="00297D77">
        <w:rPr>
          <w:color w:val="000000"/>
          <w:sz w:val="24"/>
          <w:szCs w:val="24"/>
        </w:rPr>
        <w:t>.</w:t>
      </w:r>
    </w:p>
    <w:p w14:paraId="7BFF5CF8" w14:textId="77777777" w:rsidR="00826819" w:rsidRPr="00297D77" w:rsidRDefault="00BC3217" w:rsidP="00297D77">
      <w:pPr>
        <w:spacing w:line="360" w:lineRule="auto"/>
        <w:ind w:firstLine="708"/>
        <w:jc w:val="left"/>
        <w:rPr>
          <w:color w:val="000000"/>
          <w:sz w:val="24"/>
          <w:szCs w:val="24"/>
          <w:lang w:val="en-US"/>
        </w:rPr>
      </w:pPr>
      <w:r w:rsidRPr="00297D77">
        <w:rPr>
          <w:color w:val="000000"/>
          <w:sz w:val="24"/>
          <w:szCs w:val="24"/>
        </w:rPr>
        <w:t xml:space="preserve">Mindfulness practice has been supported by numerous studies in various areas, including psychological disorders and high-stress situations. Mindfulness-based interventions have shown positive results in reducing anxiety, depression, and stress. Additionally, mindfulness enhances attention, promotes acceptance of experiences without judgment, and fosters the ability to self-regulate emotions </w:t>
      </w:r>
      <w:r w:rsidRPr="00297D77">
        <w:rPr>
          <w:color w:val="000000"/>
          <w:sz w:val="24"/>
          <w:szCs w:val="24"/>
          <w:lang w:val="en-US"/>
        </w:rPr>
        <w:fldChar w:fldCharType="begin" w:fldLock="1"/>
      </w:r>
      <w:r w:rsidRPr="00297D77">
        <w:rPr>
          <w:color w:val="000000"/>
          <w:sz w:val="24"/>
          <w:szCs w:val="24"/>
        </w:rPr>
        <w:instrText>ADDIN CSL_CITATION {"citationItems":[{"id":"ITEM-1","itemData":{"DOI":"10.5005/jp-journals-10071-24194","ISSN":"0972-5229","author":[{"dropping-particle":"","family":"Iyer","given":"Shivakumar","non-dropping-particle":"","parse-names":false,"suffix":""}],"container-title":"Indian Journal of Critical Care Medicine","id":"ITEM-1","issue":"4","issued":{"date-parts":[["2022","5","13"]]},"page":"409-410","title":"Mindfulness-based interventions: Can they improve self-care and psychological well-being?","type":"article-journal","volume":"26"},"uris":["http://www.mendeley.com/documents/?uuid=a178bf99-60b5-49b5-b559-105a2956adae"]}],"mendeley":{"formattedCitation":"(Iyer, 2022)","plainTextFormattedCitation":"(Iyer, 2022)","previouslyFormattedCitation":"(Iyer, 2022)"},"properties":{"noteIndex":0},"schema":"https://github.com/citation-style-language/schema/raw/master/csl-citation.json"}</w:instrText>
      </w:r>
      <w:r w:rsidRPr="00297D77">
        <w:rPr>
          <w:color w:val="000000"/>
          <w:sz w:val="24"/>
          <w:szCs w:val="24"/>
          <w:lang w:val="en-US"/>
        </w:rPr>
        <w:fldChar w:fldCharType="separate"/>
      </w:r>
      <w:r w:rsidRPr="00297D77">
        <w:rPr>
          <w:noProof/>
          <w:color w:val="000000"/>
          <w:sz w:val="24"/>
          <w:szCs w:val="24"/>
        </w:rPr>
        <w:t>(Iyer, 2022)</w:t>
      </w:r>
      <w:r w:rsidRPr="00297D77">
        <w:rPr>
          <w:color w:val="000000"/>
          <w:sz w:val="24"/>
          <w:szCs w:val="24"/>
          <w:lang w:val="en-US"/>
        </w:rPr>
        <w:fldChar w:fldCharType="end"/>
      </w:r>
      <w:r w:rsidRPr="00297D77">
        <w:rPr>
          <w:color w:val="000000"/>
          <w:sz w:val="24"/>
          <w:szCs w:val="24"/>
        </w:rPr>
        <w:t xml:space="preserve">. These benefits support its application as an effective tool for promoting PW and improving quality of life. </w:t>
      </w:r>
      <w:r w:rsidRPr="00297D77">
        <w:rPr>
          <w:color w:val="000000"/>
          <w:sz w:val="24"/>
          <w:szCs w:val="24"/>
          <w:lang w:val="en-US"/>
        </w:rPr>
        <w:fldChar w:fldCharType="begin" w:fldLock="1"/>
      </w:r>
      <w:r w:rsidRPr="00297D77">
        <w:rPr>
          <w:color w:val="000000"/>
          <w:sz w:val="24"/>
          <w:szCs w:val="24"/>
        </w:rPr>
        <w:instrText>ADDIN CSL_CITATION {"citationItems":[{"id":"ITEM-1","itemData":{"DOI":"10.1177/0890117120920451","ISSN":"0890-1171","author":[{"dropping-particle":"","family":"Melnyk","given":"Bernadette Mazurek","non-dropping-particle":"","parse-names":false,"suffix":""},{"dropping-particle":"","family":"Kelly","given":"Stephanie A.","non-dropping-particle":"","parse-names":false,"suffix":""},{"dropping-particle":"","family":"Stephens","given":"Janna","non-dropping-particle":"","parse-names":false,"suffix":""},{"dropping-particle":"","family":"Dhakal","given":"Kerry","non-dropping-particle":"","parse-names":false,"suffix":""},{"dropping-particle":"","family":"McGovern","given":"Colleen","non-dropping-particle":"","parse-names":false,"suffix":""},{"dropping-particle":"","family":"Tucker","given":"Sharon","non-dropping-particle":"","parse-names":false,"suffix":""},{"dropping-particle":"","family":"Hoying","given":"Jacqueline","non-dropping-particle":"","parse-names":false,"suffix":""},{"dropping-particle":"","family":"McRae","given":"Kenya","non-dropping-particle":"","parse-names":false,"suffix":""},{"dropping-particle":"","family":"Ault","given":"Samantha","non-dropping-particle":"","parse-names":false,"suffix":""},{"dropping-particle":"","family":"Spurlock","given":"Elizabeth","non-dropping-particle":"","parse-names":false,"suffix":""},{"dropping-particle":"","family":"Bird","given":"Steven B.","non-dropping-particle":"","parse-names":false,"suffix":""}],"container-title":"American Journal of Health Promotion","id":"ITEM-1","issue":"8","issued":{"date-parts":[["2020","11","27"]]},"page":"929-941","title":"Interventions to improve mental health, well-being, physical health, and lifestyle behaviors in physicians and nurses: A systematic review","type":"article-journal","volume":"34"},"uris":["http://www.mendeley.com/documents/?uuid=eab3856f-34a1-42c6-a5bb-751770941f32"]}],"mendeley":{"formattedCitation":"(Melnyk et al., 2020)","manualFormatting":"Melnyk et al. (2020)","plainTextFormattedCitation":"(Melnyk et al., 2020)","previouslyFormattedCitation":"(Melnyk et al., 2020)"},"properties":{"noteIndex":0},"schema":"https://github.com/citation-style-language/schema/raw/master/csl-citation.json"}</w:instrText>
      </w:r>
      <w:r w:rsidRPr="00297D77">
        <w:rPr>
          <w:color w:val="000000"/>
          <w:sz w:val="24"/>
          <w:szCs w:val="24"/>
          <w:lang w:val="en-US"/>
        </w:rPr>
        <w:fldChar w:fldCharType="separate"/>
      </w:r>
      <w:r w:rsidRPr="00297D77">
        <w:rPr>
          <w:noProof/>
          <w:color w:val="000000"/>
          <w:sz w:val="24"/>
          <w:szCs w:val="24"/>
        </w:rPr>
        <w:t>Melnyk et al. (2020)</w:t>
      </w:r>
      <w:r w:rsidRPr="00297D77">
        <w:rPr>
          <w:color w:val="000000"/>
          <w:sz w:val="24"/>
          <w:szCs w:val="24"/>
          <w:lang w:val="en-US"/>
        </w:rPr>
        <w:fldChar w:fldCharType="end"/>
      </w:r>
      <w:r w:rsidRPr="00297D77">
        <w:rPr>
          <w:color w:val="000000"/>
          <w:sz w:val="24"/>
          <w:szCs w:val="24"/>
        </w:rPr>
        <w:t xml:space="preserve"> found that combined </w:t>
      </w:r>
      <w:r w:rsidRPr="00297D77">
        <w:rPr>
          <w:color w:val="000000"/>
          <w:sz w:val="24"/>
          <w:szCs w:val="24"/>
        </w:rPr>
        <w:lastRenderedPageBreak/>
        <w:t xml:space="preserve">interventions of cognitive‒behavioral therapy and mindfulness, including NPs, reduce stress, anxiety, and depression in healthcare professionals. Even brief interventions with simple techniques such as deep breathing and gratitude practice can be beneficial. A study by </w:t>
      </w:r>
      <w:r w:rsidRPr="00297D77">
        <w:rPr>
          <w:color w:val="000000"/>
          <w:sz w:val="24"/>
          <w:szCs w:val="24"/>
          <w:lang w:val="en-US"/>
        </w:rPr>
        <w:fldChar w:fldCharType="begin" w:fldLock="1"/>
      </w:r>
      <w:r w:rsidR="00DE5C2A" w:rsidRPr="00297D77">
        <w:rPr>
          <w:color w:val="000000"/>
          <w:sz w:val="24"/>
          <w:szCs w:val="24"/>
        </w:rPr>
        <w:instrText>ADDIN CSL_CITATION {"citationItems":[{"id":"ITEM-1","itemData":{"author":[{"dropping-particle":"","family":"Baramesipour","given":"Z","non-dropping-particle":"","parse-names":false,"suffix":""},{"dropping-particle":"","family":"Nasirian","given":"M","non-dropping-particle":"","parse-names":false,"suffix":""},{"dropping-particle":"","family":"Sedrpooshan","given":"N","non-dropping-particle":"","parse-names":false,"suffix":""}],"container-title":"Iranian Journal of Diabetes and Obesity","id":"ITEM-1","issue":"3","issued":{"date-parts":[["2015"]]},"page":"124-132","title":"The effectiveness of dialectical behavioral therapy on diabetic patient’s psychological well-being","type":"article-journal","volume":"7"},"uris":["http://www.mendeley.com/documents/?uuid=9fb6f152-6f5e-49ea-8eac-a9d28e1cf479"]}],"mendeley":{"formattedCitation":"(Baramesipour et al., 2015)","manualFormatting":"Baramesipour et al. (2015)","plainTextFormattedCitation":"(Baramesipour et al., 2015)","previouslyFormattedCitation":"(Baramesipour et al., 2015)"},"properties":{"noteIndex":0},"schema":"https://github.com/citation-style-language/schema/raw/master/csl-citation.json"}</w:instrText>
      </w:r>
      <w:r w:rsidRPr="00297D77">
        <w:rPr>
          <w:color w:val="000000"/>
          <w:sz w:val="24"/>
          <w:szCs w:val="24"/>
          <w:lang w:val="en-US"/>
        </w:rPr>
        <w:fldChar w:fldCharType="separate"/>
      </w:r>
      <w:r w:rsidRPr="00297D77">
        <w:rPr>
          <w:noProof/>
          <w:color w:val="000000"/>
          <w:sz w:val="24"/>
          <w:szCs w:val="24"/>
        </w:rPr>
        <w:t>Baramesipour et al. (2015)</w:t>
      </w:r>
      <w:r w:rsidRPr="00297D77">
        <w:rPr>
          <w:color w:val="000000"/>
          <w:sz w:val="24"/>
          <w:szCs w:val="24"/>
          <w:lang w:val="en-US"/>
        </w:rPr>
        <w:fldChar w:fldCharType="end"/>
      </w:r>
      <w:r w:rsidRPr="00297D77">
        <w:rPr>
          <w:color w:val="000000"/>
          <w:sz w:val="24"/>
          <w:szCs w:val="24"/>
        </w:rPr>
        <w:t xml:space="preserve"> evaluated the effectiveness of DBT on the PW of diabetic patients using Ryff's PW Scale. The results revealed significant improvements in all dimensions of PW assessed, including self-acceptance, positive relationships, autonomy, environmental mastery, personal growth, and purpose in life (</w:t>
      </w:r>
      <w:proofErr w:type="spellStart"/>
      <w:r w:rsidRPr="00297D77">
        <w:rPr>
          <w:color w:val="000000"/>
          <w:sz w:val="24"/>
          <w:szCs w:val="24"/>
        </w:rPr>
        <w:t>Baramesipour</w:t>
      </w:r>
      <w:proofErr w:type="spellEnd"/>
      <w:r w:rsidRPr="00297D77">
        <w:rPr>
          <w:color w:val="000000"/>
          <w:sz w:val="24"/>
          <w:szCs w:val="24"/>
        </w:rPr>
        <w:t xml:space="preserve"> et al., 2015). In a meta-analysis on PW and emotional regulation by Kraiss et al. (2020), a positive relationship was found between strategies such as acceptance, re-evaluation, and PW. Avoidance and rumination had negative effects, and emotional deficits were associated with a decrease in PW.</w:t>
      </w:r>
    </w:p>
    <w:p w14:paraId="0E9E91CE" w14:textId="42ED3CBF" w:rsidR="00826819" w:rsidRPr="00297D77" w:rsidRDefault="00BC3217" w:rsidP="00297D77">
      <w:pPr>
        <w:spacing w:line="360" w:lineRule="auto"/>
        <w:ind w:firstLine="708"/>
        <w:jc w:val="left"/>
        <w:rPr>
          <w:color w:val="000000"/>
          <w:sz w:val="24"/>
          <w:szCs w:val="24"/>
          <w:lang w:val="en-US"/>
        </w:rPr>
      </w:pPr>
      <w:r w:rsidRPr="00297D77">
        <w:rPr>
          <w:color w:val="000000"/>
          <w:sz w:val="24"/>
          <w:szCs w:val="24"/>
        </w:rPr>
        <w:t xml:space="preserve">The combination of these models provides a comprehensive approach to enhancing PW, addressing fundamental aspects of life and fostering broader balance and satisfaction in different areas. Therefore, the research question arising from the study is as follows: Can a </w:t>
      </w:r>
      <w:r w:rsidR="00A31F4B" w:rsidRPr="00A31F4B">
        <w:rPr>
          <w:color w:val="FF0000"/>
          <w:sz w:val="24"/>
          <w:szCs w:val="24"/>
        </w:rPr>
        <w:t xml:space="preserve">contextual therapy </w:t>
      </w:r>
      <w:r w:rsidRPr="00297D77">
        <w:rPr>
          <w:color w:val="000000"/>
          <w:sz w:val="24"/>
          <w:szCs w:val="24"/>
        </w:rPr>
        <w:t xml:space="preserve">intervention program increase the psychological well-being of nursing professionals in the health </w:t>
      </w:r>
      <w:proofErr w:type="spellStart"/>
      <w:r w:rsidRPr="00297D77">
        <w:rPr>
          <w:color w:val="000000"/>
          <w:sz w:val="24"/>
          <w:szCs w:val="24"/>
        </w:rPr>
        <w:t>centers</w:t>
      </w:r>
      <w:proofErr w:type="spellEnd"/>
      <w:r w:rsidRPr="00297D77">
        <w:rPr>
          <w:color w:val="000000"/>
          <w:sz w:val="24"/>
          <w:szCs w:val="24"/>
        </w:rPr>
        <w:t xml:space="preserve"> of Cuenca?</w:t>
      </w:r>
    </w:p>
    <w:p w14:paraId="744C3B1D" w14:textId="3A7AF9F4" w:rsidR="00826819" w:rsidRPr="00297D77" w:rsidRDefault="00BC3217" w:rsidP="00297D77">
      <w:pPr>
        <w:spacing w:line="360" w:lineRule="auto"/>
        <w:ind w:firstLine="708"/>
        <w:jc w:val="left"/>
        <w:rPr>
          <w:color w:val="000000"/>
          <w:sz w:val="24"/>
          <w:szCs w:val="24"/>
          <w:lang w:val="en-US"/>
        </w:rPr>
      </w:pPr>
      <w:r w:rsidRPr="00297D77">
        <w:rPr>
          <w:color w:val="000000"/>
          <w:sz w:val="24"/>
          <w:szCs w:val="24"/>
        </w:rPr>
        <w:t xml:space="preserve">The objectives of this research were a) to identify the levels of psychological well-being of nursing professionals and relate the postintervention PW levels of the experimental group to sociodemographic variables and b) to evaluate the effectiveness of a </w:t>
      </w:r>
      <w:r w:rsidR="00A31F4B" w:rsidRPr="00A31F4B">
        <w:rPr>
          <w:color w:val="FF0000"/>
          <w:sz w:val="24"/>
          <w:szCs w:val="24"/>
        </w:rPr>
        <w:t xml:space="preserve">contextual therapy </w:t>
      </w:r>
      <w:r w:rsidRPr="00297D77">
        <w:rPr>
          <w:color w:val="000000"/>
          <w:sz w:val="24"/>
          <w:szCs w:val="24"/>
        </w:rPr>
        <w:t>-based intervention program in increasing the PW of NPs in the Cuenca North District of the Ministry of Public Health.</w:t>
      </w:r>
    </w:p>
    <w:p w14:paraId="1E9D405D" w14:textId="1D0B238D" w:rsidR="00286FA1" w:rsidRPr="00297D77" w:rsidRDefault="00297D77" w:rsidP="00297D77">
      <w:pPr>
        <w:spacing w:line="360" w:lineRule="auto"/>
        <w:jc w:val="center"/>
        <w:rPr>
          <w:b/>
          <w:bCs/>
          <w:sz w:val="24"/>
          <w:szCs w:val="24"/>
        </w:rPr>
      </w:pPr>
      <w:r w:rsidRPr="00297D77">
        <w:rPr>
          <w:b/>
          <w:bCs/>
          <w:sz w:val="24"/>
          <w:szCs w:val="24"/>
        </w:rPr>
        <w:t>Methods</w:t>
      </w:r>
    </w:p>
    <w:p w14:paraId="1DB928F6" w14:textId="75225F3A" w:rsidR="00E37DE3" w:rsidRPr="00297D77" w:rsidRDefault="00BC3217" w:rsidP="00297D77">
      <w:pPr>
        <w:spacing w:line="360" w:lineRule="auto"/>
        <w:rPr>
          <w:b/>
          <w:bCs/>
          <w:i/>
          <w:iCs/>
          <w:color w:val="000000"/>
          <w:sz w:val="24"/>
          <w:szCs w:val="24"/>
        </w:rPr>
      </w:pPr>
      <w:r w:rsidRPr="00297D77">
        <w:rPr>
          <w:b/>
          <w:bCs/>
          <w:i/>
          <w:iCs/>
          <w:color w:val="000000"/>
          <w:sz w:val="24"/>
          <w:szCs w:val="24"/>
        </w:rPr>
        <w:t>Design</w:t>
      </w:r>
    </w:p>
    <w:p w14:paraId="63652C8C" w14:textId="77777777" w:rsidR="00E37DE3" w:rsidRPr="00297D77" w:rsidRDefault="00BC3217" w:rsidP="00297D77">
      <w:pPr>
        <w:spacing w:line="360" w:lineRule="auto"/>
        <w:jc w:val="left"/>
        <w:rPr>
          <w:color w:val="000000"/>
          <w:sz w:val="24"/>
          <w:szCs w:val="24"/>
        </w:rPr>
      </w:pPr>
      <w:r w:rsidRPr="00297D77">
        <w:rPr>
          <w:color w:val="000000"/>
          <w:sz w:val="24"/>
          <w:szCs w:val="24"/>
        </w:rPr>
        <w:t>The present research is an experimental study employing a two-group randomized design with pre- and postintervention measures.</w:t>
      </w:r>
    </w:p>
    <w:p w14:paraId="3B6AE621" w14:textId="77777777" w:rsidR="00E37DE3" w:rsidRPr="00297D77" w:rsidRDefault="00BC3217" w:rsidP="00297D77">
      <w:pPr>
        <w:spacing w:line="360" w:lineRule="auto"/>
        <w:rPr>
          <w:b/>
          <w:bCs/>
          <w:i/>
          <w:iCs/>
          <w:color w:val="000000"/>
          <w:sz w:val="24"/>
          <w:szCs w:val="24"/>
        </w:rPr>
      </w:pPr>
      <w:r w:rsidRPr="00297D77">
        <w:rPr>
          <w:b/>
          <w:bCs/>
          <w:i/>
          <w:iCs/>
          <w:color w:val="000000"/>
          <w:sz w:val="24"/>
          <w:szCs w:val="24"/>
        </w:rPr>
        <w:t>Participants</w:t>
      </w:r>
    </w:p>
    <w:p w14:paraId="0F0B4FB7" w14:textId="77777777" w:rsidR="00E37DE3" w:rsidRPr="00297D77" w:rsidRDefault="00BC3217" w:rsidP="00297D77">
      <w:pPr>
        <w:spacing w:line="360" w:lineRule="auto"/>
        <w:jc w:val="left"/>
        <w:rPr>
          <w:color w:val="000000"/>
          <w:sz w:val="24"/>
          <w:szCs w:val="24"/>
          <w:lang w:val="en-US"/>
        </w:rPr>
      </w:pPr>
      <w:r w:rsidRPr="00297D77">
        <w:rPr>
          <w:color w:val="000000"/>
          <w:sz w:val="24"/>
          <w:szCs w:val="24"/>
        </w:rPr>
        <w:t xml:space="preserve">The study population comprised all nursing professionals (NPs) from health </w:t>
      </w:r>
      <w:proofErr w:type="spellStart"/>
      <w:r w:rsidRPr="00297D77">
        <w:rPr>
          <w:color w:val="000000"/>
          <w:sz w:val="24"/>
          <w:szCs w:val="24"/>
        </w:rPr>
        <w:t>centers</w:t>
      </w:r>
      <w:proofErr w:type="spellEnd"/>
      <w:r w:rsidRPr="00297D77">
        <w:rPr>
          <w:color w:val="000000"/>
          <w:sz w:val="24"/>
          <w:szCs w:val="24"/>
        </w:rPr>
        <w:t xml:space="preserve"> in the city of Cuenca, </w:t>
      </w:r>
      <w:proofErr w:type="spellStart"/>
      <w:r w:rsidRPr="00297D77">
        <w:rPr>
          <w:color w:val="000000"/>
          <w:sz w:val="24"/>
          <w:szCs w:val="24"/>
        </w:rPr>
        <w:t>totaling</w:t>
      </w:r>
      <w:proofErr w:type="spellEnd"/>
      <w:r w:rsidRPr="00297D77">
        <w:rPr>
          <w:color w:val="000000"/>
          <w:sz w:val="24"/>
          <w:szCs w:val="24"/>
        </w:rPr>
        <w:t xml:space="preserve"> 83 individuals. The sample was selected using </w:t>
      </w:r>
      <w:proofErr w:type="spellStart"/>
      <w:r w:rsidRPr="00297D77">
        <w:rPr>
          <w:color w:val="000000"/>
          <w:sz w:val="24"/>
          <w:szCs w:val="24"/>
        </w:rPr>
        <w:t>nonprobabilistic</w:t>
      </w:r>
      <w:proofErr w:type="spellEnd"/>
      <w:r w:rsidRPr="00297D77">
        <w:rPr>
          <w:color w:val="000000"/>
          <w:sz w:val="24"/>
          <w:szCs w:val="24"/>
        </w:rPr>
        <w:t xml:space="preserve"> convenience sampling, given the restrictions imposed by the Ministry of Health, primarily due to the difficulty of allowing prolonged absences of NPs from their workplaces, where the demand for patient care is continuous. A minimum sample of n=30 participants was established to ensure statistical accuracy and the ability to detect relevant effects, considering the limitations and resources </w:t>
      </w:r>
      <w:r w:rsidRPr="00297D77">
        <w:rPr>
          <w:color w:val="000000"/>
          <w:sz w:val="24"/>
          <w:szCs w:val="24"/>
        </w:rPr>
        <w:lastRenderedPageBreak/>
        <w:t>available. After applying the inclusion and exclusion criteria, a sample of 30 participants, of which 27 were female and 3 were male, aged between 20 and 65 years, was obtained.</w:t>
      </w:r>
    </w:p>
    <w:p w14:paraId="3FFDDD26" w14:textId="77777777" w:rsidR="00E37DE3" w:rsidRPr="00297D77" w:rsidRDefault="00BC3217" w:rsidP="00297D77">
      <w:pPr>
        <w:spacing w:line="360" w:lineRule="auto"/>
        <w:rPr>
          <w:b/>
          <w:bCs/>
          <w:i/>
          <w:iCs/>
          <w:color w:val="000000"/>
          <w:sz w:val="24"/>
          <w:szCs w:val="24"/>
        </w:rPr>
      </w:pPr>
      <w:r w:rsidRPr="00297D77">
        <w:rPr>
          <w:b/>
          <w:bCs/>
          <w:i/>
          <w:iCs/>
          <w:color w:val="000000"/>
          <w:sz w:val="24"/>
          <w:szCs w:val="24"/>
        </w:rPr>
        <w:t>Procedure</w:t>
      </w:r>
    </w:p>
    <w:p w14:paraId="0919C117" w14:textId="77777777" w:rsidR="00E37DE3" w:rsidRPr="00297D77" w:rsidRDefault="00BC3217" w:rsidP="00297D77">
      <w:pPr>
        <w:spacing w:line="360" w:lineRule="auto"/>
        <w:jc w:val="left"/>
        <w:rPr>
          <w:color w:val="000000"/>
          <w:sz w:val="24"/>
          <w:szCs w:val="24"/>
          <w:lang w:val="en-US"/>
        </w:rPr>
      </w:pPr>
      <w:r w:rsidRPr="00297D77">
        <w:rPr>
          <w:color w:val="000000"/>
          <w:sz w:val="24"/>
          <w:szCs w:val="24"/>
        </w:rPr>
        <w:t xml:space="preserve">The study was approved by the ethics committee of the University of Cuenca. The inclusion criterion for participants was active nursing professionals (NPs) in health </w:t>
      </w:r>
      <w:proofErr w:type="spellStart"/>
      <w:r w:rsidRPr="00297D77">
        <w:rPr>
          <w:color w:val="000000"/>
          <w:sz w:val="24"/>
          <w:szCs w:val="24"/>
        </w:rPr>
        <w:t>centers</w:t>
      </w:r>
      <w:proofErr w:type="spellEnd"/>
      <w:r w:rsidRPr="00297D77">
        <w:rPr>
          <w:color w:val="000000"/>
          <w:sz w:val="24"/>
          <w:szCs w:val="24"/>
        </w:rPr>
        <w:t xml:space="preserve"> in the North Cuenca District of the MSP. They did not have received dialectical behavioral therapy in the last 6 months or had been diagnosed with psychiatric disorders. The research was conducted at the Technical Office North Cuenca of District 01D04 - MSP, located in Cuenca. An institutional letter of interest was obtained for access, and the protocol was submitted to the Committee of Ethics for Research in Human Beings for review and approval. Subsequently, a schedule of activities was established with the Occupational Health Department. The study was carried out at Health </w:t>
      </w:r>
      <w:proofErr w:type="spellStart"/>
      <w:r w:rsidRPr="00297D77">
        <w:rPr>
          <w:color w:val="000000"/>
          <w:sz w:val="24"/>
          <w:szCs w:val="24"/>
        </w:rPr>
        <w:t>Center</w:t>
      </w:r>
      <w:proofErr w:type="spellEnd"/>
      <w:r w:rsidRPr="00297D77">
        <w:rPr>
          <w:color w:val="000000"/>
          <w:sz w:val="24"/>
          <w:szCs w:val="24"/>
        </w:rPr>
        <w:t xml:space="preserve"> No. 1 </w:t>
      </w:r>
      <w:proofErr w:type="spellStart"/>
      <w:r w:rsidRPr="00297D77">
        <w:rPr>
          <w:color w:val="000000"/>
          <w:sz w:val="24"/>
          <w:szCs w:val="24"/>
        </w:rPr>
        <w:t>Pumapungo</w:t>
      </w:r>
      <w:proofErr w:type="spellEnd"/>
      <w:r w:rsidRPr="00297D77">
        <w:rPr>
          <w:color w:val="000000"/>
          <w:sz w:val="24"/>
          <w:szCs w:val="24"/>
        </w:rPr>
        <w:t>.</w:t>
      </w:r>
    </w:p>
    <w:p w14:paraId="3C11515E" w14:textId="2EADDF4C" w:rsidR="00E37DE3" w:rsidRPr="00297D77" w:rsidRDefault="00BC3217" w:rsidP="00297D77">
      <w:pPr>
        <w:spacing w:line="360" w:lineRule="auto"/>
        <w:ind w:firstLine="708"/>
        <w:jc w:val="left"/>
        <w:rPr>
          <w:color w:val="000000"/>
          <w:sz w:val="24"/>
          <w:szCs w:val="24"/>
          <w:lang w:val="en-US"/>
        </w:rPr>
      </w:pPr>
      <w:r w:rsidRPr="00297D77">
        <w:rPr>
          <w:color w:val="000000"/>
          <w:sz w:val="24"/>
          <w:szCs w:val="24"/>
        </w:rPr>
        <w:t xml:space="preserve">The initial sample consisted of n=83 NPs. Due to restrictions, the sample was reduced to n=30 using </w:t>
      </w:r>
      <w:proofErr w:type="spellStart"/>
      <w:r w:rsidRPr="00297D77">
        <w:rPr>
          <w:color w:val="000000"/>
          <w:sz w:val="24"/>
          <w:szCs w:val="24"/>
        </w:rPr>
        <w:t>nonprobabilistic</w:t>
      </w:r>
      <w:proofErr w:type="spellEnd"/>
      <w:r w:rsidRPr="00297D77">
        <w:rPr>
          <w:color w:val="000000"/>
          <w:sz w:val="24"/>
          <w:szCs w:val="24"/>
        </w:rPr>
        <w:t xml:space="preserve"> sampling. Participant selection was coordinated by the Technical Office North Cuenca. </w:t>
      </w:r>
      <w:proofErr w:type="spellStart"/>
      <w:r w:rsidRPr="00297D77">
        <w:rPr>
          <w:color w:val="000000"/>
          <w:sz w:val="24"/>
          <w:szCs w:val="24"/>
        </w:rPr>
        <w:t>Nonselected</w:t>
      </w:r>
      <w:proofErr w:type="spellEnd"/>
      <w:r w:rsidRPr="00297D77">
        <w:rPr>
          <w:color w:val="000000"/>
          <w:sz w:val="24"/>
          <w:szCs w:val="24"/>
        </w:rPr>
        <w:t xml:space="preserve"> NPs were encouraged to continue using clinical psychology services. Participants were invited to a group session where they were informed about the study and provided informed consent. Subsequently, sociodemographic data were collected, and psychological well-being was assessed.</w:t>
      </w:r>
    </w:p>
    <w:p w14:paraId="7F6B5DF5" w14:textId="77777777" w:rsidR="00E37DE3" w:rsidRPr="00297D77" w:rsidRDefault="00BC3217" w:rsidP="00297D77">
      <w:pPr>
        <w:spacing w:line="360" w:lineRule="auto"/>
        <w:ind w:firstLine="708"/>
        <w:jc w:val="left"/>
        <w:rPr>
          <w:color w:val="000000"/>
          <w:sz w:val="24"/>
          <w:szCs w:val="24"/>
          <w:lang w:val="en-US"/>
        </w:rPr>
      </w:pPr>
      <w:bookmarkStart w:id="4" w:name="_Hlk179574982"/>
      <w:r w:rsidRPr="00F20599">
        <w:rPr>
          <w:color w:val="C00000"/>
          <w:sz w:val="24"/>
          <w:szCs w:val="24"/>
        </w:rPr>
        <w:t xml:space="preserve">Two groups were created—the experimental group and the control group—with random assignment to ensure initial equivalence and blinding. </w:t>
      </w:r>
      <w:bookmarkEnd w:id="4"/>
      <w:r w:rsidRPr="00297D77">
        <w:rPr>
          <w:color w:val="000000"/>
          <w:sz w:val="24"/>
          <w:szCs w:val="24"/>
        </w:rPr>
        <w:t xml:space="preserve">Participants in the experimental group received email notifications for the intervention program sessions. Those in the control group received the intervention later. Messages were kept anonymous to prevent biases. The program consisted of 10 sessions, 7 groups and 3 individuals, led by the investigating psychologist. Group sessions were held at Auditorium 1, and individual sessions were held at the Occupational Health Office. A </w:t>
      </w:r>
      <w:proofErr w:type="spellStart"/>
      <w:r w:rsidRPr="00297D77">
        <w:rPr>
          <w:color w:val="000000"/>
          <w:sz w:val="24"/>
          <w:szCs w:val="24"/>
        </w:rPr>
        <w:t>posttest</w:t>
      </w:r>
      <w:proofErr w:type="spellEnd"/>
      <w:r w:rsidRPr="00297D77">
        <w:rPr>
          <w:color w:val="000000"/>
          <w:sz w:val="24"/>
          <w:szCs w:val="24"/>
        </w:rPr>
        <w:t xml:space="preserve"> was administered at the end of the program for both groups, and the results were analysed.</w:t>
      </w:r>
    </w:p>
    <w:p w14:paraId="550085E6" w14:textId="77777777" w:rsidR="00E37DE3" w:rsidRPr="00297D77" w:rsidRDefault="00BC3217" w:rsidP="00297D77">
      <w:pPr>
        <w:spacing w:line="360" w:lineRule="auto"/>
        <w:rPr>
          <w:b/>
          <w:bCs/>
          <w:i/>
          <w:iCs/>
          <w:color w:val="000000"/>
          <w:sz w:val="24"/>
          <w:szCs w:val="24"/>
        </w:rPr>
      </w:pPr>
      <w:r w:rsidRPr="00297D77">
        <w:rPr>
          <w:b/>
          <w:bCs/>
          <w:i/>
          <w:iCs/>
          <w:color w:val="000000"/>
          <w:sz w:val="24"/>
          <w:szCs w:val="24"/>
        </w:rPr>
        <w:t>Instruments</w:t>
      </w:r>
    </w:p>
    <w:p w14:paraId="101DB92D" w14:textId="77777777" w:rsidR="00A931F1" w:rsidRPr="00297D77" w:rsidRDefault="00BC3217" w:rsidP="00297D77">
      <w:pPr>
        <w:spacing w:line="360" w:lineRule="auto"/>
        <w:jc w:val="left"/>
        <w:rPr>
          <w:b/>
          <w:bCs/>
          <w:color w:val="000000"/>
          <w:sz w:val="24"/>
          <w:szCs w:val="24"/>
          <w:lang w:val="en-US"/>
        </w:rPr>
      </w:pPr>
      <w:r w:rsidRPr="00297D77">
        <w:rPr>
          <w:b/>
          <w:bCs/>
          <w:i/>
          <w:iCs/>
          <w:color w:val="000000"/>
          <w:sz w:val="24"/>
          <w:szCs w:val="24"/>
        </w:rPr>
        <w:t>Sociodemographic</w:t>
      </w:r>
      <w:r w:rsidRPr="00297D77">
        <w:rPr>
          <w:b/>
          <w:bCs/>
          <w:color w:val="000000"/>
          <w:sz w:val="24"/>
          <w:szCs w:val="24"/>
        </w:rPr>
        <w:t xml:space="preserve"> characteristics</w:t>
      </w:r>
    </w:p>
    <w:p w14:paraId="5F55A70C" w14:textId="77777777" w:rsidR="00E37DE3" w:rsidRPr="00297D77" w:rsidRDefault="00BC3217" w:rsidP="00297D77">
      <w:pPr>
        <w:spacing w:line="360" w:lineRule="auto"/>
        <w:jc w:val="left"/>
        <w:rPr>
          <w:color w:val="000000"/>
          <w:sz w:val="24"/>
          <w:szCs w:val="24"/>
          <w:lang w:val="en-US"/>
        </w:rPr>
      </w:pPr>
      <w:r w:rsidRPr="00297D77">
        <w:rPr>
          <w:color w:val="000000"/>
          <w:sz w:val="24"/>
          <w:szCs w:val="24"/>
        </w:rPr>
        <w:t xml:space="preserve">A sociodemographic data sheet was used to collect basic information from the participants, such as gender, age, marital status, religion, educational level, work experience in the MSP, type of </w:t>
      </w:r>
      <w:r w:rsidRPr="00297D77">
        <w:rPr>
          <w:color w:val="000000"/>
          <w:sz w:val="24"/>
          <w:szCs w:val="24"/>
        </w:rPr>
        <w:lastRenderedPageBreak/>
        <w:t>contract, and family responsibilities. This sheet provided relevant information about the sample characteristics.</w:t>
      </w:r>
    </w:p>
    <w:p w14:paraId="73F65DEF" w14:textId="77777777" w:rsidR="00A931F1" w:rsidRPr="00297D77" w:rsidRDefault="00BC3217" w:rsidP="00297D77">
      <w:pPr>
        <w:spacing w:line="360" w:lineRule="auto"/>
        <w:jc w:val="left"/>
        <w:rPr>
          <w:b/>
          <w:bCs/>
          <w:color w:val="000000"/>
          <w:sz w:val="24"/>
          <w:szCs w:val="24"/>
          <w:lang w:val="en-US"/>
        </w:rPr>
      </w:pPr>
      <w:r w:rsidRPr="00297D77">
        <w:rPr>
          <w:b/>
          <w:bCs/>
          <w:i/>
          <w:iCs/>
          <w:color w:val="000000"/>
          <w:sz w:val="24"/>
          <w:szCs w:val="24"/>
        </w:rPr>
        <w:t>Psychological Well-being Scale</w:t>
      </w:r>
      <w:r w:rsidRPr="00297D77">
        <w:rPr>
          <w:b/>
          <w:bCs/>
          <w:color w:val="000000"/>
          <w:sz w:val="24"/>
          <w:szCs w:val="24"/>
        </w:rPr>
        <w:t xml:space="preserve"> </w:t>
      </w:r>
      <w:r w:rsidR="00DE5C2A" w:rsidRPr="00297D77">
        <w:rPr>
          <w:b/>
          <w:bCs/>
          <w:color w:val="000000"/>
          <w:sz w:val="24"/>
          <w:szCs w:val="24"/>
          <w:lang w:val="en-US"/>
        </w:rPr>
        <w:fldChar w:fldCharType="begin" w:fldLock="1"/>
      </w:r>
      <w:r w:rsidR="00DE5C2A" w:rsidRPr="00297D77">
        <w:rPr>
          <w:b/>
          <w:bCs/>
          <w:color w:val="000000"/>
          <w:sz w:val="24"/>
          <w:szCs w:val="24"/>
        </w:rPr>
        <w:instrText>ADDIN CSL_CITATION {"citationItems":[{"id":"ITEM-1","itemData":{"DOI":"https://www.psicothema.com/pi?pii=3255","author":[{"dropping-particle":"","family":"Díaz","given":"D","non-dropping-particle":"","parse-names":false,"suffix":""},{"dropping-particle":"","family":"Rodríguez-Carvajal","given":"R","non-dropping-particle":"","parse-names":false,"suffix":""},{"dropping-particle":"","family":"Blanco","given":"A","non-dropping-particle":"","parse-names":false,"suffix":""},{"dropping-particle":"","family":"Moreno-Jiménez","given":"B","non-dropping-particle":"","parse-names":false,"suffix":""},{"dropping-particle":"","family":"Gallardo","given":"I","non-dropping-particle":"","parse-names":false,"suffix":""},{"dropping-particle":"","family":"Valle","given":"C","non-dropping-particle":"","parse-names":false,"suffix":""},{"dropping-particle":"","family":"Dierendonck","given":"D","non-dropping-particle":"Van","parse-names":false,"suffix":""}],"container-title":"Psicothema","id":"ITEM-1","issue":"3","issued":{"date-parts":[["2006"]]},"page":"572-577","title":"Adaptación española de las escalas de bienestar psicológico de Ryff","type":"article-journal","volume":"18"},"uris":["http://www.mendeley.com/documents/?uuid=d34bb64f-6665-4da9-ac20-a6cf8c08f734"]},{"id":"ITEM-2","itemData":{"DOI":"10.1177/016502548901200102","ISSN":"0165-0254","abstract":"Previous approaches to the study of successful ageing are reviewed. It is argued that there has been an absence of theory guiding this research; an implicit negativism in the proposed conceptions of well-being; a neglect of the possibility for continued growth and development in old age; and a failure to see conceptions of positive ageing as human constructions that are open to cultural variations and historical change. An alternative approach that draws on the convergence in life-span developmental theories, clinical theories of personal growth, and mental health perspectives is presented. Six criteria of well-being result from this integration: self-acceptance, positive relations with others, autonomy, environmental mastery, purpose in life, and personal growth. These dimensions are defined and their relevance for the study of adulthood and ageing is discussed. New avenues for investigating successful ageing as a human construction are presented with emphasis given to the complementarity between quantitative and qualitative research strategies.","author":[{"dropping-particle":"","family":"Ryff","given":"Carol D.","non-dropping-particle":"","parse-names":false,"suffix":""}],"container-title":"International Journal of Behavioral Development","id":"ITEM-2","issue":"1","issued":{"date-parts":[["1989","3","30"]]},"page":"35-55","title":"Beyond Ponce de Leon and Life Satisfaction: New directions in quest of successful ageing","type":"article-journal","volume":"12"},"uris":["http://www.mendeley.com/documents/?uuid=4ce9f799-a320-41ae-9775-02a952140519"]}],"mendeley":{"formattedCitation":"(Díaz et al., 2006; Ryff, 1989)","plainTextFormattedCitation":"(Díaz et al., 2006; Ryff, 1989)","previouslyFormattedCitation":"(Díaz et al., 2006; Ryff, 1989)"},"properties":{"noteIndex":0},"schema":"https://github.com/citation-style-language/schema/raw/master/csl-citation.json"}</w:instrText>
      </w:r>
      <w:r w:rsidR="00DE5C2A" w:rsidRPr="00297D77">
        <w:rPr>
          <w:b/>
          <w:bCs/>
          <w:color w:val="000000"/>
          <w:sz w:val="24"/>
          <w:szCs w:val="24"/>
          <w:lang w:val="en-US"/>
        </w:rPr>
        <w:fldChar w:fldCharType="separate"/>
      </w:r>
      <w:r w:rsidR="00DE5C2A" w:rsidRPr="00297D77">
        <w:rPr>
          <w:b/>
          <w:bCs/>
          <w:noProof/>
          <w:color w:val="000000"/>
          <w:sz w:val="24"/>
          <w:szCs w:val="24"/>
        </w:rPr>
        <w:t>(Díaz et al., 2006; Ryff, 1989)</w:t>
      </w:r>
      <w:r w:rsidR="00DE5C2A" w:rsidRPr="00297D77">
        <w:rPr>
          <w:b/>
          <w:bCs/>
          <w:color w:val="000000"/>
          <w:sz w:val="24"/>
          <w:szCs w:val="24"/>
          <w:lang w:val="en-US"/>
        </w:rPr>
        <w:fldChar w:fldCharType="end"/>
      </w:r>
    </w:p>
    <w:p w14:paraId="4D7E8D37" w14:textId="77777777" w:rsidR="00E37DE3" w:rsidRPr="00297D77" w:rsidRDefault="00BC3217" w:rsidP="00297D77">
      <w:pPr>
        <w:spacing w:line="360" w:lineRule="auto"/>
        <w:jc w:val="left"/>
        <w:rPr>
          <w:color w:val="000000"/>
          <w:sz w:val="24"/>
          <w:szCs w:val="24"/>
          <w:lang w:val="en-US"/>
        </w:rPr>
      </w:pPr>
      <w:r w:rsidRPr="00297D77">
        <w:rPr>
          <w:color w:val="000000"/>
          <w:sz w:val="24"/>
          <w:szCs w:val="24"/>
        </w:rPr>
        <w:t xml:space="preserve">The reliability and validity criteria of the Psychological Well-being Scale have been studied by various researchers in Ecuador </w:t>
      </w:r>
      <w:r w:rsidR="00DE5C2A" w:rsidRPr="00297D77">
        <w:rPr>
          <w:color w:val="000000"/>
          <w:sz w:val="24"/>
          <w:szCs w:val="24"/>
          <w:lang w:val="en-US"/>
        </w:rPr>
        <w:fldChar w:fldCharType="begin" w:fldLock="1"/>
      </w:r>
      <w:r w:rsidR="00DC7405" w:rsidRPr="00297D77">
        <w:rPr>
          <w:color w:val="000000"/>
          <w:sz w:val="24"/>
          <w:szCs w:val="24"/>
        </w:rPr>
        <w:instrText>ADDIN CSL_CITATION {"citationItems":[{"id":"ITEM-1","itemData":{"DOI":"10.5354/0719-0581.2021.55410","ISSN":"0719-0581","abstract":"El estudio explora la estructura factorial del Cuestionario de Bienestar Psicológico de Ryff (PWBS) en universitarios del Ecuador. Se consideró la validez por medio de estructura a través del análisis factorial y la fiabilidad con índices de consistencia interna como el alfa de Cronbach, y de su estabilidad temporal con correlaciones test-retest. Participaron 441 universitarios (73% mujeres y 27% hombres) entre 17 a 39 años (M = 20,9; DS = 2,36) de dos universidades de Ambato, Ecuador. Los resultados confirman el modelo de seis factores tradicionalmente planteados, correlacionados en una versión de 28 ítems (retiro del ítem 13) con indicadores de ajuste de: ꭓ2 = 971,1; p &lt; ,001; gl = 335; ꭓ2/gl = 2,9; CFI = ,93; TLI = ,92; SRMR = ,08; RMSEA = ,066 [,061 - ,071]. La fiabilidad de los factores resulta aceptable, entre ω = ,58 en crecimiento personal y ω = ,79 para autoaceptación y propósito en la vida. Además, la fiabilidad temporal, en intervalos de dos semanas, también es aceptable, r = ,92; p &lt; ,001; y t = 2,14; p &lt; ,05. Se concluye que el modelo de ajuste de seis factores de la Escala de Ryff se adapta a la población universitaria del Ecuador, en línea con estudios anteriores en poblaciones similares.","author":[{"dropping-particle":"","family":"Moreta-Herrera","given":"Rodrigo","non-dropping-particle":"","parse-names":false,"suffix":""},{"dropping-particle":"","family":"Reyes-Valenzuela","given":"Carlos","non-dropping-particle":"","parse-names":false,"suffix":""},{"dropping-particle":"","family":"Villagrán","given":"Loreto","non-dropping-particle":"","parse-names":false,"suffix":""},{"dropping-particle":"","family":"Gaibor-González","given":"Ismael","non-dropping-particle":"","parse-names":false,"suffix":""},{"dropping-particle":"","family":"López-Castro","given":"Javier","non-dropping-particle":"","parse-names":false,"suffix":""}],"container-title":"Revista de Psicología","id":"ITEM-1","issue":"1","issued":{"date-parts":[["2021","6","15"]]},"title":"Estructura factorial del Cuestionario Bienestar Psicológico de Ryff en una muestra de universitarios ecuatorianos","type":"article-journal","volume":"30"},"uris":["http://www.mendeley.com/documents/?uuid=f5cf405c-fc19-4305-8a49-80394d797998"]}],"mendeley":{"formattedCitation":"(Moreta-Herrera et al., 2021)","plainTextFormattedCitation":"(Moreta-Herrera et al., 2021)","previouslyFormattedCitation":"(Moreta-Herrera et al., 2021)"},"properties":{"noteIndex":0},"schema":"https://github.com/citation-style-language/schema/raw/master/csl-citation.json"}</w:instrText>
      </w:r>
      <w:r w:rsidR="00DE5C2A" w:rsidRPr="00297D77">
        <w:rPr>
          <w:color w:val="000000"/>
          <w:sz w:val="24"/>
          <w:szCs w:val="24"/>
          <w:lang w:val="en-US"/>
        </w:rPr>
        <w:fldChar w:fldCharType="separate"/>
      </w:r>
      <w:r w:rsidR="00DE5C2A" w:rsidRPr="00297D77">
        <w:rPr>
          <w:noProof/>
          <w:color w:val="000000"/>
          <w:sz w:val="24"/>
          <w:szCs w:val="24"/>
        </w:rPr>
        <w:t>(Moreta-Herrera et al., 2021)</w:t>
      </w:r>
      <w:r w:rsidR="00DE5C2A" w:rsidRPr="00297D77">
        <w:rPr>
          <w:color w:val="000000"/>
          <w:sz w:val="24"/>
          <w:szCs w:val="24"/>
          <w:lang w:val="en-US"/>
        </w:rPr>
        <w:fldChar w:fldCharType="end"/>
      </w:r>
      <w:r w:rsidRPr="00297D77">
        <w:rPr>
          <w:color w:val="000000"/>
          <w:sz w:val="24"/>
          <w:szCs w:val="24"/>
        </w:rPr>
        <w:t>. The reliability of the Ryff Psychological Well-being Scale in the Ecuadorian population was assessed, and high internal consistency (α= &gt;.71) was obtained according to the Cronbach's alpha coefficient, demonstrating that the scale is reliable for measuring psychological well-being in the Ecuadorian population. This study has shown that the adapted version of the scale has adequate reliability, meaning that the scores obtained on the scale are consistent and stable over time.</w:t>
      </w:r>
    </w:p>
    <w:p w14:paraId="0AFC4655" w14:textId="77777777" w:rsidR="00A931F1" w:rsidRPr="00297D77" w:rsidRDefault="00BC3217" w:rsidP="00297D77">
      <w:pPr>
        <w:spacing w:line="360" w:lineRule="auto"/>
        <w:jc w:val="left"/>
        <w:rPr>
          <w:b/>
          <w:bCs/>
          <w:i/>
          <w:iCs/>
          <w:color w:val="000000"/>
          <w:sz w:val="24"/>
          <w:szCs w:val="24"/>
          <w:lang w:val="en-US"/>
        </w:rPr>
      </w:pPr>
      <w:r w:rsidRPr="00297D77">
        <w:rPr>
          <w:b/>
          <w:bCs/>
          <w:i/>
          <w:iCs/>
          <w:color w:val="000000"/>
          <w:sz w:val="24"/>
          <w:szCs w:val="24"/>
        </w:rPr>
        <w:t>Dialectical Behavioral Skills Training Program</w:t>
      </w:r>
    </w:p>
    <w:p w14:paraId="0B22EC12" w14:textId="77777777" w:rsidR="00DE5C2A" w:rsidRPr="00297D77" w:rsidRDefault="00BC3217" w:rsidP="00297D77">
      <w:pPr>
        <w:spacing w:line="360" w:lineRule="auto"/>
        <w:jc w:val="left"/>
        <w:rPr>
          <w:color w:val="000000"/>
          <w:sz w:val="24"/>
          <w:szCs w:val="24"/>
          <w:lang w:val="en-US"/>
        </w:rPr>
      </w:pPr>
      <w:r w:rsidRPr="00297D77">
        <w:rPr>
          <w:color w:val="000000"/>
          <w:sz w:val="24"/>
          <w:szCs w:val="24"/>
        </w:rPr>
        <w:t>The protocol consists of an intervention program designed to improve the psychological well-being of nursing professionals. It begins with a group pretest session, where the program is introduced, sociodemographic information is collected, and the Ryff Psychological Well-being Scale is administered. Then, ten group sessions and three individual sessions are conducted for the experimental group. In the group sessions, different topics related to dialectical behavioral approaches, mindfulness, emotional distress tolerance, effective communication, self-regulation, interpersonal skills, crisis management, decision-making, and relapse prevention were addressed. Each session included specific activities related to the discussed topics, and a variety of resources, such as presentations, slides, and practical exercises, were used.</w:t>
      </w:r>
    </w:p>
    <w:p w14:paraId="55C72310" w14:textId="77777777" w:rsidR="007140BF" w:rsidRPr="00297D77" w:rsidRDefault="00BC3217" w:rsidP="00297D77">
      <w:pPr>
        <w:spacing w:line="360" w:lineRule="auto"/>
        <w:ind w:firstLine="708"/>
        <w:jc w:val="left"/>
        <w:rPr>
          <w:color w:val="000000"/>
          <w:sz w:val="24"/>
          <w:szCs w:val="24"/>
          <w:lang w:val="en-US"/>
        </w:rPr>
      </w:pPr>
      <w:r w:rsidRPr="00297D77">
        <w:rPr>
          <w:color w:val="000000"/>
          <w:sz w:val="24"/>
          <w:szCs w:val="24"/>
        </w:rPr>
        <w:t xml:space="preserve">Individual sessions focus on more personalized aspects, such as decision-making skills development, relapse prevention, long-term self-care, and reflection on program progress. Finally, a group </w:t>
      </w:r>
      <w:proofErr w:type="spellStart"/>
      <w:r w:rsidRPr="00297D77">
        <w:rPr>
          <w:color w:val="000000"/>
          <w:sz w:val="24"/>
          <w:szCs w:val="24"/>
        </w:rPr>
        <w:t>posttest</w:t>
      </w:r>
      <w:proofErr w:type="spellEnd"/>
      <w:r w:rsidRPr="00297D77">
        <w:rPr>
          <w:color w:val="000000"/>
          <w:sz w:val="24"/>
          <w:szCs w:val="24"/>
        </w:rPr>
        <w:t xml:space="preserve"> session is conducted for the control group, where participants are thanked, their psychological well-being is assessed using the Ryff Psychological Well-being Scale, and information about future intervention </w:t>
      </w:r>
      <w:bookmarkStart w:id="5" w:name="_Hlk158120469"/>
      <w:bookmarkEnd w:id="3"/>
      <w:r w:rsidRPr="00297D77">
        <w:rPr>
          <w:color w:val="000000"/>
          <w:sz w:val="24"/>
          <w:szCs w:val="24"/>
        </w:rPr>
        <w:t>programmes is provided. Each session has a duration of 60 minutes and is facilitated by a psychologist, with resources such as an auditorium, laptop, projector, slides, bond paper sheets, pens, and the digitalized Ryff Psychological Well-being Scale.</w:t>
      </w:r>
    </w:p>
    <w:p w14:paraId="53990350" w14:textId="77777777" w:rsidR="00DE5C2A" w:rsidRPr="00297D77" w:rsidRDefault="00BC3217" w:rsidP="00297D77">
      <w:pPr>
        <w:spacing w:line="360" w:lineRule="auto"/>
        <w:rPr>
          <w:b/>
          <w:bCs/>
          <w:i/>
          <w:iCs/>
          <w:color w:val="000000"/>
          <w:sz w:val="24"/>
          <w:szCs w:val="24"/>
        </w:rPr>
      </w:pPr>
      <w:r w:rsidRPr="00297D77">
        <w:rPr>
          <w:b/>
          <w:bCs/>
          <w:i/>
          <w:iCs/>
          <w:color w:val="000000"/>
          <w:sz w:val="24"/>
          <w:szCs w:val="24"/>
        </w:rPr>
        <w:t>Data analysis</w:t>
      </w:r>
    </w:p>
    <w:p w14:paraId="3021007C" w14:textId="77777777" w:rsidR="00DE5C2A" w:rsidRPr="00297D77" w:rsidRDefault="00BC3217" w:rsidP="00297D77">
      <w:pPr>
        <w:spacing w:line="360" w:lineRule="auto"/>
        <w:jc w:val="left"/>
        <w:rPr>
          <w:color w:val="000000"/>
          <w:sz w:val="24"/>
          <w:szCs w:val="24"/>
          <w:lang w:val="en-US"/>
        </w:rPr>
      </w:pPr>
      <w:r w:rsidRPr="00297D77">
        <w:rPr>
          <w:color w:val="000000"/>
          <w:sz w:val="24"/>
          <w:szCs w:val="24"/>
        </w:rPr>
        <w:t xml:space="preserve">In the initial phase of the study, a database was created and managed using Microsoft Excel to store the sociodemographic information and levels of PW collected through Google Forms. This </w:t>
      </w:r>
      <w:r w:rsidRPr="00297D77">
        <w:rPr>
          <w:color w:val="000000"/>
          <w:sz w:val="24"/>
          <w:szCs w:val="24"/>
        </w:rPr>
        <w:lastRenderedPageBreak/>
        <w:t>database was subsequently transferred to SPSS 29 (Statistical Package for the Social Sciences) software to perform the statistical analyses, and the results are presented in the form of tables and graphs. Additionally, R 4.3.1 statistical software was used to generate box plots that facilitated the visualization and analysis of the data distribution related to PW in various contexts.</w:t>
      </w:r>
    </w:p>
    <w:p w14:paraId="7D1C6883" w14:textId="77777777" w:rsidR="00DE5C2A" w:rsidRPr="00297D77" w:rsidRDefault="00BC3217" w:rsidP="00297D77">
      <w:pPr>
        <w:spacing w:line="360" w:lineRule="auto"/>
        <w:ind w:firstLine="708"/>
        <w:jc w:val="left"/>
        <w:rPr>
          <w:color w:val="000000"/>
          <w:sz w:val="24"/>
          <w:szCs w:val="24"/>
        </w:rPr>
      </w:pPr>
      <w:r w:rsidRPr="00297D77">
        <w:rPr>
          <w:color w:val="000000"/>
          <w:sz w:val="24"/>
          <w:szCs w:val="24"/>
        </w:rPr>
        <w:t>To fulfil the first specific objective, which consisted of identifying PW levels in nursing professionals (NPs), evaluations were conducted on different scales (low, moderate, high, and elevated). Descriptive analysis was employed to determine the frequency and percentage of participants at each level, providing a comprehensive view of the distribution of PW levels in the group. Regarding the second specific objective, which aimed to relate the PW levels of the experimental group postintervention with sociodemographic variables, cross-tabulations were performed. Furthermore, the chi-square test was applied to identify possible relationships between sociodemographic variables and PW levels of the experimental group after receiving the intervention. To address the general objective, which was to evaluate the effectiveness of the intervention program in increasing the PW of NPs, the Shapiro‒Wilk normality test was conducted, given the sample size (n&lt;50). The results showed that p&gt;0.05, indicating a normal distribution of the data and allowing the use of parametric tests in the analysis. Therefore, a comparison of related samples was performed using Student’s t test, which was appropriate for evaluating differences before and after the intervention.</w:t>
      </w:r>
    </w:p>
    <w:p w14:paraId="45E27721" w14:textId="39245C54" w:rsidR="00DE5C2A" w:rsidRPr="00297D77" w:rsidRDefault="00680F25" w:rsidP="00297D77">
      <w:pPr>
        <w:spacing w:line="360" w:lineRule="auto"/>
        <w:jc w:val="center"/>
        <w:rPr>
          <w:b/>
          <w:bCs/>
          <w:sz w:val="24"/>
          <w:szCs w:val="24"/>
        </w:rPr>
      </w:pPr>
      <w:r w:rsidRPr="00297D77">
        <w:rPr>
          <w:b/>
          <w:bCs/>
          <w:sz w:val="24"/>
          <w:szCs w:val="24"/>
        </w:rPr>
        <w:t>R</w:t>
      </w:r>
      <w:r w:rsidR="00297D77" w:rsidRPr="00297D77">
        <w:rPr>
          <w:b/>
          <w:bCs/>
          <w:sz w:val="24"/>
          <w:szCs w:val="24"/>
        </w:rPr>
        <w:t>esults</w:t>
      </w:r>
    </w:p>
    <w:p w14:paraId="1C010B7A" w14:textId="77777777" w:rsidR="00DE5C2A" w:rsidRPr="00297D77" w:rsidRDefault="00BC3217" w:rsidP="00297D77">
      <w:pPr>
        <w:spacing w:line="360" w:lineRule="auto"/>
        <w:jc w:val="left"/>
        <w:rPr>
          <w:color w:val="000000"/>
          <w:sz w:val="24"/>
          <w:szCs w:val="24"/>
          <w:lang w:val="en-US"/>
        </w:rPr>
      </w:pPr>
      <w:r w:rsidRPr="00297D77">
        <w:rPr>
          <w:color w:val="000000"/>
          <w:sz w:val="24"/>
          <w:szCs w:val="24"/>
        </w:rPr>
        <w:t>The following are the results obtained regarding the objectives established at the beginning of this study. The results are presented following the sequence of the specific objectives until the general objective is reached.</w:t>
      </w:r>
    </w:p>
    <w:p w14:paraId="6F21FCAB" w14:textId="77777777" w:rsidR="00DE5C2A" w:rsidRPr="00297D77" w:rsidRDefault="00BC3217" w:rsidP="00297D77">
      <w:pPr>
        <w:spacing w:line="360" w:lineRule="auto"/>
        <w:jc w:val="left"/>
        <w:rPr>
          <w:b/>
          <w:bCs/>
          <w:i/>
          <w:iCs/>
          <w:color w:val="000000"/>
          <w:sz w:val="24"/>
          <w:szCs w:val="24"/>
          <w:lang w:val="en-US"/>
        </w:rPr>
      </w:pPr>
      <w:r w:rsidRPr="00297D77">
        <w:rPr>
          <w:b/>
          <w:bCs/>
          <w:i/>
          <w:iCs/>
          <w:color w:val="000000"/>
          <w:sz w:val="24"/>
          <w:szCs w:val="24"/>
        </w:rPr>
        <w:t>a) Identify the levels of psychological well-being of nursing professionals and relate the postintervention PW levels of the experimental group to sociodemographic variables</w:t>
      </w:r>
    </w:p>
    <w:p w14:paraId="05E7128D" w14:textId="77777777" w:rsidR="00DE5C2A" w:rsidRPr="00297D77" w:rsidRDefault="00BC3217" w:rsidP="00297D77">
      <w:pPr>
        <w:spacing w:line="360" w:lineRule="auto"/>
        <w:jc w:val="left"/>
        <w:rPr>
          <w:b/>
          <w:bCs/>
          <w:i/>
          <w:iCs/>
          <w:color w:val="000000"/>
          <w:sz w:val="24"/>
          <w:szCs w:val="24"/>
          <w:lang w:val="en-US"/>
        </w:rPr>
      </w:pPr>
      <w:r w:rsidRPr="00297D77">
        <w:rPr>
          <w:b/>
          <w:bCs/>
          <w:i/>
          <w:iCs/>
          <w:color w:val="000000"/>
          <w:sz w:val="24"/>
          <w:szCs w:val="24"/>
        </w:rPr>
        <w:t>Identification of the levels of psychological well-being in the control group</w:t>
      </w:r>
    </w:p>
    <w:p w14:paraId="0CBF6A64" w14:textId="77777777" w:rsidR="00DE5C2A" w:rsidRPr="00297D77" w:rsidRDefault="00BC3217" w:rsidP="00297D77">
      <w:pPr>
        <w:spacing w:line="360" w:lineRule="auto"/>
        <w:jc w:val="left"/>
        <w:rPr>
          <w:color w:val="000000"/>
          <w:sz w:val="24"/>
          <w:szCs w:val="24"/>
          <w:lang w:val="en-US"/>
        </w:rPr>
      </w:pPr>
      <w:r w:rsidRPr="00297D77">
        <w:rPr>
          <w:color w:val="000000"/>
          <w:sz w:val="24"/>
          <w:szCs w:val="24"/>
        </w:rPr>
        <w:t xml:space="preserve">When evaluating the levels of PW of the total sample, prior to the creation of the control and experimental groups, the levels of psychological well-being (PW) in the control group at the general level, in the pretest group, and in the </w:t>
      </w:r>
      <w:proofErr w:type="spellStart"/>
      <w:r w:rsidRPr="00297D77">
        <w:rPr>
          <w:color w:val="000000"/>
          <w:sz w:val="24"/>
          <w:szCs w:val="24"/>
        </w:rPr>
        <w:t>posttest</w:t>
      </w:r>
      <w:proofErr w:type="spellEnd"/>
      <w:r w:rsidRPr="00297D77">
        <w:rPr>
          <w:color w:val="000000"/>
          <w:sz w:val="24"/>
          <w:szCs w:val="24"/>
        </w:rPr>
        <w:t xml:space="preserve"> group are identified in Table 1.</w:t>
      </w:r>
    </w:p>
    <w:p w14:paraId="26613687" w14:textId="77777777" w:rsidR="00AE4A2D" w:rsidRPr="00297D77" w:rsidRDefault="00AE4A2D" w:rsidP="00297D77">
      <w:pPr>
        <w:spacing w:line="360" w:lineRule="auto"/>
        <w:rPr>
          <w:color w:val="000000"/>
          <w:sz w:val="24"/>
          <w:szCs w:val="24"/>
          <w:lang w:val="en-US"/>
        </w:rPr>
      </w:pPr>
      <w:bookmarkStart w:id="6" w:name="_Hlk158120587"/>
      <w:bookmarkEnd w:id="5"/>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
      <w:tblGrid>
        <w:gridCol w:w="1676"/>
        <w:gridCol w:w="633"/>
        <w:gridCol w:w="830"/>
        <w:gridCol w:w="1039"/>
        <w:gridCol w:w="1364"/>
        <w:gridCol w:w="1080"/>
        <w:gridCol w:w="1417"/>
      </w:tblGrid>
      <w:tr w:rsidR="00E20CEA" w:rsidRPr="00297D77" w14:paraId="098DE167" w14:textId="77777777" w:rsidTr="00247754">
        <w:trPr>
          <w:trHeight w:val="913"/>
        </w:trPr>
        <w:tc>
          <w:tcPr>
            <w:tcW w:w="0" w:type="auto"/>
            <w:gridSpan w:val="7"/>
            <w:tcBorders>
              <w:bottom w:val="single" w:sz="4" w:space="0" w:color="auto"/>
            </w:tcBorders>
          </w:tcPr>
          <w:p w14:paraId="7A75955B" w14:textId="77777777" w:rsidR="00247754" w:rsidRPr="00297D77" w:rsidRDefault="00BC3217" w:rsidP="00297D77">
            <w:pPr>
              <w:pStyle w:val="Tabla"/>
              <w:jc w:val="both"/>
              <w:rPr>
                <w:rFonts w:ascii="Times New Roman" w:hAnsi="Times New Roman" w:cs="Times New Roman"/>
                <w:sz w:val="24"/>
                <w:szCs w:val="24"/>
                <w:lang w:val="en-US"/>
              </w:rPr>
            </w:pPr>
            <w:bookmarkStart w:id="7" w:name="_Toc151651558"/>
            <w:r w:rsidRPr="00297D77">
              <w:rPr>
                <w:rFonts w:ascii="Times New Roman" w:hAnsi="Times New Roman" w:cs="Times New Roman"/>
                <w:sz w:val="24"/>
                <w:szCs w:val="24"/>
              </w:rPr>
              <w:t>Table 1</w:t>
            </w:r>
            <w:bookmarkEnd w:id="7"/>
          </w:p>
          <w:p w14:paraId="0BEFCCBB" w14:textId="77777777" w:rsidR="00247754" w:rsidRPr="00297D77" w:rsidRDefault="00BC3217" w:rsidP="00297D77">
            <w:pPr>
              <w:pStyle w:val="Tabla"/>
              <w:jc w:val="both"/>
              <w:rPr>
                <w:rFonts w:ascii="Times New Roman" w:hAnsi="Times New Roman" w:cs="Times New Roman"/>
                <w:sz w:val="24"/>
                <w:szCs w:val="24"/>
                <w:lang w:val="en-US"/>
              </w:rPr>
            </w:pPr>
            <w:r w:rsidRPr="00297D77">
              <w:rPr>
                <w:rFonts w:ascii="Times New Roman" w:hAnsi="Times New Roman" w:cs="Times New Roman"/>
                <w:b w:val="0"/>
                <w:bCs w:val="0"/>
                <w:i/>
                <w:iCs/>
                <w:sz w:val="24"/>
                <w:szCs w:val="24"/>
              </w:rPr>
              <w:t>Descriptive analysis of PW levels in the control group</w:t>
            </w:r>
          </w:p>
        </w:tc>
      </w:tr>
      <w:tr w:rsidR="00E20CEA" w:rsidRPr="00297D77" w14:paraId="54AB743E" w14:textId="77777777" w:rsidTr="00DF2212">
        <w:trPr>
          <w:trHeight w:val="464"/>
        </w:trPr>
        <w:tc>
          <w:tcPr>
            <w:tcW w:w="0" w:type="auto"/>
            <w:tcBorders>
              <w:top w:val="single" w:sz="4" w:space="0" w:color="auto"/>
            </w:tcBorders>
          </w:tcPr>
          <w:p w14:paraId="230CDA20" w14:textId="77777777" w:rsidR="00247754" w:rsidRPr="00297D77" w:rsidRDefault="00247754" w:rsidP="00297D77">
            <w:pPr>
              <w:autoSpaceDE w:val="0"/>
              <w:autoSpaceDN w:val="0"/>
              <w:adjustRightInd w:val="0"/>
              <w:spacing w:line="360" w:lineRule="auto"/>
              <w:rPr>
                <w:sz w:val="24"/>
                <w:szCs w:val="24"/>
                <w:lang w:val="en-US"/>
              </w:rPr>
            </w:pPr>
          </w:p>
        </w:tc>
        <w:tc>
          <w:tcPr>
            <w:tcW w:w="0" w:type="auto"/>
            <w:gridSpan w:val="2"/>
            <w:tcBorders>
              <w:top w:val="single" w:sz="4" w:space="0" w:color="auto"/>
            </w:tcBorders>
          </w:tcPr>
          <w:p w14:paraId="3F18CFD2" w14:textId="77777777" w:rsidR="00247754" w:rsidRPr="00297D77" w:rsidRDefault="00BC3217" w:rsidP="00297D77">
            <w:pPr>
              <w:autoSpaceDE w:val="0"/>
              <w:autoSpaceDN w:val="0"/>
              <w:adjustRightInd w:val="0"/>
              <w:spacing w:line="360" w:lineRule="auto"/>
              <w:ind w:left="60" w:right="60"/>
              <w:jc w:val="center"/>
              <w:rPr>
                <w:color w:val="000000"/>
                <w:sz w:val="24"/>
                <w:szCs w:val="24"/>
                <w:lang w:val="en-US"/>
              </w:rPr>
            </w:pPr>
            <w:r w:rsidRPr="00297D77">
              <w:rPr>
                <w:sz w:val="24"/>
                <w:szCs w:val="24"/>
              </w:rPr>
              <w:t>Total group</w:t>
            </w:r>
          </w:p>
        </w:tc>
        <w:tc>
          <w:tcPr>
            <w:tcW w:w="0" w:type="auto"/>
            <w:gridSpan w:val="2"/>
            <w:tcBorders>
              <w:top w:val="single" w:sz="4" w:space="0" w:color="auto"/>
            </w:tcBorders>
          </w:tcPr>
          <w:p w14:paraId="35E98F18" w14:textId="77777777" w:rsidR="00247754" w:rsidRPr="00297D77" w:rsidRDefault="00BC3217" w:rsidP="00297D77">
            <w:pPr>
              <w:autoSpaceDE w:val="0"/>
              <w:autoSpaceDN w:val="0"/>
              <w:adjustRightInd w:val="0"/>
              <w:spacing w:line="360" w:lineRule="auto"/>
              <w:ind w:left="60" w:right="60"/>
              <w:jc w:val="center"/>
              <w:rPr>
                <w:sz w:val="24"/>
                <w:szCs w:val="24"/>
                <w:lang w:val="en-US"/>
              </w:rPr>
            </w:pPr>
            <w:r w:rsidRPr="00297D77">
              <w:rPr>
                <w:color w:val="000000"/>
                <w:sz w:val="24"/>
                <w:szCs w:val="24"/>
              </w:rPr>
              <w:t>Control group Pretest</w:t>
            </w:r>
          </w:p>
        </w:tc>
        <w:tc>
          <w:tcPr>
            <w:tcW w:w="0" w:type="auto"/>
            <w:gridSpan w:val="2"/>
            <w:tcBorders>
              <w:top w:val="single" w:sz="4" w:space="0" w:color="auto"/>
            </w:tcBorders>
          </w:tcPr>
          <w:p w14:paraId="5C236375" w14:textId="77777777" w:rsidR="00247754" w:rsidRPr="00297D77" w:rsidRDefault="00BC3217" w:rsidP="00297D77">
            <w:pPr>
              <w:autoSpaceDE w:val="0"/>
              <w:autoSpaceDN w:val="0"/>
              <w:adjustRightInd w:val="0"/>
              <w:spacing w:line="360" w:lineRule="auto"/>
              <w:ind w:left="60" w:right="60"/>
              <w:jc w:val="center"/>
              <w:rPr>
                <w:sz w:val="24"/>
                <w:szCs w:val="24"/>
                <w:lang w:val="en-US"/>
              </w:rPr>
            </w:pPr>
            <w:r w:rsidRPr="00297D77">
              <w:rPr>
                <w:sz w:val="24"/>
                <w:szCs w:val="24"/>
              </w:rPr>
              <w:t xml:space="preserve">Control group </w:t>
            </w:r>
            <w:proofErr w:type="spellStart"/>
            <w:r w:rsidRPr="00297D77">
              <w:rPr>
                <w:sz w:val="24"/>
                <w:szCs w:val="24"/>
              </w:rPr>
              <w:t>Posttest</w:t>
            </w:r>
            <w:proofErr w:type="spellEnd"/>
          </w:p>
        </w:tc>
      </w:tr>
      <w:tr w:rsidR="00E20CEA" w:rsidRPr="00297D77" w14:paraId="230E7631" w14:textId="77777777" w:rsidTr="00DF2212">
        <w:trPr>
          <w:trHeight w:val="464"/>
        </w:trPr>
        <w:tc>
          <w:tcPr>
            <w:tcW w:w="0" w:type="auto"/>
          </w:tcPr>
          <w:p w14:paraId="50974836" w14:textId="77777777" w:rsidR="00247754" w:rsidRPr="00297D77" w:rsidRDefault="00247754" w:rsidP="00297D77">
            <w:pPr>
              <w:autoSpaceDE w:val="0"/>
              <w:autoSpaceDN w:val="0"/>
              <w:adjustRightInd w:val="0"/>
              <w:spacing w:line="360" w:lineRule="auto"/>
              <w:rPr>
                <w:sz w:val="24"/>
                <w:szCs w:val="24"/>
                <w:lang w:val="en-US"/>
              </w:rPr>
            </w:pPr>
          </w:p>
        </w:tc>
        <w:tc>
          <w:tcPr>
            <w:tcW w:w="0" w:type="auto"/>
            <w:tcBorders>
              <w:bottom w:val="single" w:sz="4" w:space="0" w:color="auto"/>
            </w:tcBorders>
          </w:tcPr>
          <w:p w14:paraId="56BA29B7" w14:textId="77777777" w:rsidR="00247754" w:rsidRPr="00297D77" w:rsidRDefault="00BC3217" w:rsidP="00297D77">
            <w:pPr>
              <w:autoSpaceDE w:val="0"/>
              <w:autoSpaceDN w:val="0"/>
              <w:adjustRightInd w:val="0"/>
              <w:spacing w:line="360" w:lineRule="auto"/>
              <w:ind w:left="60" w:right="60"/>
              <w:jc w:val="center"/>
              <w:rPr>
                <w:color w:val="000000"/>
                <w:sz w:val="24"/>
                <w:szCs w:val="24"/>
                <w:lang w:val="en-US"/>
              </w:rPr>
            </w:pPr>
            <w:r w:rsidRPr="00297D77">
              <w:rPr>
                <w:color w:val="000000"/>
                <w:sz w:val="24"/>
                <w:szCs w:val="24"/>
              </w:rPr>
              <w:t>n</w:t>
            </w:r>
          </w:p>
        </w:tc>
        <w:tc>
          <w:tcPr>
            <w:tcW w:w="0" w:type="auto"/>
            <w:tcBorders>
              <w:bottom w:val="single" w:sz="4" w:space="0" w:color="auto"/>
            </w:tcBorders>
          </w:tcPr>
          <w:p w14:paraId="3EDF331D" w14:textId="77777777" w:rsidR="00247754" w:rsidRPr="00297D77" w:rsidRDefault="00BC3217" w:rsidP="00297D77">
            <w:pPr>
              <w:autoSpaceDE w:val="0"/>
              <w:autoSpaceDN w:val="0"/>
              <w:adjustRightInd w:val="0"/>
              <w:spacing w:line="360" w:lineRule="auto"/>
              <w:ind w:left="60" w:right="60"/>
              <w:jc w:val="center"/>
              <w:rPr>
                <w:color w:val="000000"/>
                <w:sz w:val="24"/>
                <w:szCs w:val="24"/>
                <w:lang w:val="en-US"/>
              </w:rPr>
            </w:pPr>
            <w:r w:rsidRPr="00297D77">
              <w:rPr>
                <w:color w:val="000000"/>
                <w:sz w:val="24"/>
                <w:szCs w:val="24"/>
              </w:rPr>
              <w:t>%</w:t>
            </w:r>
          </w:p>
        </w:tc>
        <w:tc>
          <w:tcPr>
            <w:tcW w:w="0" w:type="auto"/>
            <w:tcBorders>
              <w:bottom w:val="single" w:sz="4" w:space="0" w:color="auto"/>
            </w:tcBorders>
          </w:tcPr>
          <w:p w14:paraId="13B8AD04" w14:textId="77777777" w:rsidR="00247754" w:rsidRPr="00297D77" w:rsidRDefault="00BC3217" w:rsidP="00297D77">
            <w:pPr>
              <w:autoSpaceDE w:val="0"/>
              <w:autoSpaceDN w:val="0"/>
              <w:adjustRightInd w:val="0"/>
              <w:spacing w:line="360" w:lineRule="auto"/>
              <w:ind w:left="60" w:right="60"/>
              <w:jc w:val="center"/>
              <w:rPr>
                <w:color w:val="000000"/>
                <w:sz w:val="24"/>
                <w:szCs w:val="24"/>
                <w:lang w:val="en-US"/>
              </w:rPr>
            </w:pPr>
            <w:r w:rsidRPr="00297D77">
              <w:rPr>
                <w:color w:val="000000"/>
                <w:sz w:val="24"/>
                <w:szCs w:val="24"/>
              </w:rPr>
              <w:t>n</w:t>
            </w:r>
          </w:p>
        </w:tc>
        <w:tc>
          <w:tcPr>
            <w:tcW w:w="0" w:type="auto"/>
            <w:tcBorders>
              <w:bottom w:val="single" w:sz="4" w:space="0" w:color="auto"/>
            </w:tcBorders>
          </w:tcPr>
          <w:p w14:paraId="2ED21EE3" w14:textId="77777777" w:rsidR="00247754" w:rsidRPr="00297D77" w:rsidRDefault="00BC3217" w:rsidP="00297D77">
            <w:pPr>
              <w:autoSpaceDE w:val="0"/>
              <w:autoSpaceDN w:val="0"/>
              <w:adjustRightInd w:val="0"/>
              <w:spacing w:line="360" w:lineRule="auto"/>
              <w:ind w:left="60" w:right="60"/>
              <w:jc w:val="center"/>
              <w:rPr>
                <w:color w:val="000000"/>
                <w:sz w:val="24"/>
                <w:szCs w:val="24"/>
                <w:lang w:val="en-US"/>
              </w:rPr>
            </w:pPr>
            <w:r w:rsidRPr="00297D77">
              <w:rPr>
                <w:color w:val="000000"/>
                <w:sz w:val="24"/>
                <w:szCs w:val="24"/>
              </w:rPr>
              <w:t>%</w:t>
            </w:r>
          </w:p>
        </w:tc>
        <w:tc>
          <w:tcPr>
            <w:tcW w:w="0" w:type="auto"/>
            <w:tcBorders>
              <w:bottom w:val="single" w:sz="4" w:space="0" w:color="auto"/>
            </w:tcBorders>
          </w:tcPr>
          <w:p w14:paraId="4DF7B94A" w14:textId="77777777" w:rsidR="00247754" w:rsidRPr="00297D77" w:rsidRDefault="00BC3217" w:rsidP="00297D77">
            <w:pPr>
              <w:autoSpaceDE w:val="0"/>
              <w:autoSpaceDN w:val="0"/>
              <w:adjustRightInd w:val="0"/>
              <w:spacing w:line="360" w:lineRule="auto"/>
              <w:ind w:left="60" w:right="60"/>
              <w:jc w:val="center"/>
              <w:rPr>
                <w:color w:val="000000"/>
                <w:sz w:val="24"/>
                <w:szCs w:val="24"/>
                <w:lang w:val="en-US"/>
              </w:rPr>
            </w:pPr>
            <w:r w:rsidRPr="00297D77">
              <w:rPr>
                <w:color w:val="000000"/>
                <w:sz w:val="24"/>
                <w:szCs w:val="24"/>
              </w:rPr>
              <w:t>n</w:t>
            </w:r>
          </w:p>
        </w:tc>
        <w:tc>
          <w:tcPr>
            <w:tcW w:w="0" w:type="auto"/>
            <w:tcBorders>
              <w:bottom w:val="single" w:sz="4" w:space="0" w:color="auto"/>
            </w:tcBorders>
          </w:tcPr>
          <w:p w14:paraId="338C2905" w14:textId="77777777" w:rsidR="00247754" w:rsidRPr="00297D77" w:rsidRDefault="00BC3217" w:rsidP="00297D77">
            <w:pPr>
              <w:autoSpaceDE w:val="0"/>
              <w:autoSpaceDN w:val="0"/>
              <w:adjustRightInd w:val="0"/>
              <w:spacing w:line="360" w:lineRule="auto"/>
              <w:ind w:left="60" w:right="60"/>
              <w:jc w:val="center"/>
              <w:rPr>
                <w:color w:val="000000"/>
                <w:sz w:val="24"/>
                <w:szCs w:val="24"/>
                <w:lang w:val="en-US"/>
              </w:rPr>
            </w:pPr>
            <w:r w:rsidRPr="00297D77">
              <w:rPr>
                <w:color w:val="000000"/>
                <w:sz w:val="24"/>
                <w:szCs w:val="24"/>
              </w:rPr>
              <w:t>%</w:t>
            </w:r>
          </w:p>
        </w:tc>
      </w:tr>
      <w:tr w:rsidR="00E20CEA" w:rsidRPr="00297D77" w14:paraId="546CBCED" w14:textId="77777777" w:rsidTr="00DF2212">
        <w:trPr>
          <w:trHeight w:val="464"/>
        </w:trPr>
        <w:tc>
          <w:tcPr>
            <w:tcW w:w="0" w:type="auto"/>
          </w:tcPr>
          <w:p w14:paraId="7CD8F350" w14:textId="77777777" w:rsidR="00DF2212" w:rsidRPr="00297D77" w:rsidRDefault="00BC3217" w:rsidP="00297D77">
            <w:pPr>
              <w:autoSpaceDE w:val="0"/>
              <w:autoSpaceDN w:val="0"/>
              <w:adjustRightInd w:val="0"/>
              <w:spacing w:line="360" w:lineRule="auto"/>
              <w:ind w:left="60" w:right="60"/>
              <w:rPr>
                <w:color w:val="000000"/>
                <w:sz w:val="24"/>
                <w:szCs w:val="24"/>
                <w:lang w:val="en-US"/>
              </w:rPr>
            </w:pPr>
            <w:r w:rsidRPr="00297D77">
              <w:rPr>
                <w:color w:val="000000"/>
                <w:sz w:val="24"/>
                <w:szCs w:val="24"/>
              </w:rPr>
              <w:t>Low PW</w:t>
            </w:r>
          </w:p>
        </w:tc>
        <w:tc>
          <w:tcPr>
            <w:tcW w:w="0" w:type="auto"/>
            <w:tcBorders>
              <w:top w:val="single" w:sz="4" w:space="0" w:color="auto"/>
            </w:tcBorders>
          </w:tcPr>
          <w:p w14:paraId="29FB4923" w14:textId="77777777" w:rsidR="00DF2212" w:rsidRPr="00297D77" w:rsidRDefault="00BC3217" w:rsidP="00297D77">
            <w:pPr>
              <w:autoSpaceDE w:val="0"/>
              <w:autoSpaceDN w:val="0"/>
              <w:adjustRightInd w:val="0"/>
              <w:spacing w:line="360" w:lineRule="auto"/>
              <w:ind w:left="60" w:right="60"/>
              <w:jc w:val="center"/>
              <w:rPr>
                <w:color w:val="000000"/>
                <w:sz w:val="24"/>
                <w:szCs w:val="24"/>
                <w:lang w:val="en-US"/>
              </w:rPr>
            </w:pPr>
            <w:r w:rsidRPr="00297D77">
              <w:rPr>
                <w:color w:val="000000"/>
                <w:sz w:val="24"/>
                <w:szCs w:val="24"/>
              </w:rPr>
              <w:t>7</w:t>
            </w:r>
          </w:p>
        </w:tc>
        <w:tc>
          <w:tcPr>
            <w:tcW w:w="0" w:type="auto"/>
            <w:tcBorders>
              <w:top w:val="single" w:sz="4" w:space="0" w:color="auto"/>
            </w:tcBorders>
          </w:tcPr>
          <w:p w14:paraId="28318DF8" w14:textId="77777777" w:rsidR="00DF2212" w:rsidRPr="00297D77" w:rsidRDefault="00BC3217" w:rsidP="00297D77">
            <w:pPr>
              <w:autoSpaceDE w:val="0"/>
              <w:autoSpaceDN w:val="0"/>
              <w:adjustRightInd w:val="0"/>
              <w:spacing w:line="360" w:lineRule="auto"/>
              <w:ind w:left="60" w:right="60"/>
              <w:jc w:val="center"/>
              <w:rPr>
                <w:color w:val="000000"/>
                <w:sz w:val="24"/>
                <w:szCs w:val="24"/>
                <w:lang w:val="en-US"/>
              </w:rPr>
            </w:pPr>
            <w:r w:rsidRPr="00297D77">
              <w:rPr>
                <w:color w:val="000000"/>
                <w:sz w:val="24"/>
                <w:szCs w:val="24"/>
              </w:rPr>
              <w:t>23.3</w:t>
            </w:r>
          </w:p>
        </w:tc>
        <w:tc>
          <w:tcPr>
            <w:tcW w:w="0" w:type="auto"/>
            <w:tcBorders>
              <w:top w:val="single" w:sz="4" w:space="0" w:color="auto"/>
            </w:tcBorders>
          </w:tcPr>
          <w:p w14:paraId="10203D29" w14:textId="77777777" w:rsidR="00DF2212" w:rsidRPr="00297D77" w:rsidRDefault="00BC3217" w:rsidP="00297D77">
            <w:pPr>
              <w:autoSpaceDE w:val="0"/>
              <w:autoSpaceDN w:val="0"/>
              <w:adjustRightInd w:val="0"/>
              <w:spacing w:line="360" w:lineRule="auto"/>
              <w:ind w:left="60" w:right="60"/>
              <w:jc w:val="center"/>
              <w:rPr>
                <w:color w:val="000000"/>
                <w:sz w:val="24"/>
                <w:szCs w:val="24"/>
                <w:lang w:val="en-US"/>
              </w:rPr>
            </w:pPr>
            <w:r w:rsidRPr="00297D77">
              <w:rPr>
                <w:color w:val="000000"/>
                <w:sz w:val="24"/>
                <w:szCs w:val="24"/>
              </w:rPr>
              <w:t>4</w:t>
            </w:r>
          </w:p>
        </w:tc>
        <w:tc>
          <w:tcPr>
            <w:tcW w:w="0" w:type="auto"/>
            <w:tcBorders>
              <w:top w:val="single" w:sz="4" w:space="0" w:color="auto"/>
            </w:tcBorders>
          </w:tcPr>
          <w:p w14:paraId="3FD70E1C" w14:textId="77777777" w:rsidR="00DF2212" w:rsidRPr="00297D77" w:rsidRDefault="00BC3217" w:rsidP="00297D77">
            <w:pPr>
              <w:autoSpaceDE w:val="0"/>
              <w:autoSpaceDN w:val="0"/>
              <w:adjustRightInd w:val="0"/>
              <w:spacing w:line="360" w:lineRule="auto"/>
              <w:ind w:left="60" w:right="60"/>
              <w:jc w:val="center"/>
              <w:rPr>
                <w:color w:val="000000"/>
                <w:sz w:val="24"/>
                <w:szCs w:val="24"/>
                <w:lang w:val="en-US"/>
              </w:rPr>
            </w:pPr>
            <w:r w:rsidRPr="00297D77">
              <w:rPr>
                <w:color w:val="000000"/>
                <w:sz w:val="24"/>
                <w:szCs w:val="24"/>
              </w:rPr>
              <w:t>26.7</w:t>
            </w:r>
          </w:p>
        </w:tc>
        <w:tc>
          <w:tcPr>
            <w:tcW w:w="0" w:type="auto"/>
            <w:tcBorders>
              <w:top w:val="single" w:sz="4" w:space="0" w:color="auto"/>
            </w:tcBorders>
          </w:tcPr>
          <w:p w14:paraId="38451533" w14:textId="77777777" w:rsidR="00DF2212" w:rsidRPr="00297D77" w:rsidRDefault="00BC3217" w:rsidP="00297D77">
            <w:pPr>
              <w:autoSpaceDE w:val="0"/>
              <w:autoSpaceDN w:val="0"/>
              <w:adjustRightInd w:val="0"/>
              <w:spacing w:line="360" w:lineRule="auto"/>
              <w:ind w:left="60" w:right="60"/>
              <w:jc w:val="center"/>
              <w:rPr>
                <w:color w:val="000000"/>
                <w:sz w:val="24"/>
                <w:szCs w:val="24"/>
                <w:lang w:val="en-US"/>
              </w:rPr>
            </w:pPr>
            <w:r w:rsidRPr="00297D77">
              <w:rPr>
                <w:color w:val="000000"/>
                <w:sz w:val="24"/>
                <w:szCs w:val="24"/>
              </w:rPr>
              <w:t>4</w:t>
            </w:r>
          </w:p>
        </w:tc>
        <w:tc>
          <w:tcPr>
            <w:tcW w:w="0" w:type="auto"/>
            <w:tcBorders>
              <w:top w:val="single" w:sz="4" w:space="0" w:color="auto"/>
            </w:tcBorders>
          </w:tcPr>
          <w:p w14:paraId="4D4B14E0" w14:textId="77777777" w:rsidR="00DF2212" w:rsidRPr="00297D77" w:rsidRDefault="00BC3217" w:rsidP="00297D77">
            <w:pPr>
              <w:autoSpaceDE w:val="0"/>
              <w:autoSpaceDN w:val="0"/>
              <w:adjustRightInd w:val="0"/>
              <w:spacing w:line="360" w:lineRule="auto"/>
              <w:ind w:left="60" w:right="60"/>
              <w:jc w:val="center"/>
              <w:rPr>
                <w:color w:val="000000"/>
                <w:sz w:val="24"/>
                <w:szCs w:val="24"/>
                <w:lang w:val="en-US"/>
              </w:rPr>
            </w:pPr>
            <w:r w:rsidRPr="00297D77">
              <w:rPr>
                <w:color w:val="000000"/>
                <w:sz w:val="24"/>
                <w:szCs w:val="24"/>
              </w:rPr>
              <w:t>26.7</w:t>
            </w:r>
          </w:p>
        </w:tc>
      </w:tr>
      <w:tr w:rsidR="00E20CEA" w:rsidRPr="00297D77" w14:paraId="3E637A63" w14:textId="77777777" w:rsidTr="00DF2212">
        <w:trPr>
          <w:trHeight w:val="464"/>
        </w:trPr>
        <w:tc>
          <w:tcPr>
            <w:tcW w:w="0" w:type="auto"/>
          </w:tcPr>
          <w:p w14:paraId="6A98AAFC" w14:textId="77777777" w:rsidR="00DF2212" w:rsidRPr="00297D77" w:rsidRDefault="00BC3217" w:rsidP="00297D77">
            <w:pPr>
              <w:autoSpaceDE w:val="0"/>
              <w:autoSpaceDN w:val="0"/>
              <w:adjustRightInd w:val="0"/>
              <w:spacing w:line="360" w:lineRule="auto"/>
              <w:ind w:left="60" w:right="60"/>
              <w:rPr>
                <w:color w:val="000000"/>
                <w:sz w:val="24"/>
                <w:szCs w:val="24"/>
                <w:lang w:val="en-US"/>
              </w:rPr>
            </w:pPr>
            <w:r w:rsidRPr="00297D77">
              <w:rPr>
                <w:color w:val="000000"/>
                <w:sz w:val="24"/>
                <w:szCs w:val="24"/>
              </w:rPr>
              <w:t>Moderate PW</w:t>
            </w:r>
          </w:p>
        </w:tc>
        <w:tc>
          <w:tcPr>
            <w:tcW w:w="0" w:type="auto"/>
          </w:tcPr>
          <w:p w14:paraId="7DE46C0C" w14:textId="77777777" w:rsidR="00DF2212" w:rsidRPr="00297D77" w:rsidRDefault="00BC3217" w:rsidP="00297D77">
            <w:pPr>
              <w:autoSpaceDE w:val="0"/>
              <w:autoSpaceDN w:val="0"/>
              <w:adjustRightInd w:val="0"/>
              <w:spacing w:line="360" w:lineRule="auto"/>
              <w:ind w:left="60" w:right="60"/>
              <w:jc w:val="center"/>
              <w:rPr>
                <w:color w:val="000000"/>
                <w:sz w:val="24"/>
                <w:szCs w:val="24"/>
                <w:lang w:val="en-US"/>
              </w:rPr>
            </w:pPr>
            <w:r w:rsidRPr="00297D77">
              <w:rPr>
                <w:color w:val="000000"/>
                <w:sz w:val="24"/>
                <w:szCs w:val="24"/>
              </w:rPr>
              <w:t>8</w:t>
            </w:r>
          </w:p>
        </w:tc>
        <w:tc>
          <w:tcPr>
            <w:tcW w:w="0" w:type="auto"/>
          </w:tcPr>
          <w:p w14:paraId="3F11F4C8" w14:textId="77777777" w:rsidR="00DF2212" w:rsidRPr="00297D77" w:rsidRDefault="00BC3217" w:rsidP="00297D77">
            <w:pPr>
              <w:autoSpaceDE w:val="0"/>
              <w:autoSpaceDN w:val="0"/>
              <w:adjustRightInd w:val="0"/>
              <w:spacing w:line="360" w:lineRule="auto"/>
              <w:ind w:left="60" w:right="60"/>
              <w:jc w:val="center"/>
              <w:rPr>
                <w:color w:val="000000"/>
                <w:sz w:val="24"/>
                <w:szCs w:val="24"/>
                <w:lang w:val="en-US"/>
              </w:rPr>
            </w:pPr>
            <w:r w:rsidRPr="00297D77">
              <w:rPr>
                <w:color w:val="000000"/>
                <w:sz w:val="24"/>
                <w:szCs w:val="24"/>
              </w:rPr>
              <w:t>267</w:t>
            </w:r>
          </w:p>
        </w:tc>
        <w:tc>
          <w:tcPr>
            <w:tcW w:w="0" w:type="auto"/>
          </w:tcPr>
          <w:p w14:paraId="2EE87034" w14:textId="77777777" w:rsidR="00DF2212" w:rsidRPr="00297D77" w:rsidRDefault="00BC3217" w:rsidP="00297D77">
            <w:pPr>
              <w:autoSpaceDE w:val="0"/>
              <w:autoSpaceDN w:val="0"/>
              <w:adjustRightInd w:val="0"/>
              <w:spacing w:line="360" w:lineRule="auto"/>
              <w:ind w:left="60" w:right="60"/>
              <w:jc w:val="center"/>
              <w:rPr>
                <w:color w:val="000000"/>
                <w:sz w:val="24"/>
                <w:szCs w:val="24"/>
                <w:lang w:val="en-US"/>
              </w:rPr>
            </w:pPr>
            <w:r w:rsidRPr="00297D77">
              <w:rPr>
                <w:color w:val="000000"/>
                <w:sz w:val="24"/>
                <w:szCs w:val="24"/>
              </w:rPr>
              <w:t>4</w:t>
            </w:r>
          </w:p>
        </w:tc>
        <w:tc>
          <w:tcPr>
            <w:tcW w:w="0" w:type="auto"/>
          </w:tcPr>
          <w:p w14:paraId="262542AD" w14:textId="77777777" w:rsidR="00DF2212" w:rsidRPr="00297D77" w:rsidRDefault="00BC3217" w:rsidP="00297D77">
            <w:pPr>
              <w:autoSpaceDE w:val="0"/>
              <w:autoSpaceDN w:val="0"/>
              <w:adjustRightInd w:val="0"/>
              <w:spacing w:line="360" w:lineRule="auto"/>
              <w:ind w:left="60" w:right="60"/>
              <w:jc w:val="center"/>
              <w:rPr>
                <w:color w:val="000000"/>
                <w:sz w:val="24"/>
                <w:szCs w:val="24"/>
                <w:lang w:val="en-US"/>
              </w:rPr>
            </w:pPr>
            <w:r w:rsidRPr="00297D77">
              <w:rPr>
                <w:color w:val="000000"/>
                <w:sz w:val="24"/>
                <w:szCs w:val="24"/>
              </w:rPr>
              <w:t>26.7</w:t>
            </w:r>
          </w:p>
        </w:tc>
        <w:tc>
          <w:tcPr>
            <w:tcW w:w="0" w:type="auto"/>
          </w:tcPr>
          <w:p w14:paraId="7E7B9AC5" w14:textId="77777777" w:rsidR="00DF2212" w:rsidRPr="00297D77" w:rsidRDefault="00BC3217" w:rsidP="00297D77">
            <w:pPr>
              <w:autoSpaceDE w:val="0"/>
              <w:autoSpaceDN w:val="0"/>
              <w:adjustRightInd w:val="0"/>
              <w:spacing w:line="360" w:lineRule="auto"/>
              <w:ind w:left="60" w:right="60"/>
              <w:jc w:val="center"/>
              <w:rPr>
                <w:color w:val="000000"/>
                <w:sz w:val="24"/>
                <w:szCs w:val="24"/>
                <w:lang w:val="en-US"/>
              </w:rPr>
            </w:pPr>
            <w:r w:rsidRPr="00297D77">
              <w:rPr>
                <w:color w:val="000000"/>
                <w:sz w:val="24"/>
                <w:szCs w:val="24"/>
              </w:rPr>
              <w:t>5</w:t>
            </w:r>
          </w:p>
        </w:tc>
        <w:tc>
          <w:tcPr>
            <w:tcW w:w="0" w:type="auto"/>
          </w:tcPr>
          <w:p w14:paraId="66ED730C" w14:textId="77777777" w:rsidR="00DF2212" w:rsidRPr="00297D77" w:rsidRDefault="00BC3217" w:rsidP="00297D77">
            <w:pPr>
              <w:autoSpaceDE w:val="0"/>
              <w:autoSpaceDN w:val="0"/>
              <w:adjustRightInd w:val="0"/>
              <w:spacing w:line="360" w:lineRule="auto"/>
              <w:ind w:left="60" w:right="60"/>
              <w:jc w:val="center"/>
              <w:rPr>
                <w:color w:val="000000"/>
                <w:sz w:val="24"/>
                <w:szCs w:val="24"/>
                <w:lang w:val="en-US"/>
              </w:rPr>
            </w:pPr>
            <w:r w:rsidRPr="00297D77">
              <w:rPr>
                <w:color w:val="000000"/>
                <w:sz w:val="24"/>
                <w:szCs w:val="24"/>
              </w:rPr>
              <w:t>33.3</w:t>
            </w:r>
          </w:p>
        </w:tc>
      </w:tr>
      <w:tr w:rsidR="00E20CEA" w:rsidRPr="00297D77" w14:paraId="66D2A42A" w14:textId="77777777" w:rsidTr="00DF2212">
        <w:trPr>
          <w:trHeight w:val="464"/>
        </w:trPr>
        <w:tc>
          <w:tcPr>
            <w:tcW w:w="0" w:type="auto"/>
          </w:tcPr>
          <w:p w14:paraId="095AF871" w14:textId="77777777" w:rsidR="00247754" w:rsidRPr="00297D77" w:rsidRDefault="00BC3217" w:rsidP="00297D77">
            <w:pPr>
              <w:autoSpaceDE w:val="0"/>
              <w:autoSpaceDN w:val="0"/>
              <w:adjustRightInd w:val="0"/>
              <w:spacing w:line="360" w:lineRule="auto"/>
              <w:ind w:left="60" w:right="60"/>
              <w:rPr>
                <w:color w:val="000000"/>
                <w:sz w:val="24"/>
                <w:szCs w:val="24"/>
                <w:lang w:val="en-US"/>
              </w:rPr>
            </w:pPr>
            <w:r w:rsidRPr="00297D77">
              <w:rPr>
                <w:color w:val="000000"/>
                <w:sz w:val="24"/>
                <w:szCs w:val="24"/>
              </w:rPr>
              <w:t>High PW</w:t>
            </w:r>
          </w:p>
        </w:tc>
        <w:tc>
          <w:tcPr>
            <w:tcW w:w="0" w:type="auto"/>
          </w:tcPr>
          <w:p w14:paraId="01F9BDAD" w14:textId="77777777" w:rsidR="00247754" w:rsidRPr="00297D77" w:rsidRDefault="00BC3217" w:rsidP="00297D77">
            <w:pPr>
              <w:autoSpaceDE w:val="0"/>
              <w:autoSpaceDN w:val="0"/>
              <w:adjustRightInd w:val="0"/>
              <w:spacing w:line="360" w:lineRule="auto"/>
              <w:ind w:left="60" w:right="60"/>
              <w:jc w:val="center"/>
              <w:rPr>
                <w:color w:val="000000"/>
                <w:sz w:val="24"/>
                <w:szCs w:val="24"/>
                <w:lang w:val="en-US"/>
              </w:rPr>
            </w:pPr>
            <w:r w:rsidRPr="00297D77">
              <w:rPr>
                <w:color w:val="000000"/>
                <w:sz w:val="24"/>
                <w:szCs w:val="24"/>
              </w:rPr>
              <w:t>8</w:t>
            </w:r>
          </w:p>
        </w:tc>
        <w:tc>
          <w:tcPr>
            <w:tcW w:w="0" w:type="auto"/>
          </w:tcPr>
          <w:p w14:paraId="64EE5948" w14:textId="77777777" w:rsidR="00247754" w:rsidRPr="00297D77" w:rsidRDefault="00BC3217" w:rsidP="00297D77">
            <w:pPr>
              <w:autoSpaceDE w:val="0"/>
              <w:autoSpaceDN w:val="0"/>
              <w:adjustRightInd w:val="0"/>
              <w:spacing w:line="360" w:lineRule="auto"/>
              <w:ind w:left="60" w:right="60"/>
              <w:jc w:val="center"/>
              <w:rPr>
                <w:color w:val="000000"/>
                <w:sz w:val="24"/>
                <w:szCs w:val="24"/>
                <w:lang w:val="en-US"/>
              </w:rPr>
            </w:pPr>
            <w:r w:rsidRPr="00297D77">
              <w:rPr>
                <w:color w:val="000000"/>
                <w:sz w:val="24"/>
                <w:szCs w:val="24"/>
              </w:rPr>
              <w:t>26.7</w:t>
            </w:r>
          </w:p>
        </w:tc>
        <w:tc>
          <w:tcPr>
            <w:tcW w:w="0" w:type="auto"/>
          </w:tcPr>
          <w:p w14:paraId="26E40B48" w14:textId="77777777" w:rsidR="00247754" w:rsidRPr="00297D77" w:rsidRDefault="00BC3217" w:rsidP="00297D77">
            <w:pPr>
              <w:autoSpaceDE w:val="0"/>
              <w:autoSpaceDN w:val="0"/>
              <w:adjustRightInd w:val="0"/>
              <w:spacing w:line="360" w:lineRule="auto"/>
              <w:ind w:left="60" w:right="60"/>
              <w:jc w:val="center"/>
              <w:rPr>
                <w:color w:val="000000"/>
                <w:sz w:val="24"/>
                <w:szCs w:val="24"/>
                <w:lang w:val="en-US"/>
              </w:rPr>
            </w:pPr>
            <w:r w:rsidRPr="00297D77">
              <w:rPr>
                <w:color w:val="000000"/>
                <w:sz w:val="24"/>
                <w:szCs w:val="24"/>
              </w:rPr>
              <w:t>4</w:t>
            </w:r>
          </w:p>
        </w:tc>
        <w:tc>
          <w:tcPr>
            <w:tcW w:w="0" w:type="auto"/>
          </w:tcPr>
          <w:p w14:paraId="159197C2" w14:textId="77777777" w:rsidR="00247754" w:rsidRPr="00297D77" w:rsidRDefault="00BC3217" w:rsidP="00297D77">
            <w:pPr>
              <w:autoSpaceDE w:val="0"/>
              <w:autoSpaceDN w:val="0"/>
              <w:adjustRightInd w:val="0"/>
              <w:spacing w:line="360" w:lineRule="auto"/>
              <w:ind w:left="60" w:right="60"/>
              <w:jc w:val="center"/>
              <w:rPr>
                <w:color w:val="000000"/>
                <w:sz w:val="24"/>
                <w:szCs w:val="24"/>
                <w:lang w:val="en-US"/>
              </w:rPr>
            </w:pPr>
            <w:r w:rsidRPr="00297D77">
              <w:rPr>
                <w:color w:val="000000"/>
                <w:sz w:val="24"/>
                <w:szCs w:val="24"/>
              </w:rPr>
              <w:t>26.7</w:t>
            </w:r>
          </w:p>
        </w:tc>
        <w:tc>
          <w:tcPr>
            <w:tcW w:w="0" w:type="auto"/>
          </w:tcPr>
          <w:p w14:paraId="0D77B5B6" w14:textId="77777777" w:rsidR="00247754" w:rsidRPr="00297D77" w:rsidRDefault="00BC3217" w:rsidP="00297D77">
            <w:pPr>
              <w:autoSpaceDE w:val="0"/>
              <w:autoSpaceDN w:val="0"/>
              <w:adjustRightInd w:val="0"/>
              <w:spacing w:line="360" w:lineRule="auto"/>
              <w:ind w:left="60" w:right="60"/>
              <w:jc w:val="center"/>
              <w:rPr>
                <w:color w:val="000000"/>
                <w:sz w:val="24"/>
                <w:szCs w:val="24"/>
                <w:lang w:val="en-US"/>
              </w:rPr>
            </w:pPr>
            <w:r w:rsidRPr="00297D77">
              <w:rPr>
                <w:color w:val="000000"/>
                <w:sz w:val="24"/>
                <w:szCs w:val="24"/>
              </w:rPr>
              <w:t>4</w:t>
            </w:r>
          </w:p>
        </w:tc>
        <w:tc>
          <w:tcPr>
            <w:tcW w:w="0" w:type="auto"/>
          </w:tcPr>
          <w:p w14:paraId="4482BE7D" w14:textId="77777777" w:rsidR="00247754" w:rsidRPr="00297D77" w:rsidRDefault="00BC3217" w:rsidP="00297D77">
            <w:pPr>
              <w:autoSpaceDE w:val="0"/>
              <w:autoSpaceDN w:val="0"/>
              <w:adjustRightInd w:val="0"/>
              <w:spacing w:line="360" w:lineRule="auto"/>
              <w:ind w:left="60" w:right="60"/>
              <w:jc w:val="center"/>
              <w:rPr>
                <w:color w:val="000000"/>
                <w:sz w:val="24"/>
                <w:szCs w:val="24"/>
                <w:lang w:val="en-US"/>
              </w:rPr>
            </w:pPr>
            <w:r w:rsidRPr="00297D77">
              <w:rPr>
                <w:color w:val="000000"/>
                <w:sz w:val="24"/>
                <w:szCs w:val="24"/>
              </w:rPr>
              <w:t>26.7</w:t>
            </w:r>
          </w:p>
        </w:tc>
      </w:tr>
      <w:tr w:rsidR="00E20CEA" w:rsidRPr="00297D77" w14:paraId="4631A382" w14:textId="77777777" w:rsidTr="00247754">
        <w:trPr>
          <w:trHeight w:val="173"/>
        </w:trPr>
        <w:tc>
          <w:tcPr>
            <w:tcW w:w="0" w:type="auto"/>
          </w:tcPr>
          <w:p w14:paraId="39F0C888" w14:textId="77777777" w:rsidR="00247754" w:rsidRPr="00297D77" w:rsidRDefault="00BC3217" w:rsidP="00297D77">
            <w:pPr>
              <w:autoSpaceDE w:val="0"/>
              <w:autoSpaceDN w:val="0"/>
              <w:adjustRightInd w:val="0"/>
              <w:spacing w:line="360" w:lineRule="auto"/>
              <w:ind w:left="60" w:right="60"/>
              <w:rPr>
                <w:color w:val="000000"/>
                <w:sz w:val="24"/>
                <w:szCs w:val="24"/>
                <w:lang w:val="en-US"/>
              </w:rPr>
            </w:pPr>
            <w:r w:rsidRPr="00297D77">
              <w:rPr>
                <w:color w:val="000000"/>
                <w:sz w:val="24"/>
                <w:szCs w:val="24"/>
              </w:rPr>
              <w:t>Elevated PW</w:t>
            </w:r>
          </w:p>
        </w:tc>
        <w:tc>
          <w:tcPr>
            <w:tcW w:w="0" w:type="auto"/>
          </w:tcPr>
          <w:p w14:paraId="6549EB1C" w14:textId="77777777" w:rsidR="00247754" w:rsidRPr="00297D77" w:rsidRDefault="00BC3217" w:rsidP="00297D77">
            <w:pPr>
              <w:autoSpaceDE w:val="0"/>
              <w:autoSpaceDN w:val="0"/>
              <w:adjustRightInd w:val="0"/>
              <w:spacing w:line="360" w:lineRule="auto"/>
              <w:ind w:left="60" w:right="60"/>
              <w:jc w:val="center"/>
              <w:rPr>
                <w:color w:val="000000"/>
                <w:sz w:val="24"/>
                <w:szCs w:val="24"/>
                <w:lang w:val="en-US"/>
              </w:rPr>
            </w:pPr>
            <w:r w:rsidRPr="00297D77">
              <w:rPr>
                <w:color w:val="000000"/>
                <w:sz w:val="24"/>
                <w:szCs w:val="24"/>
              </w:rPr>
              <w:t>7</w:t>
            </w:r>
          </w:p>
        </w:tc>
        <w:tc>
          <w:tcPr>
            <w:tcW w:w="0" w:type="auto"/>
          </w:tcPr>
          <w:p w14:paraId="5FCD8BFA" w14:textId="77777777" w:rsidR="00247754" w:rsidRPr="00297D77" w:rsidRDefault="00BC3217" w:rsidP="00297D77">
            <w:pPr>
              <w:autoSpaceDE w:val="0"/>
              <w:autoSpaceDN w:val="0"/>
              <w:adjustRightInd w:val="0"/>
              <w:spacing w:line="360" w:lineRule="auto"/>
              <w:ind w:left="60" w:right="60"/>
              <w:jc w:val="center"/>
              <w:rPr>
                <w:color w:val="000000"/>
                <w:sz w:val="24"/>
                <w:szCs w:val="24"/>
                <w:lang w:val="en-US"/>
              </w:rPr>
            </w:pPr>
            <w:r w:rsidRPr="00297D77">
              <w:rPr>
                <w:color w:val="000000"/>
                <w:sz w:val="24"/>
                <w:szCs w:val="24"/>
              </w:rPr>
              <w:t>23.3</w:t>
            </w:r>
          </w:p>
        </w:tc>
        <w:tc>
          <w:tcPr>
            <w:tcW w:w="0" w:type="auto"/>
          </w:tcPr>
          <w:p w14:paraId="6B7FEADB" w14:textId="77777777" w:rsidR="00247754" w:rsidRPr="00297D77" w:rsidRDefault="00BC3217" w:rsidP="00297D77">
            <w:pPr>
              <w:autoSpaceDE w:val="0"/>
              <w:autoSpaceDN w:val="0"/>
              <w:adjustRightInd w:val="0"/>
              <w:spacing w:line="360" w:lineRule="auto"/>
              <w:ind w:left="60" w:right="60"/>
              <w:jc w:val="center"/>
              <w:rPr>
                <w:color w:val="000000"/>
                <w:sz w:val="24"/>
                <w:szCs w:val="24"/>
                <w:lang w:val="en-US"/>
              </w:rPr>
            </w:pPr>
            <w:r w:rsidRPr="00297D77">
              <w:rPr>
                <w:color w:val="000000"/>
                <w:sz w:val="24"/>
                <w:szCs w:val="24"/>
              </w:rPr>
              <w:t>3</w:t>
            </w:r>
          </w:p>
        </w:tc>
        <w:tc>
          <w:tcPr>
            <w:tcW w:w="0" w:type="auto"/>
          </w:tcPr>
          <w:p w14:paraId="2561C91F" w14:textId="77777777" w:rsidR="00247754" w:rsidRPr="00297D77" w:rsidRDefault="00BC3217" w:rsidP="00297D77">
            <w:pPr>
              <w:autoSpaceDE w:val="0"/>
              <w:autoSpaceDN w:val="0"/>
              <w:adjustRightInd w:val="0"/>
              <w:spacing w:line="360" w:lineRule="auto"/>
              <w:ind w:left="60" w:right="60"/>
              <w:jc w:val="center"/>
              <w:rPr>
                <w:color w:val="000000"/>
                <w:sz w:val="24"/>
                <w:szCs w:val="24"/>
                <w:lang w:val="en-US"/>
              </w:rPr>
            </w:pPr>
            <w:r w:rsidRPr="00297D77">
              <w:rPr>
                <w:color w:val="000000"/>
                <w:sz w:val="24"/>
                <w:szCs w:val="24"/>
              </w:rPr>
              <w:t>20.0</w:t>
            </w:r>
          </w:p>
        </w:tc>
        <w:tc>
          <w:tcPr>
            <w:tcW w:w="0" w:type="auto"/>
          </w:tcPr>
          <w:p w14:paraId="336D83F4" w14:textId="77777777" w:rsidR="00247754" w:rsidRPr="00297D77" w:rsidRDefault="00BC3217" w:rsidP="00297D77">
            <w:pPr>
              <w:autoSpaceDE w:val="0"/>
              <w:autoSpaceDN w:val="0"/>
              <w:adjustRightInd w:val="0"/>
              <w:spacing w:line="360" w:lineRule="auto"/>
              <w:ind w:left="60" w:right="60"/>
              <w:jc w:val="center"/>
              <w:rPr>
                <w:color w:val="000000"/>
                <w:sz w:val="24"/>
                <w:szCs w:val="24"/>
                <w:lang w:val="en-US"/>
              </w:rPr>
            </w:pPr>
            <w:r w:rsidRPr="00297D77">
              <w:rPr>
                <w:color w:val="000000"/>
                <w:sz w:val="24"/>
                <w:szCs w:val="24"/>
              </w:rPr>
              <w:t>2</w:t>
            </w:r>
          </w:p>
        </w:tc>
        <w:tc>
          <w:tcPr>
            <w:tcW w:w="0" w:type="auto"/>
          </w:tcPr>
          <w:p w14:paraId="0B6BEB61" w14:textId="77777777" w:rsidR="00247754" w:rsidRPr="00297D77" w:rsidRDefault="00BC3217" w:rsidP="00297D77">
            <w:pPr>
              <w:autoSpaceDE w:val="0"/>
              <w:autoSpaceDN w:val="0"/>
              <w:adjustRightInd w:val="0"/>
              <w:spacing w:line="360" w:lineRule="auto"/>
              <w:ind w:left="60" w:right="60"/>
              <w:jc w:val="center"/>
              <w:rPr>
                <w:color w:val="000000"/>
                <w:sz w:val="24"/>
                <w:szCs w:val="24"/>
                <w:lang w:val="en-US"/>
              </w:rPr>
            </w:pPr>
            <w:r w:rsidRPr="00297D77">
              <w:rPr>
                <w:color w:val="000000"/>
                <w:sz w:val="24"/>
                <w:szCs w:val="24"/>
              </w:rPr>
              <w:t>13.3</w:t>
            </w:r>
          </w:p>
        </w:tc>
      </w:tr>
      <w:tr w:rsidR="00E20CEA" w:rsidRPr="00297D77" w14:paraId="68687822" w14:textId="77777777" w:rsidTr="00247754">
        <w:trPr>
          <w:trHeight w:val="173"/>
        </w:trPr>
        <w:tc>
          <w:tcPr>
            <w:tcW w:w="0" w:type="auto"/>
            <w:tcBorders>
              <w:bottom w:val="single" w:sz="4" w:space="0" w:color="auto"/>
            </w:tcBorders>
          </w:tcPr>
          <w:p w14:paraId="795A7FB3" w14:textId="77777777" w:rsidR="00247754" w:rsidRPr="00297D77" w:rsidRDefault="00BC3217" w:rsidP="00297D77">
            <w:pPr>
              <w:autoSpaceDE w:val="0"/>
              <w:autoSpaceDN w:val="0"/>
              <w:adjustRightInd w:val="0"/>
              <w:spacing w:line="360" w:lineRule="auto"/>
              <w:ind w:left="60" w:right="60"/>
              <w:rPr>
                <w:color w:val="000000"/>
                <w:sz w:val="24"/>
                <w:szCs w:val="24"/>
                <w:lang w:val="en-US"/>
              </w:rPr>
            </w:pPr>
            <w:r w:rsidRPr="00297D77">
              <w:rPr>
                <w:color w:val="000000"/>
                <w:sz w:val="24"/>
                <w:szCs w:val="24"/>
              </w:rPr>
              <w:t>Total</w:t>
            </w:r>
          </w:p>
        </w:tc>
        <w:tc>
          <w:tcPr>
            <w:tcW w:w="0" w:type="auto"/>
            <w:tcBorders>
              <w:bottom w:val="single" w:sz="4" w:space="0" w:color="auto"/>
            </w:tcBorders>
          </w:tcPr>
          <w:p w14:paraId="1FE1EF30" w14:textId="77777777" w:rsidR="00247754" w:rsidRPr="00297D77" w:rsidRDefault="00BC3217" w:rsidP="00297D77">
            <w:pPr>
              <w:autoSpaceDE w:val="0"/>
              <w:autoSpaceDN w:val="0"/>
              <w:adjustRightInd w:val="0"/>
              <w:spacing w:line="360" w:lineRule="auto"/>
              <w:ind w:left="60" w:right="60"/>
              <w:jc w:val="center"/>
              <w:rPr>
                <w:color w:val="000000"/>
                <w:sz w:val="24"/>
                <w:szCs w:val="24"/>
                <w:lang w:val="en-US"/>
              </w:rPr>
            </w:pPr>
            <w:r w:rsidRPr="00297D77">
              <w:rPr>
                <w:color w:val="000000"/>
                <w:sz w:val="24"/>
                <w:szCs w:val="24"/>
              </w:rPr>
              <w:t>30</w:t>
            </w:r>
          </w:p>
        </w:tc>
        <w:tc>
          <w:tcPr>
            <w:tcW w:w="0" w:type="auto"/>
            <w:tcBorders>
              <w:bottom w:val="single" w:sz="4" w:space="0" w:color="auto"/>
            </w:tcBorders>
          </w:tcPr>
          <w:p w14:paraId="39A1D356" w14:textId="77777777" w:rsidR="00247754" w:rsidRPr="00297D77" w:rsidRDefault="00BC3217" w:rsidP="00297D77">
            <w:pPr>
              <w:autoSpaceDE w:val="0"/>
              <w:autoSpaceDN w:val="0"/>
              <w:adjustRightInd w:val="0"/>
              <w:spacing w:line="360" w:lineRule="auto"/>
              <w:ind w:left="60" w:right="60"/>
              <w:jc w:val="center"/>
              <w:rPr>
                <w:color w:val="000000"/>
                <w:sz w:val="24"/>
                <w:szCs w:val="24"/>
                <w:lang w:val="en-US"/>
              </w:rPr>
            </w:pPr>
            <w:r w:rsidRPr="00297D77">
              <w:rPr>
                <w:color w:val="000000"/>
                <w:sz w:val="24"/>
                <w:szCs w:val="24"/>
              </w:rPr>
              <w:t>100</w:t>
            </w:r>
          </w:p>
        </w:tc>
        <w:tc>
          <w:tcPr>
            <w:tcW w:w="0" w:type="auto"/>
            <w:tcBorders>
              <w:bottom w:val="single" w:sz="4" w:space="0" w:color="auto"/>
            </w:tcBorders>
          </w:tcPr>
          <w:p w14:paraId="10356E5A" w14:textId="77777777" w:rsidR="00247754" w:rsidRPr="00297D77" w:rsidRDefault="00BC3217" w:rsidP="00297D77">
            <w:pPr>
              <w:autoSpaceDE w:val="0"/>
              <w:autoSpaceDN w:val="0"/>
              <w:adjustRightInd w:val="0"/>
              <w:spacing w:line="360" w:lineRule="auto"/>
              <w:ind w:left="60" w:right="60"/>
              <w:jc w:val="center"/>
              <w:rPr>
                <w:color w:val="000000"/>
                <w:sz w:val="24"/>
                <w:szCs w:val="24"/>
                <w:lang w:val="en-US"/>
              </w:rPr>
            </w:pPr>
            <w:r w:rsidRPr="00297D77">
              <w:rPr>
                <w:color w:val="000000"/>
                <w:sz w:val="24"/>
                <w:szCs w:val="24"/>
              </w:rPr>
              <w:t>15</w:t>
            </w:r>
          </w:p>
        </w:tc>
        <w:tc>
          <w:tcPr>
            <w:tcW w:w="0" w:type="auto"/>
            <w:tcBorders>
              <w:bottom w:val="single" w:sz="4" w:space="0" w:color="auto"/>
            </w:tcBorders>
          </w:tcPr>
          <w:p w14:paraId="6CD71995" w14:textId="77777777" w:rsidR="00247754" w:rsidRPr="00297D77" w:rsidRDefault="00BC3217" w:rsidP="00297D77">
            <w:pPr>
              <w:autoSpaceDE w:val="0"/>
              <w:autoSpaceDN w:val="0"/>
              <w:adjustRightInd w:val="0"/>
              <w:spacing w:line="360" w:lineRule="auto"/>
              <w:ind w:left="60" w:right="60"/>
              <w:jc w:val="center"/>
              <w:rPr>
                <w:color w:val="000000"/>
                <w:sz w:val="24"/>
                <w:szCs w:val="24"/>
                <w:lang w:val="en-US"/>
              </w:rPr>
            </w:pPr>
            <w:r w:rsidRPr="00297D77">
              <w:rPr>
                <w:color w:val="000000"/>
                <w:sz w:val="24"/>
                <w:szCs w:val="24"/>
              </w:rPr>
              <w:t>100</w:t>
            </w:r>
          </w:p>
        </w:tc>
        <w:tc>
          <w:tcPr>
            <w:tcW w:w="0" w:type="auto"/>
            <w:tcBorders>
              <w:bottom w:val="single" w:sz="4" w:space="0" w:color="auto"/>
            </w:tcBorders>
          </w:tcPr>
          <w:p w14:paraId="12FD4D63" w14:textId="77777777" w:rsidR="00247754" w:rsidRPr="00297D77" w:rsidRDefault="00BC3217" w:rsidP="00297D77">
            <w:pPr>
              <w:autoSpaceDE w:val="0"/>
              <w:autoSpaceDN w:val="0"/>
              <w:adjustRightInd w:val="0"/>
              <w:spacing w:line="360" w:lineRule="auto"/>
              <w:ind w:left="60" w:right="60"/>
              <w:jc w:val="center"/>
              <w:rPr>
                <w:color w:val="000000"/>
                <w:sz w:val="24"/>
                <w:szCs w:val="24"/>
                <w:lang w:val="en-US"/>
              </w:rPr>
            </w:pPr>
            <w:r w:rsidRPr="00297D77">
              <w:rPr>
                <w:color w:val="000000"/>
                <w:sz w:val="24"/>
                <w:szCs w:val="24"/>
              </w:rPr>
              <w:t>15</w:t>
            </w:r>
          </w:p>
        </w:tc>
        <w:tc>
          <w:tcPr>
            <w:tcW w:w="0" w:type="auto"/>
            <w:tcBorders>
              <w:bottom w:val="single" w:sz="4" w:space="0" w:color="auto"/>
            </w:tcBorders>
          </w:tcPr>
          <w:p w14:paraId="1A8E83F1" w14:textId="77777777" w:rsidR="00247754" w:rsidRPr="00297D77" w:rsidRDefault="00BC3217" w:rsidP="00297D77">
            <w:pPr>
              <w:autoSpaceDE w:val="0"/>
              <w:autoSpaceDN w:val="0"/>
              <w:adjustRightInd w:val="0"/>
              <w:spacing w:line="360" w:lineRule="auto"/>
              <w:ind w:left="60" w:right="60"/>
              <w:jc w:val="center"/>
              <w:rPr>
                <w:color w:val="000000"/>
                <w:sz w:val="24"/>
                <w:szCs w:val="24"/>
                <w:lang w:val="en-US"/>
              </w:rPr>
            </w:pPr>
            <w:r w:rsidRPr="00297D77">
              <w:rPr>
                <w:color w:val="000000"/>
                <w:sz w:val="24"/>
                <w:szCs w:val="24"/>
              </w:rPr>
              <w:t>100</w:t>
            </w:r>
          </w:p>
        </w:tc>
      </w:tr>
    </w:tbl>
    <w:p w14:paraId="0AD5AA6A" w14:textId="77777777" w:rsidR="00AE4A2D" w:rsidRPr="00297D77" w:rsidRDefault="00BC3217" w:rsidP="00297D77">
      <w:pPr>
        <w:spacing w:line="360" w:lineRule="auto"/>
        <w:rPr>
          <w:color w:val="000000"/>
          <w:sz w:val="24"/>
          <w:szCs w:val="24"/>
          <w:lang w:val="en-US"/>
        </w:rPr>
      </w:pPr>
      <w:r w:rsidRPr="00297D77">
        <w:rPr>
          <w:b/>
          <w:bCs/>
          <w:color w:val="000000"/>
          <w:sz w:val="24"/>
          <w:szCs w:val="24"/>
        </w:rPr>
        <w:t xml:space="preserve">Note. </w:t>
      </w:r>
      <w:r w:rsidRPr="00297D77">
        <w:rPr>
          <w:color w:val="000000"/>
          <w:sz w:val="24"/>
          <w:szCs w:val="24"/>
        </w:rPr>
        <w:t>n = number; % = percentage.</w:t>
      </w:r>
    </w:p>
    <w:p w14:paraId="41F753DD" w14:textId="77777777" w:rsidR="00DE5C2A" w:rsidRPr="00297D77" w:rsidRDefault="00BC3217" w:rsidP="00297D77">
      <w:pPr>
        <w:spacing w:before="240" w:line="360" w:lineRule="auto"/>
        <w:rPr>
          <w:b/>
          <w:bCs/>
          <w:i/>
          <w:iCs/>
          <w:color w:val="000000"/>
          <w:sz w:val="24"/>
          <w:szCs w:val="24"/>
          <w:lang w:val="en-US"/>
        </w:rPr>
      </w:pPr>
      <w:r w:rsidRPr="00297D77">
        <w:rPr>
          <w:b/>
          <w:bCs/>
          <w:i/>
          <w:iCs/>
          <w:color w:val="000000"/>
          <w:sz w:val="24"/>
          <w:szCs w:val="24"/>
        </w:rPr>
        <w:t>Identification of psychological well-being levels in the experimental group</w:t>
      </w:r>
    </w:p>
    <w:p w14:paraId="48591755" w14:textId="77777777" w:rsidR="001570D7" w:rsidRPr="00297D77" w:rsidRDefault="00BC3217" w:rsidP="00297D77">
      <w:pPr>
        <w:spacing w:before="240" w:line="360" w:lineRule="auto"/>
        <w:jc w:val="left"/>
        <w:rPr>
          <w:color w:val="000000"/>
          <w:sz w:val="24"/>
          <w:szCs w:val="24"/>
          <w:lang w:val="en-US"/>
        </w:rPr>
      </w:pPr>
      <w:r w:rsidRPr="00297D77">
        <w:rPr>
          <w:color w:val="000000"/>
          <w:sz w:val="24"/>
          <w:szCs w:val="24"/>
        </w:rPr>
        <w:t>The results of the evaluation of psychological well-being levels in the experimental group are shown in Table 2.</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
      <w:tblGrid>
        <w:gridCol w:w="2455"/>
        <w:gridCol w:w="1281"/>
        <w:gridCol w:w="1681"/>
        <w:gridCol w:w="1384"/>
        <w:gridCol w:w="1672"/>
      </w:tblGrid>
      <w:tr w:rsidR="00E20CEA" w:rsidRPr="00297D77" w14:paraId="309B4224" w14:textId="77777777" w:rsidTr="00162EB4">
        <w:trPr>
          <w:trHeight w:val="913"/>
        </w:trPr>
        <w:tc>
          <w:tcPr>
            <w:tcW w:w="0" w:type="auto"/>
            <w:gridSpan w:val="5"/>
            <w:tcBorders>
              <w:bottom w:val="single" w:sz="4" w:space="0" w:color="auto"/>
            </w:tcBorders>
          </w:tcPr>
          <w:p w14:paraId="1CE0EDC0" w14:textId="77777777" w:rsidR="001570D7" w:rsidRPr="00297D77" w:rsidRDefault="00DF2212" w:rsidP="00297D77">
            <w:pPr>
              <w:pStyle w:val="Tabla"/>
              <w:jc w:val="both"/>
              <w:rPr>
                <w:rFonts w:ascii="Times New Roman" w:hAnsi="Times New Roman" w:cs="Times New Roman"/>
                <w:sz w:val="24"/>
                <w:szCs w:val="24"/>
                <w:lang w:val="en-US"/>
              </w:rPr>
            </w:pPr>
            <w:r w:rsidRPr="00297D77">
              <w:rPr>
                <w:rFonts w:ascii="Times New Roman" w:hAnsi="Times New Roman" w:cs="Times New Roman"/>
                <w:sz w:val="24"/>
                <w:szCs w:val="24"/>
              </w:rPr>
              <w:t>Table 2</w:t>
            </w:r>
          </w:p>
          <w:p w14:paraId="7C0D985E" w14:textId="77777777" w:rsidR="001570D7" w:rsidRPr="00297D77" w:rsidRDefault="00BC3217" w:rsidP="00297D77">
            <w:pPr>
              <w:pStyle w:val="Tabla"/>
              <w:jc w:val="both"/>
              <w:rPr>
                <w:rFonts w:ascii="Times New Roman" w:hAnsi="Times New Roman" w:cs="Times New Roman"/>
                <w:sz w:val="24"/>
                <w:szCs w:val="24"/>
                <w:lang w:val="en-US"/>
              </w:rPr>
            </w:pPr>
            <w:r w:rsidRPr="00297D77">
              <w:rPr>
                <w:rFonts w:ascii="Times New Roman" w:hAnsi="Times New Roman" w:cs="Times New Roman"/>
                <w:b w:val="0"/>
                <w:bCs w:val="0"/>
                <w:i/>
                <w:iCs/>
                <w:sz w:val="24"/>
                <w:szCs w:val="24"/>
              </w:rPr>
              <w:t xml:space="preserve">Descriptive analysis of PW levels in the control group </w:t>
            </w:r>
            <w:proofErr w:type="spellStart"/>
            <w:r w:rsidRPr="00297D77">
              <w:rPr>
                <w:rFonts w:ascii="Times New Roman" w:hAnsi="Times New Roman" w:cs="Times New Roman"/>
                <w:b w:val="0"/>
                <w:bCs w:val="0"/>
                <w:i/>
                <w:iCs/>
                <w:sz w:val="24"/>
                <w:szCs w:val="24"/>
              </w:rPr>
              <w:t>posttest</w:t>
            </w:r>
            <w:proofErr w:type="spellEnd"/>
          </w:p>
        </w:tc>
      </w:tr>
      <w:tr w:rsidR="00E20CEA" w:rsidRPr="00297D77" w14:paraId="7B7C5B06" w14:textId="77777777" w:rsidTr="00162EB4">
        <w:trPr>
          <w:trHeight w:val="464"/>
        </w:trPr>
        <w:tc>
          <w:tcPr>
            <w:tcW w:w="0" w:type="auto"/>
            <w:tcBorders>
              <w:top w:val="single" w:sz="4" w:space="0" w:color="auto"/>
            </w:tcBorders>
          </w:tcPr>
          <w:p w14:paraId="4F451972" w14:textId="77777777" w:rsidR="00DE5C2A" w:rsidRPr="00297D77" w:rsidRDefault="00DE5C2A" w:rsidP="00297D77">
            <w:pPr>
              <w:autoSpaceDE w:val="0"/>
              <w:autoSpaceDN w:val="0"/>
              <w:adjustRightInd w:val="0"/>
              <w:spacing w:line="360" w:lineRule="auto"/>
              <w:rPr>
                <w:sz w:val="24"/>
                <w:szCs w:val="24"/>
                <w:lang w:val="en-US"/>
              </w:rPr>
            </w:pPr>
          </w:p>
        </w:tc>
        <w:tc>
          <w:tcPr>
            <w:tcW w:w="0" w:type="auto"/>
            <w:gridSpan w:val="2"/>
            <w:tcBorders>
              <w:top w:val="single" w:sz="4" w:space="0" w:color="auto"/>
            </w:tcBorders>
          </w:tcPr>
          <w:p w14:paraId="28EE175D" w14:textId="77777777" w:rsidR="00DE5C2A" w:rsidRPr="00297D77" w:rsidRDefault="00BC3217" w:rsidP="00297D77">
            <w:pPr>
              <w:autoSpaceDE w:val="0"/>
              <w:autoSpaceDN w:val="0"/>
              <w:adjustRightInd w:val="0"/>
              <w:spacing w:line="360" w:lineRule="auto"/>
              <w:ind w:left="60" w:right="60"/>
              <w:jc w:val="center"/>
              <w:rPr>
                <w:sz w:val="24"/>
                <w:szCs w:val="24"/>
              </w:rPr>
            </w:pPr>
            <w:r w:rsidRPr="00297D77">
              <w:rPr>
                <w:color w:val="000000"/>
                <w:sz w:val="24"/>
                <w:szCs w:val="24"/>
              </w:rPr>
              <w:t>Experimental group Pretest</w:t>
            </w:r>
          </w:p>
        </w:tc>
        <w:tc>
          <w:tcPr>
            <w:tcW w:w="0" w:type="auto"/>
            <w:gridSpan w:val="2"/>
            <w:tcBorders>
              <w:top w:val="single" w:sz="4" w:space="0" w:color="auto"/>
            </w:tcBorders>
          </w:tcPr>
          <w:p w14:paraId="5103024E" w14:textId="77777777" w:rsidR="00DE5C2A" w:rsidRPr="00297D77" w:rsidRDefault="00BC3217" w:rsidP="00297D77">
            <w:pPr>
              <w:autoSpaceDE w:val="0"/>
              <w:autoSpaceDN w:val="0"/>
              <w:adjustRightInd w:val="0"/>
              <w:spacing w:line="360" w:lineRule="auto"/>
              <w:ind w:left="60" w:right="60"/>
              <w:jc w:val="center"/>
              <w:rPr>
                <w:sz w:val="24"/>
                <w:szCs w:val="24"/>
              </w:rPr>
            </w:pPr>
            <w:r w:rsidRPr="00297D77">
              <w:rPr>
                <w:sz w:val="24"/>
                <w:szCs w:val="24"/>
              </w:rPr>
              <w:t xml:space="preserve">Experimental group </w:t>
            </w:r>
            <w:proofErr w:type="spellStart"/>
            <w:r w:rsidRPr="00297D77">
              <w:rPr>
                <w:sz w:val="24"/>
                <w:szCs w:val="24"/>
              </w:rPr>
              <w:t>Posttest</w:t>
            </w:r>
            <w:proofErr w:type="spellEnd"/>
          </w:p>
        </w:tc>
      </w:tr>
      <w:tr w:rsidR="00E20CEA" w:rsidRPr="00297D77" w14:paraId="27615753" w14:textId="77777777" w:rsidTr="00162EB4">
        <w:trPr>
          <w:trHeight w:val="464"/>
        </w:trPr>
        <w:tc>
          <w:tcPr>
            <w:tcW w:w="0" w:type="auto"/>
          </w:tcPr>
          <w:p w14:paraId="6CBCFC93" w14:textId="77777777" w:rsidR="00DF2212" w:rsidRPr="00297D77" w:rsidRDefault="00DF2212" w:rsidP="00297D77">
            <w:pPr>
              <w:autoSpaceDE w:val="0"/>
              <w:autoSpaceDN w:val="0"/>
              <w:adjustRightInd w:val="0"/>
              <w:spacing w:line="360" w:lineRule="auto"/>
              <w:rPr>
                <w:sz w:val="24"/>
                <w:szCs w:val="24"/>
              </w:rPr>
            </w:pPr>
          </w:p>
        </w:tc>
        <w:tc>
          <w:tcPr>
            <w:tcW w:w="0" w:type="auto"/>
            <w:tcBorders>
              <w:bottom w:val="single" w:sz="4" w:space="0" w:color="auto"/>
            </w:tcBorders>
          </w:tcPr>
          <w:p w14:paraId="293275EF" w14:textId="77777777" w:rsidR="00DF2212" w:rsidRPr="00297D77" w:rsidRDefault="00BC3217" w:rsidP="00297D77">
            <w:pPr>
              <w:autoSpaceDE w:val="0"/>
              <w:autoSpaceDN w:val="0"/>
              <w:adjustRightInd w:val="0"/>
              <w:spacing w:line="360" w:lineRule="auto"/>
              <w:ind w:left="60" w:right="60"/>
              <w:jc w:val="center"/>
              <w:rPr>
                <w:color w:val="000000"/>
                <w:sz w:val="24"/>
                <w:szCs w:val="24"/>
              </w:rPr>
            </w:pPr>
            <w:r w:rsidRPr="00297D77">
              <w:rPr>
                <w:color w:val="000000"/>
                <w:sz w:val="24"/>
                <w:szCs w:val="24"/>
              </w:rPr>
              <w:t>n</w:t>
            </w:r>
          </w:p>
        </w:tc>
        <w:tc>
          <w:tcPr>
            <w:tcW w:w="0" w:type="auto"/>
            <w:tcBorders>
              <w:bottom w:val="single" w:sz="4" w:space="0" w:color="auto"/>
            </w:tcBorders>
          </w:tcPr>
          <w:p w14:paraId="0FE32646" w14:textId="77777777" w:rsidR="00DF2212" w:rsidRPr="00297D77" w:rsidRDefault="00BC3217" w:rsidP="00297D77">
            <w:pPr>
              <w:autoSpaceDE w:val="0"/>
              <w:autoSpaceDN w:val="0"/>
              <w:adjustRightInd w:val="0"/>
              <w:spacing w:line="360" w:lineRule="auto"/>
              <w:ind w:left="60" w:right="60"/>
              <w:jc w:val="center"/>
              <w:rPr>
                <w:color w:val="000000"/>
                <w:sz w:val="24"/>
                <w:szCs w:val="24"/>
              </w:rPr>
            </w:pPr>
            <w:r w:rsidRPr="00297D77">
              <w:rPr>
                <w:color w:val="000000"/>
                <w:sz w:val="24"/>
                <w:szCs w:val="24"/>
              </w:rPr>
              <w:t>%</w:t>
            </w:r>
          </w:p>
        </w:tc>
        <w:tc>
          <w:tcPr>
            <w:tcW w:w="0" w:type="auto"/>
            <w:tcBorders>
              <w:bottom w:val="single" w:sz="4" w:space="0" w:color="auto"/>
            </w:tcBorders>
          </w:tcPr>
          <w:p w14:paraId="183FF3BE" w14:textId="77777777" w:rsidR="00DF2212" w:rsidRPr="00297D77" w:rsidRDefault="00BC3217" w:rsidP="00297D77">
            <w:pPr>
              <w:autoSpaceDE w:val="0"/>
              <w:autoSpaceDN w:val="0"/>
              <w:adjustRightInd w:val="0"/>
              <w:spacing w:line="360" w:lineRule="auto"/>
              <w:ind w:left="60" w:right="60"/>
              <w:jc w:val="center"/>
              <w:rPr>
                <w:color w:val="000000"/>
                <w:sz w:val="24"/>
                <w:szCs w:val="24"/>
              </w:rPr>
            </w:pPr>
            <w:r w:rsidRPr="00297D77">
              <w:rPr>
                <w:color w:val="000000"/>
                <w:sz w:val="24"/>
                <w:szCs w:val="24"/>
              </w:rPr>
              <w:t>n</w:t>
            </w:r>
          </w:p>
        </w:tc>
        <w:tc>
          <w:tcPr>
            <w:tcW w:w="0" w:type="auto"/>
            <w:tcBorders>
              <w:bottom w:val="single" w:sz="4" w:space="0" w:color="auto"/>
            </w:tcBorders>
          </w:tcPr>
          <w:p w14:paraId="68768F38" w14:textId="77777777" w:rsidR="00DF2212" w:rsidRPr="00297D77" w:rsidRDefault="00BC3217" w:rsidP="00297D77">
            <w:pPr>
              <w:autoSpaceDE w:val="0"/>
              <w:autoSpaceDN w:val="0"/>
              <w:adjustRightInd w:val="0"/>
              <w:spacing w:line="360" w:lineRule="auto"/>
              <w:ind w:left="60" w:right="60"/>
              <w:jc w:val="center"/>
              <w:rPr>
                <w:color w:val="000000"/>
                <w:sz w:val="24"/>
                <w:szCs w:val="24"/>
              </w:rPr>
            </w:pPr>
            <w:r w:rsidRPr="00297D77">
              <w:rPr>
                <w:color w:val="000000"/>
                <w:sz w:val="24"/>
                <w:szCs w:val="24"/>
              </w:rPr>
              <w:t>%</w:t>
            </w:r>
          </w:p>
        </w:tc>
      </w:tr>
      <w:tr w:rsidR="00E20CEA" w:rsidRPr="00297D77" w14:paraId="35F41474" w14:textId="77777777" w:rsidTr="00162EB4">
        <w:trPr>
          <w:trHeight w:val="464"/>
        </w:trPr>
        <w:tc>
          <w:tcPr>
            <w:tcW w:w="0" w:type="auto"/>
          </w:tcPr>
          <w:p w14:paraId="5C5FC7EB" w14:textId="77777777" w:rsidR="00DE5C2A" w:rsidRPr="00297D77" w:rsidRDefault="00BC3217" w:rsidP="00297D77">
            <w:pPr>
              <w:autoSpaceDE w:val="0"/>
              <w:autoSpaceDN w:val="0"/>
              <w:adjustRightInd w:val="0"/>
              <w:spacing w:line="360" w:lineRule="auto"/>
              <w:ind w:left="60" w:right="60"/>
              <w:rPr>
                <w:color w:val="000000"/>
                <w:sz w:val="24"/>
                <w:szCs w:val="24"/>
              </w:rPr>
            </w:pPr>
            <w:r w:rsidRPr="00297D77">
              <w:rPr>
                <w:color w:val="000000"/>
                <w:sz w:val="24"/>
                <w:szCs w:val="24"/>
              </w:rPr>
              <w:t>Low PW</w:t>
            </w:r>
          </w:p>
        </w:tc>
        <w:tc>
          <w:tcPr>
            <w:tcW w:w="0" w:type="auto"/>
            <w:tcBorders>
              <w:top w:val="single" w:sz="4" w:space="0" w:color="auto"/>
            </w:tcBorders>
          </w:tcPr>
          <w:p w14:paraId="6185681F" w14:textId="77777777" w:rsidR="00DE5C2A" w:rsidRPr="00297D77" w:rsidRDefault="00BC3217" w:rsidP="00297D77">
            <w:pPr>
              <w:autoSpaceDE w:val="0"/>
              <w:autoSpaceDN w:val="0"/>
              <w:adjustRightInd w:val="0"/>
              <w:spacing w:line="360" w:lineRule="auto"/>
              <w:ind w:left="60" w:right="60"/>
              <w:jc w:val="center"/>
              <w:rPr>
                <w:color w:val="000000"/>
                <w:sz w:val="24"/>
                <w:szCs w:val="24"/>
              </w:rPr>
            </w:pPr>
            <w:r w:rsidRPr="00297D77">
              <w:rPr>
                <w:color w:val="000000"/>
                <w:sz w:val="24"/>
                <w:szCs w:val="24"/>
              </w:rPr>
              <w:t>3</w:t>
            </w:r>
          </w:p>
        </w:tc>
        <w:tc>
          <w:tcPr>
            <w:tcW w:w="0" w:type="auto"/>
            <w:tcBorders>
              <w:top w:val="single" w:sz="4" w:space="0" w:color="auto"/>
            </w:tcBorders>
          </w:tcPr>
          <w:p w14:paraId="55F860BA" w14:textId="77777777" w:rsidR="00DE5C2A" w:rsidRPr="00297D77" w:rsidRDefault="00BC3217" w:rsidP="00297D77">
            <w:pPr>
              <w:autoSpaceDE w:val="0"/>
              <w:autoSpaceDN w:val="0"/>
              <w:adjustRightInd w:val="0"/>
              <w:spacing w:line="360" w:lineRule="auto"/>
              <w:ind w:left="60" w:right="60"/>
              <w:jc w:val="center"/>
              <w:rPr>
                <w:color w:val="000000"/>
                <w:sz w:val="24"/>
                <w:szCs w:val="24"/>
              </w:rPr>
            </w:pPr>
            <w:r w:rsidRPr="00297D77">
              <w:rPr>
                <w:color w:val="000000"/>
                <w:sz w:val="24"/>
                <w:szCs w:val="24"/>
              </w:rPr>
              <w:t>20.0</w:t>
            </w:r>
          </w:p>
        </w:tc>
        <w:tc>
          <w:tcPr>
            <w:tcW w:w="0" w:type="auto"/>
            <w:tcBorders>
              <w:top w:val="single" w:sz="4" w:space="0" w:color="auto"/>
            </w:tcBorders>
          </w:tcPr>
          <w:p w14:paraId="34A395E4" w14:textId="77777777" w:rsidR="00DE5C2A" w:rsidRPr="00297D77" w:rsidRDefault="00BC3217" w:rsidP="00297D77">
            <w:pPr>
              <w:autoSpaceDE w:val="0"/>
              <w:autoSpaceDN w:val="0"/>
              <w:adjustRightInd w:val="0"/>
              <w:spacing w:line="360" w:lineRule="auto"/>
              <w:ind w:left="60" w:right="60"/>
              <w:jc w:val="center"/>
              <w:rPr>
                <w:color w:val="000000"/>
                <w:sz w:val="24"/>
                <w:szCs w:val="24"/>
              </w:rPr>
            </w:pPr>
            <w:r w:rsidRPr="00297D77">
              <w:rPr>
                <w:color w:val="000000"/>
                <w:sz w:val="24"/>
                <w:szCs w:val="24"/>
              </w:rPr>
              <w:t>-</w:t>
            </w:r>
          </w:p>
        </w:tc>
        <w:tc>
          <w:tcPr>
            <w:tcW w:w="0" w:type="auto"/>
            <w:tcBorders>
              <w:top w:val="single" w:sz="4" w:space="0" w:color="auto"/>
            </w:tcBorders>
          </w:tcPr>
          <w:p w14:paraId="02BA08E6" w14:textId="77777777" w:rsidR="00DE5C2A" w:rsidRPr="00297D77" w:rsidRDefault="00BC3217" w:rsidP="00297D77">
            <w:pPr>
              <w:autoSpaceDE w:val="0"/>
              <w:autoSpaceDN w:val="0"/>
              <w:adjustRightInd w:val="0"/>
              <w:spacing w:line="360" w:lineRule="auto"/>
              <w:ind w:left="60" w:right="60"/>
              <w:jc w:val="center"/>
              <w:rPr>
                <w:color w:val="000000"/>
                <w:sz w:val="24"/>
                <w:szCs w:val="24"/>
              </w:rPr>
            </w:pPr>
            <w:r w:rsidRPr="00297D77">
              <w:rPr>
                <w:color w:val="000000"/>
                <w:sz w:val="24"/>
                <w:szCs w:val="24"/>
              </w:rPr>
              <w:t>-</w:t>
            </w:r>
          </w:p>
        </w:tc>
      </w:tr>
      <w:tr w:rsidR="00E20CEA" w:rsidRPr="00297D77" w14:paraId="0A46A757" w14:textId="77777777" w:rsidTr="00162EB4">
        <w:trPr>
          <w:trHeight w:val="173"/>
        </w:trPr>
        <w:tc>
          <w:tcPr>
            <w:tcW w:w="0" w:type="auto"/>
          </w:tcPr>
          <w:p w14:paraId="6FC1891F" w14:textId="77777777" w:rsidR="00DE5C2A" w:rsidRPr="00297D77" w:rsidRDefault="00BC3217" w:rsidP="00297D77">
            <w:pPr>
              <w:autoSpaceDE w:val="0"/>
              <w:autoSpaceDN w:val="0"/>
              <w:adjustRightInd w:val="0"/>
              <w:spacing w:line="360" w:lineRule="auto"/>
              <w:ind w:left="60" w:right="60"/>
              <w:rPr>
                <w:color w:val="000000"/>
                <w:sz w:val="24"/>
                <w:szCs w:val="24"/>
              </w:rPr>
            </w:pPr>
            <w:r w:rsidRPr="00297D77">
              <w:rPr>
                <w:color w:val="000000"/>
                <w:sz w:val="24"/>
                <w:szCs w:val="24"/>
              </w:rPr>
              <w:t>Moderate PW</w:t>
            </w:r>
          </w:p>
        </w:tc>
        <w:tc>
          <w:tcPr>
            <w:tcW w:w="0" w:type="auto"/>
          </w:tcPr>
          <w:p w14:paraId="6EB65914" w14:textId="77777777" w:rsidR="00DE5C2A" w:rsidRPr="00297D77" w:rsidRDefault="00BC3217" w:rsidP="00297D77">
            <w:pPr>
              <w:autoSpaceDE w:val="0"/>
              <w:autoSpaceDN w:val="0"/>
              <w:adjustRightInd w:val="0"/>
              <w:spacing w:line="360" w:lineRule="auto"/>
              <w:ind w:left="60" w:right="60"/>
              <w:jc w:val="center"/>
              <w:rPr>
                <w:color w:val="000000"/>
                <w:sz w:val="24"/>
                <w:szCs w:val="24"/>
              </w:rPr>
            </w:pPr>
            <w:r w:rsidRPr="00297D77">
              <w:rPr>
                <w:color w:val="000000"/>
                <w:sz w:val="24"/>
                <w:szCs w:val="24"/>
              </w:rPr>
              <w:t>4</w:t>
            </w:r>
          </w:p>
        </w:tc>
        <w:tc>
          <w:tcPr>
            <w:tcW w:w="0" w:type="auto"/>
          </w:tcPr>
          <w:p w14:paraId="648446FB" w14:textId="77777777" w:rsidR="00DE5C2A" w:rsidRPr="00297D77" w:rsidRDefault="00BC3217" w:rsidP="00297D77">
            <w:pPr>
              <w:autoSpaceDE w:val="0"/>
              <w:autoSpaceDN w:val="0"/>
              <w:adjustRightInd w:val="0"/>
              <w:spacing w:line="360" w:lineRule="auto"/>
              <w:ind w:left="60" w:right="60"/>
              <w:jc w:val="center"/>
              <w:rPr>
                <w:color w:val="000000"/>
                <w:sz w:val="24"/>
                <w:szCs w:val="24"/>
              </w:rPr>
            </w:pPr>
            <w:r w:rsidRPr="00297D77">
              <w:rPr>
                <w:color w:val="000000"/>
                <w:sz w:val="24"/>
                <w:szCs w:val="24"/>
              </w:rPr>
              <w:t>26.7</w:t>
            </w:r>
          </w:p>
        </w:tc>
        <w:tc>
          <w:tcPr>
            <w:tcW w:w="0" w:type="auto"/>
          </w:tcPr>
          <w:p w14:paraId="41A3E89F" w14:textId="77777777" w:rsidR="00DE5C2A" w:rsidRPr="00297D77" w:rsidRDefault="00BC3217" w:rsidP="00297D77">
            <w:pPr>
              <w:autoSpaceDE w:val="0"/>
              <w:autoSpaceDN w:val="0"/>
              <w:adjustRightInd w:val="0"/>
              <w:spacing w:line="360" w:lineRule="auto"/>
              <w:ind w:right="60"/>
              <w:jc w:val="center"/>
              <w:rPr>
                <w:color w:val="000000"/>
                <w:sz w:val="24"/>
                <w:szCs w:val="24"/>
              </w:rPr>
            </w:pPr>
            <w:r w:rsidRPr="00297D77">
              <w:rPr>
                <w:color w:val="000000"/>
                <w:sz w:val="24"/>
                <w:szCs w:val="24"/>
              </w:rPr>
              <w:t>2</w:t>
            </w:r>
          </w:p>
        </w:tc>
        <w:tc>
          <w:tcPr>
            <w:tcW w:w="0" w:type="auto"/>
          </w:tcPr>
          <w:p w14:paraId="481FE2A5" w14:textId="77777777" w:rsidR="00DE5C2A" w:rsidRPr="00297D77" w:rsidRDefault="00BC3217" w:rsidP="00297D77">
            <w:pPr>
              <w:autoSpaceDE w:val="0"/>
              <w:autoSpaceDN w:val="0"/>
              <w:adjustRightInd w:val="0"/>
              <w:spacing w:line="360" w:lineRule="auto"/>
              <w:ind w:right="60"/>
              <w:jc w:val="center"/>
              <w:rPr>
                <w:color w:val="000000"/>
                <w:sz w:val="24"/>
                <w:szCs w:val="24"/>
              </w:rPr>
            </w:pPr>
            <w:r w:rsidRPr="00297D77">
              <w:rPr>
                <w:color w:val="000000"/>
                <w:sz w:val="24"/>
                <w:szCs w:val="24"/>
              </w:rPr>
              <w:t>13.3</w:t>
            </w:r>
          </w:p>
        </w:tc>
      </w:tr>
      <w:tr w:rsidR="00E20CEA" w:rsidRPr="00297D77" w14:paraId="69DBF37E" w14:textId="77777777" w:rsidTr="00162EB4">
        <w:trPr>
          <w:trHeight w:val="173"/>
        </w:trPr>
        <w:tc>
          <w:tcPr>
            <w:tcW w:w="0" w:type="auto"/>
          </w:tcPr>
          <w:p w14:paraId="538E6E73" w14:textId="77777777" w:rsidR="00DE5C2A" w:rsidRPr="00297D77" w:rsidRDefault="00BC3217" w:rsidP="00297D77">
            <w:pPr>
              <w:autoSpaceDE w:val="0"/>
              <w:autoSpaceDN w:val="0"/>
              <w:adjustRightInd w:val="0"/>
              <w:spacing w:line="360" w:lineRule="auto"/>
              <w:ind w:left="60" w:right="60"/>
              <w:rPr>
                <w:color w:val="000000"/>
                <w:sz w:val="24"/>
                <w:szCs w:val="24"/>
              </w:rPr>
            </w:pPr>
            <w:r w:rsidRPr="00297D77">
              <w:rPr>
                <w:color w:val="000000"/>
                <w:sz w:val="24"/>
                <w:szCs w:val="24"/>
              </w:rPr>
              <w:t>High PW</w:t>
            </w:r>
          </w:p>
        </w:tc>
        <w:tc>
          <w:tcPr>
            <w:tcW w:w="0" w:type="auto"/>
          </w:tcPr>
          <w:p w14:paraId="1A301450" w14:textId="77777777" w:rsidR="00DE5C2A" w:rsidRPr="00297D77" w:rsidRDefault="00BC3217" w:rsidP="00297D77">
            <w:pPr>
              <w:autoSpaceDE w:val="0"/>
              <w:autoSpaceDN w:val="0"/>
              <w:adjustRightInd w:val="0"/>
              <w:spacing w:line="360" w:lineRule="auto"/>
              <w:ind w:left="60" w:right="60"/>
              <w:jc w:val="center"/>
              <w:rPr>
                <w:color w:val="000000"/>
                <w:sz w:val="24"/>
                <w:szCs w:val="24"/>
              </w:rPr>
            </w:pPr>
            <w:r w:rsidRPr="00297D77">
              <w:rPr>
                <w:color w:val="000000"/>
                <w:sz w:val="24"/>
                <w:szCs w:val="24"/>
              </w:rPr>
              <w:t>4</w:t>
            </w:r>
          </w:p>
        </w:tc>
        <w:tc>
          <w:tcPr>
            <w:tcW w:w="0" w:type="auto"/>
          </w:tcPr>
          <w:p w14:paraId="4187EF12" w14:textId="77777777" w:rsidR="00DE5C2A" w:rsidRPr="00297D77" w:rsidRDefault="00BC3217" w:rsidP="00297D77">
            <w:pPr>
              <w:autoSpaceDE w:val="0"/>
              <w:autoSpaceDN w:val="0"/>
              <w:adjustRightInd w:val="0"/>
              <w:spacing w:line="360" w:lineRule="auto"/>
              <w:ind w:left="60" w:right="60"/>
              <w:jc w:val="center"/>
              <w:rPr>
                <w:color w:val="000000"/>
                <w:sz w:val="24"/>
                <w:szCs w:val="24"/>
              </w:rPr>
            </w:pPr>
            <w:r w:rsidRPr="00297D77">
              <w:rPr>
                <w:color w:val="000000"/>
                <w:sz w:val="24"/>
                <w:szCs w:val="24"/>
              </w:rPr>
              <w:t>26.7</w:t>
            </w:r>
          </w:p>
        </w:tc>
        <w:tc>
          <w:tcPr>
            <w:tcW w:w="0" w:type="auto"/>
          </w:tcPr>
          <w:p w14:paraId="16EB4D40" w14:textId="77777777" w:rsidR="00DE5C2A" w:rsidRPr="00297D77" w:rsidRDefault="00BC3217" w:rsidP="00297D77">
            <w:pPr>
              <w:autoSpaceDE w:val="0"/>
              <w:autoSpaceDN w:val="0"/>
              <w:adjustRightInd w:val="0"/>
              <w:spacing w:line="360" w:lineRule="auto"/>
              <w:ind w:right="60"/>
              <w:jc w:val="center"/>
              <w:rPr>
                <w:color w:val="000000"/>
                <w:sz w:val="24"/>
                <w:szCs w:val="24"/>
              </w:rPr>
            </w:pPr>
            <w:r w:rsidRPr="00297D77">
              <w:rPr>
                <w:color w:val="000000"/>
                <w:sz w:val="24"/>
                <w:szCs w:val="24"/>
              </w:rPr>
              <w:t>7</w:t>
            </w:r>
          </w:p>
        </w:tc>
        <w:tc>
          <w:tcPr>
            <w:tcW w:w="0" w:type="auto"/>
          </w:tcPr>
          <w:p w14:paraId="5BFF3D35" w14:textId="77777777" w:rsidR="00DE5C2A" w:rsidRPr="00297D77" w:rsidRDefault="00BC3217" w:rsidP="00297D77">
            <w:pPr>
              <w:autoSpaceDE w:val="0"/>
              <w:autoSpaceDN w:val="0"/>
              <w:adjustRightInd w:val="0"/>
              <w:spacing w:line="360" w:lineRule="auto"/>
              <w:ind w:right="60"/>
              <w:jc w:val="center"/>
              <w:rPr>
                <w:color w:val="000000"/>
                <w:sz w:val="24"/>
                <w:szCs w:val="24"/>
              </w:rPr>
            </w:pPr>
            <w:r w:rsidRPr="00297D77">
              <w:rPr>
                <w:color w:val="000000"/>
                <w:sz w:val="24"/>
                <w:szCs w:val="24"/>
              </w:rPr>
              <w:t>46.7</w:t>
            </w:r>
          </w:p>
        </w:tc>
      </w:tr>
      <w:tr w:rsidR="00E20CEA" w:rsidRPr="00297D77" w14:paraId="50763D39" w14:textId="77777777" w:rsidTr="00162EB4">
        <w:trPr>
          <w:trHeight w:val="173"/>
        </w:trPr>
        <w:tc>
          <w:tcPr>
            <w:tcW w:w="0" w:type="auto"/>
          </w:tcPr>
          <w:p w14:paraId="36190F6D" w14:textId="77777777" w:rsidR="00DE5C2A" w:rsidRPr="00297D77" w:rsidRDefault="00BC3217" w:rsidP="00297D77">
            <w:pPr>
              <w:autoSpaceDE w:val="0"/>
              <w:autoSpaceDN w:val="0"/>
              <w:adjustRightInd w:val="0"/>
              <w:spacing w:line="360" w:lineRule="auto"/>
              <w:ind w:left="60" w:right="60"/>
              <w:rPr>
                <w:color w:val="000000"/>
                <w:sz w:val="24"/>
                <w:szCs w:val="24"/>
              </w:rPr>
            </w:pPr>
            <w:r w:rsidRPr="00297D77">
              <w:rPr>
                <w:color w:val="000000"/>
                <w:sz w:val="24"/>
                <w:szCs w:val="24"/>
              </w:rPr>
              <w:t>Elevated PW</w:t>
            </w:r>
          </w:p>
        </w:tc>
        <w:tc>
          <w:tcPr>
            <w:tcW w:w="0" w:type="auto"/>
          </w:tcPr>
          <w:p w14:paraId="7A719C97" w14:textId="77777777" w:rsidR="00DE5C2A" w:rsidRPr="00297D77" w:rsidRDefault="00BC3217" w:rsidP="00297D77">
            <w:pPr>
              <w:autoSpaceDE w:val="0"/>
              <w:autoSpaceDN w:val="0"/>
              <w:adjustRightInd w:val="0"/>
              <w:spacing w:line="360" w:lineRule="auto"/>
              <w:ind w:left="60" w:right="60"/>
              <w:jc w:val="center"/>
              <w:rPr>
                <w:color w:val="000000"/>
                <w:sz w:val="24"/>
                <w:szCs w:val="24"/>
              </w:rPr>
            </w:pPr>
            <w:r w:rsidRPr="00297D77">
              <w:rPr>
                <w:color w:val="000000"/>
                <w:sz w:val="24"/>
                <w:szCs w:val="24"/>
              </w:rPr>
              <w:t>4</w:t>
            </w:r>
          </w:p>
        </w:tc>
        <w:tc>
          <w:tcPr>
            <w:tcW w:w="0" w:type="auto"/>
          </w:tcPr>
          <w:p w14:paraId="73913E72" w14:textId="77777777" w:rsidR="00DE5C2A" w:rsidRPr="00297D77" w:rsidRDefault="00BC3217" w:rsidP="00297D77">
            <w:pPr>
              <w:autoSpaceDE w:val="0"/>
              <w:autoSpaceDN w:val="0"/>
              <w:adjustRightInd w:val="0"/>
              <w:spacing w:line="360" w:lineRule="auto"/>
              <w:ind w:left="60" w:right="60"/>
              <w:jc w:val="center"/>
              <w:rPr>
                <w:color w:val="000000"/>
                <w:sz w:val="24"/>
                <w:szCs w:val="24"/>
              </w:rPr>
            </w:pPr>
            <w:r w:rsidRPr="00297D77">
              <w:rPr>
                <w:color w:val="000000"/>
                <w:sz w:val="24"/>
                <w:szCs w:val="24"/>
              </w:rPr>
              <w:t>26.7</w:t>
            </w:r>
          </w:p>
        </w:tc>
        <w:tc>
          <w:tcPr>
            <w:tcW w:w="0" w:type="auto"/>
          </w:tcPr>
          <w:p w14:paraId="26158357" w14:textId="77777777" w:rsidR="00DE5C2A" w:rsidRPr="00297D77" w:rsidRDefault="00BC3217" w:rsidP="00297D77">
            <w:pPr>
              <w:autoSpaceDE w:val="0"/>
              <w:autoSpaceDN w:val="0"/>
              <w:adjustRightInd w:val="0"/>
              <w:spacing w:line="360" w:lineRule="auto"/>
              <w:ind w:right="60"/>
              <w:jc w:val="center"/>
              <w:rPr>
                <w:color w:val="000000"/>
                <w:sz w:val="24"/>
                <w:szCs w:val="24"/>
              </w:rPr>
            </w:pPr>
            <w:r w:rsidRPr="00297D77">
              <w:rPr>
                <w:color w:val="000000"/>
                <w:sz w:val="24"/>
                <w:szCs w:val="24"/>
              </w:rPr>
              <w:t>6</w:t>
            </w:r>
          </w:p>
        </w:tc>
        <w:tc>
          <w:tcPr>
            <w:tcW w:w="0" w:type="auto"/>
          </w:tcPr>
          <w:p w14:paraId="225C780D" w14:textId="77777777" w:rsidR="00DE5C2A" w:rsidRPr="00297D77" w:rsidRDefault="00BC3217" w:rsidP="00297D77">
            <w:pPr>
              <w:autoSpaceDE w:val="0"/>
              <w:autoSpaceDN w:val="0"/>
              <w:adjustRightInd w:val="0"/>
              <w:spacing w:line="360" w:lineRule="auto"/>
              <w:ind w:right="60"/>
              <w:jc w:val="center"/>
              <w:rPr>
                <w:color w:val="000000"/>
                <w:sz w:val="24"/>
                <w:szCs w:val="24"/>
              </w:rPr>
            </w:pPr>
            <w:r w:rsidRPr="00297D77">
              <w:rPr>
                <w:color w:val="000000"/>
                <w:sz w:val="24"/>
                <w:szCs w:val="24"/>
              </w:rPr>
              <w:t>40.0</w:t>
            </w:r>
          </w:p>
        </w:tc>
      </w:tr>
      <w:tr w:rsidR="00E20CEA" w:rsidRPr="00297D77" w14:paraId="4E59C938" w14:textId="77777777" w:rsidTr="00162EB4">
        <w:trPr>
          <w:trHeight w:val="173"/>
        </w:trPr>
        <w:tc>
          <w:tcPr>
            <w:tcW w:w="0" w:type="auto"/>
            <w:tcBorders>
              <w:bottom w:val="single" w:sz="4" w:space="0" w:color="auto"/>
            </w:tcBorders>
          </w:tcPr>
          <w:p w14:paraId="63179DE1" w14:textId="77777777" w:rsidR="00DF2212" w:rsidRPr="00297D77" w:rsidRDefault="00BC3217" w:rsidP="00297D77">
            <w:pPr>
              <w:autoSpaceDE w:val="0"/>
              <w:autoSpaceDN w:val="0"/>
              <w:adjustRightInd w:val="0"/>
              <w:spacing w:line="360" w:lineRule="auto"/>
              <w:ind w:left="60" w:right="60"/>
              <w:rPr>
                <w:color w:val="000000"/>
                <w:sz w:val="24"/>
                <w:szCs w:val="24"/>
              </w:rPr>
            </w:pPr>
            <w:r w:rsidRPr="00297D77">
              <w:rPr>
                <w:color w:val="000000"/>
                <w:sz w:val="24"/>
                <w:szCs w:val="24"/>
              </w:rPr>
              <w:t>Total</w:t>
            </w:r>
          </w:p>
        </w:tc>
        <w:tc>
          <w:tcPr>
            <w:tcW w:w="0" w:type="auto"/>
            <w:tcBorders>
              <w:bottom w:val="single" w:sz="4" w:space="0" w:color="auto"/>
            </w:tcBorders>
          </w:tcPr>
          <w:p w14:paraId="1C10A957" w14:textId="77777777" w:rsidR="00DF2212" w:rsidRPr="00297D77" w:rsidRDefault="00BC3217" w:rsidP="00297D77">
            <w:pPr>
              <w:autoSpaceDE w:val="0"/>
              <w:autoSpaceDN w:val="0"/>
              <w:adjustRightInd w:val="0"/>
              <w:spacing w:line="360" w:lineRule="auto"/>
              <w:ind w:left="60" w:right="60"/>
              <w:jc w:val="center"/>
              <w:rPr>
                <w:color w:val="000000"/>
                <w:sz w:val="24"/>
                <w:szCs w:val="24"/>
              </w:rPr>
            </w:pPr>
            <w:r w:rsidRPr="00297D77">
              <w:rPr>
                <w:color w:val="000000"/>
                <w:sz w:val="24"/>
                <w:szCs w:val="24"/>
              </w:rPr>
              <w:t>15</w:t>
            </w:r>
          </w:p>
        </w:tc>
        <w:tc>
          <w:tcPr>
            <w:tcW w:w="0" w:type="auto"/>
            <w:tcBorders>
              <w:bottom w:val="single" w:sz="4" w:space="0" w:color="auto"/>
            </w:tcBorders>
          </w:tcPr>
          <w:p w14:paraId="463D37F6" w14:textId="77777777" w:rsidR="00DF2212" w:rsidRPr="00297D77" w:rsidRDefault="00BC3217" w:rsidP="00297D77">
            <w:pPr>
              <w:autoSpaceDE w:val="0"/>
              <w:autoSpaceDN w:val="0"/>
              <w:adjustRightInd w:val="0"/>
              <w:spacing w:line="360" w:lineRule="auto"/>
              <w:ind w:left="60" w:right="60"/>
              <w:jc w:val="center"/>
              <w:rPr>
                <w:color w:val="000000"/>
                <w:sz w:val="24"/>
                <w:szCs w:val="24"/>
              </w:rPr>
            </w:pPr>
            <w:r w:rsidRPr="00297D77">
              <w:rPr>
                <w:color w:val="000000"/>
                <w:sz w:val="24"/>
                <w:szCs w:val="24"/>
              </w:rPr>
              <w:t>100</w:t>
            </w:r>
          </w:p>
        </w:tc>
        <w:tc>
          <w:tcPr>
            <w:tcW w:w="0" w:type="auto"/>
            <w:tcBorders>
              <w:bottom w:val="single" w:sz="4" w:space="0" w:color="auto"/>
            </w:tcBorders>
          </w:tcPr>
          <w:p w14:paraId="3598AB8A" w14:textId="77777777" w:rsidR="00DF2212" w:rsidRPr="00297D77" w:rsidRDefault="00BC3217" w:rsidP="00297D77">
            <w:pPr>
              <w:autoSpaceDE w:val="0"/>
              <w:autoSpaceDN w:val="0"/>
              <w:adjustRightInd w:val="0"/>
              <w:spacing w:line="360" w:lineRule="auto"/>
              <w:ind w:left="60" w:right="60"/>
              <w:jc w:val="center"/>
              <w:rPr>
                <w:color w:val="000000"/>
                <w:sz w:val="24"/>
                <w:szCs w:val="24"/>
              </w:rPr>
            </w:pPr>
            <w:r w:rsidRPr="00297D77">
              <w:rPr>
                <w:color w:val="000000"/>
                <w:sz w:val="24"/>
                <w:szCs w:val="24"/>
              </w:rPr>
              <w:t>15</w:t>
            </w:r>
          </w:p>
        </w:tc>
        <w:tc>
          <w:tcPr>
            <w:tcW w:w="0" w:type="auto"/>
            <w:tcBorders>
              <w:bottom w:val="single" w:sz="4" w:space="0" w:color="auto"/>
            </w:tcBorders>
          </w:tcPr>
          <w:p w14:paraId="3CF99870" w14:textId="77777777" w:rsidR="00DF2212" w:rsidRPr="00297D77" w:rsidRDefault="00BC3217" w:rsidP="00297D77">
            <w:pPr>
              <w:autoSpaceDE w:val="0"/>
              <w:autoSpaceDN w:val="0"/>
              <w:adjustRightInd w:val="0"/>
              <w:spacing w:line="360" w:lineRule="auto"/>
              <w:ind w:left="60" w:right="60"/>
              <w:jc w:val="center"/>
              <w:rPr>
                <w:color w:val="000000"/>
                <w:sz w:val="24"/>
                <w:szCs w:val="24"/>
              </w:rPr>
            </w:pPr>
            <w:r w:rsidRPr="00297D77">
              <w:rPr>
                <w:color w:val="000000"/>
                <w:sz w:val="24"/>
                <w:szCs w:val="24"/>
              </w:rPr>
              <w:t>100</w:t>
            </w:r>
          </w:p>
        </w:tc>
      </w:tr>
    </w:tbl>
    <w:p w14:paraId="65893C96" w14:textId="77777777" w:rsidR="00DE5C2A" w:rsidRPr="00297D77" w:rsidRDefault="00BC3217" w:rsidP="00297D77">
      <w:pPr>
        <w:spacing w:line="360" w:lineRule="auto"/>
        <w:rPr>
          <w:color w:val="000000"/>
          <w:sz w:val="24"/>
          <w:szCs w:val="24"/>
          <w:lang w:val="en-US"/>
        </w:rPr>
      </w:pPr>
      <w:r w:rsidRPr="00297D77">
        <w:rPr>
          <w:b/>
          <w:bCs/>
          <w:color w:val="000000"/>
          <w:sz w:val="24"/>
          <w:szCs w:val="24"/>
        </w:rPr>
        <w:t xml:space="preserve">Note. </w:t>
      </w:r>
      <w:r w:rsidRPr="00297D77">
        <w:rPr>
          <w:color w:val="000000"/>
          <w:sz w:val="24"/>
          <w:szCs w:val="24"/>
        </w:rPr>
        <w:t>n = number; % = percentage.</w:t>
      </w:r>
    </w:p>
    <w:p w14:paraId="5CE63F20" w14:textId="77777777" w:rsidR="0017181A" w:rsidRPr="00297D77" w:rsidRDefault="00BC3217" w:rsidP="00297D77">
      <w:pPr>
        <w:spacing w:before="240" w:line="360" w:lineRule="auto"/>
        <w:jc w:val="left"/>
        <w:rPr>
          <w:b/>
          <w:bCs/>
          <w:i/>
          <w:iCs/>
          <w:color w:val="000000"/>
          <w:sz w:val="24"/>
          <w:szCs w:val="24"/>
          <w:lang w:val="en-US"/>
        </w:rPr>
      </w:pPr>
      <w:r w:rsidRPr="00297D77">
        <w:rPr>
          <w:b/>
          <w:bCs/>
          <w:i/>
          <w:iCs/>
          <w:color w:val="000000"/>
          <w:sz w:val="24"/>
          <w:szCs w:val="24"/>
        </w:rPr>
        <w:t>Associations between psychological well-being and sociodemographic variables</w:t>
      </w:r>
    </w:p>
    <w:p w14:paraId="08109967" w14:textId="77777777" w:rsidR="0017181A" w:rsidRPr="00297D77" w:rsidRDefault="00BC3217" w:rsidP="00297D77">
      <w:pPr>
        <w:spacing w:line="360" w:lineRule="auto"/>
        <w:jc w:val="left"/>
        <w:rPr>
          <w:color w:val="000000"/>
          <w:sz w:val="24"/>
          <w:szCs w:val="24"/>
          <w:lang w:val="en-US"/>
        </w:rPr>
      </w:pPr>
      <w:r w:rsidRPr="00297D77">
        <w:rPr>
          <w:color w:val="000000"/>
          <w:sz w:val="24"/>
          <w:szCs w:val="24"/>
        </w:rPr>
        <w:t>Table 3 presents the results of the chi-square test for psychological well-being levels in the experimental group postintervention with sociodemographic variables.</w:t>
      </w:r>
    </w:p>
    <w:p w14:paraId="7FD9B1AC" w14:textId="77777777" w:rsidR="00DF2212" w:rsidRPr="00297D77" w:rsidRDefault="00BC3217" w:rsidP="00297D77">
      <w:pPr>
        <w:spacing w:line="360" w:lineRule="auto"/>
        <w:rPr>
          <w:b/>
          <w:bCs/>
          <w:color w:val="000000"/>
          <w:sz w:val="24"/>
          <w:szCs w:val="24"/>
          <w:lang w:val="en-US"/>
        </w:rPr>
      </w:pPr>
      <w:r w:rsidRPr="00297D77">
        <w:rPr>
          <w:b/>
          <w:bCs/>
          <w:color w:val="000000"/>
          <w:sz w:val="24"/>
          <w:szCs w:val="24"/>
        </w:rPr>
        <w:t>Table 3</w:t>
      </w:r>
    </w:p>
    <w:tbl>
      <w:tblPr>
        <w:tblStyle w:val="Tablaconcuadrcula"/>
        <w:tblW w:w="904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2982"/>
        <w:gridCol w:w="1509"/>
        <w:gridCol w:w="1476"/>
        <w:gridCol w:w="3074"/>
      </w:tblGrid>
      <w:tr w:rsidR="00E20CEA" w:rsidRPr="00297D77" w14:paraId="6090ABD3" w14:textId="77777777" w:rsidTr="00B019EB">
        <w:trPr>
          <w:trHeight w:val="372"/>
        </w:trPr>
        <w:tc>
          <w:tcPr>
            <w:tcW w:w="9041" w:type="dxa"/>
            <w:gridSpan w:val="4"/>
            <w:tcBorders>
              <w:bottom w:val="single" w:sz="4" w:space="0" w:color="auto"/>
            </w:tcBorders>
            <w:hideMark/>
          </w:tcPr>
          <w:p w14:paraId="5D820899" w14:textId="77777777" w:rsidR="00DF2212" w:rsidRPr="00297D77" w:rsidRDefault="00BC3217" w:rsidP="00297D77">
            <w:pPr>
              <w:pStyle w:val="Tabla"/>
              <w:jc w:val="both"/>
              <w:rPr>
                <w:rFonts w:ascii="Times New Roman" w:hAnsi="Times New Roman" w:cs="Times New Roman"/>
                <w:i/>
                <w:sz w:val="24"/>
                <w:szCs w:val="24"/>
                <w:lang w:val="en-US"/>
              </w:rPr>
            </w:pPr>
            <w:r w:rsidRPr="00297D77">
              <w:rPr>
                <w:rFonts w:ascii="Times New Roman" w:eastAsia="Arial MT" w:hAnsi="Times New Roman" w:cs="Times New Roman"/>
                <w:b w:val="0"/>
                <w:bCs w:val="0"/>
                <w:i/>
                <w:sz w:val="24"/>
                <w:szCs w:val="24"/>
              </w:rPr>
              <w:t>Chi-square tests of PW levels in the experimental group postintervention with sociodemographic variables</w:t>
            </w:r>
          </w:p>
        </w:tc>
      </w:tr>
      <w:tr w:rsidR="00E20CEA" w:rsidRPr="00297D77" w14:paraId="185D207C" w14:textId="77777777" w:rsidTr="00B019EB">
        <w:trPr>
          <w:trHeight w:val="378"/>
        </w:trPr>
        <w:tc>
          <w:tcPr>
            <w:tcW w:w="2982" w:type="dxa"/>
            <w:tcBorders>
              <w:top w:val="single" w:sz="4" w:space="0" w:color="auto"/>
            </w:tcBorders>
          </w:tcPr>
          <w:p w14:paraId="291C9A1E" w14:textId="77777777" w:rsidR="00DF2212" w:rsidRPr="00297D77" w:rsidRDefault="00BC3217" w:rsidP="00297D77">
            <w:pPr>
              <w:pStyle w:val="TableParagraph"/>
              <w:spacing w:before="40" w:after="40" w:line="360" w:lineRule="auto"/>
              <w:rPr>
                <w:rFonts w:ascii="Times New Roman" w:hAnsi="Times New Roman" w:cs="Times New Roman"/>
                <w:b/>
                <w:bCs/>
                <w:sz w:val="24"/>
                <w:szCs w:val="24"/>
                <w:lang w:val="en-US"/>
              </w:rPr>
            </w:pPr>
            <w:r w:rsidRPr="00297D77">
              <w:rPr>
                <w:rFonts w:ascii="Times New Roman" w:hAnsi="Times New Roman" w:cs="Times New Roman"/>
                <w:b/>
                <w:bCs/>
                <w:sz w:val="24"/>
                <w:szCs w:val="24"/>
              </w:rPr>
              <w:t>Variable</w:t>
            </w:r>
          </w:p>
        </w:tc>
        <w:tc>
          <w:tcPr>
            <w:tcW w:w="1509" w:type="dxa"/>
            <w:tcBorders>
              <w:top w:val="single" w:sz="4" w:space="0" w:color="auto"/>
              <w:bottom w:val="single" w:sz="4" w:space="0" w:color="auto"/>
            </w:tcBorders>
            <w:hideMark/>
          </w:tcPr>
          <w:p w14:paraId="495129EB" w14:textId="77777777" w:rsidR="00DF2212" w:rsidRPr="00297D77" w:rsidRDefault="00BC3217" w:rsidP="00297D77">
            <w:pPr>
              <w:pStyle w:val="TableParagraph"/>
              <w:spacing w:before="40" w:after="40" w:line="360" w:lineRule="auto"/>
              <w:ind w:left="400"/>
              <w:jc w:val="center"/>
              <w:rPr>
                <w:rFonts w:ascii="Times New Roman" w:hAnsi="Times New Roman" w:cs="Times New Roman"/>
                <w:sz w:val="24"/>
                <w:szCs w:val="24"/>
              </w:rPr>
            </w:pPr>
            <w:r w:rsidRPr="00297D77">
              <w:rPr>
                <w:rFonts w:ascii="Times New Roman" w:hAnsi="Times New Roman" w:cs="Times New Roman"/>
                <w:spacing w:val="-2"/>
                <w:sz w:val="24"/>
                <w:szCs w:val="24"/>
              </w:rPr>
              <w:t>Chi-</w:t>
            </w:r>
            <w:r w:rsidRPr="00297D77">
              <w:rPr>
                <w:rFonts w:ascii="Times New Roman" w:hAnsi="Times New Roman" w:cs="Times New Roman"/>
                <w:spacing w:val="-2"/>
                <w:sz w:val="24"/>
                <w:szCs w:val="24"/>
              </w:rPr>
              <w:lastRenderedPageBreak/>
              <w:t>square value</w:t>
            </w:r>
          </w:p>
        </w:tc>
        <w:tc>
          <w:tcPr>
            <w:tcW w:w="1476" w:type="dxa"/>
            <w:tcBorders>
              <w:top w:val="single" w:sz="4" w:space="0" w:color="auto"/>
              <w:bottom w:val="single" w:sz="4" w:space="0" w:color="auto"/>
            </w:tcBorders>
            <w:hideMark/>
          </w:tcPr>
          <w:p w14:paraId="49C1FEFA" w14:textId="77777777" w:rsidR="00DF2212" w:rsidRPr="00297D77" w:rsidRDefault="00BC3217" w:rsidP="00297D77">
            <w:pPr>
              <w:pStyle w:val="TableParagraph"/>
              <w:spacing w:before="40" w:after="40" w:line="360" w:lineRule="auto"/>
              <w:ind w:left="557"/>
              <w:jc w:val="center"/>
              <w:rPr>
                <w:rFonts w:ascii="Times New Roman" w:hAnsi="Times New Roman" w:cs="Times New Roman"/>
                <w:sz w:val="24"/>
                <w:szCs w:val="24"/>
              </w:rPr>
            </w:pPr>
            <w:proofErr w:type="spellStart"/>
            <w:r w:rsidRPr="00297D77">
              <w:rPr>
                <w:rFonts w:ascii="Times New Roman" w:hAnsi="Times New Roman" w:cs="Times New Roman"/>
                <w:spacing w:val="-5"/>
                <w:sz w:val="24"/>
                <w:szCs w:val="24"/>
              </w:rPr>
              <w:lastRenderedPageBreak/>
              <w:t>gl</w:t>
            </w:r>
            <w:proofErr w:type="spellEnd"/>
          </w:p>
        </w:tc>
        <w:tc>
          <w:tcPr>
            <w:tcW w:w="3074" w:type="dxa"/>
            <w:tcBorders>
              <w:top w:val="single" w:sz="4" w:space="0" w:color="auto"/>
              <w:bottom w:val="single" w:sz="4" w:space="0" w:color="auto"/>
            </w:tcBorders>
            <w:hideMark/>
          </w:tcPr>
          <w:p w14:paraId="325F9829" w14:textId="77777777" w:rsidR="00DF2212" w:rsidRPr="00297D77" w:rsidRDefault="00BC3217" w:rsidP="00297D77">
            <w:pPr>
              <w:pStyle w:val="TableParagraph"/>
              <w:spacing w:before="40" w:after="40" w:line="360" w:lineRule="auto"/>
              <w:ind w:left="749"/>
              <w:jc w:val="center"/>
              <w:rPr>
                <w:rFonts w:ascii="Times New Roman" w:hAnsi="Times New Roman" w:cs="Times New Roman"/>
                <w:sz w:val="24"/>
                <w:szCs w:val="24"/>
              </w:rPr>
            </w:pPr>
            <w:r w:rsidRPr="00297D77">
              <w:rPr>
                <w:rFonts w:ascii="Times New Roman" w:hAnsi="Times New Roman" w:cs="Times New Roman"/>
                <w:sz w:val="24"/>
                <w:szCs w:val="24"/>
              </w:rPr>
              <w:t>p value</w:t>
            </w:r>
          </w:p>
        </w:tc>
      </w:tr>
      <w:tr w:rsidR="00E20CEA" w:rsidRPr="00297D77" w14:paraId="50FE11D7" w14:textId="77777777" w:rsidTr="00B019EB">
        <w:trPr>
          <w:trHeight w:val="381"/>
        </w:trPr>
        <w:tc>
          <w:tcPr>
            <w:tcW w:w="2982" w:type="dxa"/>
            <w:tcBorders>
              <w:top w:val="single" w:sz="4" w:space="0" w:color="auto"/>
            </w:tcBorders>
            <w:hideMark/>
          </w:tcPr>
          <w:p w14:paraId="47B3E261" w14:textId="77777777" w:rsidR="00DF2212" w:rsidRPr="00297D77" w:rsidRDefault="00BC3217" w:rsidP="00297D77">
            <w:pPr>
              <w:pStyle w:val="TableParagraph"/>
              <w:spacing w:before="40" w:after="40" w:line="360" w:lineRule="auto"/>
              <w:ind w:left="74"/>
              <w:rPr>
                <w:rFonts w:ascii="Times New Roman" w:hAnsi="Times New Roman" w:cs="Times New Roman"/>
                <w:sz w:val="24"/>
                <w:szCs w:val="24"/>
              </w:rPr>
            </w:pPr>
            <w:r w:rsidRPr="00297D77">
              <w:rPr>
                <w:rFonts w:ascii="Times New Roman" w:hAnsi="Times New Roman" w:cs="Times New Roman"/>
                <w:sz w:val="24"/>
                <w:szCs w:val="24"/>
              </w:rPr>
              <w:t>Sex</w:t>
            </w:r>
          </w:p>
        </w:tc>
        <w:tc>
          <w:tcPr>
            <w:tcW w:w="1509" w:type="dxa"/>
            <w:tcBorders>
              <w:top w:val="single" w:sz="4" w:space="0" w:color="auto"/>
            </w:tcBorders>
            <w:hideMark/>
          </w:tcPr>
          <w:p w14:paraId="5B0078F4" w14:textId="77777777" w:rsidR="00DF2212" w:rsidRPr="00297D77" w:rsidRDefault="00BC3217" w:rsidP="00297D77">
            <w:pPr>
              <w:pStyle w:val="TableParagraph"/>
              <w:spacing w:before="40" w:after="40" w:line="360" w:lineRule="auto"/>
              <w:ind w:left="400"/>
              <w:jc w:val="center"/>
              <w:rPr>
                <w:rFonts w:ascii="Times New Roman" w:hAnsi="Times New Roman" w:cs="Times New Roman"/>
                <w:sz w:val="24"/>
                <w:szCs w:val="24"/>
              </w:rPr>
            </w:pPr>
            <w:r w:rsidRPr="00297D77">
              <w:rPr>
                <w:rFonts w:ascii="Times New Roman" w:hAnsi="Times New Roman" w:cs="Times New Roman"/>
                <w:spacing w:val="-2"/>
                <w:sz w:val="24"/>
                <w:szCs w:val="24"/>
              </w:rPr>
              <w:t>1.224</w:t>
            </w:r>
          </w:p>
        </w:tc>
        <w:tc>
          <w:tcPr>
            <w:tcW w:w="1476" w:type="dxa"/>
            <w:tcBorders>
              <w:top w:val="single" w:sz="4" w:space="0" w:color="auto"/>
            </w:tcBorders>
            <w:hideMark/>
          </w:tcPr>
          <w:p w14:paraId="3C2D210D" w14:textId="77777777" w:rsidR="00DF2212" w:rsidRPr="00297D77" w:rsidRDefault="00BC3217" w:rsidP="00297D77">
            <w:pPr>
              <w:pStyle w:val="TableParagraph"/>
              <w:spacing w:before="40" w:after="40" w:line="360" w:lineRule="auto"/>
              <w:ind w:left="557"/>
              <w:jc w:val="center"/>
              <w:rPr>
                <w:rFonts w:ascii="Times New Roman" w:hAnsi="Times New Roman" w:cs="Times New Roman"/>
                <w:sz w:val="24"/>
                <w:szCs w:val="24"/>
              </w:rPr>
            </w:pPr>
            <w:r w:rsidRPr="00297D77">
              <w:rPr>
                <w:rFonts w:ascii="Times New Roman" w:hAnsi="Times New Roman" w:cs="Times New Roman"/>
                <w:sz w:val="24"/>
                <w:szCs w:val="24"/>
              </w:rPr>
              <w:t>2</w:t>
            </w:r>
          </w:p>
        </w:tc>
        <w:tc>
          <w:tcPr>
            <w:tcW w:w="3074" w:type="dxa"/>
            <w:tcBorders>
              <w:top w:val="single" w:sz="4" w:space="0" w:color="auto"/>
            </w:tcBorders>
            <w:hideMark/>
          </w:tcPr>
          <w:p w14:paraId="2A59C598" w14:textId="77777777" w:rsidR="00DF2212" w:rsidRPr="00297D77" w:rsidRDefault="00BC3217" w:rsidP="00297D77">
            <w:pPr>
              <w:pStyle w:val="TableParagraph"/>
              <w:spacing w:before="40" w:after="40" w:line="360" w:lineRule="auto"/>
              <w:ind w:left="749"/>
              <w:jc w:val="center"/>
              <w:rPr>
                <w:rFonts w:ascii="Times New Roman" w:hAnsi="Times New Roman" w:cs="Times New Roman"/>
                <w:sz w:val="24"/>
                <w:szCs w:val="24"/>
              </w:rPr>
            </w:pPr>
            <w:r w:rsidRPr="00297D77">
              <w:rPr>
                <w:rFonts w:ascii="Times New Roman" w:hAnsi="Times New Roman" w:cs="Times New Roman"/>
                <w:spacing w:val="-4"/>
                <w:sz w:val="24"/>
                <w:szCs w:val="24"/>
              </w:rPr>
              <w:t>.542</w:t>
            </w:r>
          </w:p>
        </w:tc>
      </w:tr>
      <w:tr w:rsidR="00E20CEA" w:rsidRPr="00297D77" w14:paraId="3EE10620" w14:textId="77777777" w:rsidTr="00B019EB">
        <w:trPr>
          <w:trHeight w:val="381"/>
        </w:trPr>
        <w:tc>
          <w:tcPr>
            <w:tcW w:w="2982" w:type="dxa"/>
          </w:tcPr>
          <w:p w14:paraId="3DFF32BB" w14:textId="77777777" w:rsidR="00DF2212" w:rsidRPr="00297D77" w:rsidRDefault="00BC3217" w:rsidP="00297D77">
            <w:pPr>
              <w:pStyle w:val="TableParagraph"/>
              <w:spacing w:before="40" w:after="40" w:line="360" w:lineRule="auto"/>
              <w:ind w:left="74"/>
              <w:rPr>
                <w:rFonts w:ascii="Times New Roman" w:hAnsi="Times New Roman" w:cs="Times New Roman"/>
                <w:sz w:val="24"/>
                <w:szCs w:val="24"/>
              </w:rPr>
            </w:pPr>
            <w:r w:rsidRPr="00297D77">
              <w:rPr>
                <w:rFonts w:ascii="Times New Roman" w:hAnsi="Times New Roman" w:cs="Times New Roman"/>
                <w:sz w:val="24"/>
                <w:szCs w:val="24"/>
              </w:rPr>
              <w:t>Age</w:t>
            </w:r>
          </w:p>
        </w:tc>
        <w:tc>
          <w:tcPr>
            <w:tcW w:w="1509" w:type="dxa"/>
          </w:tcPr>
          <w:p w14:paraId="024A10AC" w14:textId="77777777" w:rsidR="00DF2212" w:rsidRPr="00297D77" w:rsidRDefault="00BC3217" w:rsidP="00297D77">
            <w:pPr>
              <w:pStyle w:val="TableParagraph"/>
              <w:spacing w:before="40" w:after="40" w:line="360" w:lineRule="auto"/>
              <w:ind w:left="400"/>
              <w:jc w:val="center"/>
              <w:rPr>
                <w:rFonts w:ascii="Times New Roman" w:hAnsi="Times New Roman" w:cs="Times New Roman"/>
                <w:spacing w:val="-2"/>
                <w:sz w:val="24"/>
                <w:szCs w:val="24"/>
              </w:rPr>
            </w:pPr>
            <w:r w:rsidRPr="00297D77">
              <w:rPr>
                <w:rFonts w:ascii="Times New Roman" w:hAnsi="Times New Roman" w:cs="Times New Roman"/>
                <w:spacing w:val="-2"/>
                <w:sz w:val="24"/>
                <w:szCs w:val="24"/>
              </w:rPr>
              <w:t>2.637</w:t>
            </w:r>
          </w:p>
        </w:tc>
        <w:tc>
          <w:tcPr>
            <w:tcW w:w="1476" w:type="dxa"/>
          </w:tcPr>
          <w:p w14:paraId="6E6E36B3" w14:textId="77777777" w:rsidR="00DF2212" w:rsidRPr="00297D77" w:rsidRDefault="00BC3217" w:rsidP="00297D77">
            <w:pPr>
              <w:pStyle w:val="TableParagraph"/>
              <w:spacing w:before="40" w:after="40" w:line="360" w:lineRule="auto"/>
              <w:ind w:left="557"/>
              <w:jc w:val="center"/>
              <w:rPr>
                <w:rFonts w:ascii="Times New Roman" w:hAnsi="Times New Roman" w:cs="Times New Roman"/>
                <w:sz w:val="24"/>
                <w:szCs w:val="24"/>
              </w:rPr>
            </w:pPr>
            <w:r w:rsidRPr="00297D77">
              <w:rPr>
                <w:rFonts w:ascii="Times New Roman" w:hAnsi="Times New Roman" w:cs="Times New Roman"/>
                <w:sz w:val="24"/>
                <w:szCs w:val="24"/>
              </w:rPr>
              <w:t>2</w:t>
            </w:r>
          </w:p>
        </w:tc>
        <w:tc>
          <w:tcPr>
            <w:tcW w:w="3074" w:type="dxa"/>
          </w:tcPr>
          <w:p w14:paraId="15357548" w14:textId="77777777" w:rsidR="00DF2212" w:rsidRPr="00297D77" w:rsidRDefault="00BC3217" w:rsidP="00297D77">
            <w:pPr>
              <w:pStyle w:val="TableParagraph"/>
              <w:spacing w:before="40" w:after="40" w:line="360" w:lineRule="auto"/>
              <w:ind w:left="749"/>
              <w:jc w:val="center"/>
              <w:rPr>
                <w:rFonts w:ascii="Times New Roman" w:hAnsi="Times New Roman" w:cs="Times New Roman"/>
                <w:spacing w:val="-4"/>
                <w:sz w:val="24"/>
                <w:szCs w:val="24"/>
              </w:rPr>
            </w:pPr>
            <w:r w:rsidRPr="00297D77">
              <w:rPr>
                <w:rFonts w:ascii="Times New Roman" w:hAnsi="Times New Roman" w:cs="Times New Roman"/>
                <w:spacing w:val="-4"/>
                <w:sz w:val="24"/>
                <w:szCs w:val="24"/>
              </w:rPr>
              <w:t>.267</w:t>
            </w:r>
          </w:p>
        </w:tc>
      </w:tr>
      <w:tr w:rsidR="00E20CEA" w:rsidRPr="00297D77" w14:paraId="4AB4CBA0" w14:textId="77777777" w:rsidTr="00B019EB">
        <w:trPr>
          <w:trHeight w:val="381"/>
        </w:trPr>
        <w:tc>
          <w:tcPr>
            <w:tcW w:w="2982" w:type="dxa"/>
          </w:tcPr>
          <w:p w14:paraId="59B4D197" w14:textId="77777777" w:rsidR="00B019EB" w:rsidRPr="00297D77" w:rsidRDefault="00BC3217" w:rsidP="00297D77">
            <w:pPr>
              <w:pStyle w:val="TableParagraph"/>
              <w:spacing w:before="40" w:after="40" w:line="360" w:lineRule="auto"/>
              <w:ind w:left="74"/>
              <w:rPr>
                <w:rFonts w:ascii="Times New Roman" w:hAnsi="Times New Roman" w:cs="Times New Roman"/>
                <w:sz w:val="24"/>
                <w:szCs w:val="24"/>
              </w:rPr>
            </w:pPr>
            <w:r w:rsidRPr="00297D77">
              <w:rPr>
                <w:rFonts w:ascii="Times New Roman" w:hAnsi="Times New Roman" w:cs="Times New Roman"/>
                <w:sz w:val="24"/>
                <w:szCs w:val="24"/>
              </w:rPr>
              <w:t>Marital status</w:t>
            </w:r>
          </w:p>
        </w:tc>
        <w:tc>
          <w:tcPr>
            <w:tcW w:w="1509" w:type="dxa"/>
          </w:tcPr>
          <w:p w14:paraId="08D97124" w14:textId="77777777" w:rsidR="00B019EB" w:rsidRPr="00297D77" w:rsidRDefault="00BC3217" w:rsidP="00297D77">
            <w:pPr>
              <w:pStyle w:val="TableParagraph"/>
              <w:spacing w:before="40" w:after="40" w:line="360" w:lineRule="auto"/>
              <w:ind w:left="400"/>
              <w:jc w:val="center"/>
              <w:rPr>
                <w:rFonts w:ascii="Times New Roman" w:hAnsi="Times New Roman" w:cs="Times New Roman"/>
                <w:spacing w:val="-2"/>
                <w:sz w:val="24"/>
                <w:szCs w:val="24"/>
              </w:rPr>
            </w:pPr>
            <w:r w:rsidRPr="00297D77">
              <w:rPr>
                <w:rFonts w:ascii="Times New Roman" w:hAnsi="Times New Roman" w:cs="Times New Roman"/>
                <w:spacing w:val="-2"/>
                <w:sz w:val="24"/>
                <w:szCs w:val="24"/>
              </w:rPr>
              <w:t>6.088</w:t>
            </w:r>
          </w:p>
        </w:tc>
        <w:tc>
          <w:tcPr>
            <w:tcW w:w="1476" w:type="dxa"/>
          </w:tcPr>
          <w:p w14:paraId="18D6190B" w14:textId="77777777" w:rsidR="00B019EB" w:rsidRPr="00297D77" w:rsidRDefault="00BC3217" w:rsidP="00297D77">
            <w:pPr>
              <w:pStyle w:val="TableParagraph"/>
              <w:spacing w:before="40" w:after="40" w:line="360" w:lineRule="auto"/>
              <w:ind w:left="557"/>
              <w:jc w:val="center"/>
              <w:rPr>
                <w:rFonts w:ascii="Times New Roman" w:hAnsi="Times New Roman" w:cs="Times New Roman"/>
                <w:sz w:val="24"/>
                <w:szCs w:val="24"/>
              </w:rPr>
            </w:pPr>
            <w:r w:rsidRPr="00297D77">
              <w:rPr>
                <w:rFonts w:ascii="Times New Roman" w:hAnsi="Times New Roman" w:cs="Times New Roman"/>
                <w:sz w:val="24"/>
                <w:szCs w:val="24"/>
              </w:rPr>
              <w:t>4</w:t>
            </w:r>
          </w:p>
        </w:tc>
        <w:tc>
          <w:tcPr>
            <w:tcW w:w="3074" w:type="dxa"/>
          </w:tcPr>
          <w:p w14:paraId="688B7FDA" w14:textId="77777777" w:rsidR="00B019EB" w:rsidRPr="00297D77" w:rsidRDefault="00BC3217" w:rsidP="00297D77">
            <w:pPr>
              <w:pStyle w:val="TableParagraph"/>
              <w:spacing w:before="40" w:after="40" w:line="360" w:lineRule="auto"/>
              <w:ind w:left="749"/>
              <w:jc w:val="center"/>
              <w:rPr>
                <w:rFonts w:ascii="Times New Roman" w:hAnsi="Times New Roman" w:cs="Times New Roman"/>
                <w:spacing w:val="-4"/>
                <w:sz w:val="24"/>
                <w:szCs w:val="24"/>
              </w:rPr>
            </w:pPr>
            <w:r w:rsidRPr="00297D77">
              <w:rPr>
                <w:rFonts w:ascii="Times New Roman" w:hAnsi="Times New Roman" w:cs="Times New Roman"/>
                <w:spacing w:val="-4"/>
                <w:sz w:val="24"/>
                <w:szCs w:val="24"/>
              </w:rPr>
              <w:t>.193</w:t>
            </w:r>
          </w:p>
        </w:tc>
      </w:tr>
      <w:tr w:rsidR="00E20CEA" w:rsidRPr="00297D77" w14:paraId="06DE460D" w14:textId="77777777" w:rsidTr="00B019EB">
        <w:trPr>
          <w:trHeight w:val="381"/>
        </w:trPr>
        <w:tc>
          <w:tcPr>
            <w:tcW w:w="2982" w:type="dxa"/>
          </w:tcPr>
          <w:p w14:paraId="14F49584" w14:textId="77777777" w:rsidR="00B019EB" w:rsidRPr="00297D77" w:rsidRDefault="0017181A" w:rsidP="00297D77">
            <w:pPr>
              <w:pStyle w:val="TableParagraph"/>
              <w:spacing w:before="40" w:after="40" w:line="360" w:lineRule="auto"/>
              <w:ind w:left="74"/>
              <w:rPr>
                <w:rFonts w:ascii="Times New Roman" w:hAnsi="Times New Roman" w:cs="Times New Roman"/>
                <w:sz w:val="24"/>
                <w:szCs w:val="24"/>
              </w:rPr>
            </w:pPr>
            <w:r w:rsidRPr="00297D77">
              <w:rPr>
                <w:rFonts w:ascii="Times New Roman" w:hAnsi="Times New Roman" w:cs="Times New Roman"/>
                <w:sz w:val="24"/>
                <w:szCs w:val="24"/>
              </w:rPr>
              <w:t>Religion</w:t>
            </w:r>
          </w:p>
        </w:tc>
        <w:tc>
          <w:tcPr>
            <w:tcW w:w="1509" w:type="dxa"/>
          </w:tcPr>
          <w:p w14:paraId="06189B02" w14:textId="77777777" w:rsidR="00B019EB" w:rsidRPr="00297D77" w:rsidRDefault="00BC3217" w:rsidP="00297D77">
            <w:pPr>
              <w:pStyle w:val="TableParagraph"/>
              <w:spacing w:before="40" w:after="40" w:line="360" w:lineRule="auto"/>
              <w:ind w:left="400"/>
              <w:jc w:val="center"/>
              <w:rPr>
                <w:rFonts w:ascii="Times New Roman" w:hAnsi="Times New Roman" w:cs="Times New Roman"/>
                <w:spacing w:val="-2"/>
                <w:sz w:val="24"/>
                <w:szCs w:val="24"/>
              </w:rPr>
            </w:pPr>
            <w:r w:rsidRPr="00297D77">
              <w:rPr>
                <w:rFonts w:ascii="Times New Roman" w:hAnsi="Times New Roman" w:cs="Times New Roman"/>
                <w:spacing w:val="-4"/>
                <w:sz w:val="24"/>
                <w:szCs w:val="24"/>
              </w:rPr>
              <w:t>.371</w:t>
            </w:r>
          </w:p>
        </w:tc>
        <w:tc>
          <w:tcPr>
            <w:tcW w:w="1476" w:type="dxa"/>
          </w:tcPr>
          <w:p w14:paraId="78FF5C16" w14:textId="77777777" w:rsidR="00B019EB" w:rsidRPr="00297D77" w:rsidRDefault="00BC3217" w:rsidP="00297D77">
            <w:pPr>
              <w:pStyle w:val="TableParagraph"/>
              <w:spacing w:before="40" w:after="40" w:line="360" w:lineRule="auto"/>
              <w:ind w:left="557"/>
              <w:jc w:val="center"/>
              <w:rPr>
                <w:rFonts w:ascii="Times New Roman" w:hAnsi="Times New Roman" w:cs="Times New Roman"/>
                <w:sz w:val="24"/>
                <w:szCs w:val="24"/>
              </w:rPr>
            </w:pPr>
            <w:r w:rsidRPr="00297D77">
              <w:rPr>
                <w:rFonts w:ascii="Times New Roman" w:hAnsi="Times New Roman" w:cs="Times New Roman"/>
                <w:sz w:val="24"/>
                <w:szCs w:val="24"/>
              </w:rPr>
              <w:t>2</w:t>
            </w:r>
          </w:p>
        </w:tc>
        <w:tc>
          <w:tcPr>
            <w:tcW w:w="3074" w:type="dxa"/>
          </w:tcPr>
          <w:p w14:paraId="777CB951" w14:textId="77777777" w:rsidR="00B019EB" w:rsidRPr="00297D77" w:rsidRDefault="00BC3217" w:rsidP="00297D77">
            <w:pPr>
              <w:pStyle w:val="TableParagraph"/>
              <w:spacing w:before="40" w:after="40" w:line="360" w:lineRule="auto"/>
              <w:ind w:left="749"/>
              <w:jc w:val="center"/>
              <w:rPr>
                <w:rFonts w:ascii="Times New Roman" w:hAnsi="Times New Roman" w:cs="Times New Roman"/>
                <w:spacing w:val="-4"/>
                <w:sz w:val="24"/>
                <w:szCs w:val="24"/>
              </w:rPr>
            </w:pPr>
            <w:r w:rsidRPr="00297D77">
              <w:rPr>
                <w:rFonts w:ascii="Times New Roman" w:hAnsi="Times New Roman" w:cs="Times New Roman"/>
                <w:spacing w:val="-4"/>
                <w:sz w:val="24"/>
                <w:szCs w:val="24"/>
              </w:rPr>
              <w:t>.831</w:t>
            </w:r>
          </w:p>
        </w:tc>
      </w:tr>
      <w:tr w:rsidR="00E20CEA" w:rsidRPr="00297D77" w14:paraId="044844A2" w14:textId="77777777" w:rsidTr="00B019EB">
        <w:trPr>
          <w:trHeight w:val="381"/>
        </w:trPr>
        <w:tc>
          <w:tcPr>
            <w:tcW w:w="2982" w:type="dxa"/>
          </w:tcPr>
          <w:p w14:paraId="18320A50" w14:textId="77777777" w:rsidR="00B019EB" w:rsidRPr="00297D77" w:rsidRDefault="00BC3217" w:rsidP="00297D77">
            <w:pPr>
              <w:pStyle w:val="TableParagraph"/>
              <w:spacing w:before="40" w:after="40" w:line="360" w:lineRule="auto"/>
              <w:ind w:left="74"/>
              <w:rPr>
                <w:rFonts w:ascii="Times New Roman" w:hAnsi="Times New Roman" w:cs="Times New Roman"/>
                <w:sz w:val="24"/>
                <w:szCs w:val="24"/>
              </w:rPr>
            </w:pPr>
            <w:r w:rsidRPr="00297D77">
              <w:rPr>
                <w:rFonts w:ascii="Times New Roman" w:hAnsi="Times New Roman" w:cs="Times New Roman"/>
                <w:sz w:val="24"/>
                <w:szCs w:val="24"/>
              </w:rPr>
              <w:t>Education</w:t>
            </w:r>
          </w:p>
        </w:tc>
        <w:tc>
          <w:tcPr>
            <w:tcW w:w="1509" w:type="dxa"/>
          </w:tcPr>
          <w:p w14:paraId="52C24B45" w14:textId="77777777" w:rsidR="00B019EB" w:rsidRPr="00297D77" w:rsidRDefault="00BC3217" w:rsidP="00297D77">
            <w:pPr>
              <w:pStyle w:val="TableParagraph"/>
              <w:spacing w:before="40" w:after="40" w:line="360" w:lineRule="auto"/>
              <w:ind w:left="400"/>
              <w:jc w:val="center"/>
              <w:rPr>
                <w:rFonts w:ascii="Times New Roman" w:hAnsi="Times New Roman" w:cs="Times New Roman"/>
                <w:spacing w:val="-4"/>
                <w:sz w:val="24"/>
                <w:szCs w:val="24"/>
              </w:rPr>
            </w:pPr>
            <w:r w:rsidRPr="00297D77">
              <w:rPr>
                <w:rFonts w:ascii="Times New Roman" w:hAnsi="Times New Roman" w:cs="Times New Roman"/>
                <w:spacing w:val="-2"/>
                <w:sz w:val="24"/>
                <w:szCs w:val="24"/>
              </w:rPr>
              <w:t>1.310</w:t>
            </w:r>
          </w:p>
        </w:tc>
        <w:tc>
          <w:tcPr>
            <w:tcW w:w="1476" w:type="dxa"/>
          </w:tcPr>
          <w:p w14:paraId="02CE765A" w14:textId="77777777" w:rsidR="00B019EB" w:rsidRPr="00297D77" w:rsidRDefault="00BC3217" w:rsidP="00297D77">
            <w:pPr>
              <w:pStyle w:val="TableParagraph"/>
              <w:spacing w:before="40" w:after="40" w:line="360" w:lineRule="auto"/>
              <w:ind w:left="557"/>
              <w:jc w:val="center"/>
              <w:rPr>
                <w:rFonts w:ascii="Times New Roman" w:hAnsi="Times New Roman" w:cs="Times New Roman"/>
                <w:sz w:val="24"/>
                <w:szCs w:val="24"/>
              </w:rPr>
            </w:pPr>
            <w:r w:rsidRPr="00297D77">
              <w:rPr>
                <w:rFonts w:ascii="Times New Roman" w:hAnsi="Times New Roman" w:cs="Times New Roman"/>
                <w:sz w:val="24"/>
                <w:szCs w:val="24"/>
              </w:rPr>
              <w:t>2</w:t>
            </w:r>
          </w:p>
        </w:tc>
        <w:tc>
          <w:tcPr>
            <w:tcW w:w="3074" w:type="dxa"/>
          </w:tcPr>
          <w:p w14:paraId="459F1DD5" w14:textId="77777777" w:rsidR="00B019EB" w:rsidRPr="00297D77" w:rsidRDefault="00BC3217" w:rsidP="00297D77">
            <w:pPr>
              <w:pStyle w:val="TableParagraph"/>
              <w:spacing w:before="40" w:after="40" w:line="360" w:lineRule="auto"/>
              <w:ind w:left="749"/>
              <w:jc w:val="center"/>
              <w:rPr>
                <w:rFonts w:ascii="Times New Roman" w:hAnsi="Times New Roman" w:cs="Times New Roman"/>
                <w:spacing w:val="-4"/>
                <w:sz w:val="24"/>
                <w:szCs w:val="24"/>
              </w:rPr>
            </w:pPr>
            <w:r w:rsidRPr="00297D77">
              <w:rPr>
                <w:rFonts w:ascii="Times New Roman" w:hAnsi="Times New Roman" w:cs="Times New Roman"/>
                <w:spacing w:val="-4"/>
                <w:sz w:val="24"/>
                <w:szCs w:val="24"/>
              </w:rPr>
              <w:t>.520</w:t>
            </w:r>
          </w:p>
        </w:tc>
      </w:tr>
      <w:tr w:rsidR="00E20CEA" w:rsidRPr="00297D77" w14:paraId="0F8E511C" w14:textId="77777777" w:rsidTr="00B019EB">
        <w:trPr>
          <w:trHeight w:val="381"/>
        </w:trPr>
        <w:tc>
          <w:tcPr>
            <w:tcW w:w="2982" w:type="dxa"/>
          </w:tcPr>
          <w:p w14:paraId="637DB392" w14:textId="77777777" w:rsidR="00B019EB" w:rsidRPr="00297D77" w:rsidRDefault="00BC3217" w:rsidP="00297D77">
            <w:pPr>
              <w:pStyle w:val="TableParagraph"/>
              <w:spacing w:before="40" w:after="40" w:line="360" w:lineRule="auto"/>
              <w:ind w:left="74"/>
              <w:rPr>
                <w:rFonts w:ascii="Times New Roman" w:hAnsi="Times New Roman" w:cs="Times New Roman"/>
                <w:sz w:val="24"/>
                <w:szCs w:val="24"/>
              </w:rPr>
            </w:pPr>
            <w:r w:rsidRPr="00297D77">
              <w:rPr>
                <w:rFonts w:ascii="Times New Roman" w:hAnsi="Times New Roman" w:cs="Times New Roman"/>
                <w:sz w:val="24"/>
                <w:szCs w:val="24"/>
              </w:rPr>
              <w:t>Years working in MSP</w:t>
            </w:r>
          </w:p>
        </w:tc>
        <w:tc>
          <w:tcPr>
            <w:tcW w:w="1509" w:type="dxa"/>
          </w:tcPr>
          <w:p w14:paraId="685ED522" w14:textId="77777777" w:rsidR="00B019EB" w:rsidRPr="00297D77" w:rsidRDefault="00BC3217" w:rsidP="00297D77">
            <w:pPr>
              <w:pStyle w:val="TableParagraph"/>
              <w:spacing w:before="40" w:after="40" w:line="360" w:lineRule="auto"/>
              <w:ind w:left="400"/>
              <w:jc w:val="center"/>
              <w:rPr>
                <w:rFonts w:ascii="Times New Roman" w:hAnsi="Times New Roman" w:cs="Times New Roman"/>
                <w:spacing w:val="-2"/>
                <w:sz w:val="24"/>
                <w:szCs w:val="24"/>
              </w:rPr>
            </w:pPr>
            <w:r w:rsidRPr="00297D77">
              <w:rPr>
                <w:rFonts w:ascii="Times New Roman" w:hAnsi="Times New Roman" w:cs="Times New Roman"/>
                <w:spacing w:val="-2"/>
                <w:sz w:val="24"/>
                <w:szCs w:val="24"/>
              </w:rPr>
              <w:t>5.810</w:t>
            </w:r>
          </w:p>
        </w:tc>
        <w:tc>
          <w:tcPr>
            <w:tcW w:w="1476" w:type="dxa"/>
          </w:tcPr>
          <w:p w14:paraId="1923652D" w14:textId="77777777" w:rsidR="00B019EB" w:rsidRPr="00297D77" w:rsidRDefault="00BC3217" w:rsidP="00297D77">
            <w:pPr>
              <w:pStyle w:val="TableParagraph"/>
              <w:spacing w:before="40" w:after="40" w:line="360" w:lineRule="auto"/>
              <w:ind w:left="557"/>
              <w:jc w:val="center"/>
              <w:rPr>
                <w:rFonts w:ascii="Times New Roman" w:hAnsi="Times New Roman" w:cs="Times New Roman"/>
                <w:sz w:val="24"/>
                <w:szCs w:val="24"/>
              </w:rPr>
            </w:pPr>
            <w:r w:rsidRPr="00297D77">
              <w:rPr>
                <w:rFonts w:ascii="Times New Roman" w:hAnsi="Times New Roman" w:cs="Times New Roman"/>
                <w:sz w:val="24"/>
                <w:szCs w:val="24"/>
              </w:rPr>
              <w:t>8</w:t>
            </w:r>
          </w:p>
        </w:tc>
        <w:tc>
          <w:tcPr>
            <w:tcW w:w="3074" w:type="dxa"/>
          </w:tcPr>
          <w:p w14:paraId="7DED316E" w14:textId="77777777" w:rsidR="00B019EB" w:rsidRPr="00297D77" w:rsidRDefault="00BC3217" w:rsidP="00297D77">
            <w:pPr>
              <w:pStyle w:val="TableParagraph"/>
              <w:spacing w:before="40" w:after="40" w:line="360" w:lineRule="auto"/>
              <w:ind w:left="749"/>
              <w:jc w:val="center"/>
              <w:rPr>
                <w:rFonts w:ascii="Times New Roman" w:hAnsi="Times New Roman" w:cs="Times New Roman"/>
                <w:spacing w:val="-4"/>
                <w:sz w:val="24"/>
                <w:szCs w:val="24"/>
              </w:rPr>
            </w:pPr>
            <w:r w:rsidRPr="00297D77">
              <w:rPr>
                <w:rFonts w:ascii="Times New Roman" w:hAnsi="Times New Roman" w:cs="Times New Roman"/>
                <w:spacing w:val="-4"/>
                <w:sz w:val="24"/>
                <w:szCs w:val="24"/>
              </w:rPr>
              <w:t>.669</w:t>
            </w:r>
          </w:p>
        </w:tc>
      </w:tr>
      <w:tr w:rsidR="00E20CEA" w:rsidRPr="00297D77" w14:paraId="27551457" w14:textId="77777777" w:rsidTr="00B019EB">
        <w:trPr>
          <w:trHeight w:val="381"/>
        </w:trPr>
        <w:tc>
          <w:tcPr>
            <w:tcW w:w="2982" w:type="dxa"/>
          </w:tcPr>
          <w:p w14:paraId="61CA544B" w14:textId="77777777" w:rsidR="00B019EB" w:rsidRPr="00297D77" w:rsidRDefault="00BC3217" w:rsidP="00297D77">
            <w:pPr>
              <w:pStyle w:val="TableParagraph"/>
              <w:spacing w:before="40" w:after="40" w:line="360" w:lineRule="auto"/>
              <w:ind w:left="74"/>
              <w:rPr>
                <w:rFonts w:ascii="Times New Roman" w:hAnsi="Times New Roman" w:cs="Times New Roman"/>
                <w:sz w:val="24"/>
                <w:szCs w:val="24"/>
              </w:rPr>
            </w:pPr>
            <w:r w:rsidRPr="00297D77">
              <w:rPr>
                <w:rFonts w:ascii="Times New Roman" w:hAnsi="Times New Roman" w:cs="Times New Roman"/>
                <w:sz w:val="24"/>
                <w:szCs w:val="24"/>
              </w:rPr>
              <w:t>Type of contract</w:t>
            </w:r>
          </w:p>
        </w:tc>
        <w:tc>
          <w:tcPr>
            <w:tcW w:w="1509" w:type="dxa"/>
          </w:tcPr>
          <w:p w14:paraId="2A10B922" w14:textId="77777777" w:rsidR="00B019EB" w:rsidRPr="00297D77" w:rsidRDefault="00BC3217" w:rsidP="00297D77">
            <w:pPr>
              <w:pStyle w:val="TableParagraph"/>
              <w:spacing w:before="40" w:after="40" w:line="360" w:lineRule="auto"/>
              <w:ind w:left="400"/>
              <w:jc w:val="center"/>
              <w:rPr>
                <w:rFonts w:ascii="Times New Roman" w:hAnsi="Times New Roman" w:cs="Times New Roman"/>
                <w:spacing w:val="-2"/>
                <w:sz w:val="24"/>
                <w:szCs w:val="24"/>
              </w:rPr>
            </w:pPr>
            <w:r w:rsidRPr="00297D77">
              <w:rPr>
                <w:rFonts w:ascii="Times New Roman" w:hAnsi="Times New Roman" w:cs="Times New Roman"/>
                <w:spacing w:val="-2"/>
                <w:sz w:val="24"/>
                <w:szCs w:val="24"/>
              </w:rPr>
              <w:t>10.720</w:t>
            </w:r>
          </w:p>
        </w:tc>
        <w:tc>
          <w:tcPr>
            <w:tcW w:w="1476" w:type="dxa"/>
          </w:tcPr>
          <w:p w14:paraId="5E9B18CE" w14:textId="77777777" w:rsidR="00B019EB" w:rsidRPr="00297D77" w:rsidRDefault="00BC3217" w:rsidP="00297D77">
            <w:pPr>
              <w:pStyle w:val="TableParagraph"/>
              <w:spacing w:before="40" w:after="40" w:line="360" w:lineRule="auto"/>
              <w:ind w:left="557"/>
              <w:jc w:val="center"/>
              <w:rPr>
                <w:rFonts w:ascii="Times New Roman" w:hAnsi="Times New Roman" w:cs="Times New Roman"/>
                <w:sz w:val="24"/>
                <w:szCs w:val="24"/>
              </w:rPr>
            </w:pPr>
            <w:r w:rsidRPr="00297D77">
              <w:rPr>
                <w:rFonts w:ascii="Times New Roman" w:hAnsi="Times New Roman" w:cs="Times New Roman"/>
                <w:sz w:val="24"/>
                <w:szCs w:val="24"/>
              </w:rPr>
              <w:t>4</w:t>
            </w:r>
          </w:p>
        </w:tc>
        <w:tc>
          <w:tcPr>
            <w:tcW w:w="3074" w:type="dxa"/>
          </w:tcPr>
          <w:p w14:paraId="7F136D4D" w14:textId="77777777" w:rsidR="00B019EB" w:rsidRPr="00297D77" w:rsidRDefault="00BC3217" w:rsidP="00297D77">
            <w:pPr>
              <w:pStyle w:val="TableParagraph"/>
              <w:spacing w:before="40" w:after="40" w:line="360" w:lineRule="auto"/>
              <w:ind w:left="749"/>
              <w:jc w:val="center"/>
              <w:rPr>
                <w:rFonts w:ascii="Times New Roman" w:hAnsi="Times New Roman" w:cs="Times New Roman"/>
                <w:spacing w:val="-4"/>
                <w:sz w:val="24"/>
                <w:szCs w:val="24"/>
              </w:rPr>
            </w:pPr>
            <w:r w:rsidRPr="00297D77">
              <w:rPr>
                <w:rFonts w:ascii="Times New Roman" w:hAnsi="Times New Roman" w:cs="Times New Roman"/>
                <w:spacing w:val="-5"/>
                <w:sz w:val="24"/>
                <w:szCs w:val="24"/>
              </w:rPr>
              <w:t>.03*</w:t>
            </w:r>
          </w:p>
        </w:tc>
      </w:tr>
      <w:tr w:rsidR="00E20CEA" w:rsidRPr="00297D77" w14:paraId="2A21A98F" w14:textId="77777777" w:rsidTr="00B019EB">
        <w:trPr>
          <w:trHeight w:val="381"/>
        </w:trPr>
        <w:tc>
          <w:tcPr>
            <w:tcW w:w="2982" w:type="dxa"/>
            <w:tcBorders>
              <w:bottom w:val="single" w:sz="4" w:space="0" w:color="auto"/>
            </w:tcBorders>
          </w:tcPr>
          <w:p w14:paraId="05FA20B4" w14:textId="77777777" w:rsidR="00B019EB" w:rsidRPr="00297D77" w:rsidRDefault="00BC3217" w:rsidP="00297D77">
            <w:pPr>
              <w:pStyle w:val="TableParagraph"/>
              <w:spacing w:before="40" w:after="40" w:line="360" w:lineRule="auto"/>
              <w:ind w:left="74"/>
              <w:rPr>
                <w:rFonts w:ascii="Times New Roman" w:hAnsi="Times New Roman" w:cs="Times New Roman"/>
                <w:sz w:val="24"/>
                <w:szCs w:val="24"/>
              </w:rPr>
            </w:pPr>
            <w:r w:rsidRPr="00297D77">
              <w:rPr>
                <w:rFonts w:ascii="Times New Roman" w:hAnsi="Times New Roman" w:cs="Times New Roman"/>
                <w:sz w:val="24"/>
                <w:szCs w:val="24"/>
              </w:rPr>
              <w:t>Family burden</w:t>
            </w:r>
          </w:p>
        </w:tc>
        <w:tc>
          <w:tcPr>
            <w:tcW w:w="1509" w:type="dxa"/>
            <w:tcBorders>
              <w:bottom w:val="single" w:sz="4" w:space="0" w:color="auto"/>
            </w:tcBorders>
          </w:tcPr>
          <w:p w14:paraId="67C55DB9" w14:textId="77777777" w:rsidR="00B019EB" w:rsidRPr="00297D77" w:rsidRDefault="00BC3217" w:rsidP="00297D77">
            <w:pPr>
              <w:pStyle w:val="TableParagraph"/>
              <w:spacing w:before="40" w:after="40" w:line="360" w:lineRule="auto"/>
              <w:ind w:left="400"/>
              <w:jc w:val="center"/>
              <w:rPr>
                <w:rFonts w:ascii="Times New Roman" w:hAnsi="Times New Roman" w:cs="Times New Roman"/>
                <w:spacing w:val="-2"/>
                <w:sz w:val="24"/>
                <w:szCs w:val="24"/>
              </w:rPr>
            </w:pPr>
            <w:r w:rsidRPr="00297D77">
              <w:rPr>
                <w:rFonts w:ascii="Times New Roman" w:hAnsi="Times New Roman" w:cs="Times New Roman"/>
                <w:spacing w:val="-2"/>
                <w:sz w:val="24"/>
                <w:szCs w:val="24"/>
              </w:rPr>
              <w:t>10.982</w:t>
            </w:r>
          </w:p>
        </w:tc>
        <w:tc>
          <w:tcPr>
            <w:tcW w:w="1476" w:type="dxa"/>
            <w:tcBorders>
              <w:bottom w:val="single" w:sz="4" w:space="0" w:color="auto"/>
            </w:tcBorders>
          </w:tcPr>
          <w:p w14:paraId="19A9753A" w14:textId="77777777" w:rsidR="00B019EB" w:rsidRPr="00297D77" w:rsidRDefault="00BC3217" w:rsidP="00297D77">
            <w:pPr>
              <w:pStyle w:val="TableParagraph"/>
              <w:spacing w:before="40" w:after="40" w:line="360" w:lineRule="auto"/>
              <w:ind w:left="557"/>
              <w:jc w:val="center"/>
              <w:rPr>
                <w:rFonts w:ascii="Times New Roman" w:hAnsi="Times New Roman" w:cs="Times New Roman"/>
                <w:sz w:val="24"/>
                <w:szCs w:val="24"/>
              </w:rPr>
            </w:pPr>
            <w:r w:rsidRPr="00297D77">
              <w:rPr>
                <w:rFonts w:ascii="Times New Roman" w:hAnsi="Times New Roman" w:cs="Times New Roman"/>
                <w:sz w:val="24"/>
                <w:szCs w:val="24"/>
              </w:rPr>
              <w:t>6</w:t>
            </w:r>
          </w:p>
        </w:tc>
        <w:tc>
          <w:tcPr>
            <w:tcW w:w="3074" w:type="dxa"/>
            <w:tcBorders>
              <w:bottom w:val="single" w:sz="4" w:space="0" w:color="auto"/>
            </w:tcBorders>
          </w:tcPr>
          <w:p w14:paraId="1502DE95" w14:textId="77777777" w:rsidR="00B019EB" w:rsidRPr="00297D77" w:rsidRDefault="00BC3217" w:rsidP="00297D77">
            <w:pPr>
              <w:pStyle w:val="TableParagraph"/>
              <w:spacing w:before="40" w:after="40" w:line="360" w:lineRule="auto"/>
              <w:ind w:left="749"/>
              <w:jc w:val="center"/>
              <w:rPr>
                <w:rFonts w:ascii="Times New Roman" w:hAnsi="Times New Roman" w:cs="Times New Roman"/>
                <w:spacing w:val="-5"/>
                <w:sz w:val="24"/>
                <w:szCs w:val="24"/>
              </w:rPr>
            </w:pPr>
            <w:r w:rsidRPr="00297D77">
              <w:rPr>
                <w:rFonts w:ascii="Times New Roman" w:hAnsi="Times New Roman" w:cs="Times New Roman"/>
                <w:spacing w:val="-4"/>
                <w:sz w:val="24"/>
                <w:szCs w:val="24"/>
              </w:rPr>
              <w:t>.089</w:t>
            </w:r>
          </w:p>
        </w:tc>
      </w:tr>
      <w:tr w:rsidR="00E20CEA" w:rsidRPr="00297D77" w14:paraId="123BF47B" w14:textId="77777777" w:rsidTr="00B019EB">
        <w:trPr>
          <w:trHeight w:val="381"/>
        </w:trPr>
        <w:tc>
          <w:tcPr>
            <w:tcW w:w="9041" w:type="dxa"/>
            <w:gridSpan w:val="4"/>
            <w:tcBorders>
              <w:top w:val="single" w:sz="4" w:space="0" w:color="auto"/>
            </w:tcBorders>
          </w:tcPr>
          <w:p w14:paraId="6872ABF6" w14:textId="77777777" w:rsidR="00B019EB" w:rsidRPr="00297D77" w:rsidRDefault="00BC3217" w:rsidP="00297D77">
            <w:pPr>
              <w:pStyle w:val="TableParagraph"/>
              <w:spacing w:before="2" w:line="360" w:lineRule="auto"/>
              <w:rPr>
                <w:rFonts w:ascii="Times New Roman" w:hAnsi="Times New Roman" w:cs="Times New Roman"/>
                <w:spacing w:val="-4"/>
                <w:sz w:val="24"/>
                <w:szCs w:val="24"/>
                <w:lang w:val="en-US"/>
              </w:rPr>
            </w:pPr>
            <w:r w:rsidRPr="00297D77">
              <w:rPr>
                <w:rFonts w:ascii="Times New Roman" w:hAnsi="Times New Roman" w:cs="Times New Roman"/>
                <w:b/>
                <w:bCs/>
                <w:spacing w:val="-4"/>
                <w:sz w:val="24"/>
                <w:szCs w:val="24"/>
              </w:rPr>
              <w:t xml:space="preserve">Note. </w:t>
            </w:r>
            <w:r w:rsidRPr="00297D77">
              <w:rPr>
                <w:rFonts w:ascii="Times New Roman" w:hAnsi="Times New Roman" w:cs="Times New Roman"/>
                <w:spacing w:val="-4"/>
                <w:sz w:val="24"/>
                <w:szCs w:val="24"/>
              </w:rPr>
              <w:t>MSP = Ministry of Public Health; * = p&lt;0.05</w:t>
            </w:r>
          </w:p>
        </w:tc>
      </w:tr>
    </w:tbl>
    <w:p w14:paraId="211ECCAE" w14:textId="33EBAF2B" w:rsidR="0017181A" w:rsidRPr="00297D77" w:rsidRDefault="00BC3217" w:rsidP="00297D77">
      <w:pPr>
        <w:spacing w:before="240" w:line="360" w:lineRule="auto"/>
        <w:jc w:val="left"/>
        <w:rPr>
          <w:b/>
          <w:bCs/>
          <w:i/>
          <w:iCs/>
          <w:color w:val="000000"/>
          <w:sz w:val="24"/>
          <w:szCs w:val="24"/>
          <w:lang w:val="en-US"/>
        </w:rPr>
      </w:pPr>
      <w:r w:rsidRPr="00297D77">
        <w:rPr>
          <w:b/>
          <w:bCs/>
          <w:i/>
          <w:iCs/>
          <w:color w:val="000000"/>
          <w:sz w:val="24"/>
          <w:szCs w:val="24"/>
        </w:rPr>
        <w:t xml:space="preserve">b) Evaluate the effectiveness of a </w:t>
      </w:r>
      <w:r w:rsidR="00A31F4B" w:rsidRPr="00A31F4B">
        <w:rPr>
          <w:b/>
          <w:bCs/>
          <w:i/>
          <w:iCs/>
          <w:color w:val="FF0000"/>
          <w:sz w:val="24"/>
          <w:szCs w:val="24"/>
        </w:rPr>
        <w:t xml:space="preserve">contextual </w:t>
      </w:r>
      <w:r w:rsidR="00A31F4B" w:rsidRPr="00A31F4B">
        <w:rPr>
          <w:b/>
          <w:bCs/>
          <w:i/>
          <w:iCs/>
          <w:color w:val="000000"/>
          <w:sz w:val="24"/>
          <w:szCs w:val="24"/>
        </w:rPr>
        <w:t xml:space="preserve">therapy </w:t>
      </w:r>
      <w:r w:rsidRPr="00297D77">
        <w:rPr>
          <w:b/>
          <w:bCs/>
          <w:i/>
          <w:iCs/>
          <w:color w:val="000000"/>
          <w:sz w:val="24"/>
          <w:szCs w:val="24"/>
        </w:rPr>
        <w:t>-based intervention program to increase the psychological well-being of nursing professionals in the Northern District of Cuenca from the Ministry of Public Health.</w:t>
      </w:r>
    </w:p>
    <w:p w14:paraId="359EF951" w14:textId="77777777" w:rsidR="0017181A" w:rsidRPr="00297D77" w:rsidRDefault="00BC3217" w:rsidP="00297D77">
      <w:pPr>
        <w:spacing w:before="240" w:line="360" w:lineRule="auto"/>
        <w:jc w:val="left"/>
        <w:rPr>
          <w:b/>
          <w:bCs/>
          <w:i/>
          <w:iCs/>
          <w:color w:val="000000"/>
          <w:sz w:val="24"/>
          <w:szCs w:val="24"/>
          <w:lang w:val="en-US"/>
        </w:rPr>
      </w:pPr>
      <w:r w:rsidRPr="00297D77">
        <w:rPr>
          <w:b/>
          <w:bCs/>
          <w:i/>
          <w:iCs/>
          <w:color w:val="000000"/>
          <w:sz w:val="24"/>
          <w:szCs w:val="24"/>
        </w:rPr>
        <w:t>Evaluation of the effectiveness of the intervention program</w:t>
      </w:r>
    </w:p>
    <w:p w14:paraId="2ECF648E" w14:textId="77777777" w:rsidR="00D11943" w:rsidRPr="00297D77" w:rsidRDefault="00BC3217" w:rsidP="00297D77">
      <w:pPr>
        <w:spacing w:before="240" w:line="360" w:lineRule="auto"/>
        <w:jc w:val="left"/>
        <w:rPr>
          <w:color w:val="000000"/>
          <w:sz w:val="24"/>
          <w:szCs w:val="24"/>
          <w:lang w:val="en-US"/>
        </w:rPr>
      </w:pPr>
      <w:r w:rsidRPr="00297D77">
        <w:rPr>
          <w:color w:val="000000"/>
          <w:sz w:val="24"/>
          <w:szCs w:val="24"/>
        </w:rPr>
        <w:t xml:space="preserve">Table 4 presents the results of the comparison of related samples using Student’s t test, which revealed significant differences between the control group and the experimental group. In the control group, no statistically significant difference was found between the pretest and </w:t>
      </w:r>
      <w:proofErr w:type="spellStart"/>
      <w:r w:rsidRPr="00297D77">
        <w:rPr>
          <w:color w:val="000000"/>
          <w:sz w:val="24"/>
          <w:szCs w:val="24"/>
        </w:rPr>
        <w:t>posttest</w:t>
      </w:r>
      <w:proofErr w:type="spellEnd"/>
      <w:r w:rsidRPr="00297D77">
        <w:rPr>
          <w:color w:val="000000"/>
          <w:sz w:val="24"/>
          <w:szCs w:val="24"/>
        </w:rPr>
        <w:t xml:space="preserve"> measurements, with a mean of 144.27 in the pretest and 143.27 in the </w:t>
      </w:r>
      <w:proofErr w:type="spellStart"/>
      <w:r w:rsidRPr="00297D77">
        <w:rPr>
          <w:color w:val="000000"/>
          <w:sz w:val="24"/>
          <w:szCs w:val="24"/>
        </w:rPr>
        <w:t>posttest</w:t>
      </w:r>
      <w:proofErr w:type="spellEnd"/>
      <w:r w:rsidRPr="00297D77">
        <w:rPr>
          <w:color w:val="000000"/>
          <w:sz w:val="24"/>
          <w:szCs w:val="24"/>
        </w:rPr>
        <w:t>, and a t-statistic of 1.08 with a p value of 0.148.</w:t>
      </w:r>
    </w:p>
    <w:p w14:paraId="6551640A" w14:textId="77777777" w:rsidR="0017181A" w:rsidRPr="00297D77" w:rsidRDefault="00BC3217" w:rsidP="00297D77">
      <w:pPr>
        <w:spacing w:before="240" w:line="360" w:lineRule="auto"/>
        <w:ind w:firstLine="708"/>
        <w:jc w:val="left"/>
        <w:rPr>
          <w:color w:val="000000"/>
          <w:sz w:val="24"/>
          <w:szCs w:val="24"/>
          <w:lang w:val="en-US"/>
        </w:rPr>
      </w:pPr>
      <w:r w:rsidRPr="00297D77">
        <w:rPr>
          <w:color w:val="000000"/>
          <w:sz w:val="24"/>
          <w:szCs w:val="24"/>
        </w:rPr>
        <w:t xml:space="preserve">On the other hand, in the experimental group, a highly significant difference was observed between the pretest and </w:t>
      </w:r>
      <w:proofErr w:type="spellStart"/>
      <w:r w:rsidRPr="00297D77">
        <w:rPr>
          <w:color w:val="000000"/>
          <w:sz w:val="24"/>
          <w:szCs w:val="24"/>
        </w:rPr>
        <w:t>posttest</w:t>
      </w:r>
      <w:proofErr w:type="spellEnd"/>
      <w:r w:rsidRPr="00297D77">
        <w:rPr>
          <w:color w:val="000000"/>
          <w:sz w:val="24"/>
          <w:szCs w:val="24"/>
        </w:rPr>
        <w:t xml:space="preserve"> measurements. The mean in the pretest was 143.47, with a standard deviation of 37.384, while in the </w:t>
      </w:r>
      <w:proofErr w:type="spellStart"/>
      <w:r w:rsidRPr="00297D77">
        <w:rPr>
          <w:color w:val="000000"/>
          <w:sz w:val="24"/>
          <w:szCs w:val="24"/>
        </w:rPr>
        <w:t>posttest</w:t>
      </w:r>
      <w:proofErr w:type="spellEnd"/>
      <w:r w:rsidRPr="00297D77">
        <w:rPr>
          <w:color w:val="000000"/>
          <w:sz w:val="24"/>
          <w:szCs w:val="24"/>
        </w:rPr>
        <w:t>, it was 163.6, with a standard deviation of 24.278. The t-statistic was -5.51, with a p value of 0.001, indicating a positive impact of the treatment or intervention implemented in this group. These results suggest that the intervention had a significant effect on the experimental group, highlighting the importance and effectiveness of the applied program.</w:t>
      </w:r>
    </w:p>
    <w:p w14:paraId="7E77C645" w14:textId="77777777" w:rsidR="00D34017" w:rsidRPr="00297D77" w:rsidRDefault="00BC3217" w:rsidP="00297D77">
      <w:pPr>
        <w:pStyle w:val="Tabla"/>
        <w:jc w:val="both"/>
        <w:rPr>
          <w:rFonts w:ascii="Times New Roman" w:hAnsi="Times New Roman" w:cs="Times New Roman"/>
          <w:sz w:val="24"/>
          <w:szCs w:val="24"/>
          <w:lang w:val="en-US"/>
        </w:rPr>
      </w:pPr>
      <w:bookmarkStart w:id="8" w:name="_Toc151651602"/>
      <w:bookmarkStart w:id="9" w:name="_Hlk158121018"/>
      <w:bookmarkEnd w:id="6"/>
      <w:r w:rsidRPr="00297D77">
        <w:rPr>
          <w:rFonts w:ascii="Times New Roman" w:hAnsi="Times New Roman" w:cs="Times New Roman"/>
          <w:sz w:val="24"/>
          <w:szCs w:val="24"/>
        </w:rPr>
        <w:lastRenderedPageBreak/>
        <w:t xml:space="preserve">Table </w:t>
      </w:r>
      <w:bookmarkEnd w:id="8"/>
      <w:r w:rsidRPr="00297D77">
        <w:rPr>
          <w:rFonts w:ascii="Times New Roman" w:hAnsi="Times New Roman" w:cs="Times New Roman"/>
          <w:sz w:val="24"/>
          <w:szCs w:val="24"/>
        </w:rPr>
        <w:t>4</w:t>
      </w:r>
    </w:p>
    <w:p w14:paraId="53FE41D2" w14:textId="77777777" w:rsidR="00D34017" w:rsidRPr="00297D77" w:rsidRDefault="00BC3217" w:rsidP="00297D77">
      <w:pPr>
        <w:pStyle w:val="Tabla"/>
        <w:jc w:val="both"/>
        <w:rPr>
          <w:rFonts w:ascii="Times New Roman" w:hAnsi="Times New Roman" w:cs="Times New Roman"/>
          <w:b w:val="0"/>
          <w:bCs w:val="0"/>
          <w:sz w:val="24"/>
          <w:szCs w:val="24"/>
          <w:lang w:val="en-US"/>
        </w:rPr>
      </w:pPr>
      <w:r w:rsidRPr="00297D77">
        <w:rPr>
          <w:rFonts w:ascii="Times New Roman" w:hAnsi="Times New Roman" w:cs="Times New Roman"/>
          <w:b w:val="0"/>
          <w:bCs w:val="0"/>
          <w:i/>
          <w:iCs/>
          <w:color w:val="000000"/>
          <w:sz w:val="24"/>
          <w:szCs w:val="24"/>
        </w:rPr>
        <w:t>Comparison of related samples using Student's t test</w:t>
      </w:r>
    </w:p>
    <w:tbl>
      <w:tblPr>
        <w:tblW w:w="5000" w:type="pct"/>
        <w:tblCellMar>
          <w:left w:w="70" w:type="dxa"/>
          <w:right w:w="70" w:type="dxa"/>
        </w:tblCellMar>
        <w:tblLook w:val="04A0" w:firstRow="1" w:lastRow="0" w:firstColumn="1" w:lastColumn="0" w:noHBand="0" w:noVBand="1"/>
      </w:tblPr>
      <w:tblGrid>
        <w:gridCol w:w="3528"/>
        <w:gridCol w:w="1176"/>
        <w:gridCol w:w="734"/>
        <w:gridCol w:w="1177"/>
        <w:gridCol w:w="882"/>
        <w:gridCol w:w="734"/>
        <w:gridCol w:w="1129"/>
      </w:tblGrid>
      <w:tr w:rsidR="00E20CEA" w:rsidRPr="00297D77" w14:paraId="25C1EF0B" w14:textId="77777777" w:rsidTr="00D11943">
        <w:trPr>
          <w:trHeight w:val="324"/>
        </w:trPr>
        <w:tc>
          <w:tcPr>
            <w:tcW w:w="1885" w:type="pct"/>
            <w:tcBorders>
              <w:top w:val="single" w:sz="8" w:space="0" w:color="000000"/>
              <w:left w:val="nil"/>
              <w:bottom w:val="single" w:sz="8" w:space="0" w:color="000000"/>
              <w:right w:val="nil"/>
            </w:tcBorders>
            <w:shd w:val="clear" w:color="auto" w:fill="auto"/>
            <w:vAlign w:val="center"/>
            <w:hideMark/>
          </w:tcPr>
          <w:p w14:paraId="5C2FFFC3" w14:textId="77777777" w:rsidR="00D34017" w:rsidRPr="00297D77" w:rsidRDefault="00BC3217" w:rsidP="00297D77">
            <w:pPr>
              <w:spacing w:line="360" w:lineRule="auto"/>
              <w:rPr>
                <w:color w:val="000000"/>
                <w:sz w:val="24"/>
                <w:szCs w:val="24"/>
                <w:lang w:val="en-US"/>
              </w:rPr>
            </w:pPr>
            <w:r w:rsidRPr="00297D77">
              <w:rPr>
                <w:color w:val="000000"/>
                <w:sz w:val="24"/>
                <w:szCs w:val="24"/>
              </w:rPr>
              <w:t> </w:t>
            </w:r>
          </w:p>
        </w:tc>
        <w:tc>
          <w:tcPr>
            <w:tcW w:w="628" w:type="pct"/>
            <w:tcBorders>
              <w:top w:val="single" w:sz="8" w:space="0" w:color="000000"/>
              <w:left w:val="nil"/>
              <w:bottom w:val="single" w:sz="8" w:space="0" w:color="000000"/>
              <w:right w:val="nil"/>
            </w:tcBorders>
            <w:shd w:val="clear" w:color="auto" w:fill="auto"/>
            <w:vAlign w:val="center"/>
            <w:hideMark/>
          </w:tcPr>
          <w:p w14:paraId="3873B9F3" w14:textId="77777777" w:rsidR="00D34017" w:rsidRPr="00297D77" w:rsidRDefault="00BC3217" w:rsidP="00297D77">
            <w:pPr>
              <w:spacing w:line="360" w:lineRule="auto"/>
              <w:rPr>
                <w:color w:val="000000"/>
                <w:sz w:val="24"/>
                <w:szCs w:val="24"/>
              </w:rPr>
            </w:pPr>
            <w:r w:rsidRPr="00297D77">
              <w:rPr>
                <w:color w:val="000000"/>
                <w:sz w:val="24"/>
                <w:szCs w:val="24"/>
              </w:rPr>
              <w:t>M</w:t>
            </w:r>
          </w:p>
        </w:tc>
        <w:tc>
          <w:tcPr>
            <w:tcW w:w="392" w:type="pct"/>
            <w:tcBorders>
              <w:top w:val="single" w:sz="8" w:space="0" w:color="000000"/>
              <w:left w:val="nil"/>
              <w:bottom w:val="single" w:sz="8" w:space="0" w:color="000000"/>
              <w:right w:val="nil"/>
            </w:tcBorders>
            <w:shd w:val="clear" w:color="auto" w:fill="auto"/>
            <w:vAlign w:val="center"/>
            <w:hideMark/>
          </w:tcPr>
          <w:p w14:paraId="4AB17E83" w14:textId="77777777" w:rsidR="00D34017" w:rsidRPr="00297D77" w:rsidRDefault="00BC3217" w:rsidP="00297D77">
            <w:pPr>
              <w:spacing w:line="360" w:lineRule="auto"/>
              <w:rPr>
                <w:color w:val="000000"/>
                <w:sz w:val="24"/>
                <w:szCs w:val="24"/>
              </w:rPr>
            </w:pPr>
            <w:r w:rsidRPr="00297D77">
              <w:rPr>
                <w:color w:val="000000"/>
                <w:sz w:val="24"/>
                <w:szCs w:val="24"/>
              </w:rPr>
              <w:t>n</w:t>
            </w:r>
          </w:p>
        </w:tc>
        <w:tc>
          <w:tcPr>
            <w:tcW w:w="629" w:type="pct"/>
            <w:tcBorders>
              <w:top w:val="single" w:sz="8" w:space="0" w:color="000000"/>
              <w:left w:val="nil"/>
              <w:bottom w:val="single" w:sz="8" w:space="0" w:color="000000"/>
              <w:right w:val="nil"/>
            </w:tcBorders>
            <w:shd w:val="clear" w:color="auto" w:fill="auto"/>
            <w:vAlign w:val="center"/>
            <w:hideMark/>
          </w:tcPr>
          <w:p w14:paraId="164F3C43" w14:textId="77777777" w:rsidR="00D34017" w:rsidRPr="00297D77" w:rsidRDefault="00BC3217" w:rsidP="00297D77">
            <w:pPr>
              <w:spacing w:line="360" w:lineRule="auto"/>
              <w:rPr>
                <w:color w:val="000000"/>
                <w:sz w:val="24"/>
                <w:szCs w:val="24"/>
              </w:rPr>
            </w:pPr>
            <w:proofErr w:type="spellStart"/>
            <w:r w:rsidRPr="00297D77">
              <w:rPr>
                <w:color w:val="000000"/>
                <w:sz w:val="24"/>
                <w:szCs w:val="24"/>
              </w:rPr>
              <w:t>sd</w:t>
            </w:r>
            <w:proofErr w:type="spellEnd"/>
          </w:p>
        </w:tc>
        <w:tc>
          <w:tcPr>
            <w:tcW w:w="471" w:type="pct"/>
            <w:tcBorders>
              <w:top w:val="single" w:sz="8" w:space="0" w:color="000000"/>
              <w:left w:val="nil"/>
              <w:bottom w:val="single" w:sz="8" w:space="0" w:color="000000"/>
              <w:right w:val="nil"/>
            </w:tcBorders>
            <w:shd w:val="clear" w:color="auto" w:fill="auto"/>
            <w:vAlign w:val="center"/>
            <w:hideMark/>
          </w:tcPr>
          <w:p w14:paraId="78C7938E" w14:textId="77777777" w:rsidR="00D34017" w:rsidRPr="00297D77" w:rsidRDefault="00BC3217" w:rsidP="00297D77">
            <w:pPr>
              <w:spacing w:line="360" w:lineRule="auto"/>
              <w:rPr>
                <w:color w:val="000000"/>
                <w:sz w:val="24"/>
                <w:szCs w:val="24"/>
              </w:rPr>
            </w:pPr>
            <w:r w:rsidRPr="00297D77">
              <w:rPr>
                <w:color w:val="000000"/>
                <w:sz w:val="24"/>
                <w:szCs w:val="24"/>
              </w:rPr>
              <w:t>t</w:t>
            </w:r>
          </w:p>
        </w:tc>
        <w:tc>
          <w:tcPr>
            <w:tcW w:w="392" w:type="pct"/>
            <w:tcBorders>
              <w:top w:val="single" w:sz="8" w:space="0" w:color="000000"/>
              <w:left w:val="nil"/>
              <w:bottom w:val="single" w:sz="8" w:space="0" w:color="000000"/>
              <w:right w:val="nil"/>
            </w:tcBorders>
            <w:shd w:val="clear" w:color="auto" w:fill="auto"/>
            <w:vAlign w:val="center"/>
            <w:hideMark/>
          </w:tcPr>
          <w:p w14:paraId="1B7497CA" w14:textId="77777777" w:rsidR="00D34017" w:rsidRPr="00297D77" w:rsidRDefault="00BC3217" w:rsidP="00297D77">
            <w:pPr>
              <w:spacing w:line="360" w:lineRule="auto"/>
              <w:rPr>
                <w:color w:val="000000"/>
                <w:sz w:val="24"/>
                <w:szCs w:val="24"/>
              </w:rPr>
            </w:pPr>
            <w:proofErr w:type="spellStart"/>
            <w:r w:rsidRPr="00297D77">
              <w:rPr>
                <w:color w:val="000000"/>
                <w:sz w:val="24"/>
                <w:szCs w:val="24"/>
              </w:rPr>
              <w:t>gl</w:t>
            </w:r>
            <w:proofErr w:type="spellEnd"/>
          </w:p>
        </w:tc>
        <w:tc>
          <w:tcPr>
            <w:tcW w:w="603" w:type="pct"/>
            <w:tcBorders>
              <w:top w:val="single" w:sz="8" w:space="0" w:color="000000"/>
              <w:left w:val="nil"/>
              <w:bottom w:val="single" w:sz="8" w:space="0" w:color="000000"/>
              <w:right w:val="nil"/>
            </w:tcBorders>
            <w:shd w:val="clear" w:color="auto" w:fill="auto"/>
            <w:vAlign w:val="center"/>
            <w:hideMark/>
          </w:tcPr>
          <w:p w14:paraId="62EFD4C2" w14:textId="77777777" w:rsidR="00D34017" w:rsidRPr="00297D77" w:rsidRDefault="00BC3217" w:rsidP="00297D77">
            <w:pPr>
              <w:spacing w:line="360" w:lineRule="auto"/>
              <w:rPr>
                <w:color w:val="000000"/>
                <w:sz w:val="24"/>
                <w:szCs w:val="24"/>
              </w:rPr>
            </w:pPr>
            <w:r w:rsidRPr="00297D77">
              <w:rPr>
                <w:sz w:val="24"/>
                <w:szCs w:val="24"/>
              </w:rPr>
              <w:t>p value</w:t>
            </w:r>
          </w:p>
        </w:tc>
      </w:tr>
      <w:tr w:rsidR="00E20CEA" w:rsidRPr="00297D77" w14:paraId="0CC4FCCE" w14:textId="77777777" w:rsidTr="00D11943">
        <w:trPr>
          <w:trHeight w:val="312"/>
        </w:trPr>
        <w:tc>
          <w:tcPr>
            <w:tcW w:w="1885" w:type="pct"/>
            <w:tcBorders>
              <w:top w:val="nil"/>
              <w:left w:val="nil"/>
              <w:bottom w:val="nil"/>
              <w:right w:val="nil"/>
            </w:tcBorders>
            <w:shd w:val="clear" w:color="auto" w:fill="auto"/>
            <w:vAlign w:val="center"/>
            <w:hideMark/>
          </w:tcPr>
          <w:p w14:paraId="1BFC474C" w14:textId="77777777" w:rsidR="00D34017" w:rsidRPr="00297D77" w:rsidRDefault="00BC3217" w:rsidP="00297D77">
            <w:pPr>
              <w:spacing w:line="360" w:lineRule="auto"/>
              <w:rPr>
                <w:color w:val="000000"/>
                <w:sz w:val="24"/>
                <w:szCs w:val="24"/>
              </w:rPr>
            </w:pPr>
            <w:r w:rsidRPr="00297D77">
              <w:rPr>
                <w:color w:val="000000"/>
                <w:sz w:val="24"/>
                <w:szCs w:val="24"/>
              </w:rPr>
              <w:t>Pretest Control</w:t>
            </w:r>
          </w:p>
        </w:tc>
        <w:tc>
          <w:tcPr>
            <w:tcW w:w="628" w:type="pct"/>
            <w:tcBorders>
              <w:top w:val="nil"/>
              <w:left w:val="nil"/>
              <w:bottom w:val="nil"/>
              <w:right w:val="nil"/>
            </w:tcBorders>
            <w:shd w:val="clear" w:color="auto" w:fill="auto"/>
            <w:noWrap/>
            <w:vAlign w:val="center"/>
            <w:hideMark/>
          </w:tcPr>
          <w:p w14:paraId="38480155" w14:textId="77777777" w:rsidR="00D34017" w:rsidRPr="00297D77" w:rsidRDefault="00BC3217" w:rsidP="00297D77">
            <w:pPr>
              <w:spacing w:line="360" w:lineRule="auto"/>
              <w:rPr>
                <w:color w:val="000000"/>
                <w:sz w:val="24"/>
                <w:szCs w:val="24"/>
              </w:rPr>
            </w:pPr>
            <w:r w:rsidRPr="00297D77">
              <w:rPr>
                <w:color w:val="000000"/>
                <w:sz w:val="24"/>
                <w:szCs w:val="24"/>
              </w:rPr>
              <w:t>144.27</w:t>
            </w:r>
          </w:p>
        </w:tc>
        <w:tc>
          <w:tcPr>
            <w:tcW w:w="392" w:type="pct"/>
            <w:tcBorders>
              <w:top w:val="nil"/>
              <w:left w:val="nil"/>
              <w:bottom w:val="nil"/>
              <w:right w:val="nil"/>
            </w:tcBorders>
            <w:shd w:val="clear" w:color="auto" w:fill="auto"/>
            <w:noWrap/>
            <w:vAlign w:val="center"/>
            <w:hideMark/>
          </w:tcPr>
          <w:p w14:paraId="3D67E1BC" w14:textId="77777777" w:rsidR="00D34017" w:rsidRPr="00297D77" w:rsidRDefault="00BC3217" w:rsidP="00297D77">
            <w:pPr>
              <w:spacing w:line="360" w:lineRule="auto"/>
              <w:rPr>
                <w:color w:val="000000"/>
                <w:sz w:val="24"/>
                <w:szCs w:val="24"/>
              </w:rPr>
            </w:pPr>
            <w:r w:rsidRPr="00297D77">
              <w:rPr>
                <w:color w:val="000000"/>
                <w:sz w:val="24"/>
                <w:szCs w:val="24"/>
              </w:rPr>
              <w:t>15</w:t>
            </w:r>
          </w:p>
        </w:tc>
        <w:tc>
          <w:tcPr>
            <w:tcW w:w="629" w:type="pct"/>
            <w:tcBorders>
              <w:top w:val="nil"/>
              <w:left w:val="nil"/>
              <w:bottom w:val="nil"/>
              <w:right w:val="nil"/>
            </w:tcBorders>
            <w:shd w:val="clear" w:color="auto" w:fill="auto"/>
            <w:noWrap/>
            <w:vAlign w:val="center"/>
            <w:hideMark/>
          </w:tcPr>
          <w:p w14:paraId="554BCA8E" w14:textId="77777777" w:rsidR="00D34017" w:rsidRPr="00297D77" w:rsidRDefault="00BC3217" w:rsidP="00297D77">
            <w:pPr>
              <w:spacing w:line="360" w:lineRule="auto"/>
              <w:rPr>
                <w:color w:val="000000"/>
                <w:sz w:val="24"/>
                <w:szCs w:val="24"/>
              </w:rPr>
            </w:pPr>
            <w:r w:rsidRPr="00297D77">
              <w:rPr>
                <w:color w:val="000000"/>
                <w:sz w:val="24"/>
                <w:szCs w:val="24"/>
              </w:rPr>
              <w:t>32.361</w:t>
            </w:r>
          </w:p>
        </w:tc>
        <w:tc>
          <w:tcPr>
            <w:tcW w:w="471" w:type="pct"/>
            <w:tcBorders>
              <w:top w:val="nil"/>
              <w:left w:val="nil"/>
              <w:bottom w:val="nil"/>
              <w:right w:val="nil"/>
            </w:tcBorders>
            <w:shd w:val="clear" w:color="auto" w:fill="auto"/>
            <w:noWrap/>
            <w:vAlign w:val="center"/>
            <w:hideMark/>
          </w:tcPr>
          <w:p w14:paraId="57A67A95" w14:textId="77777777" w:rsidR="00D34017" w:rsidRPr="00297D77" w:rsidRDefault="00BC3217" w:rsidP="00297D77">
            <w:pPr>
              <w:spacing w:line="360" w:lineRule="auto"/>
              <w:rPr>
                <w:color w:val="000000"/>
                <w:sz w:val="24"/>
                <w:szCs w:val="24"/>
              </w:rPr>
            </w:pPr>
            <w:r w:rsidRPr="00297D77">
              <w:rPr>
                <w:color w:val="000000"/>
                <w:sz w:val="24"/>
                <w:szCs w:val="24"/>
              </w:rPr>
              <w:t>1.08</w:t>
            </w:r>
          </w:p>
        </w:tc>
        <w:tc>
          <w:tcPr>
            <w:tcW w:w="392" w:type="pct"/>
            <w:tcBorders>
              <w:top w:val="nil"/>
              <w:left w:val="nil"/>
              <w:bottom w:val="nil"/>
              <w:right w:val="nil"/>
            </w:tcBorders>
            <w:shd w:val="clear" w:color="auto" w:fill="auto"/>
            <w:noWrap/>
            <w:vAlign w:val="center"/>
            <w:hideMark/>
          </w:tcPr>
          <w:p w14:paraId="28B98D88" w14:textId="77777777" w:rsidR="00D34017" w:rsidRPr="00297D77" w:rsidRDefault="00BC3217" w:rsidP="00297D77">
            <w:pPr>
              <w:spacing w:line="360" w:lineRule="auto"/>
              <w:rPr>
                <w:color w:val="000000"/>
                <w:sz w:val="24"/>
                <w:szCs w:val="24"/>
              </w:rPr>
            </w:pPr>
            <w:r w:rsidRPr="00297D77">
              <w:rPr>
                <w:color w:val="000000"/>
                <w:sz w:val="24"/>
                <w:szCs w:val="24"/>
              </w:rPr>
              <w:t>14</w:t>
            </w:r>
          </w:p>
        </w:tc>
        <w:tc>
          <w:tcPr>
            <w:tcW w:w="603" w:type="pct"/>
            <w:tcBorders>
              <w:top w:val="nil"/>
              <w:left w:val="nil"/>
              <w:bottom w:val="nil"/>
              <w:right w:val="nil"/>
            </w:tcBorders>
            <w:shd w:val="clear" w:color="auto" w:fill="auto"/>
            <w:noWrap/>
            <w:vAlign w:val="center"/>
            <w:hideMark/>
          </w:tcPr>
          <w:p w14:paraId="7177675B" w14:textId="77777777" w:rsidR="00D34017" w:rsidRPr="00297D77" w:rsidRDefault="00BC3217" w:rsidP="00297D77">
            <w:pPr>
              <w:spacing w:line="360" w:lineRule="auto"/>
              <w:rPr>
                <w:color w:val="000000"/>
                <w:sz w:val="24"/>
                <w:szCs w:val="24"/>
              </w:rPr>
            </w:pPr>
            <w:r w:rsidRPr="00297D77">
              <w:rPr>
                <w:color w:val="000000"/>
                <w:sz w:val="24"/>
                <w:szCs w:val="24"/>
              </w:rPr>
              <w:t>.148</w:t>
            </w:r>
          </w:p>
        </w:tc>
      </w:tr>
      <w:tr w:rsidR="00E20CEA" w:rsidRPr="00297D77" w14:paraId="4D4BD4B2" w14:textId="77777777" w:rsidTr="00D11943">
        <w:trPr>
          <w:trHeight w:val="312"/>
        </w:trPr>
        <w:tc>
          <w:tcPr>
            <w:tcW w:w="1885" w:type="pct"/>
            <w:tcBorders>
              <w:top w:val="nil"/>
              <w:left w:val="nil"/>
              <w:bottom w:val="nil"/>
              <w:right w:val="nil"/>
            </w:tcBorders>
            <w:shd w:val="clear" w:color="auto" w:fill="auto"/>
            <w:vAlign w:val="center"/>
            <w:hideMark/>
          </w:tcPr>
          <w:p w14:paraId="7C23304B" w14:textId="77777777" w:rsidR="00D34017" w:rsidRPr="00297D77" w:rsidRDefault="00BC3217" w:rsidP="00297D77">
            <w:pPr>
              <w:spacing w:line="360" w:lineRule="auto"/>
              <w:rPr>
                <w:color w:val="000000"/>
                <w:sz w:val="24"/>
                <w:szCs w:val="24"/>
              </w:rPr>
            </w:pPr>
            <w:proofErr w:type="spellStart"/>
            <w:r w:rsidRPr="00297D77">
              <w:rPr>
                <w:color w:val="000000"/>
                <w:sz w:val="24"/>
                <w:szCs w:val="24"/>
              </w:rPr>
              <w:t>Posttest</w:t>
            </w:r>
            <w:proofErr w:type="spellEnd"/>
            <w:r w:rsidRPr="00297D77">
              <w:rPr>
                <w:color w:val="000000"/>
                <w:sz w:val="24"/>
                <w:szCs w:val="24"/>
              </w:rPr>
              <w:t xml:space="preserve"> Control</w:t>
            </w:r>
          </w:p>
        </w:tc>
        <w:tc>
          <w:tcPr>
            <w:tcW w:w="628" w:type="pct"/>
            <w:tcBorders>
              <w:top w:val="nil"/>
              <w:left w:val="nil"/>
              <w:bottom w:val="nil"/>
              <w:right w:val="nil"/>
            </w:tcBorders>
            <w:shd w:val="clear" w:color="auto" w:fill="auto"/>
            <w:noWrap/>
            <w:vAlign w:val="center"/>
            <w:hideMark/>
          </w:tcPr>
          <w:p w14:paraId="6D0095B2" w14:textId="77777777" w:rsidR="00D34017" w:rsidRPr="00297D77" w:rsidRDefault="00BC3217" w:rsidP="00297D77">
            <w:pPr>
              <w:spacing w:line="360" w:lineRule="auto"/>
              <w:rPr>
                <w:color w:val="000000"/>
                <w:sz w:val="24"/>
                <w:szCs w:val="24"/>
              </w:rPr>
            </w:pPr>
            <w:r w:rsidRPr="00297D77">
              <w:rPr>
                <w:color w:val="000000"/>
                <w:sz w:val="24"/>
                <w:szCs w:val="24"/>
              </w:rPr>
              <w:t>143.27</w:t>
            </w:r>
          </w:p>
        </w:tc>
        <w:tc>
          <w:tcPr>
            <w:tcW w:w="392" w:type="pct"/>
            <w:tcBorders>
              <w:top w:val="nil"/>
              <w:left w:val="nil"/>
              <w:bottom w:val="nil"/>
              <w:right w:val="nil"/>
            </w:tcBorders>
            <w:shd w:val="clear" w:color="auto" w:fill="auto"/>
            <w:noWrap/>
            <w:vAlign w:val="center"/>
            <w:hideMark/>
          </w:tcPr>
          <w:p w14:paraId="4A7BAF98" w14:textId="77777777" w:rsidR="00D34017" w:rsidRPr="00297D77" w:rsidRDefault="00BC3217" w:rsidP="00297D77">
            <w:pPr>
              <w:spacing w:line="360" w:lineRule="auto"/>
              <w:rPr>
                <w:color w:val="000000"/>
                <w:sz w:val="24"/>
                <w:szCs w:val="24"/>
              </w:rPr>
            </w:pPr>
            <w:r w:rsidRPr="00297D77">
              <w:rPr>
                <w:color w:val="000000"/>
                <w:sz w:val="24"/>
                <w:szCs w:val="24"/>
              </w:rPr>
              <w:t>15</w:t>
            </w:r>
          </w:p>
        </w:tc>
        <w:tc>
          <w:tcPr>
            <w:tcW w:w="629" w:type="pct"/>
            <w:tcBorders>
              <w:top w:val="nil"/>
              <w:left w:val="nil"/>
              <w:bottom w:val="nil"/>
              <w:right w:val="nil"/>
            </w:tcBorders>
            <w:shd w:val="clear" w:color="auto" w:fill="auto"/>
            <w:noWrap/>
            <w:vAlign w:val="center"/>
            <w:hideMark/>
          </w:tcPr>
          <w:p w14:paraId="060C43A6" w14:textId="77777777" w:rsidR="00D34017" w:rsidRPr="00297D77" w:rsidRDefault="00BC3217" w:rsidP="00297D77">
            <w:pPr>
              <w:spacing w:line="360" w:lineRule="auto"/>
              <w:rPr>
                <w:color w:val="000000"/>
                <w:sz w:val="24"/>
                <w:szCs w:val="24"/>
              </w:rPr>
            </w:pPr>
            <w:r w:rsidRPr="00297D77">
              <w:rPr>
                <w:color w:val="000000"/>
                <w:sz w:val="24"/>
                <w:szCs w:val="24"/>
              </w:rPr>
              <w:t>32.135</w:t>
            </w:r>
          </w:p>
        </w:tc>
        <w:tc>
          <w:tcPr>
            <w:tcW w:w="471" w:type="pct"/>
            <w:tcBorders>
              <w:top w:val="nil"/>
              <w:left w:val="nil"/>
              <w:bottom w:val="nil"/>
              <w:right w:val="nil"/>
            </w:tcBorders>
            <w:shd w:val="clear" w:color="auto" w:fill="auto"/>
            <w:noWrap/>
            <w:vAlign w:val="center"/>
            <w:hideMark/>
          </w:tcPr>
          <w:p w14:paraId="1F8BDA39" w14:textId="77777777" w:rsidR="00D34017" w:rsidRPr="00297D77" w:rsidRDefault="00D34017" w:rsidP="00297D77">
            <w:pPr>
              <w:spacing w:line="360" w:lineRule="auto"/>
              <w:rPr>
                <w:color w:val="000000"/>
                <w:sz w:val="24"/>
                <w:szCs w:val="24"/>
              </w:rPr>
            </w:pPr>
          </w:p>
        </w:tc>
        <w:tc>
          <w:tcPr>
            <w:tcW w:w="392" w:type="pct"/>
            <w:tcBorders>
              <w:top w:val="nil"/>
              <w:left w:val="nil"/>
              <w:bottom w:val="nil"/>
              <w:right w:val="nil"/>
            </w:tcBorders>
            <w:shd w:val="clear" w:color="auto" w:fill="auto"/>
            <w:noWrap/>
            <w:vAlign w:val="center"/>
            <w:hideMark/>
          </w:tcPr>
          <w:p w14:paraId="533F88E9" w14:textId="77777777" w:rsidR="00D34017" w:rsidRPr="00297D77" w:rsidRDefault="00D34017" w:rsidP="00297D77">
            <w:pPr>
              <w:spacing w:line="360" w:lineRule="auto"/>
              <w:rPr>
                <w:sz w:val="24"/>
                <w:szCs w:val="24"/>
              </w:rPr>
            </w:pPr>
          </w:p>
        </w:tc>
        <w:tc>
          <w:tcPr>
            <w:tcW w:w="603" w:type="pct"/>
            <w:tcBorders>
              <w:top w:val="nil"/>
              <w:left w:val="nil"/>
              <w:bottom w:val="nil"/>
              <w:right w:val="nil"/>
            </w:tcBorders>
            <w:shd w:val="clear" w:color="auto" w:fill="auto"/>
            <w:noWrap/>
            <w:vAlign w:val="center"/>
            <w:hideMark/>
          </w:tcPr>
          <w:p w14:paraId="47742212" w14:textId="77777777" w:rsidR="00D34017" w:rsidRPr="00297D77" w:rsidRDefault="00D34017" w:rsidP="00297D77">
            <w:pPr>
              <w:spacing w:line="360" w:lineRule="auto"/>
              <w:rPr>
                <w:sz w:val="24"/>
                <w:szCs w:val="24"/>
              </w:rPr>
            </w:pPr>
          </w:p>
        </w:tc>
      </w:tr>
      <w:tr w:rsidR="00E20CEA" w:rsidRPr="00297D77" w14:paraId="3EA3EA1F" w14:textId="77777777" w:rsidTr="00D11943">
        <w:trPr>
          <w:trHeight w:val="312"/>
        </w:trPr>
        <w:tc>
          <w:tcPr>
            <w:tcW w:w="1885" w:type="pct"/>
            <w:tcBorders>
              <w:top w:val="nil"/>
              <w:left w:val="nil"/>
              <w:bottom w:val="nil"/>
              <w:right w:val="nil"/>
            </w:tcBorders>
            <w:shd w:val="clear" w:color="auto" w:fill="auto"/>
            <w:vAlign w:val="center"/>
            <w:hideMark/>
          </w:tcPr>
          <w:p w14:paraId="712B876E" w14:textId="77777777" w:rsidR="00D34017" w:rsidRPr="00297D77" w:rsidRDefault="00BC3217" w:rsidP="00297D77">
            <w:pPr>
              <w:spacing w:line="360" w:lineRule="auto"/>
              <w:rPr>
                <w:color w:val="000000"/>
                <w:sz w:val="24"/>
                <w:szCs w:val="24"/>
              </w:rPr>
            </w:pPr>
            <w:r w:rsidRPr="00297D77">
              <w:rPr>
                <w:color w:val="000000"/>
                <w:sz w:val="24"/>
                <w:szCs w:val="24"/>
              </w:rPr>
              <w:t>Pretest Experimental</w:t>
            </w:r>
          </w:p>
        </w:tc>
        <w:tc>
          <w:tcPr>
            <w:tcW w:w="628" w:type="pct"/>
            <w:tcBorders>
              <w:top w:val="nil"/>
              <w:left w:val="nil"/>
              <w:bottom w:val="nil"/>
              <w:right w:val="nil"/>
            </w:tcBorders>
            <w:shd w:val="clear" w:color="auto" w:fill="auto"/>
            <w:noWrap/>
            <w:vAlign w:val="center"/>
            <w:hideMark/>
          </w:tcPr>
          <w:p w14:paraId="2DF76DD7" w14:textId="77777777" w:rsidR="00D34017" w:rsidRPr="00297D77" w:rsidRDefault="00BC3217" w:rsidP="00297D77">
            <w:pPr>
              <w:spacing w:line="360" w:lineRule="auto"/>
              <w:rPr>
                <w:color w:val="000000"/>
                <w:sz w:val="24"/>
                <w:szCs w:val="24"/>
              </w:rPr>
            </w:pPr>
            <w:r w:rsidRPr="00297D77">
              <w:rPr>
                <w:color w:val="000000"/>
                <w:sz w:val="24"/>
                <w:szCs w:val="24"/>
              </w:rPr>
              <w:t>143.47</w:t>
            </w:r>
          </w:p>
        </w:tc>
        <w:tc>
          <w:tcPr>
            <w:tcW w:w="392" w:type="pct"/>
            <w:tcBorders>
              <w:top w:val="nil"/>
              <w:left w:val="nil"/>
              <w:bottom w:val="nil"/>
              <w:right w:val="nil"/>
            </w:tcBorders>
            <w:shd w:val="clear" w:color="auto" w:fill="auto"/>
            <w:noWrap/>
            <w:vAlign w:val="center"/>
            <w:hideMark/>
          </w:tcPr>
          <w:p w14:paraId="083D93B8" w14:textId="77777777" w:rsidR="00D34017" w:rsidRPr="00297D77" w:rsidRDefault="00BC3217" w:rsidP="00297D77">
            <w:pPr>
              <w:spacing w:line="360" w:lineRule="auto"/>
              <w:rPr>
                <w:color w:val="000000"/>
                <w:sz w:val="24"/>
                <w:szCs w:val="24"/>
              </w:rPr>
            </w:pPr>
            <w:r w:rsidRPr="00297D77">
              <w:rPr>
                <w:color w:val="000000"/>
                <w:sz w:val="24"/>
                <w:szCs w:val="24"/>
              </w:rPr>
              <w:t>15</w:t>
            </w:r>
          </w:p>
        </w:tc>
        <w:tc>
          <w:tcPr>
            <w:tcW w:w="629" w:type="pct"/>
            <w:tcBorders>
              <w:top w:val="nil"/>
              <w:left w:val="nil"/>
              <w:bottom w:val="nil"/>
              <w:right w:val="nil"/>
            </w:tcBorders>
            <w:shd w:val="clear" w:color="auto" w:fill="auto"/>
            <w:noWrap/>
            <w:vAlign w:val="center"/>
            <w:hideMark/>
          </w:tcPr>
          <w:p w14:paraId="3D58BFAD" w14:textId="77777777" w:rsidR="00D34017" w:rsidRPr="00297D77" w:rsidRDefault="00BC3217" w:rsidP="00297D77">
            <w:pPr>
              <w:spacing w:line="360" w:lineRule="auto"/>
              <w:rPr>
                <w:color w:val="000000"/>
                <w:sz w:val="24"/>
                <w:szCs w:val="24"/>
              </w:rPr>
            </w:pPr>
            <w:r w:rsidRPr="00297D77">
              <w:rPr>
                <w:color w:val="000000"/>
                <w:sz w:val="24"/>
                <w:szCs w:val="24"/>
              </w:rPr>
              <w:t>37.384</w:t>
            </w:r>
          </w:p>
        </w:tc>
        <w:tc>
          <w:tcPr>
            <w:tcW w:w="471" w:type="pct"/>
            <w:tcBorders>
              <w:top w:val="nil"/>
              <w:left w:val="nil"/>
              <w:bottom w:val="nil"/>
              <w:right w:val="nil"/>
            </w:tcBorders>
            <w:shd w:val="clear" w:color="auto" w:fill="auto"/>
            <w:noWrap/>
            <w:vAlign w:val="center"/>
            <w:hideMark/>
          </w:tcPr>
          <w:p w14:paraId="10BE34C7" w14:textId="77777777" w:rsidR="00D34017" w:rsidRPr="00297D77" w:rsidRDefault="00BC3217" w:rsidP="00297D77">
            <w:pPr>
              <w:spacing w:line="360" w:lineRule="auto"/>
              <w:rPr>
                <w:color w:val="000000"/>
                <w:sz w:val="24"/>
                <w:szCs w:val="24"/>
              </w:rPr>
            </w:pPr>
            <w:r w:rsidRPr="00297D77">
              <w:rPr>
                <w:color w:val="000000"/>
                <w:sz w:val="24"/>
                <w:szCs w:val="24"/>
              </w:rPr>
              <w:t>-5.51</w:t>
            </w:r>
          </w:p>
        </w:tc>
        <w:tc>
          <w:tcPr>
            <w:tcW w:w="392" w:type="pct"/>
            <w:tcBorders>
              <w:top w:val="nil"/>
              <w:left w:val="nil"/>
              <w:bottom w:val="nil"/>
              <w:right w:val="nil"/>
            </w:tcBorders>
            <w:shd w:val="clear" w:color="auto" w:fill="auto"/>
            <w:noWrap/>
            <w:vAlign w:val="center"/>
            <w:hideMark/>
          </w:tcPr>
          <w:p w14:paraId="6BFB8377" w14:textId="77777777" w:rsidR="00D34017" w:rsidRPr="00297D77" w:rsidRDefault="00BC3217" w:rsidP="00297D77">
            <w:pPr>
              <w:spacing w:line="360" w:lineRule="auto"/>
              <w:rPr>
                <w:color w:val="000000"/>
                <w:sz w:val="24"/>
                <w:szCs w:val="24"/>
              </w:rPr>
            </w:pPr>
            <w:r w:rsidRPr="00297D77">
              <w:rPr>
                <w:color w:val="000000"/>
                <w:sz w:val="24"/>
                <w:szCs w:val="24"/>
              </w:rPr>
              <w:t>14</w:t>
            </w:r>
          </w:p>
        </w:tc>
        <w:tc>
          <w:tcPr>
            <w:tcW w:w="603" w:type="pct"/>
            <w:tcBorders>
              <w:top w:val="nil"/>
              <w:left w:val="nil"/>
              <w:bottom w:val="nil"/>
              <w:right w:val="nil"/>
            </w:tcBorders>
            <w:shd w:val="clear" w:color="auto" w:fill="auto"/>
            <w:noWrap/>
            <w:vAlign w:val="center"/>
            <w:hideMark/>
          </w:tcPr>
          <w:p w14:paraId="2AEF6FE2" w14:textId="77777777" w:rsidR="00D34017" w:rsidRPr="00297D77" w:rsidRDefault="00BC3217" w:rsidP="00297D77">
            <w:pPr>
              <w:spacing w:line="360" w:lineRule="auto"/>
              <w:rPr>
                <w:color w:val="000000"/>
                <w:sz w:val="24"/>
                <w:szCs w:val="24"/>
              </w:rPr>
            </w:pPr>
            <w:r w:rsidRPr="00297D77">
              <w:rPr>
                <w:color w:val="000000"/>
                <w:sz w:val="24"/>
                <w:szCs w:val="24"/>
              </w:rPr>
              <w:t>.001**</w:t>
            </w:r>
          </w:p>
        </w:tc>
      </w:tr>
      <w:tr w:rsidR="00E20CEA" w:rsidRPr="00297D77" w14:paraId="0A48D28C" w14:textId="77777777" w:rsidTr="00D11943">
        <w:trPr>
          <w:trHeight w:val="324"/>
        </w:trPr>
        <w:tc>
          <w:tcPr>
            <w:tcW w:w="1885" w:type="pct"/>
            <w:tcBorders>
              <w:top w:val="nil"/>
              <w:left w:val="nil"/>
              <w:bottom w:val="single" w:sz="8" w:space="0" w:color="000000"/>
              <w:right w:val="nil"/>
            </w:tcBorders>
            <w:shd w:val="clear" w:color="auto" w:fill="auto"/>
            <w:vAlign w:val="center"/>
            <w:hideMark/>
          </w:tcPr>
          <w:p w14:paraId="315989DE" w14:textId="77777777" w:rsidR="00D34017" w:rsidRPr="00297D77" w:rsidRDefault="00BC3217" w:rsidP="00297D77">
            <w:pPr>
              <w:spacing w:line="360" w:lineRule="auto"/>
              <w:rPr>
                <w:color w:val="000000"/>
                <w:sz w:val="24"/>
                <w:szCs w:val="24"/>
              </w:rPr>
            </w:pPr>
            <w:proofErr w:type="spellStart"/>
            <w:r w:rsidRPr="00297D77">
              <w:rPr>
                <w:color w:val="000000"/>
                <w:sz w:val="24"/>
                <w:szCs w:val="24"/>
              </w:rPr>
              <w:t>Posttest</w:t>
            </w:r>
            <w:proofErr w:type="spellEnd"/>
            <w:r w:rsidRPr="00297D77">
              <w:rPr>
                <w:color w:val="000000"/>
                <w:sz w:val="24"/>
                <w:szCs w:val="24"/>
              </w:rPr>
              <w:t xml:space="preserve"> Experimental</w:t>
            </w:r>
          </w:p>
        </w:tc>
        <w:tc>
          <w:tcPr>
            <w:tcW w:w="628" w:type="pct"/>
            <w:tcBorders>
              <w:top w:val="nil"/>
              <w:left w:val="nil"/>
              <w:bottom w:val="single" w:sz="8" w:space="0" w:color="000000"/>
              <w:right w:val="nil"/>
            </w:tcBorders>
            <w:shd w:val="clear" w:color="auto" w:fill="auto"/>
            <w:noWrap/>
            <w:vAlign w:val="center"/>
            <w:hideMark/>
          </w:tcPr>
          <w:p w14:paraId="530AE4FC" w14:textId="77777777" w:rsidR="00D34017" w:rsidRPr="00297D77" w:rsidRDefault="00BC3217" w:rsidP="00297D77">
            <w:pPr>
              <w:spacing w:line="360" w:lineRule="auto"/>
              <w:rPr>
                <w:color w:val="000000"/>
                <w:sz w:val="24"/>
                <w:szCs w:val="24"/>
              </w:rPr>
            </w:pPr>
            <w:r w:rsidRPr="00297D77">
              <w:rPr>
                <w:color w:val="000000"/>
                <w:sz w:val="24"/>
                <w:szCs w:val="24"/>
              </w:rPr>
              <w:t>163.6</w:t>
            </w:r>
          </w:p>
        </w:tc>
        <w:tc>
          <w:tcPr>
            <w:tcW w:w="392" w:type="pct"/>
            <w:tcBorders>
              <w:top w:val="nil"/>
              <w:left w:val="nil"/>
              <w:bottom w:val="single" w:sz="8" w:space="0" w:color="000000"/>
              <w:right w:val="nil"/>
            </w:tcBorders>
            <w:shd w:val="clear" w:color="auto" w:fill="auto"/>
            <w:noWrap/>
            <w:vAlign w:val="center"/>
            <w:hideMark/>
          </w:tcPr>
          <w:p w14:paraId="63FF817E" w14:textId="77777777" w:rsidR="00D34017" w:rsidRPr="00297D77" w:rsidRDefault="00BC3217" w:rsidP="00297D77">
            <w:pPr>
              <w:spacing w:line="360" w:lineRule="auto"/>
              <w:rPr>
                <w:color w:val="000000"/>
                <w:sz w:val="24"/>
                <w:szCs w:val="24"/>
              </w:rPr>
            </w:pPr>
            <w:r w:rsidRPr="00297D77">
              <w:rPr>
                <w:color w:val="000000"/>
                <w:sz w:val="24"/>
                <w:szCs w:val="24"/>
              </w:rPr>
              <w:t>15</w:t>
            </w:r>
          </w:p>
        </w:tc>
        <w:tc>
          <w:tcPr>
            <w:tcW w:w="629" w:type="pct"/>
            <w:tcBorders>
              <w:top w:val="nil"/>
              <w:left w:val="nil"/>
              <w:bottom w:val="single" w:sz="8" w:space="0" w:color="000000"/>
              <w:right w:val="nil"/>
            </w:tcBorders>
            <w:shd w:val="clear" w:color="auto" w:fill="auto"/>
            <w:noWrap/>
            <w:vAlign w:val="center"/>
            <w:hideMark/>
          </w:tcPr>
          <w:p w14:paraId="5C17B8D5" w14:textId="77777777" w:rsidR="00D34017" w:rsidRPr="00297D77" w:rsidRDefault="00BC3217" w:rsidP="00297D77">
            <w:pPr>
              <w:spacing w:line="360" w:lineRule="auto"/>
              <w:rPr>
                <w:color w:val="000000"/>
                <w:sz w:val="24"/>
                <w:szCs w:val="24"/>
              </w:rPr>
            </w:pPr>
            <w:r w:rsidRPr="00297D77">
              <w:rPr>
                <w:color w:val="000000"/>
                <w:sz w:val="24"/>
                <w:szCs w:val="24"/>
              </w:rPr>
              <w:t>24.278</w:t>
            </w:r>
          </w:p>
        </w:tc>
        <w:tc>
          <w:tcPr>
            <w:tcW w:w="471" w:type="pct"/>
            <w:tcBorders>
              <w:top w:val="nil"/>
              <w:left w:val="nil"/>
              <w:bottom w:val="single" w:sz="8" w:space="0" w:color="000000"/>
              <w:right w:val="nil"/>
            </w:tcBorders>
            <w:shd w:val="clear" w:color="auto" w:fill="auto"/>
            <w:noWrap/>
            <w:vAlign w:val="center"/>
            <w:hideMark/>
          </w:tcPr>
          <w:p w14:paraId="151A991A" w14:textId="77777777" w:rsidR="00D34017" w:rsidRPr="00297D77" w:rsidRDefault="00BC3217" w:rsidP="00297D77">
            <w:pPr>
              <w:spacing w:line="360" w:lineRule="auto"/>
              <w:rPr>
                <w:color w:val="000000"/>
                <w:sz w:val="24"/>
                <w:szCs w:val="24"/>
              </w:rPr>
            </w:pPr>
            <w:r w:rsidRPr="00297D77">
              <w:rPr>
                <w:color w:val="000000"/>
                <w:sz w:val="24"/>
                <w:szCs w:val="24"/>
              </w:rPr>
              <w:t> </w:t>
            </w:r>
          </w:p>
        </w:tc>
        <w:tc>
          <w:tcPr>
            <w:tcW w:w="392" w:type="pct"/>
            <w:tcBorders>
              <w:top w:val="nil"/>
              <w:left w:val="nil"/>
              <w:bottom w:val="single" w:sz="8" w:space="0" w:color="000000"/>
              <w:right w:val="nil"/>
            </w:tcBorders>
            <w:shd w:val="clear" w:color="auto" w:fill="auto"/>
            <w:noWrap/>
            <w:vAlign w:val="center"/>
            <w:hideMark/>
          </w:tcPr>
          <w:p w14:paraId="38702621" w14:textId="77777777" w:rsidR="00D34017" w:rsidRPr="00297D77" w:rsidRDefault="00BC3217" w:rsidP="00297D77">
            <w:pPr>
              <w:spacing w:line="360" w:lineRule="auto"/>
              <w:rPr>
                <w:color w:val="000000"/>
                <w:sz w:val="24"/>
                <w:szCs w:val="24"/>
              </w:rPr>
            </w:pPr>
            <w:r w:rsidRPr="00297D77">
              <w:rPr>
                <w:color w:val="000000"/>
                <w:sz w:val="24"/>
                <w:szCs w:val="24"/>
              </w:rPr>
              <w:t> </w:t>
            </w:r>
          </w:p>
        </w:tc>
        <w:tc>
          <w:tcPr>
            <w:tcW w:w="603" w:type="pct"/>
            <w:tcBorders>
              <w:top w:val="nil"/>
              <w:left w:val="nil"/>
              <w:bottom w:val="single" w:sz="8" w:space="0" w:color="000000"/>
              <w:right w:val="nil"/>
            </w:tcBorders>
            <w:shd w:val="clear" w:color="auto" w:fill="auto"/>
            <w:noWrap/>
            <w:vAlign w:val="center"/>
            <w:hideMark/>
          </w:tcPr>
          <w:p w14:paraId="417395DB" w14:textId="77777777" w:rsidR="00D34017" w:rsidRPr="00297D77" w:rsidRDefault="00BC3217" w:rsidP="00297D77">
            <w:pPr>
              <w:spacing w:line="360" w:lineRule="auto"/>
              <w:rPr>
                <w:color w:val="000000"/>
                <w:sz w:val="24"/>
                <w:szCs w:val="24"/>
              </w:rPr>
            </w:pPr>
            <w:r w:rsidRPr="00297D77">
              <w:rPr>
                <w:color w:val="000000"/>
                <w:sz w:val="24"/>
                <w:szCs w:val="24"/>
              </w:rPr>
              <w:t> </w:t>
            </w:r>
          </w:p>
        </w:tc>
      </w:tr>
    </w:tbl>
    <w:p w14:paraId="26C1EC20" w14:textId="77777777" w:rsidR="00D11943" w:rsidRPr="00297D77" w:rsidRDefault="00BC3217" w:rsidP="00297D77">
      <w:pPr>
        <w:spacing w:line="360" w:lineRule="auto"/>
        <w:rPr>
          <w:sz w:val="24"/>
          <w:szCs w:val="24"/>
          <w:lang w:val="en-US"/>
        </w:rPr>
      </w:pPr>
      <w:bookmarkStart w:id="10" w:name="_Hlk158121033"/>
      <w:bookmarkEnd w:id="9"/>
      <w:r w:rsidRPr="00297D77">
        <w:rPr>
          <w:b/>
          <w:bCs/>
          <w:sz w:val="24"/>
          <w:szCs w:val="24"/>
        </w:rPr>
        <w:t xml:space="preserve">Note. </w:t>
      </w:r>
      <w:r w:rsidR="00D34017" w:rsidRPr="00297D77">
        <w:rPr>
          <w:sz w:val="24"/>
          <w:szCs w:val="24"/>
        </w:rPr>
        <w:t xml:space="preserve">M = mean; n = number; </w:t>
      </w:r>
      <w:proofErr w:type="spellStart"/>
      <w:r w:rsidR="00D34017" w:rsidRPr="00297D77">
        <w:rPr>
          <w:sz w:val="24"/>
          <w:szCs w:val="24"/>
        </w:rPr>
        <w:t>sd</w:t>
      </w:r>
      <w:proofErr w:type="spellEnd"/>
      <w:r w:rsidR="00D34017" w:rsidRPr="00297D77">
        <w:rPr>
          <w:sz w:val="24"/>
          <w:szCs w:val="24"/>
        </w:rPr>
        <w:t xml:space="preserve"> = standard deviation; * = p&lt;0.05; ** = p&lt;0.005</w:t>
      </w:r>
      <w:r w:rsidR="00D34017" w:rsidRPr="00297D77">
        <w:rPr>
          <w:sz w:val="24"/>
          <w:szCs w:val="24"/>
        </w:rPr>
        <w:tab/>
      </w:r>
    </w:p>
    <w:p w14:paraId="788C41FE" w14:textId="77777777" w:rsidR="00D11943" w:rsidRPr="00297D77" w:rsidRDefault="00BC3217" w:rsidP="00297D77">
      <w:pPr>
        <w:spacing w:line="360" w:lineRule="auto"/>
        <w:ind w:firstLine="708"/>
        <w:jc w:val="left"/>
        <w:rPr>
          <w:sz w:val="24"/>
          <w:szCs w:val="24"/>
          <w:lang w:val="en-US"/>
        </w:rPr>
      </w:pPr>
      <w:r w:rsidRPr="00297D77">
        <w:rPr>
          <w:sz w:val="24"/>
          <w:szCs w:val="24"/>
        </w:rPr>
        <w:t xml:space="preserve">Similarly, Figure 1 presents a box plot of the pretest and </w:t>
      </w:r>
      <w:proofErr w:type="spellStart"/>
      <w:r w:rsidRPr="00297D77">
        <w:rPr>
          <w:sz w:val="24"/>
          <w:szCs w:val="24"/>
        </w:rPr>
        <w:t>posttest</w:t>
      </w:r>
      <w:proofErr w:type="spellEnd"/>
      <w:r w:rsidRPr="00297D77">
        <w:rPr>
          <w:sz w:val="24"/>
          <w:szCs w:val="24"/>
        </w:rPr>
        <w:t xml:space="preserve"> scores of the control group and experimental group. The control group showed similar levels of PW both in the pretest and </w:t>
      </w:r>
      <w:proofErr w:type="spellStart"/>
      <w:r w:rsidRPr="00297D77">
        <w:rPr>
          <w:sz w:val="24"/>
          <w:szCs w:val="24"/>
        </w:rPr>
        <w:t>posttest</w:t>
      </w:r>
      <w:proofErr w:type="spellEnd"/>
      <w:r w:rsidRPr="00297D77">
        <w:rPr>
          <w:sz w:val="24"/>
          <w:szCs w:val="24"/>
        </w:rPr>
        <w:t xml:space="preserve">. On the other hand, the experimental group exhibited a significant increase in their PW levels in the </w:t>
      </w:r>
      <w:proofErr w:type="spellStart"/>
      <w:r w:rsidRPr="00297D77">
        <w:rPr>
          <w:sz w:val="24"/>
          <w:szCs w:val="24"/>
        </w:rPr>
        <w:t>posttest</w:t>
      </w:r>
      <w:proofErr w:type="spellEnd"/>
      <w:r w:rsidRPr="00297D77">
        <w:rPr>
          <w:sz w:val="24"/>
          <w:szCs w:val="24"/>
        </w:rPr>
        <w:t xml:space="preserve"> compared to the values obtained prior to receiving the intervention program.</w:t>
      </w:r>
    </w:p>
    <w:p w14:paraId="37CC9A38" w14:textId="77777777" w:rsidR="00D11943" w:rsidRPr="00297D77" w:rsidRDefault="00BC3217" w:rsidP="00297D77">
      <w:pPr>
        <w:spacing w:line="360" w:lineRule="auto"/>
        <w:rPr>
          <w:b/>
          <w:bCs/>
          <w:sz w:val="24"/>
          <w:szCs w:val="24"/>
          <w:lang w:val="en-US"/>
        </w:rPr>
      </w:pPr>
      <w:r w:rsidRPr="00297D77">
        <w:rPr>
          <w:b/>
          <w:bCs/>
          <w:sz w:val="24"/>
          <w:szCs w:val="24"/>
        </w:rPr>
        <w:t>Figure 1</w:t>
      </w:r>
    </w:p>
    <w:p w14:paraId="3F453461" w14:textId="77777777" w:rsidR="00D11943" w:rsidRPr="00297D77" w:rsidRDefault="00BC3217" w:rsidP="00297D77">
      <w:pPr>
        <w:spacing w:line="360" w:lineRule="auto"/>
        <w:rPr>
          <w:sz w:val="24"/>
          <w:szCs w:val="24"/>
          <w:lang w:val="en-US"/>
        </w:rPr>
      </w:pPr>
      <w:r w:rsidRPr="00297D77">
        <w:rPr>
          <w:sz w:val="24"/>
          <w:szCs w:val="24"/>
        </w:rPr>
        <w:t xml:space="preserve">Box plot of the pretest and </w:t>
      </w:r>
      <w:proofErr w:type="spellStart"/>
      <w:r w:rsidRPr="00297D77">
        <w:rPr>
          <w:sz w:val="24"/>
          <w:szCs w:val="24"/>
        </w:rPr>
        <w:t>posttest</w:t>
      </w:r>
      <w:proofErr w:type="spellEnd"/>
      <w:r w:rsidRPr="00297D77">
        <w:rPr>
          <w:sz w:val="24"/>
          <w:szCs w:val="24"/>
        </w:rPr>
        <w:t xml:space="preserve"> scores of the control group and experimental group</w:t>
      </w:r>
    </w:p>
    <w:p w14:paraId="5CF74581" w14:textId="77777777" w:rsidR="00D34017" w:rsidRPr="00297D77" w:rsidRDefault="00BC3217" w:rsidP="00297D77">
      <w:pPr>
        <w:spacing w:line="360" w:lineRule="auto"/>
        <w:jc w:val="center"/>
        <w:rPr>
          <w:sz w:val="24"/>
          <w:szCs w:val="24"/>
        </w:rPr>
      </w:pPr>
      <w:r w:rsidRPr="00297D77">
        <w:rPr>
          <w:b/>
          <w:bCs/>
          <w:i/>
          <w:iCs/>
          <w:noProof/>
          <w:sz w:val="24"/>
          <w:szCs w:val="24"/>
        </w:rPr>
        <w:drawing>
          <wp:inline distT="0" distB="0" distL="0" distR="0" wp14:anchorId="117E9BD9" wp14:editId="412D97F1">
            <wp:extent cx="5432830" cy="2261797"/>
            <wp:effectExtent l="0" t="0" r="0" b="5715"/>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1"/>
                    <pic:cNvPicPr>
                      <a:picLocks noChangeAspect="1" noChangeArrowheads="1"/>
                    </pic:cNvPicPr>
                  </pic:nvPicPr>
                  <pic:blipFill>
                    <a:blip r:embed="rId8" cstate="print">
                      <a:biLevel thresh="50000"/>
                      <a:extLst>
                        <a:ext uri="{28A0092B-C50C-407E-A947-70E740481C1C}">
                          <a14:useLocalDpi xmlns:a14="http://schemas.microsoft.com/office/drawing/2010/main" val="0"/>
                        </a:ext>
                      </a:extLst>
                    </a:blip>
                    <a:srcRect t="9757"/>
                    <a:stretch>
                      <a:fillRect/>
                    </a:stretch>
                  </pic:blipFill>
                  <pic:spPr bwMode="auto">
                    <a:xfrm>
                      <a:off x="0" y="0"/>
                      <a:ext cx="5551289" cy="2311114"/>
                    </a:xfrm>
                    <a:prstGeom prst="rect">
                      <a:avLst/>
                    </a:prstGeom>
                    <a:noFill/>
                    <a:ln>
                      <a:noFill/>
                    </a:ln>
                    <a:extLst>
                      <a:ext uri="{53640926-AAD7-44D8-BBD7-CCE9431645EC}">
                        <a14:shadowObscured xmlns:a14="http://schemas.microsoft.com/office/drawing/2010/main"/>
                      </a:ext>
                    </a:extLst>
                  </pic:spPr>
                </pic:pic>
              </a:graphicData>
            </a:graphic>
          </wp:inline>
        </w:drawing>
      </w:r>
    </w:p>
    <w:p w14:paraId="15323EA8" w14:textId="77777777" w:rsidR="00D34017" w:rsidRPr="00297D77" w:rsidRDefault="00BC3217" w:rsidP="00297D77">
      <w:pPr>
        <w:spacing w:line="360" w:lineRule="auto"/>
        <w:jc w:val="center"/>
        <w:rPr>
          <w:sz w:val="24"/>
          <w:szCs w:val="24"/>
        </w:rPr>
      </w:pPr>
      <w:r w:rsidRPr="00297D77">
        <w:rPr>
          <w:b/>
          <w:bCs/>
          <w:i/>
          <w:iCs/>
          <w:noProof/>
          <w:sz w:val="24"/>
          <w:szCs w:val="24"/>
        </w:rPr>
        <w:lastRenderedPageBreak/>
        <w:drawing>
          <wp:inline distT="0" distB="0" distL="0" distR="0" wp14:anchorId="0D2AD6AA" wp14:editId="3F79F0A1">
            <wp:extent cx="5292725" cy="2197086"/>
            <wp:effectExtent l="0" t="0" r="3175" b="0"/>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4"/>
                    <pic:cNvPicPr>
                      <a:picLocks noChangeAspect="1" noChangeArrowheads="1"/>
                    </pic:cNvPicPr>
                  </pic:nvPicPr>
                  <pic:blipFill>
                    <a:blip r:embed="rId9" cstate="print">
                      <a:biLevel thresh="50000"/>
                      <a:extLst>
                        <a:ext uri="{28A0092B-C50C-407E-A947-70E740481C1C}">
                          <a14:useLocalDpi xmlns:a14="http://schemas.microsoft.com/office/drawing/2010/main" val="0"/>
                        </a:ext>
                      </a:extLst>
                    </a:blip>
                    <a:srcRect t="13409"/>
                    <a:stretch>
                      <a:fillRect/>
                    </a:stretch>
                  </pic:blipFill>
                  <pic:spPr bwMode="auto">
                    <a:xfrm>
                      <a:off x="0" y="0"/>
                      <a:ext cx="5323646" cy="2209922"/>
                    </a:xfrm>
                    <a:prstGeom prst="rect">
                      <a:avLst/>
                    </a:prstGeom>
                    <a:noFill/>
                    <a:ln>
                      <a:noFill/>
                    </a:ln>
                    <a:extLst>
                      <a:ext uri="{53640926-AAD7-44D8-BBD7-CCE9431645EC}">
                        <a14:shadowObscured xmlns:a14="http://schemas.microsoft.com/office/drawing/2010/main"/>
                      </a:ext>
                    </a:extLst>
                  </pic:spPr>
                </pic:pic>
              </a:graphicData>
            </a:graphic>
          </wp:inline>
        </w:drawing>
      </w:r>
    </w:p>
    <w:p w14:paraId="439A6FE0" w14:textId="7B1D3081" w:rsidR="00EE5809" w:rsidRPr="00297D77" w:rsidRDefault="00BC3217" w:rsidP="00297D77">
      <w:pPr>
        <w:spacing w:line="360" w:lineRule="auto"/>
        <w:ind w:firstLine="708"/>
        <w:jc w:val="left"/>
        <w:rPr>
          <w:sz w:val="24"/>
          <w:szCs w:val="24"/>
          <w:lang w:val="en-US"/>
        </w:rPr>
      </w:pPr>
      <w:r w:rsidRPr="00297D77">
        <w:rPr>
          <w:sz w:val="24"/>
          <w:szCs w:val="24"/>
        </w:rPr>
        <w:t xml:space="preserve">Figure 2 shows the difference in </w:t>
      </w:r>
      <w:r w:rsidR="00924D0F" w:rsidRPr="00924D0F">
        <w:rPr>
          <w:color w:val="FF0000"/>
          <w:sz w:val="24"/>
          <w:szCs w:val="24"/>
        </w:rPr>
        <w:t>PW</w:t>
      </w:r>
      <w:r w:rsidRPr="00924D0F">
        <w:rPr>
          <w:color w:val="FF0000"/>
          <w:sz w:val="24"/>
          <w:szCs w:val="24"/>
        </w:rPr>
        <w:t xml:space="preserve"> </w:t>
      </w:r>
      <w:r w:rsidRPr="00297D77">
        <w:rPr>
          <w:sz w:val="24"/>
          <w:szCs w:val="24"/>
        </w:rPr>
        <w:t xml:space="preserve">between the control group and the experimental group once the experimental group received the </w:t>
      </w:r>
      <w:r w:rsidR="00A31F4B" w:rsidRPr="00A31F4B">
        <w:rPr>
          <w:color w:val="FF0000"/>
          <w:sz w:val="24"/>
          <w:szCs w:val="24"/>
        </w:rPr>
        <w:t>contextual therapy</w:t>
      </w:r>
      <w:r w:rsidRPr="00297D77">
        <w:rPr>
          <w:sz w:val="24"/>
          <w:szCs w:val="24"/>
        </w:rPr>
        <w:t>-based intervention program.</w:t>
      </w:r>
    </w:p>
    <w:p w14:paraId="16C2AABC" w14:textId="77777777" w:rsidR="00EE5809" w:rsidRPr="00297D77" w:rsidRDefault="00BC3217" w:rsidP="00297D77">
      <w:pPr>
        <w:spacing w:line="360" w:lineRule="auto"/>
        <w:rPr>
          <w:i/>
          <w:iCs/>
          <w:sz w:val="24"/>
          <w:szCs w:val="24"/>
          <w:lang w:val="en-US"/>
        </w:rPr>
      </w:pPr>
      <w:r w:rsidRPr="00297D77">
        <w:rPr>
          <w:b/>
          <w:bCs/>
          <w:sz w:val="24"/>
          <w:szCs w:val="24"/>
        </w:rPr>
        <w:t>Figure 2.</w:t>
      </w:r>
      <w:r w:rsidRPr="00297D77">
        <w:rPr>
          <w:sz w:val="24"/>
          <w:szCs w:val="24"/>
        </w:rPr>
        <w:t xml:space="preserve"> </w:t>
      </w:r>
      <w:r w:rsidRPr="00297D77">
        <w:rPr>
          <w:i/>
          <w:iCs/>
          <w:sz w:val="24"/>
          <w:szCs w:val="24"/>
        </w:rPr>
        <w:t xml:space="preserve">Box plot of the difference in </w:t>
      </w:r>
      <w:proofErr w:type="spellStart"/>
      <w:r w:rsidRPr="00297D77">
        <w:rPr>
          <w:i/>
          <w:iCs/>
          <w:sz w:val="24"/>
          <w:szCs w:val="24"/>
        </w:rPr>
        <w:t>posttest</w:t>
      </w:r>
      <w:proofErr w:type="spellEnd"/>
      <w:r w:rsidRPr="00297D77">
        <w:rPr>
          <w:i/>
          <w:iCs/>
          <w:sz w:val="24"/>
          <w:szCs w:val="24"/>
        </w:rPr>
        <w:t xml:space="preserve"> scores between the control and experimental groups</w:t>
      </w:r>
    </w:p>
    <w:p w14:paraId="451CB747" w14:textId="77777777" w:rsidR="00A517BB" w:rsidRPr="00297D77" w:rsidRDefault="00BC3217" w:rsidP="00297D77">
      <w:pPr>
        <w:spacing w:line="360" w:lineRule="auto"/>
        <w:ind w:firstLine="708"/>
        <w:rPr>
          <w:sz w:val="24"/>
          <w:szCs w:val="24"/>
        </w:rPr>
      </w:pPr>
      <w:r w:rsidRPr="00297D77">
        <w:rPr>
          <w:noProof/>
          <w:sz w:val="24"/>
          <w:szCs w:val="24"/>
        </w:rPr>
        <w:drawing>
          <wp:inline distT="0" distB="0" distL="0" distR="0" wp14:anchorId="44112528" wp14:editId="60CB531C">
            <wp:extent cx="5135774" cy="2232764"/>
            <wp:effectExtent l="0" t="0" r="8255" b="0"/>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5"/>
                    <pic:cNvPicPr>
                      <a:picLocks noChangeAspect="1" noChangeArrowheads="1"/>
                    </pic:cNvPicPr>
                  </pic:nvPicPr>
                  <pic:blipFill>
                    <a:blip r:embed="rId10" cstate="print">
                      <a:biLevel thresh="50000"/>
                      <a:extLst>
                        <a:ext uri="{28A0092B-C50C-407E-A947-70E740481C1C}">
                          <a14:useLocalDpi xmlns:a14="http://schemas.microsoft.com/office/drawing/2010/main" val="0"/>
                        </a:ext>
                      </a:extLst>
                    </a:blip>
                    <a:srcRect t="11765"/>
                    <a:stretch>
                      <a:fillRect/>
                    </a:stretch>
                  </pic:blipFill>
                  <pic:spPr bwMode="auto">
                    <a:xfrm>
                      <a:off x="0" y="0"/>
                      <a:ext cx="5148449" cy="2238274"/>
                    </a:xfrm>
                    <a:prstGeom prst="rect">
                      <a:avLst/>
                    </a:prstGeom>
                    <a:noFill/>
                    <a:ln>
                      <a:noFill/>
                    </a:ln>
                    <a:extLst>
                      <a:ext uri="{53640926-AAD7-44D8-BBD7-CCE9431645EC}">
                        <a14:shadowObscured xmlns:a14="http://schemas.microsoft.com/office/drawing/2010/main"/>
                      </a:ext>
                    </a:extLst>
                  </pic:spPr>
                </pic:pic>
              </a:graphicData>
            </a:graphic>
          </wp:inline>
        </w:drawing>
      </w:r>
    </w:p>
    <w:p w14:paraId="79AFF57B" w14:textId="171D755D" w:rsidR="002A6F7F" w:rsidRPr="00297D77" w:rsidRDefault="00297D77" w:rsidP="00297D77">
      <w:pPr>
        <w:spacing w:line="360" w:lineRule="auto"/>
        <w:jc w:val="center"/>
        <w:rPr>
          <w:b/>
          <w:bCs/>
          <w:sz w:val="24"/>
          <w:szCs w:val="24"/>
        </w:rPr>
      </w:pPr>
      <w:r w:rsidRPr="00297D77">
        <w:rPr>
          <w:b/>
          <w:bCs/>
          <w:sz w:val="24"/>
          <w:szCs w:val="24"/>
        </w:rPr>
        <w:t>Discussion</w:t>
      </w:r>
    </w:p>
    <w:p w14:paraId="6E6975F4" w14:textId="35C8C459" w:rsidR="00DC7405" w:rsidRPr="00297D77" w:rsidRDefault="00110A9B" w:rsidP="00297D77">
      <w:pPr>
        <w:spacing w:line="360" w:lineRule="auto"/>
        <w:jc w:val="left"/>
        <w:rPr>
          <w:bCs/>
          <w:color w:val="000000"/>
          <w:sz w:val="24"/>
          <w:szCs w:val="24"/>
          <w:lang w:val="en-US"/>
        </w:rPr>
      </w:pPr>
      <w:bookmarkStart w:id="11" w:name="_Hlk158121052"/>
      <w:bookmarkEnd w:id="10"/>
      <w:r w:rsidRPr="00110A9B">
        <w:rPr>
          <w:bCs/>
          <w:color w:val="C00000"/>
          <w:sz w:val="24"/>
          <w:szCs w:val="24"/>
        </w:rPr>
        <w:t xml:space="preserve">This study aimed </w:t>
      </w:r>
      <w:r w:rsidR="00BC3217" w:rsidRPr="00110A9B">
        <w:rPr>
          <w:bCs/>
          <w:color w:val="C00000"/>
          <w:sz w:val="24"/>
          <w:szCs w:val="24"/>
        </w:rPr>
        <w:t xml:space="preserve">to </w:t>
      </w:r>
      <w:r w:rsidR="00BC3217" w:rsidRPr="00297D77">
        <w:rPr>
          <w:bCs/>
          <w:color w:val="000000"/>
          <w:sz w:val="24"/>
          <w:szCs w:val="24"/>
        </w:rPr>
        <w:t xml:space="preserve">identify the levels of psychological well-being (PW) among nursing professionals and relate the PW levels of the experimental group postintervention to sociodemographic variables and </w:t>
      </w:r>
      <w:proofErr w:type="spellStart"/>
      <w:r>
        <w:rPr>
          <w:bCs/>
          <w:color w:val="000000"/>
          <w:sz w:val="24"/>
          <w:szCs w:val="24"/>
        </w:rPr>
        <w:t>and</w:t>
      </w:r>
      <w:proofErr w:type="spellEnd"/>
      <w:r>
        <w:rPr>
          <w:bCs/>
          <w:color w:val="000000"/>
          <w:sz w:val="24"/>
          <w:szCs w:val="24"/>
        </w:rPr>
        <w:t xml:space="preserve"> </w:t>
      </w:r>
      <w:r w:rsidR="00BC3217" w:rsidRPr="00297D77">
        <w:rPr>
          <w:bCs/>
          <w:color w:val="000000"/>
          <w:sz w:val="24"/>
          <w:szCs w:val="24"/>
        </w:rPr>
        <w:t xml:space="preserve">evaluate the efficacy of a </w:t>
      </w:r>
      <w:r w:rsidR="00A31F4B" w:rsidRPr="00A31F4B">
        <w:rPr>
          <w:bCs/>
          <w:color w:val="FF0000"/>
          <w:sz w:val="24"/>
          <w:szCs w:val="24"/>
        </w:rPr>
        <w:t xml:space="preserve">contextual </w:t>
      </w:r>
      <w:r w:rsidR="00BC3217" w:rsidRPr="00297D77">
        <w:rPr>
          <w:bCs/>
          <w:color w:val="000000"/>
          <w:sz w:val="24"/>
          <w:szCs w:val="24"/>
        </w:rPr>
        <w:t xml:space="preserve">therapy-based intervention programme to increase PW among nursing professionals (NPs) in the North Cuenca District of the Ministry of Public Health. The results of this study highlight a significant finding: the implementation of the Dialectical Behavioural Skills Training (DBT) programme led to a notable increase in PW in the experimental group, in contrast to the control group, whose levels remained relatively stable. This discovery underscores the importance of considering specific interventions, such as the DBT programme, to address the emotional challenges experienced by NPs in their work environment. Furthermore, a significant relationship was identified between </w:t>
      </w:r>
      <w:r w:rsidR="00BC3217" w:rsidRPr="00297D77">
        <w:rPr>
          <w:bCs/>
          <w:color w:val="000000"/>
          <w:sz w:val="24"/>
          <w:szCs w:val="24"/>
        </w:rPr>
        <w:lastRenderedPageBreak/>
        <w:t xml:space="preserve">the type of contract and the PW level once the intervention program concluded in the experimental group, suggesting that the type of contract may influence how NPs in Cuenca health </w:t>
      </w:r>
      <w:proofErr w:type="spellStart"/>
      <w:r w:rsidR="00BC3217" w:rsidRPr="00297D77">
        <w:rPr>
          <w:bCs/>
          <w:color w:val="000000"/>
          <w:sz w:val="24"/>
          <w:szCs w:val="24"/>
        </w:rPr>
        <w:t>centers</w:t>
      </w:r>
      <w:proofErr w:type="spellEnd"/>
      <w:r w:rsidR="00BC3217" w:rsidRPr="00297D77">
        <w:rPr>
          <w:bCs/>
          <w:color w:val="000000"/>
          <w:sz w:val="24"/>
          <w:szCs w:val="24"/>
        </w:rPr>
        <w:t xml:space="preserve"> benefit from the intervention program.</w:t>
      </w:r>
    </w:p>
    <w:p w14:paraId="5EDEFEA9" w14:textId="7019E9BD" w:rsidR="00DC7405" w:rsidRPr="00297D77" w:rsidRDefault="00BC3217" w:rsidP="00297D77">
      <w:pPr>
        <w:spacing w:line="360" w:lineRule="auto"/>
        <w:ind w:firstLine="708"/>
        <w:jc w:val="left"/>
        <w:rPr>
          <w:bCs/>
          <w:color w:val="000000"/>
          <w:sz w:val="24"/>
          <w:szCs w:val="24"/>
          <w:lang w:val="en-US"/>
        </w:rPr>
      </w:pPr>
      <w:r w:rsidRPr="00297D77">
        <w:rPr>
          <w:bCs/>
          <w:color w:val="000000"/>
          <w:sz w:val="24"/>
          <w:szCs w:val="24"/>
        </w:rPr>
        <w:t xml:space="preserve">This study contributes to the growing body of literature investigating the effectiveness of </w:t>
      </w:r>
      <w:r w:rsidR="00A31F4B" w:rsidRPr="00A31F4B">
        <w:rPr>
          <w:bCs/>
          <w:color w:val="FF0000"/>
          <w:sz w:val="24"/>
          <w:szCs w:val="24"/>
        </w:rPr>
        <w:t xml:space="preserve">contextual </w:t>
      </w:r>
      <w:r w:rsidRPr="00297D77">
        <w:rPr>
          <w:bCs/>
          <w:color w:val="000000"/>
          <w:sz w:val="24"/>
          <w:szCs w:val="24"/>
        </w:rPr>
        <w:t xml:space="preserve">therapy intervention techniques in diverse populations. </w:t>
      </w:r>
      <w:r w:rsidR="00110A9B">
        <w:rPr>
          <w:bCs/>
          <w:color w:val="000000"/>
          <w:sz w:val="24"/>
          <w:szCs w:val="24"/>
        </w:rPr>
        <w:t>L</w:t>
      </w:r>
      <w:r w:rsidR="00110A9B" w:rsidRPr="00110A9B">
        <w:rPr>
          <w:bCs/>
          <w:color w:val="000000"/>
          <w:sz w:val="24"/>
          <w:szCs w:val="24"/>
        </w:rPr>
        <w:t xml:space="preserve">inehan (2015) noted that DBT skills can enhance coping, stress management, and interpersonal relationships, even in those without clinical mental disorders. </w:t>
      </w:r>
      <w:r w:rsidRPr="00297D77">
        <w:rPr>
          <w:bCs/>
          <w:color w:val="000000"/>
          <w:sz w:val="24"/>
          <w:szCs w:val="24"/>
        </w:rPr>
        <w:t xml:space="preserve"> </w:t>
      </w:r>
      <w:r w:rsidR="00EF4BF4" w:rsidRPr="00297D77">
        <w:rPr>
          <w:bCs/>
          <w:color w:val="000000"/>
          <w:sz w:val="24"/>
          <w:szCs w:val="24"/>
          <w:lang w:val="en-US"/>
        </w:rPr>
        <w:fldChar w:fldCharType="begin" w:fldLock="1"/>
      </w:r>
      <w:r w:rsidR="00EF4BF4" w:rsidRPr="00297D77">
        <w:rPr>
          <w:bCs/>
          <w:color w:val="000000"/>
          <w:sz w:val="24"/>
          <w:szCs w:val="24"/>
        </w:rPr>
        <w:instrText>ADDIN CSL_CITATION {"citationItems":[{"id":"ITEM-1","itemData":{"DOI":"10.1002/cpp.2879","ISSN":"1063-3995","abstract":"Emotion dysregulation (ED) is a key target for change among empirically supported treatments for emotional disorders, including dialectical behaviour therapy skills training (DBT‐ST), yet how treatments improve ED is poorly understood. Using data from a randomised trial of DBT‐ST versus supportive group therapy for transdiagnostic ED, we tested whether three mechanistic variables—behavioural skills use, mindfulness, and perceived control—explain variability in ED within people over time. We additionally explored the mediating roles of these variables between conditions. Adults with transdiagnostic ED ( N = 44) participated in weekly groups for 4 months, with assessments at pre‐, mid‐ and post‐treatment and at 2‐month follow‐up. As hypothesised, multilevel models disaggregating within‐ and between‐person effects indicated that skills use, mindfulness, and perceived control each had significant total and unique within‐person associations with ED at concurrent time points, net the effect of time. Unexpectedly, these within‐person relations were not significant for mechanistic variables predicting ED 2 months later. Further, unique between‐person variability in skills use, mindfulness, and perceived control did not significantly mediate the relationship between condition and ED improvements. The present study is an important step in clarifying ED mechanisms of change, both within and between persons.","author":[{"dropping-particle":"","family":"Wyatt","given":"Kristin P.","non-dropping-particle":"","parse-names":false,"suffix":""},{"dropping-particle":"","family":"Eberle","given":"Jeremy W.","non-dropping-particle":"","parse-names":false,"suffix":""},{"dropping-particle":"","family":"Ruork","given":"Allison K.","non-dropping-particle":"","parse-names":false,"suffix":""},{"dropping-particle":"","family":"Neacsiu","given":"Andrada D.","non-dropping-particle":"","parse-names":false,"suffix":""}],"container-title":"Clinical Psychology &amp; Psychotherapy","id":"ITEM-1","issue":"6","issued":{"date-parts":[["2023","11","5"]]},"page":"1380-1392","title":"Mechanisms of change in treatments for transdiagnostic emotion dysregulation: The roles of skills use, perceived control and mindfulness","type":"article-journal","volume":"30"},"uris":["http://www.mendeley.com/documents/?uuid=59a2edca-911e-4c7b-b2a5-84b7985ff067"]}],"mendeley":{"formattedCitation":"(Wyatt et al., 2023)","manualFormatting":"Wyatt et al. (2023)","plainTextFormattedCitation":"(Wyatt et al., 2023)","previouslyFormattedCitation":"(Wyatt et al., 2023)"},"properties":{"noteIndex":0},"schema":"https://github.com/citation-style-language/schema/raw/master/csl-citation.json"}</w:instrText>
      </w:r>
      <w:r w:rsidR="00EF4BF4" w:rsidRPr="00297D77">
        <w:rPr>
          <w:bCs/>
          <w:color w:val="000000"/>
          <w:sz w:val="24"/>
          <w:szCs w:val="24"/>
          <w:lang w:val="en-US"/>
        </w:rPr>
        <w:fldChar w:fldCharType="separate"/>
      </w:r>
      <w:r w:rsidR="00EF4BF4" w:rsidRPr="00297D77">
        <w:rPr>
          <w:bCs/>
          <w:noProof/>
          <w:color w:val="000000"/>
          <w:sz w:val="24"/>
          <w:szCs w:val="24"/>
        </w:rPr>
        <w:t>Wyatt et al. (2023)</w:t>
      </w:r>
      <w:r w:rsidR="00EF4BF4" w:rsidRPr="00297D77">
        <w:rPr>
          <w:bCs/>
          <w:color w:val="000000"/>
          <w:sz w:val="24"/>
          <w:szCs w:val="24"/>
          <w:lang w:val="en-US"/>
        </w:rPr>
        <w:fldChar w:fldCharType="end"/>
      </w:r>
      <w:r w:rsidRPr="00297D77">
        <w:rPr>
          <w:bCs/>
          <w:color w:val="000000"/>
          <w:sz w:val="24"/>
          <w:szCs w:val="24"/>
        </w:rPr>
        <w:t xml:space="preserve"> assert that emotional regulation is a fundamental target in contemporary evidence-based treatments, as learning to regulate emotions helps individuals deal with stress, improve interpersonal relationships, and make informed decisions, ultimately contributing to emotional well-being and quality of life.</w:t>
      </w:r>
      <w:r w:rsidR="00110A9B" w:rsidRPr="00110A9B">
        <w:t xml:space="preserve"> </w:t>
      </w:r>
      <w:r w:rsidR="00110A9B" w:rsidRPr="00110A9B">
        <w:rPr>
          <w:bCs/>
          <w:color w:val="C00000"/>
          <w:sz w:val="24"/>
          <w:szCs w:val="24"/>
        </w:rPr>
        <w:t>Additionally</w:t>
      </w:r>
      <w:r w:rsidRPr="00297D77">
        <w:rPr>
          <w:bCs/>
          <w:color w:val="000000"/>
          <w:sz w:val="24"/>
          <w:szCs w:val="24"/>
        </w:rPr>
        <w:t xml:space="preserve">, </w:t>
      </w:r>
      <w:r w:rsidR="00EF4BF4" w:rsidRPr="00297D77">
        <w:rPr>
          <w:bCs/>
          <w:color w:val="000000"/>
          <w:sz w:val="24"/>
          <w:szCs w:val="24"/>
          <w:lang w:val="en-US"/>
        </w:rPr>
        <w:fldChar w:fldCharType="begin" w:fldLock="1"/>
      </w:r>
      <w:r w:rsidR="00EF4BF4" w:rsidRPr="00297D77">
        <w:rPr>
          <w:bCs/>
          <w:color w:val="000000"/>
          <w:sz w:val="24"/>
          <w:szCs w:val="24"/>
        </w:rPr>
        <w:instrText>ADDIN CSL_CITATION {"citationItems":[{"id":"ITEM-1","itemData":{"DOI":"10.1136/bmjopen-2021-058565","ISSN":"2044-6055","author":[{"dropping-particle":"","family":"Tan","given":"Michelle Yan Ling","non-dropping-particle":"","parse-names":false,"suffix":""},{"dropping-particle":"","family":"McConnell","given":"Bridget","non-dropping-particle":"","parse-names":false,"suffix":""},{"dropping-particle":"","family":"Barlas","given":"Joanna","non-dropping-particle":"","parse-names":false,"suffix":""}],"container-title":"BMJ Open","id":"ITEM-1","issue":"9","issued":{"date-parts":[["2022","9","26"]]},"page":"e058565","title":"Application of Dialectical Behaviour Therapy in treating common psychiatric disorders: Study protocol for a scoping review","type":"article-journal","volume":"12"},"uris":["http://www.mendeley.com/documents/?uuid=51f16dc3-c553-4ed8-9618-b5d58a6a5cc2"]}],"mendeley":{"formattedCitation":"(Tan et al., 2022)","manualFormatting":"Tan et al. (2022)","plainTextFormattedCitation":"(Tan et al., 2022)","previouslyFormattedCitation":"(Tan et al., 2022)"},"properties":{"noteIndex":0},"schema":"https://github.com/citation-style-language/schema/raw/master/csl-citation.json"}</w:instrText>
      </w:r>
      <w:r w:rsidR="00EF4BF4" w:rsidRPr="00297D77">
        <w:rPr>
          <w:bCs/>
          <w:color w:val="000000"/>
          <w:sz w:val="24"/>
          <w:szCs w:val="24"/>
          <w:lang w:val="en-US"/>
        </w:rPr>
        <w:fldChar w:fldCharType="separate"/>
      </w:r>
      <w:r w:rsidR="00EF4BF4" w:rsidRPr="00297D77">
        <w:rPr>
          <w:bCs/>
          <w:noProof/>
          <w:color w:val="000000"/>
          <w:sz w:val="24"/>
          <w:szCs w:val="24"/>
        </w:rPr>
        <w:t>Tan et al. (2022)</w:t>
      </w:r>
      <w:r w:rsidR="00EF4BF4" w:rsidRPr="00297D77">
        <w:rPr>
          <w:bCs/>
          <w:color w:val="000000"/>
          <w:sz w:val="24"/>
          <w:szCs w:val="24"/>
          <w:lang w:val="en-US"/>
        </w:rPr>
        <w:fldChar w:fldCharType="end"/>
      </w:r>
      <w:r w:rsidRPr="00297D77">
        <w:rPr>
          <w:bCs/>
          <w:color w:val="000000"/>
          <w:sz w:val="24"/>
          <w:szCs w:val="24"/>
        </w:rPr>
        <w:t xml:space="preserve"> highlight that group DBT sessions allow members to learn from each other and practice skills in interpersonal situations, facilitating the immediate application of what is learned.</w:t>
      </w:r>
    </w:p>
    <w:p w14:paraId="2BDC7E53" w14:textId="1B5EC4FA" w:rsidR="00DC7405" w:rsidRDefault="00BC3217" w:rsidP="00297D77">
      <w:pPr>
        <w:spacing w:line="360" w:lineRule="auto"/>
        <w:ind w:firstLine="708"/>
        <w:jc w:val="left"/>
        <w:rPr>
          <w:bCs/>
          <w:color w:val="000000"/>
          <w:sz w:val="24"/>
          <w:szCs w:val="24"/>
        </w:rPr>
      </w:pPr>
      <w:r w:rsidRPr="00297D77">
        <w:rPr>
          <w:bCs/>
          <w:color w:val="000000"/>
          <w:sz w:val="24"/>
          <w:szCs w:val="24"/>
        </w:rPr>
        <w:t xml:space="preserve">Although previous studies have investigated the effectiveness of this approach in improving the PW of NPs </w:t>
      </w:r>
      <w:r w:rsidR="00EF4BF4" w:rsidRPr="00297D77">
        <w:rPr>
          <w:bCs/>
          <w:color w:val="000000"/>
          <w:sz w:val="24"/>
          <w:szCs w:val="24"/>
          <w:lang w:val="en-US"/>
        </w:rPr>
        <w:fldChar w:fldCharType="begin" w:fldLock="1"/>
      </w:r>
      <w:r w:rsidR="00885C9C" w:rsidRPr="00297D77">
        <w:rPr>
          <w:bCs/>
          <w:color w:val="000000"/>
          <w:sz w:val="24"/>
          <w:szCs w:val="24"/>
        </w:rPr>
        <w:instrText>ADDIN CSL_CITATION {"citationItems":[{"id":"ITEM-1","itemData":{"DOI":"10.1111/jocn.15045","ISSN":"0962-1067","author":[{"dropping-particle":"","family":"Kim","given":"Sung Reul","non-dropping-particle":"","parse-names":false,"suffix":""},{"dropping-particle":"","family":"Park","given":"Ok Lae","non-dropping-particle":"","parse-names":false,"suffix":""},{"dropping-particle":"","family":"Kim","given":"Hye Young","non-dropping-particle":"","parse-names":false,"suffix":""},{"dropping-particle":"","family":"Kim","given":"Ji Young","non-dropping-particle":"","parse-names":false,"suffix":""}],"container-title":"Journal of Clinical Nursing","id":"ITEM-1","issue":"23-24","issued":{"date-parts":[["2019","12","30"]]},"page":"4549-4559","title":"Factors influencing well‐being in clinical nurses: A path analysis using a multi‐mediation model","type":"article-journal","volume":"28"},"uris":["http://www.mendeley.com/documents/?uuid=7a014f55-5ef0-4d74-a2a1-af06b5dd507b"]},{"id":"ITEM-2","itemData":{"DOI":"10.1016/j.heliyon.2023.e14066","ISSN":"24058440","author":[{"dropping-particle":"","family":"Wu","given":"Shu-I","non-dropping-particle":"","parse-names":false,"suffix":""},{"dropping-particle":"","family":"Liu","given":"Shen-Ing","non-dropping-particle":"","parse-names":false,"suffix":""},{"dropping-particle":"","family":"Wu","given":"Yih-Jer","non-dropping-particle":"","parse-names":false,"suffix":""},{"dropping-particle":"","family":"Huang","given":"Ling-Lang","non-dropping-particle":"","parse-names":false,"suffix":""},{"dropping-particle":"","family":"Liu","given":"Thih-ju","non-dropping-particle":"","parse-names":false,"suffix":""},{"dropping-particle":"","family":"Kao","given":"Kai-Liang","non-dropping-particle":"","parse-names":false,"suffix":""},{"dropping-particle":"","family":"Lee","given":"Yu-Hsia","non-dropping-particle":"","parse-names":false,"suffix":""}],"container-title":"Heliyon","id":"ITEM-2","issue":"3","issued":{"date-parts":[["2023","3"]]},"page":"e14066","title":"The efficacy of applying the Interpersonal Effectiveness skills of dialectical behavior therapy into communication skills workshop for clinical nurses","type":"article-journal","volume":"9"},"uris":["http://www.mendeley.com/documents/?uuid=b075df85-faea-4a6f-9b83-5cf9c2366eea"]}],"mendeley":{"formattedCitation":"(Kim et al., 2019; Wu et al., 2023)","plainTextFormattedCitation":"(Kim et al., 2019; Wu et al., 2023)","previouslyFormattedCitation":"(Kim et al., 2019; Wu et al., 2023)"},"properties":{"noteIndex":0},"schema":"https://github.com/citation-style-language/schema/raw/master/csl-citation.json"}</w:instrText>
      </w:r>
      <w:r w:rsidR="00EF4BF4" w:rsidRPr="00297D77">
        <w:rPr>
          <w:bCs/>
          <w:color w:val="000000"/>
          <w:sz w:val="24"/>
          <w:szCs w:val="24"/>
          <w:lang w:val="en-US"/>
        </w:rPr>
        <w:fldChar w:fldCharType="separate"/>
      </w:r>
      <w:r w:rsidR="00EF4BF4" w:rsidRPr="00297D77">
        <w:rPr>
          <w:bCs/>
          <w:noProof/>
          <w:color w:val="000000"/>
          <w:sz w:val="24"/>
          <w:szCs w:val="24"/>
        </w:rPr>
        <w:t>(Kim et al., 2019; Wu et al., 2023)</w:t>
      </w:r>
      <w:r w:rsidR="00EF4BF4" w:rsidRPr="00297D77">
        <w:rPr>
          <w:bCs/>
          <w:color w:val="000000"/>
          <w:sz w:val="24"/>
          <w:szCs w:val="24"/>
          <w:lang w:val="en-US"/>
        </w:rPr>
        <w:fldChar w:fldCharType="end"/>
      </w:r>
      <w:r w:rsidRPr="00297D77">
        <w:rPr>
          <w:bCs/>
          <w:color w:val="000000"/>
          <w:sz w:val="24"/>
          <w:szCs w:val="24"/>
        </w:rPr>
        <w:t xml:space="preserve">, it is important to note that these studies have focused on the individual application of specific skills, such as mindfulness or assertive communication techniques. In this context, this research adopted a holistic approach encompassing a set of four fundamental skills: distress tolerance, mindfulness, emotional regulation, and interpersonal effectiveness. </w:t>
      </w:r>
      <w:r w:rsidR="002C099D" w:rsidRPr="002C099D">
        <w:rPr>
          <w:bCs/>
          <w:color w:val="C00000"/>
          <w:sz w:val="24"/>
          <w:szCs w:val="24"/>
        </w:rPr>
        <w:t xml:space="preserve">Contextual therapies have proven effective in improving psychological well-being. Several studies indicate that incorporating multiple skills into psychotherapeutic programs can significantly reduce symptoms of depression, stress, anxiety, and sleep disturbances (Chen et al., 2021; Lu et al., 2019; </w:t>
      </w:r>
      <w:proofErr w:type="spellStart"/>
      <w:r w:rsidR="002C099D" w:rsidRPr="002C099D">
        <w:rPr>
          <w:bCs/>
          <w:color w:val="C00000"/>
          <w:sz w:val="24"/>
          <w:szCs w:val="24"/>
        </w:rPr>
        <w:t>Modares</w:t>
      </w:r>
      <w:proofErr w:type="spellEnd"/>
      <w:r w:rsidR="002C099D" w:rsidRPr="002C099D">
        <w:rPr>
          <w:bCs/>
          <w:color w:val="C00000"/>
          <w:sz w:val="24"/>
          <w:szCs w:val="24"/>
        </w:rPr>
        <w:t>, 2011; Sanko et al., 2016). This enhancement in mental health facilitates decision-making and increases overall well-being levels (Fazia et al., 2023).</w:t>
      </w:r>
      <w:r w:rsidR="002C099D" w:rsidRPr="002C099D">
        <w:rPr>
          <w:bCs/>
          <w:color w:val="C00000"/>
          <w:sz w:val="24"/>
          <w:szCs w:val="24"/>
        </w:rPr>
        <w:t xml:space="preserve"> </w:t>
      </w:r>
      <w:r w:rsidR="002C099D" w:rsidRPr="002C099D">
        <w:rPr>
          <w:bCs/>
          <w:color w:val="C00000"/>
          <w:sz w:val="24"/>
          <w:szCs w:val="24"/>
        </w:rPr>
        <w:t xml:space="preserve">One reason for this effect is that attentional control and shifting can mediate the impact of these interventions on participants' psychological well-being (Fazia et al., 2023). Specifically, mindfulness techniques have demonstrated effectiveness in reducing negative emotions, particularly in stressful environments. For instance, nursing </w:t>
      </w:r>
      <w:r w:rsidR="002C099D" w:rsidRPr="002C099D">
        <w:rPr>
          <w:bCs/>
          <w:color w:val="C00000"/>
          <w:sz w:val="24"/>
          <w:szCs w:val="24"/>
        </w:rPr>
        <w:t>professionals</w:t>
      </w:r>
      <w:r w:rsidR="002C099D" w:rsidRPr="002C099D">
        <w:rPr>
          <w:bCs/>
          <w:color w:val="C00000"/>
          <w:sz w:val="24"/>
          <w:szCs w:val="24"/>
        </w:rPr>
        <w:t xml:space="preserve"> have been able to better manage stress and anxiety through these interventions (Chen et al., 2021).</w:t>
      </w:r>
      <w:r w:rsidR="002C099D" w:rsidRPr="002C099D">
        <w:rPr>
          <w:bCs/>
          <w:color w:val="C00000"/>
          <w:sz w:val="24"/>
          <w:szCs w:val="24"/>
        </w:rPr>
        <w:t xml:space="preserve"> </w:t>
      </w:r>
      <w:r w:rsidRPr="00297D77">
        <w:rPr>
          <w:bCs/>
          <w:color w:val="000000"/>
          <w:sz w:val="24"/>
          <w:szCs w:val="24"/>
        </w:rPr>
        <w:t>Each skill has a unique and complementary perspective that, when used together, can have a positive impact on mental and emotional health. Therefore, this study represents an innovative finding in research on the PW of NPs.</w:t>
      </w:r>
    </w:p>
    <w:p w14:paraId="25754300" w14:textId="77777777" w:rsidR="008C3D30" w:rsidRDefault="008C3D30" w:rsidP="008C3D30">
      <w:pPr>
        <w:spacing w:line="360" w:lineRule="auto"/>
        <w:ind w:firstLine="708"/>
        <w:jc w:val="left"/>
        <w:rPr>
          <w:color w:val="FF0000"/>
        </w:rPr>
      </w:pPr>
      <w:bookmarkStart w:id="12" w:name="_Hlk179317861"/>
      <w:bookmarkStart w:id="13" w:name="_Hlk179310544"/>
      <w:r w:rsidRPr="008C3D30">
        <w:rPr>
          <w:color w:val="FF0000"/>
        </w:rPr>
        <w:lastRenderedPageBreak/>
        <w:t>This study identified a significant relationship between the type of contract (occasional, temporary, and permanent) and blood pressure (BP) levels in the experimental group after completing the intervention program. This suggests that the type of contract may influence the benefits that nursing professionals derive from the program.</w:t>
      </w:r>
      <w:r>
        <w:rPr>
          <w:color w:val="FF0000"/>
        </w:rPr>
        <w:t xml:space="preserve"> </w:t>
      </w:r>
      <w:r w:rsidRPr="008C3D30">
        <w:rPr>
          <w:color w:val="FF0000"/>
        </w:rPr>
        <w:t xml:space="preserve">Working conditions are key social determinants of health and well-being (Sorensen et al., 2021). Self-perceived job insecurity, in turn, has been negatively associated with the mental well-being of both permanent and temporary workers (Russo &amp; </w:t>
      </w:r>
      <w:proofErr w:type="spellStart"/>
      <w:r w:rsidRPr="008C3D30">
        <w:rPr>
          <w:color w:val="FF0000"/>
        </w:rPr>
        <w:t>Terraneo</w:t>
      </w:r>
      <w:proofErr w:type="spellEnd"/>
      <w:r w:rsidRPr="008C3D30">
        <w:rPr>
          <w:color w:val="FF0000"/>
        </w:rPr>
        <w:t xml:space="preserve">, 2020). Therefore, investigating the type of contract not only enriches our understanding of well-being but may also contribute to improving </w:t>
      </w:r>
      <w:proofErr w:type="spellStart"/>
      <w:r w:rsidRPr="008C3D30">
        <w:rPr>
          <w:color w:val="FF0000"/>
        </w:rPr>
        <w:t>labor</w:t>
      </w:r>
      <w:proofErr w:type="spellEnd"/>
      <w:r w:rsidRPr="008C3D30">
        <w:rPr>
          <w:color w:val="FF0000"/>
        </w:rPr>
        <w:t xml:space="preserve"> productivity (Isham et al., 2020).</w:t>
      </w:r>
    </w:p>
    <w:p w14:paraId="6D6F0F98" w14:textId="3A3BDC0A" w:rsidR="005409FF" w:rsidRDefault="005409FF" w:rsidP="008C3D30">
      <w:pPr>
        <w:spacing w:line="360" w:lineRule="auto"/>
        <w:ind w:firstLine="708"/>
        <w:jc w:val="left"/>
        <w:rPr>
          <w:color w:val="FF0000"/>
        </w:rPr>
      </w:pPr>
      <w:r w:rsidRPr="005409FF">
        <w:rPr>
          <w:color w:val="FF0000"/>
        </w:rPr>
        <w:t xml:space="preserve">Our study contributes to the theory of </w:t>
      </w:r>
      <w:r w:rsidR="00A31F4B">
        <w:rPr>
          <w:color w:val="FF0000"/>
        </w:rPr>
        <w:t>contextual</w:t>
      </w:r>
      <w:r w:rsidRPr="005409FF">
        <w:rPr>
          <w:color w:val="FF0000"/>
        </w:rPr>
        <w:t xml:space="preserve"> therapies, emphasizing the need for therapeutic techniques applicable in both clinical settings and among the general population and professionals. Psychology in Latin America faces significant challenges, such as reliance on foreign models and social inequality, which restrict access to services tailored to the local context. The effectiveness of these therapies may be compromised by a lack of specialized training among clinicians and supervisors, as well as cultural and contextual limitations, underscoring the importance of selecting appropriate approaches and fostering active patient collaboration (Mendoza, 2017; García-Lozano, 2024; Barletta et al., 2023). This landscape highlights the need for policies that strengthen therapist training and clinical supervision, adapting methods to the social and cultural realities of the region. Implementing innovative training programs and practices in therapy is essential to improve mental health care in Latin America, where poverty and social exclusion hinder access to quality services (Neufeld et al., 2021).</w:t>
      </w:r>
    </w:p>
    <w:bookmarkEnd w:id="12"/>
    <w:p w14:paraId="37933EB9" w14:textId="355DE035" w:rsidR="00B14181" w:rsidRPr="00B14181" w:rsidRDefault="00B14181" w:rsidP="00297D77">
      <w:pPr>
        <w:spacing w:line="360" w:lineRule="auto"/>
        <w:ind w:firstLine="708"/>
        <w:jc w:val="left"/>
        <w:rPr>
          <w:color w:val="FF0000"/>
        </w:rPr>
      </w:pPr>
      <w:r w:rsidRPr="00B14181">
        <w:rPr>
          <w:color w:val="FF0000"/>
        </w:rPr>
        <w:t>This study presents significant limitations that impact the interpretability of the results and the generalizability of the conclusions. The sample size, with only n = 30 participants, is relatively small, potentially compromising representativeness for all NPs, particularly due to a lack of diversity in gender representation. Furthermore, the use of non-probabilistic convenience sampling, which was necessary due to institutional restrictions, limits the external validity of the study. Lastly, the long-term sustainability of the intervention program's effects on participant outcomes was not explored, and a placebo group was not included in the experimental design.</w:t>
      </w:r>
    </w:p>
    <w:bookmarkEnd w:id="13"/>
    <w:p w14:paraId="6D778ACD" w14:textId="126E9693" w:rsidR="00D47EDD" w:rsidRPr="00297D77" w:rsidRDefault="00BC3217" w:rsidP="00297D77">
      <w:pPr>
        <w:spacing w:line="360" w:lineRule="auto"/>
        <w:ind w:firstLine="708"/>
        <w:jc w:val="left"/>
        <w:rPr>
          <w:bCs/>
          <w:color w:val="000000"/>
          <w:sz w:val="24"/>
          <w:szCs w:val="24"/>
          <w:lang w:val="en-US"/>
        </w:rPr>
      </w:pPr>
      <w:r w:rsidRPr="00297D77">
        <w:rPr>
          <w:bCs/>
          <w:color w:val="000000"/>
          <w:sz w:val="24"/>
          <w:szCs w:val="24"/>
        </w:rPr>
        <w:t>For future research, it is crucial to expand the sample size to enhance external validity. Investigating the long-term sustainability of the program would be valuable for improving the intervention method. Incorporating qualitative methods would allow for a better understanding of participants' experiences. Introducing a placebo group in future studies would be advisable to accurately identify the program's effects and establish a stronger causal relationship.</w:t>
      </w:r>
    </w:p>
    <w:p w14:paraId="1E14B9C9" w14:textId="77777777" w:rsidR="00D47EDD" w:rsidRPr="00297D77" w:rsidRDefault="00BC3217" w:rsidP="00297D77">
      <w:pPr>
        <w:spacing w:line="360" w:lineRule="auto"/>
        <w:ind w:firstLine="708"/>
        <w:jc w:val="left"/>
        <w:rPr>
          <w:bCs/>
          <w:color w:val="000000"/>
          <w:sz w:val="24"/>
          <w:szCs w:val="24"/>
          <w:lang w:val="en-US"/>
        </w:rPr>
      </w:pPr>
      <w:r w:rsidRPr="00297D77">
        <w:rPr>
          <w:bCs/>
          <w:color w:val="000000"/>
          <w:sz w:val="24"/>
          <w:szCs w:val="24"/>
        </w:rPr>
        <w:lastRenderedPageBreak/>
        <w:t>Addressing these recommendations will strengthen the knowledge base and contribute to the development of more effective strategies for managing psychological well-being and quality of life for NPs.</w:t>
      </w:r>
    </w:p>
    <w:p w14:paraId="1C28094C" w14:textId="3AB86EFC" w:rsidR="00EF4BF4" w:rsidRPr="00297D77" w:rsidRDefault="00297D77" w:rsidP="00297D77">
      <w:pPr>
        <w:spacing w:line="360" w:lineRule="auto"/>
        <w:jc w:val="center"/>
        <w:rPr>
          <w:b/>
          <w:bCs/>
          <w:sz w:val="24"/>
          <w:szCs w:val="24"/>
        </w:rPr>
      </w:pPr>
      <w:r w:rsidRPr="00297D77">
        <w:rPr>
          <w:b/>
          <w:bCs/>
          <w:sz w:val="24"/>
          <w:szCs w:val="24"/>
        </w:rPr>
        <w:t>Conclusions</w:t>
      </w:r>
    </w:p>
    <w:p w14:paraId="46F961B4" w14:textId="207EE2A6" w:rsidR="00EF4BF4" w:rsidRPr="00297D77" w:rsidRDefault="00BC3217" w:rsidP="00297D77">
      <w:pPr>
        <w:spacing w:line="360" w:lineRule="auto"/>
        <w:jc w:val="left"/>
        <w:rPr>
          <w:bCs/>
          <w:color w:val="000000"/>
          <w:sz w:val="24"/>
          <w:szCs w:val="24"/>
          <w:lang w:val="en-US"/>
        </w:rPr>
      </w:pPr>
      <w:r w:rsidRPr="00297D77">
        <w:rPr>
          <w:bCs/>
          <w:color w:val="000000"/>
          <w:sz w:val="24"/>
          <w:szCs w:val="24"/>
        </w:rPr>
        <w:t xml:space="preserve">Regarding the effectiveness of implementing a </w:t>
      </w:r>
      <w:r w:rsidR="00A31F4B">
        <w:rPr>
          <w:bCs/>
          <w:color w:val="000000"/>
          <w:sz w:val="24"/>
          <w:szCs w:val="24"/>
        </w:rPr>
        <w:t>contextual</w:t>
      </w:r>
      <w:r w:rsidRPr="00297D77">
        <w:rPr>
          <w:bCs/>
          <w:color w:val="000000"/>
          <w:sz w:val="24"/>
          <w:szCs w:val="24"/>
        </w:rPr>
        <w:t xml:space="preserve"> therapy-based intervention programme on levels of psychological well-being (PW) in nursing professionals (NPs) from healthcare centres in the North Cuenca District of the MSP, the following conclusions stand out:</w:t>
      </w:r>
    </w:p>
    <w:p w14:paraId="68261FF6" w14:textId="77777777" w:rsidR="00EF4BF4" w:rsidRPr="00297D77" w:rsidRDefault="00BC3217" w:rsidP="00297D77">
      <w:pPr>
        <w:spacing w:line="360" w:lineRule="auto"/>
        <w:ind w:firstLine="708"/>
        <w:jc w:val="left"/>
        <w:rPr>
          <w:bCs/>
          <w:color w:val="000000"/>
          <w:sz w:val="24"/>
          <w:szCs w:val="24"/>
          <w:lang w:val="en-US"/>
        </w:rPr>
      </w:pPr>
      <w:r w:rsidRPr="00297D77">
        <w:rPr>
          <w:bCs/>
          <w:color w:val="000000"/>
          <w:sz w:val="24"/>
          <w:szCs w:val="24"/>
        </w:rPr>
        <w:t>The intervention programme implemented in this study significantly increased the PW of the NPs. This finding contributes to the limited literature on the use of dialectical behavioural therapy (DBT) programmes in nonclinical populations. Although DBT was initially designed for clinical populations, the results of this study indicate that it can be adapted and effectively applied to NPs without a diagnosis of psychological disorders, providing them with tools to cope with stressful situations in work, family, and social life appropriately. This discovery broadens the application perspective of DBT, suggesting its utility in broader contexts of mental health care.</w:t>
      </w:r>
    </w:p>
    <w:p w14:paraId="19A51DF3" w14:textId="77777777" w:rsidR="00EF4BF4" w:rsidRPr="00297D77" w:rsidRDefault="00BC3217" w:rsidP="00297D77">
      <w:pPr>
        <w:spacing w:line="360" w:lineRule="auto"/>
        <w:ind w:firstLine="708"/>
        <w:jc w:val="left"/>
        <w:rPr>
          <w:bCs/>
          <w:color w:val="000000"/>
          <w:sz w:val="24"/>
          <w:szCs w:val="24"/>
          <w:lang w:val="en-US"/>
        </w:rPr>
      </w:pPr>
      <w:r w:rsidRPr="00297D77">
        <w:rPr>
          <w:bCs/>
          <w:color w:val="000000"/>
          <w:sz w:val="24"/>
          <w:szCs w:val="24"/>
        </w:rPr>
        <w:t>During the study, a statistically significant relationship was observed between the variable "type of contract" and the effectiveness of the programme. This finding suggests that certain contractual aspects may influence the receptivity and benefits of the programme, providing relevant information for future interventions.</w:t>
      </w:r>
    </w:p>
    <w:p w14:paraId="6E7AB73C" w14:textId="77777777" w:rsidR="00EF4BF4" w:rsidRPr="00297D77" w:rsidRDefault="00BC3217" w:rsidP="00297D77">
      <w:pPr>
        <w:spacing w:line="360" w:lineRule="auto"/>
        <w:ind w:firstLine="708"/>
        <w:jc w:val="left"/>
        <w:rPr>
          <w:bCs/>
          <w:color w:val="000000"/>
          <w:sz w:val="24"/>
          <w:szCs w:val="24"/>
          <w:lang w:val="en-US"/>
        </w:rPr>
      </w:pPr>
      <w:r w:rsidRPr="00297D77">
        <w:rPr>
          <w:bCs/>
          <w:color w:val="000000"/>
          <w:sz w:val="24"/>
          <w:szCs w:val="24"/>
        </w:rPr>
        <w:t>Given the effectiveness of the intervention programme, the MSP could consider implementing this model in its new NPs to help prevent the onset of stress-related symptoms and, thus, improve patient care, the work environment, and contribute to achieving quality public healthcare. This, ultimately, can benefit society as a whole.</w:t>
      </w:r>
    </w:p>
    <w:bookmarkEnd w:id="11"/>
    <w:p w14:paraId="74D46F55" w14:textId="77777777" w:rsidR="00B65B48" w:rsidRPr="00297D77" w:rsidRDefault="00BC3217" w:rsidP="00297D77">
      <w:pPr>
        <w:spacing w:line="360" w:lineRule="auto"/>
        <w:ind w:firstLine="708"/>
        <w:rPr>
          <w:b/>
          <w:bCs/>
          <w:sz w:val="24"/>
          <w:szCs w:val="24"/>
          <w:lang w:val="en-US"/>
        </w:rPr>
      </w:pPr>
      <w:r w:rsidRPr="00297D77">
        <w:rPr>
          <w:sz w:val="24"/>
          <w:szCs w:val="24"/>
        </w:rPr>
        <w:cr/>
      </w:r>
      <w:r w:rsidRPr="00297D77">
        <w:rPr>
          <w:b/>
          <w:bCs/>
          <w:sz w:val="24"/>
          <w:szCs w:val="24"/>
        </w:rPr>
        <w:br w:type="page"/>
      </w:r>
    </w:p>
    <w:p w14:paraId="14BFF782" w14:textId="563889FB" w:rsidR="00833DA6" w:rsidRPr="00297D77" w:rsidRDefault="00297D77" w:rsidP="00297D77">
      <w:pPr>
        <w:spacing w:line="360" w:lineRule="auto"/>
        <w:jc w:val="center"/>
        <w:rPr>
          <w:b/>
          <w:bCs/>
          <w:sz w:val="24"/>
          <w:szCs w:val="24"/>
        </w:rPr>
      </w:pPr>
      <w:r w:rsidRPr="00297D77">
        <w:rPr>
          <w:b/>
          <w:bCs/>
          <w:sz w:val="24"/>
          <w:szCs w:val="24"/>
        </w:rPr>
        <w:lastRenderedPageBreak/>
        <w:t>References</w:t>
      </w:r>
    </w:p>
    <w:p w14:paraId="5AEC6D4D" w14:textId="334658E4" w:rsidR="00DB72D9" w:rsidRPr="00DB72D9" w:rsidRDefault="00BC3217" w:rsidP="00DB72D9">
      <w:pPr>
        <w:widowControl w:val="0"/>
        <w:autoSpaceDE w:val="0"/>
        <w:autoSpaceDN w:val="0"/>
        <w:adjustRightInd w:val="0"/>
        <w:spacing w:line="360" w:lineRule="auto"/>
        <w:ind w:left="480" w:hanging="480"/>
        <w:rPr>
          <w:noProof/>
          <w:sz w:val="24"/>
          <w:szCs w:val="24"/>
        </w:rPr>
      </w:pPr>
      <w:r w:rsidRPr="00297D77">
        <w:rPr>
          <w:b/>
          <w:bCs/>
          <w:sz w:val="24"/>
          <w:szCs w:val="24"/>
        </w:rPr>
        <w:fldChar w:fldCharType="begin" w:fldLock="1"/>
      </w:r>
      <w:r w:rsidRPr="00297D77">
        <w:rPr>
          <w:b/>
          <w:bCs/>
          <w:sz w:val="24"/>
          <w:szCs w:val="24"/>
        </w:rPr>
        <w:instrText xml:space="preserve">ADDIN Mendeley Bibliography CSL_BIBLIOGRAPHY </w:instrText>
      </w:r>
      <w:r w:rsidRPr="00297D77">
        <w:rPr>
          <w:b/>
          <w:bCs/>
          <w:sz w:val="24"/>
          <w:szCs w:val="24"/>
        </w:rPr>
        <w:fldChar w:fldCharType="separate"/>
      </w:r>
      <w:r w:rsidR="00DB72D9" w:rsidRPr="00DB72D9">
        <w:rPr>
          <w:noProof/>
          <w:sz w:val="24"/>
          <w:szCs w:val="24"/>
        </w:rPr>
        <w:t xml:space="preserve">Baramesipour, Z., Nasirian, M., &amp; Sedrpooshan, N. (2015). The effectiveness of dialectical behavioral therapy on diabetic patient’s psychological well-being. </w:t>
      </w:r>
      <w:r w:rsidR="00DB72D9" w:rsidRPr="00DB72D9">
        <w:rPr>
          <w:i/>
          <w:iCs/>
          <w:noProof/>
          <w:sz w:val="24"/>
          <w:szCs w:val="24"/>
        </w:rPr>
        <w:t>Iranian Journal of Diabetes and Obesity</w:t>
      </w:r>
      <w:r w:rsidR="00DB72D9" w:rsidRPr="00DB72D9">
        <w:rPr>
          <w:noProof/>
          <w:sz w:val="24"/>
          <w:szCs w:val="24"/>
        </w:rPr>
        <w:t xml:space="preserve">, </w:t>
      </w:r>
      <w:r w:rsidR="00DB72D9" w:rsidRPr="00DB72D9">
        <w:rPr>
          <w:i/>
          <w:iCs/>
          <w:noProof/>
          <w:sz w:val="24"/>
          <w:szCs w:val="24"/>
        </w:rPr>
        <w:t>7</w:t>
      </w:r>
      <w:r w:rsidR="00DB72D9" w:rsidRPr="00DB72D9">
        <w:rPr>
          <w:noProof/>
          <w:sz w:val="24"/>
          <w:szCs w:val="24"/>
        </w:rPr>
        <w:t>(3), 124–132. https://ijdo.ssu.ac.ir/article-1-252-en.pdf</w:t>
      </w:r>
    </w:p>
    <w:p w14:paraId="5A09B625" w14:textId="77777777" w:rsidR="007D6F57" w:rsidRPr="00970B34" w:rsidRDefault="007D6F57" w:rsidP="007D6F57">
      <w:pPr>
        <w:widowControl w:val="0"/>
        <w:autoSpaceDE w:val="0"/>
        <w:autoSpaceDN w:val="0"/>
        <w:adjustRightInd w:val="0"/>
        <w:spacing w:after="160" w:line="360" w:lineRule="auto"/>
        <w:ind w:left="480" w:hanging="480"/>
        <w:rPr>
          <w:noProof/>
          <w:sz w:val="24"/>
          <w:szCs w:val="24"/>
        </w:rPr>
      </w:pPr>
      <w:r w:rsidRPr="007D6F57">
        <w:rPr>
          <w:noProof/>
          <w:sz w:val="24"/>
          <w:szCs w:val="24"/>
          <w:lang w:val="es-CL"/>
        </w:rPr>
        <w:t xml:space="preserve">Barletta, J. B., Araújo, R. M. de, &amp; Neufeld, C. B. (2023). </w:t>
      </w:r>
      <w:r w:rsidRPr="00970B34">
        <w:rPr>
          <w:noProof/>
          <w:sz w:val="24"/>
          <w:szCs w:val="24"/>
        </w:rPr>
        <w:t xml:space="preserve">Survey of cognitive behavioral therapy clinical supervisors profile in Brazil. </w:t>
      </w:r>
      <w:r w:rsidRPr="00970B34">
        <w:rPr>
          <w:i/>
          <w:iCs/>
          <w:noProof/>
          <w:sz w:val="24"/>
          <w:szCs w:val="24"/>
        </w:rPr>
        <w:t>Estudos de Psicologia (Campinas)</w:t>
      </w:r>
      <w:r w:rsidRPr="00970B34">
        <w:rPr>
          <w:noProof/>
          <w:sz w:val="24"/>
          <w:szCs w:val="24"/>
        </w:rPr>
        <w:t xml:space="preserve">, </w:t>
      </w:r>
      <w:r w:rsidRPr="00970B34">
        <w:rPr>
          <w:i/>
          <w:iCs/>
          <w:noProof/>
          <w:sz w:val="24"/>
          <w:szCs w:val="24"/>
        </w:rPr>
        <w:t>40</w:t>
      </w:r>
      <w:r w:rsidRPr="00970B34">
        <w:rPr>
          <w:noProof/>
          <w:sz w:val="24"/>
          <w:szCs w:val="24"/>
        </w:rPr>
        <w:t>. https://doi.org/10.1590/1982-0275202340e210072en</w:t>
      </w:r>
    </w:p>
    <w:p w14:paraId="3B29F878" w14:textId="44D74D9E" w:rsidR="00DB72D9" w:rsidRPr="00DB72D9" w:rsidRDefault="00DB72D9" w:rsidP="00DB72D9">
      <w:pPr>
        <w:widowControl w:val="0"/>
        <w:autoSpaceDE w:val="0"/>
        <w:autoSpaceDN w:val="0"/>
        <w:adjustRightInd w:val="0"/>
        <w:spacing w:line="360" w:lineRule="auto"/>
        <w:ind w:left="480" w:hanging="480"/>
        <w:rPr>
          <w:noProof/>
          <w:sz w:val="24"/>
          <w:szCs w:val="24"/>
        </w:rPr>
      </w:pPr>
      <w:r w:rsidRPr="00DB72D9">
        <w:rPr>
          <w:noProof/>
          <w:sz w:val="24"/>
          <w:szCs w:val="24"/>
        </w:rPr>
        <w:t xml:space="preserve">Beanlands, H., McCay, E., Fredericks, S., Newman, K., Rose, D., Santa Mina, E., Schindel Martin, L., Schwind, J., Sidani, S., Aiello, A., &amp; Wang, A. (2019). Decreasing stress and supporting emotional well-being among senior nursing students: A pilot test of an evidence-based intervention. </w:t>
      </w:r>
      <w:r w:rsidRPr="00DB72D9">
        <w:rPr>
          <w:i/>
          <w:iCs/>
          <w:noProof/>
          <w:sz w:val="24"/>
          <w:szCs w:val="24"/>
        </w:rPr>
        <w:t>Nurse Education Today</w:t>
      </w:r>
      <w:r w:rsidRPr="00DB72D9">
        <w:rPr>
          <w:noProof/>
          <w:sz w:val="24"/>
          <w:szCs w:val="24"/>
        </w:rPr>
        <w:t xml:space="preserve">, </w:t>
      </w:r>
      <w:r w:rsidRPr="00DB72D9">
        <w:rPr>
          <w:i/>
          <w:iCs/>
          <w:noProof/>
          <w:sz w:val="24"/>
          <w:szCs w:val="24"/>
        </w:rPr>
        <w:t>76</w:t>
      </w:r>
      <w:r w:rsidRPr="00DB72D9">
        <w:rPr>
          <w:noProof/>
          <w:sz w:val="24"/>
          <w:szCs w:val="24"/>
        </w:rPr>
        <w:t>, 222–227. https://doi.org/10.1016/j.nedt.2019.02.009</w:t>
      </w:r>
    </w:p>
    <w:p w14:paraId="542DDC33" w14:textId="77777777" w:rsidR="00DB72D9" w:rsidRPr="00DB72D9" w:rsidRDefault="00DB72D9" w:rsidP="00DB72D9">
      <w:pPr>
        <w:widowControl w:val="0"/>
        <w:autoSpaceDE w:val="0"/>
        <w:autoSpaceDN w:val="0"/>
        <w:adjustRightInd w:val="0"/>
        <w:spacing w:line="360" w:lineRule="auto"/>
        <w:ind w:left="480" w:hanging="480"/>
        <w:rPr>
          <w:noProof/>
          <w:sz w:val="24"/>
          <w:szCs w:val="24"/>
        </w:rPr>
      </w:pPr>
      <w:r w:rsidRPr="00DB72D9">
        <w:rPr>
          <w:noProof/>
          <w:sz w:val="24"/>
          <w:szCs w:val="24"/>
        </w:rPr>
        <w:t xml:space="preserve">Cantrell, M. L., Meyer, S. L., &amp; Mosack, V. (2017). Effects of simulation on nursing student stress: An integrative review. </w:t>
      </w:r>
      <w:r w:rsidRPr="00DB72D9">
        <w:rPr>
          <w:i/>
          <w:iCs/>
          <w:noProof/>
          <w:sz w:val="24"/>
          <w:szCs w:val="24"/>
        </w:rPr>
        <w:t>Journal of Nursing Education</w:t>
      </w:r>
      <w:r w:rsidRPr="00DB72D9">
        <w:rPr>
          <w:noProof/>
          <w:sz w:val="24"/>
          <w:szCs w:val="24"/>
        </w:rPr>
        <w:t xml:space="preserve">, </w:t>
      </w:r>
      <w:r w:rsidRPr="00DB72D9">
        <w:rPr>
          <w:i/>
          <w:iCs/>
          <w:noProof/>
          <w:sz w:val="24"/>
          <w:szCs w:val="24"/>
        </w:rPr>
        <w:t>56</w:t>
      </w:r>
      <w:r w:rsidRPr="00DB72D9">
        <w:rPr>
          <w:noProof/>
          <w:sz w:val="24"/>
          <w:szCs w:val="24"/>
        </w:rPr>
        <w:t>(3), 139–144. https://doi.org/10.3928/01484834-20170222-04</w:t>
      </w:r>
    </w:p>
    <w:p w14:paraId="36F86832" w14:textId="41B72CEC" w:rsidR="00790306" w:rsidRDefault="00790306" w:rsidP="00DB72D9">
      <w:pPr>
        <w:widowControl w:val="0"/>
        <w:autoSpaceDE w:val="0"/>
        <w:autoSpaceDN w:val="0"/>
        <w:adjustRightInd w:val="0"/>
        <w:spacing w:line="360" w:lineRule="auto"/>
        <w:ind w:left="480" w:hanging="480"/>
        <w:rPr>
          <w:noProof/>
          <w:sz w:val="24"/>
          <w:szCs w:val="24"/>
        </w:rPr>
      </w:pPr>
      <w:r w:rsidRPr="00790306">
        <w:rPr>
          <w:noProof/>
          <w:sz w:val="24"/>
          <w:szCs w:val="24"/>
        </w:rPr>
        <w:t xml:space="preserve">Chen, X., Zhang, B., Jin, S.-X., Quan, Y.-X., Zhang, X.-W., &amp; Cui, X.-S. (2021). The effects of mindfulness-based interventions on nursing students: A meta-analysis. </w:t>
      </w:r>
      <w:r w:rsidRPr="00790306">
        <w:rPr>
          <w:i/>
          <w:iCs/>
          <w:noProof/>
          <w:sz w:val="24"/>
          <w:szCs w:val="24"/>
        </w:rPr>
        <w:t>Nurse Education Today, 98</w:t>
      </w:r>
      <w:r w:rsidRPr="00790306">
        <w:rPr>
          <w:noProof/>
          <w:sz w:val="24"/>
          <w:szCs w:val="24"/>
        </w:rPr>
        <w:t>, 104718. https://doi.org/10.1016/j.nedt.2020.104718</w:t>
      </w:r>
    </w:p>
    <w:p w14:paraId="7E656ABD" w14:textId="7BF9BDEF" w:rsidR="00DB72D9" w:rsidRPr="00DB72D9" w:rsidRDefault="00DB72D9" w:rsidP="00DB72D9">
      <w:pPr>
        <w:widowControl w:val="0"/>
        <w:autoSpaceDE w:val="0"/>
        <w:autoSpaceDN w:val="0"/>
        <w:adjustRightInd w:val="0"/>
        <w:spacing w:line="360" w:lineRule="auto"/>
        <w:ind w:left="480" w:hanging="480"/>
        <w:rPr>
          <w:noProof/>
          <w:sz w:val="24"/>
          <w:szCs w:val="24"/>
        </w:rPr>
      </w:pPr>
      <w:r w:rsidRPr="00DB72D9">
        <w:rPr>
          <w:noProof/>
          <w:sz w:val="24"/>
          <w:szCs w:val="24"/>
        </w:rPr>
        <w:t xml:space="preserve">Conversano, C., Ciacchini, R., Orrù, G., Di Giuseppe, M., Gemignani, A., &amp; Poli, A. (2020). Mindfulness, compassion, and self-compassion among health care professionals: What’s new? A systematic review. </w:t>
      </w:r>
      <w:r w:rsidRPr="00DB72D9">
        <w:rPr>
          <w:i/>
          <w:iCs/>
          <w:noProof/>
          <w:sz w:val="24"/>
          <w:szCs w:val="24"/>
        </w:rPr>
        <w:t>Frontiers in Psychology</w:t>
      </w:r>
      <w:r w:rsidRPr="00DB72D9">
        <w:rPr>
          <w:noProof/>
          <w:sz w:val="24"/>
          <w:szCs w:val="24"/>
        </w:rPr>
        <w:t xml:space="preserve">, </w:t>
      </w:r>
      <w:r w:rsidRPr="00DB72D9">
        <w:rPr>
          <w:i/>
          <w:iCs/>
          <w:noProof/>
          <w:sz w:val="24"/>
          <w:szCs w:val="24"/>
        </w:rPr>
        <w:t>11</w:t>
      </w:r>
      <w:r w:rsidRPr="00DB72D9">
        <w:rPr>
          <w:noProof/>
          <w:sz w:val="24"/>
          <w:szCs w:val="24"/>
        </w:rPr>
        <w:t>. https://doi.org/10.3389/fpsyg.2020.01683</w:t>
      </w:r>
    </w:p>
    <w:p w14:paraId="13BCC92D" w14:textId="77777777" w:rsidR="00DB72D9" w:rsidRPr="00DB72D9" w:rsidRDefault="00DB72D9" w:rsidP="00DB72D9">
      <w:pPr>
        <w:widowControl w:val="0"/>
        <w:autoSpaceDE w:val="0"/>
        <w:autoSpaceDN w:val="0"/>
        <w:adjustRightInd w:val="0"/>
        <w:spacing w:line="360" w:lineRule="auto"/>
        <w:ind w:left="480" w:hanging="480"/>
        <w:rPr>
          <w:noProof/>
          <w:sz w:val="24"/>
          <w:szCs w:val="24"/>
        </w:rPr>
      </w:pPr>
      <w:r w:rsidRPr="00DB72D9">
        <w:rPr>
          <w:noProof/>
          <w:sz w:val="24"/>
          <w:szCs w:val="24"/>
        </w:rPr>
        <w:t xml:space="preserve">Couturier, J., Ma, Z., Rahman, L., &amp; Webb, C. (2021). A mixed methods exploratory evaluation of burnout in frontline staff implementing dialectical behavior therapy on a pediatric eating disorders unit. </w:t>
      </w:r>
      <w:r w:rsidRPr="00DB72D9">
        <w:rPr>
          <w:i/>
          <w:iCs/>
          <w:noProof/>
          <w:sz w:val="24"/>
          <w:szCs w:val="24"/>
        </w:rPr>
        <w:t>Journal of Eating Disorders</w:t>
      </w:r>
      <w:r w:rsidRPr="00DB72D9">
        <w:rPr>
          <w:noProof/>
          <w:sz w:val="24"/>
          <w:szCs w:val="24"/>
        </w:rPr>
        <w:t xml:space="preserve">, </w:t>
      </w:r>
      <w:r w:rsidRPr="00DB72D9">
        <w:rPr>
          <w:i/>
          <w:iCs/>
          <w:noProof/>
          <w:sz w:val="24"/>
          <w:szCs w:val="24"/>
        </w:rPr>
        <w:t>9</w:t>
      </w:r>
      <w:r w:rsidRPr="00DB72D9">
        <w:rPr>
          <w:noProof/>
          <w:sz w:val="24"/>
          <w:szCs w:val="24"/>
        </w:rPr>
        <w:t>(1), 98. https://doi.org/10.1186/s40337-021-00453-1</w:t>
      </w:r>
    </w:p>
    <w:p w14:paraId="4C7E8835" w14:textId="77777777" w:rsidR="00DB72D9" w:rsidRPr="00DB72D9" w:rsidRDefault="00DB72D9" w:rsidP="00DB72D9">
      <w:pPr>
        <w:widowControl w:val="0"/>
        <w:autoSpaceDE w:val="0"/>
        <w:autoSpaceDN w:val="0"/>
        <w:adjustRightInd w:val="0"/>
        <w:spacing w:line="360" w:lineRule="auto"/>
        <w:ind w:left="480" w:hanging="480"/>
        <w:rPr>
          <w:noProof/>
          <w:sz w:val="24"/>
          <w:szCs w:val="24"/>
        </w:rPr>
      </w:pPr>
      <w:r w:rsidRPr="00DB72D9">
        <w:rPr>
          <w:noProof/>
          <w:sz w:val="24"/>
          <w:szCs w:val="24"/>
        </w:rPr>
        <w:t xml:space="preserve">Dagenais-Desmarais, V., &amp; Savoie, A. (2012). What is psychological well-being, really? A grassroots approach from the organizational sciences. </w:t>
      </w:r>
      <w:r w:rsidRPr="00DB72D9">
        <w:rPr>
          <w:i/>
          <w:iCs/>
          <w:noProof/>
          <w:sz w:val="24"/>
          <w:szCs w:val="24"/>
        </w:rPr>
        <w:t>Journal of Happiness Studies</w:t>
      </w:r>
      <w:r w:rsidRPr="00DB72D9">
        <w:rPr>
          <w:noProof/>
          <w:sz w:val="24"/>
          <w:szCs w:val="24"/>
        </w:rPr>
        <w:t xml:space="preserve">, </w:t>
      </w:r>
      <w:r w:rsidRPr="00DB72D9">
        <w:rPr>
          <w:i/>
          <w:iCs/>
          <w:noProof/>
          <w:sz w:val="24"/>
          <w:szCs w:val="24"/>
        </w:rPr>
        <w:t>13</w:t>
      </w:r>
      <w:r w:rsidRPr="00DB72D9">
        <w:rPr>
          <w:noProof/>
          <w:sz w:val="24"/>
          <w:szCs w:val="24"/>
        </w:rPr>
        <w:t>(4), 659–684. https://doi.org/10.1007/s10902-011-9285-3</w:t>
      </w:r>
    </w:p>
    <w:p w14:paraId="785EDE60" w14:textId="5E806CC6" w:rsidR="009D3D7E" w:rsidRDefault="009D3D7E" w:rsidP="00DB72D9">
      <w:pPr>
        <w:widowControl w:val="0"/>
        <w:autoSpaceDE w:val="0"/>
        <w:autoSpaceDN w:val="0"/>
        <w:adjustRightInd w:val="0"/>
        <w:spacing w:line="360" w:lineRule="auto"/>
        <w:ind w:left="480" w:hanging="480"/>
        <w:rPr>
          <w:noProof/>
          <w:sz w:val="24"/>
          <w:szCs w:val="24"/>
        </w:rPr>
      </w:pPr>
      <w:r w:rsidRPr="009D3D7E">
        <w:rPr>
          <w:noProof/>
          <w:sz w:val="24"/>
          <w:szCs w:val="24"/>
          <w:lang w:val="es-CL"/>
        </w:rPr>
        <w:t xml:space="preserve">de Oliveira, G. S., Chang, R., Fitzgerald, P. C., Almeida, M. D., Castro-Alves, L. S., Ahmad, S., &amp; McCarthy, R. J. (2013). </w:t>
      </w:r>
      <w:r w:rsidRPr="009D3D7E">
        <w:rPr>
          <w:noProof/>
          <w:sz w:val="24"/>
          <w:szCs w:val="24"/>
        </w:rPr>
        <w:t xml:space="preserve">The prevalence of burnout and depression and their association </w:t>
      </w:r>
      <w:r w:rsidRPr="009D3D7E">
        <w:rPr>
          <w:noProof/>
          <w:sz w:val="24"/>
          <w:szCs w:val="24"/>
        </w:rPr>
        <w:lastRenderedPageBreak/>
        <w:t xml:space="preserve">with adherence to safety and practice standards. </w:t>
      </w:r>
      <w:r w:rsidRPr="009D3D7E">
        <w:rPr>
          <w:i/>
          <w:iCs/>
          <w:noProof/>
          <w:sz w:val="24"/>
          <w:szCs w:val="24"/>
        </w:rPr>
        <w:t>Anesthesia &amp; Analgesia</w:t>
      </w:r>
      <w:r w:rsidRPr="009D3D7E">
        <w:rPr>
          <w:noProof/>
          <w:sz w:val="24"/>
          <w:szCs w:val="24"/>
        </w:rPr>
        <w:t xml:space="preserve">, </w:t>
      </w:r>
      <w:r w:rsidRPr="009D3D7E">
        <w:rPr>
          <w:i/>
          <w:iCs/>
          <w:noProof/>
          <w:sz w:val="24"/>
          <w:szCs w:val="24"/>
        </w:rPr>
        <w:t>117</w:t>
      </w:r>
      <w:r w:rsidRPr="009D3D7E">
        <w:rPr>
          <w:noProof/>
          <w:sz w:val="24"/>
          <w:szCs w:val="24"/>
        </w:rPr>
        <w:t>(1), 182–193. https://doi.org/10.1213/ANE.0b013e3182917da9</w:t>
      </w:r>
    </w:p>
    <w:p w14:paraId="2D3C3052" w14:textId="6417993E" w:rsidR="00DB72D9" w:rsidRDefault="00DB72D9" w:rsidP="00DB72D9">
      <w:pPr>
        <w:widowControl w:val="0"/>
        <w:autoSpaceDE w:val="0"/>
        <w:autoSpaceDN w:val="0"/>
        <w:adjustRightInd w:val="0"/>
        <w:spacing w:line="360" w:lineRule="auto"/>
        <w:ind w:left="480" w:hanging="480"/>
        <w:rPr>
          <w:noProof/>
          <w:sz w:val="24"/>
          <w:szCs w:val="24"/>
        </w:rPr>
      </w:pPr>
      <w:r w:rsidRPr="00DB72D9">
        <w:rPr>
          <w:noProof/>
          <w:sz w:val="24"/>
          <w:szCs w:val="24"/>
        </w:rPr>
        <w:t xml:space="preserve">Díaz, D., Rodríguez-Carvajal, R., Blanco, A., Moreno-Jiménez, B., Gallardo, I., Valle, C., &amp; Van Dierendonck, D. (2006). Adaptación española de las escalas de bienestar psicológico de Ryff. </w:t>
      </w:r>
      <w:r w:rsidRPr="00DB72D9">
        <w:rPr>
          <w:i/>
          <w:iCs/>
          <w:noProof/>
          <w:sz w:val="24"/>
          <w:szCs w:val="24"/>
        </w:rPr>
        <w:t>Psicothema</w:t>
      </w:r>
      <w:r w:rsidRPr="00DB72D9">
        <w:rPr>
          <w:noProof/>
          <w:sz w:val="24"/>
          <w:szCs w:val="24"/>
        </w:rPr>
        <w:t xml:space="preserve">, </w:t>
      </w:r>
      <w:r w:rsidRPr="00DB72D9">
        <w:rPr>
          <w:i/>
          <w:iCs/>
          <w:noProof/>
          <w:sz w:val="24"/>
          <w:szCs w:val="24"/>
        </w:rPr>
        <w:t>18</w:t>
      </w:r>
      <w:r w:rsidRPr="00DB72D9">
        <w:rPr>
          <w:noProof/>
          <w:sz w:val="24"/>
          <w:szCs w:val="24"/>
        </w:rPr>
        <w:t>(3), 572–577. https://doi.org/https://www.psicothema.com/pi?pii=3255</w:t>
      </w:r>
    </w:p>
    <w:p w14:paraId="7C3F62D4" w14:textId="65ADD5B2" w:rsidR="009D3D7E" w:rsidRPr="009D3D7E" w:rsidRDefault="009D3D7E" w:rsidP="00DB72D9">
      <w:pPr>
        <w:widowControl w:val="0"/>
        <w:autoSpaceDE w:val="0"/>
        <w:autoSpaceDN w:val="0"/>
        <w:adjustRightInd w:val="0"/>
        <w:spacing w:line="360" w:lineRule="auto"/>
        <w:ind w:left="480" w:hanging="480"/>
        <w:rPr>
          <w:noProof/>
          <w:sz w:val="24"/>
          <w:szCs w:val="24"/>
          <w:lang w:val="en-US"/>
        </w:rPr>
      </w:pPr>
      <w:r w:rsidRPr="009D3D7E">
        <w:rPr>
          <w:noProof/>
          <w:sz w:val="24"/>
          <w:szCs w:val="24"/>
          <w:lang w:val="en-US"/>
        </w:rPr>
        <w:t xml:space="preserve">Dollarhide, A. W., Rutledge, T., Weinger, M. B., Fisher, E. S., Jain, S., Wolfson, T., &amp; Dresselhaus, T. R. (2014). A real-time assessment of factors influencing medication events. </w:t>
      </w:r>
      <w:r w:rsidRPr="009D3D7E">
        <w:rPr>
          <w:i/>
          <w:iCs/>
          <w:noProof/>
          <w:sz w:val="24"/>
          <w:szCs w:val="24"/>
          <w:lang w:val="en-US"/>
        </w:rPr>
        <w:t>Journal for Healthcare Quality, 36</w:t>
      </w:r>
      <w:r w:rsidRPr="009D3D7E">
        <w:rPr>
          <w:noProof/>
          <w:sz w:val="24"/>
          <w:szCs w:val="24"/>
          <w:lang w:val="en-US"/>
        </w:rPr>
        <w:t>(5), 5–12. https://doi.org/10.1111/jhq.12012</w:t>
      </w:r>
    </w:p>
    <w:p w14:paraId="6AD4D76A" w14:textId="77777777" w:rsidR="007D6F57" w:rsidRPr="007D6F57" w:rsidRDefault="007D6F57" w:rsidP="007D6F57">
      <w:pPr>
        <w:widowControl w:val="0"/>
        <w:autoSpaceDE w:val="0"/>
        <w:autoSpaceDN w:val="0"/>
        <w:adjustRightInd w:val="0"/>
        <w:spacing w:after="160" w:line="360" w:lineRule="auto"/>
        <w:ind w:left="480" w:hanging="480"/>
        <w:rPr>
          <w:noProof/>
          <w:sz w:val="24"/>
          <w:szCs w:val="24"/>
          <w:lang w:val="es-CL"/>
        </w:rPr>
      </w:pPr>
      <w:r w:rsidRPr="007D6F57">
        <w:rPr>
          <w:noProof/>
          <w:sz w:val="24"/>
          <w:szCs w:val="24"/>
          <w:lang w:val="es-CL"/>
        </w:rPr>
        <w:t xml:space="preserve">Fazia, T., Bubbico, F., Nova, A., Buizza, C., Cela, H., Iozzi, D., Calgan, B., Maggi, F., Floris, V., Sutti, I., Bruno, S., Ghilardi, A., &amp; Bernardinelli, L. (2023). </w:t>
      </w:r>
      <w:r w:rsidRPr="00970B34">
        <w:rPr>
          <w:noProof/>
          <w:sz w:val="24"/>
          <w:szCs w:val="24"/>
        </w:rPr>
        <w:t xml:space="preserve">Improving stress management, anxiety, and mental well-being in medical students through an online Mindfulness-Based Intervention: a randomized study. </w:t>
      </w:r>
      <w:r w:rsidRPr="007D6F57">
        <w:rPr>
          <w:i/>
          <w:iCs/>
          <w:noProof/>
          <w:sz w:val="24"/>
          <w:szCs w:val="24"/>
          <w:lang w:val="es-CL"/>
        </w:rPr>
        <w:t>Scientific Reports</w:t>
      </w:r>
      <w:r w:rsidRPr="007D6F57">
        <w:rPr>
          <w:noProof/>
          <w:sz w:val="24"/>
          <w:szCs w:val="24"/>
          <w:lang w:val="es-CL"/>
        </w:rPr>
        <w:t xml:space="preserve">, </w:t>
      </w:r>
      <w:r w:rsidRPr="007D6F57">
        <w:rPr>
          <w:i/>
          <w:iCs/>
          <w:noProof/>
          <w:sz w:val="24"/>
          <w:szCs w:val="24"/>
          <w:lang w:val="es-CL"/>
        </w:rPr>
        <w:t>13</w:t>
      </w:r>
      <w:r w:rsidRPr="007D6F57">
        <w:rPr>
          <w:noProof/>
          <w:sz w:val="24"/>
          <w:szCs w:val="24"/>
          <w:lang w:val="es-CL"/>
        </w:rPr>
        <w:t>(1), 8214. https://doi.org/10.1038/s41598-023-35483-z</w:t>
      </w:r>
    </w:p>
    <w:p w14:paraId="4773C3BD" w14:textId="77777777" w:rsidR="007D6F57" w:rsidRPr="00BB04C1" w:rsidRDefault="007D6F57" w:rsidP="007D6F57">
      <w:pPr>
        <w:widowControl w:val="0"/>
        <w:autoSpaceDE w:val="0"/>
        <w:autoSpaceDN w:val="0"/>
        <w:adjustRightInd w:val="0"/>
        <w:spacing w:after="160" w:line="360" w:lineRule="auto"/>
        <w:ind w:left="480" w:hanging="480"/>
        <w:rPr>
          <w:noProof/>
          <w:sz w:val="24"/>
          <w:szCs w:val="24"/>
        </w:rPr>
      </w:pPr>
      <w:r w:rsidRPr="00BB04C1">
        <w:rPr>
          <w:noProof/>
          <w:sz w:val="24"/>
          <w:szCs w:val="24"/>
        </w:rPr>
        <w:t xml:space="preserve">Freudenberger, H. J. (1974). How we can right what’s wrong with our Therapeutic Communities. </w:t>
      </w:r>
      <w:r w:rsidRPr="00BB04C1">
        <w:rPr>
          <w:i/>
          <w:iCs/>
          <w:noProof/>
          <w:sz w:val="24"/>
          <w:szCs w:val="24"/>
        </w:rPr>
        <w:t>Journal of Drug Issues</w:t>
      </w:r>
      <w:r w:rsidRPr="00BB04C1">
        <w:rPr>
          <w:noProof/>
          <w:sz w:val="24"/>
          <w:szCs w:val="24"/>
        </w:rPr>
        <w:t xml:space="preserve">, </w:t>
      </w:r>
      <w:r w:rsidRPr="00BB04C1">
        <w:rPr>
          <w:i/>
          <w:iCs/>
          <w:noProof/>
          <w:sz w:val="24"/>
          <w:szCs w:val="24"/>
        </w:rPr>
        <w:t>4</w:t>
      </w:r>
      <w:r w:rsidRPr="00BB04C1">
        <w:rPr>
          <w:noProof/>
          <w:sz w:val="24"/>
          <w:szCs w:val="24"/>
        </w:rPr>
        <w:t>(4), 381–392. https://doi.org/10.1177/002204267400400410</w:t>
      </w:r>
    </w:p>
    <w:p w14:paraId="0467C9C8" w14:textId="61292D08" w:rsidR="007D6F57" w:rsidRPr="00970B34" w:rsidRDefault="007D6F57" w:rsidP="007D6F57">
      <w:pPr>
        <w:widowControl w:val="0"/>
        <w:autoSpaceDE w:val="0"/>
        <w:autoSpaceDN w:val="0"/>
        <w:adjustRightInd w:val="0"/>
        <w:spacing w:after="160" w:line="360" w:lineRule="auto"/>
        <w:ind w:left="480" w:hanging="480"/>
        <w:rPr>
          <w:noProof/>
          <w:sz w:val="24"/>
        </w:rPr>
      </w:pPr>
      <w:r>
        <w:rPr>
          <w:sz w:val="24"/>
          <w:szCs w:val="24"/>
        </w:rPr>
        <w:fldChar w:fldCharType="begin" w:fldLock="1"/>
      </w:r>
      <w:r>
        <w:rPr>
          <w:sz w:val="24"/>
          <w:szCs w:val="24"/>
        </w:rPr>
        <w:instrText xml:space="preserve">ADDIN Mendeley Bibliography CSL_BIBLIOGRAPHY </w:instrText>
      </w:r>
      <w:r>
        <w:rPr>
          <w:sz w:val="24"/>
          <w:szCs w:val="24"/>
        </w:rPr>
        <w:fldChar w:fldCharType="separate"/>
      </w:r>
      <w:r w:rsidRPr="00970B34">
        <w:rPr>
          <w:noProof/>
          <w:sz w:val="24"/>
          <w:szCs w:val="24"/>
        </w:rPr>
        <w:t xml:space="preserve">García-Lozano, T. N. (2024). Third Generation Therapies in the treatment of Grief. </w:t>
      </w:r>
      <w:r w:rsidRPr="00970B34">
        <w:rPr>
          <w:i/>
          <w:iCs/>
          <w:noProof/>
          <w:sz w:val="24"/>
          <w:szCs w:val="24"/>
        </w:rPr>
        <w:t>Journal of Basic and Applied Psychology Research</w:t>
      </w:r>
      <w:r w:rsidRPr="00970B34">
        <w:rPr>
          <w:noProof/>
          <w:sz w:val="24"/>
          <w:szCs w:val="24"/>
        </w:rPr>
        <w:t xml:space="preserve">, </w:t>
      </w:r>
      <w:r w:rsidRPr="00970B34">
        <w:rPr>
          <w:i/>
          <w:iCs/>
          <w:noProof/>
          <w:sz w:val="24"/>
          <w:szCs w:val="24"/>
        </w:rPr>
        <w:t>5</w:t>
      </w:r>
      <w:r w:rsidRPr="00970B34">
        <w:rPr>
          <w:noProof/>
          <w:sz w:val="24"/>
          <w:szCs w:val="24"/>
        </w:rPr>
        <w:t>(10), 21–27. https://doi.org/10.29057/jbapr.v5i10.7746</w:t>
      </w:r>
    </w:p>
    <w:p w14:paraId="6A6A0E72" w14:textId="32FFB54B" w:rsidR="007D6F57" w:rsidRPr="007D6F57" w:rsidRDefault="007D6F57" w:rsidP="007D6F57">
      <w:pPr>
        <w:widowControl w:val="0"/>
        <w:autoSpaceDE w:val="0"/>
        <w:autoSpaceDN w:val="0"/>
        <w:adjustRightInd w:val="0"/>
        <w:spacing w:after="160" w:line="360" w:lineRule="auto"/>
        <w:ind w:left="480" w:hanging="480"/>
        <w:rPr>
          <w:noProof/>
          <w:sz w:val="24"/>
          <w:lang w:val="es-CL"/>
        </w:rPr>
      </w:pPr>
      <w:r>
        <w:rPr>
          <w:sz w:val="24"/>
          <w:szCs w:val="24"/>
        </w:rPr>
        <w:fldChar w:fldCharType="end"/>
      </w:r>
      <w:r w:rsidRPr="007D6F57">
        <w:rPr>
          <w:noProof/>
          <w:sz w:val="24"/>
          <w:szCs w:val="24"/>
          <w:lang w:val="es-CL"/>
        </w:rPr>
        <w:t xml:space="preserve"> </w:t>
      </w:r>
      <w:r w:rsidRPr="007D6F57">
        <w:rPr>
          <w:noProof/>
          <w:sz w:val="24"/>
          <w:szCs w:val="24"/>
          <w:lang w:val="es-CL"/>
        </w:rPr>
        <w:t xml:space="preserve">García, M., Fernández, M., &amp; Crespo, A. (2017). </w:t>
      </w:r>
      <w:r w:rsidRPr="007D6F57">
        <w:rPr>
          <w:i/>
          <w:iCs/>
          <w:noProof/>
          <w:sz w:val="24"/>
          <w:szCs w:val="24"/>
          <w:lang w:val="es-CL"/>
        </w:rPr>
        <w:t>Manual de técnicas y terapias cognitivo conductuales</w:t>
      </w:r>
      <w:r w:rsidRPr="007D6F57">
        <w:rPr>
          <w:noProof/>
          <w:sz w:val="24"/>
          <w:szCs w:val="24"/>
          <w:lang w:val="es-CL"/>
        </w:rPr>
        <w:t>. Desclée de Brouwer. https://dialnet.unirioja.es/servlet/libro?codigo=764734</w:t>
      </w:r>
    </w:p>
    <w:p w14:paraId="7916962C" w14:textId="124574DB" w:rsidR="00DB72D9" w:rsidRPr="00DB72D9" w:rsidRDefault="00DB72D9" w:rsidP="00DB72D9">
      <w:pPr>
        <w:widowControl w:val="0"/>
        <w:autoSpaceDE w:val="0"/>
        <w:autoSpaceDN w:val="0"/>
        <w:adjustRightInd w:val="0"/>
        <w:spacing w:line="360" w:lineRule="auto"/>
        <w:ind w:left="480" w:hanging="480"/>
        <w:rPr>
          <w:noProof/>
          <w:sz w:val="24"/>
          <w:szCs w:val="24"/>
        </w:rPr>
      </w:pPr>
      <w:r w:rsidRPr="00DB72D9">
        <w:rPr>
          <w:noProof/>
          <w:sz w:val="24"/>
          <w:szCs w:val="24"/>
        </w:rPr>
        <w:t xml:space="preserve">Gloster, A. T., Walder, N., Levin, M. E., Twohig, M. P., &amp; Karekla, M. (2020). The empirical status of acceptance and commitment therapy: A review of meta-analyses. </w:t>
      </w:r>
      <w:r w:rsidRPr="00DB72D9">
        <w:rPr>
          <w:i/>
          <w:iCs/>
          <w:noProof/>
          <w:sz w:val="24"/>
          <w:szCs w:val="24"/>
        </w:rPr>
        <w:t>Journal of Contextual Behavioral Science</w:t>
      </w:r>
      <w:r w:rsidRPr="00DB72D9">
        <w:rPr>
          <w:noProof/>
          <w:sz w:val="24"/>
          <w:szCs w:val="24"/>
        </w:rPr>
        <w:t xml:space="preserve">, </w:t>
      </w:r>
      <w:r w:rsidRPr="00DB72D9">
        <w:rPr>
          <w:i/>
          <w:iCs/>
          <w:noProof/>
          <w:sz w:val="24"/>
          <w:szCs w:val="24"/>
        </w:rPr>
        <w:t>18</w:t>
      </w:r>
      <w:r w:rsidRPr="00DB72D9">
        <w:rPr>
          <w:noProof/>
          <w:sz w:val="24"/>
          <w:szCs w:val="24"/>
        </w:rPr>
        <w:t>, 181–192. https://doi.org/10.1016/j.jcbs.2020.09.009</w:t>
      </w:r>
    </w:p>
    <w:p w14:paraId="728C14C3" w14:textId="77777777" w:rsidR="00DB72D9" w:rsidRPr="00DB72D9" w:rsidRDefault="00DB72D9" w:rsidP="00DB72D9">
      <w:pPr>
        <w:widowControl w:val="0"/>
        <w:autoSpaceDE w:val="0"/>
        <w:autoSpaceDN w:val="0"/>
        <w:adjustRightInd w:val="0"/>
        <w:spacing w:line="360" w:lineRule="auto"/>
        <w:ind w:left="480" w:hanging="480"/>
        <w:rPr>
          <w:noProof/>
          <w:sz w:val="24"/>
          <w:szCs w:val="24"/>
        </w:rPr>
      </w:pPr>
      <w:r w:rsidRPr="00DB72D9">
        <w:rPr>
          <w:noProof/>
          <w:sz w:val="24"/>
          <w:szCs w:val="24"/>
        </w:rPr>
        <w:t xml:space="preserve">Goldberg, S. B., Tucker, R. P., Greene, P. A., Davidson, R. J., Kearney, D. J., &amp; Simpson, T. L. (2019). Mindfulness-based cognitive therapy for the treatment of current depressive symptoms: a meta-analysis. </w:t>
      </w:r>
      <w:r w:rsidRPr="00DB72D9">
        <w:rPr>
          <w:i/>
          <w:iCs/>
          <w:noProof/>
          <w:sz w:val="24"/>
          <w:szCs w:val="24"/>
        </w:rPr>
        <w:t>Cognitive Behaviour Therapy</w:t>
      </w:r>
      <w:r w:rsidRPr="00DB72D9">
        <w:rPr>
          <w:noProof/>
          <w:sz w:val="24"/>
          <w:szCs w:val="24"/>
        </w:rPr>
        <w:t xml:space="preserve">, </w:t>
      </w:r>
      <w:r w:rsidRPr="00DB72D9">
        <w:rPr>
          <w:i/>
          <w:iCs/>
          <w:noProof/>
          <w:sz w:val="24"/>
          <w:szCs w:val="24"/>
        </w:rPr>
        <w:t>48</w:t>
      </w:r>
      <w:r w:rsidRPr="00DB72D9">
        <w:rPr>
          <w:noProof/>
          <w:sz w:val="24"/>
          <w:szCs w:val="24"/>
        </w:rPr>
        <w:t>(6), 445–462. https://doi.org/10.1080/16506073.2018.1556330</w:t>
      </w:r>
    </w:p>
    <w:p w14:paraId="4DA78A98" w14:textId="1A2246B5" w:rsidR="009D3D7E" w:rsidRDefault="009D3D7E" w:rsidP="00DB72D9">
      <w:pPr>
        <w:widowControl w:val="0"/>
        <w:autoSpaceDE w:val="0"/>
        <w:autoSpaceDN w:val="0"/>
        <w:adjustRightInd w:val="0"/>
        <w:spacing w:line="360" w:lineRule="auto"/>
        <w:ind w:left="480" w:hanging="480"/>
        <w:rPr>
          <w:noProof/>
          <w:sz w:val="24"/>
          <w:szCs w:val="24"/>
        </w:rPr>
      </w:pPr>
      <w:r w:rsidRPr="009D3D7E">
        <w:rPr>
          <w:noProof/>
          <w:sz w:val="24"/>
          <w:szCs w:val="24"/>
        </w:rPr>
        <w:t xml:space="preserve">Hall, L. H., Johnson, J., Watt, I., Tsipa, A., &amp; O’Connor, D. B. (2016). Healthcare staff wellbeing, burnout, and patient safety: A systematic review. </w:t>
      </w:r>
      <w:r w:rsidRPr="009D3D7E">
        <w:rPr>
          <w:i/>
          <w:iCs/>
          <w:noProof/>
          <w:sz w:val="24"/>
          <w:szCs w:val="24"/>
        </w:rPr>
        <w:t>PLOS ONE, 11</w:t>
      </w:r>
      <w:r w:rsidRPr="009D3D7E">
        <w:rPr>
          <w:noProof/>
          <w:sz w:val="24"/>
          <w:szCs w:val="24"/>
        </w:rPr>
        <w:t>(7), e0159015. https://doi.org/10.1371/journal.pone.0159015</w:t>
      </w:r>
    </w:p>
    <w:p w14:paraId="03056392" w14:textId="708F89D4" w:rsidR="00DB72D9" w:rsidRDefault="00DB72D9" w:rsidP="00DB72D9">
      <w:pPr>
        <w:widowControl w:val="0"/>
        <w:autoSpaceDE w:val="0"/>
        <w:autoSpaceDN w:val="0"/>
        <w:adjustRightInd w:val="0"/>
        <w:spacing w:line="360" w:lineRule="auto"/>
        <w:ind w:left="480" w:hanging="480"/>
        <w:rPr>
          <w:noProof/>
          <w:sz w:val="24"/>
          <w:szCs w:val="24"/>
        </w:rPr>
      </w:pPr>
      <w:r w:rsidRPr="00DB72D9">
        <w:rPr>
          <w:noProof/>
          <w:sz w:val="24"/>
          <w:szCs w:val="24"/>
        </w:rPr>
        <w:lastRenderedPageBreak/>
        <w:t xml:space="preserve">Heath, N., Midkiff, M. F., Gerhart, J., &amp; Turow, R. G. (2021). Group-based DBT skills training modules are linked to independent and additive improvements in emotion regulation in a heterogeneous outpatient sample. </w:t>
      </w:r>
      <w:r w:rsidRPr="00DB72D9">
        <w:rPr>
          <w:i/>
          <w:iCs/>
          <w:noProof/>
          <w:sz w:val="24"/>
          <w:szCs w:val="24"/>
        </w:rPr>
        <w:t>Psychotherapy Research</w:t>
      </w:r>
      <w:r w:rsidRPr="00DB72D9">
        <w:rPr>
          <w:noProof/>
          <w:sz w:val="24"/>
          <w:szCs w:val="24"/>
        </w:rPr>
        <w:t xml:space="preserve">, </w:t>
      </w:r>
      <w:r w:rsidRPr="00DB72D9">
        <w:rPr>
          <w:i/>
          <w:iCs/>
          <w:noProof/>
          <w:sz w:val="24"/>
          <w:szCs w:val="24"/>
        </w:rPr>
        <w:t>31</w:t>
      </w:r>
      <w:r w:rsidRPr="00DB72D9">
        <w:rPr>
          <w:noProof/>
          <w:sz w:val="24"/>
          <w:szCs w:val="24"/>
        </w:rPr>
        <w:t>(8), 1001–1011. https://doi.org/10.1080/10503307.2021.1878306</w:t>
      </w:r>
    </w:p>
    <w:p w14:paraId="1F26C303" w14:textId="77777777" w:rsidR="007D6F57" w:rsidRPr="00970B34" w:rsidRDefault="007D6F57" w:rsidP="007D6F57">
      <w:pPr>
        <w:widowControl w:val="0"/>
        <w:autoSpaceDE w:val="0"/>
        <w:autoSpaceDN w:val="0"/>
        <w:adjustRightInd w:val="0"/>
        <w:spacing w:after="160" w:line="360" w:lineRule="auto"/>
        <w:ind w:left="480" w:hanging="480"/>
        <w:rPr>
          <w:noProof/>
          <w:sz w:val="24"/>
          <w:szCs w:val="24"/>
        </w:rPr>
      </w:pPr>
      <w:r w:rsidRPr="00970B34">
        <w:rPr>
          <w:noProof/>
          <w:sz w:val="24"/>
          <w:szCs w:val="24"/>
        </w:rPr>
        <w:t xml:space="preserve">Isham, A., Mair, S., &amp; Jackson, T. (2020). </w:t>
      </w:r>
      <w:r w:rsidRPr="00970B34">
        <w:rPr>
          <w:i/>
          <w:iCs/>
          <w:noProof/>
          <w:sz w:val="24"/>
          <w:szCs w:val="24"/>
        </w:rPr>
        <w:t>Wellbeing and productivity: a review of the literature. Centre for the Understanding of Sustainable Prosperity</w:t>
      </w:r>
      <w:r w:rsidRPr="00970B34">
        <w:rPr>
          <w:noProof/>
          <w:sz w:val="24"/>
          <w:szCs w:val="24"/>
        </w:rPr>
        <w:t>. Guildford: University of Surrey. https://www.cusp.ac.uk/wp-content/uploads/pp-wellbeing-report.pdf#ppwm</w:t>
      </w:r>
    </w:p>
    <w:p w14:paraId="00C98CB8" w14:textId="77777777" w:rsidR="00DB72D9" w:rsidRPr="00DB72D9" w:rsidRDefault="00DB72D9" w:rsidP="00DB72D9">
      <w:pPr>
        <w:widowControl w:val="0"/>
        <w:autoSpaceDE w:val="0"/>
        <w:autoSpaceDN w:val="0"/>
        <w:adjustRightInd w:val="0"/>
        <w:spacing w:line="360" w:lineRule="auto"/>
        <w:ind w:left="480" w:hanging="480"/>
        <w:rPr>
          <w:noProof/>
          <w:sz w:val="24"/>
          <w:szCs w:val="24"/>
        </w:rPr>
      </w:pPr>
      <w:r w:rsidRPr="00DB72D9">
        <w:rPr>
          <w:noProof/>
          <w:sz w:val="24"/>
          <w:szCs w:val="24"/>
        </w:rPr>
        <w:t xml:space="preserve">Iyer, S. (2022). Mindfulness-based interventions: Can they improve self-care and psychological well-being? </w:t>
      </w:r>
      <w:r w:rsidRPr="00DB72D9">
        <w:rPr>
          <w:i/>
          <w:iCs/>
          <w:noProof/>
          <w:sz w:val="24"/>
          <w:szCs w:val="24"/>
        </w:rPr>
        <w:t>Indian Journal of Critical Care Medicine</w:t>
      </w:r>
      <w:r w:rsidRPr="00DB72D9">
        <w:rPr>
          <w:noProof/>
          <w:sz w:val="24"/>
          <w:szCs w:val="24"/>
        </w:rPr>
        <w:t xml:space="preserve">, </w:t>
      </w:r>
      <w:r w:rsidRPr="00DB72D9">
        <w:rPr>
          <w:i/>
          <w:iCs/>
          <w:noProof/>
          <w:sz w:val="24"/>
          <w:szCs w:val="24"/>
        </w:rPr>
        <w:t>26</w:t>
      </w:r>
      <w:r w:rsidRPr="00DB72D9">
        <w:rPr>
          <w:noProof/>
          <w:sz w:val="24"/>
          <w:szCs w:val="24"/>
        </w:rPr>
        <w:t>(4), 409–410. https://doi.org/10.5005/jp-journals-10071-24194</w:t>
      </w:r>
    </w:p>
    <w:p w14:paraId="4F28168F" w14:textId="77777777" w:rsidR="00DB72D9" w:rsidRPr="00DB72D9" w:rsidRDefault="00DB72D9" w:rsidP="00DB72D9">
      <w:pPr>
        <w:widowControl w:val="0"/>
        <w:autoSpaceDE w:val="0"/>
        <w:autoSpaceDN w:val="0"/>
        <w:adjustRightInd w:val="0"/>
        <w:spacing w:line="360" w:lineRule="auto"/>
        <w:ind w:left="480" w:hanging="480"/>
        <w:rPr>
          <w:noProof/>
          <w:sz w:val="24"/>
          <w:szCs w:val="24"/>
        </w:rPr>
      </w:pPr>
      <w:r w:rsidRPr="00DB72D9">
        <w:rPr>
          <w:noProof/>
          <w:sz w:val="24"/>
          <w:szCs w:val="24"/>
        </w:rPr>
        <w:t xml:space="preserve">Jun, W.-H., Cha, K.-S., &amp; Lee, K.-L. (2015). Factors affecting subjective well-being in nursing students. </w:t>
      </w:r>
      <w:r w:rsidRPr="00DB72D9">
        <w:rPr>
          <w:i/>
          <w:iCs/>
          <w:noProof/>
          <w:sz w:val="24"/>
          <w:szCs w:val="24"/>
        </w:rPr>
        <w:t>The Journal of Korean Academic Society of Nursing Education</w:t>
      </w:r>
      <w:r w:rsidRPr="00DB72D9">
        <w:rPr>
          <w:noProof/>
          <w:sz w:val="24"/>
          <w:szCs w:val="24"/>
        </w:rPr>
        <w:t xml:space="preserve">, </w:t>
      </w:r>
      <w:r w:rsidRPr="00DB72D9">
        <w:rPr>
          <w:i/>
          <w:iCs/>
          <w:noProof/>
          <w:sz w:val="24"/>
          <w:szCs w:val="24"/>
        </w:rPr>
        <w:t>21</w:t>
      </w:r>
      <w:r w:rsidRPr="00DB72D9">
        <w:rPr>
          <w:noProof/>
          <w:sz w:val="24"/>
          <w:szCs w:val="24"/>
        </w:rPr>
        <w:t>(2), 276–284. https://doi.org/10.5977/jkasne.2015.21.2.276</w:t>
      </w:r>
    </w:p>
    <w:p w14:paraId="4FF640C3" w14:textId="77777777" w:rsidR="00DB72D9" w:rsidRPr="00DB72D9" w:rsidRDefault="00DB72D9" w:rsidP="00DB72D9">
      <w:pPr>
        <w:widowControl w:val="0"/>
        <w:autoSpaceDE w:val="0"/>
        <w:autoSpaceDN w:val="0"/>
        <w:adjustRightInd w:val="0"/>
        <w:spacing w:line="360" w:lineRule="auto"/>
        <w:ind w:left="480" w:hanging="480"/>
        <w:rPr>
          <w:noProof/>
          <w:sz w:val="24"/>
          <w:szCs w:val="24"/>
        </w:rPr>
      </w:pPr>
      <w:r w:rsidRPr="00DB72D9">
        <w:rPr>
          <w:noProof/>
          <w:sz w:val="24"/>
          <w:szCs w:val="24"/>
        </w:rPr>
        <w:t xml:space="preserve">Kim, S. R., Park, O. L., Kim, H. Y., &amp; Kim, J. Y. (2019). Factors influencing well‐being in clinical nurses: A path analysis using a multi‐mediation model. </w:t>
      </w:r>
      <w:r w:rsidRPr="00DB72D9">
        <w:rPr>
          <w:i/>
          <w:iCs/>
          <w:noProof/>
          <w:sz w:val="24"/>
          <w:szCs w:val="24"/>
        </w:rPr>
        <w:t>Journal of Clinical Nursing</w:t>
      </w:r>
      <w:r w:rsidRPr="00DB72D9">
        <w:rPr>
          <w:noProof/>
          <w:sz w:val="24"/>
          <w:szCs w:val="24"/>
        </w:rPr>
        <w:t xml:space="preserve">, </w:t>
      </w:r>
      <w:r w:rsidRPr="00DB72D9">
        <w:rPr>
          <w:i/>
          <w:iCs/>
          <w:noProof/>
          <w:sz w:val="24"/>
          <w:szCs w:val="24"/>
        </w:rPr>
        <w:t>28</w:t>
      </w:r>
      <w:r w:rsidRPr="00DB72D9">
        <w:rPr>
          <w:noProof/>
          <w:sz w:val="24"/>
          <w:szCs w:val="24"/>
        </w:rPr>
        <w:t>(23–24), 4549–4559. https://doi.org/10.1111/jocn.15045</w:t>
      </w:r>
    </w:p>
    <w:p w14:paraId="26DB4CE2" w14:textId="77777777" w:rsidR="007D6F57" w:rsidRPr="009D3D7E" w:rsidRDefault="007D6F57" w:rsidP="007D6F57">
      <w:pPr>
        <w:widowControl w:val="0"/>
        <w:autoSpaceDE w:val="0"/>
        <w:autoSpaceDN w:val="0"/>
        <w:adjustRightInd w:val="0"/>
        <w:spacing w:line="360" w:lineRule="auto"/>
        <w:ind w:left="480" w:hanging="480"/>
        <w:rPr>
          <w:noProof/>
          <w:sz w:val="24"/>
          <w:szCs w:val="24"/>
          <w:lang w:val="en-US"/>
        </w:rPr>
      </w:pPr>
      <w:r w:rsidRPr="009D3D7E">
        <w:rPr>
          <w:noProof/>
          <w:sz w:val="24"/>
          <w:szCs w:val="24"/>
          <w:lang w:val="en-US"/>
        </w:rPr>
        <w:t xml:space="preserve">Lyndon, A. (2016). Burnout among Health Professionals and Effect on Patient Safety. AHRQ PS Net. </w:t>
      </w:r>
      <w:r w:rsidRPr="009D3D7E">
        <w:rPr>
          <w:i/>
          <w:iCs/>
          <w:noProof/>
          <w:sz w:val="24"/>
          <w:szCs w:val="24"/>
          <w:lang w:val="en-US"/>
        </w:rPr>
        <w:t>Perspectives on Safety</w:t>
      </w:r>
      <w:r w:rsidRPr="009D3D7E">
        <w:rPr>
          <w:noProof/>
          <w:sz w:val="24"/>
          <w:szCs w:val="24"/>
          <w:lang w:val="en-US"/>
        </w:rPr>
        <w:t>. https://psnet.ahrq.gov/perspectives/perspective/190/burnout-among-health-professionals-%0Aand-its-effect-on-patient-safety</w:t>
      </w:r>
    </w:p>
    <w:p w14:paraId="351F5740" w14:textId="2F2EB7EA" w:rsidR="00DB72D9" w:rsidRPr="00DB72D9" w:rsidRDefault="00DB72D9" w:rsidP="00DB72D9">
      <w:pPr>
        <w:widowControl w:val="0"/>
        <w:autoSpaceDE w:val="0"/>
        <w:autoSpaceDN w:val="0"/>
        <w:adjustRightInd w:val="0"/>
        <w:spacing w:line="360" w:lineRule="auto"/>
        <w:ind w:left="480" w:hanging="480"/>
        <w:rPr>
          <w:noProof/>
          <w:sz w:val="24"/>
          <w:szCs w:val="24"/>
        </w:rPr>
      </w:pPr>
      <w:r w:rsidRPr="00DB72D9">
        <w:rPr>
          <w:noProof/>
          <w:sz w:val="24"/>
          <w:szCs w:val="24"/>
        </w:rPr>
        <w:t xml:space="preserve">Linehan, M. (2015). </w:t>
      </w:r>
      <w:r w:rsidRPr="00DB72D9">
        <w:rPr>
          <w:i/>
          <w:iCs/>
          <w:noProof/>
          <w:sz w:val="24"/>
          <w:szCs w:val="24"/>
        </w:rPr>
        <w:t>Skills training manual</w:t>
      </w:r>
      <w:r w:rsidRPr="00DB72D9">
        <w:rPr>
          <w:noProof/>
          <w:sz w:val="24"/>
          <w:szCs w:val="24"/>
        </w:rPr>
        <w:t xml:space="preserve"> (Second). New York, NY: Guilford Publications. https://www.guilford.com/books/DBT-Skills-Training-Manual/Marsha-Linehan/9781462516995</w:t>
      </w:r>
    </w:p>
    <w:p w14:paraId="64838E73" w14:textId="77777777" w:rsidR="007D6F57" w:rsidRPr="00970B34" w:rsidRDefault="007D6F57" w:rsidP="007D6F57">
      <w:pPr>
        <w:widowControl w:val="0"/>
        <w:autoSpaceDE w:val="0"/>
        <w:autoSpaceDN w:val="0"/>
        <w:adjustRightInd w:val="0"/>
        <w:spacing w:after="160" w:line="360" w:lineRule="auto"/>
        <w:ind w:left="480" w:hanging="480"/>
        <w:rPr>
          <w:noProof/>
          <w:sz w:val="24"/>
          <w:szCs w:val="24"/>
        </w:rPr>
      </w:pPr>
      <w:r w:rsidRPr="00970B34">
        <w:rPr>
          <w:noProof/>
          <w:sz w:val="24"/>
          <w:szCs w:val="24"/>
        </w:rPr>
        <w:t xml:space="preserve">Lu, J., Mumba, M. N., Lynch, S., Li, C., Hua, C., &amp; Allen, R. S. (2019). Nursing students’ trait mindfulness and psychological stress: A correlation and mediation analysis. </w:t>
      </w:r>
      <w:r w:rsidRPr="00970B34">
        <w:rPr>
          <w:i/>
          <w:iCs/>
          <w:noProof/>
          <w:sz w:val="24"/>
          <w:szCs w:val="24"/>
        </w:rPr>
        <w:t>Nurse Education Today</w:t>
      </w:r>
      <w:r w:rsidRPr="00970B34">
        <w:rPr>
          <w:noProof/>
          <w:sz w:val="24"/>
          <w:szCs w:val="24"/>
        </w:rPr>
        <w:t xml:space="preserve">, </w:t>
      </w:r>
      <w:r w:rsidRPr="00970B34">
        <w:rPr>
          <w:i/>
          <w:iCs/>
          <w:noProof/>
          <w:sz w:val="24"/>
          <w:szCs w:val="24"/>
        </w:rPr>
        <w:t>75</w:t>
      </w:r>
      <w:r w:rsidRPr="00970B34">
        <w:rPr>
          <w:noProof/>
          <w:sz w:val="24"/>
          <w:szCs w:val="24"/>
        </w:rPr>
        <w:t>, 41–46. https://doi.org/10.1016/j.nedt.2018.12.011</w:t>
      </w:r>
    </w:p>
    <w:p w14:paraId="0E6306FF" w14:textId="0BDF74BC" w:rsidR="00DB72D9" w:rsidRPr="00DB72D9" w:rsidRDefault="00DB72D9" w:rsidP="00DB72D9">
      <w:pPr>
        <w:widowControl w:val="0"/>
        <w:autoSpaceDE w:val="0"/>
        <w:autoSpaceDN w:val="0"/>
        <w:adjustRightInd w:val="0"/>
        <w:spacing w:line="360" w:lineRule="auto"/>
        <w:ind w:left="480" w:hanging="480"/>
        <w:rPr>
          <w:noProof/>
          <w:sz w:val="24"/>
          <w:szCs w:val="24"/>
        </w:rPr>
      </w:pPr>
      <w:r w:rsidRPr="00DB72D9">
        <w:rPr>
          <w:noProof/>
          <w:sz w:val="24"/>
          <w:szCs w:val="24"/>
        </w:rPr>
        <w:t xml:space="preserve">Macías, J., Valero-Aguayo, L., Bond, F., &amp; Blanca, M. (2019). The efficacy of functional-analytic psychotherapy and acceptance and commitment therapy (FACT) for public employees. </w:t>
      </w:r>
      <w:r w:rsidRPr="00DB72D9">
        <w:rPr>
          <w:i/>
          <w:iCs/>
          <w:noProof/>
          <w:sz w:val="24"/>
          <w:szCs w:val="24"/>
        </w:rPr>
        <w:t>Psicothema</w:t>
      </w:r>
      <w:r w:rsidRPr="00DB72D9">
        <w:rPr>
          <w:noProof/>
          <w:sz w:val="24"/>
          <w:szCs w:val="24"/>
        </w:rPr>
        <w:t xml:space="preserve">, </w:t>
      </w:r>
      <w:r w:rsidRPr="00DB72D9">
        <w:rPr>
          <w:i/>
          <w:iCs/>
          <w:noProof/>
          <w:sz w:val="24"/>
          <w:szCs w:val="24"/>
        </w:rPr>
        <w:t>31</w:t>
      </w:r>
      <w:r w:rsidRPr="00DB72D9">
        <w:rPr>
          <w:noProof/>
          <w:sz w:val="24"/>
          <w:szCs w:val="24"/>
        </w:rPr>
        <w:t>(1), 24–29. https://doi.org/https://doi.org/10.7334/psicothema2018.202</w:t>
      </w:r>
    </w:p>
    <w:p w14:paraId="081028D3" w14:textId="77777777" w:rsidR="00DB72D9" w:rsidRPr="00DB72D9" w:rsidRDefault="00DB72D9" w:rsidP="00DB72D9">
      <w:pPr>
        <w:widowControl w:val="0"/>
        <w:autoSpaceDE w:val="0"/>
        <w:autoSpaceDN w:val="0"/>
        <w:adjustRightInd w:val="0"/>
        <w:spacing w:line="360" w:lineRule="auto"/>
        <w:ind w:left="480" w:hanging="480"/>
        <w:rPr>
          <w:noProof/>
          <w:sz w:val="24"/>
          <w:szCs w:val="24"/>
        </w:rPr>
      </w:pPr>
      <w:r w:rsidRPr="00DB72D9">
        <w:rPr>
          <w:noProof/>
          <w:sz w:val="24"/>
          <w:szCs w:val="24"/>
        </w:rPr>
        <w:t xml:space="preserve">Melnyk, B. M., Kelly, S. A., Stephens, J., Dhakal, K., McGovern, C., Tucker, S., Hoying, J., McRae, K., Ault, S., Spurlock, E., &amp; Bird, S. B. (2020). Interventions to improve mental </w:t>
      </w:r>
      <w:r w:rsidRPr="00DB72D9">
        <w:rPr>
          <w:noProof/>
          <w:sz w:val="24"/>
          <w:szCs w:val="24"/>
        </w:rPr>
        <w:lastRenderedPageBreak/>
        <w:t xml:space="preserve">health, well-being, physical health, and lifestyle behaviors in physicians and nurses: A systematic review. </w:t>
      </w:r>
      <w:r w:rsidRPr="00DB72D9">
        <w:rPr>
          <w:i/>
          <w:iCs/>
          <w:noProof/>
          <w:sz w:val="24"/>
          <w:szCs w:val="24"/>
        </w:rPr>
        <w:t>American Journal of Health Promotion</w:t>
      </w:r>
      <w:r w:rsidRPr="00DB72D9">
        <w:rPr>
          <w:noProof/>
          <w:sz w:val="24"/>
          <w:szCs w:val="24"/>
        </w:rPr>
        <w:t xml:space="preserve">, </w:t>
      </w:r>
      <w:r w:rsidRPr="00DB72D9">
        <w:rPr>
          <w:i/>
          <w:iCs/>
          <w:noProof/>
          <w:sz w:val="24"/>
          <w:szCs w:val="24"/>
        </w:rPr>
        <w:t>34</w:t>
      </w:r>
      <w:r w:rsidRPr="00DB72D9">
        <w:rPr>
          <w:noProof/>
          <w:sz w:val="24"/>
          <w:szCs w:val="24"/>
        </w:rPr>
        <w:t>(8), 929–941. https://doi.org/10.1177/0890117120920451</w:t>
      </w:r>
    </w:p>
    <w:p w14:paraId="69413A8C" w14:textId="77777777" w:rsidR="007D6F57" w:rsidRPr="007D6F57" w:rsidRDefault="007D6F57" w:rsidP="007D6F57">
      <w:pPr>
        <w:widowControl w:val="0"/>
        <w:autoSpaceDE w:val="0"/>
        <w:autoSpaceDN w:val="0"/>
        <w:adjustRightInd w:val="0"/>
        <w:spacing w:after="160" w:line="360" w:lineRule="auto"/>
        <w:ind w:left="480" w:hanging="480"/>
        <w:rPr>
          <w:noProof/>
          <w:sz w:val="24"/>
          <w:szCs w:val="24"/>
          <w:lang w:val="es-CL"/>
        </w:rPr>
      </w:pPr>
      <w:r w:rsidRPr="007D6F57">
        <w:rPr>
          <w:noProof/>
          <w:sz w:val="24"/>
          <w:szCs w:val="24"/>
          <w:lang w:val="es-CL"/>
        </w:rPr>
        <w:t xml:space="preserve">Mendoza, W. R. C. (2017). Habilidades terapéuticas y limitaciones en la aplicación de las terapias de tercera generación en el contexto latinoamericano. </w:t>
      </w:r>
      <w:r w:rsidRPr="007D6F57">
        <w:rPr>
          <w:i/>
          <w:iCs/>
          <w:noProof/>
          <w:sz w:val="24"/>
          <w:szCs w:val="24"/>
          <w:lang w:val="es-CL"/>
        </w:rPr>
        <w:t>Revista Brasileira de Terapia Comportamental e Cognitiva</w:t>
      </w:r>
      <w:r w:rsidRPr="007D6F57">
        <w:rPr>
          <w:noProof/>
          <w:sz w:val="24"/>
          <w:szCs w:val="24"/>
          <w:lang w:val="es-CL"/>
        </w:rPr>
        <w:t xml:space="preserve">, </w:t>
      </w:r>
      <w:r w:rsidRPr="007D6F57">
        <w:rPr>
          <w:i/>
          <w:iCs/>
          <w:noProof/>
          <w:sz w:val="24"/>
          <w:szCs w:val="24"/>
          <w:lang w:val="es-CL"/>
        </w:rPr>
        <w:t>19</w:t>
      </w:r>
      <w:r w:rsidRPr="007D6F57">
        <w:rPr>
          <w:noProof/>
          <w:sz w:val="24"/>
          <w:szCs w:val="24"/>
          <w:lang w:val="es-CL"/>
        </w:rPr>
        <w:t>(3), 260–273. https://doi.org/10.31505/rbtcc.v19i3.1067</w:t>
      </w:r>
    </w:p>
    <w:p w14:paraId="44F0D96E" w14:textId="77777777" w:rsidR="007D6F57" w:rsidRPr="00970B34" w:rsidRDefault="007D6F57" w:rsidP="007D6F57">
      <w:pPr>
        <w:widowControl w:val="0"/>
        <w:autoSpaceDE w:val="0"/>
        <w:autoSpaceDN w:val="0"/>
        <w:adjustRightInd w:val="0"/>
        <w:spacing w:after="160" w:line="360" w:lineRule="auto"/>
        <w:ind w:left="480" w:hanging="480"/>
        <w:rPr>
          <w:noProof/>
          <w:sz w:val="24"/>
          <w:szCs w:val="24"/>
        </w:rPr>
      </w:pPr>
      <w:r w:rsidRPr="00970B34">
        <w:rPr>
          <w:noProof/>
          <w:sz w:val="24"/>
          <w:szCs w:val="24"/>
        </w:rPr>
        <w:t xml:space="preserve">Modares, M. (2011). Effectiveness of group dialectical behavior therapy (based on core mindfulness, distress tolerance and emotion regulation components) on depressive symptoms in university students. </w:t>
      </w:r>
      <w:r w:rsidRPr="00970B34">
        <w:rPr>
          <w:i/>
          <w:iCs/>
          <w:noProof/>
          <w:sz w:val="24"/>
          <w:szCs w:val="24"/>
        </w:rPr>
        <w:t>Journal of Fundamentals of Mental Health</w:t>
      </w:r>
      <w:r w:rsidRPr="00970B34">
        <w:rPr>
          <w:noProof/>
          <w:sz w:val="24"/>
          <w:szCs w:val="24"/>
        </w:rPr>
        <w:t xml:space="preserve">, </w:t>
      </w:r>
      <w:r w:rsidRPr="00970B34">
        <w:rPr>
          <w:i/>
          <w:iCs/>
          <w:noProof/>
          <w:sz w:val="24"/>
          <w:szCs w:val="24"/>
        </w:rPr>
        <w:t>13</w:t>
      </w:r>
      <w:r w:rsidRPr="00970B34">
        <w:rPr>
          <w:noProof/>
          <w:sz w:val="24"/>
          <w:szCs w:val="24"/>
        </w:rPr>
        <w:t>(50), 35–124. https://doi.org/https://doi.org/10.22038/jfmh.2011.881</w:t>
      </w:r>
    </w:p>
    <w:p w14:paraId="6EFAE55D" w14:textId="72439175" w:rsidR="00DB72D9" w:rsidRPr="00DB72D9" w:rsidRDefault="00DB72D9" w:rsidP="00DB72D9">
      <w:pPr>
        <w:widowControl w:val="0"/>
        <w:autoSpaceDE w:val="0"/>
        <w:autoSpaceDN w:val="0"/>
        <w:adjustRightInd w:val="0"/>
        <w:spacing w:line="360" w:lineRule="auto"/>
        <w:ind w:left="480" w:hanging="480"/>
        <w:rPr>
          <w:noProof/>
          <w:sz w:val="24"/>
          <w:szCs w:val="24"/>
        </w:rPr>
      </w:pPr>
      <w:r w:rsidRPr="00DB72D9">
        <w:rPr>
          <w:noProof/>
          <w:sz w:val="24"/>
          <w:szCs w:val="24"/>
        </w:rPr>
        <w:t xml:space="preserve">Moreta-Herrera, R., Reyes-Valenzuela, C., Villagrán, L., Gaibor-González, I., &amp; López-Castro, J. (2021). Estructura factorial del Cuestionario Bienestar Psicológico de Ryff en una muestra de universitarios ecuatorianos. </w:t>
      </w:r>
      <w:r w:rsidRPr="00DB72D9">
        <w:rPr>
          <w:i/>
          <w:iCs/>
          <w:noProof/>
          <w:sz w:val="24"/>
          <w:szCs w:val="24"/>
        </w:rPr>
        <w:t>Revista de Psicología</w:t>
      </w:r>
      <w:r w:rsidRPr="00DB72D9">
        <w:rPr>
          <w:noProof/>
          <w:sz w:val="24"/>
          <w:szCs w:val="24"/>
        </w:rPr>
        <w:t xml:space="preserve">, </w:t>
      </w:r>
      <w:r w:rsidRPr="00DB72D9">
        <w:rPr>
          <w:i/>
          <w:iCs/>
          <w:noProof/>
          <w:sz w:val="24"/>
          <w:szCs w:val="24"/>
        </w:rPr>
        <w:t>30</w:t>
      </w:r>
      <w:r w:rsidRPr="00DB72D9">
        <w:rPr>
          <w:noProof/>
          <w:sz w:val="24"/>
          <w:szCs w:val="24"/>
        </w:rPr>
        <w:t>(1). https://doi.org/10.5354/0719-0581.2021.55410</w:t>
      </w:r>
    </w:p>
    <w:p w14:paraId="3F5C249D" w14:textId="77777777" w:rsidR="007D6F57" w:rsidRPr="00970B34" w:rsidRDefault="007D6F57" w:rsidP="007D6F57">
      <w:pPr>
        <w:widowControl w:val="0"/>
        <w:autoSpaceDE w:val="0"/>
        <w:autoSpaceDN w:val="0"/>
        <w:adjustRightInd w:val="0"/>
        <w:spacing w:after="160" w:line="360" w:lineRule="auto"/>
        <w:ind w:left="480" w:hanging="480"/>
        <w:rPr>
          <w:noProof/>
          <w:sz w:val="24"/>
          <w:szCs w:val="24"/>
        </w:rPr>
      </w:pPr>
      <w:r w:rsidRPr="00970B34">
        <w:rPr>
          <w:noProof/>
          <w:sz w:val="24"/>
          <w:szCs w:val="24"/>
        </w:rPr>
        <w:t xml:space="preserve">Neufeld, C. B., Szupszynski, K. P. D. R., Barletta, J. B., Romero, F. A., Rutsztein, G., Airaldi, M. C., Ruiz, P., &amp; Keegan, E. (2021). The development of cognitive behavioral therapy: Practice, research, and future directions in Latin America. </w:t>
      </w:r>
      <w:r w:rsidRPr="00970B34">
        <w:rPr>
          <w:i/>
          <w:iCs/>
          <w:noProof/>
          <w:sz w:val="24"/>
          <w:szCs w:val="24"/>
        </w:rPr>
        <w:t>International Journal of Cognitive Therapy</w:t>
      </w:r>
      <w:r w:rsidRPr="00970B34">
        <w:rPr>
          <w:noProof/>
          <w:sz w:val="24"/>
          <w:szCs w:val="24"/>
        </w:rPr>
        <w:t xml:space="preserve">, </w:t>
      </w:r>
      <w:r w:rsidRPr="00970B34">
        <w:rPr>
          <w:i/>
          <w:iCs/>
          <w:noProof/>
          <w:sz w:val="24"/>
          <w:szCs w:val="24"/>
        </w:rPr>
        <w:t>14</w:t>
      </w:r>
      <w:r w:rsidRPr="00970B34">
        <w:rPr>
          <w:noProof/>
          <w:sz w:val="24"/>
          <w:szCs w:val="24"/>
        </w:rPr>
        <w:t>(1), 235–246. https://doi.org/10.1007/s41811-021-00100-2</w:t>
      </w:r>
    </w:p>
    <w:p w14:paraId="2A3E2243" w14:textId="22AB08DD" w:rsidR="00DB72D9" w:rsidRPr="00DB72D9" w:rsidRDefault="00DB72D9" w:rsidP="00DB72D9">
      <w:pPr>
        <w:widowControl w:val="0"/>
        <w:autoSpaceDE w:val="0"/>
        <w:autoSpaceDN w:val="0"/>
        <w:adjustRightInd w:val="0"/>
        <w:spacing w:line="360" w:lineRule="auto"/>
        <w:ind w:left="480" w:hanging="480"/>
        <w:rPr>
          <w:noProof/>
          <w:sz w:val="24"/>
          <w:szCs w:val="24"/>
        </w:rPr>
      </w:pPr>
      <w:r w:rsidRPr="00DB72D9">
        <w:rPr>
          <w:noProof/>
          <w:sz w:val="24"/>
          <w:szCs w:val="24"/>
        </w:rPr>
        <w:t xml:space="preserve">Normann, N., &amp; Morina, N. (2018). The efficacy of metacognitive therapy: A systematic review and meta-analysis. </w:t>
      </w:r>
      <w:r w:rsidRPr="00DB72D9">
        <w:rPr>
          <w:i/>
          <w:iCs/>
          <w:noProof/>
          <w:sz w:val="24"/>
          <w:szCs w:val="24"/>
        </w:rPr>
        <w:t>Frontiers in Psychology</w:t>
      </w:r>
      <w:r w:rsidRPr="00DB72D9">
        <w:rPr>
          <w:noProof/>
          <w:sz w:val="24"/>
          <w:szCs w:val="24"/>
        </w:rPr>
        <w:t xml:space="preserve">, </w:t>
      </w:r>
      <w:r w:rsidRPr="00DB72D9">
        <w:rPr>
          <w:i/>
          <w:iCs/>
          <w:noProof/>
          <w:sz w:val="24"/>
          <w:szCs w:val="24"/>
        </w:rPr>
        <w:t>9</w:t>
      </w:r>
      <w:r w:rsidRPr="00DB72D9">
        <w:rPr>
          <w:noProof/>
          <w:sz w:val="24"/>
          <w:szCs w:val="24"/>
        </w:rPr>
        <w:t>. https://doi.org/10.3389/fpsyg.2018.02211</w:t>
      </w:r>
    </w:p>
    <w:p w14:paraId="2CB53963" w14:textId="77777777" w:rsidR="00DB72D9" w:rsidRPr="00DB72D9" w:rsidRDefault="00DB72D9" w:rsidP="00DB72D9">
      <w:pPr>
        <w:widowControl w:val="0"/>
        <w:autoSpaceDE w:val="0"/>
        <w:autoSpaceDN w:val="0"/>
        <w:adjustRightInd w:val="0"/>
        <w:spacing w:line="360" w:lineRule="auto"/>
        <w:ind w:left="480" w:hanging="480"/>
        <w:rPr>
          <w:noProof/>
          <w:sz w:val="24"/>
          <w:szCs w:val="24"/>
        </w:rPr>
      </w:pPr>
      <w:r w:rsidRPr="00DB72D9">
        <w:rPr>
          <w:noProof/>
          <w:sz w:val="24"/>
          <w:szCs w:val="24"/>
        </w:rPr>
        <w:t xml:space="preserve">Qu, H.-Y., &amp; Wang, C.-M. (2015). Study on the relationships between nurses’ job burnout and subjective well-being. </w:t>
      </w:r>
      <w:r w:rsidRPr="00DB72D9">
        <w:rPr>
          <w:i/>
          <w:iCs/>
          <w:noProof/>
          <w:sz w:val="24"/>
          <w:szCs w:val="24"/>
        </w:rPr>
        <w:t>Chinese Nursing Research</w:t>
      </w:r>
      <w:r w:rsidRPr="00DB72D9">
        <w:rPr>
          <w:noProof/>
          <w:sz w:val="24"/>
          <w:szCs w:val="24"/>
        </w:rPr>
        <w:t xml:space="preserve">, </w:t>
      </w:r>
      <w:r w:rsidRPr="00DB72D9">
        <w:rPr>
          <w:i/>
          <w:iCs/>
          <w:noProof/>
          <w:sz w:val="24"/>
          <w:szCs w:val="24"/>
        </w:rPr>
        <w:t>2</w:t>
      </w:r>
      <w:r w:rsidRPr="00DB72D9">
        <w:rPr>
          <w:noProof/>
          <w:sz w:val="24"/>
          <w:szCs w:val="24"/>
        </w:rPr>
        <w:t>(2–3), 61–66. https://doi.org/10.1016/j.cnre.2015.09.003</w:t>
      </w:r>
    </w:p>
    <w:p w14:paraId="3F6744A9" w14:textId="6EA44409" w:rsidR="00DB72D9" w:rsidRPr="00DB72D9" w:rsidRDefault="00DB72D9" w:rsidP="00DB72D9">
      <w:pPr>
        <w:widowControl w:val="0"/>
        <w:autoSpaceDE w:val="0"/>
        <w:autoSpaceDN w:val="0"/>
        <w:adjustRightInd w:val="0"/>
        <w:spacing w:line="360" w:lineRule="auto"/>
        <w:ind w:left="480" w:hanging="480"/>
        <w:rPr>
          <w:noProof/>
          <w:sz w:val="24"/>
          <w:szCs w:val="24"/>
        </w:rPr>
      </w:pPr>
      <w:r w:rsidRPr="00DB72D9">
        <w:rPr>
          <w:noProof/>
          <w:sz w:val="24"/>
          <w:szCs w:val="24"/>
        </w:rPr>
        <w:t xml:space="preserve">Ryff, C. D. (1989). Beyond Ponce de Leon and Life Satisfaction: New directions in quest of successful ageing. </w:t>
      </w:r>
      <w:r w:rsidRPr="00DB72D9">
        <w:rPr>
          <w:i/>
          <w:iCs/>
          <w:noProof/>
          <w:sz w:val="24"/>
          <w:szCs w:val="24"/>
        </w:rPr>
        <w:t>International Journal of Behavioral Development</w:t>
      </w:r>
      <w:r w:rsidRPr="00DB72D9">
        <w:rPr>
          <w:noProof/>
          <w:sz w:val="24"/>
          <w:szCs w:val="24"/>
        </w:rPr>
        <w:t xml:space="preserve">, </w:t>
      </w:r>
      <w:r w:rsidRPr="00DB72D9">
        <w:rPr>
          <w:i/>
          <w:iCs/>
          <w:noProof/>
          <w:sz w:val="24"/>
          <w:szCs w:val="24"/>
        </w:rPr>
        <w:t>12</w:t>
      </w:r>
      <w:r w:rsidRPr="00DB72D9">
        <w:rPr>
          <w:noProof/>
          <w:sz w:val="24"/>
          <w:szCs w:val="24"/>
        </w:rPr>
        <w:t>(1), 35–55. https://doi.org/10.1177/016502548901200102</w:t>
      </w:r>
    </w:p>
    <w:p w14:paraId="77C1DBFC" w14:textId="77777777" w:rsidR="00DB72D9" w:rsidRPr="00DB72D9" w:rsidRDefault="00DB72D9" w:rsidP="00DB72D9">
      <w:pPr>
        <w:widowControl w:val="0"/>
        <w:autoSpaceDE w:val="0"/>
        <w:autoSpaceDN w:val="0"/>
        <w:adjustRightInd w:val="0"/>
        <w:spacing w:line="360" w:lineRule="auto"/>
        <w:ind w:left="480" w:hanging="480"/>
        <w:rPr>
          <w:noProof/>
          <w:sz w:val="24"/>
          <w:szCs w:val="24"/>
        </w:rPr>
      </w:pPr>
      <w:r w:rsidRPr="00DB72D9">
        <w:rPr>
          <w:noProof/>
          <w:sz w:val="24"/>
          <w:szCs w:val="24"/>
        </w:rPr>
        <w:t xml:space="preserve">Ryff, C. D., &amp; Singer, B. H. (2008). Know thyself and become what you are: A eudaimonic approach to psychological well-being. </w:t>
      </w:r>
      <w:r w:rsidRPr="00DB72D9">
        <w:rPr>
          <w:i/>
          <w:iCs/>
          <w:noProof/>
          <w:sz w:val="24"/>
          <w:szCs w:val="24"/>
        </w:rPr>
        <w:t>Journal of Happiness Studies</w:t>
      </w:r>
      <w:r w:rsidRPr="00DB72D9">
        <w:rPr>
          <w:noProof/>
          <w:sz w:val="24"/>
          <w:szCs w:val="24"/>
        </w:rPr>
        <w:t xml:space="preserve">, </w:t>
      </w:r>
      <w:r w:rsidRPr="00DB72D9">
        <w:rPr>
          <w:i/>
          <w:iCs/>
          <w:noProof/>
          <w:sz w:val="24"/>
          <w:szCs w:val="24"/>
        </w:rPr>
        <w:t>9</w:t>
      </w:r>
      <w:r w:rsidRPr="00DB72D9">
        <w:rPr>
          <w:noProof/>
          <w:sz w:val="24"/>
          <w:szCs w:val="24"/>
        </w:rPr>
        <w:t>(1), 13–39. https://doi.org/10.1007/s10902-006-9019-0</w:t>
      </w:r>
    </w:p>
    <w:p w14:paraId="6A0D524A" w14:textId="77777777" w:rsidR="007D6F57" w:rsidRPr="00970B34" w:rsidRDefault="007D6F57" w:rsidP="007D6F57">
      <w:pPr>
        <w:widowControl w:val="0"/>
        <w:autoSpaceDE w:val="0"/>
        <w:autoSpaceDN w:val="0"/>
        <w:adjustRightInd w:val="0"/>
        <w:spacing w:after="160" w:line="360" w:lineRule="auto"/>
        <w:ind w:left="480" w:hanging="480"/>
        <w:rPr>
          <w:noProof/>
          <w:sz w:val="24"/>
          <w:szCs w:val="24"/>
        </w:rPr>
      </w:pPr>
      <w:r w:rsidRPr="00970B34">
        <w:rPr>
          <w:noProof/>
          <w:sz w:val="24"/>
          <w:szCs w:val="24"/>
        </w:rPr>
        <w:t xml:space="preserve">Russo, C., &amp; Terraneo, M. (2020). Mental well-being among workers: A cross-national analysis </w:t>
      </w:r>
      <w:r w:rsidRPr="00970B34">
        <w:rPr>
          <w:noProof/>
          <w:sz w:val="24"/>
          <w:szCs w:val="24"/>
        </w:rPr>
        <w:lastRenderedPageBreak/>
        <w:t xml:space="preserve">of job insecurity impact on the workforce. </w:t>
      </w:r>
      <w:r w:rsidRPr="00970B34">
        <w:rPr>
          <w:i/>
          <w:iCs/>
          <w:noProof/>
          <w:sz w:val="24"/>
          <w:szCs w:val="24"/>
        </w:rPr>
        <w:t>Social Indicators Research</w:t>
      </w:r>
      <w:r w:rsidRPr="00970B34">
        <w:rPr>
          <w:noProof/>
          <w:sz w:val="24"/>
          <w:szCs w:val="24"/>
        </w:rPr>
        <w:t xml:space="preserve">, </w:t>
      </w:r>
      <w:r w:rsidRPr="00970B34">
        <w:rPr>
          <w:i/>
          <w:iCs/>
          <w:noProof/>
          <w:sz w:val="24"/>
          <w:szCs w:val="24"/>
        </w:rPr>
        <w:t>152</w:t>
      </w:r>
      <w:r w:rsidRPr="00970B34">
        <w:rPr>
          <w:noProof/>
          <w:sz w:val="24"/>
          <w:szCs w:val="24"/>
        </w:rPr>
        <w:t>(2), 421–442. https://doi.org/10.1007/s11205-020-02441-5</w:t>
      </w:r>
    </w:p>
    <w:p w14:paraId="3ECB6A14" w14:textId="3615E0D7" w:rsidR="009D3D7E" w:rsidRPr="009D3D7E" w:rsidRDefault="009D3D7E" w:rsidP="00DB72D9">
      <w:pPr>
        <w:widowControl w:val="0"/>
        <w:autoSpaceDE w:val="0"/>
        <w:autoSpaceDN w:val="0"/>
        <w:adjustRightInd w:val="0"/>
        <w:spacing w:line="360" w:lineRule="auto"/>
        <w:ind w:left="480" w:hanging="480"/>
        <w:rPr>
          <w:noProof/>
          <w:sz w:val="24"/>
          <w:szCs w:val="24"/>
          <w:lang w:val="en-US"/>
        </w:rPr>
      </w:pPr>
      <w:r w:rsidRPr="009D3D7E">
        <w:rPr>
          <w:noProof/>
          <w:sz w:val="24"/>
          <w:szCs w:val="24"/>
          <w:lang w:val="es-CL"/>
        </w:rPr>
        <w:t xml:space="preserve">Saleh, A. M., Awadalla, N. J., El-masri, Y. M., &amp; Sleem, W. F. (2014). </w:t>
      </w:r>
      <w:r w:rsidRPr="009D3D7E">
        <w:rPr>
          <w:noProof/>
          <w:sz w:val="24"/>
          <w:szCs w:val="24"/>
          <w:lang w:val="en-US"/>
        </w:rPr>
        <w:t xml:space="preserve">Impacts of nurses’ circadian rhythm sleep disorders, fatigue, and depression on medication administration errors. </w:t>
      </w:r>
      <w:r w:rsidRPr="009D3D7E">
        <w:rPr>
          <w:i/>
          <w:iCs/>
          <w:noProof/>
          <w:sz w:val="24"/>
          <w:szCs w:val="24"/>
          <w:lang w:val="en-US"/>
        </w:rPr>
        <w:t>Egyptian Journal of Chest Diseases and Tuberculosis, 63</w:t>
      </w:r>
      <w:r w:rsidRPr="009D3D7E">
        <w:rPr>
          <w:noProof/>
          <w:sz w:val="24"/>
          <w:szCs w:val="24"/>
          <w:lang w:val="en-US"/>
        </w:rPr>
        <w:t>(1), 145–153. https://doi.org/10.1016/j.ejcdt.2013.10.001</w:t>
      </w:r>
    </w:p>
    <w:p w14:paraId="1F2892D2" w14:textId="77777777" w:rsidR="007D6F57" w:rsidRPr="00970B34" w:rsidRDefault="007D6F57" w:rsidP="007D6F57">
      <w:pPr>
        <w:widowControl w:val="0"/>
        <w:autoSpaceDE w:val="0"/>
        <w:autoSpaceDN w:val="0"/>
        <w:adjustRightInd w:val="0"/>
        <w:spacing w:after="160" w:line="360" w:lineRule="auto"/>
        <w:ind w:left="480" w:hanging="480"/>
        <w:rPr>
          <w:noProof/>
          <w:sz w:val="24"/>
          <w:szCs w:val="24"/>
        </w:rPr>
      </w:pPr>
      <w:r w:rsidRPr="00970B34">
        <w:rPr>
          <w:noProof/>
          <w:sz w:val="24"/>
          <w:szCs w:val="24"/>
        </w:rPr>
        <w:t xml:space="preserve">Sanko, J., Mckay, M., &amp; Rogers, S. (2016). Exploring the impact of mindfulness meditation training in pre-licensure and post graduate nurses. </w:t>
      </w:r>
      <w:r w:rsidRPr="00970B34">
        <w:rPr>
          <w:i/>
          <w:iCs/>
          <w:noProof/>
          <w:sz w:val="24"/>
          <w:szCs w:val="24"/>
        </w:rPr>
        <w:t>Nurse Education Today</w:t>
      </w:r>
      <w:r w:rsidRPr="00970B34">
        <w:rPr>
          <w:noProof/>
          <w:sz w:val="24"/>
          <w:szCs w:val="24"/>
        </w:rPr>
        <w:t xml:space="preserve">, </w:t>
      </w:r>
      <w:r w:rsidRPr="00970B34">
        <w:rPr>
          <w:i/>
          <w:iCs/>
          <w:noProof/>
          <w:sz w:val="24"/>
          <w:szCs w:val="24"/>
        </w:rPr>
        <w:t>45</w:t>
      </w:r>
      <w:r w:rsidRPr="00970B34">
        <w:rPr>
          <w:noProof/>
          <w:sz w:val="24"/>
          <w:szCs w:val="24"/>
        </w:rPr>
        <w:t>, 142–147. https://doi.org/10.1016/j.nedt.2016.07.006</w:t>
      </w:r>
    </w:p>
    <w:p w14:paraId="3F2C0E76" w14:textId="77777777" w:rsidR="007D6F57" w:rsidRPr="00970B34" w:rsidRDefault="007D6F57" w:rsidP="007D6F57">
      <w:pPr>
        <w:widowControl w:val="0"/>
        <w:autoSpaceDE w:val="0"/>
        <w:autoSpaceDN w:val="0"/>
        <w:adjustRightInd w:val="0"/>
        <w:spacing w:after="160" w:line="360" w:lineRule="auto"/>
        <w:ind w:left="480" w:hanging="480"/>
        <w:rPr>
          <w:noProof/>
          <w:sz w:val="24"/>
        </w:rPr>
      </w:pPr>
      <w:r w:rsidRPr="00970B34">
        <w:rPr>
          <w:noProof/>
          <w:sz w:val="24"/>
          <w:szCs w:val="24"/>
        </w:rPr>
        <w:t xml:space="preserve">Sorensen, G., Dennerlein, J. T., Peters, S. E., Sabbath, E. L., Kelly, E. L., &amp; Wagner, G. R. (2021). The future of research on work, safety, health and wellbeing: A guiding conceptual framework. </w:t>
      </w:r>
      <w:r w:rsidRPr="00970B34">
        <w:rPr>
          <w:i/>
          <w:iCs/>
          <w:noProof/>
          <w:sz w:val="24"/>
          <w:szCs w:val="24"/>
        </w:rPr>
        <w:t>Social Science &amp; Medicine</w:t>
      </w:r>
      <w:r w:rsidRPr="00970B34">
        <w:rPr>
          <w:noProof/>
          <w:sz w:val="24"/>
          <w:szCs w:val="24"/>
        </w:rPr>
        <w:t xml:space="preserve">, </w:t>
      </w:r>
      <w:r w:rsidRPr="00970B34">
        <w:rPr>
          <w:i/>
          <w:iCs/>
          <w:noProof/>
          <w:sz w:val="24"/>
          <w:szCs w:val="24"/>
        </w:rPr>
        <w:t>269</w:t>
      </w:r>
      <w:r w:rsidRPr="00970B34">
        <w:rPr>
          <w:noProof/>
          <w:sz w:val="24"/>
          <w:szCs w:val="24"/>
        </w:rPr>
        <w:t>, 113593. https://doi.org/10.1016/j.socscimed.2020.113593</w:t>
      </w:r>
    </w:p>
    <w:p w14:paraId="045A3690" w14:textId="4EE30500" w:rsidR="00693860" w:rsidRDefault="00693860" w:rsidP="00DB72D9">
      <w:pPr>
        <w:widowControl w:val="0"/>
        <w:autoSpaceDE w:val="0"/>
        <w:autoSpaceDN w:val="0"/>
        <w:adjustRightInd w:val="0"/>
        <w:spacing w:line="360" w:lineRule="auto"/>
        <w:ind w:left="480" w:hanging="480"/>
        <w:rPr>
          <w:noProof/>
          <w:sz w:val="24"/>
          <w:szCs w:val="24"/>
        </w:rPr>
      </w:pPr>
      <w:r w:rsidRPr="00693860">
        <w:rPr>
          <w:noProof/>
          <w:sz w:val="24"/>
          <w:szCs w:val="24"/>
          <w:lang w:val="es-CL"/>
        </w:rPr>
        <w:t xml:space="preserve">Suleiman‐Martos, N., Gomez‐Urquiza, J. L., Aguayo‐Estremera, R., Cañadas‐De La Fuente, G. A., De La Fuente‐Solana, E. I., &amp; Albendín‐García, L. (2020). </w:t>
      </w:r>
      <w:r w:rsidRPr="00693860">
        <w:rPr>
          <w:noProof/>
          <w:sz w:val="24"/>
          <w:szCs w:val="24"/>
        </w:rPr>
        <w:t xml:space="preserve">The effect of mindfulness training on burnout syndrome in nursing: A systematic review and meta‐analysis. </w:t>
      </w:r>
      <w:r w:rsidRPr="00693860">
        <w:rPr>
          <w:i/>
          <w:iCs/>
          <w:noProof/>
          <w:sz w:val="24"/>
          <w:szCs w:val="24"/>
        </w:rPr>
        <w:t>Journal of Advanced Nursing, 76</w:t>
      </w:r>
      <w:r w:rsidRPr="00693860">
        <w:rPr>
          <w:noProof/>
          <w:sz w:val="24"/>
          <w:szCs w:val="24"/>
        </w:rPr>
        <w:t>(5), 1124–1140. https://doi.org/10.1111/jan.14318</w:t>
      </w:r>
    </w:p>
    <w:p w14:paraId="63215585" w14:textId="375649CE" w:rsidR="00DB72D9" w:rsidRPr="00DB72D9" w:rsidRDefault="00DB72D9" w:rsidP="00DB72D9">
      <w:pPr>
        <w:widowControl w:val="0"/>
        <w:autoSpaceDE w:val="0"/>
        <w:autoSpaceDN w:val="0"/>
        <w:adjustRightInd w:val="0"/>
        <w:spacing w:line="360" w:lineRule="auto"/>
        <w:ind w:left="480" w:hanging="480"/>
        <w:rPr>
          <w:noProof/>
          <w:sz w:val="24"/>
          <w:szCs w:val="24"/>
        </w:rPr>
      </w:pPr>
      <w:r w:rsidRPr="00DB72D9">
        <w:rPr>
          <w:noProof/>
          <w:sz w:val="24"/>
          <w:szCs w:val="24"/>
        </w:rPr>
        <w:t xml:space="preserve">Tan, M. Y. L., McConnell, B., &amp; Barlas, J. (2022). Application of Dialectical Behaviour Therapy in treating common psychiatric disorders: Study protocol for a scoping review. </w:t>
      </w:r>
      <w:r w:rsidRPr="00DB72D9">
        <w:rPr>
          <w:i/>
          <w:iCs/>
          <w:noProof/>
          <w:sz w:val="24"/>
          <w:szCs w:val="24"/>
        </w:rPr>
        <w:t>BMJ Open</w:t>
      </w:r>
      <w:r w:rsidRPr="00DB72D9">
        <w:rPr>
          <w:noProof/>
          <w:sz w:val="24"/>
          <w:szCs w:val="24"/>
        </w:rPr>
        <w:t xml:space="preserve">, </w:t>
      </w:r>
      <w:r w:rsidRPr="00DB72D9">
        <w:rPr>
          <w:i/>
          <w:iCs/>
          <w:noProof/>
          <w:sz w:val="24"/>
          <w:szCs w:val="24"/>
        </w:rPr>
        <w:t>12</w:t>
      </w:r>
      <w:r w:rsidRPr="00DB72D9">
        <w:rPr>
          <w:noProof/>
          <w:sz w:val="24"/>
          <w:szCs w:val="24"/>
        </w:rPr>
        <w:t>(9), e058565. https://doi.org/10.1136/bmjopen-2021-058565</w:t>
      </w:r>
    </w:p>
    <w:p w14:paraId="0CD7CF63" w14:textId="77777777" w:rsidR="007D6F57" w:rsidRPr="00BB04C1" w:rsidRDefault="007D6F57" w:rsidP="007D6F57">
      <w:pPr>
        <w:widowControl w:val="0"/>
        <w:autoSpaceDE w:val="0"/>
        <w:autoSpaceDN w:val="0"/>
        <w:adjustRightInd w:val="0"/>
        <w:spacing w:after="160" w:line="360" w:lineRule="auto"/>
        <w:ind w:left="480" w:hanging="480"/>
        <w:rPr>
          <w:noProof/>
          <w:sz w:val="24"/>
        </w:rPr>
      </w:pPr>
      <w:r>
        <w:rPr>
          <w:sz w:val="24"/>
          <w:szCs w:val="24"/>
        </w:rPr>
        <w:fldChar w:fldCharType="begin" w:fldLock="1"/>
      </w:r>
      <w:r>
        <w:rPr>
          <w:sz w:val="24"/>
          <w:szCs w:val="24"/>
        </w:rPr>
        <w:instrText xml:space="preserve">ADDIN Mendeley Bibliography CSL_BIBLIOGRAPHY </w:instrText>
      </w:r>
      <w:r>
        <w:rPr>
          <w:sz w:val="24"/>
          <w:szCs w:val="24"/>
        </w:rPr>
        <w:fldChar w:fldCharType="separate"/>
      </w:r>
      <w:r w:rsidRPr="00BB04C1">
        <w:rPr>
          <w:noProof/>
          <w:sz w:val="24"/>
          <w:szCs w:val="24"/>
        </w:rPr>
        <w:t xml:space="preserve">Trudel-Fitzgerald, C., Millstein, R. A., von Hippel, C., Howe, C. J., Tomasso, L. P., Wagner, G. R., &amp; VanderWeele, T. J. (2019). Psychological well-being as part of the public health debate? Insight into dimensions, interventions, and policy. </w:t>
      </w:r>
      <w:r w:rsidRPr="00BB04C1">
        <w:rPr>
          <w:i/>
          <w:iCs/>
          <w:noProof/>
          <w:sz w:val="24"/>
          <w:szCs w:val="24"/>
        </w:rPr>
        <w:t>BMC Public Health</w:t>
      </w:r>
      <w:r w:rsidRPr="00BB04C1">
        <w:rPr>
          <w:noProof/>
          <w:sz w:val="24"/>
          <w:szCs w:val="24"/>
        </w:rPr>
        <w:t xml:space="preserve">, </w:t>
      </w:r>
      <w:r w:rsidRPr="00BB04C1">
        <w:rPr>
          <w:i/>
          <w:iCs/>
          <w:noProof/>
          <w:sz w:val="24"/>
          <w:szCs w:val="24"/>
        </w:rPr>
        <w:t>19</w:t>
      </w:r>
      <w:r w:rsidRPr="00BB04C1">
        <w:rPr>
          <w:noProof/>
          <w:sz w:val="24"/>
          <w:szCs w:val="24"/>
        </w:rPr>
        <w:t>(1), 1712. https://doi.org/10.1186/s12889-019-8029-x</w:t>
      </w:r>
    </w:p>
    <w:p w14:paraId="10DABCA4" w14:textId="0D2EC0F1" w:rsidR="00DB72D9" w:rsidRPr="00DB72D9" w:rsidRDefault="007D6F57" w:rsidP="00DB72D9">
      <w:pPr>
        <w:widowControl w:val="0"/>
        <w:autoSpaceDE w:val="0"/>
        <w:autoSpaceDN w:val="0"/>
        <w:adjustRightInd w:val="0"/>
        <w:spacing w:line="360" w:lineRule="auto"/>
        <w:ind w:left="480" w:hanging="480"/>
        <w:rPr>
          <w:noProof/>
          <w:sz w:val="24"/>
          <w:szCs w:val="24"/>
        </w:rPr>
      </w:pPr>
      <w:r>
        <w:rPr>
          <w:sz w:val="24"/>
          <w:szCs w:val="24"/>
        </w:rPr>
        <w:fldChar w:fldCharType="end"/>
      </w:r>
      <w:r w:rsidR="00DB72D9" w:rsidRPr="00DB72D9">
        <w:rPr>
          <w:noProof/>
          <w:sz w:val="24"/>
          <w:szCs w:val="24"/>
        </w:rPr>
        <w:t xml:space="preserve">Tung, Y.-J., Lo, K. K. H., Ho, R. C. M., &amp; Tam, W. S. W. (2018). Prevalence of depression among nursing students: A systematic review and meta-analysis. </w:t>
      </w:r>
      <w:r w:rsidR="00DB72D9" w:rsidRPr="00DB72D9">
        <w:rPr>
          <w:i/>
          <w:iCs/>
          <w:noProof/>
          <w:sz w:val="24"/>
          <w:szCs w:val="24"/>
        </w:rPr>
        <w:t>Nurse Education Today</w:t>
      </w:r>
      <w:r w:rsidR="00DB72D9" w:rsidRPr="00DB72D9">
        <w:rPr>
          <w:noProof/>
          <w:sz w:val="24"/>
          <w:szCs w:val="24"/>
        </w:rPr>
        <w:t xml:space="preserve">, </w:t>
      </w:r>
      <w:r w:rsidR="00DB72D9" w:rsidRPr="00DB72D9">
        <w:rPr>
          <w:i/>
          <w:iCs/>
          <w:noProof/>
          <w:sz w:val="24"/>
          <w:szCs w:val="24"/>
        </w:rPr>
        <w:t>63</w:t>
      </w:r>
      <w:r w:rsidR="00DB72D9" w:rsidRPr="00DB72D9">
        <w:rPr>
          <w:noProof/>
          <w:sz w:val="24"/>
          <w:szCs w:val="24"/>
        </w:rPr>
        <w:t>, 119–129. https://doi.org/10.1016/j.nedt.2018.01.009</w:t>
      </w:r>
    </w:p>
    <w:p w14:paraId="32839394" w14:textId="77777777" w:rsidR="00DB72D9" w:rsidRPr="00DB72D9" w:rsidRDefault="00DB72D9" w:rsidP="00DB72D9">
      <w:pPr>
        <w:widowControl w:val="0"/>
        <w:autoSpaceDE w:val="0"/>
        <w:autoSpaceDN w:val="0"/>
        <w:adjustRightInd w:val="0"/>
        <w:spacing w:line="360" w:lineRule="auto"/>
        <w:ind w:left="480" w:hanging="480"/>
        <w:rPr>
          <w:noProof/>
          <w:sz w:val="24"/>
          <w:szCs w:val="24"/>
        </w:rPr>
      </w:pPr>
      <w:r w:rsidRPr="00DB72D9">
        <w:rPr>
          <w:noProof/>
          <w:sz w:val="24"/>
          <w:szCs w:val="24"/>
        </w:rPr>
        <w:t xml:space="preserve">van Dierendonck, D., &amp; Lam, H. (2023). Interventions to enhance eudaemonic psychological well‐being: A meta‐analytic review with Ryff’s Scales of Psychological Well‐being. </w:t>
      </w:r>
      <w:r w:rsidRPr="00DB72D9">
        <w:rPr>
          <w:i/>
          <w:iCs/>
          <w:noProof/>
          <w:sz w:val="24"/>
          <w:szCs w:val="24"/>
        </w:rPr>
        <w:t>Applied Psychology: Health and Well-Being</w:t>
      </w:r>
      <w:r w:rsidRPr="00DB72D9">
        <w:rPr>
          <w:noProof/>
          <w:sz w:val="24"/>
          <w:szCs w:val="24"/>
        </w:rPr>
        <w:t xml:space="preserve">, </w:t>
      </w:r>
      <w:r w:rsidRPr="00DB72D9">
        <w:rPr>
          <w:i/>
          <w:iCs/>
          <w:noProof/>
          <w:sz w:val="24"/>
          <w:szCs w:val="24"/>
        </w:rPr>
        <w:t>15</w:t>
      </w:r>
      <w:r w:rsidRPr="00DB72D9">
        <w:rPr>
          <w:noProof/>
          <w:sz w:val="24"/>
          <w:szCs w:val="24"/>
        </w:rPr>
        <w:t>(2), 594–610. https://doi.org/10.1111/aphw.12398</w:t>
      </w:r>
    </w:p>
    <w:p w14:paraId="7CC170D9" w14:textId="77777777" w:rsidR="00DB72D9" w:rsidRPr="00DB72D9" w:rsidRDefault="00DB72D9" w:rsidP="00DB72D9">
      <w:pPr>
        <w:widowControl w:val="0"/>
        <w:autoSpaceDE w:val="0"/>
        <w:autoSpaceDN w:val="0"/>
        <w:adjustRightInd w:val="0"/>
        <w:spacing w:line="360" w:lineRule="auto"/>
        <w:ind w:left="480" w:hanging="480"/>
        <w:rPr>
          <w:noProof/>
          <w:sz w:val="24"/>
          <w:szCs w:val="24"/>
        </w:rPr>
      </w:pPr>
      <w:r w:rsidRPr="00DB72D9">
        <w:rPr>
          <w:noProof/>
          <w:sz w:val="24"/>
          <w:szCs w:val="24"/>
        </w:rPr>
        <w:lastRenderedPageBreak/>
        <w:t xml:space="preserve">Van Dijk, S. (2013). </w:t>
      </w:r>
      <w:r w:rsidRPr="00DB72D9">
        <w:rPr>
          <w:i/>
          <w:iCs/>
          <w:noProof/>
          <w:sz w:val="24"/>
          <w:szCs w:val="24"/>
        </w:rPr>
        <w:t>DBT made simple: A step-by-step guide to Dialectical Behavior Therapy</w:t>
      </w:r>
      <w:r w:rsidRPr="00DB72D9">
        <w:rPr>
          <w:noProof/>
          <w:sz w:val="24"/>
          <w:szCs w:val="24"/>
        </w:rPr>
        <w:t>. New Harbinger Publications. https://www.researchpress.com/product/dbt-made-simple</w:t>
      </w:r>
    </w:p>
    <w:p w14:paraId="24133E1A" w14:textId="77777777" w:rsidR="00DB72D9" w:rsidRPr="00DB72D9" w:rsidRDefault="00DB72D9" w:rsidP="00DB72D9">
      <w:pPr>
        <w:widowControl w:val="0"/>
        <w:autoSpaceDE w:val="0"/>
        <w:autoSpaceDN w:val="0"/>
        <w:adjustRightInd w:val="0"/>
        <w:spacing w:line="360" w:lineRule="auto"/>
        <w:ind w:left="480" w:hanging="480"/>
        <w:rPr>
          <w:noProof/>
          <w:sz w:val="24"/>
          <w:szCs w:val="24"/>
        </w:rPr>
      </w:pPr>
      <w:r w:rsidRPr="00DB72D9">
        <w:rPr>
          <w:noProof/>
          <w:sz w:val="24"/>
          <w:szCs w:val="24"/>
        </w:rPr>
        <w:t xml:space="preserve">Wexler, T. M., &amp; Schellinger, J. (2023). Mindfulness-based stress reduction for nurses: An integrative review. </w:t>
      </w:r>
      <w:r w:rsidRPr="00DB72D9">
        <w:rPr>
          <w:i/>
          <w:iCs/>
          <w:noProof/>
          <w:sz w:val="24"/>
          <w:szCs w:val="24"/>
        </w:rPr>
        <w:t>Journal of Holistic Nursing</w:t>
      </w:r>
      <w:r w:rsidRPr="00DB72D9">
        <w:rPr>
          <w:noProof/>
          <w:sz w:val="24"/>
          <w:szCs w:val="24"/>
        </w:rPr>
        <w:t xml:space="preserve">, </w:t>
      </w:r>
      <w:r w:rsidRPr="00DB72D9">
        <w:rPr>
          <w:i/>
          <w:iCs/>
          <w:noProof/>
          <w:sz w:val="24"/>
          <w:szCs w:val="24"/>
        </w:rPr>
        <w:t>41</w:t>
      </w:r>
      <w:r w:rsidRPr="00DB72D9">
        <w:rPr>
          <w:noProof/>
          <w:sz w:val="24"/>
          <w:szCs w:val="24"/>
        </w:rPr>
        <w:t>(1), 40–59. https://doi.org/10.1177/08980101221079472</w:t>
      </w:r>
    </w:p>
    <w:p w14:paraId="11423C4C" w14:textId="77777777" w:rsidR="00DB72D9" w:rsidRPr="00DB72D9" w:rsidRDefault="00DB72D9" w:rsidP="00DB72D9">
      <w:pPr>
        <w:widowControl w:val="0"/>
        <w:autoSpaceDE w:val="0"/>
        <w:autoSpaceDN w:val="0"/>
        <w:adjustRightInd w:val="0"/>
        <w:spacing w:line="360" w:lineRule="auto"/>
        <w:ind w:left="480" w:hanging="480"/>
        <w:rPr>
          <w:noProof/>
          <w:sz w:val="24"/>
          <w:szCs w:val="24"/>
        </w:rPr>
      </w:pPr>
      <w:r w:rsidRPr="00DB72D9">
        <w:rPr>
          <w:noProof/>
          <w:sz w:val="24"/>
          <w:szCs w:val="24"/>
        </w:rPr>
        <w:t xml:space="preserve">Wu, S.-I., Liu, S.-I., Wu, Y.-J., Huang, L.-L., Liu, T., Kao, K.-L., &amp; Lee, Y.-H. (2023). The efficacy of applying the Interpersonal Effectiveness skills of dialectical behavior therapy into communication skills workshop for clinical nurses. </w:t>
      </w:r>
      <w:r w:rsidRPr="00DB72D9">
        <w:rPr>
          <w:i/>
          <w:iCs/>
          <w:noProof/>
          <w:sz w:val="24"/>
          <w:szCs w:val="24"/>
        </w:rPr>
        <w:t>Heliyon</w:t>
      </w:r>
      <w:r w:rsidRPr="00DB72D9">
        <w:rPr>
          <w:noProof/>
          <w:sz w:val="24"/>
          <w:szCs w:val="24"/>
        </w:rPr>
        <w:t xml:space="preserve">, </w:t>
      </w:r>
      <w:r w:rsidRPr="00DB72D9">
        <w:rPr>
          <w:i/>
          <w:iCs/>
          <w:noProof/>
          <w:sz w:val="24"/>
          <w:szCs w:val="24"/>
        </w:rPr>
        <w:t>9</w:t>
      </w:r>
      <w:r w:rsidRPr="00DB72D9">
        <w:rPr>
          <w:noProof/>
          <w:sz w:val="24"/>
          <w:szCs w:val="24"/>
        </w:rPr>
        <w:t>(3), e14066. https://doi.org/10.1016/j.heliyon.2023.e14066</w:t>
      </w:r>
    </w:p>
    <w:p w14:paraId="350FE2B6" w14:textId="77777777" w:rsidR="00DB72D9" w:rsidRPr="00DB72D9" w:rsidRDefault="00DB72D9" w:rsidP="00DB72D9">
      <w:pPr>
        <w:widowControl w:val="0"/>
        <w:autoSpaceDE w:val="0"/>
        <w:autoSpaceDN w:val="0"/>
        <w:adjustRightInd w:val="0"/>
        <w:spacing w:line="360" w:lineRule="auto"/>
        <w:ind w:left="480" w:hanging="480"/>
        <w:rPr>
          <w:noProof/>
          <w:sz w:val="24"/>
          <w:szCs w:val="24"/>
        </w:rPr>
      </w:pPr>
      <w:r w:rsidRPr="00DB72D9">
        <w:rPr>
          <w:noProof/>
          <w:sz w:val="24"/>
          <w:szCs w:val="24"/>
        </w:rPr>
        <w:t xml:space="preserve">Wyatt, K. P., Eberle, J. W., Ruork, A. K., &amp; Neacsiu, A. D. (2023). Mechanisms of change in treatments for transdiagnostic emotion dysregulation: The roles of skills use, perceived control and mindfulness. </w:t>
      </w:r>
      <w:r w:rsidRPr="00DB72D9">
        <w:rPr>
          <w:i/>
          <w:iCs/>
          <w:noProof/>
          <w:sz w:val="24"/>
          <w:szCs w:val="24"/>
        </w:rPr>
        <w:t>Clinical Psychology &amp; Psychotherapy</w:t>
      </w:r>
      <w:r w:rsidRPr="00DB72D9">
        <w:rPr>
          <w:noProof/>
          <w:sz w:val="24"/>
          <w:szCs w:val="24"/>
        </w:rPr>
        <w:t xml:space="preserve">, </w:t>
      </w:r>
      <w:r w:rsidRPr="00DB72D9">
        <w:rPr>
          <w:i/>
          <w:iCs/>
          <w:noProof/>
          <w:sz w:val="24"/>
          <w:szCs w:val="24"/>
        </w:rPr>
        <w:t>30</w:t>
      </w:r>
      <w:r w:rsidRPr="00DB72D9">
        <w:rPr>
          <w:noProof/>
          <w:sz w:val="24"/>
          <w:szCs w:val="24"/>
        </w:rPr>
        <w:t>(6), 1380–1392. https://doi.org/10.1002/cpp.2879</w:t>
      </w:r>
    </w:p>
    <w:p w14:paraId="3D793550" w14:textId="77777777" w:rsidR="00DB72D9" w:rsidRPr="00DB72D9" w:rsidRDefault="00DB72D9" w:rsidP="00DB72D9">
      <w:pPr>
        <w:widowControl w:val="0"/>
        <w:autoSpaceDE w:val="0"/>
        <w:autoSpaceDN w:val="0"/>
        <w:adjustRightInd w:val="0"/>
        <w:spacing w:line="360" w:lineRule="auto"/>
        <w:ind w:left="480" w:hanging="480"/>
        <w:rPr>
          <w:noProof/>
          <w:sz w:val="24"/>
          <w:szCs w:val="24"/>
        </w:rPr>
      </w:pPr>
      <w:r w:rsidRPr="00DB72D9">
        <w:rPr>
          <w:noProof/>
          <w:sz w:val="24"/>
          <w:szCs w:val="24"/>
        </w:rPr>
        <w:t xml:space="preserve">Yánez-Ramos, D., &amp; Moreta-Herrera, C. R. (2020). Relación del bienestar psicológico, subjetivo y laboral. Análisis en profesionales de la salud en Ecuador. </w:t>
      </w:r>
      <w:r w:rsidRPr="00DB72D9">
        <w:rPr>
          <w:i/>
          <w:iCs/>
          <w:noProof/>
          <w:sz w:val="24"/>
          <w:szCs w:val="24"/>
        </w:rPr>
        <w:t>Revista de Psicología y Ciencias Del Comportamiento de La Unidad Académica de Ciencias Jurídicas y Sociales</w:t>
      </w:r>
      <w:r w:rsidRPr="00DB72D9">
        <w:rPr>
          <w:noProof/>
          <w:sz w:val="24"/>
          <w:szCs w:val="24"/>
        </w:rPr>
        <w:t xml:space="preserve">, </w:t>
      </w:r>
      <w:r w:rsidRPr="00DB72D9">
        <w:rPr>
          <w:i/>
          <w:iCs/>
          <w:noProof/>
          <w:sz w:val="24"/>
          <w:szCs w:val="24"/>
        </w:rPr>
        <w:t>11</w:t>
      </w:r>
      <w:r w:rsidRPr="00DB72D9">
        <w:rPr>
          <w:noProof/>
          <w:sz w:val="24"/>
          <w:szCs w:val="24"/>
        </w:rPr>
        <w:t>(2), 99–111. https://doi.org/10.29059/rpcc.20201215-119</w:t>
      </w:r>
    </w:p>
    <w:p w14:paraId="6DFF05B1" w14:textId="77777777" w:rsidR="00DB72D9" w:rsidRPr="00DB72D9" w:rsidRDefault="00DB72D9" w:rsidP="00DB72D9">
      <w:pPr>
        <w:widowControl w:val="0"/>
        <w:autoSpaceDE w:val="0"/>
        <w:autoSpaceDN w:val="0"/>
        <w:adjustRightInd w:val="0"/>
        <w:spacing w:line="360" w:lineRule="auto"/>
        <w:ind w:left="480" w:hanging="480"/>
        <w:rPr>
          <w:noProof/>
          <w:sz w:val="24"/>
        </w:rPr>
      </w:pPr>
      <w:r w:rsidRPr="00DB72D9">
        <w:rPr>
          <w:noProof/>
          <w:sz w:val="24"/>
          <w:szCs w:val="24"/>
        </w:rPr>
        <w:t xml:space="preserve">Yousaf, S., Rasheed, M. I., Hameed, Z., &amp; Luqman, A. (2020). Occupational stress and its outcomes: The role of work-social support in the hospitality industry. </w:t>
      </w:r>
      <w:r w:rsidRPr="00DB72D9">
        <w:rPr>
          <w:i/>
          <w:iCs/>
          <w:noProof/>
          <w:sz w:val="24"/>
          <w:szCs w:val="24"/>
        </w:rPr>
        <w:t>Personnel Review</w:t>
      </w:r>
      <w:r w:rsidRPr="00DB72D9">
        <w:rPr>
          <w:noProof/>
          <w:sz w:val="24"/>
          <w:szCs w:val="24"/>
        </w:rPr>
        <w:t xml:space="preserve">, </w:t>
      </w:r>
      <w:r w:rsidRPr="00DB72D9">
        <w:rPr>
          <w:i/>
          <w:iCs/>
          <w:noProof/>
          <w:sz w:val="24"/>
          <w:szCs w:val="24"/>
        </w:rPr>
        <w:t>49</w:t>
      </w:r>
      <w:r w:rsidRPr="00DB72D9">
        <w:rPr>
          <w:noProof/>
          <w:sz w:val="24"/>
          <w:szCs w:val="24"/>
        </w:rPr>
        <w:t>(3), 755–773. https://doi.org/10.1108/PR-11-2018-0478</w:t>
      </w:r>
    </w:p>
    <w:p w14:paraId="5C750CF3" w14:textId="619A554F" w:rsidR="00DB423F" w:rsidRPr="00297D77" w:rsidRDefault="00BC3217" w:rsidP="009D3D7E">
      <w:pPr>
        <w:widowControl w:val="0"/>
        <w:autoSpaceDE w:val="0"/>
        <w:autoSpaceDN w:val="0"/>
        <w:adjustRightInd w:val="0"/>
        <w:spacing w:line="360" w:lineRule="auto"/>
        <w:ind w:left="480" w:hanging="480"/>
        <w:rPr>
          <w:b/>
          <w:bCs/>
          <w:sz w:val="24"/>
          <w:szCs w:val="24"/>
        </w:rPr>
      </w:pPr>
      <w:r w:rsidRPr="00297D77">
        <w:rPr>
          <w:b/>
          <w:bCs/>
          <w:sz w:val="24"/>
          <w:szCs w:val="24"/>
        </w:rPr>
        <w:fldChar w:fldCharType="end"/>
      </w:r>
      <w:r w:rsidR="009D3D7E" w:rsidRPr="009D3D7E">
        <w:t xml:space="preserve"> </w:t>
      </w:r>
      <w:r w:rsidR="009D3D7E" w:rsidRPr="009D3D7E">
        <w:rPr>
          <w:noProof/>
          <w:sz w:val="24"/>
          <w:szCs w:val="24"/>
        </w:rPr>
        <w:t xml:space="preserve">Zhang, Y.-Y., Han, W.-L., Qin, W., Yin, H.-X., Zhang, C.-F., Kong, C., &amp; Wang, Y.-L. (2018). Extent of compassion satisfaction, compassion fatigue and burnout in nursing: A meta-analysis. </w:t>
      </w:r>
      <w:r w:rsidR="009D3D7E" w:rsidRPr="009D3D7E">
        <w:rPr>
          <w:i/>
          <w:iCs/>
          <w:noProof/>
          <w:sz w:val="24"/>
          <w:szCs w:val="24"/>
        </w:rPr>
        <w:t>Journal of Nursing Management, 26</w:t>
      </w:r>
      <w:r w:rsidR="009D3D7E" w:rsidRPr="009D3D7E">
        <w:rPr>
          <w:noProof/>
          <w:sz w:val="24"/>
          <w:szCs w:val="24"/>
        </w:rPr>
        <w:t>(7), 810–819. https://doi.org/10.1111/jonm.12589</w:t>
      </w:r>
    </w:p>
    <w:sectPr w:rsidR="00DB423F" w:rsidRPr="00297D77">
      <w:headerReference w:type="default" r:id="rId11"/>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DC66E33" w14:textId="77777777" w:rsidR="00F1635A" w:rsidRDefault="00F1635A">
      <w:r>
        <w:separator/>
      </w:r>
    </w:p>
  </w:endnote>
  <w:endnote w:type="continuationSeparator" w:id="0">
    <w:p w14:paraId="2073929B" w14:textId="77777777" w:rsidR="00F1635A" w:rsidRDefault="00F163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MT">
    <w:altName w:val="Arial"/>
    <w:charset w:val="01"/>
    <w:family w:val="swiss"/>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C0FFDC2" w14:textId="77777777" w:rsidR="00F1635A" w:rsidRDefault="00F1635A">
      <w:r>
        <w:separator/>
      </w:r>
    </w:p>
  </w:footnote>
  <w:footnote w:type="continuationSeparator" w:id="0">
    <w:p w14:paraId="6C956BE1" w14:textId="77777777" w:rsidR="00F1635A" w:rsidRDefault="00F163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32935280"/>
      <w:docPartObj>
        <w:docPartGallery w:val="Page Numbers (Top of Page)"/>
        <w:docPartUnique/>
      </w:docPartObj>
    </w:sdtPr>
    <w:sdtContent>
      <w:p w14:paraId="0922FC15" w14:textId="77777777" w:rsidR="006613BA" w:rsidRDefault="00BC3217">
        <w:pPr>
          <w:pStyle w:val="Encabezado"/>
          <w:jc w:val="right"/>
        </w:pPr>
        <w:r>
          <w:fldChar w:fldCharType="begin"/>
        </w:r>
        <w:r>
          <w:instrText>PAGE   \* MERGEFORMAT</w:instrText>
        </w:r>
        <w:r>
          <w:fldChar w:fldCharType="separate"/>
        </w:r>
        <w:r>
          <w:t>2</w:t>
        </w:r>
        <w:r>
          <w:fldChar w:fldCharType="end"/>
        </w:r>
      </w:p>
    </w:sdtContent>
  </w:sdt>
  <w:p w14:paraId="1E2D62C9" w14:textId="77777777" w:rsidR="006613BA" w:rsidRDefault="006613BA">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4512A54"/>
    <w:multiLevelType w:val="multilevel"/>
    <w:tmpl w:val="7B863C1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 w15:restartNumberingAfterBreak="0">
    <w:nsid w:val="1C3A1C8E"/>
    <w:multiLevelType w:val="multilevel"/>
    <w:tmpl w:val="612EB33C"/>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 w15:restartNumberingAfterBreak="0">
    <w:nsid w:val="4E83367E"/>
    <w:multiLevelType w:val="hybridMultilevel"/>
    <w:tmpl w:val="69CE60A4"/>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 w15:restartNumberingAfterBreak="0">
    <w:nsid w:val="73B65E74"/>
    <w:multiLevelType w:val="multilevel"/>
    <w:tmpl w:val="938835CC"/>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 w15:restartNumberingAfterBreak="0">
    <w:nsid w:val="7C32548C"/>
    <w:multiLevelType w:val="hybridMultilevel"/>
    <w:tmpl w:val="753C0BAA"/>
    <w:lvl w:ilvl="0" w:tplc="7FC63A96">
      <w:start w:val="1"/>
      <w:numFmt w:val="bullet"/>
      <w:lvlText w:val=""/>
      <w:lvlJc w:val="left"/>
      <w:pPr>
        <w:ind w:left="720" w:hanging="360"/>
      </w:pPr>
      <w:rPr>
        <w:rFonts w:ascii="Symbol" w:hAnsi="Symbol" w:hint="default"/>
      </w:rPr>
    </w:lvl>
    <w:lvl w:ilvl="1" w:tplc="EDFA2ABA" w:tentative="1">
      <w:start w:val="1"/>
      <w:numFmt w:val="bullet"/>
      <w:lvlText w:val="o"/>
      <w:lvlJc w:val="left"/>
      <w:pPr>
        <w:ind w:left="1440" w:hanging="360"/>
      </w:pPr>
      <w:rPr>
        <w:rFonts w:ascii="Courier New" w:hAnsi="Courier New" w:cs="Courier New" w:hint="default"/>
      </w:rPr>
    </w:lvl>
    <w:lvl w:ilvl="2" w:tplc="75D6F270" w:tentative="1">
      <w:start w:val="1"/>
      <w:numFmt w:val="bullet"/>
      <w:lvlText w:val=""/>
      <w:lvlJc w:val="left"/>
      <w:pPr>
        <w:ind w:left="2160" w:hanging="360"/>
      </w:pPr>
      <w:rPr>
        <w:rFonts w:ascii="Wingdings" w:hAnsi="Wingdings" w:hint="default"/>
      </w:rPr>
    </w:lvl>
    <w:lvl w:ilvl="3" w:tplc="643CE8B0" w:tentative="1">
      <w:start w:val="1"/>
      <w:numFmt w:val="bullet"/>
      <w:lvlText w:val=""/>
      <w:lvlJc w:val="left"/>
      <w:pPr>
        <w:ind w:left="2880" w:hanging="360"/>
      </w:pPr>
      <w:rPr>
        <w:rFonts w:ascii="Symbol" w:hAnsi="Symbol" w:hint="default"/>
      </w:rPr>
    </w:lvl>
    <w:lvl w:ilvl="4" w:tplc="630C20F4" w:tentative="1">
      <w:start w:val="1"/>
      <w:numFmt w:val="bullet"/>
      <w:lvlText w:val="o"/>
      <w:lvlJc w:val="left"/>
      <w:pPr>
        <w:ind w:left="3600" w:hanging="360"/>
      </w:pPr>
      <w:rPr>
        <w:rFonts w:ascii="Courier New" w:hAnsi="Courier New" w:cs="Courier New" w:hint="default"/>
      </w:rPr>
    </w:lvl>
    <w:lvl w:ilvl="5" w:tplc="8F564934" w:tentative="1">
      <w:start w:val="1"/>
      <w:numFmt w:val="bullet"/>
      <w:lvlText w:val=""/>
      <w:lvlJc w:val="left"/>
      <w:pPr>
        <w:ind w:left="4320" w:hanging="360"/>
      </w:pPr>
      <w:rPr>
        <w:rFonts w:ascii="Wingdings" w:hAnsi="Wingdings" w:hint="default"/>
      </w:rPr>
    </w:lvl>
    <w:lvl w:ilvl="6" w:tplc="B3CC0ECC" w:tentative="1">
      <w:start w:val="1"/>
      <w:numFmt w:val="bullet"/>
      <w:lvlText w:val=""/>
      <w:lvlJc w:val="left"/>
      <w:pPr>
        <w:ind w:left="5040" w:hanging="360"/>
      </w:pPr>
      <w:rPr>
        <w:rFonts w:ascii="Symbol" w:hAnsi="Symbol" w:hint="default"/>
      </w:rPr>
    </w:lvl>
    <w:lvl w:ilvl="7" w:tplc="2E8621CA" w:tentative="1">
      <w:start w:val="1"/>
      <w:numFmt w:val="bullet"/>
      <w:lvlText w:val="o"/>
      <w:lvlJc w:val="left"/>
      <w:pPr>
        <w:ind w:left="5760" w:hanging="360"/>
      </w:pPr>
      <w:rPr>
        <w:rFonts w:ascii="Courier New" w:hAnsi="Courier New" w:cs="Courier New" w:hint="default"/>
      </w:rPr>
    </w:lvl>
    <w:lvl w:ilvl="8" w:tplc="B30C66AE" w:tentative="1">
      <w:start w:val="1"/>
      <w:numFmt w:val="bullet"/>
      <w:lvlText w:val=""/>
      <w:lvlJc w:val="left"/>
      <w:pPr>
        <w:ind w:left="6480" w:hanging="360"/>
      </w:pPr>
      <w:rPr>
        <w:rFonts w:ascii="Wingdings" w:hAnsi="Wingdings" w:hint="default"/>
      </w:rPr>
    </w:lvl>
  </w:abstractNum>
  <w:num w:numId="1" w16cid:durableId="543716129">
    <w:abstractNumId w:val="1"/>
  </w:num>
  <w:num w:numId="2" w16cid:durableId="382752044">
    <w:abstractNumId w:val="3"/>
  </w:num>
  <w:num w:numId="3" w16cid:durableId="1333989012">
    <w:abstractNumId w:val="4"/>
  </w:num>
  <w:num w:numId="4" w16cid:durableId="353314707">
    <w:abstractNumId w:val="2"/>
  </w:num>
  <w:num w:numId="5" w16cid:durableId="10263659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78EC"/>
    <w:rsid w:val="00002552"/>
    <w:rsid w:val="0004410D"/>
    <w:rsid w:val="00044E6E"/>
    <w:rsid w:val="00051E37"/>
    <w:rsid w:val="000E1957"/>
    <w:rsid w:val="00110A9B"/>
    <w:rsid w:val="001162D3"/>
    <w:rsid w:val="0012146A"/>
    <w:rsid w:val="001564C4"/>
    <w:rsid w:val="00156A0D"/>
    <w:rsid w:val="001570D7"/>
    <w:rsid w:val="00162EB4"/>
    <w:rsid w:val="0017181A"/>
    <w:rsid w:val="00183D46"/>
    <w:rsid w:val="001C02DB"/>
    <w:rsid w:val="001D2CAC"/>
    <w:rsid w:val="001F5292"/>
    <w:rsid w:val="0021744B"/>
    <w:rsid w:val="00243D94"/>
    <w:rsid w:val="00247754"/>
    <w:rsid w:val="00286FA1"/>
    <w:rsid w:val="00297D77"/>
    <w:rsid w:val="002A6F7F"/>
    <w:rsid w:val="002C099D"/>
    <w:rsid w:val="002F2AF6"/>
    <w:rsid w:val="00313AF5"/>
    <w:rsid w:val="00315C9D"/>
    <w:rsid w:val="00357258"/>
    <w:rsid w:val="00364920"/>
    <w:rsid w:val="00370F57"/>
    <w:rsid w:val="00380A09"/>
    <w:rsid w:val="003A46DB"/>
    <w:rsid w:val="003B088B"/>
    <w:rsid w:val="003B2960"/>
    <w:rsid w:val="003E5930"/>
    <w:rsid w:val="00406C54"/>
    <w:rsid w:val="00434BD0"/>
    <w:rsid w:val="00450138"/>
    <w:rsid w:val="00461D74"/>
    <w:rsid w:val="00463116"/>
    <w:rsid w:val="004866A5"/>
    <w:rsid w:val="004A0A4C"/>
    <w:rsid w:val="004C0F61"/>
    <w:rsid w:val="004E2712"/>
    <w:rsid w:val="004F31FB"/>
    <w:rsid w:val="00507D89"/>
    <w:rsid w:val="00513430"/>
    <w:rsid w:val="00526C8A"/>
    <w:rsid w:val="0053794F"/>
    <w:rsid w:val="005409FF"/>
    <w:rsid w:val="00556848"/>
    <w:rsid w:val="005B0FEF"/>
    <w:rsid w:val="005F212D"/>
    <w:rsid w:val="006613BA"/>
    <w:rsid w:val="00680F25"/>
    <w:rsid w:val="00693860"/>
    <w:rsid w:val="006B50C2"/>
    <w:rsid w:val="006C5627"/>
    <w:rsid w:val="006D046F"/>
    <w:rsid w:val="006D356F"/>
    <w:rsid w:val="006D38A9"/>
    <w:rsid w:val="006E6235"/>
    <w:rsid w:val="006F0FB7"/>
    <w:rsid w:val="00701DB4"/>
    <w:rsid w:val="007140BF"/>
    <w:rsid w:val="007228BD"/>
    <w:rsid w:val="00730728"/>
    <w:rsid w:val="00773B98"/>
    <w:rsid w:val="0077611C"/>
    <w:rsid w:val="007836A7"/>
    <w:rsid w:val="007853BB"/>
    <w:rsid w:val="00790306"/>
    <w:rsid w:val="007A0A6A"/>
    <w:rsid w:val="007D6F57"/>
    <w:rsid w:val="00816390"/>
    <w:rsid w:val="00826819"/>
    <w:rsid w:val="00833DA6"/>
    <w:rsid w:val="00834BB1"/>
    <w:rsid w:val="00841B99"/>
    <w:rsid w:val="00885C9C"/>
    <w:rsid w:val="008B215B"/>
    <w:rsid w:val="008C3D30"/>
    <w:rsid w:val="008D349B"/>
    <w:rsid w:val="008D45D1"/>
    <w:rsid w:val="008E634A"/>
    <w:rsid w:val="00913570"/>
    <w:rsid w:val="00924D0F"/>
    <w:rsid w:val="00935B66"/>
    <w:rsid w:val="00936A99"/>
    <w:rsid w:val="0095082A"/>
    <w:rsid w:val="00982BF6"/>
    <w:rsid w:val="009A3632"/>
    <w:rsid w:val="009D0336"/>
    <w:rsid w:val="009D3ACA"/>
    <w:rsid w:val="009D3D4C"/>
    <w:rsid w:val="009D3D7E"/>
    <w:rsid w:val="009E1756"/>
    <w:rsid w:val="00A02C6F"/>
    <w:rsid w:val="00A101F5"/>
    <w:rsid w:val="00A13D22"/>
    <w:rsid w:val="00A14B47"/>
    <w:rsid w:val="00A31F4B"/>
    <w:rsid w:val="00A336F2"/>
    <w:rsid w:val="00A35CEC"/>
    <w:rsid w:val="00A42E06"/>
    <w:rsid w:val="00A4582A"/>
    <w:rsid w:val="00A517BB"/>
    <w:rsid w:val="00A576BC"/>
    <w:rsid w:val="00A77EF2"/>
    <w:rsid w:val="00A931F1"/>
    <w:rsid w:val="00A9707A"/>
    <w:rsid w:val="00AA5756"/>
    <w:rsid w:val="00AA60DF"/>
    <w:rsid w:val="00AD6604"/>
    <w:rsid w:val="00AE1567"/>
    <w:rsid w:val="00AE4A2D"/>
    <w:rsid w:val="00AF1EEF"/>
    <w:rsid w:val="00B019EB"/>
    <w:rsid w:val="00B14181"/>
    <w:rsid w:val="00B61CE4"/>
    <w:rsid w:val="00B65B48"/>
    <w:rsid w:val="00B85F10"/>
    <w:rsid w:val="00BC031D"/>
    <w:rsid w:val="00BC3217"/>
    <w:rsid w:val="00BE475C"/>
    <w:rsid w:val="00BF1C91"/>
    <w:rsid w:val="00C04916"/>
    <w:rsid w:val="00C0728A"/>
    <w:rsid w:val="00C17F70"/>
    <w:rsid w:val="00C206A3"/>
    <w:rsid w:val="00C6418D"/>
    <w:rsid w:val="00C650AB"/>
    <w:rsid w:val="00C82834"/>
    <w:rsid w:val="00CA22A1"/>
    <w:rsid w:val="00CC49E7"/>
    <w:rsid w:val="00CE2D95"/>
    <w:rsid w:val="00CE7315"/>
    <w:rsid w:val="00CF3256"/>
    <w:rsid w:val="00D11943"/>
    <w:rsid w:val="00D240B6"/>
    <w:rsid w:val="00D34017"/>
    <w:rsid w:val="00D47EDD"/>
    <w:rsid w:val="00D6473A"/>
    <w:rsid w:val="00D902BE"/>
    <w:rsid w:val="00D92282"/>
    <w:rsid w:val="00DA621F"/>
    <w:rsid w:val="00DA76F7"/>
    <w:rsid w:val="00DB2663"/>
    <w:rsid w:val="00DB423F"/>
    <w:rsid w:val="00DB72D9"/>
    <w:rsid w:val="00DC7405"/>
    <w:rsid w:val="00DE5C2A"/>
    <w:rsid w:val="00DF2212"/>
    <w:rsid w:val="00E20CEA"/>
    <w:rsid w:val="00E24A69"/>
    <w:rsid w:val="00E37AF2"/>
    <w:rsid w:val="00E37DE3"/>
    <w:rsid w:val="00E710F3"/>
    <w:rsid w:val="00E778EC"/>
    <w:rsid w:val="00E872CD"/>
    <w:rsid w:val="00EA7040"/>
    <w:rsid w:val="00EC614E"/>
    <w:rsid w:val="00EE5809"/>
    <w:rsid w:val="00EF4BF4"/>
    <w:rsid w:val="00F0140D"/>
    <w:rsid w:val="00F1635A"/>
    <w:rsid w:val="00F20599"/>
    <w:rsid w:val="00F37652"/>
    <w:rsid w:val="00F776D8"/>
    <w:rsid w:val="00F90D14"/>
    <w:rsid w:val="00F97AB6"/>
    <w:rsid w:val="00FE2C4C"/>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77A24D"/>
  <w15:chartTrackingRefBased/>
  <w15:docId w15:val="{44A51304-9ACA-4CF2-94FC-30FBE869A5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s-C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rsid w:val="00E778EC"/>
    <w:pPr>
      <w:spacing w:after="0" w:line="240" w:lineRule="auto"/>
      <w:jc w:val="both"/>
    </w:pPr>
    <w:rPr>
      <w:rFonts w:ascii="Times New Roman" w:eastAsia="Times New Roman" w:hAnsi="Times New Roman" w:cs="Times New Roman"/>
      <w:kern w:val="0"/>
      <w:lang w:val="en-GB" w:eastAsia="es-EC"/>
      <w14:ligatures w14:val="none"/>
    </w:rPr>
  </w:style>
  <w:style w:type="paragraph" w:styleId="Ttulo2">
    <w:name w:val="heading 2"/>
    <w:basedOn w:val="Normal"/>
    <w:next w:val="Normal"/>
    <w:link w:val="Ttulo2Car"/>
    <w:uiPriority w:val="9"/>
    <w:unhideWhenUsed/>
    <w:qFormat/>
    <w:rsid w:val="00AE4A2D"/>
    <w:pPr>
      <w:spacing w:after="200" w:line="360" w:lineRule="auto"/>
      <w:jc w:val="left"/>
      <w:outlineLvl w:val="1"/>
    </w:pPr>
    <w:rPr>
      <w:rFonts w:ascii="Arial" w:eastAsiaTheme="minorEastAsia" w:hAnsi="Arial" w:cstheme="minorBidi"/>
      <w:b/>
      <w:bCs/>
      <w:lang w:val="es-ES" w:eastAsia="es-ES"/>
    </w:rPr>
  </w:style>
  <w:style w:type="paragraph" w:styleId="Ttulo3">
    <w:name w:val="heading 3"/>
    <w:basedOn w:val="Normal"/>
    <w:next w:val="Normal"/>
    <w:link w:val="Ttulo3Car"/>
    <w:uiPriority w:val="9"/>
    <w:semiHidden/>
    <w:unhideWhenUsed/>
    <w:qFormat/>
    <w:rsid w:val="00C04916"/>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1C02DB"/>
    <w:pPr>
      <w:ind w:left="720"/>
      <w:contextualSpacing/>
    </w:pPr>
  </w:style>
  <w:style w:type="paragraph" w:styleId="Descripcin">
    <w:name w:val="caption"/>
    <w:basedOn w:val="Normal"/>
    <w:next w:val="Normal"/>
    <w:uiPriority w:val="35"/>
    <w:unhideWhenUsed/>
    <w:qFormat/>
    <w:rsid w:val="00D240B6"/>
    <w:pPr>
      <w:spacing w:after="200"/>
    </w:pPr>
    <w:rPr>
      <w:i/>
      <w:iCs/>
      <w:color w:val="44546A" w:themeColor="text2"/>
      <w:sz w:val="18"/>
      <w:szCs w:val="18"/>
    </w:rPr>
  </w:style>
  <w:style w:type="character" w:styleId="Hipervnculo">
    <w:name w:val="Hyperlink"/>
    <w:basedOn w:val="Fuentedeprrafopredeter"/>
    <w:uiPriority w:val="99"/>
    <w:unhideWhenUsed/>
    <w:rsid w:val="00B65B48"/>
    <w:rPr>
      <w:color w:val="0563C1" w:themeColor="hyperlink"/>
      <w:u w:val="single"/>
    </w:rPr>
  </w:style>
  <w:style w:type="character" w:customStyle="1" w:styleId="Mencinsinresolver1">
    <w:name w:val="Mención sin resolver1"/>
    <w:basedOn w:val="Fuentedeprrafopredeter"/>
    <w:uiPriority w:val="99"/>
    <w:semiHidden/>
    <w:unhideWhenUsed/>
    <w:rsid w:val="00B65B48"/>
    <w:rPr>
      <w:color w:val="605E5C"/>
      <w:shd w:val="clear" w:color="auto" w:fill="E1DFDD"/>
    </w:rPr>
  </w:style>
  <w:style w:type="character" w:customStyle="1" w:styleId="Ttulo2Car">
    <w:name w:val="Título 2 Car"/>
    <w:basedOn w:val="Fuentedeprrafopredeter"/>
    <w:link w:val="Ttulo2"/>
    <w:uiPriority w:val="9"/>
    <w:rsid w:val="00AE4A2D"/>
    <w:rPr>
      <w:rFonts w:ascii="Arial" w:eastAsiaTheme="minorEastAsia" w:hAnsi="Arial"/>
      <w:b/>
      <w:bCs/>
      <w:kern w:val="0"/>
      <w:lang w:val="es-ES" w:eastAsia="es-ES"/>
      <w14:ligatures w14:val="none"/>
    </w:rPr>
  </w:style>
  <w:style w:type="paragraph" w:customStyle="1" w:styleId="Tabla">
    <w:name w:val="Tabla"/>
    <w:basedOn w:val="Normal"/>
    <w:link w:val="TablaCar"/>
    <w:qFormat/>
    <w:rsid w:val="00AE4A2D"/>
    <w:pPr>
      <w:autoSpaceDE w:val="0"/>
      <w:autoSpaceDN w:val="0"/>
      <w:adjustRightInd w:val="0"/>
      <w:spacing w:line="360" w:lineRule="auto"/>
      <w:ind w:right="60"/>
      <w:jc w:val="left"/>
    </w:pPr>
    <w:rPr>
      <w:rFonts w:ascii="Arial" w:eastAsiaTheme="minorEastAsia" w:hAnsi="Arial" w:cs="Arial"/>
      <w:b/>
      <w:bCs/>
      <w:lang w:eastAsia="es-ES"/>
    </w:rPr>
  </w:style>
  <w:style w:type="character" w:customStyle="1" w:styleId="TablaCar">
    <w:name w:val="Tabla Car"/>
    <w:basedOn w:val="Fuentedeprrafopredeter"/>
    <w:link w:val="Tabla"/>
    <w:rsid w:val="00AE4A2D"/>
    <w:rPr>
      <w:rFonts w:ascii="Arial" w:eastAsiaTheme="minorEastAsia" w:hAnsi="Arial" w:cs="Arial"/>
      <w:b/>
      <w:bCs/>
      <w:kern w:val="0"/>
      <w:lang w:val="es-ES" w:eastAsia="es-ES"/>
      <w14:ligatures w14:val="none"/>
    </w:rPr>
  </w:style>
  <w:style w:type="table" w:styleId="Tablaconcuadrcula">
    <w:name w:val="Table Grid"/>
    <w:basedOn w:val="Tablanormal"/>
    <w:uiPriority w:val="39"/>
    <w:rsid w:val="00EA70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DF2212"/>
    <w:pPr>
      <w:widowControl w:val="0"/>
      <w:autoSpaceDE w:val="0"/>
      <w:autoSpaceDN w:val="0"/>
      <w:jc w:val="left"/>
    </w:pPr>
    <w:rPr>
      <w:rFonts w:ascii="Arial MT" w:eastAsia="Arial MT" w:hAnsi="Arial MT" w:cs="Arial MT"/>
      <w:lang w:eastAsia="en-US"/>
    </w:rPr>
  </w:style>
  <w:style w:type="table" w:customStyle="1" w:styleId="TableNormal0">
    <w:name w:val="Table Normal_0"/>
    <w:uiPriority w:val="2"/>
    <w:semiHidden/>
    <w:qFormat/>
    <w:rsid w:val="00DF2212"/>
    <w:pPr>
      <w:widowControl w:val="0"/>
      <w:autoSpaceDE w:val="0"/>
      <w:autoSpaceDN w:val="0"/>
      <w:spacing w:after="0" w:line="240" w:lineRule="auto"/>
    </w:pPr>
    <w:rPr>
      <w:kern w:val="0"/>
      <w:lang w:val="en-US"/>
      <w14:ligatures w14:val="none"/>
    </w:rPr>
    <w:tblPr>
      <w:tblCellMar>
        <w:top w:w="0" w:type="dxa"/>
        <w:left w:w="0" w:type="dxa"/>
        <w:bottom w:w="0" w:type="dxa"/>
        <w:right w:w="0" w:type="dxa"/>
      </w:tblCellMar>
    </w:tblPr>
  </w:style>
  <w:style w:type="character" w:customStyle="1" w:styleId="Ttulo3Car">
    <w:name w:val="Título 3 Car"/>
    <w:basedOn w:val="Fuentedeprrafopredeter"/>
    <w:link w:val="Ttulo3"/>
    <w:uiPriority w:val="9"/>
    <w:rsid w:val="00C04916"/>
    <w:rPr>
      <w:rFonts w:asciiTheme="majorHAnsi" w:eastAsiaTheme="majorEastAsia" w:hAnsiTheme="majorHAnsi" w:cstheme="majorBidi"/>
      <w:color w:val="1F3763" w:themeColor="accent1" w:themeShade="7F"/>
      <w:kern w:val="0"/>
      <w:sz w:val="24"/>
      <w:szCs w:val="24"/>
      <w:lang w:val="es-EC" w:eastAsia="es-EC"/>
      <w14:ligatures w14:val="none"/>
    </w:rPr>
  </w:style>
  <w:style w:type="character" w:styleId="Hipervnculovisitado">
    <w:name w:val="FollowedHyperlink"/>
    <w:basedOn w:val="Fuentedeprrafopredeter"/>
    <w:uiPriority w:val="99"/>
    <w:semiHidden/>
    <w:unhideWhenUsed/>
    <w:rsid w:val="006E6235"/>
    <w:rPr>
      <w:color w:val="954F72" w:themeColor="followedHyperlink"/>
      <w:u w:val="single"/>
    </w:rPr>
  </w:style>
  <w:style w:type="paragraph" w:styleId="Encabezado">
    <w:name w:val="header"/>
    <w:basedOn w:val="Normal"/>
    <w:link w:val="EncabezadoCar"/>
    <w:uiPriority w:val="99"/>
    <w:unhideWhenUsed/>
    <w:rsid w:val="006613BA"/>
    <w:pPr>
      <w:tabs>
        <w:tab w:val="center" w:pos="4680"/>
        <w:tab w:val="right" w:pos="9360"/>
      </w:tabs>
    </w:pPr>
  </w:style>
  <w:style w:type="character" w:customStyle="1" w:styleId="EncabezadoCar">
    <w:name w:val="Encabezado Car"/>
    <w:basedOn w:val="Fuentedeprrafopredeter"/>
    <w:link w:val="Encabezado"/>
    <w:uiPriority w:val="99"/>
    <w:rsid w:val="006613BA"/>
    <w:rPr>
      <w:rFonts w:ascii="Times New Roman" w:eastAsia="Times New Roman" w:hAnsi="Times New Roman" w:cs="Times New Roman"/>
      <w:kern w:val="0"/>
      <w:lang w:val="es-EC" w:eastAsia="es-EC"/>
      <w14:ligatures w14:val="none"/>
    </w:rPr>
  </w:style>
  <w:style w:type="paragraph" w:styleId="Piedepgina">
    <w:name w:val="footer"/>
    <w:basedOn w:val="Normal"/>
    <w:link w:val="PiedepginaCar"/>
    <w:uiPriority w:val="99"/>
    <w:unhideWhenUsed/>
    <w:rsid w:val="006613BA"/>
    <w:pPr>
      <w:tabs>
        <w:tab w:val="center" w:pos="4680"/>
        <w:tab w:val="right" w:pos="9360"/>
      </w:tabs>
    </w:pPr>
  </w:style>
  <w:style w:type="character" w:customStyle="1" w:styleId="PiedepginaCar">
    <w:name w:val="Pie de página Car"/>
    <w:basedOn w:val="Fuentedeprrafopredeter"/>
    <w:link w:val="Piedepgina"/>
    <w:uiPriority w:val="99"/>
    <w:rsid w:val="006613BA"/>
    <w:rPr>
      <w:rFonts w:ascii="Times New Roman" w:eastAsia="Times New Roman" w:hAnsi="Times New Roman" w:cs="Times New Roman"/>
      <w:kern w:val="0"/>
      <w:lang w:val="es-EC" w:eastAsia="es-EC"/>
      <w14:ligatures w14:val="none"/>
    </w:rPr>
  </w:style>
  <w:style w:type="paragraph" w:customStyle="1" w:styleId="Figura">
    <w:name w:val="Figura"/>
    <w:basedOn w:val="Normal"/>
    <w:link w:val="FiguraCar"/>
    <w:qFormat/>
    <w:rsid w:val="001564C4"/>
    <w:pPr>
      <w:autoSpaceDE w:val="0"/>
      <w:autoSpaceDN w:val="0"/>
      <w:adjustRightInd w:val="0"/>
      <w:spacing w:line="360" w:lineRule="auto"/>
      <w:jc w:val="left"/>
    </w:pPr>
    <w:rPr>
      <w:rFonts w:ascii="Arial" w:eastAsiaTheme="minorEastAsia" w:hAnsi="Arial" w:cs="Arial"/>
      <w:b/>
      <w:bCs/>
      <w:color w:val="000000"/>
      <w:lang w:eastAsia="es-ES"/>
    </w:rPr>
  </w:style>
  <w:style w:type="character" w:customStyle="1" w:styleId="FiguraCar">
    <w:name w:val="Figura Car"/>
    <w:basedOn w:val="Fuentedeprrafopredeter"/>
    <w:link w:val="Figura"/>
    <w:rsid w:val="001564C4"/>
    <w:rPr>
      <w:rFonts w:ascii="Arial" w:eastAsiaTheme="minorEastAsia" w:hAnsi="Arial" w:cs="Arial"/>
      <w:b/>
      <w:bCs/>
      <w:color w:val="000000"/>
      <w:kern w:val="0"/>
      <w:lang w:val="es-EC" w:eastAsia="es-ES"/>
      <w14:ligatures w14:val="none"/>
    </w:rPr>
  </w:style>
  <w:style w:type="character" w:styleId="Refdecomentario">
    <w:name w:val="annotation reference"/>
    <w:basedOn w:val="Fuentedeprrafopredeter"/>
    <w:uiPriority w:val="99"/>
    <w:rsid w:val="000F3DF7"/>
    <w:rPr>
      <w:sz w:val="16"/>
      <w:szCs w:val="16"/>
    </w:rPr>
  </w:style>
  <w:style w:type="paragraph" w:styleId="Textocomentario">
    <w:name w:val="annotation text"/>
    <w:basedOn w:val="Normal"/>
    <w:link w:val="TextocomentarioCar"/>
    <w:uiPriority w:val="99"/>
    <w:semiHidden/>
    <w:unhideWhenUsed/>
    <w:rPr>
      <w:sz w:val="20"/>
      <w:szCs w:val="20"/>
    </w:rPr>
  </w:style>
  <w:style w:type="character" w:customStyle="1" w:styleId="TextocomentarioCar">
    <w:name w:val="Texto comentario Car"/>
    <w:basedOn w:val="Fuentedeprrafopredeter"/>
    <w:link w:val="Textocomentario"/>
    <w:uiPriority w:val="99"/>
    <w:semiHidden/>
    <w:rPr>
      <w:rFonts w:ascii="Times New Roman" w:eastAsia="Times New Roman" w:hAnsi="Times New Roman" w:cs="Times New Roman"/>
      <w:kern w:val="0"/>
      <w:sz w:val="20"/>
      <w:szCs w:val="20"/>
      <w:lang w:val="en-GB" w:eastAsia="es-EC"/>
      <w14:ligatures w14:val="none"/>
    </w:rPr>
  </w:style>
  <w:style w:type="paragraph" w:styleId="Revisin">
    <w:name w:val="Revision"/>
    <w:hidden/>
    <w:uiPriority w:val="99"/>
    <w:semiHidden/>
    <w:rsid w:val="00701DB4"/>
    <w:pPr>
      <w:spacing w:after="0" w:line="240" w:lineRule="auto"/>
    </w:pPr>
    <w:rPr>
      <w:rFonts w:ascii="Times New Roman" w:eastAsia="Times New Roman" w:hAnsi="Times New Roman" w:cs="Times New Roman"/>
      <w:kern w:val="0"/>
      <w:lang w:val="en-GB" w:eastAsia="es-EC"/>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0219810">
      <w:bodyDiv w:val="1"/>
      <w:marLeft w:val="0"/>
      <w:marRight w:val="0"/>
      <w:marTop w:val="0"/>
      <w:marBottom w:val="0"/>
      <w:divBdr>
        <w:top w:val="none" w:sz="0" w:space="0" w:color="auto"/>
        <w:left w:val="none" w:sz="0" w:space="0" w:color="auto"/>
        <w:bottom w:val="none" w:sz="0" w:space="0" w:color="auto"/>
        <w:right w:val="none" w:sz="0" w:space="0" w:color="auto"/>
      </w:divBdr>
    </w:div>
    <w:div w:id="316036512">
      <w:bodyDiv w:val="1"/>
      <w:marLeft w:val="0"/>
      <w:marRight w:val="0"/>
      <w:marTop w:val="0"/>
      <w:marBottom w:val="0"/>
      <w:divBdr>
        <w:top w:val="none" w:sz="0" w:space="0" w:color="auto"/>
        <w:left w:val="none" w:sz="0" w:space="0" w:color="auto"/>
        <w:bottom w:val="none" w:sz="0" w:space="0" w:color="auto"/>
        <w:right w:val="none" w:sz="0" w:space="0" w:color="auto"/>
      </w:divBdr>
    </w:div>
    <w:div w:id="496313528">
      <w:bodyDiv w:val="1"/>
      <w:marLeft w:val="0"/>
      <w:marRight w:val="0"/>
      <w:marTop w:val="0"/>
      <w:marBottom w:val="0"/>
      <w:divBdr>
        <w:top w:val="none" w:sz="0" w:space="0" w:color="auto"/>
        <w:left w:val="none" w:sz="0" w:space="0" w:color="auto"/>
        <w:bottom w:val="none" w:sz="0" w:space="0" w:color="auto"/>
        <w:right w:val="none" w:sz="0" w:space="0" w:color="auto"/>
      </w:divBdr>
    </w:div>
    <w:div w:id="675350040">
      <w:bodyDiv w:val="1"/>
      <w:marLeft w:val="0"/>
      <w:marRight w:val="0"/>
      <w:marTop w:val="0"/>
      <w:marBottom w:val="0"/>
      <w:divBdr>
        <w:top w:val="none" w:sz="0" w:space="0" w:color="auto"/>
        <w:left w:val="none" w:sz="0" w:space="0" w:color="auto"/>
        <w:bottom w:val="none" w:sz="0" w:space="0" w:color="auto"/>
        <w:right w:val="none" w:sz="0" w:space="0" w:color="auto"/>
      </w:divBdr>
    </w:div>
    <w:div w:id="710762848">
      <w:bodyDiv w:val="1"/>
      <w:marLeft w:val="0"/>
      <w:marRight w:val="0"/>
      <w:marTop w:val="0"/>
      <w:marBottom w:val="0"/>
      <w:divBdr>
        <w:top w:val="none" w:sz="0" w:space="0" w:color="auto"/>
        <w:left w:val="none" w:sz="0" w:space="0" w:color="auto"/>
        <w:bottom w:val="none" w:sz="0" w:space="0" w:color="auto"/>
        <w:right w:val="none" w:sz="0" w:space="0" w:color="auto"/>
      </w:divBdr>
    </w:div>
    <w:div w:id="1160776252">
      <w:bodyDiv w:val="1"/>
      <w:marLeft w:val="0"/>
      <w:marRight w:val="0"/>
      <w:marTop w:val="0"/>
      <w:marBottom w:val="0"/>
      <w:divBdr>
        <w:top w:val="none" w:sz="0" w:space="0" w:color="auto"/>
        <w:left w:val="none" w:sz="0" w:space="0" w:color="auto"/>
        <w:bottom w:val="none" w:sz="0" w:space="0" w:color="auto"/>
        <w:right w:val="none" w:sz="0" w:space="0" w:color="auto"/>
      </w:divBdr>
    </w:div>
    <w:div w:id="1630629292">
      <w:bodyDiv w:val="1"/>
      <w:marLeft w:val="0"/>
      <w:marRight w:val="0"/>
      <w:marTop w:val="0"/>
      <w:marBottom w:val="0"/>
      <w:divBdr>
        <w:top w:val="none" w:sz="0" w:space="0" w:color="auto"/>
        <w:left w:val="none" w:sz="0" w:space="0" w:color="auto"/>
        <w:bottom w:val="none" w:sz="0" w:space="0" w:color="auto"/>
        <w:right w:val="none" w:sz="0" w:space="0" w:color="auto"/>
      </w:divBdr>
    </w:div>
    <w:div w:id="1689715773">
      <w:bodyDiv w:val="1"/>
      <w:marLeft w:val="0"/>
      <w:marRight w:val="0"/>
      <w:marTop w:val="0"/>
      <w:marBottom w:val="0"/>
      <w:divBdr>
        <w:top w:val="none" w:sz="0" w:space="0" w:color="auto"/>
        <w:left w:val="none" w:sz="0" w:space="0" w:color="auto"/>
        <w:bottom w:val="none" w:sz="0" w:space="0" w:color="auto"/>
        <w:right w:val="none" w:sz="0" w:space="0" w:color="auto"/>
      </w:divBdr>
    </w:div>
    <w:div w:id="1725441941">
      <w:bodyDiv w:val="1"/>
      <w:marLeft w:val="0"/>
      <w:marRight w:val="0"/>
      <w:marTop w:val="0"/>
      <w:marBottom w:val="0"/>
      <w:divBdr>
        <w:top w:val="none" w:sz="0" w:space="0" w:color="auto"/>
        <w:left w:val="none" w:sz="0" w:space="0" w:color="auto"/>
        <w:bottom w:val="none" w:sz="0" w:space="0" w:color="auto"/>
        <w:right w:val="none" w:sz="0" w:space="0" w:color="auto"/>
      </w:divBdr>
    </w:div>
    <w:div w:id="20244297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B6B7B0-DAED-4340-A350-DAA4499375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4294</TotalTime>
  <Pages>24</Pages>
  <Words>14500</Words>
  <Characters>79750</Characters>
  <Application>Microsoft Office Word</Application>
  <DocSecurity>0</DocSecurity>
  <Lines>664</Lines>
  <Paragraphs>188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94062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Omayck Fernando Valarezo Bravo</cp:lastModifiedBy>
  <cp:revision>15</cp:revision>
  <dcterms:created xsi:type="dcterms:W3CDTF">2024-02-03T02:11:00Z</dcterms:created>
  <dcterms:modified xsi:type="dcterms:W3CDTF">2024-10-13T23:15:00Z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E1">
    <vt:filetime>2024-02-20T02:39:08Z</vt:filetime>
  </property>
  <property fmtid="{D5CDD505-2E9C-101B-9397-08002B2CF9AE}" pid="3" name="Mendeley Citation Style_1">
    <vt:lpwstr>http://www.zotero.org/styles/apa</vt:lpwstr>
  </property>
  <property fmtid="{D5CDD505-2E9C-101B-9397-08002B2CF9AE}" pid="4" name="Mendeley Document_1">
    <vt:lpwstr>True</vt:lpwstr>
  </property>
  <property fmtid="{D5CDD505-2E9C-101B-9397-08002B2CF9AE}" pid="5" name="Mendeley Recent Style Id 0_1">
    <vt:lpwstr>http://www.zotero.org/styles/american-political-science-association</vt:lpwstr>
  </property>
  <property fmtid="{D5CDD505-2E9C-101B-9397-08002B2CF9AE}" pid="6" name="Mendeley Recent Style Id 1_1">
    <vt:lpwstr>http://www.zotero.org/styles/apa</vt:lpwstr>
  </property>
  <property fmtid="{D5CDD505-2E9C-101B-9397-08002B2CF9AE}" pid="7" name="Mendeley Recent Style Id 2_1">
    <vt:lpwstr>http://www.zotero.org/styles/chicago-author-date</vt:lpwstr>
  </property>
  <property fmtid="{D5CDD505-2E9C-101B-9397-08002B2CF9AE}" pid="8" name="Mendeley Recent Style Id 3_1">
    <vt:lpwstr>http://www.zotero.org/styles/harvard-cite-them-right</vt:lpwstr>
  </property>
  <property fmtid="{D5CDD505-2E9C-101B-9397-08002B2CF9AE}" pid="9" name="Mendeley Recent Style Id 4_1">
    <vt:lpwstr>http://www.zotero.org/styles/european-child-and-adolescent-psychiatry</vt:lpwstr>
  </property>
  <property fmtid="{D5CDD505-2E9C-101B-9397-08002B2CF9AE}" pid="10" name="Mendeley Recent Style Id 5_1">
    <vt:lpwstr>http://www.zotero.org/styles/ieee</vt:lpwstr>
  </property>
  <property fmtid="{D5CDD505-2E9C-101B-9397-08002B2CF9AE}" pid="11" name="Mendeley Recent Style Id 6_1">
    <vt:lpwstr>http://www.zotero.org/styles/modern-humanities-research-association</vt:lpwstr>
  </property>
  <property fmtid="{D5CDD505-2E9C-101B-9397-08002B2CF9AE}" pid="12" name="Mendeley Recent Style Id 7_1">
    <vt:lpwstr>http://www.zotero.org/styles/modern-language-association</vt:lpwstr>
  </property>
  <property fmtid="{D5CDD505-2E9C-101B-9397-08002B2CF9AE}" pid="13" name="Mendeley Recent Style Id 8_1">
    <vt:lpwstr>http://www.zotero.org/styles/nature</vt:lpwstr>
  </property>
  <property fmtid="{D5CDD505-2E9C-101B-9397-08002B2CF9AE}" pid="14" name="Mendeley Recent Style Id 9_1">
    <vt:lpwstr>http://www.zotero.org/styles/plos-one</vt:lpwstr>
  </property>
  <property fmtid="{D5CDD505-2E9C-101B-9397-08002B2CF9AE}" pid="15" name="Mendeley Recent Style Name 0_1">
    <vt:lpwstr>American Political Science Association</vt:lpwstr>
  </property>
  <property fmtid="{D5CDD505-2E9C-101B-9397-08002B2CF9AE}" pid="16" name="Mendeley Recent Style Name 1_1">
    <vt:lpwstr>American Psychological Association 7th edition</vt:lpwstr>
  </property>
  <property fmtid="{D5CDD505-2E9C-101B-9397-08002B2CF9AE}" pid="17" name="Mendeley Recent Style Name 2_1">
    <vt:lpwstr>Chicago Manual of Style 17th edition (author-date)</vt:lpwstr>
  </property>
  <property fmtid="{D5CDD505-2E9C-101B-9397-08002B2CF9AE}" pid="18" name="Mendeley Recent Style Name 3_1">
    <vt:lpwstr>Cite Them Right 12th edition - Harvard</vt:lpwstr>
  </property>
  <property fmtid="{D5CDD505-2E9C-101B-9397-08002B2CF9AE}" pid="19" name="Mendeley Recent Style Name 4_1">
    <vt:lpwstr>European Child &amp; Adolescent Psychiatry</vt:lpwstr>
  </property>
  <property fmtid="{D5CDD505-2E9C-101B-9397-08002B2CF9AE}" pid="20" name="Mendeley Recent Style Name 5_1">
    <vt:lpwstr>IEEE</vt:lpwstr>
  </property>
  <property fmtid="{D5CDD505-2E9C-101B-9397-08002B2CF9AE}" pid="21" name="Mendeley Recent Style Name 6_1">
    <vt:lpwstr>Modern Humanities Research Association 3rd edition (note with bibliography)</vt:lpwstr>
  </property>
  <property fmtid="{D5CDD505-2E9C-101B-9397-08002B2CF9AE}" pid="22" name="Mendeley Recent Style Name 7_1">
    <vt:lpwstr>Modern Language Association 9th edition</vt:lpwstr>
  </property>
  <property fmtid="{D5CDD505-2E9C-101B-9397-08002B2CF9AE}" pid="23" name="Mendeley Recent Style Name 8_1">
    <vt:lpwstr>Nature</vt:lpwstr>
  </property>
  <property fmtid="{D5CDD505-2E9C-101B-9397-08002B2CF9AE}" pid="24" name="Mendeley Recent Style Name 9_1">
    <vt:lpwstr>PLOS ONE</vt:lpwstr>
  </property>
  <property fmtid="{D5CDD505-2E9C-101B-9397-08002B2CF9AE}" pid="25" name="Mendeley Unique User Id_1">
    <vt:lpwstr>194b588d-884a-3ca8-b233-79aecfbf1ba2</vt:lpwstr>
  </property>
</Properties>
</file>