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B95A8" w14:textId="77777777" w:rsidR="00296FE3" w:rsidRDefault="00000000">
      <w:pPr>
        <w:pBdr>
          <w:top w:val="nil"/>
          <w:left w:val="nil"/>
          <w:bottom w:val="nil"/>
          <w:right w:val="nil"/>
          <w:between w:val="nil"/>
        </w:pBdr>
        <w:spacing w:line="360" w:lineRule="auto"/>
        <w:jc w:val="center"/>
        <w:rPr>
          <w:b/>
          <w:sz w:val="36"/>
          <w:szCs w:val="36"/>
        </w:rPr>
      </w:pPr>
      <w:r>
        <w:rPr>
          <w:b/>
          <w:sz w:val="36"/>
          <w:szCs w:val="36"/>
        </w:rPr>
        <w:t>La presencia de crimen organizado se asocia con la preocupación por la desigualdad económica</w:t>
      </w:r>
    </w:p>
    <w:p w14:paraId="01993643" w14:textId="77777777" w:rsidR="00296FE3" w:rsidRDefault="00296FE3">
      <w:pPr>
        <w:pBdr>
          <w:top w:val="nil"/>
          <w:left w:val="nil"/>
          <w:bottom w:val="nil"/>
          <w:right w:val="nil"/>
          <w:between w:val="nil"/>
        </w:pBdr>
        <w:spacing w:line="360" w:lineRule="auto"/>
        <w:jc w:val="center"/>
        <w:rPr>
          <w:b/>
          <w:sz w:val="36"/>
          <w:szCs w:val="36"/>
        </w:rPr>
      </w:pPr>
    </w:p>
    <w:p w14:paraId="78B7C8D7" w14:textId="2EBC4D79" w:rsidR="00296FE3" w:rsidRPr="00326A04" w:rsidRDefault="00000000" w:rsidP="00326A04">
      <w:pPr>
        <w:spacing w:line="360" w:lineRule="auto"/>
        <w:jc w:val="center"/>
        <w:rPr>
          <w:i/>
          <w:sz w:val="28"/>
          <w:szCs w:val="28"/>
          <w:lang w:val="en-US"/>
        </w:rPr>
      </w:pPr>
      <w:r w:rsidRPr="00326A04">
        <w:rPr>
          <w:b/>
          <w:sz w:val="36"/>
          <w:szCs w:val="36"/>
          <w:lang w:val="en-US"/>
        </w:rPr>
        <w:t>The presence of organized crime is associated with concern about economic inequality</w:t>
      </w:r>
      <w:r>
        <w:rPr>
          <w:noProof/>
        </w:rPr>
        <mc:AlternateContent>
          <mc:Choice Requires="wps">
            <w:drawing>
              <wp:anchor distT="4294967295" distB="4294967295" distL="114300" distR="114300" simplePos="0" relativeHeight="251658240" behindDoc="0" locked="0" layoutInCell="1" hidden="0" allowOverlap="1" wp14:anchorId="3CCAE699" wp14:editId="4EFD5545">
                <wp:simplePos x="0" y="0"/>
                <wp:positionH relativeFrom="column">
                  <wp:posOffset>1</wp:posOffset>
                </wp:positionH>
                <wp:positionV relativeFrom="paragraph">
                  <wp:posOffset>55896</wp:posOffset>
                </wp:positionV>
                <wp:extent cx="0" cy="25400"/>
                <wp:effectExtent l="0" t="0" r="0" b="0"/>
                <wp:wrapNone/>
                <wp:docPr id="23" name="Conector recto de flecha 23"/>
                <wp:cNvGraphicFramePr/>
                <a:graphic xmlns:a="http://schemas.openxmlformats.org/drawingml/2006/main">
                  <a:graphicData uri="http://schemas.microsoft.com/office/word/2010/wordprocessingShape">
                    <wps:wsp>
                      <wps:cNvCnPr/>
                      <wps:spPr>
                        <a:xfrm>
                          <a:off x="2259900" y="3780000"/>
                          <a:ext cx="6172200" cy="0"/>
                        </a:xfrm>
                        <a:prstGeom prst="straightConnector1">
                          <a:avLst/>
                        </a:prstGeom>
                        <a:noFill/>
                        <a:ln w="25400"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55896</wp:posOffset>
                </wp:positionV>
                <wp:extent cx="0" cy="25400"/>
                <wp:effectExtent b="0" l="0" r="0" t="0"/>
                <wp:wrapNone/>
                <wp:docPr id="23"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0" cy="25400"/>
                        </a:xfrm>
                        <a:prstGeom prst="rect"/>
                        <a:ln/>
                      </pic:spPr>
                    </pic:pic>
                  </a:graphicData>
                </a:graphic>
              </wp:anchor>
            </w:drawing>
          </mc:Fallback>
        </mc:AlternateContent>
      </w:r>
    </w:p>
    <w:p w14:paraId="3DA0D751" w14:textId="77777777" w:rsidR="00296FE3" w:rsidRPr="00326A04" w:rsidRDefault="00296FE3">
      <w:pPr>
        <w:spacing w:line="360" w:lineRule="auto"/>
        <w:rPr>
          <w:b/>
          <w:sz w:val="20"/>
          <w:szCs w:val="20"/>
          <w:lang w:val="en-US"/>
        </w:rPr>
      </w:pPr>
    </w:p>
    <w:p w14:paraId="5E7117F7" w14:textId="77777777" w:rsidR="00296FE3" w:rsidRDefault="00000000">
      <w:pPr>
        <w:pBdr>
          <w:top w:val="nil"/>
          <w:left w:val="nil"/>
          <w:bottom w:val="nil"/>
          <w:right w:val="nil"/>
          <w:between w:val="nil"/>
        </w:pBdr>
        <w:spacing w:line="360" w:lineRule="auto"/>
        <w:jc w:val="center"/>
        <w:rPr>
          <w:b/>
          <w:smallCaps/>
        </w:rPr>
      </w:pPr>
      <w:r>
        <w:rPr>
          <w:b/>
          <w:smallCaps/>
        </w:rPr>
        <w:t>Resumen</w:t>
      </w:r>
    </w:p>
    <w:p w14:paraId="33B13AE5" w14:textId="77777777" w:rsidR="00296FE3" w:rsidRDefault="00000000">
      <w:pPr>
        <w:spacing w:line="360" w:lineRule="auto"/>
        <w:jc w:val="both"/>
      </w:pPr>
      <w:r>
        <w:t xml:space="preserve">La desigualdad económica y la violencia son unos de los principales problemas en América Latina. En este trabajo se explora la relación entre crimen organizado y pandillas en la comunidad, con la preocupación por la desigualdad económica. Para ello se utilizó los datos para Costa Rica de la encuesta de opinión pública </w:t>
      </w:r>
      <w:proofErr w:type="spellStart"/>
      <w:r>
        <w:t>Latinobarómetro</w:t>
      </w:r>
      <w:proofErr w:type="spellEnd"/>
      <w:r>
        <w:t xml:space="preserve"> (2020) que cuenta con una muestra de 1 000 personas de población general (52% mujeres, edad </w:t>
      </w:r>
      <w:r>
        <w:rPr>
          <w:i/>
        </w:rPr>
        <w:t>M</w:t>
      </w:r>
      <w:r>
        <w:t xml:space="preserve"> = 41 años). Con un diseño exploratorio, descriptivo y correlacional, se encontró que aquellas personas que manifiestan la presencia de crimen organizado y pandillas en su comunidad se preocupan más por la desigualdad económica. El resultado se mantiene controlando por sexo, edad, nivel educativo, ingreso económico e ideología política. Se propone teóricamente que este resultado se debe a la disminución del sentimiento de control y de la creencia en el mundo justo que provoca la criminalidad, lo que a su vez provoca un mayor énfasis en las atribuciones estructurales de la desigualdad económica, aumentando su preocupación. Se discuten las aplicaciones de este resultado para la elaboración de políticas públicas regionales que procuren mejorar la calidad de vida de sus habitantes.</w:t>
      </w:r>
    </w:p>
    <w:p w14:paraId="312D26B4" w14:textId="77777777" w:rsidR="00296FE3" w:rsidRDefault="00296FE3">
      <w:pPr>
        <w:spacing w:line="360" w:lineRule="auto"/>
      </w:pPr>
    </w:p>
    <w:p w14:paraId="2C32941E" w14:textId="77777777" w:rsidR="00296FE3" w:rsidRDefault="00000000">
      <w:pPr>
        <w:spacing w:line="360" w:lineRule="auto"/>
        <w:rPr>
          <w:b/>
        </w:rPr>
      </w:pPr>
      <w:r>
        <w:rPr>
          <w:b/>
        </w:rPr>
        <w:t>Palabras clave</w:t>
      </w:r>
    </w:p>
    <w:p w14:paraId="2B691CBD" w14:textId="77777777" w:rsidR="00296FE3" w:rsidRDefault="00000000">
      <w:pPr>
        <w:spacing w:line="360" w:lineRule="auto"/>
        <w:jc w:val="both"/>
      </w:pPr>
      <w:r>
        <w:t>Crimen organizado; pandillas; desigualdad económica; preocupación; ciencia abierta.</w:t>
      </w:r>
    </w:p>
    <w:p w14:paraId="7A805054" w14:textId="77777777" w:rsidR="00296FE3" w:rsidRDefault="00296FE3">
      <w:pPr>
        <w:spacing w:line="360" w:lineRule="auto"/>
        <w:jc w:val="both"/>
      </w:pPr>
    </w:p>
    <w:p w14:paraId="2796A645" w14:textId="77777777" w:rsidR="00296FE3" w:rsidRPr="00326A04" w:rsidRDefault="00000000">
      <w:pPr>
        <w:pBdr>
          <w:top w:val="nil"/>
          <w:left w:val="nil"/>
          <w:bottom w:val="nil"/>
          <w:right w:val="nil"/>
          <w:between w:val="nil"/>
        </w:pBdr>
        <w:spacing w:line="360" w:lineRule="auto"/>
        <w:jc w:val="center"/>
        <w:rPr>
          <w:b/>
          <w:smallCaps/>
          <w:lang w:val="en-US"/>
        </w:rPr>
      </w:pPr>
      <w:r w:rsidRPr="00326A04">
        <w:rPr>
          <w:b/>
          <w:smallCaps/>
          <w:lang w:val="en-US"/>
        </w:rPr>
        <w:t>Abstract</w:t>
      </w:r>
    </w:p>
    <w:p w14:paraId="5975735E" w14:textId="77777777" w:rsidR="00296FE3" w:rsidRPr="00326A04" w:rsidRDefault="00000000">
      <w:pPr>
        <w:spacing w:line="360" w:lineRule="auto"/>
        <w:jc w:val="both"/>
        <w:rPr>
          <w:i/>
          <w:lang w:val="en-US"/>
        </w:rPr>
      </w:pPr>
      <w:r w:rsidRPr="00326A04">
        <w:rPr>
          <w:lang w:val="en-US"/>
        </w:rPr>
        <w:t xml:space="preserve">Economic inequality and violence are among the primary social problems in Latin America. This study explores the relationship between organized crime and gangs in the community, with a concern for economic inequality. For this, data from Costa Rica from the </w:t>
      </w:r>
      <w:proofErr w:type="spellStart"/>
      <w:r w:rsidRPr="00326A04">
        <w:rPr>
          <w:lang w:val="en-US"/>
        </w:rPr>
        <w:t>Latinobarómetro</w:t>
      </w:r>
      <w:proofErr w:type="spellEnd"/>
      <w:r w:rsidRPr="00326A04">
        <w:rPr>
          <w:lang w:val="en-US"/>
        </w:rPr>
        <w:t xml:space="preserve"> public opinion survey (2020), which includes a sample of 1,000 individuals from the general population </w:t>
      </w:r>
      <w:r w:rsidRPr="00326A04">
        <w:rPr>
          <w:lang w:val="en-US"/>
        </w:rPr>
        <w:lastRenderedPageBreak/>
        <w:t>(52% women, mean age = 41 years). Employing an exploratory, descriptive, and correlational design, we find that individuals who report the presence of organized crime and gangs in their community express greater concern about economic inequality. This result remains significant after controlling for sex, age, educational level, income, and political ideology. Theoretically, it proposes that this outcome stems from a diminished sense of control and belief in a just world provoked by criminal activity, which in turn leads to a heightened emphasis on structural attributions of economic inequality, thus increasing its concern. This work discusses the implications of this finding for the development of regional public policies aimed at improving the quality of life for inhabitants.</w:t>
      </w:r>
    </w:p>
    <w:p w14:paraId="09D7AFDF" w14:textId="77777777" w:rsidR="00296FE3" w:rsidRPr="00326A04" w:rsidRDefault="00296FE3">
      <w:pPr>
        <w:spacing w:line="360" w:lineRule="auto"/>
        <w:rPr>
          <w:lang w:val="en-US"/>
        </w:rPr>
      </w:pPr>
    </w:p>
    <w:p w14:paraId="3282C5DE" w14:textId="77777777" w:rsidR="00296FE3" w:rsidRPr="00326A04" w:rsidRDefault="00000000">
      <w:pPr>
        <w:spacing w:line="360" w:lineRule="auto"/>
        <w:jc w:val="both"/>
        <w:rPr>
          <w:lang w:val="en-US"/>
        </w:rPr>
      </w:pPr>
      <w:r w:rsidRPr="00326A04">
        <w:rPr>
          <w:b/>
          <w:lang w:val="en-US"/>
        </w:rPr>
        <w:t>Keywords</w:t>
      </w:r>
    </w:p>
    <w:p w14:paraId="5DEDB6E7" w14:textId="77777777" w:rsidR="00296FE3" w:rsidRPr="00326A04" w:rsidRDefault="00000000">
      <w:pPr>
        <w:spacing w:line="360" w:lineRule="auto"/>
        <w:rPr>
          <w:lang w:val="en-US"/>
        </w:rPr>
      </w:pPr>
      <w:r w:rsidRPr="00326A04">
        <w:rPr>
          <w:lang w:val="en-US"/>
        </w:rPr>
        <w:t xml:space="preserve">Organized crime; </w:t>
      </w:r>
      <w:proofErr w:type="spellStart"/>
      <w:r w:rsidRPr="00326A04">
        <w:rPr>
          <w:lang w:val="en-US"/>
        </w:rPr>
        <w:t>gans</w:t>
      </w:r>
      <w:proofErr w:type="spellEnd"/>
      <w:r w:rsidRPr="00326A04">
        <w:rPr>
          <w:lang w:val="en-US"/>
        </w:rPr>
        <w:t>; economic inequality; concern; open science.</w:t>
      </w:r>
    </w:p>
    <w:p w14:paraId="038EB348" w14:textId="77777777" w:rsidR="00296FE3" w:rsidRPr="00326A04" w:rsidRDefault="00296FE3">
      <w:pPr>
        <w:spacing w:line="360" w:lineRule="auto"/>
        <w:rPr>
          <w:lang w:val="en-US"/>
        </w:rPr>
      </w:pPr>
    </w:p>
    <w:p w14:paraId="14809232" w14:textId="77777777" w:rsidR="00296FE3" w:rsidRDefault="00000000">
      <w:pPr>
        <w:pBdr>
          <w:top w:val="nil"/>
          <w:left w:val="nil"/>
          <w:bottom w:val="nil"/>
          <w:right w:val="nil"/>
          <w:between w:val="nil"/>
        </w:pBdr>
        <w:spacing w:line="360" w:lineRule="auto"/>
        <w:jc w:val="center"/>
      </w:pPr>
      <w:r>
        <w:rPr>
          <w:b/>
          <w:sz w:val="28"/>
          <w:szCs w:val="28"/>
        </w:rPr>
        <w:t>Introducción</w:t>
      </w:r>
    </w:p>
    <w:p w14:paraId="2375551E" w14:textId="77777777" w:rsidR="00296FE3" w:rsidRDefault="00000000">
      <w:pPr>
        <w:pBdr>
          <w:top w:val="nil"/>
          <w:left w:val="nil"/>
          <w:bottom w:val="nil"/>
          <w:right w:val="nil"/>
          <w:between w:val="nil"/>
        </w:pBdr>
        <w:spacing w:line="360" w:lineRule="auto"/>
        <w:ind w:firstLine="720"/>
        <w:jc w:val="both"/>
      </w:pPr>
      <w:r>
        <w:t>En las últimas tres décadas, la incidencia delictiva en América Latina ha alcanzado niveles sin precedentes. A pesar de que las cifras indican un crecimiento económico, la región también ha experimentado un marcado aumento de la violencia y delitos contra la propiedad vinculados al crimen organizado (Bergman, 2023). Costa Rica, en particular, muestra tasas de homicidio que alcanzan cifras históricas, generando preocupación entre la población. Según las estadísticas proporcionadas por el Organismo de Investigación Judicial (2023) a lo largo del año 2023, se contabilizaron 905 homicidios, en comparación con los 661 registrados durante el mismo periodo de tiempo en 2022, lo que representa un incremento del 36.8%. Este aumento en la violencia conlleva significativas implicaciones sociales, económicas y políticas, transformando el entramado social y la vida diaria de millones de ciudadanos.</w:t>
      </w:r>
    </w:p>
    <w:p w14:paraId="674F2847" w14:textId="77777777" w:rsidR="00296FE3" w:rsidRDefault="00000000">
      <w:pPr>
        <w:pBdr>
          <w:top w:val="nil"/>
          <w:left w:val="nil"/>
          <w:bottom w:val="nil"/>
          <w:right w:val="nil"/>
          <w:between w:val="nil"/>
        </w:pBdr>
        <w:spacing w:line="360" w:lineRule="auto"/>
        <w:ind w:firstLine="720"/>
        <w:jc w:val="both"/>
      </w:pPr>
      <w:r>
        <w:t xml:space="preserve">En el marco de esta investigación, se analiza la relación entre la presencia de crimen organizado en la comunidad y la preocupación por la desigualdad en Costa Rica. Cabe destacar que, en un contexto donde la violencia y el crimen organizado están en aumento, las comunidades afectadas experimentan cambios significativos en su estructura social y en la vida cotidiana de sus habitantes </w:t>
      </w:r>
      <w:r>
        <w:rPr>
          <w:highlight w:val="white"/>
        </w:rPr>
        <w:t>(</w:t>
      </w:r>
      <w:proofErr w:type="spellStart"/>
      <w:r>
        <w:rPr>
          <w:highlight w:val="white"/>
        </w:rPr>
        <w:t>Soldano</w:t>
      </w:r>
      <w:proofErr w:type="spellEnd"/>
      <w:r>
        <w:rPr>
          <w:highlight w:val="white"/>
        </w:rPr>
        <w:t>, 2016)</w:t>
      </w:r>
      <w:r>
        <w:t xml:space="preserve">. Ejemplo de esto es la limitada accesibilidad a oportunidades educativas y laborales en áreas afectadas por la criminalidad, así como la disminución de la inversión pública en servicios sociales esenciales. Estos factores parecen crear un círculo vicioso en el que la </w:t>
      </w:r>
      <w:r>
        <w:lastRenderedPageBreak/>
        <w:t>presencia de crimen organizado no sólo agudiza la inseguridad, sino que también contribuye a la profundización de las brechas sociales y económicas. A continuación, presentamos una revisión de la literatura existente sobre crimen organizado y preocupación por la desigualdad.</w:t>
      </w:r>
    </w:p>
    <w:p w14:paraId="62C91777" w14:textId="77777777" w:rsidR="00296FE3" w:rsidRDefault="00296FE3">
      <w:pPr>
        <w:pBdr>
          <w:top w:val="nil"/>
          <w:left w:val="nil"/>
          <w:bottom w:val="nil"/>
          <w:right w:val="nil"/>
          <w:between w:val="nil"/>
        </w:pBdr>
        <w:spacing w:line="360" w:lineRule="auto"/>
        <w:jc w:val="both"/>
        <w:rPr>
          <w:b/>
        </w:rPr>
      </w:pPr>
    </w:p>
    <w:p w14:paraId="57960ABE" w14:textId="77777777" w:rsidR="00296FE3" w:rsidRDefault="00000000">
      <w:pPr>
        <w:pBdr>
          <w:top w:val="nil"/>
          <w:left w:val="nil"/>
          <w:bottom w:val="nil"/>
          <w:right w:val="nil"/>
          <w:between w:val="nil"/>
        </w:pBdr>
        <w:spacing w:line="360" w:lineRule="auto"/>
        <w:jc w:val="both"/>
      </w:pPr>
      <w:r>
        <w:rPr>
          <w:b/>
        </w:rPr>
        <w:t>Crimen organizado</w:t>
      </w:r>
    </w:p>
    <w:p w14:paraId="3227050C" w14:textId="77777777" w:rsidR="00296FE3" w:rsidRDefault="00000000">
      <w:pPr>
        <w:pBdr>
          <w:top w:val="nil"/>
          <w:left w:val="nil"/>
          <w:bottom w:val="nil"/>
          <w:right w:val="nil"/>
          <w:between w:val="nil"/>
        </w:pBdr>
        <w:spacing w:line="360" w:lineRule="auto"/>
        <w:ind w:firstLine="720"/>
        <w:jc w:val="both"/>
      </w:pPr>
      <w:r>
        <w:t>La criminalidad organizada se puede entender como un negocio que tiene como fin el beneficio económico, el cual es protagonizado por grupos delictivos de varias personas que se organizan y funcionan en forma estructurada durante cierto tiempo. Actuando concertadamente para obtener, ya sea de forma directa o indirecta, un beneficio de orden material (Naciones Unidas, 2000).</w:t>
      </w:r>
    </w:p>
    <w:p w14:paraId="1DF97806" w14:textId="77777777" w:rsidR="00296FE3" w:rsidRDefault="00000000">
      <w:pPr>
        <w:pBdr>
          <w:top w:val="nil"/>
          <w:left w:val="nil"/>
          <w:bottom w:val="nil"/>
          <w:right w:val="nil"/>
          <w:between w:val="nil"/>
        </w:pBdr>
        <w:spacing w:line="360" w:lineRule="auto"/>
        <w:ind w:firstLine="720"/>
        <w:jc w:val="both"/>
        <w:rPr>
          <w:highlight w:val="white"/>
        </w:rPr>
      </w:pPr>
      <w:r>
        <w:t>De esta forma, las personas involucradas en estas redes realizan sus actividades de manera ilegal a través de la evasión, la influencia o el control de las acciones de las agencias de seguridad del Estado, así como suelen utilizar la intimidación, la extorsión o la violencia cuando la actividad de otras organizaciones delictivas o del gobierno ponen en riesgo las actividades del grupo (</w:t>
      </w:r>
      <w:proofErr w:type="spellStart"/>
      <w:r>
        <w:t>Sain</w:t>
      </w:r>
      <w:proofErr w:type="spellEnd"/>
      <w:r>
        <w:t xml:space="preserve"> y </w:t>
      </w:r>
      <w:proofErr w:type="spellStart"/>
      <w:r>
        <w:t>Games</w:t>
      </w:r>
      <w:proofErr w:type="spellEnd"/>
      <w:r>
        <w:t>, 2015). Las mafias -</w:t>
      </w:r>
      <w:r>
        <w:rPr>
          <w:highlight w:val="white"/>
        </w:rPr>
        <w:t>constituyen el paradigma del crimen organizado</w:t>
      </w:r>
      <w:r>
        <w:t>- son uno de los principales grupos que están relacionados con el chantaje, la corrupción, el blanqueo de capitales y el tráfico de armas, alcohol y drogas. Estas se conforman por grupos estructurados de personas que tienen como objetivo el enriquecimiento ilegal de sus miembros a costa de la sociedad mediante la fuerza, el chantaje o incluso la corrupción</w:t>
      </w:r>
      <w:r>
        <w:rPr>
          <w:highlight w:val="white"/>
        </w:rPr>
        <w:t xml:space="preserve"> (Sanmartín, 2007).</w:t>
      </w:r>
    </w:p>
    <w:p w14:paraId="067E4FC8" w14:textId="77777777" w:rsidR="00296FE3" w:rsidRDefault="00000000">
      <w:pPr>
        <w:pBdr>
          <w:top w:val="nil"/>
          <w:left w:val="nil"/>
          <w:bottom w:val="nil"/>
          <w:right w:val="nil"/>
          <w:between w:val="nil"/>
        </w:pBdr>
        <w:spacing w:line="360" w:lineRule="auto"/>
        <w:ind w:firstLine="720"/>
        <w:jc w:val="both"/>
        <w:rPr>
          <w:highlight w:val="white"/>
        </w:rPr>
      </w:pPr>
      <w:r>
        <w:rPr>
          <w:highlight w:val="white"/>
        </w:rPr>
        <w:t>Entre las principales consecuencias experimentadas por las personas que residen en áreas urbanas con elevados índices de delincuencia, se incluye la posibilidad de ser víctimas directas o indirectas de diversos delitos, como homicidio, secuestro, extorsión, trata de personas, robo con violencia, violación, entre otros (Almanza et al., 2020). Asimismo, estos actos delictivos han demostrado tener la capacidad de desencadenar respuestas cognitivas (alteración de la memoria y la concentración, desorientación, pensamientos intrusivos, negación, hipervigilancia y alta activación), emocionales (shock y embotamiento, miedo, ansiedad, desesperanza, disociación, ira, anhedonia, depresión y culpa), así como consecuencias sociales, que abarcan el aislamiento y la evitación (Alexander y Klein, 2009). Además, se ha observado una alta prevalencia de trastornos en las víctimas, tales como el Trastorno de Estrés Postraumático (TEP) y el trastorno depresivo mayor (</w:t>
      </w:r>
      <w:proofErr w:type="spellStart"/>
      <w:r>
        <w:rPr>
          <w:highlight w:val="white"/>
        </w:rPr>
        <w:t>Favaro</w:t>
      </w:r>
      <w:proofErr w:type="spellEnd"/>
      <w:r>
        <w:rPr>
          <w:highlight w:val="white"/>
        </w:rPr>
        <w:t xml:space="preserve"> et al., 2000).</w:t>
      </w:r>
    </w:p>
    <w:p w14:paraId="36C757B7" w14:textId="77777777" w:rsidR="00296FE3" w:rsidRDefault="00000000">
      <w:pPr>
        <w:spacing w:line="360" w:lineRule="auto"/>
        <w:ind w:firstLine="720"/>
        <w:jc w:val="both"/>
        <w:rPr>
          <w:highlight w:val="white"/>
        </w:rPr>
      </w:pPr>
      <w:r>
        <w:rPr>
          <w:highlight w:val="white"/>
        </w:rPr>
        <w:lastRenderedPageBreak/>
        <w:t>En otro sentido, aquellos individuos que se hallan en la posición de ser víctimas indirectas, en especial los seres queridos, pueden experimentar consecuencias como una especie de confinamiento virtual, ya que las amenazas constantes e intimidación crean la sensación de estar bajo vigilancia constante. También se ha detectado la presencia de malestar psicológico y una disminución de la confianza en su entorno, especialmente en situaciones de impunidad (Navia y Ossa, 2003). En el caso de personas que son víctimas directas o indirectas de extorsión, se han observado secuelas emocionales, como sentimientos de culpabilidad e inferioridad, vergüenza, desesperación, miedo e indefensión, dependencia, ansiedad y depresión. Además, se han constatado consecuencias físicas, como el descuido personal, el deterioro de la salud y la somatización, así como repercusiones sociales que incluyen la renuncia a actividades y cambios de residencia (Salgado, 2010).</w:t>
      </w:r>
    </w:p>
    <w:p w14:paraId="187CD9D4" w14:textId="77777777" w:rsidR="00296FE3" w:rsidRDefault="00296FE3">
      <w:pPr>
        <w:spacing w:line="360" w:lineRule="auto"/>
        <w:ind w:firstLine="720"/>
        <w:jc w:val="both"/>
        <w:rPr>
          <w:highlight w:val="white"/>
        </w:rPr>
      </w:pPr>
    </w:p>
    <w:p w14:paraId="08BD6566" w14:textId="77777777" w:rsidR="00296FE3" w:rsidRDefault="00000000">
      <w:pPr>
        <w:spacing w:line="360" w:lineRule="auto"/>
        <w:jc w:val="both"/>
        <w:rPr>
          <w:highlight w:val="white"/>
        </w:rPr>
      </w:pPr>
      <w:r>
        <w:rPr>
          <w:b/>
        </w:rPr>
        <w:t>Preocupación por la desigualdad</w:t>
      </w:r>
    </w:p>
    <w:p w14:paraId="64E7A330" w14:textId="77777777" w:rsidR="00296FE3" w:rsidRDefault="00000000">
      <w:pPr>
        <w:spacing w:line="360" w:lineRule="auto"/>
        <w:ind w:firstLine="720"/>
        <w:jc w:val="both"/>
        <w:rPr>
          <w:highlight w:val="white"/>
        </w:rPr>
      </w:pPr>
      <w:r>
        <w:rPr>
          <w:highlight w:val="white"/>
        </w:rPr>
        <w:t>El proceso cognitivo de preocuparse por la desigualdad conlleva evaluar cuánta desigualdad se cree que existe y cuánta desigualdad se considera ideal (Son et al., 2019).  Debido a esto, las personas no necesariamente se preocupan por la desigualdad. Su preocupación e intolerancia están condicionadas por si la consideran justa, por la información con la que cuentan, por su interés propio y por su ideología (Trump, 2020).</w:t>
      </w:r>
    </w:p>
    <w:p w14:paraId="256C5DED" w14:textId="09298620" w:rsidR="00296FE3" w:rsidRDefault="00000000">
      <w:pPr>
        <w:pBdr>
          <w:top w:val="nil"/>
          <w:left w:val="nil"/>
          <w:bottom w:val="nil"/>
          <w:right w:val="nil"/>
          <w:between w:val="nil"/>
        </w:pBdr>
        <w:spacing w:line="360" w:lineRule="auto"/>
        <w:ind w:firstLine="720"/>
        <w:jc w:val="both"/>
        <w:rPr>
          <w:highlight w:val="white"/>
        </w:rPr>
      </w:pPr>
      <w:r>
        <w:rPr>
          <w:highlight w:val="white"/>
        </w:rPr>
        <w:t>Los valores y actitudes hacia la inequidad son normativos y están influenciados por la percepción de la realidad y el clima normativo. El neoliberalismo ha conllevado el esparcimiento de una ideología meritocrática y de responsabilidad individual que justifica la desigualdad como algo natural de las sociedades capitalistas. Lo cual se ha homogeneizado en diferentes culturas a través de la globalización (</w:t>
      </w:r>
      <w:proofErr w:type="spellStart"/>
      <w:r>
        <w:rPr>
          <w:highlight w:val="white"/>
        </w:rPr>
        <w:t>Kitsnik</w:t>
      </w:r>
      <w:proofErr w:type="spellEnd"/>
      <w:r>
        <w:rPr>
          <w:highlight w:val="white"/>
        </w:rPr>
        <w:t xml:space="preserve">, 2021). Por ejemplo, aquellas personas con mayores creencias en el mundo justo (ej. “las cosas buenas </w:t>
      </w:r>
      <w:r w:rsidR="00326A04">
        <w:rPr>
          <w:highlight w:val="white"/>
        </w:rPr>
        <w:t>les</w:t>
      </w:r>
      <w:r>
        <w:rPr>
          <w:highlight w:val="white"/>
        </w:rPr>
        <w:t xml:space="preserve"> pasan a las personas buenas”) se preocupan menos por la desigualdad económica porque la consideran una consecuencia del esfuerzo individual (Son et al., 2019).</w:t>
      </w:r>
    </w:p>
    <w:p w14:paraId="495C1FBE" w14:textId="77777777" w:rsidR="00296FE3" w:rsidRDefault="00000000">
      <w:pPr>
        <w:pBdr>
          <w:top w:val="nil"/>
          <w:left w:val="nil"/>
          <w:bottom w:val="nil"/>
          <w:right w:val="nil"/>
          <w:between w:val="nil"/>
        </w:pBdr>
        <w:spacing w:line="360" w:lineRule="auto"/>
        <w:ind w:firstLine="720"/>
        <w:jc w:val="both"/>
        <w:rPr>
          <w:highlight w:val="white"/>
        </w:rPr>
      </w:pPr>
      <w:r>
        <w:rPr>
          <w:highlight w:val="white"/>
        </w:rPr>
        <w:t xml:space="preserve">Las experiencias que las personas utilizan para hacer inferencias causales son creadas socialmente. El proceso se basa en las experiencias directas y en la información con la que cuentan en su entorno inmediato para juzgar la realidad. Lo que las personas aprenden de sus ambientes no se basa solamente en lo que les han enseñado o les han dicho, sino en la inferencia que hacen de la </w:t>
      </w:r>
      <w:r>
        <w:rPr>
          <w:highlight w:val="white"/>
        </w:rPr>
        <w:lastRenderedPageBreak/>
        <w:t>información con la que cuentan (</w:t>
      </w:r>
      <w:proofErr w:type="spellStart"/>
      <w:r>
        <w:rPr>
          <w:highlight w:val="white"/>
        </w:rPr>
        <w:t>Mijs</w:t>
      </w:r>
      <w:proofErr w:type="spellEnd"/>
      <w:r>
        <w:rPr>
          <w:highlight w:val="white"/>
        </w:rPr>
        <w:t>, 2018). Por ejemplo, como cuando presencian crimen organizado o pandillas dentro de su comunidad.</w:t>
      </w:r>
    </w:p>
    <w:p w14:paraId="6E3AA346" w14:textId="77777777" w:rsidR="00296FE3" w:rsidRDefault="00000000">
      <w:pPr>
        <w:spacing w:line="360" w:lineRule="auto"/>
        <w:ind w:firstLine="720"/>
        <w:jc w:val="both"/>
        <w:rPr>
          <w:highlight w:val="white"/>
        </w:rPr>
      </w:pPr>
      <w:r>
        <w:rPr>
          <w:highlight w:val="white"/>
        </w:rPr>
        <w:t>Para entender la preocupación hacia la desigualdad se debe entender los lugares donde se vive ya que en ellos las personas se ven envueltas en diferentes situaciones que condicionan su percepción de la realidad y sus actitudes hacia la desigualdad (</w:t>
      </w:r>
      <w:proofErr w:type="spellStart"/>
      <w:r>
        <w:rPr>
          <w:highlight w:val="white"/>
        </w:rPr>
        <w:t>Minkoff</w:t>
      </w:r>
      <w:proofErr w:type="spellEnd"/>
      <w:r>
        <w:rPr>
          <w:highlight w:val="white"/>
        </w:rPr>
        <w:t xml:space="preserve"> y </w:t>
      </w:r>
      <w:proofErr w:type="spellStart"/>
      <w:r>
        <w:rPr>
          <w:highlight w:val="white"/>
        </w:rPr>
        <w:t>Lions</w:t>
      </w:r>
      <w:proofErr w:type="spellEnd"/>
      <w:r>
        <w:rPr>
          <w:highlight w:val="white"/>
        </w:rPr>
        <w:t>, 2019).  Los lugares que las personas habitan en su vida cotidiana son una de las principales fuentes de información sobre la realidad que los rodea. De esta forma, pueden existir elementos característicos de su entorno inmediato que hace que las personas cuentan con una evaluación particular de su realidad social (Kelly y Moore-</w:t>
      </w:r>
      <w:proofErr w:type="spellStart"/>
      <w:r>
        <w:rPr>
          <w:highlight w:val="white"/>
        </w:rPr>
        <w:t>Clingenpeel</w:t>
      </w:r>
      <w:proofErr w:type="spellEnd"/>
      <w:r>
        <w:rPr>
          <w:highlight w:val="white"/>
        </w:rPr>
        <w:t>, 2012), en el caso de este trabajo, sobre la desigualdad económica del país en el que viven.</w:t>
      </w:r>
    </w:p>
    <w:p w14:paraId="5A9699CE" w14:textId="77777777" w:rsidR="00296FE3" w:rsidRDefault="00296FE3">
      <w:pPr>
        <w:spacing w:line="360" w:lineRule="auto"/>
        <w:ind w:firstLine="720"/>
        <w:jc w:val="both"/>
        <w:rPr>
          <w:highlight w:val="white"/>
        </w:rPr>
      </w:pPr>
    </w:p>
    <w:p w14:paraId="5E976AE5" w14:textId="77777777" w:rsidR="00296FE3" w:rsidRDefault="00000000">
      <w:pPr>
        <w:pBdr>
          <w:top w:val="nil"/>
          <w:left w:val="nil"/>
          <w:bottom w:val="nil"/>
          <w:right w:val="nil"/>
          <w:between w:val="nil"/>
        </w:pBdr>
        <w:spacing w:line="360" w:lineRule="auto"/>
        <w:jc w:val="both"/>
        <w:rPr>
          <w:b/>
          <w:highlight w:val="white"/>
        </w:rPr>
      </w:pPr>
      <w:r>
        <w:rPr>
          <w:b/>
          <w:highlight w:val="white"/>
        </w:rPr>
        <w:t>Crimen organizado y preocupación por la desigualdad</w:t>
      </w:r>
    </w:p>
    <w:p w14:paraId="71ECC514" w14:textId="77777777" w:rsidR="00296FE3" w:rsidRDefault="00000000">
      <w:pPr>
        <w:pBdr>
          <w:top w:val="nil"/>
          <w:left w:val="nil"/>
          <w:bottom w:val="nil"/>
          <w:right w:val="nil"/>
          <w:between w:val="nil"/>
        </w:pBdr>
        <w:spacing w:line="360" w:lineRule="auto"/>
        <w:ind w:firstLine="720"/>
        <w:jc w:val="both"/>
        <w:rPr>
          <w:highlight w:val="white"/>
        </w:rPr>
      </w:pPr>
      <w:r>
        <w:rPr>
          <w:highlight w:val="white"/>
        </w:rPr>
        <w:t xml:space="preserve">Diversas características del contexto en el cual se desarrollan las personas y sus </w:t>
      </w:r>
      <w:proofErr w:type="gramStart"/>
      <w:r>
        <w:rPr>
          <w:highlight w:val="white"/>
        </w:rPr>
        <w:t>experiencias,</w:t>
      </w:r>
      <w:proofErr w:type="gramEnd"/>
      <w:r>
        <w:rPr>
          <w:highlight w:val="white"/>
        </w:rPr>
        <w:t xml:space="preserve"> inciden en las actitudes hacia la inequidad. Por ejemplo, la literatura señala cómo el desempleo y la pobreza aumentan la preocupación por la desigualdad (</w:t>
      </w:r>
      <w:proofErr w:type="spellStart"/>
      <w:r>
        <w:rPr>
          <w:highlight w:val="white"/>
        </w:rPr>
        <w:t>Bussolo</w:t>
      </w:r>
      <w:proofErr w:type="spellEnd"/>
      <w:r>
        <w:rPr>
          <w:highlight w:val="white"/>
        </w:rPr>
        <w:t xml:space="preserve"> et al., 2021). Además, las creencias de cómo funciona el mercado, la confianza en el gobierno, el discurso narrativo de los medios de comunicación, los ingresos económicos, la movilidad personal y los sentimientos de amenaza (Son et al., 2019).</w:t>
      </w:r>
    </w:p>
    <w:p w14:paraId="23519411" w14:textId="77777777" w:rsidR="00296FE3" w:rsidRDefault="00000000">
      <w:pPr>
        <w:pBdr>
          <w:top w:val="nil"/>
          <w:left w:val="nil"/>
          <w:bottom w:val="nil"/>
          <w:right w:val="nil"/>
          <w:between w:val="nil"/>
        </w:pBdr>
        <w:spacing w:line="360" w:lineRule="auto"/>
        <w:ind w:firstLine="720"/>
        <w:jc w:val="both"/>
        <w:rPr>
          <w:highlight w:val="white"/>
        </w:rPr>
      </w:pPr>
      <w:r>
        <w:rPr>
          <w:highlight w:val="white"/>
        </w:rPr>
        <w:t>La relación entre el crimen organizado y la preocupación por la desigualdad pueden estar relacionadas de diversas maneras. Por ejemplo, la presencia del crimen organizado puede agravar las disparidades preexistentes al explotar a comunidades vulnerables y generar inestabilidad tanto económica como social (Carrillo et al., 2022). Además, en países donde el crimen organizado es predominante, se puede debilitar a las instituciones democráticas, lo que a su vez puede dar lugar a una mayor desigualdad (</w:t>
      </w:r>
      <w:proofErr w:type="spellStart"/>
      <w:r>
        <w:rPr>
          <w:highlight w:val="white"/>
        </w:rPr>
        <w:t>Galvan</w:t>
      </w:r>
      <w:proofErr w:type="spellEnd"/>
      <w:r>
        <w:rPr>
          <w:highlight w:val="white"/>
        </w:rPr>
        <w:t xml:space="preserve"> et al., 2021). Estos fenómenos podrían incitar una serie de factores que intensifican la preocupación por la situación individual y fomentan el deseo de cambiar las condiciones de desigualdad en búsqueda de mejores condiciones de vida.</w:t>
      </w:r>
    </w:p>
    <w:p w14:paraId="0BAA1723" w14:textId="77777777" w:rsidR="00296FE3" w:rsidRDefault="00000000">
      <w:pPr>
        <w:pBdr>
          <w:top w:val="nil"/>
          <w:left w:val="nil"/>
          <w:bottom w:val="nil"/>
          <w:right w:val="nil"/>
          <w:between w:val="nil"/>
        </w:pBdr>
        <w:spacing w:line="360" w:lineRule="auto"/>
        <w:ind w:firstLine="720"/>
        <w:jc w:val="both"/>
        <w:rPr>
          <w:highlight w:val="white"/>
        </w:rPr>
      </w:pPr>
      <w:r>
        <w:rPr>
          <w:highlight w:val="white"/>
        </w:rPr>
        <w:t xml:space="preserve">Como se sugiere anteriormente, una de las posibles razones por las cuales las poblaciones que mantienen contacto con organizaciones criminales presentan una mayor preocupación por la desigualdad económica son las diversas consecuencias sociales a las que se encuentran sometidas, como lo pueden ser una afectación general del desarrollo humano, incluidos los derechos, los ingresos, la salud, la educación y la representación política. Asimismo, la violencia presentada por </w:t>
      </w:r>
      <w:r>
        <w:rPr>
          <w:highlight w:val="white"/>
        </w:rPr>
        <w:lastRenderedPageBreak/>
        <w:t>estos grupos también afecta el crecimiento económico a través de su impacto en las personas, las empresas, las comunidades y las instituciones (Programa de las Naciones para el Desarrollo, 2021).</w:t>
      </w:r>
    </w:p>
    <w:p w14:paraId="17464DB8" w14:textId="076AFC11" w:rsidR="00296FE3" w:rsidRDefault="00000000">
      <w:pPr>
        <w:spacing w:line="360" w:lineRule="auto"/>
        <w:ind w:firstLine="720"/>
        <w:jc w:val="both"/>
        <w:rPr>
          <w:highlight w:val="white"/>
        </w:rPr>
      </w:pPr>
      <w:r>
        <w:rPr>
          <w:highlight w:val="white"/>
        </w:rPr>
        <w:t xml:space="preserve">De igual forma, dentro de estas comunidades se ha identificado que sus integrantes expresan </w:t>
      </w:r>
      <w:r w:rsidR="00326A04">
        <w:rPr>
          <w:highlight w:val="white"/>
        </w:rPr>
        <w:t>una preocupación</w:t>
      </w:r>
      <w:r>
        <w:rPr>
          <w:highlight w:val="white"/>
        </w:rPr>
        <w:t xml:space="preserve"> general </w:t>
      </w:r>
      <w:proofErr w:type="gramStart"/>
      <w:r>
        <w:rPr>
          <w:highlight w:val="white"/>
        </w:rPr>
        <w:t>en relación a</w:t>
      </w:r>
      <w:proofErr w:type="gramEnd"/>
      <w:r>
        <w:rPr>
          <w:highlight w:val="white"/>
        </w:rPr>
        <w:t xml:space="preserve"> cómo los grupos delictivos se apoderan de los espacios comunitarios, limitando su desarrollo socioeconómico y su participación en proyectos comunitarios (</w:t>
      </w:r>
      <w:proofErr w:type="spellStart"/>
      <w:r>
        <w:rPr>
          <w:highlight w:val="white"/>
        </w:rPr>
        <w:t>Soldano</w:t>
      </w:r>
      <w:proofErr w:type="spellEnd"/>
      <w:r>
        <w:rPr>
          <w:highlight w:val="white"/>
        </w:rPr>
        <w:t>, 2016). Conocer estas situaciones a las que se someten estas comunidades es relevante, ya que la inseguridad generalizada es un factor clave para comprender la insatisfacción, el temor y las expectativas, las cuales generan una preocupación mayor por la situación de desigualdad económica en la que se encuentran (Burgos y Tudela, 2001).</w:t>
      </w:r>
    </w:p>
    <w:p w14:paraId="7F204190" w14:textId="77777777" w:rsidR="00296FE3" w:rsidRDefault="00000000">
      <w:pPr>
        <w:spacing w:line="360" w:lineRule="auto"/>
        <w:ind w:firstLine="720"/>
        <w:jc w:val="both"/>
        <w:rPr>
          <w:highlight w:val="white"/>
        </w:rPr>
      </w:pPr>
      <w:r>
        <w:rPr>
          <w:highlight w:val="white"/>
        </w:rPr>
        <w:t xml:space="preserve">Aunque en la literatura no hay una relación clara sobre estos fenómenos, existen algunos resultados que pueden mostrar esta asociación. Por ejemplo, las personas en condición de riqueza en regiones más desiguales de Europa occidental apoyan más la redistribución que las personas ricas de las regiones más igualitarias debido a su preocupación por la delincuencia. Mostrando una variación de preferencias redistributivas dependiendo de si se vive en una región con baja o alta desigualdad (Rueda y </w:t>
      </w:r>
      <w:proofErr w:type="spellStart"/>
      <w:r>
        <w:rPr>
          <w:highlight w:val="white"/>
        </w:rPr>
        <w:t>Stegmueller</w:t>
      </w:r>
      <w:proofErr w:type="spellEnd"/>
      <w:r>
        <w:rPr>
          <w:highlight w:val="white"/>
        </w:rPr>
        <w:t>, 2016). A partir de este hallazgo se puede interpretar que la relación entre el crimen organizado y la preocupación por la desigualdad se debe a que las personas en contextos más desiguales tienen más miedo a ser víctimas de la delincuencia y ven la redistribución como una forma de reducir la brecha entre ricos y pobres y, por lo tanto, reducir la delincuencia.</w:t>
      </w:r>
    </w:p>
    <w:p w14:paraId="13803A96" w14:textId="77777777" w:rsidR="00296FE3" w:rsidRDefault="00296FE3">
      <w:pPr>
        <w:spacing w:line="360" w:lineRule="auto"/>
        <w:jc w:val="both"/>
        <w:rPr>
          <w:highlight w:val="white"/>
        </w:rPr>
      </w:pPr>
    </w:p>
    <w:p w14:paraId="395436FA" w14:textId="77777777" w:rsidR="00296FE3" w:rsidRDefault="00000000">
      <w:pPr>
        <w:pBdr>
          <w:top w:val="nil"/>
          <w:left w:val="nil"/>
          <w:bottom w:val="nil"/>
          <w:right w:val="nil"/>
          <w:between w:val="nil"/>
        </w:pBdr>
        <w:spacing w:line="360" w:lineRule="auto"/>
        <w:jc w:val="both"/>
        <w:rPr>
          <w:b/>
          <w:highlight w:val="white"/>
        </w:rPr>
      </w:pPr>
      <w:r>
        <w:rPr>
          <w:b/>
          <w:highlight w:val="white"/>
        </w:rPr>
        <w:t>El presente estudio</w:t>
      </w:r>
    </w:p>
    <w:p w14:paraId="6ECDEE48" w14:textId="77777777" w:rsidR="00296FE3" w:rsidRDefault="00000000">
      <w:pPr>
        <w:pBdr>
          <w:top w:val="nil"/>
          <w:left w:val="nil"/>
          <w:bottom w:val="nil"/>
          <w:right w:val="nil"/>
          <w:between w:val="nil"/>
        </w:pBdr>
        <w:spacing w:line="360" w:lineRule="auto"/>
        <w:ind w:firstLine="720"/>
        <w:jc w:val="both"/>
        <w:rPr>
          <w:highlight w:val="white"/>
        </w:rPr>
      </w:pPr>
      <w:r>
        <w:rPr>
          <w:highlight w:val="white"/>
        </w:rPr>
        <w:t xml:space="preserve">Las comunidades donde viven las personas son esenciales en su vida cotidiana. Condicionan las oportunidades de interacción con los demás y la creación de redes sociales. Además, brindan oportunidades para construir experiencias y actitudes sobre la realidad (Bailey et al., 2013). El presente estudio parte de la hipótesis de que la presencia de crimen organizado en las comunidades </w:t>
      </w:r>
      <w:proofErr w:type="gramStart"/>
      <w:r>
        <w:rPr>
          <w:highlight w:val="white"/>
        </w:rPr>
        <w:t>va</w:t>
      </w:r>
      <w:proofErr w:type="gramEnd"/>
      <w:r>
        <w:rPr>
          <w:highlight w:val="white"/>
        </w:rPr>
        <w:t xml:space="preserve"> aumentar la preocupación por la desigualdad económica. Para testear esta idea utilizamos como ejemplo el caso costarricense, un país en el cual la desigualdad económica y la criminalidad ha venido en aumento en los últimos años (Robles-Rivera et al., 2023).</w:t>
      </w:r>
    </w:p>
    <w:p w14:paraId="6D3B3BB6" w14:textId="77777777" w:rsidR="00296FE3" w:rsidRDefault="00000000">
      <w:pPr>
        <w:pBdr>
          <w:top w:val="nil"/>
          <w:left w:val="nil"/>
          <w:bottom w:val="nil"/>
          <w:right w:val="nil"/>
          <w:between w:val="nil"/>
        </w:pBdr>
        <w:spacing w:line="360" w:lineRule="auto"/>
        <w:ind w:firstLine="720"/>
        <w:jc w:val="both"/>
        <w:rPr>
          <w:highlight w:val="white"/>
        </w:rPr>
      </w:pPr>
      <w:r>
        <w:rPr>
          <w:highlight w:val="white"/>
        </w:rPr>
        <w:t xml:space="preserve">Este trabajo hace un aporte a la psicología iberoamericana en dos sentidos. En primera instancia, estudia un fenómeno psicosocial que hasta el momento no se ha profundizado en la literatura internacional como es la relación entre el crimen organizado en las comunidades y las </w:t>
      </w:r>
      <w:r>
        <w:rPr>
          <w:highlight w:val="white"/>
        </w:rPr>
        <w:lastRenderedPageBreak/>
        <w:t xml:space="preserve">evaluaciones subjetivas de la desigualdad económica. Por otro lado, se enfoca en unos de los principales problemas históricos de América Latina: la violencia y la distribución desigual de los recursos económicos. En el siguiente enlace se puede encontrar el código del análisis y un enlace a los datos de acceso público:  </w:t>
      </w:r>
      <w:hyperlink r:id="rId8">
        <w:r>
          <w:rPr>
            <w:color w:val="1155CC"/>
            <w:highlight w:val="white"/>
            <w:u w:val="single"/>
          </w:rPr>
          <w:t>https://osf.io/64p7s/?view_only=22b5caa6e33c419091b2f536920e7f8b</w:t>
        </w:r>
      </w:hyperlink>
      <w:r>
        <w:rPr>
          <w:highlight w:val="white"/>
        </w:rPr>
        <w:t xml:space="preserve"> </w:t>
      </w:r>
    </w:p>
    <w:p w14:paraId="146EA331" w14:textId="77777777" w:rsidR="00296FE3" w:rsidRDefault="00296FE3">
      <w:pPr>
        <w:pBdr>
          <w:top w:val="nil"/>
          <w:left w:val="nil"/>
          <w:bottom w:val="nil"/>
          <w:right w:val="nil"/>
          <w:between w:val="nil"/>
        </w:pBdr>
        <w:spacing w:line="360" w:lineRule="auto"/>
        <w:ind w:firstLine="720"/>
        <w:jc w:val="both"/>
        <w:rPr>
          <w:color w:val="000000"/>
        </w:rPr>
      </w:pPr>
    </w:p>
    <w:p w14:paraId="73773BD4" w14:textId="77777777" w:rsidR="00296FE3" w:rsidRDefault="00000000">
      <w:pPr>
        <w:pBdr>
          <w:top w:val="nil"/>
          <w:left w:val="nil"/>
          <w:bottom w:val="nil"/>
          <w:right w:val="nil"/>
          <w:between w:val="nil"/>
        </w:pBdr>
        <w:spacing w:line="360" w:lineRule="auto"/>
        <w:jc w:val="center"/>
        <w:rPr>
          <w:color w:val="000000"/>
          <w:sz w:val="28"/>
          <w:szCs w:val="28"/>
        </w:rPr>
      </w:pPr>
      <w:r>
        <w:rPr>
          <w:b/>
          <w:color w:val="000000"/>
          <w:sz w:val="28"/>
          <w:szCs w:val="28"/>
        </w:rPr>
        <w:t>Método</w:t>
      </w:r>
    </w:p>
    <w:p w14:paraId="403F3A96" w14:textId="77777777" w:rsidR="00296FE3" w:rsidRDefault="00000000">
      <w:pPr>
        <w:pBdr>
          <w:top w:val="nil"/>
          <w:left w:val="nil"/>
          <w:bottom w:val="nil"/>
          <w:right w:val="nil"/>
          <w:between w:val="nil"/>
        </w:pBdr>
        <w:spacing w:line="360" w:lineRule="auto"/>
        <w:jc w:val="both"/>
        <w:rPr>
          <w:b/>
          <w:color w:val="000000"/>
        </w:rPr>
      </w:pPr>
      <w:r>
        <w:rPr>
          <w:b/>
          <w:color w:val="000000"/>
        </w:rPr>
        <w:t>Participantes</w:t>
      </w:r>
    </w:p>
    <w:p w14:paraId="54B76F06" w14:textId="77777777" w:rsidR="00296FE3" w:rsidRDefault="00000000">
      <w:pPr>
        <w:spacing w:line="360" w:lineRule="auto"/>
        <w:ind w:firstLine="720"/>
        <w:jc w:val="both"/>
      </w:pPr>
      <w:r>
        <w:t xml:space="preserve">Para este estudio se utilizó como fuente de datos el </w:t>
      </w:r>
      <w:proofErr w:type="spellStart"/>
      <w:r>
        <w:t>Latinobarómetro</w:t>
      </w:r>
      <w:proofErr w:type="spellEnd"/>
      <w:r>
        <w:t xml:space="preserve"> 2020. Una encuesta de opinión pública anual que permite la exploración de información acerca de las percepciones y actitudes de la población en América Latina. Para el abordaje de la relación entre el crimen organizado y la preocupación por la desigualdad, se focalizó la atención específicamente en los datos recopilados en Costa Rica. Utilizando una muestra total de 1000 personas, tomando en cuenta los valores perdidos (</w:t>
      </w:r>
      <w:r>
        <w:rPr>
          <w:i/>
        </w:rPr>
        <w:t>NA</w:t>
      </w:r>
      <w:r>
        <w:t xml:space="preserve">), quedó un total de 701 personas, de las cuales </w:t>
      </w:r>
      <w:proofErr w:type="gramStart"/>
      <w:r>
        <w:t>el  49.8</w:t>
      </w:r>
      <w:proofErr w:type="gramEnd"/>
      <w:r>
        <w:t xml:space="preserve">% eran mujeres. Las personas participantes en promedio tenían 41 </w:t>
      </w:r>
      <w:proofErr w:type="gramStart"/>
      <w:r>
        <w:t>años de edad</w:t>
      </w:r>
      <w:proofErr w:type="gramEnd"/>
      <w:r>
        <w:t xml:space="preserve"> (</w:t>
      </w:r>
      <w:r>
        <w:rPr>
          <w:i/>
        </w:rPr>
        <w:t xml:space="preserve">DE </w:t>
      </w:r>
      <w:r>
        <w:t>= 16.22). La aplicación de la encuesta se llevó a cabo mediante encuentros presenciales con las personas participantes, a quienes antes de comenzar se les proporcionó información relevante sobre el estudio y se les solicitó firmar un consentimiento informado (</w:t>
      </w:r>
      <w:proofErr w:type="spellStart"/>
      <w:r>
        <w:t>Latinobarómetro</w:t>
      </w:r>
      <w:proofErr w:type="spellEnd"/>
      <w:r>
        <w:t xml:space="preserve">, 2020). </w:t>
      </w:r>
    </w:p>
    <w:p w14:paraId="1C2B0D8D" w14:textId="77777777" w:rsidR="00296FE3" w:rsidRDefault="00000000">
      <w:pPr>
        <w:spacing w:line="360" w:lineRule="auto"/>
        <w:ind w:firstLine="720"/>
        <w:jc w:val="both"/>
        <w:rPr>
          <w:rFonts w:ascii="Arial" w:eastAsia="Arial" w:hAnsi="Arial" w:cs="Arial"/>
          <w:color w:val="333333"/>
          <w:highlight w:val="white"/>
        </w:rPr>
      </w:pPr>
      <w:r>
        <w:t xml:space="preserve">Se han seguido las normas éticas generales y específicas acordadas en Costa Rica, para el desarrollo de actividad científica y académica en el tratamiento de información de opinión pública, incluyendo la Declaración Universal de Principios Éticos para profesionales en psicología (IAAP &amp; </w:t>
      </w:r>
      <w:proofErr w:type="spellStart"/>
      <w:r>
        <w:t>IUPsyS</w:t>
      </w:r>
      <w:proofErr w:type="spellEnd"/>
      <w:r>
        <w:t>, 2008).</w:t>
      </w:r>
    </w:p>
    <w:p w14:paraId="3AB3A1EE" w14:textId="77777777" w:rsidR="00296FE3" w:rsidRDefault="00296FE3">
      <w:pPr>
        <w:spacing w:line="360" w:lineRule="auto"/>
        <w:ind w:firstLine="720"/>
        <w:jc w:val="both"/>
      </w:pPr>
    </w:p>
    <w:p w14:paraId="1857FAC9" w14:textId="77777777" w:rsidR="00296FE3" w:rsidRDefault="00000000">
      <w:pPr>
        <w:spacing w:line="360" w:lineRule="auto"/>
        <w:jc w:val="both"/>
      </w:pPr>
      <w:r>
        <w:rPr>
          <w:b/>
        </w:rPr>
        <w:t xml:space="preserve">Medidas </w:t>
      </w:r>
    </w:p>
    <w:p w14:paraId="023CA3E6" w14:textId="77777777" w:rsidR="00296FE3" w:rsidRDefault="00000000">
      <w:pPr>
        <w:spacing w:line="360" w:lineRule="auto"/>
        <w:jc w:val="both"/>
        <w:rPr>
          <w:b/>
          <w:i/>
        </w:rPr>
      </w:pPr>
      <w:r>
        <w:rPr>
          <w:b/>
          <w:i/>
        </w:rPr>
        <w:t>Preocupación por la desigualdad</w:t>
      </w:r>
    </w:p>
    <w:p w14:paraId="6B686ED7" w14:textId="77777777" w:rsidR="00296FE3" w:rsidRDefault="00000000">
      <w:pPr>
        <w:spacing w:line="360" w:lineRule="auto"/>
        <w:ind w:firstLine="720"/>
        <w:jc w:val="both"/>
        <w:rPr>
          <w:b/>
        </w:rPr>
      </w:pPr>
      <w:r>
        <w:t>Para este estudio se tomó como variable dependiente la preocupación por la desigualdad, medida mediante el ítem “¿Diría usted que el nivel de desigualdad de su país es aceptable o diría usted que es completamente inaceptable? En una escala de 1 a 10, donde 1 es completamente inaceptable y 10 es completamente aceptable, ¿dónde ubica a Costa Rica?” (</w:t>
      </w:r>
      <w:r>
        <w:rPr>
          <w:i/>
        </w:rPr>
        <w:t xml:space="preserve">M </w:t>
      </w:r>
      <w:r>
        <w:t xml:space="preserve">= 4.75, </w:t>
      </w:r>
      <w:r>
        <w:rPr>
          <w:i/>
        </w:rPr>
        <w:t xml:space="preserve">DE </w:t>
      </w:r>
      <w:r>
        <w:t>= 2.65).</w:t>
      </w:r>
    </w:p>
    <w:p w14:paraId="20712878" w14:textId="77777777" w:rsidR="00296FE3" w:rsidRDefault="00000000">
      <w:pPr>
        <w:spacing w:line="360" w:lineRule="auto"/>
        <w:jc w:val="both"/>
        <w:rPr>
          <w:b/>
          <w:i/>
        </w:rPr>
      </w:pPr>
      <w:r>
        <w:rPr>
          <w:b/>
          <w:i/>
        </w:rPr>
        <w:t>Presencia de crimen organizado</w:t>
      </w:r>
    </w:p>
    <w:p w14:paraId="302A3F76" w14:textId="77777777" w:rsidR="00296FE3" w:rsidRDefault="00000000">
      <w:pPr>
        <w:spacing w:line="360" w:lineRule="auto"/>
        <w:ind w:firstLine="720"/>
        <w:jc w:val="both"/>
      </w:pPr>
      <w:r>
        <w:lastRenderedPageBreak/>
        <w:t>En cuanto a las variables independientes se analizó la presencia de crimen organizado, que se midió con el ítem “¿Hay presencia de crimen organizado, grupos armados, grupos narco o pandillas donde usted vive, (en su municipio o localidad) o no la hay?” con dos respuestas posibles, 1 “No hay presencia” (</w:t>
      </w:r>
      <w:r>
        <w:rPr>
          <w:i/>
        </w:rPr>
        <w:t xml:space="preserve">N </w:t>
      </w:r>
      <w:r>
        <w:t>= 379) o 2 “Hay presencia” (</w:t>
      </w:r>
      <w:r>
        <w:rPr>
          <w:i/>
        </w:rPr>
        <w:t xml:space="preserve">N </w:t>
      </w:r>
      <w:r>
        <w:t>= 322).</w:t>
      </w:r>
    </w:p>
    <w:p w14:paraId="5FD170BA" w14:textId="77777777" w:rsidR="00296FE3" w:rsidRDefault="00000000">
      <w:pPr>
        <w:spacing w:line="360" w:lineRule="auto"/>
        <w:jc w:val="both"/>
        <w:rPr>
          <w:b/>
        </w:rPr>
      </w:pPr>
      <w:r>
        <w:rPr>
          <w:b/>
        </w:rPr>
        <w:t>Ideología</w:t>
      </w:r>
    </w:p>
    <w:p w14:paraId="00DE67C4" w14:textId="77777777" w:rsidR="00296FE3" w:rsidRDefault="00000000">
      <w:pPr>
        <w:spacing w:line="360" w:lineRule="auto"/>
        <w:ind w:firstLine="720"/>
        <w:jc w:val="both"/>
      </w:pPr>
      <w:r>
        <w:t>Como variable control se consideró la ideología política que se midió mediante el ítem “En política se habla normalmente de "izquierda" y "derecha". En una escala dónde “00" es la “izquierda” y “10" la “derecha”, ¿Dónde se ubicaría usted?” (</w:t>
      </w:r>
      <w:r>
        <w:rPr>
          <w:i/>
        </w:rPr>
        <w:t xml:space="preserve">M </w:t>
      </w:r>
      <w:r>
        <w:t xml:space="preserve">= 4.71, </w:t>
      </w:r>
      <w:r>
        <w:rPr>
          <w:i/>
        </w:rPr>
        <w:t>DE</w:t>
      </w:r>
      <w:r>
        <w:t xml:space="preserve"> = 2.77). Lo que es equivalente a la izquierda.</w:t>
      </w:r>
    </w:p>
    <w:p w14:paraId="6F3F75A9" w14:textId="77777777" w:rsidR="00296FE3" w:rsidRDefault="00000000">
      <w:pPr>
        <w:spacing w:line="360" w:lineRule="auto"/>
        <w:jc w:val="both"/>
        <w:rPr>
          <w:b/>
        </w:rPr>
      </w:pPr>
      <w:r>
        <w:rPr>
          <w:b/>
        </w:rPr>
        <w:t>Sociodemográficos</w:t>
      </w:r>
    </w:p>
    <w:p w14:paraId="7091BBB8" w14:textId="77777777" w:rsidR="00296FE3" w:rsidRDefault="00000000">
      <w:pPr>
        <w:spacing w:line="360" w:lineRule="auto"/>
        <w:ind w:firstLine="720"/>
        <w:jc w:val="both"/>
      </w:pPr>
      <w:r>
        <w:t>Por último, se tomaron las variables sociodemográficas como edad y sexo. Así como el nivel educativo estimado mediante el ítem “¿Qué estudios ha realizado? ¿Cuál es el último año cursado? ¿Escuela técnica de qué, instituto de qué..., etc.? Con una opción de respuesta abierta al número de años (</w:t>
      </w:r>
      <w:r>
        <w:rPr>
          <w:i/>
        </w:rPr>
        <w:t xml:space="preserve">M </w:t>
      </w:r>
      <w:r>
        <w:t xml:space="preserve">= 10.09, </w:t>
      </w:r>
      <w:r>
        <w:rPr>
          <w:i/>
        </w:rPr>
        <w:t xml:space="preserve">DE </w:t>
      </w:r>
      <w:r>
        <w:t>= 3.75), lo cual es equivalente a tercer año de secundaria.</w:t>
      </w:r>
    </w:p>
    <w:p w14:paraId="21DB79CE" w14:textId="77777777" w:rsidR="00296FE3" w:rsidRDefault="00000000">
      <w:pPr>
        <w:spacing w:line="360" w:lineRule="auto"/>
        <w:ind w:firstLine="720"/>
        <w:jc w:val="both"/>
      </w:pPr>
      <w:r>
        <w:t xml:space="preserve">Además, como parte de este conjunto de variables se contemplaron los ingresos económicos medidos con el ítem “De los siguientes tramos de ingresos mensuales que se presentan en esta tarjeta, ¿Podría usted indicarme en cuál de ellos se encuentra este hogar, considerando todos los ingresos por sueldos y salarios de todas las personas que trabajan </w:t>
      </w:r>
      <w:proofErr w:type="spellStart"/>
      <w:r>
        <w:t>remuneradamente</w:t>
      </w:r>
      <w:proofErr w:type="spellEnd"/>
      <w:r>
        <w:t>, jubilaciones, pensiones, dividendos, aportes de parientes o amigos, arriendos y otros?” ofreciendo 10 tramos posibles dónde ubicarse (</w:t>
      </w:r>
      <w:r>
        <w:rPr>
          <w:i/>
        </w:rPr>
        <w:t xml:space="preserve">M </w:t>
      </w:r>
      <w:r>
        <w:t xml:space="preserve">= 3.08, </w:t>
      </w:r>
      <w:r>
        <w:rPr>
          <w:i/>
        </w:rPr>
        <w:t xml:space="preserve">DE </w:t>
      </w:r>
      <w:r>
        <w:t>= 2.44), lo cual es equivalente a $1101.00 hasta $1500.00.</w:t>
      </w:r>
    </w:p>
    <w:p w14:paraId="7BDCA654" w14:textId="77777777" w:rsidR="00296FE3" w:rsidRDefault="00000000">
      <w:pPr>
        <w:spacing w:line="360" w:lineRule="auto"/>
        <w:jc w:val="both"/>
        <w:rPr>
          <w:b/>
          <w:i/>
        </w:rPr>
      </w:pPr>
      <w:r>
        <w:rPr>
          <w:b/>
        </w:rPr>
        <w:t xml:space="preserve"> </w:t>
      </w:r>
      <w:r>
        <w:rPr>
          <w:b/>
          <w:i/>
        </w:rPr>
        <w:t>Análisis de datos</w:t>
      </w:r>
    </w:p>
    <w:p w14:paraId="5AE5E431" w14:textId="77777777" w:rsidR="00296FE3" w:rsidRDefault="00000000">
      <w:pPr>
        <w:spacing w:line="360" w:lineRule="auto"/>
        <w:ind w:firstLine="720"/>
        <w:jc w:val="both"/>
      </w:pPr>
      <w:r>
        <w:t xml:space="preserve">Utilizamos un diseño exploratorio, descriptivo y correlacional con datos secundarios. Primero, se realizaron diferentes análisis descriptivos de variables de interés. En segunda instancia, se realizaron análisis exploratorios de posibles relaciones entre variables. Seguidamente, se realizó la limpieza de la base de datos, en dónde se eliminaron 299 datos, los cuales hacían referencia a valores </w:t>
      </w:r>
      <w:proofErr w:type="spellStart"/>
      <w:r>
        <w:t>pérdidos</w:t>
      </w:r>
      <w:proofErr w:type="spellEnd"/>
      <w:r>
        <w:t xml:space="preserve"> (</w:t>
      </w:r>
      <w:r>
        <w:rPr>
          <w:i/>
        </w:rPr>
        <w:t>NA</w:t>
      </w:r>
      <w:r>
        <w:t>). Por último, se seleccionaron las variables que mostraron una relación entre sí para construir el modelo de regresión, incorporando las variables demográficas como variables de control.</w:t>
      </w:r>
    </w:p>
    <w:p w14:paraId="4070196C" w14:textId="77777777" w:rsidR="00296FE3" w:rsidRDefault="00000000">
      <w:pPr>
        <w:spacing w:line="360" w:lineRule="auto"/>
        <w:ind w:firstLine="720"/>
        <w:jc w:val="both"/>
      </w:pPr>
      <w:r>
        <w:t xml:space="preserve">Se utilizó un modelo de regresión lineal jerárquica. La regresión lineal es un modelo estadístico para calcular el efecto de una variable sobre otra, de manera que se utiliza para predecir las puntuaciones de una variable a partir de las puntuaciones de otra, entre mayor sea la correlación </w:t>
      </w:r>
      <w:r>
        <w:lastRenderedPageBreak/>
        <w:t>mayor es la capacidad de predicción (Hernández et al, 2014). En esta investigación se trató de predecir la preocupación por la desigualdad, para lo cual se desarrolló un modelo de regresión lineal jerárquica en el que se incorporaron de manera progresiva variables explicativas para evaluar por pasos la influencia de cada una en la predicción final.</w:t>
      </w:r>
    </w:p>
    <w:p w14:paraId="278C141C" w14:textId="77777777" w:rsidR="00296FE3" w:rsidRDefault="00000000">
      <w:pPr>
        <w:spacing w:line="360" w:lineRule="auto"/>
        <w:ind w:firstLine="720"/>
        <w:jc w:val="both"/>
      </w:pPr>
      <w:r>
        <w:t>En el primer paso, se incluyeron como variables control de la preocupación por la desigualdad los datos sociodemográficos, que incluyen la edad, el sexo, el nivel de estudios y el rango de ingresos económicos.</w:t>
      </w:r>
      <w:r>
        <w:rPr>
          <w:b/>
        </w:rPr>
        <w:t xml:space="preserve"> </w:t>
      </w:r>
      <w:r>
        <w:t>En el segundo paso del modelo, se incorporó la variable de ideología política a los indicadores sociodemográficos antes mencionados. Por último, se incluyó la variable presencia del crimen organizado como predictora de la preocupación por la desigualdad. Esto en conjunto con las variables sociodemográficas y la ideología política. En la tabla 1 se muestra la matriz de correlaciones entre las variables.</w:t>
      </w:r>
    </w:p>
    <w:p w14:paraId="43EC41C6" w14:textId="77777777" w:rsidR="00296FE3" w:rsidRDefault="00296FE3">
      <w:pPr>
        <w:spacing w:line="360" w:lineRule="auto"/>
        <w:ind w:firstLine="720"/>
        <w:jc w:val="both"/>
      </w:pPr>
    </w:p>
    <w:p w14:paraId="59A42D55" w14:textId="77777777" w:rsidR="00296FE3" w:rsidRDefault="00000000">
      <w:pPr>
        <w:pBdr>
          <w:top w:val="nil"/>
          <w:left w:val="nil"/>
          <w:bottom w:val="nil"/>
          <w:right w:val="nil"/>
          <w:between w:val="nil"/>
        </w:pBdr>
        <w:spacing w:line="360" w:lineRule="auto"/>
        <w:jc w:val="center"/>
      </w:pPr>
      <w:r>
        <w:rPr>
          <w:b/>
          <w:sz w:val="28"/>
          <w:szCs w:val="28"/>
        </w:rPr>
        <w:t xml:space="preserve">Resultados </w:t>
      </w:r>
    </w:p>
    <w:p w14:paraId="0A6BFF02" w14:textId="77777777" w:rsidR="00296FE3" w:rsidRDefault="00000000">
      <w:pPr>
        <w:spacing w:line="360" w:lineRule="auto"/>
        <w:jc w:val="both"/>
        <w:rPr>
          <w:b/>
        </w:rPr>
      </w:pPr>
      <w:r>
        <w:rPr>
          <w:b/>
        </w:rPr>
        <w:t>Tabla 1.</w:t>
      </w:r>
    </w:p>
    <w:p w14:paraId="6C229D21" w14:textId="77777777" w:rsidR="00296FE3" w:rsidRDefault="00000000">
      <w:pPr>
        <w:spacing w:line="360" w:lineRule="auto"/>
        <w:jc w:val="both"/>
        <w:rPr>
          <w:i/>
        </w:rPr>
      </w:pPr>
      <w:r>
        <w:rPr>
          <w:i/>
        </w:rPr>
        <w:t xml:space="preserve">Matriz de correlaciones </w:t>
      </w:r>
    </w:p>
    <w:tbl>
      <w:tblPr>
        <w:tblStyle w:val="a"/>
        <w:tblW w:w="9600" w:type="dxa"/>
        <w:tblBorders>
          <w:top w:val="nil"/>
          <w:left w:val="nil"/>
          <w:bottom w:val="nil"/>
          <w:right w:val="nil"/>
          <w:insideH w:val="nil"/>
          <w:insideV w:val="nil"/>
        </w:tblBorders>
        <w:tblLayout w:type="fixed"/>
        <w:tblLook w:val="0600" w:firstRow="0" w:lastRow="0" w:firstColumn="0" w:lastColumn="0" w:noHBand="1" w:noVBand="1"/>
      </w:tblPr>
      <w:tblGrid>
        <w:gridCol w:w="2565"/>
        <w:gridCol w:w="585"/>
        <w:gridCol w:w="1110"/>
        <w:gridCol w:w="870"/>
        <w:gridCol w:w="1095"/>
        <w:gridCol w:w="1050"/>
        <w:gridCol w:w="1080"/>
        <w:gridCol w:w="1245"/>
      </w:tblGrid>
      <w:tr w:rsidR="00296FE3" w14:paraId="034FB6DB" w14:textId="77777777">
        <w:trPr>
          <w:trHeight w:val="285"/>
        </w:trPr>
        <w:tc>
          <w:tcPr>
            <w:tcW w:w="2565" w:type="dxa"/>
            <w:tcBorders>
              <w:top w:val="single" w:sz="5" w:space="0" w:color="000000"/>
              <w:left w:val="nil"/>
              <w:bottom w:val="single" w:sz="5" w:space="0" w:color="000000"/>
              <w:right w:val="nil"/>
            </w:tcBorders>
            <w:tcMar>
              <w:top w:w="0" w:type="dxa"/>
              <w:left w:w="100" w:type="dxa"/>
              <w:bottom w:w="0" w:type="dxa"/>
              <w:right w:w="100" w:type="dxa"/>
            </w:tcMar>
          </w:tcPr>
          <w:p w14:paraId="06F2FE0B" w14:textId="77777777" w:rsidR="00296FE3" w:rsidRDefault="00000000">
            <w:pPr>
              <w:spacing w:line="360" w:lineRule="auto"/>
              <w:jc w:val="both"/>
            </w:pPr>
            <w:r>
              <w:t>Variables</w:t>
            </w:r>
          </w:p>
        </w:tc>
        <w:tc>
          <w:tcPr>
            <w:tcW w:w="585" w:type="dxa"/>
            <w:tcBorders>
              <w:top w:val="single" w:sz="5" w:space="0" w:color="000000"/>
              <w:left w:val="nil"/>
              <w:bottom w:val="single" w:sz="5" w:space="0" w:color="000000"/>
              <w:right w:val="nil"/>
            </w:tcBorders>
            <w:tcMar>
              <w:top w:w="0" w:type="dxa"/>
              <w:left w:w="100" w:type="dxa"/>
              <w:bottom w:w="0" w:type="dxa"/>
              <w:right w:w="100" w:type="dxa"/>
            </w:tcMar>
          </w:tcPr>
          <w:p w14:paraId="330893A2" w14:textId="77777777" w:rsidR="00296FE3" w:rsidRDefault="00000000">
            <w:pPr>
              <w:spacing w:line="360" w:lineRule="auto"/>
              <w:jc w:val="center"/>
            </w:pPr>
            <w:r>
              <w:t>1</w:t>
            </w:r>
          </w:p>
        </w:tc>
        <w:tc>
          <w:tcPr>
            <w:tcW w:w="1110" w:type="dxa"/>
            <w:tcBorders>
              <w:top w:val="single" w:sz="5" w:space="0" w:color="000000"/>
              <w:left w:val="nil"/>
              <w:bottom w:val="single" w:sz="5" w:space="0" w:color="000000"/>
              <w:right w:val="nil"/>
            </w:tcBorders>
            <w:tcMar>
              <w:top w:w="0" w:type="dxa"/>
              <w:left w:w="100" w:type="dxa"/>
              <w:bottom w:w="0" w:type="dxa"/>
              <w:right w:w="100" w:type="dxa"/>
            </w:tcMar>
          </w:tcPr>
          <w:p w14:paraId="6B148B0F" w14:textId="77777777" w:rsidR="00296FE3" w:rsidRDefault="00000000">
            <w:pPr>
              <w:spacing w:line="360" w:lineRule="auto"/>
              <w:jc w:val="center"/>
            </w:pPr>
            <w:r>
              <w:t>2</w:t>
            </w:r>
          </w:p>
        </w:tc>
        <w:tc>
          <w:tcPr>
            <w:tcW w:w="870" w:type="dxa"/>
            <w:tcBorders>
              <w:top w:val="single" w:sz="5" w:space="0" w:color="000000"/>
              <w:left w:val="nil"/>
              <w:bottom w:val="single" w:sz="5" w:space="0" w:color="000000"/>
              <w:right w:val="nil"/>
            </w:tcBorders>
            <w:tcMar>
              <w:top w:w="0" w:type="dxa"/>
              <w:left w:w="100" w:type="dxa"/>
              <w:bottom w:w="0" w:type="dxa"/>
              <w:right w:w="100" w:type="dxa"/>
            </w:tcMar>
          </w:tcPr>
          <w:p w14:paraId="0E27BD28" w14:textId="77777777" w:rsidR="00296FE3" w:rsidRDefault="00000000">
            <w:pPr>
              <w:spacing w:line="360" w:lineRule="auto"/>
              <w:jc w:val="center"/>
            </w:pPr>
            <w:r>
              <w:t>3</w:t>
            </w:r>
          </w:p>
        </w:tc>
        <w:tc>
          <w:tcPr>
            <w:tcW w:w="1095" w:type="dxa"/>
            <w:tcBorders>
              <w:top w:val="single" w:sz="5" w:space="0" w:color="000000"/>
              <w:left w:val="nil"/>
              <w:bottom w:val="single" w:sz="5" w:space="0" w:color="000000"/>
              <w:right w:val="nil"/>
            </w:tcBorders>
            <w:tcMar>
              <w:top w:w="0" w:type="dxa"/>
              <w:left w:w="100" w:type="dxa"/>
              <w:bottom w:w="0" w:type="dxa"/>
              <w:right w:w="100" w:type="dxa"/>
            </w:tcMar>
          </w:tcPr>
          <w:p w14:paraId="25906101" w14:textId="77777777" w:rsidR="00296FE3" w:rsidRDefault="00000000">
            <w:pPr>
              <w:spacing w:line="360" w:lineRule="auto"/>
              <w:jc w:val="center"/>
            </w:pPr>
            <w:r>
              <w:t>4</w:t>
            </w:r>
          </w:p>
        </w:tc>
        <w:tc>
          <w:tcPr>
            <w:tcW w:w="1050" w:type="dxa"/>
            <w:tcBorders>
              <w:top w:val="single" w:sz="5" w:space="0" w:color="000000"/>
              <w:left w:val="nil"/>
              <w:bottom w:val="single" w:sz="5" w:space="0" w:color="000000"/>
              <w:right w:val="nil"/>
            </w:tcBorders>
            <w:tcMar>
              <w:top w:w="0" w:type="dxa"/>
              <w:left w:w="100" w:type="dxa"/>
              <w:bottom w:w="0" w:type="dxa"/>
              <w:right w:w="100" w:type="dxa"/>
            </w:tcMar>
          </w:tcPr>
          <w:p w14:paraId="2EE6230E" w14:textId="77777777" w:rsidR="00296FE3" w:rsidRDefault="00000000">
            <w:pPr>
              <w:spacing w:line="360" w:lineRule="auto"/>
              <w:jc w:val="center"/>
            </w:pPr>
            <w:r>
              <w:t>5</w:t>
            </w:r>
          </w:p>
        </w:tc>
        <w:tc>
          <w:tcPr>
            <w:tcW w:w="1080" w:type="dxa"/>
            <w:tcBorders>
              <w:top w:val="single" w:sz="5" w:space="0" w:color="000000"/>
              <w:left w:val="nil"/>
              <w:bottom w:val="single" w:sz="5" w:space="0" w:color="000000"/>
              <w:right w:val="nil"/>
            </w:tcBorders>
            <w:tcMar>
              <w:top w:w="0" w:type="dxa"/>
              <w:left w:w="100" w:type="dxa"/>
              <w:bottom w:w="0" w:type="dxa"/>
              <w:right w:w="100" w:type="dxa"/>
            </w:tcMar>
          </w:tcPr>
          <w:p w14:paraId="4DDB92B2" w14:textId="77777777" w:rsidR="00296FE3" w:rsidRDefault="00000000">
            <w:pPr>
              <w:spacing w:line="360" w:lineRule="auto"/>
              <w:jc w:val="center"/>
            </w:pPr>
            <w:r>
              <w:t>6</w:t>
            </w:r>
          </w:p>
        </w:tc>
        <w:tc>
          <w:tcPr>
            <w:tcW w:w="1245" w:type="dxa"/>
            <w:tcBorders>
              <w:top w:val="single" w:sz="5" w:space="0" w:color="000000"/>
              <w:left w:val="nil"/>
              <w:bottom w:val="single" w:sz="5" w:space="0" w:color="000000"/>
              <w:right w:val="nil"/>
            </w:tcBorders>
            <w:tcMar>
              <w:top w:w="0" w:type="dxa"/>
              <w:left w:w="100" w:type="dxa"/>
              <w:bottom w:w="0" w:type="dxa"/>
              <w:right w:w="100" w:type="dxa"/>
            </w:tcMar>
          </w:tcPr>
          <w:p w14:paraId="7B97A2DB" w14:textId="77777777" w:rsidR="00296FE3" w:rsidRDefault="00000000">
            <w:pPr>
              <w:spacing w:line="360" w:lineRule="auto"/>
              <w:jc w:val="center"/>
            </w:pPr>
            <w:r>
              <w:t>7</w:t>
            </w:r>
          </w:p>
        </w:tc>
      </w:tr>
      <w:tr w:rsidR="00296FE3" w14:paraId="25F38678" w14:textId="77777777">
        <w:trPr>
          <w:trHeight w:val="555"/>
        </w:trPr>
        <w:tc>
          <w:tcPr>
            <w:tcW w:w="2565" w:type="dxa"/>
            <w:tcBorders>
              <w:top w:val="nil"/>
              <w:left w:val="nil"/>
              <w:bottom w:val="nil"/>
              <w:right w:val="nil"/>
            </w:tcBorders>
            <w:tcMar>
              <w:top w:w="0" w:type="dxa"/>
              <w:left w:w="100" w:type="dxa"/>
              <w:bottom w:w="0" w:type="dxa"/>
              <w:right w:w="100" w:type="dxa"/>
            </w:tcMar>
          </w:tcPr>
          <w:p w14:paraId="24269673" w14:textId="77777777" w:rsidR="00296FE3" w:rsidRDefault="00000000">
            <w:pPr>
              <w:spacing w:line="360" w:lineRule="auto"/>
              <w:jc w:val="both"/>
            </w:pPr>
            <w:r>
              <w:t>1. Preocupación por la desigualdad</w:t>
            </w:r>
          </w:p>
        </w:tc>
        <w:tc>
          <w:tcPr>
            <w:tcW w:w="585" w:type="dxa"/>
            <w:tcBorders>
              <w:top w:val="nil"/>
              <w:left w:val="nil"/>
              <w:bottom w:val="nil"/>
              <w:right w:val="nil"/>
            </w:tcBorders>
            <w:tcMar>
              <w:top w:w="0" w:type="dxa"/>
              <w:left w:w="100" w:type="dxa"/>
              <w:bottom w:w="0" w:type="dxa"/>
              <w:right w:w="100" w:type="dxa"/>
            </w:tcMar>
          </w:tcPr>
          <w:p w14:paraId="776677AB" w14:textId="77777777" w:rsidR="00296FE3" w:rsidRDefault="00296FE3">
            <w:pPr>
              <w:spacing w:line="360" w:lineRule="auto"/>
            </w:pPr>
          </w:p>
        </w:tc>
        <w:tc>
          <w:tcPr>
            <w:tcW w:w="1110" w:type="dxa"/>
            <w:tcBorders>
              <w:top w:val="nil"/>
              <w:left w:val="nil"/>
              <w:bottom w:val="nil"/>
              <w:right w:val="nil"/>
            </w:tcBorders>
            <w:tcMar>
              <w:top w:w="0" w:type="dxa"/>
              <w:left w:w="100" w:type="dxa"/>
              <w:bottom w:w="0" w:type="dxa"/>
              <w:right w:w="100" w:type="dxa"/>
            </w:tcMar>
          </w:tcPr>
          <w:p w14:paraId="3109CD50" w14:textId="77777777" w:rsidR="00296FE3" w:rsidRDefault="00000000">
            <w:pPr>
              <w:spacing w:line="360" w:lineRule="auto"/>
              <w:jc w:val="center"/>
            </w:pPr>
            <w:r>
              <w:t>.16***</w:t>
            </w:r>
          </w:p>
        </w:tc>
        <w:tc>
          <w:tcPr>
            <w:tcW w:w="870" w:type="dxa"/>
            <w:tcBorders>
              <w:top w:val="nil"/>
              <w:left w:val="nil"/>
              <w:bottom w:val="nil"/>
              <w:right w:val="nil"/>
            </w:tcBorders>
            <w:tcMar>
              <w:top w:w="0" w:type="dxa"/>
              <w:left w:w="100" w:type="dxa"/>
              <w:bottom w:w="0" w:type="dxa"/>
              <w:right w:w="100" w:type="dxa"/>
            </w:tcMar>
          </w:tcPr>
          <w:p w14:paraId="60164902" w14:textId="77777777" w:rsidR="00296FE3" w:rsidRDefault="00000000">
            <w:pPr>
              <w:spacing w:line="360" w:lineRule="auto"/>
              <w:jc w:val="center"/>
            </w:pPr>
            <w:r>
              <w:t>.04</w:t>
            </w:r>
          </w:p>
        </w:tc>
        <w:tc>
          <w:tcPr>
            <w:tcW w:w="1095" w:type="dxa"/>
            <w:tcBorders>
              <w:top w:val="nil"/>
              <w:left w:val="nil"/>
              <w:bottom w:val="nil"/>
              <w:right w:val="nil"/>
            </w:tcBorders>
            <w:tcMar>
              <w:top w:w="0" w:type="dxa"/>
              <w:left w:w="100" w:type="dxa"/>
              <w:bottom w:w="0" w:type="dxa"/>
              <w:right w:w="100" w:type="dxa"/>
            </w:tcMar>
          </w:tcPr>
          <w:p w14:paraId="51FBAE7D" w14:textId="77777777" w:rsidR="00296FE3" w:rsidRDefault="00000000">
            <w:pPr>
              <w:spacing w:line="360" w:lineRule="auto"/>
              <w:jc w:val="center"/>
            </w:pPr>
            <w:r>
              <w:t>-.06</w:t>
            </w:r>
          </w:p>
        </w:tc>
        <w:tc>
          <w:tcPr>
            <w:tcW w:w="1050" w:type="dxa"/>
            <w:tcBorders>
              <w:top w:val="nil"/>
              <w:left w:val="nil"/>
              <w:bottom w:val="nil"/>
              <w:right w:val="nil"/>
            </w:tcBorders>
            <w:tcMar>
              <w:top w:w="0" w:type="dxa"/>
              <w:left w:w="100" w:type="dxa"/>
              <w:bottom w:w="0" w:type="dxa"/>
              <w:right w:w="100" w:type="dxa"/>
            </w:tcMar>
          </w:tcPr>
          <w:p w14:paraId="3F61C64E" w14:textId="77777777" w:rsidR="00296FE3" w:rsidRDefault="00000000">
            <w:pPr>
              <w:spacing w:line="360" w:lineRule="auto"/>
              <w:jc w:val="center"/>
            </w:pPr>
            <w:r>
              <w:t>-.08</w:t>
            </w:r>
          </w:p>
        </w:tc>
        <w:tc>
          <w:tcPr>
            <w:tcW w:w="1080" w:type="dxa"/>
            <w:tcBorders>
              <w:top w:val="nil"/>
              <w:left w:val="nil"/>
              <w:bottom w:val="nil"/>
              <w:right w:val="nil"/>
            </w:tcBorders>
            <w:tcMar>
              <w:top w:w="0" w:type="dxa"/>
              <w:left w:w="100" w:type="dxa"/>
              <w:bottom w:w="0" w:type="dxa"/>
              <w:right w:w="100" w:type="dxa"/>
            </w:tcMar>
          </w:tcPr>
          <w:p w14:paraId="25017076" w14:textId="77777777" w:rsidR="00296FE3" w:rsidRDefault="00000000">
            <w:pPr>
              <w:spacing w:line="360" w:lineRule="auto"/>
              <w:jc w:val="center"/>
            </w:pPr>
            <w:r>
              <w:t>.12**</w:t>
            </w:r>
          </w:p>
        </w:tc>
        <w:tc>
          <w:tcPr>
            <w:tcW w:w="1245" w:type="dxa"/>
            <w:tcBorders>
              <w:top w:val="nil"/>
              <w:left w:val="nil"/>
              <w:bottom w:val="nil"/>
              <w:right w:val="nil"/>
            </w:tcBorders>
            <w:tcMar>
              <w:top w:w="0" w:type="dxa"/>
              <w:left w:w="100" w:type="dxa"/>
              <w:bottom w:w="0" w:type="dxa"/>
              <w:right w:w="100" w:type="dxa"/>
            </w:tcMar>
          </w:tcPr>
          <w:p w14:paraId="43441557" w14:textId="77777777" w:rsidR="00296FE3" w:rsidRDefault="00000000">
            <w:pPr>
              <w:spacing w:line="360" w:lineRule="auto"/>
              <w:jc w:val="center"/>
            </w:pPr>
            <w:r>
              <w:t>-.11**</w:t>
            </w:r>
          </w:p>
        </w:tc>
      </w:tr>
      <w:tr w:rsidR="00296FE3" w14:paraId="7D3E412D" w14:textId="77777777">
        <w:trPr>
          <w:trHeight w:val="270"/>
        </w:trPr>
        <w:tc>
          <w:tcPr>
            <w:tcW w:w="2565" w:type="dxa"/>
            <w:tcBorders>
              <w:top w:val="nil"/>
              <w:left w:val="nil"/>
              <w:bottom w:val="nil"/>
              <w:right w:val="nil"/>
            </w:tcBorders>
            <w:tcMar>
              <w:top w:w="0" w:type="dxa"/>
              <w:left w:w="100" w:type="dxa"/>
              <w:bottom w:w="0" w:type="dxa"/>
              <w:right w:w="100" w:type="dxa"/>
            </w:tcMar>
          </w:tcPr>
          <w:p w14:paraId="0A7A7799" w14:textId="77777777" w:rsidR="00296FE3" w:rsidRDefault="00000000">
            <w:pPr>
              <w:spacing w:line="360" w:lineRule="auto"/>
              <w:jc w:val="both"/>
            </w:pPr>
            <w:r>
              <w:t>2. Edad</w:t>
            </w:r>
          </w:p>
        </w:tc>
        <w:tc>
          <w:tcPr>
            <w:tcW w:w="585" w:type="dxa"/>
            <w:tcBorders>
              <w:top w:val="nil"/>
              <w:left w:val="nil"/>
              <w:bottom w:val="nil"/>
              <w:right w:val="nil"/>
            </w:tcBorders>
            <w:tcMar>
              <w:top w:w="0" w:type="dxa"/>
              <w:left w:w="100" w:type="dxa"/>
              <w:bottom w:w="0" w:type="dxa"/>
              <w:right w:w="100" w:type="dxa"/>
            </w:tcMar>
          </w:tcPr>
          <w:p w14:paraId="174ADF6F" w14:textId="77777777" w:rsidR="00296FE3" w:rsidRDefault="00000000">
            <w:pPr>
              <w:spacing w:line="360" w:lineRule="auto"/>
              <w:jc w:val="center"/>
            </w:pPr>
            <w:r>
              <w:t xml:space="preserve"> </w:t>
            </w:r>
          </w:p>
        </w:tc>
        <w:tc>
          <w:tcPr>
            <w:tcW w:w="1110" w:type="dxa"/>
            <w:tcBorders>
              <w:top w:val="nil"/>
              <w:left w:val="nil"/>
              <w:bottom w:val="nil"/>
              <w:right w:val="nil"/>
            </w:tcBorders>
            <w:tcMar>
              <w:top w:w="0" w:type="dxa"/>
              <w:left w:w="100" w:type="dxa"/>
              <w:bottom w:w="0" w:type="dxa"/>
              <w:right w:w="100" w:type="dxa"/>
            </w:tcMar>
          </w:tcPr>
          <w:p w14:paraId="2E6A574E" w14:textId="77777777" w:rsidR="00296FE3" w:rsidRDefault="00000000">
            <w:pPr>
              <w:spacing w:line="360" w:lineRule="auto"/>
              <w:jc w:val="center"/>
            </w:pPr>
            <w:r>
              <w:t xml:space="preserve"> </w:t>
            </w:r>
          </w:p>
        </w:tc>
        <w:tc>
          <w:tcPr>
            <w:tcW w:w="870" w:type="dxa"/>
            <w:tcBorders>
              <w:top w:val="nil"/>
              <w:left w:val="nil"/>
              <w:bottom w:val="nil"/>
              <w:right w:val="nil"/>
            </w:tcBorders>
            <w:tcMar>
              <w:top w:w="0" w:type="dxa"/>
              <w:left w:w="100" w:type="dxa"/>
              <w:bottom w:w="0" w:type="dxa"/>
              <w:right w:w="100" w:type="dxa"/>
            </w:tcMar>
          </w:tcPr>
          <w:p w14:paraId="40A404BB" w14:textId="77777777" w:rsidR="00296FE3" w:rsidRDefault="00000000">
            <w:pPr>
              <w:spacing w:line="360" w:lineRule="auto"/>
              <w:jc w:val="center"/>
            </w:pPr>
            <w:r>
              <w:t>-.01</w:t>
            </w:r>
          </w:p>
        </w:tc>
        <w:tc>
          <w:tcPr>
            <w:tcW w:w="1095" w:type="dxa"/>
            <w:tcBorders>
              <w:top w:val="nil"/>
              <w:left w:val="nil"/>
              <w:bottom w:val="nil"/>
              <w:right w:val="nil"/>
            </w:tcBorders>
            <w:tcMar>
              <w:top w:w="0" w:type="dxa"/>
              <w:left w:w="100" w:type="dxa"/>
              <w:bottom w:w="0" w:type="dxa"/>
              <w:right w:w="100" w:type="dxa"/>
            </w:tcMar>
          </w:tcPr>
          <w:p w14:paraId="6F565904" w14:textId="77777777" w:rsidR="00296FE3" w:rsidRDefault="00000000">
            <w:pPr>
              <w:spacing w:line="360" w:lineRule="auto"/>
              <w:jc w:val="center"/>
            </w:pPr>
            <w:r>
              <w:t>-.21***</w:t>
            </w:r>
          </w:p>
        </w:tc>
        <w:tc>
          <w:tcPr>
            <w:tcW w:w="1050" w:type="dxa"/>
            <w:tcBorders>
              <w:top w:val="nil"/>
              <w:left w:val="nil"/>
              <w:bottom w:val="nil"/>
              <w:right w:val="nil"/>
            </w:tcBorders>
            <w:tcMar>
              <w:top w:w="0" w:type="dxa"/>
              <w:left w:w="100" w:type="dxa"/>
              <w:bottom w:w="0" w:type="dxa"/>
              <w:right w:w="100" w:type="dxa"/>
            </w:tcMar>
          </w:tcPr>
          <w:p w14:paraId="5EA1DB8C" w14:textId="77777777" w:rsidR="00296FE3" w:rsidRDefault="00000000">
            <w:pPr>
              <w:spacing w:line="360" w:lineRule="auto"/>
              <w:jc w:val="center"/>
            </w:pPr>
            <w:r>
              <w:t>-.08</w:t>
            </w:r>
          </w:p>
        </w:tc>
        <w:tc>
          <w:tcPr>
            <w:tcW w:w="1080" w:type="dxa"/>
            <w:tcBorders>
              <w:top w:val="nil"/>
              <w:left w:val="nil"/>
              <w:bottom w:val="nil"/>
              <w:right w:val="nil"/>
            </w:tcBorders>
            <w:tcMar>
              <w:top w:w="0" w:type="dxa"/>
              <w:left w:w="100" w:type="dxa"/>
              <w:bottom w:w="0" w:type="dxa"/>
              <w:right w:w="100" w:type="dxa"/>
            </w:tcMar>
          </w:tcPr>
          <w:p w14:paraId="027075AF" w14:textId="77777777" w:rsidR="00296FE3" w:rsidRDefault="00000000">
            <w:pPr>
              <w:spacing w:line="360" w:lineRule="auto"/>
              <w:jc w:val="center"/>
            </w:pPr>
            <w:r>
              <w:t>.17***</w:t>
            </w:r>
          </w:p>
        </w:tc>
        <w:tc>
          <w:tcPr>
            <w:tcW w:w="1245" w:type="dxa"/>
            <w:tcBorders>
              <w:top w:val="nil"/>
              <w:left w:val="nil"/>
              <w:bottom w:val="nil"/>
              <w:right w:val="nil"/>
            </w:tcBorders>
            <w:tcMar>
              <w:top w:w="0" w:type="dxa"/>
              <w:left w:w="100" w:type="dxa"/>
              <w:bottom w:w="0" w:type="dxa"/>
              <w:right w:w="100" w:type="dxa"/>
            </w:tcMar>
          </w:tcPr>
          <w:p w14:paraId="2F5F7CAA" w14:textId="77777777" w:rsidR="00296FE3" w:rsidRDefault="00000000">
            <w:pPr>
              <w:spacing w:line="360" w:lineRule="auto"/>
              <w:jc w:val="center"/>
            </w:pPr>
            <w:r>
              <w:t>-.06</w:t>
            </w:r>
          </w:p>
        </w:tc>
      </w:tr>
      <w:tr w:rsidR="00296FE3" w14:paraId="6B76F9DE" w14:textId="77777777">
        <w:trPr>
          <w:trHeight w:val="270"/>
        </w:trPr>
        <w:tc>
          <w:tcPr>
            <w:tcW w:w="2565" w:type="dxa"/>
            <w:tcBorders>
              <w:top w:val="nil"/>
              <w:left w:val="nil"/>
              <w:bottom w:val="nil"/>
              <w:right w:val="nil"/>
            </w:tcBorders>
            <w:tcMar>
              <w:top w:w="0" w:type="dxa"/>
              <w:left w:w="100" w:type="dxa"/>
              <w:bottom w:w="0" w:type="dxa"/>
              <w:right w:w="100" w:type="dxa"/>
            </w:tcMar>
          </w:tcPr>
          <w:p w14:paraId="58574DC3" w14:textId="77777777" w:rsidR="00296FE3" w:rsidRDefault="00000000">
            <w:pPr>
              <w:spacing w:line="360" w:lineRule="auto"/>
              <w:jc w:val="both"/>
            </w:pPr>
            <w:r>
              <w:t>3. Sexo</w:t>
            </w:r>
          </w:p>
        </w:tc>
        <w:tc>
          <w:tcPr>
            <w:tcW w:w="585" w:type="dxa"/>
            <w:tcBorders>
              <w:top w:val="nil"/>
              <w:left w:val="nil"/>
              <w:bottom w:val="nil"/>
              <w:right w:val="nil"/>
            </w:tcBorders>
            <w:tcMar>
              <w:top w:w="0" w:type="dxa"/>
              <w:left w:w="100" w:type="dxa"/>
              <w:bottom w:w="0" w:type="dxa"/>
              <w:right w:w="100" w:type="dxa"/>
            </w:tcMar>
          </w:tcPr>
          <w:p w14:paraId="284F19C4" w14:textId="77777777" w:rsidR="00296FE3" w:rsidRDefault="00000000">
            <w:pPr>
              <w:spacing w:line="360" w:lineRule="auto"/>
              <w:jc w:val="center"/>
            </w:pPr>
            <w:r>
              <w:t xml:space="preserve"> </w:t>
            </w:r>
          </w:p>
        </w:tc>
        <w:tc>
          <w:tcPr>
            <w:tcW w:w="1110" w:type="dxa"/>
            <w:tcBorders>
              <w:top w:val="nil"/>
              <w:left w:val="nil"/>
              <w:bottom w:val="nil"/>
              <w:right w:val="nil"/>
            </w:tcBorders>
            <w:tcMar>
              <w:top w:w="0" w:type="dxa"/>
              <w:left w:w="100" w:type="dxa"/>
              <w:bottom w:w="0" w:type="dxa"/>
              <w:right w:w="100" w:type="dxa"/>
            </w:tcMar>
          </w:tcPr>
          <w:p w14:paraId="7D9C4B91" w14:textId="77777777" w:rsidR="00296FE3" w:rsidRDefault="00000000">
            <w:pPr>
              <w:spacing w:line="360" w:lineRule="auto"/>
              <w:jc w:val="center"/>
            </w:pPr>
            <w:r>
              <w:t xml:space="preserve"> </w:t>
            </w:r>
          </w:p>
        </w:tc>
        <w:tc>
          <w:tcPr>
            <w:tcW w:w="870" w:type="dxa"/>
            <w:tcBorders>
              <w:top w:val="nil"/>
              <w:left w:val="nil"/>
              <w:bottom w:val="nil"/>
              <w:right w:val="nil"/>
            </w:tcBorders>
            <w:tcMar>
              <w:top w:w="0" w:type="dxa"/>
              <w:left w:w="100" w:type="dxa"/>
              <w:bottom w:w="0" w:type="dxa"/>
              <w:right w:w="100" w:type="dxa"/>
            </w:tcMar>
          </w:tcPr>
          <w:p w14:paraId="700BF1EF" w14:textId="77777777" w:rsidR="00296FE3" w:rsidRDefault="00000000">
            <w:pPr>
              <w:spacing w:line="360" w:lineRule="auto"/>
              <w:jc w:val="center"/>
            </w:pPr>
            <w:r>
              <w:t xml:space="preserve"> </w:t>
            </w:r>
          </w:p>
        </w:tc>
        <w:tc>
          <w:tcPr>
            <w:tcW w:w="1095" w:type="dxa"/>
            <w:tcBorders>
              <w:top w:val="nil"/>
              <w:left w:val="nil"/>
              <w:bottom w:val="nil"/>
              <w:right w:val="nil"/>
            </w:tcBorders>
            <w:tcMar>
              <w:top w:w="0" w:type="dxa"/>
              <w:left w:w="100" w:type="dxa"/>
              <w:bottom w:w="0" w:type="dxa"/>
              <w:right w:w="100" w:type="dxa"/>
            </w:tcMar>
          </w:tcPr>
          <w:p w14:paraId="154D4C32" w14:textId="77777777" w:rsidR="00296FE3" w:rsidRDefault="00000000">
            <w:pPr>
              <w:spacing w:line="360" w:lineRule="auto"/>
              <w:jc w:val="center"/>
            </w:pPr>
            <w:r>
              <w:t>.02</w:t>
            </w:r>
          </w:p>
        </w:tc>
        <w:tc>
          <w:tcPr>
            <w:tcW w:w="1050" w:type="dxa"/>
            <w:tcBorders>
              <w:top w:val="nil"/>
              <w:left w:val="nil"/>
              <w:bottom w:val="nil"/>
              <w:right w:val="nil"/>
            </w:tcBorders>
            <w:tcMar>
              <w:top w:w="0" w:type="dxa"/>
              <w:left w:w="100" w:type="dxa"/>
              <w:bottom w:w="0" w:type="dxa"/>
              <w:right w:w="100" w:type="dxa"/>
            </w:tcMar>
          </w:tcPr>
          <w:p w14:paraId="5170E312" w14:textId="77777777" w:rsidR="00296FE3" w:rsidRDefault="00000000">
            <w:pPr>
              <w:spacing w:line="360" w:lineRule="auto"/>
              <w:jc w:val="center"/>
            </w:pPr>
            <w:r>
              <w:t>-.15***</w:t>
            </w:r>
          </w:p>
        </w:tc>
        <w:tc>
          <w:tcPr>
            <w:tcW w:w="1080" w:type="dxa"/>
            <w:tcBorders>
              <w:top w:val="nil"/>
              <w:left w:val="nil"/>
              <w:bottom w:val="nil"/>
              <w:right w:val="nil"/>
            </w:tcBorders>
            <w:tcMar>
              <w:top w:w="0" w:type="dxa"/>
              <w:left w:w="100" w:type="dxa"/>
              <w:bottom w:w="0" w:type="dxa"/>
              <w:right w:w="100" w:type="dxa"/>
            </w:tcMar>
          </w:tcPr>
          <w:p w14:paraId="72C3F943" w14:textId="77777777" w:rsidR="00296FE3" w:rsidRDefault="00000000">
            <w:pPr>
              <w:spacing w:line="360" w:lineRule="auto"/>
              <w:jc w:val="center"/>
            </w:pPr>
            <w:r>
              <w:t>-.06</w:t>
            </w:r>
          </w:p>
        </w:tc>
        <w:tc>
          <w:tcPr>
            <w:tcW w:w="1245" w:type="dxa"/>
            <w:tcBorders>
              <w:top w:val="nil"/>
              <w:left w:val="nil"/>
              <w:bottom w:val="nil"/>
              <w:right w:val="nil"/>
            </w:tcBorders>
            <w:tcMar>
              <w:top w:w="0" w:type="dxa"/>
              <w:left w:w="100" w:type="dxa"/>
              <w:bottom w:w="0" w:type="dxa"/>
              <w:right w:w="100" w:type="dxa"/>
            </w:tcMar>
          </w:tcPr>
          <w:p w14:paraId="633E635E" w14:textId="77777777" w:rsidR="00296FE3" w:rsidRDefault="00000000">
            <w:pPr>
              <w:spacing w:line="360" w:lineRule="auto"/>
              <w:jc w:val="center"/>
            </w:pPr>
            <w:r>
              <w:t>.06</w:t>
            </w:r>
          </w:p>
        </w:tc>
      </w:tr>
      <w:tr w:rsidR="00296FE3" w14:paraId="226EF7DD" w14:textId="77777777">
        <w:trPr>
          <w:trHeight w:val="270"/>
        </w:trPr>
        <w:tc>
          <w:tcPr>
            <w:tcW w:w="2565" w:type="dxa"/>
            <w:tcBorders>
              <w:top w:val="nil"/>
              <w:left w:val="nil"/>
              <w:bottom w:val="nil"/>
              <w:right w:val="nil"/>
            </w:tcBorders>
            <w:tcMar>
              <w:top w:w="0" w:type="dxa"/>
              <w:left w:w="100" w:type="dxa"/>
              <w:bottom w:w="0" w:type="dxa"/>
              <w:right w:w="100" w:type="dxa"/>
            </w:tcMar>
          </w:tcPr>
          <w:p w14:paraId="4E5CA8FE" w14:textId="77777777" w:rsidR="00296FE3" w:rsidRDefault="00000000">
            <w:pPr>
              <w:spacing w:line="360" w:lineRule="auto"/>
              <w:jc w:val="both"/>
            </w:pPr>
            <w:r>
              <w:t>4. Nivel de estudios</w:t>
            </w:r>
          </w:p>
        </w:tc>
        <w:tc>
          <w:tcPr>
            <w:tcW w:w="585" w:type="dxa"/>
            <w:tcBorders>
              <w:top w:val="nil"/>
              <w:left w:val="nil"/>
              <w:bottom w:val="nil"/>
              <w:right w:val="nil"/>
            </w:tcBorders>
            <w:tcMar>
              <w:top w:w="0" w:type="dxa"/>
              <w:left w:w="100" w:type="dxa"/>
              <w:bottom w:w="0" w:type="dxa"/>
              <w:right w:w="100" w:type="dxa"/>
            </w:tcMar>
          </w:tcPr>
          <w:p w14:paraId="53CBEF1D" w14:textId="77777777" w:rsidR="00296FE3" w:rsidRDefault="00000000">
            <w:pPr>
              <w:spacing w:line="360" w:lineRule="auto"/>
              <w:jc w:val="center"/>
            </w:pPr>
            <w:r>
              <w:t xml:space="preserve"> </w:t>
            </w:r>
          </w:p>
        </w:tc>
        <w:tc>
          <w:tcPr>
            <w:tcW w:w="1110" w:type="dxa"/>
            <w:tcBorders>
              <w:top w:val="nil"/>
              <w:left w:val="nil"/>
              <w:bottom w:val="nil"/>
              <w:right w:val="nil"/>
            </w:tcBorders>
            <w:tcMar>
              <w:top w:w="0" w:type="dxa"/>
              <w:left w:w="100" w:type="dxa"/>
              <w:bottom w:w="0" w:type="dxa"/>
              <w:right w:w="100" w:type="dxa"/>
            </w:tcMar>
          </w:tcPr>
          <w:p w14:paraId="51A11961" w14:textId="77777777" w:rsidR="00296FE3" w:rsidRDefault="00000000">
            <w:pPr>
              <w:spacing w:line="360" w:lineRule="auto"/>
              <w:jc w:val="center"/>
            </w:pPr>
            <w:r>
              <w:t xml:space="preserve"> </w:t>
            </w:r>
          </w:p>
        </w:tc>
        <w:tc>
          <w:tcPr>
            <w:tcW w:w="870" w:type="dxa"/>
            <w:tcBorders>
              <w:top w:val="nil"/>
              <w:left w:val="nil"/>
              <w:bottom w:val="nil"/>
              <w:right w:val="nil"/>
            </w:tcBorders>
            <w:tcMar>
              <w:top w:w="0" w:type="dxa"/>
              <w:left w:w="100" w:type="dxa"/>
              <w:bottom w:w="0" w:type="dxa"/>
              <w:right w:w="100" w:type="dxa"/>
            </w:tcMar>
          </w:tcPr>
          <w:p w14:paraId="2C578305" w14:textId="77777777" w:rsidR="00296FE3" w:rsidRDefault="00000000">
            <w:pPr>
              <w:spacing w:line="360" w:lineRule="auto"/>
              <w:jc w:val="center"/>
            </w:pPr>
            <w:r>
              <w:t xml:space="preserve"> </w:t>
            </w:r>
          </w:p>
        </w:tc>
        <w:tc>
          <w:tcPr>
            <w:tcW w:w="1095" w:type="dxa"/>
            <w:tcBorders>
              <w:top w:val="nil"/>
              <w:left w:val="nil"/>
              <w:bottom w:val="nil"/>
              <w:right w:val="nil"/>
            </w:tcBorders>
            <w:tcMar>
              <w:top w:w="0" w:type="dxa"/>
              <w:left w:w="100" w:type="dxa"/>
              <w:bottom w:w="0" w:type="dxa"/>
              <w:right w:w="100" w:type="dxa"/>
            </w:tcMar>
          </w:tcPr>
          <w:p w14:paraId="344A160F" w14:textId="77777777" w:rsidR="00296FE3" w:rsidRDefault="00000000">
            <w:pPr>
              <w:spacing w:line="360" w:lineRule="auto"/>
              <w:jc w:val="center"/>
            </w:pPr>
            <w:r>
              <w:t xml:space="preserve"> </w:t>
            </w:r>
          </w:p>
        </w:tc>
        <w:tc>
          <w:tcPr>
            <w:tcW w:w="1050" w:type="dxa"/>
            <w:tcBorders>
              <w:top w:val="nil"/>
              <w:left w:val="nil"/>
              <w:bottom w:val="nil"/>
              <w:right w:val="nil"/>
            </w:tcBorders>
            <w:tcMar>
              <w:top w:w="0" w:type="dxa"/>
              <w:left w:w="100" w:type="dxa"/>
              <w:bottom w:w="0" w:type="dxa"/>
              <w:right w:w="100" w:type="dxa"/>
            </w:tcMar>
          </w:tcPr>
          <w:p w14:paraId="193CFC9E" w14:textId="77777777" w:rsidR="00296FE3" w:rsidRDefault="00000000">
            <w:pPr>
              <w:spacing w:line="360" w:lineRule="auto"/>
              <w:jc w:val="center"/>
            </w:pPr>
            <w:r>
              <w:t>.46***</w:t>
            </w:r>
          </w:p>
        </w:tc>
        <w:tc>
          <w:tcPr>
            <w:tcW w:w="1080" w:type="dxa"/>
            <w:tcBorders>
              <w:top w:val="nil"/>
              <w:left w:val="nil"/>
              <w:bottom w:val="nil"/>
              <w:right w:val="nil"/>
            </w:tcBorders>
            <w:tcMar>
              <w:top w:w="0" w:type="dxa"/>
              <w:left w:w="100" w:type="dxa"/>
              <w:bottom w:w="0" w:type="dxa"/>
              <w:right w:w="100" w:type="dxa"/>
            </w:tcMar>
          </w:tcPr>
          <w:p w14:paraId="53B3F198" w14:textId="77777777" w:rsidR="00296FE3" w:rsidRDefault="00000000">
            <w:pPr>
              <w:spacing w:line="360" w:lineRule="auto"/>
              <w:jc w:val="center"/>
            </w:pPr>
            <w:r>
              <w:t>.11**</w:t>
            </w:r>
          </w:p>
        </w:tc>
        <w:tc>
          <w:tcPr>
            <w:tcW w:w="1245" w:type="dxa"/>
            <w:tcBorders>
              <w:top w:val="nil"/>
              <w:left w:val="nil"/>
              <w:bottom w:val="nil"/>
              <w:right w:val="nil"/>
            </w:tcBorders>
            <w:tcMar>
              <w:top w:w="0" w:type="dxa"/>
              <w:left w:w="100" w:type="dxa"/>
              <w:bottom w:w="0" w:type="dxa"/>
              <w:right w:w="100" w:type="dxa"/>
            </w:tcMar>
          </w:tcPr>
          <w:p w14:paraId="394836E6" w14:textId="77777777" w:rsidR="00296FE3" w:rsidRDefault="00000000">
            <w:pPr>
              <w:spacing w:line="360" w:lineRule="auto"/>
              <w:jc w:val="center"/>
            </w:pPr>
            <w:r>
              <w:t>.03</w:t>
            </w:r>
          </w:p>
        </w:tc>
      </w:tr>
      <w:tr w:rsidR="00296FE3" w14:paraId="028972B8" w14:textId="77777777">
        <w:trPr>
          <w:trHeight w:val="360"/>
        </w:trPr>
        <w:tc>
          <w:tcPr>
            <w:tcW w:w="2565" w:type="dxa"/>
            <w:tcBorders>
              <w:top w:val="nil"/>
              <w:left w:val="nil"/>
              <w:bottom w:val="nil"/>
              <w:right w:val="nil"/>
            </w:tcBorders>
            <w:tcMar>
              <w:top w:w="0" w:type="dxa"/>
              <w:left w:w="100" w:type="dxa"/>
              <w:bottom w:w="0" w:type="dxa"/>
              <w:right w:w="100" w:type="dxa"/>
            </w:tcMar>
          </w:tcPr>
          <w:p w14:paraId="162798C1" w14:textId="77777777" w:rsidR="00296FE3" w:rsidRDefault="00000000">
            <w:pPr>
              <w:spacing w:line="360" w:lineRule="auto"/>
              <w:jc w:val="both"/>
            </w:pPr>
            <w:r>
              <w:t xml:space="preserve">5. Ingresos económicos mensuales </w:t>
            </w:r>
          </w:p>
        </w:tc>
        <w:tc>
          <w:tcPr>
            <w:tcW w:w="585" w:type="dxa"/>
            <w:tcBorders>
              <w:top w:val="nil"/>
              <w:left w:val="nil"/>
              <w:bottom w:val="nil"/>
              <w:right w:val="nil"/>
            </w:tcBorders>
            <w:tcMar>
              <w:top w:w="0" w:type="dxa"/>
              <w:left w:w="100" w:type="dxa"/>
              <w:bottom w:w="0" w:type="dxa"/>
              <w:right w:w="100" w:type="dxa"/>
            </w:tcMar>
          </w:tcPr>
          <w:p w14:paraId="081BD1D3" w14:textId="77777777" w:rsidR="00296FE3" w:rsidRDefault="00000000">
            <w:pPr>
              <w:spacing w:line="360" w:lineRule="auto"/>
              <w:jc w:val="center"/>
            </w:pPr>
            <w:r>
              <w:t xml:space="preserve"> </w:t>
            </w:r>
          </w:p>
        </w:tc>
        <w:tc>
          <w:tcPr>
            <w:tcW w:w="1110" w:type="dxa"/>
            <w:tcBorders>
              <w:top w:val="nil"/>
              <w:left w:val="nil"/>
              <w:bottom w:val="nil"/>
              <w:right w:val="nil"/>
            </w:tcBorders>
            <w:tcMar>
              <w:top w:w="0" w:type="dxa"/>
              <w:left w:w="100" w:type="dxa"/>
              <w:bottom w:w="0" w:type="dxa"/>
              <w:right w:w="100" w:type="dxa"/>
            </w:tcMar>
          </w:tcPr>
          <w:p w14:paraId="2E4D377D" w14:textId="77777777" w:rsidR="00296FE3" w:rsidRDefault="00000000">
            <w:pPr>
              <w:spacing w:line="360" w:lineRule="auto"/>
              <w:jc w:val="center"/>
            </w:pPr>
            <w:r>
              <w:t xml:space="preserve"> </w:t>
            </w:r>
          </w:p>
        </w:tc>
        <w:tc>
          <w:tcPr>
            <w:tcW w:w="870" w:type="dxa"/>
            <w:tcBorders>
              <w:top w:val="nil"/>
              <w:left w:val="nil"/>
              <w:bottom w:val="nil"/>
              <w:right w:val="nil"/>
            </w:tcBorders>
            <w:tcMar>
              <w:top w:w="0" w:type="dxa"/>
              <w:left w:w="100" w:type="dxa"/>
              <w:bottom w:w="0" w:type="dxa"/>
              <w:right w:w="100" w:type="dxa"/>
            </w:tcMar>
          </w:tcPr>
          <w:p w14:paraId="635673D9" w14:textId="77777777" w:rsidR="00296FE3" w:rsidRDefault="00000000">
            <w:pPr>
              <w:spacing w:line="360" w:lineRule="auto"/>
              <w:jc w:val="center"/>
            </w:pPr>
            <w:r>
              <w:t xml:space="preserve"> </w:t>
            </w:r>
          </w:p>
        </w:tc>
        <w:tc>
          <w:tcPr>
            <w:tcW w:w="1095" w:type="dxa"/>
            <w:tcBorders>
              <w:top w:val="nil"/>
              <w:left w:val="nil"/>
              <w:bottom w:val="nil"/>
              <w:right w:val="nil"/>
            </w:tcBorders>
            <w:tcMar>
              <w:top w:w="0" w:type="dxa"/>
              <w:left w:w="100" w:type="dxa"/>
              <w:bottom w:w="0" w:type="dxa"/>
              <w:right w:w="100" w:type="dxa"/>
            </w:tcMar>
          </w:tcPr>
          <w:p w14:paraId="06A749F1" w14:textId="77777777" w:rsidR="00296FE3" w:rsidRDefault="00000000">
            <w:pPr>
              <w:spacing w:line="360" w:lineRule="auto"/>
              <w:jc w:val="center"/>
            </w:pPr>
            <w:r>
              <w:t xml:space="preserve"> </w:t>
            </w:r>
          </w:p>
        </w:tc>
        <w:tc>
          <w:tcPr>
            <w:tcW w:w="1050" w:type="dxa"/>
            <w:tcBorders>
              <w:top w:val="nil"/>
              <w:left w:val="nil"/>
              <w:bottom w:val="nil"/>
              <w:right w:val="nil"/>
            </w:tcBorders>
            <w:tcMar>
              <w:top w:w="0" w:type="dxa"/>
              <w:left w:w="100" w:type="dxa"/>
              <w:bottom w:w="0" w:type="dxa"/>
              <w:right w:w="100" w:type="dxa"/>
            </w:tcMar>
          </w:tcPr>
          <w:p w14:paraId="5ACC4A90" w14:textId="77777777" w:rsidR="00296FE3" w:rsidRDefault="00000000">
            <w:pPr>
              <w:spacing w:line="360" w:lineRule="auto"/>
              <w:jc w:val="center"/>
            </w:pPr>
            <w:r>
              <w:t xml:space="preserve"> </w:t>
            </w:r>
          </w:p>
        </w:tc>
        <w:tc>
          <w:tcPr>
            <w:tcW w:w="1080" w:type="dxa"/>
            <w:tcBorders>
              <w:top w:val="nil"/>
              <w:left w:val="nil"/>
              <w:bottom w:val="nil"/>
              <w:right w:val="nil"/>
            </w:tcBorders>
            <w:tcMar>
              <w:top w:w="0" w:type="dxa"/>
              <w:left w:w="100" w:type="dxa"/>
              <w:bottom w:w="0" w:type="dxa"/>
              <w:right w:w="100" w:type="dxa"/>
            </w:tcMar>
          </w:tcPr>
          <w:p w14:paraId="6A555000" w14:textId="77777777" w:rsidR="00296FE3" w:rsidRDefault="00000000">
            <w:pPr>
              <w:spacing w:line="360" w:lineRule="auto"/>
              <w:jc w:val="center"/>
            </w:pPr>
            <w:r>
              <w:t>.13***</w:t>
            </w:r>
          </w:p>
        </w:tc>
        <w:tc>
          <w:tcPr>
            <w:tcW w:w="1245" w:type="dxa"/>
            <w:tcBorders>
              <w:top w:val="nil"/>
              <w:left w:val="nil"/>
              <w:bottom w:val="nil"/>
              <w:right w:val="nil"/>
            </w:tcBorders>
            <w:tcMar>
              <w:top w:w="0" w:type="dxa"/>
              <w:left w:w="100" w:type="dxa"/>
              <w:bottom w:w="0" w:type="dxa"/>
              <w:right w:w="100" w:type="dxa"/>
            </w:tcMar>
          </w:tcPr>
          <w:p w14:paraId="65EAFA19" w14:textId="77777777" w:rsidR="00296FE3" w:rsidRDefault="00000000">
            <w:pPr>
              <w:spacing w:line="360" w:lineRule="auto"/>
              <w:jc w:val="center"/>
            </w:pPr>
            <w:r>
              <w:t>.02</w:t>
            </w:r>
          </w:p>
        </w:tc>
      </w:tr>
      <w:tr w:rsidR="00296FE3" w14:paraId="4B6B6DAD" w14:textId="77777777">
        <w:trPr>
          <w:trHeight w:val="300"/>
        </w:trPr>
        <w:tc>
          <w:tcPr>
            <w:tcW w:w="2565" w:type="dxa"/>
            <w:tcBorders>
              <w:top w:val="nil"/>
              <w:left w:val="nil"/>
              <w:bottom w:val="nil"/>
              <w:right w:val="nil"/>
            </w:tcBorders>
            <w:tcMar>
              <w:top w:w="0" w:type="dxa"/>
              <w:left w:w="100" w:type="dxa"/>
              <w:bottom w:w="0" w:type="dxa"/>
              <w:right w:w="100" w:type="dxa"/>
            </w:tcMar>
          </w:tcPr>
          <w:p w14:paraId="6E02A3F4" w14:textId="77777777" w:rsidR="00296FE3" w:rsidRDefault="00000000">
            <w:pPr>
              <w:spacing w:line="360" w:lineRule="auto"/>
              <w:jc w:val="both"/>
            </w:pPr>
            <w:r>
              <w:t>6. Ideología política</w:t>
            </w:r>
          </w:p>
        </w:tc>
        <w:tc>
          <w:tcPr>
            <w:tcW w:w="585" w:type="dxa"/>
            <w:tcBorders>
              <w:top w:val="nil"/>
              <w:left w:val="nil"/>
              <w:bottom w:val="nil"/>
              <w:right w:val="nil"/>
            </w:tcBorders>
            <w:tcMar>
              <w:top w:w="0" w:type="dxa"/>
              <w:left w:w="100" w:type="dxa"/>
              <w:bottom w:w="0" w:type="dxa"/>
              <w:right w:w="100" w:type="dxa"/>
            </w:tcMar>
          </w:tcPr>
          <w:p w14:paraId="7658C0CD" w14:textId="77777777" w:rsidR="00296FE3" w:rsidRDefault="00000000">
            <w:pPr>
              <w:spacing w:line="360" w:lineRule="auto"/>
              <w:jc w:val="center"/>
            </w:pPr>
            <w:r>
              <w:t xml:space="preserve"> </w:t>
            </w:r>
          </w:p>
        </w:tc>
        <w:tc>
          <w:tcPr>
            <w:tcW w:w="1110" w:type="dxa"/>
            <w:tcBorders>
              <w:top w:val="nil"/>
              <w:left w:val="nil"/>
              <w:bottom w:val="nil"/>
              <w:right w:val="nil"/>
            </w:tcBorders>
            <w:tcMar>
              <w:top w:w="0" w:type="dxa"/>
              <w:left w:w="100" w:type="dxa"/>
              <w:bottom w:w="0" w:type="dxa"/>
              <w:right w:w="100" w:type="dxa"/>
            </w:tcMar>
          </w:tcPr>
          <w:p w14:paraId="45E95E4D" w14:textId="77777777" w:rsidR="00296FE3" w:rsidRDefault="00000000">
            <w:pPr>
              <w:spacing w:line="360" w:lineRule="auto"/>
              <w:jc w:val="center"/>
            </w:pPr>
            <w:r>
              <w:t xml:space="preserve"> </w:t>
            </w:r>
          </w:p>
        </w:tc>
        <w:tc>
          <w:tcPr>
            <w:tcW w:w="870" w:type="dxa"/>
            <w:tcBorders>
              <w:top w:val="nil"/>
              <w:left w:val="nil"/>
              <w:bottom w:val="nil"/>
              <w:right w:val="nil"/>
            </w:tcBorders>
            <w:tcMar>
              <w:top w:w="0" w:type="dxa"/>
              <w:left w:w="100" w:type="dxa"/>
              <w:bottom w:w="0" w:type="dxa"/>
              <w:right w:w="100" w:type="dxa"/>
            </w:tcMar>
          </w:tcPr>
          <w:p w14:paraId="24D3841E" w14:textId="77777777" w:rsidR="00296FE3" w:rsidRDefault="00000000">
            <w:pPr>
              <w:spacing w:line="360" w:lineRule="auto"/>
              <w:jc w:val="center"/>
            </w:pPr>
            <w:r>
              <w:t xml:space="preserve"> </w:t>
            </w:r>
          </w:p>
        </w:tc>
        <w:tc>
          <w:tcPr>
            <w:tcW w:w="1095" w:type="dxa"/>
            <w:tcBorders>
              <w:top w:val="nil"/>
              <w:left w:val="nil"/>
              <w:bottom w:val="nil"/>
              <w:right w:val="nil"/>
            </w:tcBorders>
            <w:tcMar>
              <w:top w:w="0" w:type="dxa"/>
              <w:left w:w="100" w:type="dxa"/>
              <w:bottom w:w="0" w:type="dxa"/>
              <w:right w:w="100" w:type="dxa"/>
            </w:tcMar>
          </w:tcPr>
          <w:p w14:paraId="61804C10" w14:textId="77777777" w:rsidR="00296FE3" w:rsidRDefault="00000000">
            <w:pPr>
              <w:spacing w:line="360" w:lineRule="auto"/>
              <w:jc w:val="center"/>
            </w:pPr>
            <w:r>
              <w:t xml:space="preserve"> </w:t>
            </w:r>
          </w:p>
        </w:tc>
        <w:tc>
          <w:tcPr>
            <w:tcW w:w="1050" w:type="dxa"/>
            <w:tcBorders>
              <w:top w:val="nil"/>
              <w:left w:val="nil"/>
              <w:bottom w:val="nil"/>
              <w:right w:val="nil"/>
            </w:tcBorders>
            <w:tcMar>
              <w:top w:w="0" w:type="dxa"/>
              <w:left w:w="100" w:type="dxa"/>
              <w:bottom w:w="0" w:type="dxa"/>
              <w:right w:w="100" w:type="dxa"/>
            </w:tcMar>
          </w:tcPr>
          <w:p w14:paraId="11F2E180" w14:textId="77777777" w:rsidR="00296FE3" w:rsidRDefault="00000000">
            <w:pPr>
              <w:spacing w:line="360" w:lineRule="auto"/>
              <w:jc w:val="center"/>
            </w:pPr>
            <w:r>
              <w:t xml:space="preserve"> </w:t>
            </w:r>
          </w:p>
        </w:tc>
        <w:tc>
          <w:tcPr>
            <w:tcW w:w="1080" w:type="dxa"/>
            <w:tcBorders>
              <w:top w:val="nil"/>
              <w:left w:val="nil"/>
              <w:bottom w:val="nil"/>
              <w:right w:val="nil"/>
            </w:tcBorders>
            <w:tcMar>
              <w:top w:w="0" w:type="dxa"/>
              <w:left w:w="100" w:type="dxa"/>
              <w:bottom w:w="0" w:type="dxa"/>
              <w:right w:w="100" w:type="dxa"/>
            </w:tcMar>
          </w:tcPr>
          <w:p w14:paraId="2DC19D41" w14:textId="77777777" w:rsidR="00296FE3" w:rsidRDefault="00000000">
            <w:pPr>
              <w:spacing w:line="360" w:lineRule="auto"/>
              <w:jc w:val="center"/>
            </w:pPr>
            <w:r>
              <w:t xml:space="preserve"> </w:t>
            </w:r>
          </w:p>
        </w:tc>
        <w:tc>
          <w:tcPr>
            <w:tcW w:w="1245" w:type="dxa"/>
            <w:tcBorders>
              <w:top w:val="nil"/>
              <w:left w:val="nil"/>
              <w:bottom w:val="nil"/>
              <w:right w:val="nil"/>
            </w:tcBorders>
            <w:tcMar>
              <w:top w:w="0" w:type="dxa"/>
              <w:left w:w="100" w:type="dxa"/>
              <w:bottom w:w="0" w:type="dxa"/>
              <w:right w:w="100" w:type="dxa"/>
            </w:tcMar>
          </w:tcPr>
          <w:p w14:paraId="77BA9177" w14:textId="77777777" w:rsidR="00296FE3" w:rsidRDefault="00000000">
            <w:pPr>
              <w:spacing w:line="360" w:lineRule="auto"/>
              <w:jc w:val="center"/>
            </w:pPr>
            <w:r>
              <w:t>-.03</w:t>
            </w:r>
          </w:p>
        </w:tc>
      </w:tr>
      <w:tr w:rsidR="00296FE3" w14:paraId="5622F917" w14:textId="77777777">
        <w:trPr>
          <w:trHeight w:val="555"/>
        </w:trPr>
        <w:tc>
          <w:tcPr>
            <w:tcW w:w="2565" w:type="dxa"/>
            <w:tcBorders>
              <w:top w:val="nil"/>
              <w:left w:val="nil"/>
              <w:bottom w:val="single" w:sz="5" w:space="0" w:color="000000"/>
              <w:right w:val="nil"/>
            </w:tcBorders>
            <w:tcMar>
              <w:top w:w="0" w:type="dxa"/>
              <w:left w:w="100" w:type="dxa"/>
              <w:bottom w:w="0" w:type="dxa"/>
              <w:right w:w="100" w:type="dxa"/>
            </w:tcMar>
          </w:tcPr>
          <w:p w14:paraId="735B71F7" w14:textId="77777777" w:rsidR="00296FE3" w:rsidRDefault="00000000">
            <w:pPr>
              <w:spacing w:line="360" w:lineRule="auto"/>
              <w:jc w:val="both"/>
            </w:pPr>
            <w:r>
              <w:t>7. Presencia del crimen organizado</w:t>
            </w:r>
          </w:p>
        </w:tc>
        <w:tc>
          <w:tcPr>
            <w:tcW w:w="585" w:type="dxa"/>
            <w:tcBorders>
              <w:top w:val="nil"/>
              <w:left w:val="nil"/>
              <w:bottom w:val="single" w:sz="5" w:space="0" w:color="000000"/>
              <w:right w:val="nil"/>
            </w:tcBorders>
            <w:tcMar>
              <w:top w:w="0" w:type="dxa"/>
              <w:left w:w="100" w:type="dxa"/>
              <w:bottom w:w="0" w:type="dxa"/>
              <w:right w:w="100" w:type="dxa"/>
            </w:tcMar>
          </w:tcPr>
          <w:p w14:paraId="1630150F" w14:textId="77777777" w:rsidR="00296FE3" w:rsidRDefault="00000000">
            <w:pPr>
              <w:spacing w:line="360" w:lineRule="auto"/>
              <w:jc w:val="center"/>
            </w:pPr>
            <w:r>
              <w:t xml:space="preserve"> </w:t>
            </w:r>
          </w:p>
        </w:tc>
        <w:tc>
          <w:tcPr>
            <w:tcW w:w="1110" w:type="dxa"/>
            <w:tcBorders>
              <w:top w:val="nil"/>
              <w:left w:val="nil"/>
              <w:bottom w:val="single" w:sz="5" w:space="0" w:color="000000"/>
              <w:right w:val="nil"/>
            </w:tcBorders>
            <w:tcMar>
              <w:top w:w="0" w:type="dxa"/>
              <w:left w:w="100" w:type="dxa"/>
              <w:bottom w:w="0" w:type="dxa"/>
              <w:right w:w="100" w:type="dxa"/>
            </w:tcMar>
          </w:tcPr>
          <w:p w14:paraId="4DA48B88" w14:textId="77777777" w:rsidR="00296FE3" w:rsidRDefault="00000000">
            <w:pPr>
              <w:spacing w:line="360" w:lineRule="auto"/>
              <w:jc w:val="center"/>
            </w:pPr>
            <w:r>
              <w:t xml:space="preserve"> </w:t>
            </w:r>
          </w:p>
        </w:tc>
        <w:tc>
          <w:tcPr>
            <w:tcW w:w="870" w:type="dxa"/>
            <w:tcBorders>
              <w:top w:val="nil"/>
              <w:left w:val="nil"/>
              <w:bottom w:val="single" w:sz="5" w:space="0" w:color="000000"/>
              <w:right w:val="nil"/>
            </w:tcBorders>
            <w:tcMar>
              <w:top w:w="0" w:type="dxa"/>
              <w:left w:w="100" w:type="dxa"/>
              <w:bottom w:w="0" w:type="dxa"/>
              <w:right w:w="100" w:type="dxa"/>
            </w:tcMar>
          </w:tcPr>
          <w:p w14:paraId="3C89CB41" w14:textId="77777777" w:rsidR="00296FE3" w:rsidRDefault="00000000">
            <w:pPr>
              <w:spacing w:line="360" w:lineRule="auto"/>
              <w:jc w:val="center"/>
            </w:pPr>
            <w:r>
              <w:t xml:space="preserve"> </w:t>
            </w:r>
          </w:p>
        </w:tc>
        <w:tc>
          <w:tcPr>
            <w:tcW w:w="1095" w:type="dxa"/>
            <w:tcBorders>
              <w:top w:val="nil"/>
              <w:left w:val="nil"/>
              <w:bottom w:val="single" w:sz="5" w:space="0" w:color="000000"/>
              <w:right w:val="nil"/>
            </w:tcBorders>
            <w:tcMar>
              <w:top w:w="0" w:type="dxa"/>
              <w:left w:w="100" w:type="dxa"/>
              <w:bottom w:w="0" w:type="dxa"/>
              <w:right w:w="100" w:type="dxa"/>
            </w:tcMar>
          </w:tcPr>
          <w:p w14:paraId="0D475734" w14:textId="77777777" w:rsidR="00296FE3" w:rsidRDefault="00000000">
            <w:pPr>
              <w:spacing w:line="360" w:lineRule="auto"/>
              <w:jc w:val="center"/>
            </w:pPr>
            <w:r>
              <w:t xml:space="preserve"> </w:t>
            </w:r>
          </w:p>
        </w:tc>
        <w:tc>
          <w:tcPr>
            <w:tcW w:w="1050" w:type="dxa"/>
            <w:tcBorders>
              <w:top w:val="nil"/>
              <w:left w:val="nil"/>
              <w:bottom w:val="single" w:sz="5" w:space="0" w:color="000000"/>
              <w:right w:val="nil"/>
            </w:tcBorders>
            <w:tcMar>
              <w:top w:w="0" w:type="dxa"/>
              <w:left w:w="100" w:type="dxa"/>
              <w:bottom w:w="0" w:type="dxa"/>
              <w:right w:w="100" w:type="dxa"/>
            </w:tcMar>
          </w:tcPr>
          <w:p w14:paraId="04E93086" w14:textId="77777777" w:rsidR="00296FE3" w:rsidRDefault="00000000">
            <w:pPr>
              <w:spacing w:line="360" w:lineRule="auto"/>
              <w:jc w:val="center"/>
            </w:pPr>
            <w:r>
              <w:t xml:space="preserve"> </w:t>
            </w:r>
          </w:p>
        </w:tc>
        <w:tc>
          <w:tcPr>
            <w:tcW w:w="1080" w:type="dxa"/>
            <w:tcBorders>
              <w:top w:val="nil"/>
              <w:left w:val="nil"/>
              <w:bottom w:val="single" w:sz="5" w:space="0" w:color="000000"/>
              <w:right w:val="nil"/>
            </w:tcBorders>
            <w:tcMar>
              <w:top w:w="0" w:type="dxa"/>
              <w:left w:w="100" w:type="dxa"/>
              <w:bottom w:w="0" w:type="dxa"/>
              <w:right w:w="100" w:type="dxa"/>
            </w:tcMar>
          </w:tcPr>
          <w:p w14:paraId="00F734DD" w14:textId="77777777" w:rsidR="00296FE3" w:rsidRDefault="00000000">
            <w:pPr>
              <w:spacing w:line="360" w:lineRule="auto"/>
              <w:jc w:val="center"/>
            </w:pPr>
            <w:r>
              <w:t xml:space="preserve"> </w:t>
            </w:r>
          </w:p>
        </w:tc>
        <w:tc>
          <w:tcPr>
            <w:tcW w:w="1245" w:type="dxa"/>
            <w:tcBorders>
              <w:top w:val="nil"/>
              <w:left w:val="nil"/>
              <w:bottom w:val="single" w:sz="5" w:space="0" w:color="000000"/>
              <w:right w:val="nil"/>
            </w:tcBorders>
            <w:tcMar>
              <w:top w:w="0" w:type="dxa"/>
              <w:left w:w="100" w:type="dxa"/>
              <w:bottom w:w="0" w:type="dxa"/>
              <w:right w:w="100" w:type="dxa"/>
            </w:tcMar>
          </w:tcPr>
          <w:p w14:paraId="26B3ADE5" w14:textId="77777777" w:rsidR="00296FE3" w:rsidRDefault="00000000">
            <w:pPr>
              <w:spacing w:line="360" w:lineRule="auto"/>
              <w:jc w:val="center"/>
            </w:pPr>
            <w:r>
              <w:t xml:space="preserve"> </w:t>
            </w:r>
          </w:p>
        </w:tc>
      </w:tr>
    </w:tbl>
    <w:p w14:paraId="16BAD6F7" w14:textId="77777777" w:rsidR="00296FE3" w:rsidRDefault="00000000">
      <w:pPr>
        <w:spacing w:line="360" w:lineRule="auto"/>
        <w:jc w:val="both"/>
      </w:pPr>
      <w:r>
        <w:t xml:space="preserve">*** </w:t>
      </w:r>
      <w:r>
        <w:rPr>
          <w:i/>
        </w:rPr>
        <w:t>p</w:t>
      </w:r>
      <w:r>
        <w:t xml:space="preserve"> &lt;.001, ** </w:t>
      </w:r>
      <w:r>
        <w:rPr>
          <w:i/>
        </w:rPr>
        <w:t>p</w:t>
      </w:r>
      <w:r>
        <w:t xml:space="preserve"> &lt;.01, *</w:t>
      </w:r>
      <w:r>
        <w:rPr>
          <w:i/>
        </w:rPr>
        <w:t xml:space="preserve">p </w:t>
      </w:r>
      <w:r>
        <w:t>&lt; .05</w:t>
      </w:r>
    </w:p>
    <w:p w14:paraId="18D5773B" w14:textId="77777777" w:rsidR="00296FE3" w:rsidRDefault="00296FE3">
      <w:pPr>
        <w:spacing w:line="360" w:lineRule="auto"/>
        <w:jc w:val="both"/>
      </w:pPr>
    </w:p>
    <w:p w14:paraId="504BE06F" w14:textId="77777777" w:rsidR="00296FE3" w:rsidRDefault="00000000">
      <w:pPr>
        <w:pBdr>
          <w:top w:val="nil"/>
          <w:left w:val="nil"/>
          <w:bottom w:val="nil"/>
          <w:right w:val="nil"/>
          <w:between w:val="nil"/>
        </w:pBdr>
        <w:spacing w:line="360" w:lineRule="auto"/>
        <w:ind w:firstLine="720"/>
        <w:jc w:val="both"/>
      </w:pPr>
      <w:r>
        <w:t>Se observa una relación entre la variable preocupación por la desigualdad y edad (</w:t>
      </w:r>
      <w:r>
        <w:rPr>
          <w:i/>
        </w:rPr>
        <w:t>r</w:t>
      </w:r>
      <w:r>
        <w:t xml:space="preserve"> = .16, </w:t>
      </w:r>
      <w:r>
        <w:rPr>
          <w:i/>
        </w:rPr>
        <w:t>p</w:t>
      </w:r>
      <w:r>
        <w:t xml:space="preserve"> &lt;.001) de forma que a mayor preocupación por la desigualdad menor edad; entre preocupación por la desigualdad e ideología política (</w:t>
      </w:r>
      <w:r>
        <w:rPr>
          <w:i/>
        </w:rPr>
        <w:t>r</w:t>
      </w:r>
      <w:r>
        <w:t xml:space="preserve"> = .12,  </w:t>
      </w:r>
      <w:r>
        <w:rPr>
          <w:i/>
        </w:rPr>
        <w:t>p</w:t>
      </w:r>
      <w:r>
        <w:t xml:space="preserve"> = &lt;.01), entre más a la derecha se encuentran mayor preocupación por la desigualdad; y una relación entre preocupación por la desigualdad y presencia del crimen organizado (</w:t>
      </w:r>
      <w:r>
        <w:rPr>
          <w:i/>
        </w:rPr>
        <w:t>r</w:t>
      </w:r>
      <w:r>
        <w:t xml:space="preserve"> = -.11, </w:t>
      </w:r>
      <w:r>
        <w:rPr>
          <w:i/>
        </w:rPr>
        <w:t>p</w:t>
      </w:r>
      <w:r>
        <w:t xml:space="preserve"> = .003), lo que significa que en las comunidades donde </w:t>
      </w:r>
      <w:r>
        <w:lastRenderedPageBreak/>
        <w:t>no se reporta la presencia de crimen organizado disminuye la preocupación por la desigualdad (ver Tabla 1).</w:t>
      </w:r>
    </w:p>
    <w:p w14:paraId="09EDDF8A" w14:textId="77777777" w:rsidR="00296FE3" w:rsidRDefault="00296FE3">
      <w:pPr>
        <w:pBdr>
          <w:top w:val="nil"/>
          <w:left w:val="nil"/>
          <w:bottom w:val="nil"/>
          <w:right w:val="nil"/>
          <w:between w:val="nil"/>
        </w:pBdr>
        <w:spacing w:line="360" w:lineRule="auto"/>
        <w:ind w:firstLine="720"/>
        <w:jc w:val="both"/>
      </w:pPr>
    </w:p>
    <w:p w14:paraId="05A5631D" w14:textId="77777777" w:rsidR="00296FE3" w:rsidRDefault="00000000">
      <w:pPr>
        <w:pBdr>
          <w:top w:val="nil"/>
          <w:left w:val="nil"/>
          <w:bottom w:val="nil"/>
          <w:right w:val="nil"/>
          <w:between w:val="nil"/>
        </w:pBdr>
        <w:spacing w:line="360" w:lineRule="auto"/>
        <w:ind w:firstLine="720"/>
        <w:jc w:val="both"/>
      </w:pPr>
      <w:r>
        <w:t>Posteriormente, para realizar la regresión se comprobó el supuesto de multicolinealidad con el coeficiente VIF (</w:t>
      </w:r>
      <w:proofErr w:type="spellStart"/>
      <w:r>
        <w:rPr>
          <w:i/>
        </w:rPr>
        <w:t>Variance</w:t>
      </w:r>
      <w:proofErr w:type="spellEnd"/>
      <w:r>
        <w:rPr>
          <w:i/>
        </w:rPr>
        <w:t xml:space="preserve"> </w:t>
      </w:r>
      <w:proofErr w:type="spellStart"/>
      <w:r>
        <w:rPr>
          <w:i/>
        </w:rPr>
        <w:t>inflation</w:t>
      </w:r>
      <w:proofErr w:type="spellEnd"/>
      <w:r>
        <w:rPr>
          <w:i/>
        </w:rPr>
        <w:t xml:space="preserve"> factor</w:t>
      </w:r>
      <w:r>
        <w:t xml:space="preserve">), en el que se puede notar que los valores de cada variable es inferior a 5 (Edad = 1.090499, Sexo  = 1.039897, Nivel de estudios = 1.342339, Ingresos económicos = 1.318983, Ideología política = 1.065209 y Presencia de crimen organizado = 1.008833), lo que significa que en general ninguno de los predictores evalúan aspectos similares entre sí, ya que según </w:t>
      </w:r>
      <w:proofErr w:type="spellStart"/>
      <w:r>
        <w:t>Shrestha</w:t>
      </w:r>
      <w:proofErr w:type="spellEnd"/>
      <w:r>
        <w:t xml:space="preserve"> (2020), si el valor de VIF es 1&lt; VIF &lt; 5, las variables están moderadamente correlacionadas entre sí, pero no son </w:t>
      </w:r>
      <w:proofErr w:type="spellStart"/>
      <w:r>
        <w:t>multicolineales</w:t>
      </w:r>
      <w:proofErr w:type="spellEnd"/>
      <w:r>
        <w:t>. En la tabla 2 se presenta el modelo de regresión.</w:t>
      </w:r>
    </w:p>
    <w:p w14:paraId="34D808EE" w14:textId="77777777" w:rsidR="00296FE3" w:rsidRDefault="00296FE3">
      <w:pPr>
        <w:spacing w:line="360" w:lineRule="auto"/>
        <w:jc w:val="both"/>
      </w:pPr>
    </w:p>
    <w:p w14:paraId="5EDB718B" w14:textId="77777777" w:rsidR="00296FE3" w:rsidRDefault="00000000">
      <w:pPr>
        <w:pBdr>
          <w:top w:val="nil"/>
          <w:left w:val="nil"/>
          <w:bottom w:val="nil"/>
          <w:right w:val="nil"/>
          <w:between w:val="nil"/>
        </w:pBdr>
        <w:spacing w:line="360" w:lineRule="auto"/>
        <w:jc w:val="both"/>
        <w:rPr>
          <w:b/>
        </w:rPr>
      </w:pPr>
      <w:r>
        <w:rPr>
          <w:b/>
        </w:rPr>
        <w:t>Tabla 2</w:t>
      </w:r>
    </w:p>
    <w:p w14:paraId="239FCE98" w14:textId="77777777" w:rsidR="00296FE3" w:rsidRDefault="00000000">
      <w:pPr>
        <w:pBdr>
          <w:top w:val="nil"/>
          <w:left w:val="nil"/>
          <w:bottom w:val="nil"/>
          <w:right w:val="nil"/>
          <w:between w:val="nil"/>
        </w:pBdr>
        <w:spacing w:line="360" w:lineRule="auto"/>
        <w:jc w:val="both"/>
        <w:rPr>
          <w:i/>
        </w:rPr>
      </w:pPr>
      <w:r>
        <w:rPr>
          <w:i/>
        </w:rPr>
        <w:t>Regresión para predecir la preocupación por la desigualdad económica</w:t>
      </w:r>
    </w:p>
    <w:p w14:paraId="44C562AD" w14:textId="77777777" w:rsidR="00296FE3" w:rsidRDefault="00296FE3">
      <w:pPr>
        <w:spacing w:line="360" w:lineRule="auto"/>
        <w:jc w:val="both"/>
      </w:pPr>
    </w:p>
    <w:tbl>
      <w:tblPr>
        <w:tblStyle w:val="a0"/>
        <w:tblW w:w="9330" w:type="dxa"/>
        <w:tblBorders>
          <w:top w:val="nil"/>
          <w:left w:val="nil"/>
          <w:bottom w:val="nil"/>
          <w:right w:val="nil"/>
          <w:insideH w:val="nil"/>
          <w:insideV w:val="nil"/>
        </w:tblBorders>
        <w:tblLayout w:type="fixed"/>
        <w:tblLook w:val="0600" w:firstRow="0" w:lastRow="0" w:firstColumn="0" w:lastColumn="0" w:noHBand="1" w:noVBand="1"/>
      </w:tblPr>
      <w:tblGrid>
        <w:gridCol w:w="2445"/>
        <w:gridCol w:w="1320"/>
        <w:gridCol w:w="1050"/>
        <w:gridCol w:w="1155"/>
        <w:gridCol w:w="1020"/>
        <w:gridCol w:w="1350"/>
        <w:gridCol w:w="990"/>
      </w:tblGrid>
      <w:tr w:rsidR="00296FE3" w14:paraId="5A251B57" w14:textId="77777777">
        <w:trPr>
          <w:trHeight w:val="465"/>
        </w:trPr>
        <w:tc>
          <w:tcPr>
            <w:tcW w:w="2445" w:type="dxa"/>
            <w:tcBorders>
              <w:top w:val="single" w:sz="5" w:space="0" w:color="000000"/>
              <w:left w:val="nil"/>
              <w:bottom w:val="single" w:sz="5" w:space="0" w:color="000000"/>
              <w:right w:val="nil"/>
            </w:tcBorders>
            <w:tcMar>
              <w:top w:w="20" w:type="dxa"/>
              <w:left w:w="20" w:type="dxa"/>
              <w:bottom w:w="20" w:type="dxa"/>
              <w:right w:w="20" w:type="dxa"/>
            </w:tcMar>
          </w:tcPr>
          <w:p w14:paraId="63676F4C" w14:textId="77777777" w:rsidR="00296FE3" w:rsidRDefault="00000000">
            <w:pPr>
              <w:spacing w:line="360" w:lineRule="auto"/>
              <w:jc w:val="center"/>
              <w:rPr>
                <w:b/>
              </w:rPr>
            </w:pPr>
            <w:r>
              <w:rPr>
                <w:b/>
              </w:rPr>
              <w:t xml:space="preserve"> </w:t>
            </w:r>
          </w:p>
        </w:tc>
        <w:tc>
          <w:tcPr>
            <w:tcW w:w="2370" w:type="dxa"/>
            <w:gridSpan w:val="2"/>
            <w:tcBorders>
              <w:top w:val="single" w:sz="5" w:space="0" w:color="000000"/>
              <w:left w:val="nil"/>
              <w:bottom w:val="single" w:sz="5" w:space="0" w:color="000000"/>
              <w:right w:val="nil"/>
            </w:tcBorders>
            <w:tcMar>
              <w:top w:w="80" w:type="dxa"/>
              <w:left w:w="80" w:type="dxa"/>
              <w:bottom w:w="100" w:type="dxa"/>
              <w:right w:w="80" w:type="dxa"/>
            </w:tcMar>
            <w:vAlign w:val="center"/>
          </w:tcPr>
          <w:p w14:paraId="12259865" w14:textId="77777777" w:rsidR="00296FE3" w:rsidRDefault="00000000">
            <w:pPr>
              <w:spacing w:line="360" w:lineRule="auto"/>
              <w:jc w:val="center"/>
              <w:rPr>
                <w:b/>
              </w:rPr>
            </w:pPr>
            <w:r>
              <w:rPr>
                <w:b/>
              </w:rPr>
              <w:t>Paso 1</w:t>
            </w:r>
          </w:p>
        </w:tc>
        <w:tc>
          <w:tcPr>
            <w:tcW w:w="2175" w:type="dxa"/>
            <w:gridSpan w:val="2"/>
            <w:tcBorders>
              <w:top w:val="single" w:sz="5" w:space="0" w:color="000000"/>
              <w:left w:val="nil"/>
              <w:bottom w:val="single" w:sz="5" w:space="0" w:color="000000"/>
              <w:right w:val="nil"/>
            </w:tcBorders>
            <w:shd w:val="clear" w:color="auto" w:fill="auto"/>
            <w:tcMar>
              <w:top w:w="20" w:type="dxa"/>
              <w:left w:w="20" w:type="dxa"/>
              <w:bottom w:w="20" w:type="dxa"/>
              <w:right w:w="20" w:type="dxa"/>
            </w:tcMar>
            <w:vAlign w:val="center"/>
          </w:tcPr>
          <w:p w14:paraId="47540FBE" w14:textId="77777777" w:rsidR="00296FE3" w:rsidRDefault="00000000">
            <w:pPr>
              <w:spacing w:line="360" w:lineRule="auto"/>
              <w:jc w:val="center"/>
              <w:rPr>
                <w:b/>
              </w:rPr>
            </w:pPr>
            <w:r>
              <w:rPr>
                <w:b/>
              </w:rPr>
              <w:t>Paso 2</w:t>
            </w:r>
          </w:p>
        </w:tc>
        <w:tc>
          <w:tcPr>
            <w:tcW w:w="2340" w:type="dxa"/>
            <w:gridSpan w:val="2"/>
            <w:tcBorders>
              <w:top w:val="single" w:sz="5" w:space="0" w:color="000000"/>
              <w:left w:val="nil"/>
              <w:bottom w:val="single" w:sz="5" w:space="0" w:color="000000"/>
              <w:right w:val="nil"/>
            </w:tcBorders>
            <w:shd w:val="clear" w:color="auto" w:fill="auto"/>
            <w:tcMar>
              <w:top w:w="20" w:type="dxa"/>
              <w:left w:w="20" w:type="dxa"/>
              <w:bottom w:w="20" w:type="dxa"/>
              <w:right w:w="20" w:type="dxa"/>
            </w:tcMar>
            <w:vAlign w:val="center"/>
          </w:tcPr>
          <w:p w14:paraId="7EECB693" w14:textId="77777777" w:rsidR="00296FE3" w:rsidRDefault="00000000">
            <w:pPr>
              <w:spacing w:line="360" w:lineRule="auto"/>
              <w:jc w:val="center"/>
              <w:rPr>
                <w:b/>
              </w:rPr>
            </w:pPr>
            <w:r>
              <w:rPr>
                <w:b/>
              </w:rPr>
              <w:t>Paso 3</w:t>
            </w:r>
          </w:p>
        </w:tc>
      </w:tr>
      <w:tr w:rsidR="00296FE3" w14:paraId="5B6D9272" w14:textId="77777777">
        <w:trPr>
          <w:trHeight w:val="465"/>
        </w:trPr>
        <w:tc>
          <w:tcPr>
            <w:tcW w:w="2445" w:type="dxa"/>
            <w:tcBorders>
              <w:top w:val="nil"/>
              <w:left w:val="nil"/>
              <w:bottom w:val="single" w:sz="5" w:space="0" w:color="000000"/>
              <w:right w:val="nil"/>
            </w:tcBorders>
            <w:shd w:val="clear" w:color="auto" w:fill="auto"/>
            <w:tcMar>
              <w:top w:w="20" w:type="dxa"/>
              <w:left w:w="20" w:type="dxa"/>
              <w:bottom w:w="20" w:type="dxa"/>
              <w:right w:w="20" w:type="dxa"/>
            </w:tcMar>
          </w:tcPr>
          <w:p w14:paraId="5C96AED9" w14:textId="77777777" w:rsidR="00296FE3" w:rsidRDefault="00000000">
            <w:pPr>
              <w:spacing w:line="360" w:lineRule="auto"/>
              <w:jc w:val="center"/>
              <w:rPr>
                <w:b/>
                <w:i/>
              </w:rPr>
            </w:pPr>
            <w:r>
              <w:rPr>
                <w:b/>
                <w:i/>
              </w:rPr>
              <w:t xml:space="preserve"> </w:t>
            </w:r>
          </w:p>
        </w:tc>
        <w:tc>
          <w:tcPr>
            <w:tcW w:w="1320" w:type="dxa"/>
            <w:tcBorders>
              <w:top w:val="nil"/>
              <w:left w:val="nil"/>
              <w:bottom w:val="single" w:sz="5" w:space="0" w:color="000000"/>
              <w:right w:val="nil"/>
            </w:tcBorders>
            <w:shd w:val="clear" w:color="auto" w:fill="auto"/>
            <w:tcMar>
              <w:top w:w="80" w:type="dxa"/>
              <w:left w:w="80" w:type="dxa"/>
              <w:bottom w:w="100" w:type="dxa"/>
              <w:right w:w="80" w:type="dxa"/>
            </w:tcMar>
            <w:vAlign w:val="center"/>
          </w:tcPr>
          <w:p w14:paraId="1BBE974C" w14:textId="77777777" w:rsidR="00296FE3" w:rsidRDefault="00000000">
            <w:pPr>
              <w:spacing w:line="360" w:lineRule="auto"/>
              <w:jc w:val="center"/>
              <w:rPr>
                <w:b/>
                <w:i/>
              </w:rPr>
            </w:pPr>
            <w:r>
              <w:rPr>
                <w:b/>
                <w:i/>
              </w:rPr>
              <w:t>β</w:t>
            </w:r>
          </w:p>
        </w:tc>
        <w:tc>
          <w:tcPr>
            <w:tcW w:w="1050" w:type="dxa"/>
            <w:tcBorders>
              <w:top w:val="nil"/>
              <w:left w:val="nil"/>
              <w:bottom w:val="single" w:sz="5" w:space="0" w:color="000000"/>
              <w:right w:val="nil"/>
            </w:tcBorders>
            <w:shd w:val="clear" w:color="auto" w:fill="auto"/>
            <w:tcMar>
              <w:top w:w="80" w:type="dxa"/>
              <w:left w:w="80" w:type="dxa"/>
              <w:bottom w:w="100" w:type="dxa"/>
              <w:right w:w="80" w:type="dxa"/>
            </w:tcMar>
            <w:vAlign w:val="center"/>
          </w:tcPr>
          <w:p w14:paraId="79BEF7A0" w14:textId="77777777" w:rsidR="00296FE3" w:rsidRDefault="00000000">
            <w:pPr>
              <w:spacing w:line="360" w:lineRule="auto"/>
              <w:jc w:val="center"/>
              <w:rPr>
                <w:b/>
                <w:i/>
              </w:rPr>
            </w:pPr>
            <w:r>
              <w:rPr>
                <w:b/>
                <w:i/>
              </w:rPr>
              <w:t>t</w:t>
            </w:r>
          </w:p>
        </w:tc>
        <w:tc>
          <w:tcPr>
            <w:tcW w:w="1155" w:type="dxa"/>
            <w:tcBorders>
              <w:top w:val="nil"/>
              <w:left w:val="nil"/>
              <w:bottom w:val="single" w:sz="5" w:space="0" w:color="000000"/>
              <w:right w:val="nil"/>
            </w:tcBorders>
            <w:shd w:val="clear" w:color="auto" w:fill="auto"/>
            <w:tcMar>
              <w:top w:w="20" w:type="dxa"/>
              <w:left w:w="20" w:type="dxa"/>
              <w:bottom w:w="20" w:type="dxa"/>
              <w:right w:w="20" w:type="dxa"/>
            </w:tcMar>
            <w:vAlign w:val="center"/>
          </w:tcPr>
          <w:p w14:paraId="2E2EBE18" w14:textId="77777777" w:rsidR="00296FE3" w:rsidRDefault="00000000">
            <w:pPr>
              <w:spacing w:line="360" w:lineRule="auto"/>
              <w:jc w:val="center"/>
              <w:rPr>
                <w:b/>
                <w:i/>
              </w:rPr>
            </w:pPr>
            <w:r>
              <w:rPr>
                <w:b/>
                <w:i/>
              </w:rPr>
              <w:t>β</w:t>
            </w:r>
          </w:p>
        </w:tc>
        <w:tc>
          <w:tcPr>
            <w:tcW w:w="1020" w:type="dxa"/>
            <w:tcBorders>
              <w:top w:val="nil"/>
              <w:left w:val="nil"/>
              <w:bottom w:val="single" w:sz="5" w:space="0" w:color="000000"/>
              <w:right w:val="nil"/>
            </w:tcBorders>
            <w:shd w:val="clear" w:color="auto" w:fill="auto"/>
            <w:tcMar>
              <w:top w:w="20" w:type="dxa"/>
              <w:left w:w="20" w:type="dxa"/>
              <w:bottom w:w="20" w:type="dxa"/>
              <w:right w:w="20" w:type="dxa"/>
            </w:tcMar>
            <w:vAlign w:val="center"/>
          </w:tcPr>
          <w:p w14:paraId="523F7A0E" w14:textId="77777777" w:rsidR="00296FE3" w:rsidRDefault="00000000">
            <w:pPr>
              <w:spacing w:line="360" w:lineRule="auto"/>
              <w:jc w:val="center"/>
              <w:rPr>
                <w:b/>
                <w:i/>
              </w:rPr>
            </w:pPr>
            <w:r>
              <w:rPr>
                <w:b/>
                <w:i/>
              </w:rPr>
              <w:t>t</w:t>
            </w:r>
          </w:p>
        </w:tc>
        <w:tc>
          <w:tcPr>
            <w:tcW w:w="1350" w:type="dxa"/>
            <w:tcBorders>
              <w:top w:val="nil"/>
              <w:left w:val="nil"/>
              <w:bottom w:val="single" w:sz="5" w:space="0" w:color="000000"/>
              <w:right w:val="nil"/>
            </w:tcBorders>
            <w:shd w:val="clear" w:color="auto" w:fill="auto"/>
            <w:tcMar>
              <w:top w:w="20" w:type="dxa"/>
              <w:left w:w="20" w:type="dxa"/>
              <w:bottom w:w="20" w:type="dxa"/>
              <w:right w:w="20" w:type="dxa"/>
            </w:tcMar>
            <w:vAlign w:val="center"/>
          </w:tcPr>
          <w:p w14:paraId="683A5508" w14:textId="77777777" w:rsidR="00296FE3" w:rsidRDefault="00000000">
            <w:pPr>
              <w:spacing w:line="360" w:lineRule="auto"/>
              <w:jc w:val="center"/>
              <w:rPr>
                <w:b/>
                <w:i/>
              </w:rPr>
            </w:pPr>
            <w:r>
              <w:rPr>
                <w:b/>
                <w:i/>
              </w:rPr>
              <w:t>β</w:t>
            </w:r>
          </w:p>
        </w:tc>
        <w:tc>
          <w:tcPr>
            <w:tcW w:w="990" w:type="dxa"/>
            <w:tcBorders>
              <w:top w:val="nil"/>
              <w:left w:val="nil"/>
              <w:bottom w:val="single" w:sz="5" w:space="0" w:color="000000"/>
              <w:right w:val="nil"/>
            </w:tcBorders>
            <w:shd w:val="clear" w:color="auto" w:fill="auto"/>
            <w:tcMar>
              <w:top w:w="20" w:type="dxa"/>
              <w:left w:w="20" w:type="dxa"/>
              <w:bottom w:w="20" w:type="dxa"/>
              <w:right w:w="20" w:type="dxa"/>
            </w:tcMar>
            <w:vAlign w:val="center"/>
          </w:tcPr>
          <w:p w14:paraId="20DD0DF7" w14:textId="77777777" w:rsidR="00296FE3" w:rsidRDefault="00000000">
            <w:pPr>
              <w:spacing w:line="360" w:lineRule="auto"/>
              <w:jc w:val="center"/>
              <w:rPr>
                <w:b/>
                <w:i/>
              </w:rPr>
            </w:pPr>
            <w:r>
              <w:rPr>
                <w:b/>
                <w:i/>
              </w:rPr>
              <w:t>t</w:t>
            </w:r>
          </w:p>
        </w:tc>
      </w:tr>
      <w:tr w:rsidR="00296FE3" w14:paraId="2FCE475E" w14:textId="77777777">
        <w:trPr>
          <w:trHeight w:val="458"/>
        </w:trPr>
        <w:tc>
          <w:tcPr>
            <w:tcW w:w="2445" w:type="dxa"/>
            <w:tcBorders>
              <w:top w:val="nil"/>
              <w:left w:val="nil"/>
              <w:bottom w:val="nil"/>
              <w:right w:val="nil"/>
            </w:tcBorders>
            <w:shd w:val="clear" w:color="auto" w:fill="auto"/>
            <w:tcMar>
              <w:top w:w="20" w:type="dxa"/>
              <w:left w:w="20" w:type="dxa"/>
              <w:bottom w:w="20" w:type="dxa"/>
              <w:right w:w="20" w:type="dxa"/>
            </w:tcMar>
            <w:vAlign w:val="center"/>
          </w:tcPr>
          <w:p w14:paraId="159817D4" w14:textId="77777777" w:rsidR="00296FE3" w:rsidRDefault="00000000">
            <w:pPr>
              <w:spacing w:line="360" w:lineRule="auto"/>
              <w:ind w:left="160" w:right="160"/>
              <w:jc w:val="both"/>
            </w:pPr>
            <w:r>
              <w:t>Edad</w:t>
            </w:r>
          </w:p>
        </w:tc>
        <w:tc>
          <w:tcPr>
            <w:tcW w:w="1320" w:type="dxa"/>
            <w:tcBorders>
              <w:top w:val="nil"/>
              <w:left w:val="nil"/>
              <w:bottom w:val="nil"/>
              <w:right w:val="nil"/>
            </w:tcBorders>
            <w:shd w:val="clear" w:color="auto" w:fill="auto"/>
            <w:tcMar>
              <w:top w:w="120" w:type="dxa"/>
              <w:left w:w="80" w:type="dxa"/>
              <w:bottom w:w="120" w:type="dxa"/>
              <w:right w:w="80" w:type="dxa"/>
            </w:tcMar>
            <w:vAlign w:val="center"/>
          </w:tcPr>
          <w:p w14:paraId="06D6CF86" w14:textId="77777777" w:rsidR="00296FE3" w:rsidRDefault="00000000">
            <w:pPr>
              <w:spacing w:line="360" w:lineRule="auto"/>
              <w:ind w:right="160"/>
            </w:pPr>
            <w:r>
              <w:t>.024***</w:t>
            </w:r>
          </w:p>
        </w:tc>
        <w:tc>
          <w:tcPr>
            <w:tcW w:w="1050" w:type="dxa"/>
            <w:tcBorders>
              <w:top w:val="nil"/>
              <w:left w:val="nil"/>
              <w:bottom w:val="nil"/>
              <w:right w:val="nil"/>
            </w:tcBorders>
            <w:shd w:val="clear" w:color="auto" w:fill="auto"/>
            <w:tcMar>
              <w:top w:w="20" w:type="dxa"/>
              <w:left w:w="20" w:type="dxa"/>
              <w:bottom w:w="20" w:type="dxa"/>
              <w:right w:w="20" w:type="dxa"/>
            </w:tcMar>
            <w:vAlign w:val="center"/>
          </w:tcPr>
          <w:p w14:paraId="79E4014C" w14:textId="77777777" w:rsidR="00296FE3" w:rsidRDefault="00000000">
            <w:pPr>
              <w:spacing w:line="360" w:lineRule="auto"/>
              <w:ind w:right="160"/>
            </w:pPr>
            <w:r>
              <w:t>3.973</w:t>
            </w:r>
          </w:p>
        </w:tc>
        <w:tc>
          <w:tcPr>
            <w:tcW w:w="1155" w:type="dxa"/>
            <w:tcBorders>
              <w:top w:val="nil"/>
              <w:left w:val="nil"/>
              <w:bottom w:val="nil"/>
              <w:right w:val="nil"/>
            </w:tcBorders>
            <w:shd w:val="clear" w:color="auto" w:fill="auto"/>
            <w:tcMar>
              <w:top w:w="20" w:type="dxa"/>
              <w:left w:w="20" w:type="dxa"/>
              <w:bottom w:w="20" w:type="dxa"/>
              <w:right w:w="20" w:type="dxa"/>
            </w:tcMar>
            <w:vAlign w:val="center"/>
          </w:tcPr>
          <w:p w14:paraId="3B12B499" w14:textId="77777777" w:rsidR="00296FE3" w:rsidRDefault="00000000">
            <w:pPr>
              <w:spacing w:line="360" w:lineRule="auto"/>
              <w:ind w:left="160" w:right="160"/>
              <w:jc w:val="center"/>
            </w:pPr>
            <w:r>
              <w:t xml:space="preserve">.021*** </w:t>
            </w:r>
          </w:p>
        </w:tc>
        <w:tc>
          <w:tcPr>
            <w:tcW w:w="1020" w:type="dxa"/>
            <w:tcBorders>
              <w:top w:val="nil"/>
              <w:left w:val="nil"/>
              <w:bottom w:val="nil"/>
              <w:right w:val="nil"/>
            </w:tcBorders>
            <w:shd w:val="clear" w:color="auto" w:fill="auto"/>
            <w:tcMar>
              <w:top w:w="20" w:type="dxa"/>
              <w:left w:w="20" w:type="dxa"/>
              <w:bottom w:w="20" w:type="dxa"/>
              <w:right w:w="20" w:type="dxa"/>
            </w:tcMar>
            <w:vAlign w:val="center"/>
          </w:tcPr>
          <w:p w14:paraId="57A73250" w14:textId="77777777" w:rsidR="00296FE3" w:rsidRDefault="00000000">
            <w:pPr>
              <w:spacing w:line="360" w:lineRule="auto"/>
              <w:ind w:left="160" w:right="160"/>
              <w:jc w:val="center"/>
            </w:pPr>
            <w:r>
              <w:t xml:space="preserve">3.325 </w:t>
            </w:r>
          </w:p>
        </w:tc>
        <w:tc>
          <w:tcPr>
            <w:tcW w:w="1350" w:type="dxa"/>
            <w:tcBorders>
              <w:top w:val="nil"/>
              <w:left w:val="nil"/>
              <w:bottom w:val="nil"/>
              <w:right w:val="nil"/>
            </w:tcBorders>
            <w:shd w:val="clear" w:color="auto" w:fill="auto"/>
            <w:tcMar>
              <w:top w:w="20" w:type="dxa"/>
              <w:left w:w="20" w:type="dxa"/>
              <w:bottom w:w="20" w:type="dxa"/>
              <w:right w:w="20" w:type="dxa"/>
            </w:tcMar>
            <w:vAlign w:val="center"/>
          </w:tcPr>
          <w:p w14:paraId="44421402" w14:textId="77777777" w:rsidR="00296FE3" w:rsidRDefault="00000000">
            <w:pPr>
              <w:spacing w:line="360" w:lineRule="auto"/>
              <w:ind w:left="160" w:right="160"/>
              <w:jc w:val="center"/>
            </w:pPr>
            <w:r>
              <w:t xml:space="preserve"> .020**</w:t>
            </w:r>
          </w:p>
        </w:tc>
        <w:tc>
          <w:tcPr>
            <w:tcW w:w="990" w:type="dxa"/>
            <w:tcBorders>
              <w:top w:val="nil"/>
              <w:left w:val="nil"/>
              <w:bottom w:val="nil"/>
              <w:right w:val="nil"/>
            </w:tcBorders>
            <w:shd w:val="clear" w:color="auto" w:fill="auto"/>
            <w:tcMar>
              <w:top w:w="20" w:type="dxa"/>
              <w:left w:w="20" w:type="dxa"/>
              <w:bottom w:w="20" w:type="dxa"/>
              <w:right w:w="20" w:type="dxa"/>
            </w:tcMar>
            <w:vAlign w:val="center"/>
          </w:tcPr>
          <w:p w14:paraId="36066E9D" w14:textId="77777777" w:rsidR="00296FE3" w:rsidRDefault="00000000">
            <w:pPr>
              <w:spacing w:line="360" w:lineRule="auto"/>
              <w:ind w:left="160" w:right="160"/>
              <w:jc w:val="center"/>
            </w:pPr>
            <w:r>
              <w:t xml:space="preserve">3.185 </w:t>
            </w:r>
          </w:p>
        </w:tc>
      </w:tr>
      <w:tr w:rsidR="00296FE3" w14:paraId="38DE9726" w14:textId="77777777">
        <w:trPr>
          <w:trHeight w:val="525"/>
        </w:trPr>
        <w:tc>
          <w:tcPr>
            <w:tcW w:w="2445" w:type="dxa"/>
            <w:tcBorders>
              <w:top w:val="nil"/>
              <w:left w:val="nil"/>
              <w:bottom w:val="nil"/>
              <w:right w:val="nil"/>
            </w:tcBorders>
            <w:shd w:val="clear" w:color="auto" w:fill="auto"/>
            <w:tcMar>
              <w:top w:w="20" w:type="dxa"/>
              <w:left w:w="20" w:type="dxa"/>
              <w:bottom w:w="20" w:type="dxa"/>
              <w:right w:w="20" w:type="dxa"/>
            </w:tcMar>
            <w:vAlign w:val="center"/>
          </w:tcPr>
          <w:p w14:paraId="17949BD2" w14:textId="77777777" w:rsidR="00296FE3" w:rsidRDefault="00000000">
            <w:pPr>
              <w:spacing w:line="360" w:lineRule="auto"/>
              <w:ind w:left="160" w:right="160"/>
              <w:jc w:val="both"/>
            </w:pPr>
            <w:r>
              <w:t>Sexo</w:t>
            </w:r>
          </w:p>
        </w:tc>
        <w:tc>
          <w:tcPr>
            <w:tcW w:w="1320" w:type="dxa"/>
            <w:tcBorders>
              <w:top w:val="nil"/>
              <w:left w:val="nil"/>
              <w:bottom w:val="nil"/>
              <w:right w:val="nil"/>
            </w:tcBorders>
            <w:shd w:val="clear" w:color="auto" w:fill="auto"/>
            <w:tcMar>
              <w:top w:w="120" w:type="dxa"/>
              <w:left w:w="80" w:type="dxa"/>
              <w:bottom w:w="120" w:type="dxa"/>
              <w:right w:w="80" w:type="dxa"/>
            </w:tcMar>
            <w:vAlign w:val="center"/>
          </w:tcPr>
          <w:p w14:paraId="3B2A8362" w14:textId="77777777" w:rsidR="00296FE3" w:rsidRDefault="00000000">
            <w:pPr>
              <w:spacing w:line="360" w:lineRule="auto"/>
              <w:ind w:right="160"/>
              <w:jc w:val="center"/>
            </w:pPr>
            <w:r>
              <w:t>.164</w:t>
            </w:r>
          </w:p>
        </w:tc>
        <w:tc>
          <w:tcPr>
            <w:tcW w:w="1050" w:type="dxa"/>
            <w:tcBorders>
              <w:top w:val="nil"/>
              <w:left w:val="nil"/>
              <w:bottom w:val="nil"/>
              <w:right w:val="nil"/>
            </w:tcBorders>
            <w:shd w:val="clear" w:color="auto" w:fill="auto"/>
            <w:tcMar>
              <w:top w:w="20" w:type="dxa"/>
              <w:left w:w="20" w:type="dxa"/>
              <w:bottom w:w="20" w:type="dxa"/>
              <w:right w:w="20" w:type="dxa"/>
            </w:tcMar>
            <w:vAlign w:val="center"/>
          </w:tcPr>
          <w:p w14:paraId="68FF1400" w14:textId="77777777" w:rsidR="00296FE3" w:rsidRDefault="00000000">
            <w:pPr>
              <w:spacing w:line="360" w:lineRule="auto"/>
              <w:ind w:right="160"/>
            </w:pPr>
            <w:r>
              <w:t>.818</w:t>
            </w:r>
          </w:p>
        </w:tc>
        <w:tc>
          <w:tcPr>
            <w:tcW w:w="1155" w:type="dxa"/>
            <w:tcBorders>
              <w:top w:val="nil"/>
              <w:left w:val="nil"/>
              <w:bottom w:val="nil"/>
              <w:right w:val="nil"/>
            </w:tcBorders>
            <w:shd w:val="clear" w:color="auto" w:fill="auto"/>
            <w:tcMar>
              <w:top w:w="20" w:type="dxa"/>
              <w:left w:w="20" w:type="dxa"/>
              <w:bottom w:w="20" w:type="dxa"/>
              <w:right w:w="20" w:type="dxa"/>
            </w:tcMar>
            <w:vAlign w:val="center"/>
          </w:tcPr>
          <w:p w14:paraId="1CAF3631" w14:textId="77777777" w:rsidR="00296FE3" w:rsidRDefault="00000000">
            <w:pPr>
              <w:spacing w:line="360" w:lineRule="auto"/>
              <w:ind w:left="160" w:right="160"/>
              <w:jc w:val="center"/>
            </w:pPr>
            <w:r>
              <w:t xml:space="preserve"> .190</w:t>
            </w:r>
          </w:p>
        </w:tc>
        <w:tc>
          <w:tcPr>
            <w:tcW w:w="1020" w:type="dxa"/>
            <w:tcBorders>
              <w:top w:val="nil"/>
              <w:left w:val="nil"/>
              <w:bottom w:val="nil"/>
              <w:right w:val="nil"/>
            </w:tcBorders>
            <w:shd w:val="clear" w:color="auto" w:fill="auto"/>
            <w:tcMar>
              <w:top w:w="20" w:type="dxa"/>
              <w:left w:w="20" w:type="dxa"/>
              <w:bottom w:w="20" w:type="dxa"/>
              <w:right w:w="20" w:type="dxa"/>
            </w:tcMar>
            <w:vAlign w:val="center"/>
          </w:tcPr>
          <w:p w14:paraId="08BEC8C0" w14:textId="77777777" w:rsidR="00296FE3" w:rsidRDefault="00000000">
            <w:pPr>
              <w:spacing w:line="360" w:lineRule="auto"/>
              <w:ind w:left="160" w:right="160"/>
              <w:jc w:val="center"/>
            </w:pPr>
            <w:r>
              <w:t xml:space="preserve"> .949</w:t>
            </w:r>
          </w:p>
        </w:tc>
        <w:tc>
          <w:tcPr>
            <w:tcW w:w="1350" w:type="dxa"/>
            <w:tcBorders>
              <w:top w:val="nil"/>
              <w:left w:val="nil"/>
              <w:bottom w:val="nil"/>
              <w:right w:val="nil"/>
            </w:tcBorders>
            <w:shd w:val="clear" w:color="auto" w:fill="auto"/>
            <w:tcMar>
              <w:top w:w="20" w:type="dxa"/>
              <w:left w:w="20" w:type="dxa"/>
              <w:bottom w:w="20" w:type="dxa"/>
              <w:right w:w="20" w:type="dxa"/>
            </w:tcMar>
            <w:vAlign w:val="center"/>
          </w:tcPr>
          <w:p w14:paraId="1A282427" w14:textId="77777777" w:rsidR="00296FE3" w:rsidRDefault="00000000">
            <w:pPr>
              <w:spacing w:line="360" w:lineRule="auto"/>
              <w:ind w:left="160" w:right="160"/>
              <w:jc w:val="center"/>
            </w:pPr>
            <w:r>
              <w:t xml:space="preserve"> .223</w:t>
            </w:r>
          </w:p>
        </w:tc>
        <w:tc>
          <w:tcPr>
            <w:tcW w:w="990" w:type="dxa"/>
            <w:tcBorders>
              <w:top w:val="nil"/>
              <w:left w:val="nil"/>
              <w:bottom w:val="nil"/>
              <w:right w:val="nil"/>
            </w:tcBorders>
            <w:shd w:val="clear" w:color="auto" w:fill="auto"/>
            <w:tcMar>
              <w:top w:w="20" w:type="dxa"/>
              <w:left w:w="20" w:type="dxa"/>
              <w:bottom w:w="20" w:type="dxa"/>
              <w:right w:w="20" w:type="dxa"/>
            </w:tcMar>
            <w:vAlign w:val="center"/>
          </w:tcPr>
          <w:p w14:paraId="10FF9AB4" w14:textId="77777777" w:rsidR="00296FE3" w:rsidRDefault="00000000">
            <w:pPr>
              <w:spacing w:line="360" w:lineRule="auto"/>
              <w:ind w:left="160" w:right="160"/>
              <w:jc w:val="center"/>
            </w:pPr>
            <w:r>
              <w:t xml:space="preserve"> 1.120</w:t>
            </w:r>
          </w:p>
        </w:tc>
      </w:tr>
      <w:tr w:rsidR="00296FE3" w14:paraId="57E588DD" w14:textId="77777777">
        <w:trPr>
          <w:trHeight w:val="765"/>
        </w:trPr>
        <w:tc>
          <w:tcPr>
            <w:tcW w:w="2445" w:type="dxa"/>
            <w:tcBorders>
              <w:top w:val="nil"/>
              <w:left w:val="nil"/>
              <w:bottom w:val="nil"/>
              <w:right w:val="nil"/>
            </w:tcBorders>
            <w:shd w:val="clear" w:color="auto" w:fill="auto"/>
            <w:tcMar>
              <w:top w:w="20" w:type="dxa"/>
              <w:left w:w="20" w:type="dxa"/>
              <w:bottom w:w="20" w:type="dxa"/>
              <w:right w:w="20" w:type="dxa"/>
            </w:tcMar>
            <w:vAlign w:val="center"/>
          </w:tcPr>
          <w:p w14:paraId="4E5969A4" w14:textId="77777777" w:rsidR="00296FE3" w:rsidRDefault="00000000">
            <w:pPr>
              <w:spacing w:line="360" w:lineRule="auto"/>
              <w:ind w:left="160" w:right="160"/>
              <w:jc w:val="both"/>
            </w:pPr>
            <w:r>
              <w:t>Nivel educativo</w:t>
            </w:r>
          </w:p>
        </w:tc>
        <w:tc>
          <w:tcPr>
            <w:tcW w:w="1320" w:type="dxa"/>
            <w:tcBorders>
              <w:top w:val="nil"/>
              <w:left w:val="nil"/>
              <w:bottom w:val="nil"/>
              <w:right w:val="nil"/>
            </w:tcBorders>
            <w:shd w:val="clear" w:color="auto" w:fill="auto"/>
            <w:tcMar>
              <w:top w:w="120" w:type="dxa"/>
              <w:left w:w="80" w:type="dxa"/>
              <w:bottom w:w="120" w:type="dxa"/>
              <w:right w:w="80" w:type="dxa"/>
            </w:tcMar>
            <w:vAlign w:val="center"/>
          </w:tcPr>
          <w:p w14:paraId="57369470" w14:textId="77777777" w:rsidR="00296FE3" w:rsidRDefault="00000000">
            <w:pPr>
              <w:spacing w:line="360" w:lineRule="auto"/>
              <w:ind w:right="160"/>
              <w:jc w:val="center"/>
            </w:pPr>
            <w:r>
              <w:t>.0008</w:t>
            </w:r>
          </w:p>
        </w:tc>
        <w:tc>
          <w:tcPr>
            <w:tcW w:w="1050" w:type="dxa"/>
            <w:tcBorders>
              <w:top w:val="nil"/>
              <w:left w:val="nil"/>
              <w:bottom w:val="nil"/>
              <w:right w:val="nil"/>
            </w:tcBorders>
            <w:shd w:val="clear" w:color="auto" w:fill="auto"/>
            <w:tcMar>
              <w:top w:w="20" w:type="dxa"/>
              <w:left w:w="20" w:type="dxa"/>
              <w:bottom w:w="20" w:type="dxa"/>
              <w:right w:w="20" w:type="dxa"/>
            </w:tcMar>
            <w:vAlign w:val="center"/>
          </w:tcPr>
          <w:p w14:paraId="63E9810D" w14:textId="77777777" w:rsidR="00296FE3" w:rsidRDefault="00000000">
            <w:pPr>
              <w:spacing w:line="360" w:lineRule="auto"/>
              <w:ind w:right="160"/>
            </w:pPr>
            <w:r>
              <w:t>.028</w:t>
            </w:r>
          </w:p>
        </w:tc>
        <w:tc>
          <w:tcPr>
            <w:tcW w:w="1155" w:type="dxa"/>
            <w:tcBorders>
              <w:top w:val="nil"/>
              <w:left w:val="nil"/>
              <w:bottom w:val="nil"/>
              <w:right w:val="nil"/>
            </w:tcBorders>
            <w:shd w:val="clear" w:color="auto" w:fill="auto"/>
            <w:tcMar>
              <w:top w:w="20" w:type="dxa"/>
              <w:left w:w="20" w:type="dxa"/>
              <w:bottom w:w="20" w:type="dxa"/>
              <w:right w:w="20" w:type="dxa"/>
            </w:tcMar>
            <w:vAlign w:val="center"/>
          </w:tcPr>
          <w:p w14:paraId="1008ACF0" w14:textId="77777777" w:rsidR="00296FE3" w:rsidRDefault="00000000">
            <w:pPr>
              <w:spacing w:line="360" w:lineRule="auto"/>
              <w:ind w:left="160" w:right="160"/>
              <w:jc w:val="center"/>
            </w:pPr>
            <w:r>
              <w:t xml:space="preserve"> -.008</w:t>
            </w:r>
          </w:p>
        </w:tc>
        <w:tc>
          <w:tcPr>
            <w:tcW w:w="1020" w:type="dxa"/>
            <w:tcBorders>
              <w:top w:val="nil"/>
              <w:left w:val="nil"/>
              <w:bottom w:val="nil"/>
              <w:right w:val="nil"/>
            </w:tcBorders>
            <w:shd w:val="clear" w:color="auto" w:fill="auto"/>
            <w:tcMar>
              <w:top w:w="20" w:type="dxa"/>
              <w:left w:w="20" w:type="dxa"/>
              <w:bottom w:w="20" w:type="dxa"/>
              <w:right w:w="20" w:type="dxa"/>
            </w:tcMar>
            <w:vAlign w:val="center"/>
          </w:tcPr>
          <w:p w14:paraId="37DF252A" w14:textId="77777777" w:rsidR="00296FE3" w:rsidRDefault="00000000">
            <w:pPr>
              <w:spacing w:line="360" w:lineRule="auto"/>
              <w:ind w:left="160" w:right="160"/>
              <w:jc w:val="center"/>
            </w:pPr>
            <w:r>
              <w:t xml:space="preserve">-.278 </w:t>
            </w:r>
          </w:p>
        </w:tc>
        <w:tc>
          <w:tcPr>
            <w:tcW w:w="1350" w:type="dxa"/>
            <w:tcBorders>
              <w:top w:val="nil"/>
              <w:left w:val="nil"/>
              <w:bottom w:val="nil"/>
              <w:right w:val="nil"/>
            </w:tcBorders>
            <w:shd w:val="clear" w:color="auto" w:fill="auto"/>
            <w:tcMar>
              <w:top w:w="20" w:type="dxa"/>
              <w:left w:w="20" w:type="dxa"/>
              <w:bottom w:w="20" w:type="dxa"/>
              <w:right w:w="20" w:type="dxa"/>
            </w:tcMar>
            <w:vAlign w:val="center"/>
          </w:tcPr>
          <w:p w14:paraId="06A19C05" w14:textId="77777777" w:rsidR="00296FE3" w:rsidRDefault="00000000">
            <w:pPr>
              <w:spacing w:line="360" w:lineRule="auto"/>
              <w:ind w:left="160" w:right="160"/>
              <w:jc w:val="center"/>
            </w:pPr>
            <w:r>
              <w:t xml:space="preserve"> -.008</w:t>
            </w:r>
          </w:p>
        </w:tc>
        <w:tc>
          <w:tcPr>
            <w:tcW w:w="990" w:type="dxa"/>
            <w:tcBorders>
              <w:top w:val="nil"/>
              <w:left w:val="nil"/>
              <w:bottom w:val="nil"/>
              <w:right w:val="nil"/>
            </w:tcBorders>
            <w:shd w:val="clear" w:color="auto" w:fill="auto"/>
            <w:tcMar>
              <w:top w:w="20" w:type="dxa"/>
              <w:left w:w="20" w:type="dxa"/>
              <w:bottom w:w="20" w:type="dxa"/>
              <w:right w:w="20" w:type="dxa"/>
            </w:tcMar>
            <w:vAlign w:val="center"/>
          </w:tcPr>
          <w:p w14:paraId="00EB248B" w14:textId="77777777" w:rsidR="00296FE3" w:rsidRDefault="00000000">
            <w:pPr>
              <w:spacing w:line="360" w:lineRule="auto"/>
              <w:ind w:left="160" w:right="160"/>
              <w:jc w:val="center"/>
            </w:pPr>
            <w:r>
              <w:t xml:space="preserve">-.266 </w:t>
            </w:r>
          </w:p>
        </w:tc>
      </w:tr>
      <w:tr w:rsidR="00296FE3" w14:paraId="1C7DC515" w14:textId="77777777">
        <w:trPr>
          <w:trHeight w:val="825"/>
        </w:trPr>
        <w:tc>
          <w:tcPr>
            <w:tcW w:w="2445" w:type="dxa"/>
            <w:tcBorders>
              <w:top w:val="nil"/>
              <w:left w:val="nil"/>
              <w:bottom w:val="nil"/>
              <w:right w:val="nil"/>
            </w:tcBorders>
            <w:shd w:val="clear" w:color="auto" w:fill="auto"/>
            <w:tcMar>
              <w:top w:w="20" w:type="dxa"/>
              <w:left w:w="20" w:type="dxa"/>
              <w:bottom w:w="20" w:type="dxa"/>
              <w:right w:w="20" w:type="dxa"/>
            </w:tcMar>
            <w:vAlign w:val="center"/>
          </w:tcPr>
          <w:p w14:paraId="1BC0721C" w14:textId="77777777" w:rsidR="00296FE3" w:rsidRDefault="00000000">
            <w:pPr>
              <w:spacing w:line="360" w:lineRule="auto"/>
              <w:ind w:left="160" w:right="160"/>
              <w:jc w:val="both"/>
            </w:pPr>
            <w:r>
              <w:t>Ingresos económicos mensuales</w:t>
            </w:r>
          </w:p>
        </w:tc>
        <w:tc>
          <w:tcPr>
            <w:tcW w:w="1320" w:type="dxa"/>
            <w:tcBorders>
              <w:top w:val="nil"/>
              <w:left w:val="nil"/>
              <w:bottom w:val="nil"/>
              <w:right w:val="nil"/>
            </w:tcBorders>
            <w:shd w:val="clear" w:color="auto" w:fill="auto"/>
            <w:tcMar>
              <w:top w:w="120" w:type="dxa"/>
              <w:left w:w="80" w:type="dxa"/>
              <w:bottom w:w="120" w:type="dxa"/>
              <w:right w:w="80" w:type="dxa"/>
            </w:tcMar>
            <w:vAlign w:val="center"/>
          </w:tcPr>
          <w:p w14:paraId="40E669B9" w14:textId="77777777" w:rsidR="00296FE3" w:rsidRDefault="00000000">
            <w:pPr>
              <w:spacing w:line="360" w:lineRule="auto"/>
              <w:jc w:val="center"/>
            </w:pPr>
            <w:r>
              <w:t>-.066</w:t>
            </w:r>
          </w:p>
        </w:tc>
        <w:tc>
          <w:tcPr>
            <w:tcW w:w="1050" w:type="dxa"/>
            <w:tcBorders>
              <w:top w:val="nil"/>
              <w:left w:val="nil"/>
              <w:bottom w:val="nil"/>
              <w:right w:val="nil"/>
            </w:tcBorders>
            <w:shd w:val="clear" w:color="auto" w:fill="auto"/>
            <w:tcMar>
              <w:top w:w="20" w:type="dxa"/>
              <w:left w:w="20" w:type="dxa"/>
              <w:bottom w:w="20" w:type="dxa"/>
              <w:right w:w="20" w:type="dxa"/>
            </w:tcMar>
            <w:vAlign w:val="center"/>
          </w:tcPr>
          <w:p w14:paraId="6272B7F8" w14:textId="77777777" w:rsidR="00296FE3" w:rsidRDefault="00000000">
            <w:pPr>
              <w:spacing w:line="360" w:lineRule="auto"/>
            </w:pPr>
            <w:r>
              <w:t>-1.435</w:t>
            </w:r>
          </w:p>
        </w:tc>
        <w:tc>
          <w:tcPr>
            <w:tcW w:w="1155" w:type="dxa"/>
            <w:tcBorders>
              <w:top w:val="nil"/>
              <w:left w:val="nil"/>
              <w:bottom w:val="nil"/>
              <w:right w:val="nil"/>
            </w:tcBorders>
            <w:shd w:val="clear" w:color="auto" w:fill="auto"/>
            <w:tcMar>
              <w:top w:w="20" w:type="dxa"/>
              <w:left w:w="20" w:type="dxa"/>
              <w:bottom w:w="20" w:type="dxa"/>
              <w:right w:w="20" w:type="dxa"/>
            </w:tcMar>
            <w:vAlign w:val="center"/>
          </w:tcPr>
          <w:p w14:paraId="66089629" w14:textId="77777777" w:rsidR="00296FE3" w:rsidRDefault="00000000">
            <w:pPr>
              <w:spacing w:line="360" w:lineRule="auto"/>
              <w:ind w:left="160" w:right="160"/>
              <w:jc w:val="center"/>
            </w:pPr>
            <w:r>
              <w:t xml:space="preserve">-.077 </w:t>
            </w:r>
          </w:p>
        </w:tc>
        <w:tc>
          <w:tcPr>
            <w:tcW w:w="1020" w:type="dxa"/>
            <w:tcBorders>
              <w:top w:val="nil"/>
              <w:left w:val="nil"/>
              <w:bottom w:val="nil"/>
              <w:right w:val="nil"/>
            </w:tcBorders>
            <w:shd w:val="clear" w:color="auto" w:fill="auto"/>
            <w:tcMar>
              <w:top w:w="20" w:type="dxa"/>
              <w:left w:w="20" w:type="dxa"/>
              <w:bottom w:w="20" w:type="dxa"/>
              <w:right w:w="20" w:type="dxa"/>
            </w:tcMar>
            <w:vAlign w:val="center"/>
          </w:tcPr>
          <w:p w14:paraId="72758067" w14:textId="77777777" w:rsidR="00296FE3" w:rsidRDefault="00000000">
            <w:pPr>
              <w:spacing w:line="360" w:lineRule="auto"/>
              <w:ind w:left="160" w:right="160"/>
              <w:jc w:val="center"/>
            </w:pPr>
            <w:r>
              <w:t>-1.674</w:t>
            </w:r>
          </w:p>
        </w:tc>
        <w:tc>
          <w:tcPr>
            <w:tcW w:w="1350" w:type="dxa"/>
            <w:tcBorders>
              <w:top w:val="nil"/>
              <w:left w:val="nil"/>
              <w:bottom w:val="nil"/>
              <w:right w:val="nil"/>
            </w:tcBorders>
            <w:shd w:val="clear" w:color="auto" w:fill="auto"/>
            <w:tcMar>
              <w:top w:w="20" w:type="dxa"/>
              <w:left w:w="20" w:type="dxa"/>
              <w:bottom w:w="20" w:type="dxa"/>
              <w:right w:w="20" w:type="dxa"/>
            </w:tcMar>
            <w:vAlign w:val="center"/>
          </w:tcPr>
          <w:p w14:paraId="20CBE3A2" w14:textId="77777777" w:rsidR="00296FE3" w:rsidRDefault="00000000">
            <w:pPr>
              <w:spacing w:line="360" w:lineRule="auto"/>
              <w:ind w:left="160" w:right="160"/>
              <w:jc w:val="center"/>
            </w:pPr>
            <w:r>
              <w:t xml:space="preserve"> -.074</w:t>
            </w:r>
          </w:p>
        </w:tc>
        <w:tc>
          <w:tcPr>
            <w:tcW w:w="990" w:type="dxa"/>
            <w:tcBorders>
              <w:top w:val="nil"/>
              <w:left w:val="nil"/>
              <w:bottom w:val="nil"/>
              <w:right w:val="nil"/>
            </w:tcBorders>
            <w:shd w:val="clear" w:color="auto" w:fill="auto"/>
            <w:tcMar>
              <w:top w:w="20" w:type="dxa"/>
              <w:left w:w="20" w:type="dxa"/>
              <w:bottom w:w="20" w:type="dxa"/>
              <w:right w:w="20" w:type="dxa"/>
            </w:tcMar>
            <w:vAlign w:val="center"/>
          </w:tcPr>
          <w:p w14:paraId="48E88D33" w14:textId="77777777" w:rsidR="00296FE3" w:rsidRDefault="00000000">
            <w:pPr>
              <w:spacing w:line="360" w:lineRule="auto"/>
              <w:ind w:left="160" w:right="160"/>
              <w:jc w:val="center"/>
            </w:pPr>
            <w:r>
              <w:t>-1.623</w:t>
            </w:r>
          </w:p>
        </w:tc>
      </w:tr>
      <w:tr w:rsidR="00296FE3" w14:paraId="3CFA7F59" w14:textId="77777777">
        <w:trPr>
          <w:trHeight w:val="525"/>
        </w:trPr>
        <w:tc>
          <w:tcPr>
            <w:tcW w:w="2445" w:type="dxa"/>
            <w:tcBorders>
              <w:top w:val="nil"/>
              <w:left w:val="nil"/>
              <w:bottom w:val="nil"/>
              <w:right w:val="nil"/>
            </w:tcBorders>
            <w:shd w:val="clear" w:color="auto" w:fill="auto"/>
            <w:tcMar>
              <w:top w:w="20" w:type="dxa"/>
              <w:left w:w="20" w:type="dxa"/>
              <w:bottom w:w="20" w:type="dxa"/>
              <w:right w:w="20" w:type="dxa"/>
            </w:tcMar>
            <w:vAlign w:val="center"/>
          </w:tcPr>
          <w:p w14:paraId="1FFE6B28" w14:textId="77777777" w:rsidR="00296FE3" w:rsidRDefault="00000000">
            <w:pPr>
              <w:spacing w:line="360" w:lineRule="auto"/>
              <w:ind w:left="160" w:right="160"/>
              <w:jc w:val="both"/>
            </w:pPr>
            <w:r>
              <w:t>Ideología política</w:t>
            </w:r>
          </w:p>
        </w:tc>
        <w:tc>
          <w:tcPr>
            <w:tcW w:w="1320" w:type="dxa"/>
            <w:tcBorders>
              <w:top w:val="nil"/>
              <w:left w:val="nil"/>
              <w:bottom w:val="nil"/>
              <w:right w:val="nil"/>
            </w:tcBorders>
            <w:shd w:val="clear" w:color="auto" w:fill="auto"/>
            <w:tcMar>
              <w:top w:w="120" w:type="dxa"/>
              <w:left w:w="80" w:type="dxa"/>
              <w:bottom w:w="120" w:type="dxa"/>
              <w:right w:w="80" w:type="dxa"/>
            </w:tcMar>
            <w:vAlign w:val="center"/>
          </w:tcPr>
          <w:p w14:paraId="7E619DAB" w14:textId="77777777" w:rsidR="00296FE3" w:rsidRDefault="00000000">
            <w:pPr>
              <w:spacing w:line="360" w:lineRule="auto"/>
              <w:ind w:left="160" w:right="160"/>
              <w:jc w:val="center"/>
            </w:pPr>
            <w:r>
              <w:t xml:space="preserve"> </w:t>
            </w:r>
          </w:p>
        </w:tc>
        <w:tc>
          <w:tcPr>
            <w:tcW w:w="1050" w:type="dxa"/>
            <w:tcBorders>
              <w:top w:val="nil"/>
              <w:left w:val="nil"/>
              <w:bottom w:val="nil"/>
              <w:right w:val="nil"/>
            </w:tcBorders>
            <w:shd w:val="clear" w:color="auto" w:fill="auto"/>
            <w:tcMar>
              <w:top w:w="20" w:type="dxa"/>
              <w:left w:w="20" w:type="dxa"/>
              <w:bottom w:w="20" w:type="dxa"/>
              <w:right w:w="20" w:type="dxa"/>
            </w:tcMar>
            <w:vAlign w:val="center"/>
          </w:tcPr>
          <w:p w14:paraId="01EA958C" w14:textId="77777777" w:rsidR="00296FE3" w:rsidRDefault="00000000">
            <w:pPr>
              <w:spacing w:line="360" w:lineRule="auto"/>
              <w:ind w:left="160" w:right="160"/>
              <w:jc w:val="center"/>
            </w:pPr>
            <w:r>
              <w:t xml:space="preserve"> </w:t>
            </w:r>
          </w:p>
        </w:tc>
        <w:tc>
          <w:tcPr>
            <w:tcW w:w="1155" w:type="dxa"/>
            <w:tcBorders>
              <w:top w:val="nil"/>
              <w:left w:val="nil"/>
              <w:bottom w:val="nil"/>
              <w:right w:val="nil"/>
            </w:tcBorders>
            <w:shd w:val="clear" w:color="auto" w:fill="auto"/>
            <w:tcMar>
              <w:top w:w="20" w:type="dxa"/>
              <w:left w:w="20" w:type="dxa"/>
              <w:bottom w:w="20" w:type="dxa"/>
              <w:right w:w="20" w:type="dxa"/>
            </w:tcMar>
            <w:vAlign w:val="center"/>
          </w:tcPr>
          <w:p w14:paraId="1F77C90B" w14:textId="77777777" w:rsidR="00296FE3" w:rsidRDefault="00000000">
            <w:pPr>
              <w:spacing w:line="360" w:lineRule="auto"/>
              <w:ind w:left="160" w:right="160"/>
              <w:jc w:val="center"/>
            </w:pPr>
            <w:r>
              <w:t>.109**</w:t>
            </w:r>
          </w:p>
        </w:tc>
        <w:tc>
          <w:tcPr>
            <w:tcW w:w="1020" w:type="dxa"/>
            <w:tcBorders>
              <w:top w:val="nil"/>
              <w:left w:val="nil"/>
              <w:bottom w:val="nil"/>
              <w:right w:val="nil"/>
            </w:tcBorders>
            <w:shd w:val="clear" w:color="auto" w:fill="auto"/>
            <w:tcMar>
              <w:top w:w="20" w:type="dxa"/>
              <w:left w:w="20" w:type="dxa"/>
              <w:bottom w:w="20" w:type="dxa"/>
              <w:right w:w="20" w:type="dxa"/>
            </w:tcMar>
            <w:vAlign w:val="center"/>
          </w:tcPr>
          <w:p w14:paraId="516872C7" w14:textId="77777777" w:rsidR="00296FE3" w:rsidRDefault="00000000">
            <w:pPr>
              <w:spacing w:line="360" w:lineRule="auto"/>
              <w:ind w:left="160" w:right="160"/>
              <w:jc w:val="center"/>
            </w:pPr>
            <w:r>
              <w:t>2.986</w:t>
            </w:r>
          </w:p>
        </w:tc>
        <w:tc>
          <w:tcPr>
            <w:tcW w:w="1350" w:type="dxa"/>
            <w:tcBorders>
              <w:top w:val="nil"/>
              <w:left w:val="nil"/>
              <w:bottom w:val="nil"/>
              <w:right w:val="nil"/>
            </w:tcBorders>
            <w:shd w:val="clear" w:color="auto" w:fill="auto"/>
            <w:tcMar>
              <w:top w:w="20" w:type="dxa"/>
              <w:left w:w="20" w:type="dxa"/>
              <w:bottom w:w="20" w:type="dxa"/>
              <w:right w:w="20" w:type="dxa"/>
            </w:tcMar>
            <w:vAlign w:val="center"/>
          </w:tcPr>
          <w:p w14:paraId="2F082D96" w14:textId="77777777" w:rsidR="00296FE3" w:rsidRDefault="00000000">
            <w:pPr>
              <w:spacing w:line="360" w:lineRule="auto"/>
              <w:ind w:left="160" w:right="160"/>
              <w:jc w:val="center"/>
            </w:pPr>
            <w:r>
              <w:t xml:space="preserve"> .107**</w:t>
            </w:r>
          </w:p>
        </w:tc>
        <w:tc>
          <w:tcPr>
            <w:tcW w:w="990" w:type="dxa"/>
            <w:tcBorders>
              <w:top w:val="nil"/>
              <w:left w:val="nil"/>
              <w:bottom w:val="nil"/>
              <w:right w:val="nil"/>
            </w:tcBorders>
            <w:shd w:val="clear" w:color="auto" w:fill="auto"/>
            <w:tcMar>
              <w:top w:w="20" w:type="dxa"/>
              <w:left w:w="20" w:type="dxa"/>
              <w:bottom w:w="20" w:type="dxa"/>
              <w:right w:w="20" w:type="dxa"/>
            </w:tcMar>
            <w:vAlign w:val="center"/>
          </w:tcPr>
          <w:p w14:paraId="67C99F8B" w14:textId="77777777" w:rsidR="00296FE3" w:rsidRDefault="00000000">
            <w:pPr>
              <w:spacing w:line="360" w:lineRule="auto"/>
              <w:ind w:left="160" w:right="160"/>
              <w:jc w:val="center"/>
            </w:pPr>
            <w:r>
              <w:t xml:space="preserve">2.950 </w:t>
            </w:r>
          </w:p>
        </w:tc>
      </w:tr>
      <w:tr w:rsidR="00296FE3" w14:paraId="33EE77C8" w14:textId="77777777">
        <w:trPr>
          <w:trHeight w:val="900"/>
        </w:trPr>
        <w:tc>
          <w:tcPr>
            <w:tcW w:w="2445" w:type="dxa"/>
            <w:tcBorders>
              <w:top w:val="nil"/>
              <w:left w:val="nil"/>
              <w:right w:val="nil"/>
            </w:tcBorders>
            <w:shd w:val="clear" w:color="auto" w:fill="auto"/>
            <w:tcMar>
              <w:top w:w="20" w:type="dxa"/>
              <w:left w:w="20" w:type="dxa"/>
              <w:bottom w:w="20" w:type="dxa"/>
              <w:right w:w="20" w:type="dxa"/>
            </w:tcMar>
            <w:vAlign w:val="center"/>
          </w:tcPr>
          <w:p w14:paraId="70F449BA" w14:textId="77777777" w:rsidR="00296FE3" w:rsidRDefault="00000000">
            <w:pPr>
              <w:spacing w:line="360" w:lineRule="auto"/>
              <w:ind w:left="160" w:right="160"/>
              <w:jc w:val="both"/>
            </w:pPr>
            <w:r>
              <w:t>Presencia del crimen organizado</w:t>
            </w:r>
          </w:p>
        </w:tc>
        <w:tc>
          <w:tcPr>
            <w:tcW w:w="1320" w:type="dxa"/>
            <w:tcBorders>
              <w:top w:val="nil"/>
              <w:left w:val="nil"/>
              <w:right w:val="nil"/>
            </w:tcBorders>
            <w:shd w:val="clear" w:color="auto" w:fill="auto"/>
            <w:tcMar>
              <w:top w:w="120" w:type="dxa"/>
              <w:left w:w="80" w:type="dxa"/>
              <w:bottom w:w="120" w:type="dxa"/>
              <w:right w:w="80" w:type="dxa"/>
            </w:tcMar>
            <w:vAlign w:val="center"/>
          </w:tcPr>
          <w:p w14:paraId="66BD60F3" w14:textId="77777777" w:rsidR="00296FE3" w:rsidRDefault="00000000">
            <w:pPr>
              <w:spacing w:line="360" w:lineRule="auto"/>
              <w:ind w:left="160" w:right="160"/>
              <w:jc w:val="center"/>
            </w:pPr>
            <w:r>
              <w:t xml:space="preserve"> </w:t>
            </w:r>
          </w:p>
        </w:tc>
        <w:tc>
          <w:tcPr>
            <w:tcW w:w="1050" w:type="dxa"/>
            <w:tcBorders>
              <w:top w:val="nil"/>
              <w:left w:val="nil"/>
              <w:right w:val="nil"/>
            </w:tcBorders>
            <w:shd w:val="clear" w:color="auto" w:fill="auto"/>
            <w:tcMar>
              <w:top w:w="20" w:type="dxa"/>
              <w:left w:w="20" w:type="dxa"/>
              <w:bottom w:w="20" w:type="dxa"/>
              <w:right w:w="20" w:type="dxa"/>
            </w:tcMar>
            <w:vAlign w:val="center"/>
          </w:tcPr>
          <w:p w14:paraId="0A3D3833" w14:textId="77777777" w:rsidR="00296FE3" w:rsidRDefault="00000000">
            <w:pPr>
              <w:spacing w:line="360" w:lineRule="auto"/>
              <w:ind w:left="160" w:right="160"/>
              <w:jc w:val="center"/>
            </w:pPr>
            <w:r>
              <w:t xml:space="preserve"> </w:t>
            </w:r>
          </w:p>
        </w:tc>
        <w:tc>
          <w:tcPr>
            <w:tcW w:w="1155" w:type="dxa"/>
            <w:tcBorders>
              <w:top w:val="nil"/>
              <w:left w:val="nil"/>
              <w:right w:val="nil"/>
            </w:tcBorders>
            <w:shd w:val="clear" w:color="auto" w:fill="auto"/>
            <w:tcMar>
              <w:top w:w="20" w:type="dxa"/>
              <w:left w:w="20" w:type="dxa"/>
              <w:bottom w:w="20" w:type="dxa"/>
              <w:right w:w="20" w:type="dxa"/>
            </w:tcMar>
            <w:vAlign w:val="center"/>
          </w:tcPr>
          <w:p w14:paraId="69A1C1E9" w14:textId="77777777" w:rsidR="00296FE3" w:rsidRDefault="00000000">
            <w:pPr>
              <w:spacing w:line="360" w:lineRule="auto"/>
              <w:ind w:left="160" w:right="160"/>
              <w:jc w:val="center"/>
            </w:pPr>
            <w:r>
              <w:t xml:space="preserve"> </w:t>
            </w:r>
          </w:p>
        </w:tc>
        <w:tc>
          <w:tcPr>
            <w:tcW w:w="1020" w:type="dxa"/>
            <w:tcBorders>
              <w:top w:val="nil"/>
              <w:left w:val="nil"/>
              <w:right w:val="nil"/>
            </w:tcBorders>
            <w:shd w:val="clear" w:color="auto" w:fill="auto"/>
            <w:tcMar>
              <w:top w:w="20" w:type="dxa"/>
              <w:left w:w="20" w:type="dxa"/>
              <w:bottom w:w="20" w:type="dxa"/>
              <w:right w:w="20" w:type="dxa"/>
            </w:tcMar>
            <w:vAlign w:val="center"/>
          </w:tcPr>
          <w:p w14:paraId="7D98E91F" w14:textId="77777777" w:rsidR="00296FE3" w:rsidRDefault="00000000">
            <w:pPr>
              <w:spacing w:line="360" w:lineRule="auto"/>
              <w:ind w:left="160" w:right="160"/>
              <w:jc w:val="center"/>
            </w:pPr>
            <w:r>
              <w:t xml:space="preserve"> </w:t>
            </w:r>
          </w:p>
        </w:tc>
        <w:tc>
          <w:tcPr>
            <w:tcW w:w="1350" w:type="dxa"/>
            <w:tcBorders>
              <w:top w:val="nil"/>
              <w:left w:val="nil"/>
              <w:right w:val="nil"/>
            </w:tcBorders>
            <w:shd w:val="clear" w:color="auto" w:fill="auto"/>
            <w:tcMar>
              <w:top w:w="20" w:type="dxa"/>
              <w:left w:w="20" w:type="dxa"/>
              <w:bottom w:w="20" w:type="dxa"/>
              <w:right w:w="20" w:type="dxa"/>
            </w:tcMar>
            <w:vAlign w:val="center"/>
          </w:tcPr>
          <w:p w14:paraId="6E345686" w14:textId="77777777" w:rsidR="00296FE3" w:rsidRDefault="00000000">
            <w:pPr>
              <w:spacing w:line="360" w:lineRule="auto"/>
              <w:ind w:left="160" w:right="160"/>
              <w:jc w:val="center"/>
            </w:pPr>
            <w:r>
              <w:t>-.533**</w:t>
            </w:r>
          </w:p>
        </w:tc>
        <w:tc>
          <w:tcPr>
            <w:tcW w:w="990" w:type="dxa"/>
            <w:tcBorders>
              <w:top w:val="nil"/>
              <w:left w:val="nil"/>
              <w:right w:val="nil"/>
            </w:tcBorders>
            <w:shd w:val="clear" w:color="auto" w:fill="auto"/>
            <w:tcMar>
              <w:top w:w="20" w:type="dxa"/>
              <w:left w:w="20" w:type="dxa"/>
              <w:bottom w:w="20" w:type="dxa"/>
              <w:right w:w="20" w:type="dxa"/>
            </w:tcMar>
            <w:vAlign w:val="center"/>
          </w:tcPr>
          <w:p w14:paraId="68E85414" w14:textId="77777777" w:rsidR="00296FE3" w:rsidRDefault="00000000">
            <w:pPr>
              <w:spacing w:line="360" w:lineRule="auto"/>
              <w:ind w:left="160" w:right="160"/>
              <w:jc w:val="center"/>
            </w:pPr>
            <w:r>
              <w:t>-2.701</w:t>
            </w:r>
          </w:p>
        </w:tc>
      </w:tr>
      <w:tr w:rsidR="00296FE3" w14:paraId="4EF705B1" w14:textId="77777777">
        <w:trPr>
          <w:trHeight w:val="480"/>
        </w:trPr>
        <w:tc>
          <w:tcPr>
            <w:tcW w:w="2445" w:type="dxa"/>
            <w:tcBorders>
              <w:left w:val="nil"/>
              <w:right w:val="nil"/>
            </w:tcBorders>
            <w:shd w:val="clear" w:color="auto" w:fill="auto"/>
            <w:tcMar>
              <w:top w:w="20" w:type="dxa"/>
              <w:left w:w="20" w:type="dxa"/>
              <w:bottom w:w="20" w:type="dxa"/>
              <w:right w:w="20" w:type="dxa"/>
            </w:tcMar>
            <w:vAlign w:val="center"/>
          </w:tcPr>
          <w:p w14:paraId="5E75F870" w14:textId="77777777" w:rsidR="00296FE3" w:rsidRDefault="00000000">
            <w:pPr>
              <w:spacing w:line="360" w:lineRule="auto"/>
            </w:pPr>
            <w:r>
              <w:rPr>
                <w:b/>
                <w:i/>
              </w:rPr>
              <w:lastRenderedPageBreak/>
              <w:t>F</w:t>
            </w:r>
          </w:p>
        </w:tc>
        <w:tc>
          <w:tcPr>
            <w:tcW w:w="2370" w:type="dxa"/>
            <w:gridSpan w:val="2"/>
            <w:tcBorders>
              <w:left w:val="nil"/>
              <w:right w:val="nil"/>
            </w:tcBorders>
            <w:shd w:val="clear" w:color="auto" w:fill="auto"/>
            <w:tcMar>
              <w:top w:w="120" w:type="dxa"/>
              <w:left w:w="80" w:type="dxa"/>
              <w:bottom w:w="120" w:type="dxa"/>
              <w:right w:w="80" w:type="dxa"/>
            </w:tcMar>
            <w:vAlign w:val="center"/>
          </w:tcPr>
          <w:p w14:paraId="6EC8D726" w14:textId="77777777" w:rsidR="00296FE3" w:rsidRDefault="00000000">
            <w:pPr>
              <w:spacing w:line="360" w:lineRule="auto"/>
              <w:jc w:val="center"/>
            </w:pPr>
            <w:r>
              <w:t>5.297</w:t>
            </w:r>
          </w:p>
        </w:tc>
        <w:tc>
          <w:tcPr>
            <w:tcW w:w="2175" w:type="dxa"/>
            <w:gridSpan w:val="2"/>
            <w:tcBorders>
              <w:left w:val="nil"/>
              <w:right w:val="nil"/>
            </w:tcBorders>
            <w:shd w:val="clear" w:color="auto" w:fill="auto"/>
            <w:tcMar>
              <w:top w:w="20" w:type="dxa"/>
              <w:left w:w="20" w:type="dxa"/>
              <w:bottom w:w="20" w:type="dxa"/>
              <w:right w:w="20" w:type="dxa"/>
            </w:tcMar>
            <w:vAlign w:val="center"/>
          </w:tcPr>
          <w:p w14:paraId="29F2AD50" w14:textId="77777777" w:rsidR="00296FE3" w:rsidRDefault="00000000">
            <w:pPr>
              <w:spacing w:line="360" w:lineRule="auto"/>
              <w:jc w:val="center"/>
            </w:pPr>
            <w:r>
              <w:t>6.069</w:t>
            </w:r>
          </w:p>
        </w:tc>
        <w:tc>
          <w:tcPr>
            <w:tcW w:w="2340" w:type="dxa"/>
            <w:gridSpan w:val="2"/>
            <w:tcBorders>
              <w:left w:val="nil"/>
              <w:right w:val="nil"/>
            </w:tcBorders>
            <w:shd w:val="clear" w:color="auto" w:fill="auto"/>
            <w:tcMar>
              <w:top w:w="20" w:type="dxa"/>
              <w:left w:w="20" w:type="dxa"/>
              <w:bottom w:w="20" w:type="dxa"/>
              <w:right w:w="20" w:type="dxa"/>
            </w:tcMar>
            <w:vAlign w:val="center"/>
          </w:tcPr>
          <w:p w14:paraId="5DEFAE1A" w14:textId="77777777" w:rsidR="00296FE3" w:rsidRDefault="00000000">
            <w:pPr>
              <w:spacing w:line="360" w:lineRule="auto"/>
              <w:jc w:val="center"/>
            </w:pPr>
            <w:r>
              <w:t>6.319</w:t>
            </w:r>
          </w:p>
        </w:tc>
      </w:tr>
      <w:tr w:rsidR="00296FE3" w14:paraId="043AC1F9" w14:textId="77777777">
        <w:trPr>
          <w:trHeight w:val="900"/>
        </w:trPr>
        <w:tc>
          <w:tcPr>
            <w:tcW w:w="2445" w:type="dxa"/>
            <w:tcBorders>
              <w:left w:val="nil"/>
              <w:bottom w:val="single" w:sz="5" w:space="0" w:color="000000"/>
              <w:right w:val="nil"/>
            </w:tcBorders>
            <w:shd w:val="clear" w:color="auto" w:fill="auto"/>
            <w:tcMar>
              <w:top w:w="20" w:type="dxa"/>
              <w:left w:w="20" w:type="dxa"/>
              <w:bottom w:w="20" w:type="dxa"/>
              <w:right w:w="20" w:type="dxa"/>
            </w:tcMar>
            <w:vAlign w:val="center"/>
          </w:tcPr>
          <w:p w14:paraId="75A246DE" w14:textId="77777777" w:rsidR="00296FE3" w:rsidRDefault="00000000">
            <w:pPr>
              <w:spacing w:line="360" w:lineRule="auto"/>
            </w:pPr>
            <w:r>
              <w:rPr>
                <w:b/>
                <w:i/>
              </w:rPr>
              <w:t>R</w:t>
            </w:r>
            <w:r>
              <w:rPr>
                <w:b/>
                <w:i/>
                <w:vertAlign w:val="superscript"/>
              </w:rPr>
              <w:t>2</w:t>
            </w:r>
          </w:p>
        </w:tc>
        <w:tc>
          <w:tcPr>
            <w:tcW w:w="2370" w:type="dxa"/>
            <w:gridSpan w:val="2"/>
            <w:tcBorders>
              <w:left w:val="nil"/>
              <w:bottom w:val="single" w:sz="5" w:space="0" w:color="000000"/>
              <w:right w:val="nil"/>
            </w:tcBorders>
            <w:shd w:val="clear" w:color="auto" w:fill="auto"/>
            <w:tcMar>
              <w:top w:w="120" w:type="dxa"/>
              <w:left w:w="80" w:type="dxa"/>
              <w:bottom w:w="120" w:type="dxa"/>
              <w:right w:w="80" w:type="dxa"/>
            </w:tcMar>
            <w:vAlign w:val="center"/>
          </w:tcPr>
          <w:p w14:paraId="6D859E3E" w14:textId="77777777" w:rsidR="00296FE3" w:rsidRDefault="00000000">
            <w:pPr>
              <w:spacing w:line="360" w:lineRule="auto"/>
              <w:jc w:val="center"/>
            </w:pPr>
            <w:r>
              <w:t>.02397</w:t>
            </w:r>
          </w:p>
        </w:tc>
        <w:tc>
          <w:tcPr>
            <w:tcW w:w="2175" w:type="dxa"/>
            <w:gridSpan w:val="2"/>
            <w:tcBorders>
              <w:left w:val="nil"/>
              <w:bottom w:val="single" w:sz="5" w:space="0" w:color="000000"/>
              <w:right w:val="nil"/>
            </w:tcBorders>
            <w:shd w:val="clear" w:color="auto" w:fill="auto"/>
            <w:tcMar>
              <w:top w:w="20" w:type="dxa"/>
              <w:left w:w="20" w:type="dxa"/>
              <w:bottom w:w="20" w:type="dxa"/>
              <w:right w:w="20" w:type="dxa"/>
            </w:tcMar>
            <w:vAlign w:val="center"/>
          </w:tcPr>
          <w:p w14:paraId="3A14AA6F" w14:textId="77777777" w:rsidR="00296FE3" w:rsidRDefault="00000000">
            <w:pPr>
              <w:spacing w:line="360" w:lineRule="auto"/>
              <w:jc w:val="center"/>
            </w:pPr>
            <w:r>
              <w:t>.03494</w:t>
            </w:r>
          </w:p>
        </w:tc>
        <w:tc>
          <w:tcPr>
            <w:tcW w:w="2340" w:type="dxa"/>
            <w:gridSpan w:val="2"/>
            <w:tcBorders>
              <w:left w:val="nil"/>
              <w:bottom w:val="single" w:sz="5" w:space="0" w:color="000000"/>
              <w:right w:val="nil"/>
            </w:tcBorders>
            <w:shd w:val="clear" w:color="auto" w:fill="auto"/>
            <w:tcMar>
              <w:top w:w="20" w:type="dxa"/>
              <w:left w:w="20" w:type="dxa"/>
              <w:bottom w:w="20" w:type="dxa"/>
              <w:right w:w="20" w:type="dxa"/>
            </w:tcMar>
            <w:vAlign w:val="bottom"/>
          </w:tcPr>
          <w:p w14:paraId="45DB2C2E" w14:textId="77777777" w:rsidR="00296FE3" w:rsidRDefault="00000000">
            <w:pPr>
              <w:spacing w:line="360" w:lineRule="auto"/>
              <w:jc w:val="center"/>
            </w:pPr>
            <w:r>
              <w:t>.04361</w:t>
            </w:r>
          </w:p>
        </w:tc>
      </w:tr>
    </w:tbl>
    <w:p w14:paraId="5D301817" w14:textId="77777777" w:rsidR="00296FE3" w:rsidRDefault="00000000">
      <w:pPr>
        <w:spacing w:line="360" w:lineRule="auto"/>
        <w:jc w:val="both"/>
      </w:pPr>
      <w:r>
        <w:t xml:space="preserve">*** </w:t>
      </w:r>
      <w:r>
        <w:rPr>
          <w:i/>
        </w:rPr>
        <w:t>p</w:t>
      </w:r>
      <w:r>
        <w:t xml:space="preserve"> &lt;.001, ** </w:t>
      </w:r>
      <w:r>
        <w:rPr>
          <w:i/>
        </w:rPr>
        <w:t>p</w:t>
      </w:r>
      <w:r>
        <w:t xml:space="preserve"> &lt;.01, *</w:t>
      </w:r>
      <w:r>
        <w:rPr>
          <w:i/>
        </w:rPr>
        <w:t xml:space="preserve">p </w:t>
      </w:r>
      <w:r>
        <w:t>&lt; .05</w:t>
      </w:r>
    </w:p>
    <w:p w14:paraId="191911C2" w14:textId="77777777" w:rsidR="00296FE3" w:rsidRDefault="00296FE3">
      <w:pPr>
        <w:pBdr>
          <w:top w:val="nil"/>
          <w:left w:val="nil"/>
          <w:bottom w:val="nil"/>
          <w:right w:val="nil"/>
          <w:between w:val="nil"/>
        </w:pBdr>
        <w:spacing w:line="360" w:lineRule="auto"/>
        <w:jc w:val="both"/>
      </w:pPr>
    </w:p>
    <w:p w14:paraId="71CB0C6D" w14:textId="59C13D87" w:rsidR="00296FE3" w:rsidRDefault="00000000">
      <w:pPr>
        <w:spacing w:line="360" w:lineRule="auto"/>
        <w:ind w:firstLine="720"/>
        <w:jc w:val="both"/>
        <w:sectPr w:rsidR="00296FE3" w:rsidSect="004D063C">
          <w:headerReference w:type="even" r:id="rId9"/>
          <w:headerReference w:type="default" r:id="rId10"/>
          <w:footerReference w:type="even" r:id="rId11"/>
          <w:footerReference w:type="default" r:id="rId12"/>
          <w:pgSz w:w="12240" w:h="15840"/>
          <w:pgMar w:top="1417" w:right="1417" w:bottom="1417" w:left="1417" w:header="720" w:footer="720" w:gutter="0"/>
          <w:pgNumType w:start="1"/>
          <w:cols w:space="720"/>
        </w:sectPr>
      </w:pPr>
      <w:r>
        <w:t>Los resultados confirman una asociación entre la presencia del crimen organizado con la preocupación por la desigualdad (</w:t>
      </w:r>
      <w:r>
        <w:rPr>
          <w:i/>
        </w:rPr>
        <w:t xml:space="preserve">β </w:t>
      </w:r>
      <w:r>
        <w:rPr>
          <w:b/>
          <w:i/>
        </w:rPr>
        <w:t>=</w:t>
      </w:r>
      <w:r>
        <w:t xml:space="preserve"> -.533; </w:t>
      </w:r>
      <w:r>
        <w:rPr>
          <w:i/>
        </w:rPr>
        <w:t>p</w:t>
      </w:r>
      <w:r>
        <w:t xml:space="preserve"> = .007) siendo las personas que reportan contar con crimen organizado en su comunidad las que más se preocupan por la desigualdad. Además, se encontró una asociación también con la ideología política (</w:t>
      </w:r>
      <w:r>
        <w:rPr>
          <w:i/>
        </w:rPr>
        <w:t xml:space="preserve">β </w:t>
      </w:r>
      <w:r>
        <w:rPr>
          <w:b/>
          <w:i/>
        </w:rPr>
        <w:t>=</w:t>
      </w:r>
      <w:r>
        <w:t xml:space="preserve"> .107; </w:t>
      </w:r>
      <w:r>
        <w:rPr>
          <w:i/>
        </w:rPr>
        <w:t>p</w:t>
      </w:r>
      <w:r>
        <w:t xml:space="preserve"> = .003) siendo las personas más de derecha las que más se preocupan por la desigualdad; y con la edad (</w:t>
      </w:r>
      <w:r>
        <w:rPr>
          <w:i/>
        </w:rPr>
        <w:t xml:space="preserve">β </w:t>
      </w:r>
      <w:r>
        <w:rPr>
          <w:b/>
          <w:i/>
        </w:rPr>
        <w:t>=</w:t>
      </w:r>
      <w:r>
        <w:t xml:space="preserve"> .020; </w:t>
      </w:r>
      <w:r>
        <w:rPr>
          <w:i/>
        </w:rPr>
        <w:t>p</w:t>
      </w:r>
      <w:r>
        <w:t xml:space="preserve"> = .001), siendo las personas más jóvenes las que más se preocupan por la desigualdad. Además, se encontró que cada paso del modelo explica más varianza de la variable dependiente que el anterior,</w:t>
      </w:r>
      <w:r>
        <w:rPr>
          <w:i/>
        </w:rPr>
        <w:t xml:space="preserve"> F</w:t>
      </w:r>
      <w:r>
        <w:t xml:space="preserve"> = 7.2974 (694); </w:t>
      </w:r>
      <w:r>
        <w:rPr>
          <w:i/>
        </w:rPr>
        <w:t>p</w:t>
      </w:r>
      <w:r>
        <w:t xml:space="preserve"> = .007. Por último, de forma exploratoria, se probó si había una moderación de la presencia del crimen organizado y la edad (</w:t>
      </w:r>
      <w:r>
        <w:rPr>
          <w:i/>
        </w:rPr>
        <w:t>β =</w:t>
      </w:r>
      <w:r>
        <w:rPr>
          <w:b/>
          <w:i/>
        </w:rPr>
        <w:t xml:space="preserve"> </w:t>
      </w:r>
      <w:r>
        <w:t xml:space="preserve">-.04, </w:t>
      </w:r>
      <w:r>
        <w:rPr>
          <w:i/>
        </w:rPr>
        <w:t xml:space="preserve">p </w:t>
      </w:r>
      <w:r>
        <w:t>= .54) y de la presencia del crimen organizado y la ideología (</w:t>
      </w:r>
      <w:r>
        <w:rPr>
          <w:i/>
        </w:rPr>
        <w:t>β =</w:t>
      </w:r>
      <w:r>
        <w:rPr>
          <w:b/>
          <w:i/>
        </w:rPr>
        <w:t xml:space="preserve"> </w:t>
      </w:r>
      <w:r>
        <w:t xml:space="preserve">.005, </w:t>
      </w:r>
      <w:r>
        <w:rPr>
          <w:i/>
        </w:rPr>
        <w:t xml:space="preserve">p </w:t>
      </w:r>
      <w:r>
        <w:t>= .66). Sin embargo, ambos resultados fueron nulos (ver Tabla 2).</w:t>
      </w:r>
    </w:p>
    <w:p w14:paraId="15A8A058" w14:textId="77777777" w:rsidR="00296FE3" w:rsidRDefault="00296FE3">
      <w:pPr>
        <w:pBdr>
          <w:top w:val="nil"/>
          <w:left w:val="nil"/>
          <w:bottom w:val="nil"/>
          <w:right w:val="nil"/>
          <w:between w:val="nil"/>
        </w:pBdr>
        <w:spacing w:line="360" w:lineRule="auto"/>
        <w:jc w:val="both"/>
      </w:pPr>
    </w:p>
    <w:p w14:paraId="011C156E" w14:textId="77777777" w:rsidR="00296FE3" w:rsidRDefault="00000000">
      <w:pPr>
        <w:pBdr>
          <w:top w:val="nil"/>
          <w:left w:val="nil"/>
          <w:bottom w:val="nil"/>
          <w:right w:val="nil"/>
          <w:between w:val="nil"/>
        </w:pBdr>
        <w:spacing w:line="360" w:lineRule="auto"/>
        <w:jc w:val="center"/>
        <w:rPr>
          <w:sz w:val="28"/>
          <w:szCs w:val="28"/>
        </w:rPr>
      </w:pPr>
      <w:r>
        <w:rPr>
          <w:b/>
          <w:sz w:val="28"/>
          <w:szCs w:val="28"/>
        </w:rPr>
        <w:t>Discusión</w:t>
      </w:r>
    </w:p>
    <w:p w14:paraId="2D6EDF0D" w14:textId="77777777" w:rsidR="00296FE3" w:rsidRDefault="00000000">
      <w:pPr>
        <w:pBdr>
          <w:top w:val="nil"/>
          <w:left w:val="nil"/>
          <w:bottom w:val="nil"/>
          <w:right w:val="nil"/>
          <w:between w:val="nil"/>
        </w:pBdr>
        <w:spacing w:line="360" w:lineRule="auto"/>
        <w:ind w:firstLine="720"/>
        <w:jc w:val="both"/>
      </w:pPr>
      <w:r>
        <w:t>El presente estudio muestra que la presencia de crimen organizado en la comunidad se asocia a un aumento en la preocupación por la desigualdad económica en la población costarricense. La exposición constante a las dificultades económicas generadas por la desigualdad social, agravada por la presencia del crimen organizado, podría estar llevando a una mayor conciencia y sensibilización de la importancia de abordar la desigualdad en la búsqueda de mejorar la calidad de vida. Por lo tanto, se entiende que la presencia del crimen organizado parece actuar como un catalizador que intensifica la preocupación de la desigualdad económica, incitando a la población a buscar soluciones y mejoras en sus condiciones de vida.</w:t>
      </w:r>
    </w:p>
    <w:p w14:paraId="116FB125" w14:textId="77777777" w:rsidR="00296FE3" w:rsidRDefault="00000000">
      <w:pPr>
        <w:pBdr>
          <w:top w:val="nil"/>
          <w:left w:val="nil"/>
          <w:bottom w:val="nil"/>
          <w:right w:val="nil"/>
          <w:between w:val="nil"/>
        </w:pBdr>
        <w:spacing w:line="360" w:lineRule="auto"/>
        <w:ind w:firstLine="720"/>
        <w:jc w:val="both"/>
      </w:pPr>
      <w:r>
        <w:t>La pérdida del sentimiento de control y la disminución en la creencia de que el mundo es justo, podrían ser los mecanismos psicosociales que explican esta relación. El crimen organizado es una amenaza para la convivencia, el desarrollo personal y la vida. Una de las consecuencias de la amenaza de la criminalidad se encuentra en que las personas sienten una capacidad de control reducida a la hora de poder enfrentarla y una disminución en la creencia de que el mundo les puede ofrecer justicia (</w:t>
      </w:r>
      <w:proofErr w:type="spellStart"/>
      <w:r>
        <w:rPr>
          <w:highlight w:val="white"/>
        </w:rPr>
        <w:t>Soldano</w:t>
      </w:r>
      <w:proofErr w:type="spellEnd"/>
      <w:r>
        <w:rPr>
          <w:highlight w:val="white"/>
        </w:rPr>
        <w:t>, 2016</w:t>
      </w:r>
      <w:r>
        <w:t xml:space="preserve">). La literatura señala que las personas que perciben menos capacidad para intervenir sobre sus vidas y menos creencias de que el mundo es justo se preocupan más por la desigualdad económica porque enfatizan más en las atribuciones estructurales de la desigualdad (Aldama et al., 2021). De esta forma, la pérdida </w:t>
      </w:r>
      <w:proofErr w:type="gramStart"/>
      <w:r>
        <w:t>de  un</w:t>
      </w:r>
      <w:proofErr w:type="gramEnd"/>
      <w:r>
        <w:t xml:space="preserve"> sentimiento de control sobre la vida y la reducción de la creencia de que el entorno en el que se encuentran ofrece justicia, podrían ser los mecanismos que medien la relación entre la presencia del crimen organizado y la preocupación por la desigualdad económica. Esta interpretación teórica de los resultados deberá ser probada experimentalmente en futuros estudios.</w:t>
      </w:r>
    </w:p>
    <w:p w14:paraId="04EB98FF" w14:textId="77777777" w:rsidR="00296FE3" w:rsidRDefault="00000000">
      <w:pPr>
        <w:pBdr>
          <w:top w:val="nil"/>
          <w:left w:val="nil"/>
          <w:bottom w:val="nil"/>
          <w:right w:val="nil"/>
          <w:between w:val="nil"/>
        </w:pBdr>
        <w:spacing w:line="360" w:lineRule="auto"/>
        <w:ind w:firstLine="720"/>
        <w:jc w:val="both"/>
      </w:pPr>
      <w:r>
        <w:t>El estudio de las dinámicas que configuran la preocupación por la desigualdad en la población de América Latina es una discusión imperativa sobre todo por ser una de las regiones más desiguales en materia de ingresos (</w:t>
      </w:r>
      <w:proofErr w:type="spellStart"/>
      <w:r>
        <w:t>Busso</w:t>
      </w:r>
      <w:proofErr w:type="spellEnd"/>
      <w:r>
        <w:t xml:space="preserve"> y Messina, 2020). Lo anterior convoca a preguntarse por las afectaciones que estas brechas tienen en la vida de las personas y los elementos que inciden en la preocupación por sus condiciones de vida. En este estudio se logra identificar que el malestar subjetivo causado por la presencia de actividades delictivas en las comunidades se asocia con un aumento de la preocupación por la desigualdad.</w:t>
      </w:r>
    </w:p>
    <w:p w14:paraId="5D592179" w14:textId="77777777" w:rsidR="00296FE3" w:rsidRDefault="00000000">
      <w:pPr>
        <w:spacing w:line="360" w:lineRule="auto"/>
        <w:ind w:firstLine="720"/>
        <w:jc w:val="both"/>
        <w:rPr>
          <w:highlight w:val="white"/>
        </w:rPr>
      </w:pPr>
      <w:r>
        <w:lastRenderedPageBreak/>
        <w:t xml:space="preserve">Asimismo, los resultados señalan que a menor edad mayor preocupación por la desigualdad. Esto tiene sentido teniendo en cuenta como las personas menores experimentan un conjunto único de desafíos relacionados con la desigualdad de ingreso, </w:t>
      </w:r>
      <w:r>
        <w:rPr>
          <w:highlight w:val="white"/>
        </w:rPr>
        <w:t>angustia emocional y</w:t>
      </w:r>
      <w:r>
        <w:t xml:space="preserve"> el desempleo, lo cual puede influir en su percepción y experiencia de la desigualdad (</w:t>
      </w:r>
      <w:proofErr w:type="spellStart"/>
      <w:r>
        <w:rPr>
          <w:highlight w:val="white"/>
        </w:rPr>
        <w:t>Vilhjalmsdottir</w:t>
      </w:r>
      <w:proofErr w:type="spellEnd"/>
      <w:r>
        <w:rPr>
          <w:highlight w:val="white"/>
        </w:rPr>
        <w:t xml:space="preserve"> et al., 2016). Además, es crucial considerar cómo las experiencias acumulativas en las primeras etapas de la vida pueden moldear la perspectiva de las personas jóvenes, destacando la relevancia de los grupos de edad como herramienta para comprender las variaciones en la percepción de la desigualdad en distintas etapas de la vida.</w:t>
      </w:r>
    </w:p>
    <w:p w14:paraId="3F66154E" w14:textId="77777777" w:rsidR="00296FE3" w:rsidRDefault="00000000">
      <w:pPr>
        <w:spacing w:line="360" w:lineRule="auto"/>
        <w:ind w:firstLine="720"/>
        <w:jc w:val="both"/>
      </w:pPr>
      <w:r>
        <w:rPr>
          <w:highlight w:val="white"/>
        </w:rPr>
        <w:t>También se encontró que las personas más a la derecha en su orientación política más se preocupan por la desigualdad económica. Esto es un resultado que contradice la literatura previa que señala que las personas de izquierda perciben más desigualdad que las personas conservadoras (Son et al., 2019). Este resultado puede deberse a la “excepcionalidad” costarricense, en la cual los sectores más acomodados de la sociedad se preocupan más por la desigualdad económica porque esta les representa una amenaza a sus privilegios y a la estabilidad social (Robles-Rivera et al., 2023).</w:t>
      </w:r>
    </w:p>
    <w:p w14:paraId="4A4C3A89" w14:textId="77777777" w:rsidR="00296FE3" w:rsidRDefault="00000000">
      <w:pPr>
        <w:keepNext/>
        <w:spacing w:line="360" w:lineRule="auto"/>
        <w:ind w:firstLine="720"/>
        <w:jc w:val="both"/>
      </w:pPr>
      <w:r>
        <w:t>Las principales limitaciones del estudio son su carácter exploratorio, que sea correlacional y que el tamaño del efecto encontrado sea modesto. A pesar de que el efecto de la presencia de crimen organizado en la preocupación por la desigualdad sea pequeño, el hecho de ser controlado por diferentes variables sociodemográficas e ideológicas lo hacen consistente y destaca la complejidad de las interacciones entre factores subjetivos, sociales y delictivos. Para avanzar en esta agenda de investigación y las limitaciones encontradas, es necesario testear si el resultado se replica en diferentes países de la región y realizar investigaciones con diseños longitudinales y experimentales que puedan profundizar en los mecanismos psicosociales asociados a la desigualdad y la violencia.</w:t>
      </w:r>
    </w:p>
    <w:p w14:paraId="696E7481" w14:textId="77777777" w:rsidR="00296FE3" w:rsidRDefault="00000000">
      <w:pPr>
        <w:keepNext/>
        <w:spacing w:line="360" w:lineRule="auto"/>
        <w:ind w:firstLine="720"/>
        <w:jc w:val="both"/>
        <w:rPr>
          <w:highlight w:val="white"/>
        </w:rPr>
      </w:pPr>
      <w:r>
        <w:rPr>
          <w:highlight w:val="white"/>
        </w:rPr>
        <w:t>Este tipo de investigación proporciona una base valiosa para diseñar políticas públicas más efectivas, dirigidas a mejorar la calidad de vida y reducir la vulnerabilidad de las comunidades ante las actividades delictivas organizadas.</w:t>
      </w:r>
      <w:r>
        <w:t xml:space="preserve"> </w:t>
      </w:r>
      <w:r>
        <w:rPr>
          <w:highlight w:val="white"/>
        </w:rPr>
        <w:t xml:space="preserve">Para abordar eficazmente esta problemática, los formuladores de políticas públicas deben considerar estrategias que no solo abordan la seguridad pública, sino también que atiendan las raíces profundas de la desigualdad económica y social. Implementar programas de desarrollo comunitario, acceso a oportunidades educativas y laborales, </w:t>
      </w:r>
      <w:r>
        <w:rPr>
          <w:highlight w:val="white"/>
        </w:rPr>
        <w:lastRenderedPageBreak/>
        <w:t>así como medidas para reducir la brecha entre ricos y pobres, puede contribuir a crear entornos de mayor bienestar.</w:t>
      </w:r>
    </w:p>
    <w:p w14:paraId="4D7877CB" w14:textId="619CDC6D" w:rsidR="00296FE3" w:rsidRDefault="00000000">
      <w:pPr>
        <w:spacing w:line="360" w:lineRule="auto"/>
        <w:ind w:firstLine="720"/>
        <w:jc w:val="both"/>
      </w:pPr>
      <w:r>
        <w:t xml:space="preserve">Este hallazgo proporciona una base empírica para la comprensión de cómo </w:t>
      </w:r>
      <w:r w:rsidR="00326A04">
        <w:t>la presencia de actividades delictivas organizadas puede</w:t>
      </w:r>
      <w:r>
        <w:t xml:space="preserve"> influir en la percepción y la conciencia social respecto a la desigualdad. La actividad criminal y la violencia en América Latina producen consecuencias psicosociales en las personas de la región. A partir de la profundización en el conocimiento del tema se deberán promocionar políticas públicas basadas en la evidencia que aspiren a mejorar la calidad de vida de quienes ven sus vidas trastocadas por la </w:t>
      </w:r>
      <w:r w:rsidR="00326A04">
        <w:t>presencia de</w:t>
      </w:r>
      <w:r>
        <w:t xml:space="preserve"> crimen organizado en su cotidianidad.</w:t>
      </w:r>
    </w:p>
    <w:p w14:paraId="2198750C" w14:textId="77777777" w:rsidR="00296FE3" w:rsidRDefault="00296FE3">
      <w:pPr>
        <w:spacing w:line="360" w:lineRule="auto"/>
        <w:ind w:firstLine="720"/>
        <w:jc w:val="both"/>
      </w:pPr>
    </w:p>
    <w:p w14:paraId="70CF2014" w14:textId="77777777" w:rsidR="00296FE3" w:rsidRDefault="00000000">
      <w:pPr>
        <w:pBdr>
          <w:top w:val="nil"/>
          <w:left w:val="nil"/>
          <w:bottom w:val="nil"/>
          <w:right w:val="nil"/>
          <w:between w:val="nil"/>
        </w:pBdr>
        <w:spacing w:line="360" w:lineRule="auto"/>
        <w:jc w:val="center"/>
        <w:rPr>
          <w:sz w:val="28"/>
          <w:szCs w:val="28"/>
        </w:rPr>
      </w:pPr>
      <w:r>
        <w:rPr>
          <w:b/>
          <w:sz w:val="28"/>
          <w:szCs w:val="28"/>
        </w:rPr>
        <w:t>Conflicto de interés</w:t>
      </w:r>
    </w:p>
    <w:p w14:paraId="550E8D7C" w14:textId="77777777" w:rsidR="00296FE3" w:rsidRDefault="00000000" w:rsidP="00326668">
      <w:pPr>
        <w:spacing w:line="360" w:lineRule="auto"/>
        <w:jc w:val="both"/>
      </w:pPr>
      <w:r>
        <w:t>No se presentó ningún conflicto de interés en esta investigación.</w:t>
      </w:r>
    </w:p>
    <w:p w14:paraId="2A56AF61" w14:textId="77777777" w:rsidR="00296FE3" w:rsidRDefault="00296FE3">
      <w:pPr>
        <w:spacing w:line="360" w:lineRule="auto"/>
        <w:ind w:firstLine="720"/>
      </w:pPr>
    </w:p>
    <w:p w14:paraId="5A92F434" w14:textId="29C13D27" w:rsidR="00296FE3" w:rsidRDefault="00E128B6" w:rsidP="00E128B6">
      <w:pPr>
        <w:pBdr>
          <w:top w:val="nil"/>
          <w:left w:val="nil"/>
          <w:bottom w:val="nil"/>
          <w:right w:val="nil"/>
          <w:between w:val="nil"/>
        </w:pBdr>
        <w:spacing w:line="360" w:lineRule="auto"/>
        <w:jc w:val="center"/>
        <w:rPr>
          <w:b/>
          <w:sz w:val="28"/>
          <w:szCs w:val="28"/>
        </w:rPr>
      </w:pPr>
      <w:r w:rsidRPr="00E128B6">
        <w:rPr>
          <w:b/>
          <w:sz w:val="28"/>
          <w:szCs w:val="28"/>
        </w:rPr>
        <w:t>Financiamiento</w:t>
      </w:r>
    </w:p>
    <w:p w14:paraId="2D780976" w14:textId="5F3FBF30" w:rsidR="00E128B6" w:rsidRPr="00E128B6" w:rsidRDefault="00E128B6" w:rsidP="00E128B6">
      <w:pPr>
        <w:pBdr>
          <w:top w:val="nil"/>
          <w:left w:val="nil"/>
          <w:bottom w:val="nil"/>
          <w:right w:val="nil"/>
          <w:between w:val="nil"/>
        </w:pBdr>
        <w:spacing w:line="360" w:lineRule="auto"/>
        <w:rPr>
          <w:bCs/>
        </w:rPr>
      </w:pPr>
      <w:r>
        <w:rPr>
          <w:bCs/>
        </w:rPr>
        <w:t xml:space="preserve">Este artículo contó con apoyo de la Vicerrectoría de Investigación de la Universidad de Costa Rica para los proyectos 540-C3-162 de la Sede de Occidente y el proyecto 723-C4-004 del Instituto de Investigaciones Psicológicas. Además, contó con apoyo del Centro de Estudios de Conflicto y Cohesión Social (COES), Chile (ANID/FONDAP/1523A0005). </w:t>
      </w:r>
    </w:p>
    <w:p w14:paraId="03344E62" w14:textId="77777777" w:rsidR="00E128B6" w:rsidRDefault="00E128B6" w:rsidP="00E128B6">
      <w:pPr>
        <w:pBdr>
          <w:top w:val="nil"/>
          <w:left w:val="nil"/>
          <w:bottom w:val="nil"/>
          <w:right w:val="nil"/>
          <w:between w:val="nil"/>
        </w:pBdr>
        <w:spacing w:line="360" w:lineRule="auto"/>
        <w:rPr>
          <w:b/>
          <w:sz w:val="28"/>
          <w:szCs w:val="28"/>
        </w:rPr>
      </w:pPr>
    </w:p>
    <w:p w14:paraId="57818FC4" w14:textId="77777777" w:rsidR="00E128B6" w:rsidRDefault="00E128B6" w:rsidP="00E128B6">
      <w:pPr>
        <w:pBdr>
          <w:top w:val="nil"/>
          <w:left w:val="nil"/>
          <w:bottom w:val="nil"/>
          <w:right w:val="nil"/>
          <w:between w:val="nil"/>
        </w:pBdr>
        <w:spacing w:line="360" w:lineRule="auto"/>
        <w:rPr>
          <w:b/>
          <w:sz w:val="28"/>
          <w:szCs w:val="28"/>
        </w:rPr>
      </w:pPr>
    </w:p>
    <w:p w14:paraId="4AD8CA0D" w14:textId="77777777" w:rsidR="00326668" w:rsidRDefault="00326668" w:rsidP="00E128B6">
      <w:pPr>
        <w:pBdr>
          <w:top w:val="nil"/>
          <w:left w:val="nil"/>
          <w:bottom w:val="nil"/>
          <w:right w:val="nil"/>
          <w:between w:val="nil"/>
        </w:pBdr>
        <w:spacing w:line="360" w:lineRule="auto"/>
        <w:rPr>
          <w:b/>
          <w:sz w:val="28"/>
          <w:szCs w:val="28"/>
        </w:rPr>
      </w:pPr>
    </w:p>
    <w:p w14:paraId="2C67965A" w14:textId="77777777" w:rsidR="00326668" w:rsidRDefault="00326668" w:rsidP="00E128B6">
      <w:pPr>
        <w:pBdr>
          <w:top w:val="nil"/>
          <w:left w:val="nil"/>
          <w:bottom w:val="nil"/>
          <w:right w:val="nil"/>
          <w:between w:val="nil"/>
        </w:pBdr>
        <w:spacing w:line="360" w:lineRule="auto"/>
        <w:rPr>
          <w:b/>
          <w:sz w:val="28"/>
          <w:szCs w:val="28"/>
        </w:rPr>
      </w:pPr>
    </w:p>
    <w:p w14:paraId="1BFCAF4A" w14:textId="77777777" w:rsidR="00326668" w:rsidRDefault="00326668" w:rsidP="00E128B6">
      <w:pPr>
        <w:pBdr>
          <w:top w:val="nil"/>
          <w:left w:val="nil"/>
          <w:bottom w:val="nil"/>
          <w:right w:val="nil"/>
          <w:between w:val="nil"/>
        </w:pBdr>
        <w:spacing w:line="360" w:lineRule="auto"/>
        <w:rPr>
          <w:b/>
          <w:sz w:val="28"/>
          <w:szCs w:val="28"/>
        </w:rPr>
      </w:pPr>
    </w:p>
    <w:p w14:paraId="16FF2E4C" w14:textId="77777777" w:rsidR="00326668" w:rsidRDefault="00326668" w:rsidP="00E128B6">
      <w:pPr>
        <w:pBdr>
          <w:top w:val="nil"/>
          <w:left w:val="nil"/>
          <w:bottom w:val="nil"/>
          <w:right w:val="nil"/>
          <w:between w:val="nil"/>
        </w:pBdr>
        <w:spacing w:line="360" w:lineRule="auto"/>
        <w:rPr>
          <w:b/>
          <w:sz w:val="28"/>
          <w:szCs w:val="28"/>
        </w:rPr>
      </w:pPr>
    </w:p>
    <w:p w14:paraId="4D4642BF" w14:textId="77777777" w:rsidR="00326668" w:rsidRDefault="00326668" w:rsidP="00E128B6">
      <w:pPr>
        <w:pBdr>
          <w:top w:val="nil"/>
          <w:left w:val="nil"/>
          <w:bottom w:val="nil"/>
          <w:right w:val="nil"/>
          <w:between w:val="nil"/>
        </w:pBdr>
        <w:spacing w:line="360" w:lineRule="auto"/>
        <w:rPr>
          <w:b/>
          <w:sz w:val="28"/>
          <w:szCs w:val="28"/>
        </w:rPr>
      </w:pPr>
    </w:p>
    <w:p w14:paraId="6C8FAC41" w14:textId="77777777" w:rsidR="00326668" w:rsidRDefault="00326668" w:rsidP="00E128B6">
      <w:pPr>
        <w:pBdr>
          <w:top w:val="nil"/>
          <w:left w:val="nil"/>
          <w:bottom w:val="nil"/>
          <w:right w:val="nil"/>
          <w:between w:val="nil"/>
        </w:pBdr>
        <w:spacing w:line="360" w:lineRule="auto"/>
        <w:rPr>
          <w:b/>
          <w:sz w:val="28"/>
          <w:szCs w:val="28"/>
        </w:rPr>
      </w:pPr>
    </w:p>
    <w:p w14:paraId="72613A09" w14:textId="77777777" w:rsidR="00326668" w:rsidRDefault="00326668" w:rsidP="00E128B6">
      <w:pPr>
        <w:pBdr>
          <w:top w:val="nil"/>
          <w:left w:val="nil"/>
          <w:bottom w:val="nil"/>
          <w:right w:val="nil"/>
          <w:between w:val="nil"/>
        </w:pBdr>
        <w:spacing w:line="360" w:lineRule="auto"/>
        <w:rPr>
          <w:b/>
          <w:sz w:val="28"/>
          <w:szCs w:val="28"/>
        </w:rPr>
      </w:pPr>
    </w:p>
    <w:p w14:paraId="6C0A3A42" w14:textId="77777777" w:rsidR="00326668" w:rsidRDefault="00326668" w:rsidP="00E128B6">
      <w:pPr>
        <w:pBdr>
          <w:top w:val="nil"/>
          <w:left w:val="nil"/>
          <w:bottom w:val="nil"/>
          <w:right w:val="nil"/>
          <w:between w:val="nil"/>
        </w:pBdr>
        <w:spacing w:line="360" w:lineRule="auto"/>
        <w:rPr>
          <w:b/>
          <w:sz w:val="28"/>
          <w:szCs w:val="28"/>
        </w:rPr>
      </w:pPr>
    </w:p>
    <w:p w14:paraId="7B366126" w14:textId="77777777" w:rsidR="00326668" w:rsidRPr="00E128B6" w:rsidRDefault="00326668" w:rsidP="00E128B6">
      <w:pPr>
        <w:pBdr>
          <w:top w:val="nil"/>
          <w:left w:val="nil"/>
          <w:bottom w:val="nil"/>
          <w:right w:val="nil"/>
          <w:between w:val="nil"/>
        </w:pBdr>
        <w:spacing w:line="360" w:lineRule="auto"/>
        <w:rPr>
          <w:b/>
          <w:sz w:val="28"/>
          <w:szCs w:val="28"/>
        </w:rPr>
      </w:pPr>
    </w:p>
    <w:p w14:paraId="52AF522B" w14:textId="77777777" w:rsidR="00296FE3" w:rsidRPr="00E128B6" w:rsidRDefault="00000000">
      <w:pPr>
        <w:pBdr>
          <w:top w:val="nil"/>
          <w:left w:val="nil"/>
          <w:bottom w:val="nil"/>
          <w:right w:val="nil"/>
          <w:between w:val="nil"/>
        </w:pBdr>
        <w:spacing w:line="360" w:lineRule="auto"/>
        <w:jc w:val="center"/>
        <w:rPr>
          <w:i/>
          <w:sz w:val="20"/>
          <w:szCs w:val="20"/>
          <w:lang w:val="es-CR"/>
        </w:rPr>
      </w:pPr>
      <w:r w:rsidRPr="00E128B6">
        <w:rPr>
          <w:b/>
          <w:color w:val="000000"/>
          <w:sz w:val="28"/>
          <w:szCs w:val="28"/>
          <w:lang w:val="es-CR"/>
        </w:rPr>
        <w:lastRenderedPageBreak/>
        <w:t>Referencias</w:t>
      </w:r>
    </w:p>
    <w:p w14:paraId="2AF02F50" w14:textId="77777777" w:rsidR="00296FE3" w:rsidRPr="00326A04" w:rsidRDefault="00000000">
      <w:pPr>
        <w:spacing w:line="360" w:lineRule="auto"/>
        <w:ind w:left="720" w:hanging="720"/>
        <w:jc w:val="both"/>
        <w:rPr>
          <w:highlight w:val="white"/>
          <w:lang w:val="en-US"/>
        </w:rPr>
      </w:pPr>
      <w:r w:rsidRPr="00326A04">
        <w:rPr>
          <w:highlight w:val="white"/>
          <w:lang w:val="en-US"/>
        </w:rPr>
        <w:t xml:space="preserve">Aldama, A., Bicchieri, C., Freundt, J., </w:t>
      </w:r>
      <w:proofErr w:type="spellStart"/>
      <w:r w:rsidRPr="00326A04">
        <w:rPr>
          <w:highlight w:val="white"/>
          <w:lang w:val="en-US"/>
        </w:rPr>
        <w:t>Mellers</w:t>
      </w:r>
      <w:proofErr w:type="spellEnd"/>
      <w:r w:rsidRPr="00326A04">
        <w:rPr>
          <w:highlight w:val="white"/>
          <w:lang w:val="en-US"/>
        </w:rPr>
        <w:t xml:space="preserve">, B., &amp; Peters, E. (2021). How perceptions of autonomy relate to beliefs about inequality and fairness. </w:t>
      </w:r>
      <w:r w:rsidRPr="00326A04">
        <w:rPr>
          <w:i/>
          <w:highlight w:val="white"/>
          <w:lang w:val="en-US"/>
        </w:rPr>
        <w:t>PLOS ONE, 16</w:t>
      </w:r>
      <w:r w:rsidRPr="00326A04">
        <w:rPr>
          <w:highlight w:val="white"/>
          <w:lang w:val="en-US"/>
        </w:rPr>
        <w:t xml:space="preserve">(1). https://doi.org/10.1371/journal.pone.0244387 </w:t>
      </w:r>
    </w:p>
    <w:p w14:paraId="5B53D4EC" w14:textId="77777777" w:rsidR="00296FE3" w:rsidRPr="00326A04" w:rsidRDefault="00000000">
      <w:pPr>
        <w:spacing w:line="360" w:lineRule="auto"/>
        <w:ind w:left="720" w:hanging="720"/>
        <w:jc w:val="both"/>
        <w:rPr>
          <w:lang w:val="en-US"/>
        </w:rPr>
      </w:pPr>
      <w:r w:rsidRPr="00326A04">
        <w:rPr>
          <w:highlight w:val="white"/>
          <w:lang w:val="en-US"/>
        </w:rPr>
        <w:t xml:space="preserve">Alexander, D. &amp; Klein, S. (2009). Kidnapping and hostage-taking: a review of effects, coping and resilience. </w:t>
      </w:r>
      <w:r w:rsidRPr="00326A04">
        <w:rPr>
          <w:i/>
          <w:highlight w:val="white"/>
          <w:lang w:val="en-US"/>
        </w:rPr>
        <w:t xml:space="preserve">Journal of the Royal Society of Medicine, </w:t>
      </w:r>
      <w:r w:rsidRPr="00326A04">
        <w:rPr>
          <w:highlight w:val="white"/>
          <w:lang w:val="en-US"/>
        </w:rPr>
        <w:t xml:space="preserve">102, 16-21. http://dx.doi.org/10.1258/jrsm.2008.080347 </w:t>
      </w:r>
    </w:p>
    <w:p w14:paraId="3A1C38CD" w14:textId="77777777" w:rsidR="00296FE3" w:rsidRPr="00326A04" w:rsidRDefault="00000000">
      <w:pPr>
        <w:spacing w:line="360" w:lineRule="auto"/>
        <w:ind w:left="720" w:hanging="720"/>
        <w:jc w:val="both"/>
        <w:rPr>
          <w:highlight w:val="white"/>
          <w:lang w:val="en-US"/>
        </w:rPr>
      </w:pPr>
      <w:r>
        <w:rPr>
          <w:highlight w:val="white"/>
        </w:rPr>
        <w:t xml:space="preserve">Almanza, A., </w:t>
      </w:r>
      <w:proofErr w:type="spellStart"/>
      <w:r>
        <w:rPr>
          <w:highlight w:val="white"/>
        </w:rPr>
        <w:t>Caceres</w:t>
      </w:r>
      <w:proofErr w:type="spellEnd"/>
      <w:r>
        <w:rPr>
          <w:highlight w:val="white"/>
        </w:rPr>
        <w:t xml:space="preserve">, S., &amp; </w:t>
      </w:r>
      <w:proofErr w:type="spellStart"/>
      <w:r>
        <w:rPr>
          <w:highlight w:val="white"/>
        </w:rPr>
        <w:t>Gomez</w:t>
      </w:r>
      <w:proofErr w:type="spellEnd"/>
      <w:r>
        <w:rPr>
          <w:highlight w:val="white"/>
        </w:rPr>
        <w:t xml:space="preserve">, A. (2020). Proceso de tratamiento a víctimas del crimen organizado: Un estudio cualitativo centrado en la experiencia de psicólogos clínicos. </w:t>
      </w:r>
      <w:proofErr w:type="spellStart"/>
      <w:r w:rsidRPr="00326A04">
        <w:rPr>
          <w:i/>
          <w:highlight w:val="white"/>
          <w:lang w:val="en-US"/>
        </w:rPr>
        <w:t>Interdisciplinaria</w:t>
      </w:r>
      <w:proofErr w:type="spellEnd"/>
      <w:r w:rsidRPr="00326A04">
        <w:rPr>
          <w:highlight w:val="white"/>
          <w:lang w:val="en-US"/>
        </w:rPr>
        <w:t xml:space="preserve">, </w:t>
      </w:r>
      <w:r w:rsidRPr="00326A04">
        <w:rPr>
          <w:i/>
          <w:highlight w:val="white"/>
          <w:lang w:val="en-US"/>
        </w:rPr>
        <w:t>37</w:t>
      </w:r>
      <w:r w:rsidRPr="00326A04">
        <w:rPr>
          <w:highlight w:val="white"/>
          <w:lang w:val="en-US"/>
        </w:rPr>
        <w:t xml:space="preserve">(1), 27-28. https://doi.org/10.16888/interd.2020.37.1.14 </w:t>
      </w:r>
    </w:p>
    <w:p w14:paraId="67BBECDB" w14:textId="77777777" w:rsidR="00296FE3" w:rsidRPr="00326A04" w:rsidRDefault="00000000" w:rsidP="00326A04">
      <w:pPr>
        <w:spacing w:line="360" w:lineRule="auto"/>
        <w:ind w:left="720" w:hanging="720"/>
        <w:jc w:val="both"/>
        <w:rPr>
          <w:highlight w:val="white"/>
          <w:lang w:val="en-US"/>
        </w:rPr>
      </w:pPr>
      <w:r w:rsidRPr="00326A04">
        <w:rPr>
          <w:highlight w:val="white"/>
          <w:lang w:val="en-US"/>
        </w:rPr>
        <w:t xml:space="preserve">Bailey, N., Gannon, M., Kearns, A., Livingston, M., &amp; Leyland, A. (2013). Living Apart, Losing Sympathy? How </w:t>
      </w:r>
      <w:proofErr w:type="spellStart"/>
      <w:r w:rsidRPr="00326A04">
        <w:rPr>
          <w:highlight w:val="white"/>
          <w:lang w:val="en-US"/>
        </w:rPr>
        <w:t>Neighbourhood</w:t>
      </w:r>
      <w:proofErr w:type="spellEnd"/>
      <w:r w:rsidRPr="00326A04">
        <w:rPr>
          <w:highlight w:val="white"/>
          <w:lang w:val="en-US"/>
        </w:rPr>
        <w:t xml:space="preserve"> Context Affects Attitudes to Redistribution and to Welfare Recipients. </w:t>
      </w:r>
      <w:r w:rsidRPr="00326A04">
        <w:rPr>
          <w:i/>
          <w:highlight w:val="white"/>
          <w:lang w:val="en-US"/>
        </w:rPr>
        <w:t xml:space="preserve">Environment And Planning A: Economy </w:t>
      </w:r>
      <w:proofErr w:type="gramStart"/>
      <w:r w:rsidRPr="00326A04">
        <w:rPr>
          <w:i/>
          <w:highlight w:val="white"/>
          <w:lang w:val="en-US"/>
        </w:rPr>
        <w:t>And</w:t>
      </w:r>
      <w:proofErr w:type="gramEnd"/>
      <w:r w:rsidRPr="00326A04">
        <w:rPr>
          <w:i/>
          <w:highlight w:val="white"/>
          <w:lang w:val="en-US"/>
        </w:rPr>
        <w:t xml:space="preserve"> Space</w:t>
      </w:r>
      <w:r w:rsidRPr="00326A04">
        <w:rPr>
          <w:highlight w:val="white"/>
          <w:lang w:val="en-US"/>
        </w:rPr>
        <w:t xml:space="preserve">, </w:t>
      </w:r>
      <w:r w:rsidRPr="00326A04">
        <w:rPr>
          <w:i/>
          <w:highlight w:val="white"/>
          <w:lang w:val="en-US"/>
        </w:rPr>
        <w:t>45</w:t>
      </w:r>
      <w:r w:rsidRPr="00326A04">
        <w:rPr>
          <w:highlight w:val="white"/>
          <w:lang w:val="en-US"/>
        </w:rPr>
        <w:t>(9), 2154-2175. https://doi.org/10.1068/a45641</w:t>
      </w:r>
    </w:p>
    <w:p w14:paraId="2F7A8C57" w14:textId="7872B29F" w:rsidR="00296FE3" w:rsidRPr="00326A04" w:rsidRDefault="00000000" w:rsidP="00326A04">
      <w:pPr>
        <w:spacing w:line="360" w:lineRule="auto"/>
        <w:ind w:left="720" w:hanging="720"/>
        <w:jc w:val="both"/>
        <w:rPr>
          <w:highlight w:val="white"/>
          <w:lang w:val="en-US"/>
        </w:rPr>
      </w:pPr>
      <w:r w:rsidRPr="00326A04">
        <w:rPr>
          <w:highlight w:val="white"/>
          <w:lang w:val="en-US"/>
        </w:rPr>
        <w:t xml:space="preserve">Barrett, A. (2003). Socioeconomic status and age identity: the role of dimensions of health in the subjective construction of age. </w:t>
      </w:r>
      <w:r w:rsidRPr="00326A04">
        <w:rPr>
          <w:i/>
          <w:highlight w:val="white"/>
          <w:lang w:val="en-US"/>
        </w:rPr>
        <w:t xml:space="preserve">The journals of gerontology. Series B, Psychological </w:t>
      </w:r>
      <w:proofErr w:type="gramStart"/>
      <w:r w:rsidRPr="00326A04">
        <w:rPr>
          <w:i/>
          <w:highlight w:val="white"/>
          <w:lang w:val="en-US"/>
        </w:rPr>
        <w:t>sciences</w:t>
      </w:r>
      <w:proofErr w:type="gramEnd"/>
      <w:r w:rsidRPr="00326A04">
        <w:rPr>
          <w:i/>
          <w:highlight w:val="white"/>
          <w:lang w:val="en-US"/>
        </w:rPr>
        <w:t xml:space="preserve"> and social sciences, 58(2)</w:t>
      </w:r>
      <w:r w:rsidRPr="00326A04">
        <w:rPr>
          <w:highlight w:val="white"/>
          <w:lang w:val="en-US"/>
        </w:rPr>
        <w:t xml:space="preserve">, S101-9. https://doi.org/10.1093/GERONB/58.2.S101 </w:t>
      </w:r>
    </w:p>
    <w:p w14:paraId="0B66A5F9" w14:textId="77777777" w:rsidR="00296FE3" w:rsidRDefault="00000000">
      <w:pPr>
        <w:spacing w:line="360" w:lineRule="auto"/>
        <w:ind w:left="720" w:hanging="720"/>
        <w:jc w:val="both"/>
        <w:rPr>
          <w:highlight w:val="white"/>
        </w:rPr>
      </w:pPr>
      <w:r>
        <w:rPr>
          <w:highlight w:val="white"/>
        </w:rPr>
        <w:t xml:space="preserve">Bergman, M. (2023). </w:t>
      </w:r>
      <w:r>
        <w:rPr>
          <w:i/>
          <w:highlight w:val="white"/>
        </w:rPr>
        <w:t>El negocio del crimen: El crecimiento del delito, los mercados ilegales y la violencia en América Latina</w:t>
      </w:r>
      <w:r>
        <w:rPr>
          <w:highlight w:val="white"/>
        </w:rPr>
        <w:t>. Fondo de Cultura Económica Argentina.</w:t>
      </w:r>
    </w:p>
    <w:p w14:paraId="7BF9F60E" w14:textId="77777777" w:rsidR="00296FE3" w:rsidRPr="00326A04" w:rsidRDefault="00000000">
      <w:pPr>
        <w:spacing w:line="360" w:lineRule="auto"/>
        <w:ind w:left="720" w:hanging="720"/>
        <w:jc w:val="both"/>
        <w:rPr>
          <w:highlight w:val="white"/>
          <w:lang w:val="en-US"/>
        </w:rPr>
      </w:pPr>
      <w:r>
        <w:rPr>
          <w:color w:val="222222"/>
          <w:highlight w:val="white"/>
        </w:rPr>
        <w:t xml:space="preserve">Burgos, J., &amp; Tudela, P. (2001). Seguridad ciudadana en Chile: Los desafíos de la participación y la modernización para una política pública. </w:t>
      </w:r>
      <w:proofErr w:type="spellStart"/>
      <w:r w:rsidRPr="00326A04">
        <w:rPr>
          <w:i/>
          <w:color w:val="222222"/>
          <w:highlight w:val="white"/>
          <w:lang w:val="en-US"/>
        </w:rPr>
        <w:t>Seguridad</w:t>
      </w:r>
      <w:proofErr w:type="spellEnd"/>
      <w:r w:rsidRPr="00326A04">
        <w:rPr>
          <w:i/>
          <w:color w:val="222222"/>
          <w:highlight w:val="white"/>
          <w:lang w:val="en-US"/>
        </w:rPr>
        <w:t xml:space="preserve"> </w:t>
      </w:r>
      <w:proofErr w:type="spellStart"/>
      <w:r w:rsidRPr="00326A04">
        <w:rPr>
          <w:i/>
          <w:color w:val="222222"/>
          <w:highlight w:val="white"/>
          <w:lang w:val="en-US"/>
        </w:rPr>
        <w:t>ciudadana</w:t>
      </w:r>
      <w:proofErr w:type="spellEnd"/>
      <w:r w:rsidRPr="00326A04">
        <w:rPr>
          <w:i/>
          <w:color w:val="222222"/>
          <w:highlight w:val="white"/>
          <w:lang w:val="en-US"/>
        </w:rPr>
        <w:t>, ¿</w:t>
      </w:r>
      <w:proofErr w:type="spellStart"/>
      <w:r w:rsidRPr="00326A04">
        <w:rPr>
          <w:i/>
          <w:color w:val="222222"/>
          <w:highlight w:val="white"/>
          <w:lang w:val="en-US"/>
        </w:rPr>
        <w:t>espejismo</w:t>
      </w:r>
      <w:proofErr w:type="spellEnd"/>
      <w:r w:rsidRPr="00326A04">
        <w:rPr>
          <w:i/>
          <w:color w:val="222222"/>
          <w:highlight w:val="white"/>
          <w:lang w:val="en-US"/>
        </w:rPr>
        <w:t xml:space="preserve"> o </w:t>
      </w:r>
      <w:proofErr w:type="spellStart"/>
      <w:proofErr w:type="gramStart"/>
      <w:r w:rsidRPr="00326A04">
        <w:rPr>
          <w:i/>
          <w:color w:val="222222"/>
          <w:highlight w:val="white"/>
          <w:lang w:val="en-US"/>
        </w:rPr>
        <w:t>realidad</w:t>
      </w:r>
      <w:proofErr w:type="spellEnd"/>
      <w:r w:rsidRPr="00326A04">
        <w:rPr>
          <w:i/>
          <w:color w:val="222222"/>
          <w:highlight w:val="white"/>
          <w:lang w:val="en-US"/>
        </w:rPr>
        <w:t>?</w:t>
      </w:r>
      <w:r w:rsidRPr="00326A04">
        <w:rPr>
          <w:color w:val="222222"/>
          <w:highlight w:val="white"/>
          <w:lang w:val="en-US"/>
        </w:rPr>
        <w:t>,</w:t>
      </w:r>
      <w:proofErr w:type="gramEnd"/>
      <w:r w:rsidRPr="00326A04">
        <w:rPr>
          <w:color w:val="222222"/>
          <w:highlight w:val="white"/>
          <w:lang w:val="en-US"/>
        </w:rPr>
        <w:t xml:space="preserve"> </w:t>
      </w:r>
      <w:r w:rsidRPr="00326A04">
        <w:rPr>
          <w:i/>
          <w:color w:val="222222"/>
          <w:highlight w:val="white"/>
          <w:lang w:val="en-US"/>
        </w:rPr>
        <w:t>39</w:t>
      </w:r>
      <w:r w:rsidRPr="00326A04">
        <w:rPr>
          <w:color w:val="222222"/>
          <w:highlight w:val="white"/>
          <w:lang w:val="en-US"/>
        </w:rPr>
        <w:t>, 475.</w:t>
      </w:r>
    </w:p>
    <w:p w14:paraId="3F61648E" w14:textId="77777777" w:rsidR="00296FE3" w:rsidRPr="00326A04" w:rsidRDefault="00000000" w:rsidP="00326A04">
      <w:pPr>
        <w:spacing w:line="360" w:lineRule="auto"/>
        <w:ind w:left="720" w:hanging="720"/>
        <w:jc w:val="both"/>
        <w:rPr>
          <w:highlight w:val="white"/>
          <w:lang w:val="en-US"/>
        </w:rPr>
      </w:pPr>
      <w:proofErr w:type="spellStart"/>
      <w:r w:rsidRPr="00326A04">
        <w:rPr>
          <w:highlight w:val="white"/>
          <w:lang w:val="en-US"/>
        </w:rPr>
        <w:t>Bussolo</w:t>
      </w:r>
      <w:proofErr w:type="spellEnd"/>
      <w:r w:rsidRPr="00326A04">
        <w:rPr>
          <w:highlight w:val="white"/>
          <w:lang w:val="en-US"/>
        </w:rPr>
        <w:t xml:space="preserve">, M., Ferrer-I-Carbonell, A., Giolbas, A., &amp; Torre, I. (2021). I Perceive Therefore I Demand: The Formation of Inequality Perceptions and Demand for Redistribution. </w:t>
      </w:r>
      <w:r w:rsidRPr="00326A04">
        <w:rPr>
          <w:i/>
          <w:highlight w:val="white"/>
          <w:lang w:val="en-US"/>
        </w:rPr>
        <w:t xml:space="preserve">The Review </w:t>
      </w:r>
      <w:proofErr w:type="gramStart"/>
      <w:r w:rsidRPr="00326A04">
        <w:rPr>
          <w:i/>
          <w:highlight w:val="white"/>
          <w:lang w:val="en-US"/>
        </w:rPr>
        <w:t>Of</w:t>
      </w:r>
      <w:proofErr w:type="gramEnd"/>
      <w:r w:rsidRPr="00326A04">
        <w:rPr>
          <w:i/>
          <w:highlight w:val="white"/>
          <w:lang w:val="en-US"/>
        </w:rPr>
        <w:t xml:space="preserve"> Income And Wealth</w:t>
      </w:r>
      <w:r w:rsidRPr="00326A04">
        <w:rPr>
          <w:highlight w:val="white"/>
          <w:lang w:val="en-US"/>
        </w:rPr>
        <w:t xml:space="preserve">, </w:t>
      </w:r>
      <w:r w:rsidRPr="00326A04">
        <w:rPr>
          <w:i/>
          <w:highlight w:val="white"/>
          <w:lang w:val="en-US"/>
        </w:rPr>
        <w:t>67</w:t>
      </w:r>
      <w:r w:rsidRPr="00326A04">
        <w:rPr>
          <w:highlight w:val="white"/>
          <w:lang w:val="en-US"/>
        </w:rPr>
        <w:t>(4), 835-871. https://doi.org/10.1111/roiw.12497</w:t>
      </w:r>
    </w:p>
    <w:p w14:paraId="165B83F7" w14:textId="77777777" w:rsidR="00296FE3" w:rsidRDefault="00000000">
      <w:pPr>
        <w:spacing w:line="360" w:lineRule="auto"/>
        <w:ind w:left="720" w:hanging="720"/>
        <w:jc w:val="both"/>
        <w:rPr>
          <w:highlight w:val="white"/>
        </w:rPr>
      </w:pPr>
      <w:r>
        <w:rPr>
          <w:highlight w:val="white"/>
        </w:rPr>
        <w:t xml:space="preserve">Carrillo, L, García, F., &amp; López, J (2022). La relación entre desigualdad y crimen en el contexto de los estados con mayor pobreza en México: los casos de Guerrero, Oaxaca y Chiapas. </w:t>
      </w:r>
      <w:r>
        <w:rPr>
          <w:i/>
          <w:highlight w:val="white"/>
        </w:rPr>
        <w:t xml:space="preserve">Estudios Sociales. Revista de Alimentación Contemporánea y Desarrollo </w:t>
      </w:r>
      <w:proofErr w:type="gramStart"/>
      <w:r>
        <w:rPr>
          <w:i/>
          <w:highlight w:val="white"/>
        </w:rPr>
        <w:t>Regional</w:t>
      </w:r>
      <w:r>
        <w:rPr>
          <w:highlight w:val="white"/>
        </w:rPr>
        <w:t xml:space="preserve"> .</w:t>
      </w:r>
      <w:proofErr w:type="gramEnd"/>
    </w:p>
    <w:p w14:paraId="4FE24F2E" w14:textId="77777777" w:rsidR="00296FE3" w:rsidRPr="00326A04" w:rsidRDefault="00000000">
      <w:pPr>
        <w:spacing w:line="360" w:lineRule="auto"/>
        <w:ind w:left="720" w:hanging="720"/>
        <w:jc w:val="both"/>
        <w:rPr>
          <w:lang w:val="en-US"/>
        </w:rPr>
      </w:pPr>
      <w:proofErr w:type="spellStart"/>
      <w:r>
        <w:rPr>
          <w:highlight w:val="white"/>
        </w:rPr>
        <w:t>Favaro</w:t>
      </w:r>
      <w:proofErr w:type="spellEnd"/>
      <w:r>
        <w:rPr>
          <w:highlight w:val="white"/>
        </w:rPr>
        <w:t xml:space="preserve">, A., </w:t>
      </w:r>
      <w:proofErr w:type="spellStart"/>
      <w:r>
        <w:rPr>
          <w:highlight w:val="white"/>
        </w:rPr>
        <w:t>Degortes</w:t>
      </w:r>
      <w:proofErr w:type="spellEnd"/>
      <w:r>
        <w:rPr>
          <w:highlight w:val="white"/>
        </w:rPr>
        <w:t xml:space="preserve">, D., Colombo, G. &amp; </w:t>
      </w:r>
      <w:proofErr w:type="spellStart"/>
      <w:r>
        <w:rPr>
          <w:highlight w:val="white"/>
        </w:rPr>
        <w:t>Santonastaso</w:t>
      </w:r>
      <w:proofErr w:type="spellEnd"/>
      <w:r>
        <w:rPr>
          <w:highlight w:val="white"/>
        </w:rPr>
        <w:t xml:space="preserve">, P. (2000). </w:t>
      </w:r>
      <w:r w:rsidRPr="00326A04">
        <w:rPr>
          <w:highlight w:val="white"/>
          <w:lang w:val="en-US"/>
        </w:rPr>
        <w:t xml:space="preserve">The effects of trauma among kidnap victims in Sardinia, Italy. </w:t>
      </w:r>
      <w:r w:rsidRPr="00326A04">
        <w:rPr>
          <w:i/>
          <w:highlight w:val="white"/>
          <w:lang w:val="en-US"/>
        </w:rPr>
        <w:t>Psychological Medicine, 30</w:t>
      </w:r>
      <w:r w:rsidRPr="00326A04">
        <w:rPr>
          <w:highlight w:val="white"/>
          <w:lang w:val="en-US"/>
        </w:rPr>
        <w:t>(4), 975-980. http://dx.doi.org/10.1017/S0033291799001877</w:t>
      </w:r>
    </w:p>
    <w:p w14:paraId="3804773F" w14:textId="77777777" w:rsidR="00296FE3" w:rsidRDefault="00000000" w:rsidP="00326A04">
      <w:pPr>
        <w:spacing w:line="360" w:lineRule="auto"/>
        <w:ind w:left="720" w:hanging="720"/>
        <w:jc w:val="both"/>
        <w:rPr>
          <w:highlight w:val="white"/>
        </w:rPr>
      </w:pPr>
      <w:r w:rsidRPr="00326A04">
        <w:rPr>
          <w:highlight w:val="white"/>
          <w:lang w:val="en-US"/>
        </w:rPr>
        <w:lastRenderedPageBreak/>
        <w:t xml:space="preserve">Galván, M., Luong, H., &amp; Astolfi, E. (2021). </w:t>
      </w:r>
      <w:r>
        <w:rPr>
          <w:highlight w:val="white"/>
        </w:rPr>
        <w:t xml:space="preserve">El narcotráfico como crimen organizado: comprendiendo el fenómeno desde la perspectiva transnacional y multidimensional. </w:t>
      </w:r>
      <w:r>
        <w:rPr>
          <w:i/>
          <w:highlight w:val="white"/>
        </w:rPr>
        <w:t>Revista de Relaciones Internacionales, Estrategia y Seguridad</w:t>
      </w:r>
      <w:r>
        <w:rPr>
          <w:highlight w:val="white"/>
        </w:rPr>
        <w:t xml:space="preserve">, </w:t>
      </w:r>
      <w:r>
        <w:rPr>
          <w:i/>
          <w:highlight w:val="white"/>
        </w:rPr>
        <w:t>16</w:t>
      </w:r>
      <w:r>
        <w:rPr>
          <w:highlight w:val="white"/>
        </w:rPr>
        <w:t>(1), 197-212.</w:t>
      </w:r>
    </w:p>
    <w:p w14:paraId="1E5F7611" w14:textId="77777777" w:rsidR="00296FE3" w:rsidRDefault="00000000" w:rsidP="00326A04">
      <w:pPr>
        <w:spacing w:line="360" w:lineRule="auto"/>
        <w:ind w:left="720" w:hanging="720"/>
        <w:jc w:val="both"/>
        <w:rPr>
          <w:highlight w:val="white"/>
        </w:rPr>
      </w:pPr>
      <w:r>
        <w:t xml:space="preserve">IAAP &amp; </w:t>
      </w:r>
      <w:proofErr w:type="spellStart"/>
      <w:r>
        <w:t>IUPsyS</w:t>
      </w:r>
      <w:proofErr w:type="spellEnd"/>
      <w:r>
        <w:t>. (2008). D</w:t>
      </w:r>
      <w:r>
        <w:rPr>
          <w:highlight w:val="white"/>
        </w:rPr>
        <w:t>eclaración Universal De Principios Éticos Para Psicólogos Y Psicólogos [Presentación]. https://archive.org/details/iaap-iupsys-declaracion-universal-de-principios-eticos-para-psicologas-y-psicologos/page/n3/mode/2up</w:t>
      </w:r>
    </w:p>
    <w:p w14:paraId="4F413D45" w14:textId="77777777" w:rsidR="00296FE3" w:rsidRPr="00326A04" w:rsidRDefault="00000000" w:rsidP="00326A04">
      <w:pPr>
        <w:spacing w:line="360" w:lineRule="auto"/>
        <w:ind w:left="720" w:hanging="720"/>
        <w:jc w:val="both"/>
        <w:rPr>
          <w:highlight w:val="white"/>
          <w:lang w:val="en-US"/>
        </w:rPr>
      </w:pPr>
      <w:r w:rsidRPr="00326A04">
        <w:rPr>
          <w:highlight w:val="white"/>
          <w:lang w:val="en-US"/>
        </w:rPr>
        <w:t xml:space="preserve">Kelly, S., &amp; Moore‐Clingenpeel, M. (2012). Contextual Effects on Attitudes toward Inequality. </w:t>
      </w:r>
      <w:r w:rsidRPr="00326A04">
        <w:rPr>
          <w:i/>
          <w:highlight w:val="white"/>
          <w:lang w:val="en-US"/>
        </w:rPr>
        <w:t>Population Review</w:t>
      </w:r>
      <w:r w:rsidRPr="00326A04">
        <w:rPr>
          <w:highlight w:val="white"/>
          <w:lang w:val="en-US"/>
        </w:rPr>
        <w:t xml:space="preserve">, </w:t>
      </w:r>
      <w:r w:rsidRPr="00326A04">
        <w:rPr>
          <w:i/>
          <w:highlight w:val="white"/>
          <w:lang w:val="en-US"/>
        </w:rPr>
        <w:t>51</w:t>
      </w:r>
      <w:r w:rsidRPr="00326A04">
        <w:rPr>
          <w:highlight w:val="white"/>
          <w:lang w:val="en-US"/>
        </w:rPr>
        <w:t>(2), Project MUSE. https://doi.org/10.1353/prv.2012.a492698</w:t>
      </w:r>
    </w:p>
    <w:p w14:paraId="14D86AC4" w14:textId="77777777" w:rsidR="00296FE3" w:rsidRPr="00326A04" w:rsidRDefault="00000000" w:rsidP="00326A04">
      <w:pPr>
        <w:spacing w:line="360" w:lineRule="auto"/>
        <w:ind w:left="720" w:hanging="720"/>
        <w:jc w:val="both"/>
        <w:rPr>
          <w:highlight w:val="white"/>
          <w:lang w:val="en-US"/>
        </w:rPr>
      </w:pPr>
      <w:proofErr w:type="spellStart"/>
      <w:r w:rsidRPr="00326A04">
        <w:rPr>
          <w:highlight w:val="white"/>
          <w:lang w:val="en-US"/>
        </w:rPr>
        <w:t>Kitsnik</w:t>
      </w:r>
      <w:proofErr w:type="spellEnd"/>
      <w:r w:rsidRPr="00326A04">
        <w:rPr>
          <w:highlight w:val="white"/>
          <w:lang w:val="en-US"/>
        </w:rPr>
        <w:t xml:space="preserve">, J. (2021). Untangling the tolerance of socioeconomic inequality: comparing Japan, the United States, South Korea, and the People’s Republic of China. </w:t>
      </w:r>
      <w:r w:rsidRPr="00326A04">
        <w:rPr>
          <w:i/>
          <w:highlight w:val="white"/>
          <w:lang w:val="en-US"/>
        </w:rPr>
        <w:t xml:space="preserve">Japanese Journal </w:t>
      </w:r>
      <w:proofErr w:type="gramStart"/>
      <w:r w:rsidRPr="00326A04">
        <w:rPr>
          <w:i/>
          <w:highlight w:val="white"/>
          <w:lang w:val="en-US"/>
        </w:rPr>
        <w:t>Of</w:t>
      </w:r>
      <w:proofErr w:type="gramEnd"/>
      <w:r w:rsidRPr="00326A04">
        <w:rPr>
          <w:i/>
          <w:highlight w:val="white"/>
          <w:lang w:val="en-US"/>
        </w:rPr>
        <w:t xml:space="preserve"> Sociology</w:t>
      </w:r>
      <w:r w:rsidRPr="00326A04">
        <w:rPr>
          <w:highlight w:val="white"/>
          <w:lang w:val="en-US"/>
        </w:rPr>
        <w:t xml:space="preserve">, </w:t>
      </w:r>
      <w:r w:rsidRPr="00326A04">
        <w:rPr>
          <w:i/>
          <w:highlight w:val="white"/>
          <w:lang w:val="en-US"/>
        </w:rPr>
        <w:t>31</w:t>
      </w:r>
      <w:r w:rsidRPr="00326A04">
        <w:rPr>
          <w:highlight w:val="white"/>
          <w:lang w:val="en-US"/>
        </w:rPr>
        <w:t>(1), 86-109. https://doi.org/10.1111/ijjs.12129</w:t>
      </w:r>
    </w:p>
    <w:p w14:paraId="4D84ADDB" w14:textId="270B970E" w:rsidR="00296FE3" w:rsidRPr="00E128B6" w:rsidRDefault="00000000" w:rsidP="00326A04">
      <w:pPr>
        <w:spacing w:line="360" w:lineRule="auto"/>
        <w:ind w:left="720" w:hanging="720"/>
        <w:jc w:val="both"/>
        <w:rPr>
          <w:highlight w:val="white"/>
          <w:lang w:val="en-US"/>
        </w:rPr>
      </w:pPr>
      <w:proofErr w:type="spellStart"/>
      <w:r w:rsidRPr="00326A04">
        <w:rPr>
          <w:highlight w:val="white"/>
          <w:lang w:val="en-US"/>
        </w:rPr>
        <w:t>Latinobarómetro</w:t>
      </w:r>
      <w:proofErr w:type="spellEnd"/>
      <w:r w:rsidRPr="00326A04">
        <w:rPr>
          <w:highlight w:val="white"/>
          <w:lang w:val="en-US"/>
        </w:rPr>
        <w:t xml:space="preserve">. (2020). </w:t>
      </w:r>
      <w:proofErr w:type="spellStart"/>
      <w:r w:rsidRPr="00326A04">
        <w:rPr>
          <w:i/>
          <w:highlight w:val="white"/>
          <w:lang w:val="en-US"/>
        </w:rPr>
        <w:t>Latinobarómetro</w:t>
      </w:r>
      <w:proofErr w:type="spellEnd"/>
      <w:r w:rsidRPr="00326A04">
        <w:rPr>
          <w:i/>
          <w:highlight w:val="white"/>
          <w:lang w:val="en-US"/>
        </w:rPr>
        <w:t xml:space="preserve"> 2020.</w:t>
      </w:r>
      <w:r w:rsidRPr="00326A04">
        <w:rPr>
          <w:highlight w:val="white"/>
          <w:lang w:val="en-US"/>
        </w:rPr>
        <w:t xml:space="preserve"> </w:t>
      </w:r>
      <w:r>
        <w:rPr>
          <w:highlight w:val="white"/>
        </w:rPr>
        <w:t xml:space="preserve">Recuperado de la base de datos de </w:t>
      </w:r>
      <w:proofErr w:type="spellStart"/>
      <w:r>
        <w:rPr>
          <w:highlight w:val="white"/>
        </w:rPr>
        <w:t>Latinobarómetro</w:t>
      </w:r>
      <w:proofErr w:type="spellEnd"/>
      <w:r>
        <w:rPr>
          <w:highlight w:val="white"/>
        </w:rPr>
        <w:t>.</w:t>
      </w:r>
      <w:r w:rsidR="00326A04">
        <w:rPr>
          <w:highlight w:val="white"/>
        </w:rPr>
        <w:t xml:space="preserve"> </w:t>
      </w:r>
      <w:hyperlink r:id="rId13" w:history="1">
        <w:r w:rsidR="00326A04" w:rsidRPr="00E128B6">
          <w:rPr>
            <w:rStyle w:val="Hipervnculo"/>
            <w:lang w:val="en-US"/>
          </w:rPr>
          <w:t>https://www.latinobarometro.org/latContents.jsp</w:t>
        </w:r>
      </w:hyperlink>
      <w:r w:rsidR="00326A04" w:rsidRPr="00E128B6">
        <w:rPr>
          <w:lang w:val="en-US"/>
        </w:rPr>
        <w:t xml:space="preserve"> </w:t>
      </w:r>
    </w:p>
    <w:p w14:paraId="760E7D6D" w14:textId="77777777" w:rsidR="00296FE3" w:rsidRPr="00326A04" w:rsidRDefault="00000000" w:rsidP="00326A04">
      <w:pPr>
        <w:spacing w:line="360" w:lineRule="auto"/>
        <w:ind w:left="720" w:hanging="720"/>
        <w:jc w:val="both"/>
        <w:rPr>
          <w:highlight w:val="white"/>
          <w:lang w:val="en-US"/>
        </w:rPr>
      </w:pPr>
      <w:proofErr w:type="spellStart"/>
      <w:r w:rsidRPr="00326A04">
        <w:rPr>
          <w:highlight w:val="white"/>
          <w:lang w:val="en-US"/>
        </w:rPr>
        <w:t>Mijs</w:t>
      </w:r>
      <w:proofErr w:type="spellEnd"/>
      <w:r w:rsidRPr="00326A04">
        <w:rPr>
          <w:highlight w:val="white"/>
          <w:lang w:val="en-US"/>
        </w:rPr>
        <w:t xml:space="preserve">, J. (2018). Inequality Is a Problem of Inference: How People Solve the Social Puzzle of Unequal Outcomes. </w:t>
      </w:r>
      <w:r w:rsidRPr="00326A04">
        <w:rPr>
          <w:i/>
          <w:highlight w:val="white"/>
          <w:lang w:val="en-US"/>
        </w:rPr>
        <w:t>Societies</w:t>
      </w:r>
      <w:r w:rsidRPr="00326A04">
        <w:rPr>
          <w:highlight w:val="white"/>
          <w:lang w:val="en-US"/>
        </w:rPr>
        <w:t xml:space="preserve">, </w:t>
      </w:r>
      <w:r w:rsidRPr="00326A04">
        <w:rPr>
          <w:i/>
          <w:highlight w:val="white"/>
          <w:lang w:val="en-US"/>
        </w:rPr>
        <w:t>8</w:t>
      </w:r>
      <w:r w:rsidRPr="00326A04">
        <w:rPr>
          <w:highlight w:val="white"/>
          <w:lang w:val="en-US"/>
        </w:rPr>
        <w:t>(3). https://doi.org/10.3390/soc8030064</w:t>
      </w:r>
    </w:p>
    <w:p w14:paraId="24EEBAC1" w14:textId="77777777" w:rsidR="00296FE3" w:rsidRDefault="00000000" w:rsidP="00326A04">
      <w:pPr>
        <w:spacing w:line="360" w:lineRule="auto"/>
        <w:ind w:left="720" w:hanging="720"/>
        <w:jc w:val="both"/>
        <w:rPr>
          <w:highlight w:val="white"/>
        </w:rPr>
      </w:pPr>
      <w:r w:rsidRPr="00326A04">
        <w:rPr>
          <w:highlight w:val="white"/>
          <w:lang w:val="en-US"/>
        </w:rPr>
        <w:t xml:space="preserve">Minkoff, S., &amp; Lyons, J. (2019). Living With Inequality: Neighborhood Income Diversity and Perceptions of the Income Gap. </w:t>
      </w:r>
      <w:r>
        <w:rPr>
          <w:i/>
          <w:highlight w:val="white"/>
        </w:rPr>
        <w:t xml:space="preserve">American </w:t>
      </w:r>
      <w:proofErr w:type="spellStart"/>
      <w:r>
        <w:rPr>
          <w:i/>
          <w:highlight w:val="white"/>
        </w:rPr>
        <w:t>Politics</w:t>
      </w:r>
      <w:proofErr w:type="spellEnd"/>
      <w:r>
        <w:rPr>
          <w:i/>
          <w:highlight w:val="white"/>
        </w:rPr>
        <w:t xml:space="preserve"> </w:t>
      </w:r>
      <w:proofErr w:type="spellStart"/>
      <w:r>
        <w:rPr>
          <w:i/>
          <w:highlight w:val="white"/>
        </w:rPr>
        <w:t>Research</w:t>
      </w:r>
      <w:proofErr w:type="spellEnd"/>
      <w:r>
        <w:rPr>
          <w:highlight w:val="white"/>
        </w:rPr>
        <w:t xml:space="preserve">, </w:t>
      </w:r>
      <w:r>
        <w:rPr>
          <w:i/>
          <w:highlight w:val="white"/>
        </w:rPr>
        <w:t>47</w:t>
      </w:r>
      <w:r>
        <w:rPr>
          <w:highlight w:val="white"/>
        </w:rPr>
        <w:t>(2), 329-361. https://doi.org/10.1177/1532673x17733799</w:t>
      </w:r>
    </w:p>
    <w:p w14:paraId="757F5733" w14:textId="77777777" w:rsidR="00296FE3" w:rsidRPr="00326A04" w:rsidRDefault="00000000">
      <w:pPr>
        <w:spacing w:line="360" w:lineRule="auto"/>
        <w:ind w:left="720" w:hanging="720"/>
        <w:jc w:val="both"/>
        <w:rPr>
          <w:lang w:val="en-US"/>
        </w:rPr>
      </w:pPr>
      <w:r>
        <w:t>Naciones Unidas, (2000</w:t>
      </w:r>
      <w:r>
        <w:rPr>
          <w:i/>
        </w:rPr>
        <w:t>) Convención de las Naciones Unidas contra la Delincuencia Organizada Transnacional</w:t>
      </w:r>
      <w:r>
        <w:t xml:space="preserve">. </w:t>
      </w:r>
      <w:r w:rsidRPr="00326A04">
        <w:rPr>
          <w:lang w:val="en-US"/>
        </w:rPr>
        <w:t>Palermo.</w:t>
      </w:r>
    </w:p>
    <w:p w14:paraId="31413E9B" w14:textId="77777777" w:rsidR="00296FE3" w:rsidRPr="00326A04" w:rsidRDefault="00000000">
      <w:pPr>
        <w:spacing w:line="360" w:lineRule="auto"/>
        <w:ind w:left="720" w:hanging="720"/>
        <w:jc w:val="both"/>
        <w:rPr>
          <w:highlight w:val="white"/>
          <w:lang w:val="en-US"/>
        </w:rPr>
      </w:pPr>
      <w:r w:rsidRPr="00326A04">
        <w:rPr>
          <w:highlight w:val="white"/>
          <w:lang w:val="en-US"/>
        </w:rPr>
        <w:t xml:space="preserve">Navia, C. &amp; Ossa, M. (2003). Family functioning, coping, and psychological adjustment in victims and their families following kidnapping. </w:t>
      </w:r>
      <w:r w:rsidRPr="00326A04">
        <w:rPr>
          <w:i/>
          <w:highlight w:val="white"/>
          <w:lang w:val="en-US"/>
        </w:rPr>
        <w:t>Journal of Traumatic Stress, 16</w:t>
      </w:r>
      <w:r w:rsidRPr="00326A04">
        <w:rPr>
          <w:highlight w:val="white"/>
          <w:lang w:val="en-US"/>
        </w:rPr>
        <w:t>(1), 107-112. http://dx.doi.org/10.1023/A:1022023730711</w:t>
      </w:r>
    </w:p>
    <w:p w14:paraId="2F0B9C8C" w14:textId="77777777" w:rsidR="00296FE3" w:rsidRDefault="00000000">
      <w:pPr>
        <w:spacing w:line="360" w:lineRule="auto"/>
        <w:ind w:left="720" w:hanging="720"/>
        <w:jc w:val="both"/>
        <w:rPr>
          <w:highlight w:val="white"/>
        </w:rPr>
      </w:pPr>
      <w:proofErr w:type="spellStart"/>
      <w:r w:rsidRPr="00326A04">
        <w:rPr>
          <w:lang w:val="en-US"/>
        </w:rPr>
        <w:t>Organismo</w:t>
      </w:r>
      <w:proofErr w:type="spellEnd"/>
      <w:r w:rsidRPr="00326A04">
        <w:rPr>
          <w:lang w:val="en-US"/>
        </w:rPr>
        <w:t xml:space="preserve"> de </w:t>
      </w:r>
      <w:proofErr w:type="spellStart"/>
      <w:r w:rsidRPr="00326A04">
        <w:rPr>
          <w:lang w:val="en-US"/>
        </w:rPr>
        <w:t>Investigación</w:t>
      </w:r>
      <w:proofErr w:type="spellEnd"/>
      <w:r w:rsidRPr="00326A04">
        <w:rPr>
          <w:lang w:val="en-US"/>
        </w:rPr>
        <w:t xml:space="preserve"> Judicial</w:t>
      </w:r>
      <w:r w:rsidRPr="00326A04">
        <w:rPr>
          <w:highlight w:val="white"/>
          <w:lang w:val="en-US"/>
        </w:rPr>
        <w:t xml:space="preserve">. </w:t>
      </w:r>
      <w:r>
        <w:rPr>
          <w:highlight w:val="white"/>
        </w:rPr>
        <w:t>(2023). Consulta en línea sobre los principales delitos. https://pjenlinea3.poder-judicial.go.cr/estadisticasoij/</w:t>
      </w:r>
    </w:p>
    <w:p w14:paraId="6B817156" w14:textId="77777777" w:rsidR="00296FE3" w:rsidRDefault="00000000">
      <w:pPr>
        <w:spacing w:line="360" w:lineRule="auto"/>
        <w:ind w:left="720" w:hanging="720"/>
        <w:jc w:val="both"/>
        <w:rPr>
          <w:highlight w:val="white"/>
        </w:rPr>
      </w:pPr>
      <w:r>
        <w:rPr>
          <w:highlight w:val="white"/>
        </w:rPr>
        <w:t xml:space="preserve">Programa de las Naciones Unidas para el desarrollo. (2021). </w:t>
      </w:r>
      <w:r>
        <w:rPr>
          <w:i/>
          <w:highlight w:val="white"/>
        </w:rPr>
        <w:t>Los vínculos entre violencia, desigualdad, y productividad</w:t>
      </w:r>
      <w:r>
        <w:rPr>
          <w:highlight w:val="white"/>
        </w:rPr>
        <w:t>. Programa de las Naciones Unidas para el Desarrollo. https://www.undp.org/sites/g/files/zskgke326/files/migration/latinamerica/undp-rblac-IRDH-PNUD_C04-ES.pdf</w:t>
      </w:r>
    </w:p>
    <w:p w14:paraId="5FE5DF36" w14:textId="77777777" w:rsidR="00296FE3" w:rsidRDefault="00000000" w:rsidP="00326A04">
      <w:pPr>
        <w:spacing w:line="360" w:lineRule="auto"/>
        <w:ind w:left="720" w:hanging="720"/>
        <w:jc w:val="both"/>
        <w:rPr>
          <w:highlight w:val="white"/>
        </w:rPr>
      </w:pPr>
      <w:r>
        <w:rPr>
          <w:highlight w:val="white"/>
        </w:rPr>
        <w:lastRenderedPageBreak/>
        <w:t xml:space="preserve">Robles-Rivera, F., Alvarenga, X., &amp; Fuchs, G. (2023). Austeridad y defensa: los discursos de las élites económicas centroamericanas durante la pandemia. </w:t>
      </w:r>
      <w:r>
        <w:rPr>
          <w:i/>
          <w:highlight w:val="white"/>
        </w:rPr>
        <w:t>Estudios Sociológicos de El Colegio de México</w:t>
      </w:r>
      <w:r>
        <w:rPr>
          <w:highlight w:val="white"/>
        </w:rPr>
        <w:t xml:space="preserve">, </w:t>
      </w:r>
      <w:r>
        <w:rPr>
          <w:i/>
          <w:highlight w:val="white"/>
        </w:rPr>
        <w:t>42</w:t>
      </w:r>
      <w:r>
        <w:rPr>
          <w:highlight w:val="white"/>
        </w:rPr>
        <w:t>, 1-25. https://doi.org/10.24201/es.2024v42.e2449</w:t>
      </w:r>
    </w:p>
    <w:p w14:paraId="10B0F4E9" w14:textId="77777777" w:rsidR="00296FE3" w:rsidRDefault="00000000">
      <w:pPr>
        <w:spacing w:line="360" w:lineRule="auto"/>
        <w:ind w:left="720" w:hanging="720"/>
        <w:jc w:val="both"/>
        <w:rPr>
          <w:highlight w:val="white"/>
        </w:rPr>
      </w:pPr>
      <w:r>
        <w:rPr>
          <w:highlight w:val="white"/>
        </w:rPr>
        <w:t xml:space="preserve">Rueda, D. &amp; </w:t>
      </w:r>
      <w:proofErr w:type="spellStart"/>
      <w:r>
        <w:rPr>
          <w:highlight w:val="white"/>
        </w:rPr>
        <w:t>Stegmueller</w:t>
      </w:r>
      <w:proofErr w:type="spellEnd"/>
      <w:r>
        <w:rPr>
          <w:highlight w:val="white"/>
        </w:rPr>
        <w:t>, D. (2016). Las externalidades de la desigualdad: miedo al crimen y preferencias de redistribución en Europa occidental.</w:t>
      </w:r>
      <w:r>
        <w:rPr>
          <w:i/>
          <w:highlight w:val="white"/>
        </w:rPr>
        <w:t xml:space="preserve"> Revista Estadounidense de Ciencias Políticas</w:t>
      </w:r>
      <w:r>
        <w:rPr>
          <w:highlight w:val="white"/>
        </w:rPr>
        <w:t>, 60: 472-489. https://doi.org/10.1111/ajps.12212</w:t>
      </w:r>
    </w:p>
    <w:p w14:paraId="6FB03D66" w14:textId="77777777" w:rsidR="00296FE3" w:rsidRDefault="00000000">
      <w:pPr>
        <w:spacing w:line="360" w:lineRule="auto"/>
        <w:ind w:left="720" w:hanging="720"/>
        <w:jc w:val="both"/>
        <w:rPr>
          <w:highlight w:val="white"/>
        </w:rPr>
      </w:pPr>
      <w:proofErr w:type="spellStart"/>
      <w:r>
        <w:rPr>
          <w:highlight w:val="white"/>
        </w:rPr>
        <w:t>Sain</w:t>
      </w:r>
      <w:proofErr w:type="spellEnd"/>
      <w:r>
        <w:rPr>
          <w:highlight w:val="white"/>
        </w:rPr>
        <w:t xml:space="preserve">, M., &amp; </w:t>
      </w:r>
      <w:proofErr w:type="spellStart"/>
      <w:r>
        <w:rPr>
          <w:highlight w:val="white"/>
        </w:rPr>
        <w:t>Games</w:t>
      </w:r>
      <w:proofErr w:type="spellEnd"/>
      <w:r>
        <w:rPr>
          <w:highlight w:val="white"/>
        </w:rPr>
        <w:t>, N. (2015)</w:t>
      </w:r>
      <w:r>
        <w:rPr>
          <w:i/>
          <w:highlight w:val="white"/>
        </w:rPr>
        <w:t>. Tendencias y desafíos del crimen organizado en Latinoamérica.</w:t>
      </w:r>
      <w:r>
        <w:rPr>
          <w:highlight w:val="white"/>
        </w:rPr>
        <w:t xml:space="preserve"> UMET, Universidad Metropolitana para la Educación y el Trabajo.</w:t>
      </w:r>
    </w:p>
    <w:p w14:paraId="57305914" w14:textId="77777777" w:rsidR="00296FE3" w:rsidRDefault="00000000">
      <w:pPr>
        <w:spacing w:line="360" w:lineRule="auto"/>
        <w:ind w:left="720"/>
        <w:jc w:val="both"/>
        <w:rPr>
          <w:highlight w:val="white"/>
        </w:rPr>
      </w:pPr>
      <w:r>
        <w:rPr>
          <w:highlight w:val="white"/>
        </w:rPr>
        <w:t>Salgado, V. (2010). Creencias y conductas irracionales presentes en familiares y víctimas de secuestro y extorsión.</w:t>
      </w:r>
      <w:r>
        <w:rPr>
          <w:i/>
          <w:highlight w:val="white"/>
        </w:rPr>
        <w:t xml:space="preserve"> Revista Criminalidad</w:t>
      </w:r>
      <w:r>
        <w:rPr>
          <w:highlight w:val="white"/>
        </w:rPr>
        <w:t>, 52(2), 33-54. Recuperado de http://www.scielo.org.co/pdf/crim/v52n2/v52n2a03.pdf</w:t>
      </w:r>
    </w:p>
    <w:p w14:paraId="74D64B2D" w14:textId="77777777" w:rsidR="00296FE3" w:rsidRDefault="00000000">
      <w:pPr>
        <w:spacing w:line="360" w:lineRule="auto"/>
        <w:ind w:left="720" w:hanging="720"/>
        <w:jc w:val="both"/>
      </w:pPr>
      <w:r>
        <w:t>Sanmartín, J. (2007). ¿Qué es violencia? Una aproximación al concepto y a la clasificación de la violencia</w:t>
      </w:r>
      <w:r>
        <w:rPr>
          <w:i/>
        </w:rPr>
        <w:t xml:space="preserve">. </w:t>
      </w:r>
      <w:proofErr w:type="spellStart"/>
      <w:r>
        <w:rPr>
          <w:i/>
        </w:rPr>
        <w:t>Daimon</w:t>
      </w:r>
      <w:proofErr w:type="spellEnd"/>
      <w:r>
        <w:rPr>
          <w:i/>
        </w:rPr>
        <w:t xml:space="preserve"> Revista Internacional de Filosofía</w:t>
      </w:r>
      <w:r>
        <w:t>, (42), 9–21. Recuperado a partir de https://revistas.um.es/daimon/article/view/95881</w:t>
      </w:r>
    </w:p>
    <w:p w14:paraId="5C0EE14D" w14:textId="77777777" w:rsidR="00296FE3" w:rsidRDefault="00000000">
      <w:pPr>
        <w:spacing w:line="360" w:lineRule="auto"/>
        <w:ind w:left="720" w:hanging="720"/>
        <w:jc w:val="both"/>
      </w:pPr>
      <w:proofErr w:type="spellStart"/>
      <w:r>
        <w:t>Shrestha</w:t>
      </w:r>
      <w:proofErr w:type="spellEnd"/>
      <w:r>
        <w:t xml:space="preserve">, N. (2020). Detección de multicolinealidad en el análisis de regresión. </w:t>
      </w:r>
      <w:r>
        <w:rPr>
          <w:i/>
        </w:rPr>
        <w:t>Revista Estadounidense de Matemáticas Aplicadas y Estadística 8</w:t>
      </w:r>
      <w:r>
        <w:t xml:space="preserve">(2), 39-42. </w:t>
      </w:r>
      <w:r>
        <w:rPr>
          <w:highlight w:val="white"/>
        </w:rPr>
        <w:t>https://doi.org/</w:t>
      </w:r>
      <w:r>
        <w:t>10.12691/ajams-8-2-1</w:t>
      </w:r>
    </w:p>
    <w:p w14:paraId="41E62CCD" w14:textId="77777777" w:rsidR="00296FE3" w:rsidRPr="00326A04" w:rsidRDefault="00000000">
      <w:pPr>
        <w:spacing w:line="360" w:lineRule="auto"/>
        <w:ind w:left="720" w:hanging="720"/>
        <w:jc w:val="both"/>
        <w:rPr>
          <w:highlight w:val="white"/>
          <w:lang w:val="en-US"/>
        </w:rPr>
      </w:pPr>
      <w:proofErr w:type="spellStart"/>
      <w:r>
        <w:rPr>
          <w:highlight w:val="white"/>
        </w:rPr>
        <w:t>Soldano</w:t>
      </w:r>
      <w:proofErr w:type="spellEnd"/>
      <w:r>
        <w:rPr>
          <w:highlight w:val="white"/>
        </w:rPr>
        <w:t xml:space="preserve">, D. (2016). </w:t>
      </w:r>
      <w:r>
        <w:rPr>
          <w:i/>
          <w:highlight w:val="white"/>
        </w:rPr>
        <w:t>Ciudades latinoamericanas: Desigualdad, segregación y tolerancia</w:t>
      </w:r>
      <w:r>
        <w:rPr>
          <w:highlight w:val="white"/>
        </w:rPr>
        <w:t xml:space="preserve">. </w:t>
      </w:r>
      <w:r w:rsidRPr="00326A04">
        <w:rPr>
          <w:highlight w:val="white"/>
          <w:lang w:val="en-US"/>
        </w:rPr>
        <w:t>CLACSO.</w:t>
      </w:r>
    </w:p>
    <w:p w14:paraId="3651888B" w14:textId="77777777" w:rsidR="00296FE3" w:rsidRPr="00326A04" w:rsidRDefault="00000000">
      <w:pPr>
        <w:spacing w:line="360" w:lineRule="auto"/>
        <w:ind w:left="720"/>
        <w:jc w:val="both"/>
        <w:rPr>
          <w:highlight w:val="white"/>
          <w:lang w:val="en-US"/>
        </w:rPr>
      </w:pPr>
      <w:r w:rsidRPr="00326A04">
        <w:rPr>
          <w:highlight w:val="white"/>
          <w:lang w:val="en-US"/>
        </w:rPr>
        <w:t xml:space="preserve">Son, L., Wilson, A., </w:t>
      </w:r>
      <w:proofErr w:type="spellStart"/>
      <w:r w:rsidRPr="00326A04">
        <w:rPr>
          <w:highlight w:val="white"/>
          <w:lang w:val="en-US"/>
        </w:rPr>
        <w:t>Gourevitch</w:t>
      </w:r>
      <w:proofErr w:type="spellEnd"/>
      <w:r w:rsidRPr="00326A04">
        <w:rPr>
          <w:highlight w:val="white"/>
          <w:lang w:val="en-US"/>
        </w:rPr>
        <w:t xml:space="preserve">, P., English, J., &amp; Sin, P. (2019). Failure to Respond to Rising Income Inequality: Processes That Legitimize Growing Disparities. </w:t>
      </w:r>
      <w:proofErr w:type="spellStart"/>
      <w:r w:rsidRPr="00326A04">
        <w:rPr>
          <w:i/>
          <w:highlight w:val="white"/>
          <w:lang w:val="en-US"/>
        </w:rPr>
        <w:t>Dædalus</w:t>
      </w:r>
      <w:proofErr w:type="spellEnd"/>
      <w:r w:rsidRPr="00326A04">
        <w:rPr>
          <w:highlight w:val="white"/>
          <w:lang w:val="en-US"/>
        </w:rPr>
        <w:t xml:space="preserve">, </w:t>
      </w:r>
      <w:r w:rsidRPr="00326A04">
        <w:rPr>
          <w:i/>
          <w:highlight w:val="white"/>
          <w:lang w:val="en-US"/>
        </w:rPr>
        <w:t>148</w:t>
      </w:r>
      <w:r w:rsidRPr="00326A04">
        <w:rPr>
          <w:highlight w:val="white"/>
          <w:lang w:val="en-US"/>
        </w:rPr>
        <w:t>(3), 105-135. https://doi.org/10.1162/daed_a_01752</w:t>
      </w:r>
    </w:p>
    <w:p w14:paraId="70F00EB1" w14:textId="77777777" w:rsidR="00296FE3" w:rsidRPr="00326A04" w:rsidRDefault="00000000">
      <w:pPr>
        <w:spacing w:line="360" w:lineRule="auto"/>
        <w:ind w:left="720"/>
        <w:jc w:val="both"/>
        <w:rPr>
          <w:highlight w:val="white"/>
          <w:lang w:val="en-US"/>
        </w:rPr>
      </w:pPr>
      <w:r w:rsidRPr="00326A04">
        <w:rPr>
          <w:highlight w:val="white"/>
          <w:lang w:val="en-US"/>
        </w:rPr>
        <w:t xml:space="preserve">Trump, K. (2020). When and why is economic inequality seen as fair. </w:t>
      </w:r>
      <w:r w:rsidRPr="00326A04">
        <w:rPr>
          <w:i/>
          <w:highlight w:val="white"/>
          <w:lang w:val="en-US"/>
        </w:rPr>
        <w:t xml:space="preserve">Current Opinion </w:t>
      </w:r>
      <w:proofErr w:type="gramStart"/>
      <w:r w:rsidRPr="00326A04">
        <w:rPr>
          <w:i/>
          <w:highlight w:val="white"/>
          <w:lang w:val="en-US"/>
        </w:rPr>
        <w:t>In</w:t>
      </w:r>
      <w:proofErr w:type="gramEnd"/>
      <w:r w:rsidRPr="00326A04">
        <w:rPr>
          <w:i/>
          <w:highlight w:val="white"/>
          <w:lang w:val="en-US"/>
        </w:rPr>
        <w:t xml:space="preserve"> Behavioral Sciences</w:t>
      </w:r>
      <w:r w:rsidRPr="00326A04">
        <w:rPr>
          <w:highlight w:val="white"/>
          <w:lang w:val="en-US"/>
        </w:rPr>
        <w:t xml:space="preserve">, </w:t>
      </w:r>
      <w:r w:rsidRPr="00326A04">
        <w:rPr>
          <w:i/>
          <w:highlight w:val="white"/>
          <w:lang w:val="en-US"/>
        </w:rPr>
        <w:t>34</w:t>
      </w:r>
      <w:r w:rsidRPr="00326A04">
        <w:rPr>
          <w:highlight w:val="white"/>
          <w:lang w:val="en-US"/>
        </w:rPr>
        <w:t>, 46-51. https://doi.org/10.1016/j.cobeha.2019.12.001</w:t>
      </w:r>
    </w:p>
    <w:p w14:paraId="4470801B" w14:textId="63FB73AC" w:rsidR="00296FE3" w:rsidRPr="00326A04" w:rsidRDefault="00000000" w:rsidP="00326A04">
      <w:pPr>
        <w:spacing w:line="360" w:lineRule="auto"/>
        <w:ind w:left="720" w:hanging="720"/>
        <w:jc w:val="both"/>
        <w:rPr>
          <w:highlight w:val="white"/>
          <w:lang w:val="en-US"/>
        </w:rPr>
      </w:pPr>
      <w:proofErr w:type="spellStart"/>
      <w:r w:rsidRPr="00326A04">
        <w:rPr>
          <w:highlight w:val="white"/>
          <w:lang w:val="en-US"/>
        </w:rPr>
        <w:t>Vilhjalmsdottir</w:t>
      </w:r>
      <w:proofErr w:type="spellEnd"/>
      <w:r w:rsidRPr="00326A04">
        <w:rPr>
          <w:highlight w:val="white"/>
          <w:lang w:val="en-US"/>
        </w:rPr>
        <w:t xml:space="preserve">, A., Gardarsdottir, R., Bernburg, J., &amp; </w:t>
      </w:r>
      <w:proofErr w:type="spellStart"/>
      <w:r w:rsidRPr="00326A04">
        <w:rPr>
          <w:highlight w:val="white"/>
          <w:lang w:val="en-US"/>
        </w:rPr>
        <w:t>Sigfusdottir</w:t>
      </w:r>
      <w:proofErr w:type="spellEnd"/>
      <w:r w:rsidRPr="00326A04">
        <w:rPr>
          <w:highlight w:val="white"/>
          <w:lang w:val="en-US"/>
        </w:rPr>
        <w:t xml:space="preserve">, I. (2016). Neighborhood income inequality, social </w:t>
      </w:r>
      <w:proofErr w:type="gramStart"/>
      <w:r w:rsidRPr="00326A04">
        <w:rPr>
          <w:highlight w:val="white"/>
          <w:lang w:val="en-US"/>
        </w:rPr>
        <w:t>capital</w:t>
      </w:r>
      <w:proofErr w:type="gramEnd"/>
      <w:r w:rsidRPr="00326A04">
        <w:rPr>
          <w:highlight w:val="white"/>
          <w:lang w:val="en-US"/>
        </w:rPr>
        <w:t xml:space="preserve"> and emotional distress among adolescents: A population-based study. </w:t>
      </w:r>
      <w:r w:rsidRPr="00326A04">
        <w:rPr>
          <w:i/>
          <w:highlight w:val="white"/>
          <w:lang w:val="en-US"/>
        </w:rPr>
        <w:t>Journal of adolescence</w:t>
      </w:r>
      <w:r w:rsidRPr="00326A04">
        <w:rPr>
          <w:highlight w:val="white"/>
          <w:lang w:val="en-US"/>
        </w:rPr>
        <w:t>, 51, 92-</w:t>
      </w:r>
      <w:proofErr w:type="gramStart"/>
      <w:r w:rsidRPr="00326A04">
        <w:rPr>
          <w:highlight w:val="white"/>
          <w:lang w:val="en-US"/>
        </w:rPr>
        <w:t>102 .</w:t>
      </w:r>
      <w:proofErr w:type="gramEnd"/>
      <w:r w:rsidRPr="00326A04">
        <w:rPr>
          <w:highlight w:val="white"/>
          <w:lang w:val="en-US"/>
        </w:rPr>
        <w:t xml:space="preserve"> https://doi.org/10.1016/j.adolescence.2016.06.004.</w:t>
      </w:r>
    </w:p>
    <w:p w14:paraId="2AEF638D" w14:textId="77777777" w:rsidR="00296FE3" w:rsidRPr="00326A04" w:rsidRDefault="00296FE3">
      <w:pPr>
        <w:spacing w:line="360" w:lineRule="auto"/>
        <w:jc w:val="both"/>
        <w:rPr>
          <w:lang w:val="en-US"/>
        </w:rPr>
      </w:pPr>
    </w:p>
    <w:sectPr w:rsidR="00296FE3" w:rsidRPr="00326A04">
      <w:pgSz w:w="12240" w:h="15840"/>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1CC88" w14:textId="77777777" w:rsidR="004D063C" w:rsidRDefault="004D063C">
      <w:r>
        <w:separator/>
      </w:r>
    </w:p>
  </w:endnote>
  <w:endnote w:type="continuationSeparator" w:id="0">
    <w:p w14:paraId="25FCBD60" w14:textId="77777777" w:rsidR="004D063C" w:rsidRDefault="004D0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1D85F" w14:textId="77777777" w:rsidR="00296FE3" w:rsidRDefault="00000000">
    <w:pPr>
      <w:pBdr>
        <w:top w:val="nil"/>
        <w:left w:val="nil"/>
        <w:bottom w:val="nil"/>
        <w:right w:val="nil"/>
        <w:between w:val="nil"/>
      </w:pBdr>
      <w:tabs>
        <w:tab w:val="center" w:pos="4680"/>
        <w:tab w:val="right" w:pos="9360"/>
      </w:tabs>
      <w:ind w:left="3960" w:firstLine="3960"/>
      <w:rPr>
        <w:rFonts w:ascii="Calibri" w:eastAsia="Calibri" w:hAnsi="Calibri" w:cs="Calibri"/>
        <w:color w:val="000000"/>
      </w:rPr>
    </w:pPr>
    <w:r>
      <w:rPr>
        <w:rFonts w:ascii="Calibri" w:eastAsia="Calibri" w:hAnsi="Calibri" w:cs="Calibri"/>
        <w:color w:val="000000"/>
        <w:sz w:val="16"/>
        <w:szCs w:val="16"/>
      </w:rPr>
      <w:t xml:space="preserve">ARTÍCULO | </w:t>
    </w:r>
    <w:r>
      <w:rPr>
        <w:rFonts w:ascii="Calibri" w:eastAsia="Calibri" w:hAnsi="Calibri" w:cs="Calibri"/>
        <w:color w:val="000000"/>
        <w:sz w:val="16"/>
        <w:szCs w:val="16"/>
      </w:rPr>
      <w:fldChar w:fldCharType="begin"/>
    </w:r>
    <w:r>
      <w:rPr>
        <w:rFonts w:ascii="Calibri" w:eastAsia="Calibri" w:hAnsi="Calibri" w:cs="Calibri"/>
        <w:color w:val="000000"/>
        <w:sz w:val="16"/>
        <w:szCs w:val="16"/>
      </w:rPr>
      <w:instrText>PAGE</w:instrText>
    </w:r>
    <w:r>
      <w:rPr>
        <w:rFonts w:ascii="Calibri" w:eastAsia="Calibri" w:hAnsi="Calibri" w:cs="Calibri"/>
        <w:color w:val="000000"/>
        <w:sz w:val="16"/>
        <w:szCs w:val="16"/>
      </w:rPr>
      <w:fldChar w:fldCharType="separate"/>
    </w:r>
    <w:r w:rsidR="00326A04">
      <w:rPr>
        <w:rFonts w:ascii="Calibri" w:eastAsia="Calibri" w:hAnsi="Calibri" w:cs="Calibri"/>
        <w:noProof/>
        <w:color w:val="000000"/>
        <w:sz w:val="16"/>
        <w:szCs w:val="16"/>
      </w:rPr>
      <w:t>2</w:t>
    </w:r>
    <w:r>
      <w:rPr>
        <w:rFonts w:ascii="Calibri" w:eastAsia="Calibri" w:hAnsi="Calibri" w:cs="Calibri"/>
        <w:color w:val="000000"/>
        <w:sz w:val="16"/>
        <w:szCs w:val="16"/>
      </w:rPr>
      <w:fldChar w:fldCharType="end"/>
    </w:r>
  </w:p>
  <w:p w14:paraId="1A8679F9" w14:textId="77777777" w:rsidR="00296FE3" w:rsidRDefault="00296FE3">
    <w:pPr>
      <w:pBdr>
        <w:top w:val="nil"/>
        <w:left w:val="nil"/>
        <w:bottom w:val="nil"/>
        <w:right w:val="nil"/>
        <w:between w:val="nil"/>
      </w:pBdr>
      <w:tabs>
        <w:tab w:val="center" w:pos="4680"/>
        <w:tab w:val="right" w:pos="9360"/>
      </w:tabs>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84147" w14:textId="77777777" w:rsidR="00296FE3" w:rsidRDefault="00000000">
    <w:pPr>
      <w:pBdr>
        <w:top w:val="nil"/>
        <w:left w:val="nil"/>
        <w:bottom w:val="nil"/>
        <w:right w:val="nil"/>
        <w:between w:val="nil"/>
      </w:pBdr>
      <w:tabs>
        <w:tab w:val="center" w:pos="4680"/>
        <w:tab w:val="right" w:pos="9360"/>
      </w:tabs>
      <w:rPr>
        <w:rFonts w:ascii="Calibri" w:eastAsia="Calibri" w:hAnsi="Calibri" w:cs="Calibri"/>
        <w:color w:val="000000"/>
      </w:rPr>
    </w:pPr>
    <w:r>
      <w:rPr>
        <w:rFonts w:ascii="Calibri" w:eastAsia="Calibri" w:hAnsi="Calibri" w:cs="Calibri"/>
        <w:color w:val="000000"/>
        <w:sz w:val="16"/>
        <w:szCs w:val="16"/>
      </w:rPr>
      <w:t xml:space="preserve">ARTÍCULO | </w:t>
    </w:r>
    <w:r>
      <w:rPr>
        <w:rFonts w:ascii="Calibri" w:eastAsia="Calibri" w:hAnsi="Calibri" w:cs="Calibri"/>
        <w:color w:val="000000"/>
        <w:sz w:val="16"/>
        <w:szCs w:val="16"/>
      </w:rPr>
      <w:fldChar w:fldCharType="begin"/>
    </w:r>
    <w:r>
      <w:rPr>
        <w:rFonts w:ascii="Calibri" w:eastAsia="Calibri" w:hAnsi="Calibri" w:cs="Calibri"/>
        <w:color w:val="000000"/>
        <w:sz w:val="16"/>
        <w:szCs w:val="16"/>
      </w:rPr>
      <w:instrText>PAGE</w:instrText>
    </w:r>
    <w:r>
      <w:rPr>
        <w:rFonts w:ascii="Calibri" w:eastAsia="Calibri" w:hAnsi="Calibri" w:cs="Calibri"/>
        <w:color w:val="000000"/>
        <w:sz w:val="16"/>
        <w:szCs w:val="16"/>
      </w:rPr>
      <w:fldChar w:fldCharType="separate"/>
    </w:r>
    <w:r w:rsidR="00326A04">
      <w:rPr>
        <w:rFonts w:ascii="Calibri" w:eastAsia="Calibri" w:hAnsi="Calibri" w:cs="Calibri"/>
        <w:noProof/>
        <w:color w:val="000000"/>
        <w:sz w:val="16"/>
        <w:szCs w:val="16"/>
      </w:rPr>
      <w:t>1</w:t>
    </w:r>
    <w:r>
      <w:rPr>
        <w:rFonts w:ascii="Calibri" w:eastAsia="Calibri" w:hAnsi="Calibri" w:cs="Calibri"/>
        <w:color w:val="000000"/>
        <w:sz w:val="16"/>
        <w:szCs w:val="16"/>
      </w:rPr>
      <w:fldChar w:fldCharType="end"/>
    </w:r>
  </w:p>
  <w:p w14:paraId="051D1C36" w14:textId="77777777" w:rsidR="00296FE3" w:rsidRDefault="00296FE3">
    <w:pPr>
      <w:pBdr>
        <w:top w:val="nil"/>
        <w:left w:val="nil"/>
        <w:bottom w:val="nil"/>
        <w:right w:val="nil"/>
        <w:between w:val="nil"/>
      </w:pBdr>
      <w:tabs>
        <w:tab w:val="center" w:pos="4680"/>
        <w:tab w:val="right" w:pos="9360"/>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59598" w14:textId="77777777" w:rsidR="004D063C" w:rsidRDefault="004D063C">
      <w:r>
        <w:separator/>
      </w:r>
    </w:p>
  </w:footnote>
  <w:footnote w:type="continuationSeparator" w:id="0">
    <w:p w14:paraId="1B8EAD61" w14:textId="77777777" w:rsidR="004D063C" w:rsidRDefault="004D06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EB5A0" w14:textId="77777777" w:rsidR="00296FE3" w:rsidRDefault="00000000">
    <w:pPr>
      <w:pBdr>
        <w:top w:val="nil"/>
        <w:left w:val="nil"/>
        <w:bottom w:val="nil"/>
        <w:right w:val="nil"/>
        <w:between w:val="nil"/>
      </w:pBdr>
      <w:tabs>
        <w:tab w:val="center" w:pos="4680"/>
        <w:tab w:val="right" w:pos="9360"/>
      </w:tabs>
      <w:jc w:val="center"/>
      <w:rPr>
        <w:rFonts w:ascii="Times" w:eastAsia="Times" w:hAnsi="Times" w:cs="Times"/>
        <w:smallCaps/>
        <w:color w:val="000000"/>
        <w:sz w:val="20"/>
        <w:szCs w:val="20"/>
      </w:rPr>
    </w:pPr>
    <w:r>
      <w:rPr>
        <w:rFonts w:ascii="Calibri" w:eastAsia="Calibri" w:hAnsi="Calibri" w:cs="Calibri"/>
        <w:smallCaps/>
        <w:color w:val="000000"/>
        <w:sz w:val="20"/>
        <w:szCs w:val="20"/>
      </w:rPr>
      <w:t>Manuscrito Sumisión modelo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81BFE" w14:textId="77777777" w:rsidR="00296FE3" w:rsidRDefault="00000000">
    <w:pPr>
      <w:pBdr>
        <w:top w:val="nil"/>
        <w:left w:val="nil"/>
        <w:bottom w:val="nil"/>
        <w:right w:val="nil"/>
        <w:between w:val="nil"/>
      </w:pBdr>
      <w:tabs>
        <w:tab w:val="center" w:pos="4680"/>
        <w:tab w:val="right" w:pos="9360"/>
      </w:tabs>
      <w:jc w:val="right"/>
      <w:rPr>
        <w:rFonts w:ascii="Times" w:eastAsia="Times" w:hAnsi="Times" w:cs="Times"/>
        <w:i/>
        <w:color w:val="000000"/>
        <w:sz w:val="18"/>
        <w:szCs w:val="18"/>
      </w:rPr>
    </w:pPr>
    <w:r>
      <w:rPr>
        <w:rFonts w:ascii="Calibri" w:eastAsia="Calibri" w:hAnsi="Calibri" w:cs="Calibri"/>
        <w:b/>
        <w:i/>
        <w:color w:val="000000"/>
        <w:sz w:val="18"/>
        <w:szCs w:val="18"/>
      </w:rPr>
      <w:t>Revista Interamericana de Psicología/Interamericana Diario de Psicología</w:t>
    </w:r>
    <w:r>
      <w:rPr>
        <w:noProof/>
      </w:rPr>
      <w:drawing>
        <wp:anchor distT="0" distB="0" distL="114300" distR="114300" simplePos="0" relativeHeight="251658240" behindDoc="0" locked="0" layoutInCell="1" hidden="0" allowOverlap="1" wp14:anchorId="7D55E505" wp14:editId="633FE5C7">
          <wp:simplePos x="0" y="0"/>
          <wp:positionH relativeFrom="column">
            <wp:posOffset>64656</wp:posOffset>
          </wp:positionH>
          <wp:positionV relativeFrom="paragraph">
            <wp:posOffset>-253536</wp:posOffset>
          </wp:positionV>
          <wp:extent cx="681164" cy="628073"/>
          <wp:effectExtent l="0" t="0" r="0" b="0"/>
          <wp:wrapNone/>
          <wp:docPr id="2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18661"/>
                  <a:stretch>
                    <a:fillRect/>
                  </a:stretch>
                </pic:blipFill>
                <pic:spPr>
                  <a:xfrm>
                    <a:off x="0" y="0"/>
                    <a:ext cx="681164" cy="628073"/>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FE3"/>
    <w:rsid w:val="00296FE3"/>
    <w:rsid w:val="00326668"/>
    <w:rsid w:val="00326A04"/>
    <w:rsid w:val="004D063C"/>
    <w:rsid w:val="00A67D62"/>
    <w:rsid w:val="00E128B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54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 w:eastAsia="es-C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02D"/>
    <w:rPr>
      <w:lang w:val="es-AR" w:eastAsia="es-ES_tradnl"/>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semiHidden/>
    <w:unhideWhenUsed/>
    <w:rsid w:val="00C413D4"/>
    <w:rPr>
      <w:sz w:val="20"/>
      <w:szCs w:val="20"/>
    </w:rPr>
  </w:style>
  <w:style w:type="character" w:customStyle="1" w:styleId="TextonotapieCar">
    <w:name w:val="Texto nota pie Car"/>
    <w:basedOn w:val="Fuentedeprrafopredeter"/>
    <w:link w:val="Textonotapie"/>
    <w:uiPriority w:val="99"/>
    <w:semiHidden/>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iPriority w:val="99"/>
    <w:unhideWhenUsed/>
    <w:rsid w:val="00B6522A"/>
    <w:rPr>
      <w:color w:val="0000FF"/>
      <w:u w:val="single"/>
    </w:rPr>
  </w:style>
  <w:style w:type="paragraph" w:styleId="Textodeglobo">
    <w:name w:val="Balloon Text"/>
    <w:basedOn w:val="Normal"/>
    <w:link w:val="TextodegloboCar"/>
    <w:uiPriority w:val="99"/>
    <w:semiHidden/>
    <w:unhideWhenUsed/>
    <w:rsid w:val="00FB0419"/>
    <w:rPr>
      <w:sz w:val="18"/>
      <w:szCs w:val="18"/>
    </w:rPr>
  </w:style>
  <w:style w:type="character" w:customStyle="1" w:styleId="TextodegloboCar">
    <w:name w:val="Texto de globo Car"/>
    <w:basedOn w:val="Fuentedeprrafopredeter"/>
    <w:link w:val="Textodeglobo"/>
    <w:uiPriority w:val="99"/>
    <w:semiHidden/>
    <w:rsid w:val="00FB0419"/>
    <w:rPr>
      <w:rFonts w:ascii="Times New Roman" w:eastAsia="Times New Roman" w:hAnsi="Times New Roman" w:cs="Times New Roman"/>
      <w:sz w:val="18"/>
      <w:szCs w:val="18"/>
      <w:lang w:val="es-ES_tradnl" w:eastAsia="es-ES_tradnl"/>
    </w:rPr>
  </w:style>
  <w:style w:type="table" w:styleId="Tablaconcuadrcula">
    <w:name w:val="Table Grid"/>
    <w:basedOn w:val="Tab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5C38AC"/>
    <w:pPr>
      <w:spacing w:before="100" w:beforeAutospacing="1" w:after="100" w:afterAutospacing="1"/>
      <w:jc w:val="center"/>
      <w:outlineLvl w:val="0"/>
    </w:pPr>
    <w:rPr>
      <w:b/>
      <w:sz w:val="28"/>
      <w:szCs w:val="28"/>
      <w:lang w:val="e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uentedeprrafopredeter"/>
    <w:link w:val="Ttulosinternos"/>
    <w:rsid w:val="005C38AC"/>
    <w:rPr>
      <w:rFonts w:ascii="Times New Roman" w:eastAsia="Times New Roman" w:hAnsi="Times New Roman" w:cs="Times New Roman"/>
      <w:b/>
      <w:sz w:val="28"/>
      <w:szCs w:val="28"/>
      <w:lang w:val="es"/>
    </w:rPr>
  </w:style>
  <w:style w:type="character" w:customStyle="1" w:styleId="Ttulo2Car">
    <w:name w:val="Título 2 Car"/>
    <w:basedOn w:val="Fuentedeprrafopredeter"/>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uentedeprrafopredeter"/>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uentedeprrafopredeter"/>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uentedeprrafopredeter"/>
    <w:link w:val="TtuloResumen"/>
    <w:rsid w:val="00C43335"/>
    <w:rPr>
      <w:rFonts w:ascii="Times New Roman" w:eastAsia="Times New Roman" w:hAnsi="Times New Roman" w:cs="Times New Roman"/>
      <w:b/>
      <w:smallCaps/>
      <w:sz w:val="20"/>
      <w:szCs w:val="20"/>
      <w:lang w:val="pt-BR" w:eastAsia="es-ES_tradnl"/>
    </w:rPr>
  </w:style>
  <w:style w:type="character" w:styleId="Mencinsinresolver">
    <w:name w:val="Unresolved Mention"/>
    <w:basedOn w:val="Fuentedeprrafopredeter"/>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customStyle="1" w:styleId="TableNormal0">
    <w:name w:val="Table Normal"/>
    <w:rsid w:val="00A93146"/>
    <w:pPr>
      <w:pBdr>
        <w:top w:val="nil"/>
        <w:left w:val="nil"/>
        <w:bottom w:val="nil"/>
        <w:right w:val="nil"/>
        <w:between w:val="nil"/>
        <w:bar w:val="nil"/>
      </w:pBdr>
    </w:pPr>
    <w:rPr>
      <w:rFonts w:eastAsia="Arial Unicode MS"/>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78702D"/>
    <w:pPr>
      <w:outlineLvl w:val="2"/>
    </w:pPr>
    <w:rPr>
      <w:b w:val="0"/>
      <w:lang w:val="es-AR" w:eastAsia="en-US"/>
    </w:rPr>
  </w:style>
  <w:style w:type="character" w:customStyle="1" w:styleId="SubtituloInterno1Car">
    <w:name w:val="Subtitulo Interno 1 Car"/>
    <w:basedOn w:val="Fuentedeprrafopredeter"/>
    <w:link w:val="SubtituloInterno1"/>
    <w:rsid w:val="0078702D"/>
    <w:rPr>
      <w:rFonts w:ascii="Times New Roman" w:eastAsia="Times New Roman" w:hAnsi="Times New Roman" w:cs="Times New Roman"/>
      <w:i/>
      <w:lang w:val="es-AR"/>
    </w:rPr>
  </w:style>
  <w:style w:type="character" w:styleId="Textodelmarcadordeposicin">
    <w:name w:val="Placeholder Text"/>
    <w:basedOn w:val="Fuentedeprrafopredeter"/>
    <w:uiPriority w:val="99"/>
    <w:semiHidden/>
    <w:rsid w:val="00FE1F2E"/>
    <w:rPr>
      <w:color w:val="808080"/>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tcPr>
      <w:shd w:val="clear" w:color="auto" w:fill="FFFFFF"/>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osf.io/64p7s/?view_only=22b5caa6e33c419091b2f536920e7f8b" TargetMode="External"/><Relationship Id="rId13" Type="http://schemas.openxmlformats.org/officeDocument/2006/relationships/hyperlink" Target="https://www.latinobarometro.org/latContents.jsp"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yqjEjogAJGbLZVTJTMPPCLX4Tg==">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5604</Words>
  <Characters>30825</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2024-03-11T15:04:00Z</dcterms:created>
  <dcterms:modified xsi:type="dcterms:W3CDTF">2024-03-11T15:11:00Z</dcterms:modified>
</cp:coreProperties>
</file>