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3705" w14:textId="77777777" w:rsidR="001D46B9" w:rsidRDefault="008D669C" w:rsidP="002512D9">
      <w:pPr>
        <w:pBdr>
          <w:top w:val="nil"/>
          <w:left w:val="nil"/>
          <w:bottom w:val="nil"/>
          <w:right w:val="nil"/>
          <w:between w:val="nil"/>
        </w:pBdr>
        <w:spacing w:line="360" w:lineRule="auto"/>
        <w:rPr>
          <w:b/>
          <w:color w:val="000000"/>
          <w:sz w:val="40"/>
          <w:szCs w:val="40"/>
          <w:vertAlign w:val="superscript"/>
        </w:rPr>
      </w:pPr>
      <w:bookmarkStart w:id="0" w:name="_heading=h.1fob9te" w:colFirst="0" w:colLast="0"/>
      <w:bookmarkEnd w:id="0"/>
      <w:r>
        <w:rPr>
          <w:b/>
          <w:color w:val="000000"/>
          <w:sz w:val="40"/>
          <w:szCs w:val="40"/>
          <w:vertAlign w:val="superscript"/>
        </w:rPr>
        <w:t>ASSOCIATION BETWEEN PERCEIVED SOCIAL SUPPORT AND DEPRESSIVE SYMPTOMS AMONG EMERGING ADULT STUDENTS IN MALAYSIAN UNIVERSITIES.</w:t>
      </w:r>
    </w:p>
    <w:p w14:paraId="50F12CEF" w14:textId="77777777" w:rsidR="001D46B9" w:rsidRDefault="001D46B9" w:rsidP="002512D9">
      <w:pPr>
        <w:pBdr>
          <w:top w:val="nil"/>
          <w:left w:val="nil"/>
          <w:bottom w:val="nil"/>
          <w:right w:val="nil"/>
          <w:between w:val="nil"/>
        </w:pBdr>
        <w:spacing w:line="360" w:lineRule="auto"/>
        <w:rPr>
          <w:b/>
          <w:color w:val="000000"/>
        </w:rPr>
      </w:pPr>
      <w:bookmarkStart w:id="1" w:name="_heading=h.gjdgxs" w:colFirst="0" w:colLast="0"/>
      <w:bookmarkEnd w:id="1"/>
    </w:p>
    <w:p w14:paraId="4F55AD8E" w14:textId="77777777" w:rsidR="001D46B9" w:rsidRDefault="008D669C" w:rsidP="002512D9">
      <w:pPr>
        <w:pBdr>
          <w:top w:val="nil"/>
          <w:left w:val="nil"/>
          <w:bottom w:val="nil"/>
          <w:right w:val="nil"/>
          <w:between w:val="nil"/>
        </w:pBdr>
        <w:spacing w:line="360" w:lineRule="auto"/>
        <w:rPr>
          <w:b/>
          <w:color w:val="000000"/>
        </w:rPr>
      </w:pPr>
      <w:r>
        <w:rPr>
          <w:b/>
          <w:color w:val="000000"/>
        </w:rPr>
        <w:t>Abstract</w:t>
      </w:r>
    </w:p>
    <w:p w14:paraId="24F00D89" w14:textId="77777777" w:rsidR="001D46B9" w:rsidRDefault="008D669C" w:rsidP="002512D9">
      <w:pPr>
        <w:pBdr>
          <w:top w:val="nil"/>
          <w:left w:val="nil"/>
          <w:bottom w:val="nil"/>
          <w:right w:val="nil"/>
          <w:between w:val="nil"/>
        </w:pBdr>
        <w:spacing w:line="360" w:lineRule="auto"/>
        <w:jc w:val="both"/>
        <w:rPr>
          <w:color w:val="000000"/>
        </w:rPr>
      </w:pPr>
      <w:r>
        <w:rPr>
          <w:color w:val="000000"/>
        </w:rPr>
        <w:t xml:space="preserve">The current study examined the correlation between perceived social </w:t>
      </w:r>
      <w:r>
        <w:rPr>
          <w:color w:val="000000"/>
        </w:rPr>
        <w:t xml:space="preserve">support (PSS) and depressive symptoms (DS) among emerging adult students in Malaysian universities. Furthermore, the study intended to examine the difference in </w:t>
      </w:r>
      <w:r>
        <w:t>PSS</w:t>
      </w:r>
      <w:r>
        <w:rPr>
          <w:color w:val="000000"/>
        </w:rPr>
        <w:t xml:space="preserve"> between male and females. A qua</w:t>
      </w:r>
      <w:r>
        <w:t>ntitative</w:t>
      </w:r>
      <w:r>
        <w:rPr>
          <w:color w:val="000000"/>
        </w:rPr>
        <w:t xml:space="preserve"> cross-sectional study was conducted among 140 univ</w:t>
      </w:r>
      <w:r>
        <w:rPr>
          <w:color w:val="000000"/>
        </w:rPr>
        <w:t>ersity students (70 males and 70 females) from different universities in Malaysia, through convenience sampling. The two questionnaires used are Multidimensional Scale of Perceived Social Support (MSPSS) and Patient Health Questionnaire-9 (PHQ-9). The data</w:t>
      </w:r>
      <w:r>
        <w:rPr>
          <w:color w:val="000000"/>
        </w:rPr>
        <w:t xml:space="preserve"> collected was analysed by SPSS version 27. The researcher utilised a bivariate Pearson’s correlation coefficient (r) to explore the relationship between </w:t>
      </w:r>
      <w:r>
        <w:t>perceived social support (PSS)</w:t>
      </w:r>
      <w:r>
        <w:rPr>
          <w:color w:val="000000"/>
        </w:rPr>
        <w:t xml:space="preserve"> and </w:t>
      </w:r>
      <w:r>
        <w:t>depressive symptoms (DS)</w:t>
      </w:r>
      <w:r>
        <w:rPr>
          <w:color w:val="000000"/>
        </w:rPr>
        <w:t>. The results demonstrated a significant ne</w:t>
      </w:r>
      <w:r>
        <w:rPr>
          <w:color w:val="000000"/>
        </w:rPr>
        <w:t xml:space="preserve">gative correlation between </w:t>
      </w:r>
      <w:r>
        <w:t>PSS</w:t>
      </w:r>
      <w:r>
        <w:rPr>
          <w:color w:val="000000"/>
        </w:rPr>
        <w:t xml:space="preserve"> and </w:t>
      </w:r>
      <w:r>
        <w:t>DS</w:t>
      </w:r>
      <w:r>
        <w:rPr>
          <w:color w:val="000000"/>
        </w:rPr>
        <w:t>. Furthermore, the Independent Samples t-</w:t>
      </w:r>
      <w:r>
        <w:t>t</w:t>
      </w:r>
      <w:r>
        <w:rPr>
          <w:color w:val="000000"/>
        </w:rPr>
        <w:t xml:space="preserve">est was used to analyse if there was any gender difference in </w:t>
      </w:r>
      <w:r>
        <w:t>PSS</w:t>
      </w:r>
      <w:r>
        <w:rPr>
          <w:color w:val="000000"/>
        </w:rPr>
        <w:t xml:space="preserve">. The finding revealed no significant gender differences. In conclusion, prioritise and implement comprehensive </w:t>
      </w:r>
      <w:r>
        <w:rPr>
          <w:color w:val="000000"/>
        </w:rPr>
        <w:t>mental health support workshops, to foster a supportive environment for emerging adult students.</w:t>
      </w:r>
    </w:p>
    <w:p w14:paraId="2843F84B" w14:textId="77777777" w:rsidR="001D46B9" w:rsidRDefault="001D46B9" w:rsidP="002512D9">
      <w:pPr>
        <w:pBdr>
          <w:top w:val="nil"/>
          <w:left w:val="nil"/>
          <w:bottom w:val="nil"/>
          <w:right w:val="nil"/>
          <w:between w:val="nil"/>
        </w:pBdr>
        <w:spacing w:line="360" w:lineRule="auto"/>
        <w:rPr>
          <w:i/>
          <w:color w:val="000000"/>
          <w:sz w:val="22"/>
          <w:szCs w:val="22"/>
        </w:rPr>
      </w:pPr>
    </w:p>
    <w:p w14:paraId="52991F93" w14:textId="77777777" w:rsidR="001D46B9" w:rsidRDefault="008D669C" w:rsidP="002512D9">
      <w:pPr>
        <w:pBdr>
          <w:top w:val="nil"/>
          <w:left w:val="nil"/>
          <w:bottom w:val="nil"/>
          <w:right w:val="nil"/>
          <w:between w:val="nil"/>
        </w:pBdr>
        <w:spacing w:line="360" w:lineRule="auto"/>
        <w:rPr>
          <w:color w:val="000000"/>
          <w:sz w:val="22"/>
          <w:szCs w:val="22"/>
        </w:rPr>
      </w:pPr>
      <w:r>
        <w:rPr>
          <w:i/>
          <w:color w:val="000000"/>
          <w:sz w:val="22"/>
          <w:szCs w:val="22"/>
        </w:rPr>
        <w:t>Keywords:</w:t>
      </w:r>
      <w:r>
        <w:rPr>
          <w:color w:val="000000"/>
          <w:sz w:val="22"/>
          <w:szCs w:val="22"/>
        </w:rPr>
        <w:t xml:space="preserve"> perceived social support, depressive symptoms, gender, university students</w:t>
      </w:r>
    </w:p>
    <w:p w14:paraId="575D2B6F" w14:textId="77777777" w:rsidR="001D46B9" w:rsidRDefault="001D46B9" w:rsidP="002512D9">
      <w:pPr>
        <w:pBdr>
          <w:top w:val="nil"/>
          <w:left w:val="nil"/>
          <w:bottom w:val="nil"/>
          <w:right w:val="nil"/>
          <w:between w:val="nil"/>
        </w:pBdr>
        <w:spacing w:line="360" w:lineRule="auto"/>
        <w:rPr>
          <w:color w:val="000000"/>
          <w:sz w:val="22"/>
          <w:szCs w:val="22"/>
        </w:rPr>
        <w:sectPr w:rsidR="001D46B9">
          <w:headerReference w:type="default" r:id="rId7"/>
          <w:footerReference w:type="default" r:id="rId8"/>
          <w:pgSz w:w="12240" w:h="15840"/>
          <w:pgMar w:top="1021" w:right="907" w:bottom="1021" w:left="1077" w:header="720" w:footer="720" w:gutter="0"/>
          <w:pgNumType w:start="1"/>
          <w:cols w:space="720"/>
        </w:sectPr>
      </w:pPr>
    </w:p>
    <w:p w14:paraId="2C5823C8" w14:textId="77777777" w:rsidR="001D46B9" w:rsidRDefault="001D46B9" w:rsidP="002512D9">
      <w:pPr>
        <w:pBdr>
          <w:top w:val="nil"/>
          <w:left w:val="nil"/>
          <w:bottom w:val="nil"/>
          <w:right w:val="nil"/>
          <w:between w:val="nil"/>
        </w:pBdr>
        <w:spacing w:line="360" w:lineRule="auto"/>
        <w:rPr>
          <w:rFonts w:ascii="Calibri" w:eastAsia="Calibri" w:hAnsi="Calibri" w:cs="Calibri"/>
          <w:color w:val="000000"/>
          <w:sz w:val="22"/>
          <w:szCs w:val="22"/>
        </w:rPr>
      </w:pPr>
    </w:p>
    <w:p w14:paraId="4C617D0F" w14:textId="77777777" w:rsidR="001D46B9" w:rsidRDefault="008D669C" w:rsidP="002512D9">
      <w:pPr>
        <w:pBdr>
          <w:top w:val="nil"/>
          <w:left w:val="nil"/>
          <w:bottom w:val="nil"/>
          <w:right w:val="nil"/>
          <w:between w:val="nil"/>
        </w:pBdr>
        <w:spacing w:line="360" w:lineRule="auto"/>
        <w:rPr>
          <w:b/>
          <w:color w:val="000000"/>
          <w:sz w:val="28"/>
          <w:szCs w:val="28"/>
        </w:rPr>
      </w:pPr>
      <w:r>
        <w:rPr>
          <w:b/>
          <w:color w:val="000000"/>
          <w:sz w:val="28"/>
          <w:szCs w:val="28"/>
        </w:rPr>
        <w:t>Introduction</w:t>
      </w:r>
    </w:p>
    <w:p w14:paraId="293E4E85" w14:textId="77777777" w:rsidR="002512D9" w:rsidRDefault="008D669C" w:rsidP="002512D9">
      <w:pPr>
        <w:pBdr>
          <w:top w:val="nil"/>
          <w:left w:val="nil"/>
          <w:bottom w:val="nil"/>
          <w:right w:val="nil"/>
          <w:between w:val="nil"/>
        </w:pBdr>
        <w:spacing w:line="360" w:lineRule="auto"/>
        <w:jc w:val="both"/>
        <w:rPr>
          <w:color w:val="000000"/>
          <w:sz w:val="22"/>
          <w:szCs w:val="22"/>
        </w:rPr>
      </w:pPr>
      <w:r>
        <w:rPr>
          <w:color w:val="000000"/>
          <w:sz w:val="22"/>
          <w:szCs w:val="22"/>
        </w:rPr>
        <w:t>Perceived social support (PSS) refers to the subjective evaluation of support from friends, family members, and others during times of difficulty (Grey et al., 2020). Research consistently shows that perceived levels of support, love, and care can contribu</w:t>
      </w:r>
      <w:r>
        <w:rPr>
          <w:color w:val="000000"/>
          <w:sz w:val="22"/>
          <w:szCs w:val="22"/>
        </w:rPr>
        <w:t>te positively to one's well-being (</w:t>
      </w:r>
      <w:proofErr w:type="spellStart"/>
      <w:r>
        <w:rPr>
          <w:color w:val="000000"/>
          <w:sz w:val="22"/>
          <w:szCs w:val="22"/>
        </w:rPr>
        <w:t>Ioannou</w:t>
      </w:r>
      <w:proofErr w:type="spellEnd"/>
      <w:r>
        <w:rPr>
          <w:color w:val="000000"/>
          <w:sz w:val="22"/>
          <w:szCs w:val="22"/>
        </w:rPr>
        <w:t xml:space="preserve"> et al., 2019). Notably, social support has been found to significantly impact depression and overall quality of life among university students (</w:t>
      </w:r>
      <w:proofErr w:type="spellStart"/>
      <w:r>
        <w:rPr>
          <w:color w:val="000000"/>
          <w:sz w:val="22"/>
          <w:szCs w:val="22"/>
        </w:rPr>
        <w:t>Alsubaie</w:t>
      </w:r>
      <w:proofErr w:type="spellEnd"/>
      <w:r>
        <w:rPr>
          <w:color w:val="000000"/>
          <w:sz w:val="22"/>
          <w:szCs w:val="22"/>
        </w:rPr>
        <w:t xml:space="preserve"> et al., 2019). Depression </w:t>
      </w:r>
    </w:p>
    <w:p w14:paraId="62670D2A" w14:textId="77777777" w:rsidR="002512D9" w:rsidRDefault="002512D9" w:rsidP="002512D9">
      <w:pPr>
        <w:pBdr>
          <w:top w:val="nil"/>
          <w:left w:val="nil"/>
          <w:bottom w:val="nil"/>
          <w:right w:val="nil"/>
          <w:between w:val="nil"/>
        </w:pBdr>
        <w:spacing w:line="360" w:lineRule="auto"/>
        <w:jc w:val="both"/>
        <w:rPr>
          <w:color w:val="000000"/>
          <w:sz w:val="22"/>
          <w:szCs w:val="22"/>
        </w:rPr>
      </w:pPr>
    </w:p>
    <w:p w14:paraId="2BB1216C" w14:textId="182A7883" w:rsidR="001D46B9" w:rsidRDefault="008D669C" w:rsidP="002512D9">
      <w:pPr>
        <w:pBdr>
          <w:top w:val="nil"/>
          <w:left w:val="nil"/>
          <w:bottom w:val="nil"/>
          <w:right w:val="nil"/>
          <w:between w:val="nil"/>
        </w:pBdr>
        <w:spacing w:line="360" w:lineRule="auto"/>
        <w:jc w:val="both"/>
        <w:rPr>
          <w:color w:val="000000"/>
          <w:sz w:val="22"/>
          <w:szCs w:val="22"/>
        </w:rPr>
      </w:pPr>
      <w:r>
        <w:rPr>
          <w:color w:val="000000"/>
          <w:sz w:val="22"/>
          <w:szCs w:val="22"/>
        </w:rPr>
        <w:t>is defined by the American Psychol</w:t>
      </w:r>
      <w:r>
        <w:rPr>
          <w:color w:val="000000"/>
          <w:sz w:val="22"/>
          <w:szCs w:val="22"/>
        </w:rPr>
        <w:t xml:space="preserve">ogical Association (n.d.), as a mental disorder that can significantly impair physical, social, and cognitive functions. It is </w:t>
      </w:r>
      <w:r>
        <w:rPr>
          <w:sz w:val="22"/>
          <w:szCs w:val="22"/>
        </w:rPr>
        <w:t>characterised</w:t>
      </w:r>
      <w:r>
        <w:rPr>
          <w:color w:val="000000"/>
          <w:sz w:val="22"/>
          <w:szCs w:val="22"/>
        </w:rPr>
        <w:t xml:space="preserve"> by symptoms such as anhedonia, rapid weight loss or gain, lethargy, feelings of worthlessness, impaired concentrati</w:t>
      </w:r>
      <w:r>
        <w:rPr>
          <w:color w:val="000000"/>
          <w:sz w:val="22"/>
          <w:szCs w:val="22"/>
        </w:rPr>
        <w:t>on, and recurrent thoughts of death (Major et al., 2000).</w:t>
      </w:r>
    </w:p>
    <w:p w14:paraId="3DB16703" w14:textId="77777777" w:rsidR="002512D9" w:rsidRDefault="002512D9" w:rsidP="002512D9">
      <w:pPr>
        <w:pBdr>
          <w:top w:val="nil"/>
          <w:left w:val="nil"/>
          <w:bottom w:val="nil"/>
          <w:right w:val="nil"/>
          <w:between w:val="nil"/>
        </w:pBdr>
        <w:spacing w:line="360" w:lineRule="auto"/>
        <w:jc w:val="both"/>
        <w:rPr>
          <w:color w:val="000000"/>
          <w:sz w:val="22"/>
          <w:szCs w:val="22"/>
        </w:rPr>
      </w:pPr>
    </w:p>
    <w:p w14:paraId="56B6EC34" w14:textId="77777777" w:rsidR="002512D9" w:rsidRDefault="002512D9" w:rsidP="002512D9">
      <w:pPr>
        <w:widowControl w:val="0"/>
        <w:pBdr>
          <w:top w:val="nil"/>
          <w:left w:val="nil"/>
          <w:bottom w:val="nil"/>
          <w:right w:val="nil"/>
          <w:between w:val="nil"/>
        </w:pBdr>
        <w:tabs>
          <w:tab w:val="left" w:pos="198"/>
        </w:tabs>
        <w:spacing w:line="360" w:lineRule="auto"/>
        <w:jc w:val="both"/>
        <w:rPr>
          <w:b/>
          <w:color w:val="000000"/>
          <w:sz w:val="28"/>
          <w:szCs w:val="28"/>
        </w:rPr>
      </w:pPr>
    </w:p>
    <w:p w14:paraId="3B932CCD" w14:textId="77777777" w:rsidR="002512D9" w:rsidRDefault="002512D9" w:rsidP="002512D9">
      <w:pPr>
        <w:widowControl w:val="0"/>
        <w:pBdr>
          <w:top w:val="nil"/>
          <w:left w:val="nil"/>
          <w:bottom w:val="nil"/>
          <w:right w:val="nil"/>
          <w:between w:val="nil"/>
        </w:pBdr>
        <w:tabs>
          <w:tab w:val="left" w:pos="198"/>
        </w:tabs>
        <w:spacing w:line="360" w:lineRule="auto"/>
        <w:jc w:val="both"/>
        <w:rPr>
          <w:b/>
          <w:color w:val="000000"/>
          <w:sz w:val="28"/>
          <w:szCs w:val="28"/>
        </w:rPr>
      </w:pPr>
    </w:p>
    <w:p w14:paraId="7D197F59" w14:textId="42907988" w:rsidR="002512D9" w:rsidRDefault="008D669C" w:rsidP="002512D9">
      <w:pPr>
        <w:widowControl w:val="0"/>
        <w:pBdr>
          <w:top w:val="nil"/>
          <w:left w:val="nil"/>
          <w:bottom w:val="nil"/>
          <w:right w:val="nil"/>
          <w:between w:val="nil"/>
        </w:pBdr>
        <w:tabs>
          <w:tab w:val="left" w:pos="198"/>
        </w:tabs>
        <w:spacing w:line="360" w:lineRule="auto"/>
        <w:jc w:val="both"/>
        <w:rPr>
          <w:b/>
          <w:color w:val="000000"/>
          <w:sz w:val="28"/>
          <w:szCs w:val="28"/>
        </w:rPr>
      </w:pPr>
      <w:r>
        <w:rPr>
          <w:b/>
          <w:color w:val="000000"/>
          <w:sz w:val="28"/>
          <w:szCs w:val="28"/>
        </w:rPr>
        <w:lastRenderedPageBreak/>
        <w:t xml:space="preserve">Problem of Statement and Literature Review </w:t>
      </w:r>
    </w:p>
    <w:p w14:paraId="75A4211B" w14:textId="2AFB1320" w:rsidR="001D46B9" w:rsidRPr="002512D9" w:rsidRDefault="008D669C" w:rsidP="002512D9">
      <w:pPr>
        <w:widowControl w:val="0"/>
        <w:pBdr>
          <w:top w:val="nil"/>
          <w:left w:val="nil"/>
          <w:bottom w:val="nil"/>
          <w:right w:val="nil"/>
          <w:between w:val="nil"/>
        </w:pBdr>
        <w:tabs>
          <w:tab w:val="left" w:pos="198"/>
        </w:tabs>
        <w:spacing w:line="360" w:lineRule="auto"/>
        <w:jc w:val="both"/>
        <w:rPr>
          <w:b/>
          <w:color w:val="000000"/>
          <w:sz w:val="28"/>
          <w:szCs w:val="28"/>
        </w:rPr>
      </w:pPr>
      <w:r>
        <w:rPr>
          <w:color w:val="000000"/>
          <w:sz w:val="22"/>
          <w:szCs w:val="22"/>
        </w:rPr>
        <w:t>The theory of emerging adulthood proposes that young adults aged between 18 and 25 undergo a phase of exploration and uncertainty as they transition int</w:t>
      </w:r>
      <w:r>
        <w:rPr>
          <w:color w:val="000000"/>
          <w:sz w:val="22"/>
          <w:szCs w:val="22"/>
        </w:rPr>
        <w:t>o adulthood, with increased demands on them due to advancements in technology and education (Arnett, 2000). University students are particularly vulnerable during this critical period, facing challenges such as independent living, academic stress, and care</w:t>
      </w:r>
      <w:r>
        <w:rPr>
          <w:color w:val="000000"/>
          <w:sz w:val="22"/>
          <w:szCs w:val="22"/>
        </w:rPr>
        <w:t>er planning that can predispose them to depression (Shamsuddin et al., 2013). In Malaysia, the mental health of emerging adults is a growing concern, with an increasing number of university students experiencing depression. According to the Ministry of Hea</w:t>
      </w:r>
      <w:r>
        <w:rPr>
          <w:color w:val="000000"/>
          <w:sz w:val="22"/>
          <w:szCs w:val="22"/>
        </w:rPr>
        <w:t>lth, the prevalence of depression in young adults aged 18 years and above in Malaysia was 2.3% (Khalid, 2021). A review revealed that the prevalence of depression among university students is higher compared to the general population (Ibrahim et al., 2013)</w:t>
      </w:r>
      <w:r>
        <w:rPr>
          <w:color w:val="000000"/>
          <w:sz w:val="22"/>
          <w:szCs w:val="22"/>
        </w:rPr>
        <w:t>. In a study of 1,023 university students, approximately 30% of respondents reported experiencing depression, including 4.4% with severe depression (Islam et al., 2018). In addition, a recent research study conducted by Wong et al. (2023) in Malaysia showe</w:t>
      </w:r>
      <w:r>
        <w:rPr>
          <w:color w:val="000000"/>
          <w:sz w:val="22"/>
          <w:szCs w:val="22"/>
        </w:rPr>
        <w:t>d that over half (55.9%) of 388 university students experienced mild to severe depression, with 12.1% of them classified in the mild range and 21.4% in the severe range. Multiple studies have documented a surge in both the prevalence and severity of depres</w:t>
      </w:r>
      <w:r>
        <w:rPr>
          <w:color w:val="000000"/>
          <w:sz w:val="22"/>
          <w:szCs w:val="22"/>
        </w:rPr>
        <w:t xml:space="preserve">sion among university students in Malaysia (Islam et al., 2018; Wong et al. 2023). These emotional and mental pressures can lead to risky behaviours, including increased smoking and alcohol </w:t>
      </w:r>
      <w:r>
        <w:rPr>
          <w:color w:val="000000"/>
          <w:sz w:val="22"/>
          <w:szCs w:val="22"/>
        </w:rPr>
        <w:t>consumption, as well as self-harm (Islam et al., 2018). Depression</w:t>
      </w:r>
      <w:r>
        <w:rPr>
          <w:color w:val="000000"/>
          <w:sz w:val="22"/>
          <w:szCs w:val="22"/>
        </w:rPr>
        <w:t xml:space="preserve"> can also severely harm students' physical and mental health, leading to acute infectious diseases, suicidal ideation, and suicide (Islam et al., 2018). Although several studies have shown that the existence of social support is a significant predictor of </w:t>
      </w:r>
      <w:r>
        <w:rPr>
          <w:color w:val="000000"/>
          <w:sz w:val="22"/>
          <w:szCs w:val="22"/>
        </w:rPr>
        <w:t>a decrease in depressive symptoms (DS) (</w:t>
      </w:r>
      <w:proofErr w:type="spellStart"/>
      <w:r>
        <w:rPr>
          <w:color w:val="000000"/>
          <w:sz w:val="22"/>
          <w:szCs w:val="22"/>
        </w:rPr>
        <w:t>Gariépy</w:t>
      </w:r>
      <w:proofErr w:type="spellEnd"/>
      <w:r>
        <w:rPr>
          <w:color w:val="000000"/>
          <w:sz w:val="22"/>
          <w:szCs w:val="22"/>
        </w:rPr>
        <w:t xml:space="preserve"> et al., 2016; Liu et al., 2020), there have been no studies conducted to test the correlation of both variables among university students in Malaysia to the best of my knowledge. Therefore, there is a gap in </w:t>
      </w:r>
      <w:r>
        <w:rPr>
          <w:color w:val="000000"/>
          <w:sz w:val="22"/>
          <w:szCs w:val="22"/>
        </w:rPr>
        <w:t xml:space="preserve">the literature that needs to be addressed to further our understanding of the impact of </w:t>
      </w:r>
      <w:r>
        <w:rPr>
          <w:sz w:val="22"/>
          <w:szCs w:val="22"/>
        </w:rPr>
        <w:t>PSS</w:t>
      </w:r>
      <w:r>
        <w:rPr>
          <w:color w:val="000000"/>
          <w:sz w:val="22"/>
          <w:szCs w:val="22"/>
        </w:rPr>
        <w:t xml:space="preserve"> on depression in this population.</w:t>
      </w:r>
    </w:p>
    <w:p w14:paraId="34970C02" w14:textId="77777777" w:rsidR="001D46B9" w:rsidRDefault="001D46B9" w:rsidP="002512D9">
      <w:pPr>
        <w:pBdr>
          <w:top w:val="nil"/>
          <w:left w:val="nil"/>
          <w:bottom w:val="nil"/>
          <w:right w:val="nil"/>
          <w:between w:val="nil"/>
        </w:pBdr>
        <w:spacing w:line="360" w:lineRule="auto"/>
        <w:rPr>
          <w:color w:val="000000"/>
          <w:sz w:val="22"/>
          <w:szCs w:val="22"/>
        </w:rPr>
      </w:pPr>
    </w:p>
    <w:p w14:paraId="21B484AA" w14:textId="77777777" w:rsidR="001D46B9" w:rsidRDefault="008D669C" w:rsidP="002512D9">
      <w:pPr>
        <w:pBdr>
          <w:top w:val="nil"/>
          <w:left w:val="nil"/>
          <w:bottom w:val="nil"/>
          <w:right w:val="nil"/>
          <w:between w:val="nil"/>
        </w:pBdr>
        <w:spacing w:line="360" w:lineRule="auto"/>
        <w:ind w:firstLine="720"/>
        <w:jc w:val="both"/>
        <w:rPr>
          <w:color w:val="000000"/>
          <w:sz w:val="22"/>
          <w:szCs w:val="22"/>
        </w:rPr>
      </w:pPr>
      <w:r>
        <w:rPr>
          <w:color w:val="000000"/>
          <w:sz w:val="22"/>
          <w:szCs w:val="22"/>
        </w:rPr>
        <w:t xml:space="preserve">Social support refers to the interpersonal resources that individuals can access and </w:t>
      </w:r>
      <w:r>
        <w:rPr>
          <w:sz w:val="22"/>
          <w:szCs w:val="22"/>
        </w:rPr>
        <w:t>mobilise</w:t>
      </w:r>
      <w:r>
        <w:rPr>
          <w:color w:val="000000"/>
          <w:sz w:val="22"/>
          <w:szCs w:val="22"/>
        </w:rPr>
        <w:t xml:space="preserve"> when dealing with the everyday stresses and challenges of life (Wang et al., 2016). This support can be conveyed through verbal and nonverbal communication, as well as through actual or perceived exchanges of physical or psychosocial resources, such as in</w:t>
      </w:r>
      <w:r>
        <w:rPr>
          <w:color w:val="000000"/>
          <w:sz w:val="22"/>
          <w:szCs w:val="22"/>
        </w:rPr>
        <w:t xml:space="preserve">formation and knowledge (McDougall et al., 2016). Generally, social support comes from networks that include family, friends, neighbours, and community members (Zhong et al., 2020). In the context of university life, the level of </w:t>
      </w:r>
      <w:r>
        <w:rPr>
          <w:sz w:val="22"/>
          <w:szCs w:val="22"/>
        </w:rPr>
        <w:t>PSS</w:t>
      </w:r>
      <w:r>
        <w:rPr>
          <w:color w:val="000000"/>
          <w:sz w:val="22"/>
          <w:szCs w:val="22"/>
        </w:rPr>
        <w:t xml:space="preserve"> from the student’s fam</w:t>
      </w:r>
      <w:r>
        <w:rPr>
          <w:color w:val="000000"/>
          <w:sz w:val="22"/>
          <w:szCs w:val="22"/>
        </w:rPr>
        <w:t>ily, friends, and academic community can exert a direct influence on their ability to cope with the associated challenges (Cage et al., 2021; Mishra, 2020), which has also been linked with more productive experiences during the students' educational journe</w:t>
      </w:r>
      <w:r>
        <w:rPr>
          <w:color w:val="000000"/>
          <w:sz w:val="22"/>
          <w:szCs w:val="22"/>
        </w:rPr>
        <w:t>y (</w:t>
      </w:r>
      <w:proofErr w:type="spellStart"/>
      <w:r>
        <w:rPr>
          <w:color w:val="000000"/>
          <w:sz w:val="22"/>
          <w:szCs w:val="22"/>
        </w:rPr>
        <w:t>Maymon</w:t>
      </w:r>
      <w:proofErr w:type="spellEnd"/>
      <w:r>
        <w:rPr>
          <w:color w:val="000000"/>
          <w:sz w:val="22"/>
          <w:szCs w:val="22"/>
        </w:rPr>
        <w:t xml:space="preserve"> et al., 2019). Better social relationships are associated with improved mental health (</w:t>
      </w:r>
      <w:proofErr w:type="spellStart"/>
      <w:r>
        <w:rPr>
          <w:color w:val="000000"/>
          <w:sz w:val="22"/>
          <w:szCs w:val="22"/>
        </w:rPr>
        <w:t>Sommerlad</w:t>
      </w:r>
      <w:proofErr w:type="spellEnd"/>
      <w:r>
        <w:rPr>
          <w:color w:val="000000"/>
          <w:sz w:val="22"/>
          <w:szCs w:val="22"/>
        </w:rPr>
        <w:t xml:space="preserve"> et al., 2021), and </w:t>
      </w:r>
      <w:r>
        <w:rPr>
          <w:sz w:val="22"/>
          <w:szCs w:val="22"/>
        </w:rPr>
        <w:t>PSS</w:t>
      </w:r>
      <w:r>
        <w:rPr>
          <w:color w:val="000000"/>
          <w:sz w:val="22"/>
          <w:szCs w:val="22"/>
        </w:rPr>
        <w:t xml:space="preserve"> can </w:t>
      </w:r>
      <w:r>
        <w:rPr>
          <w:color w:val="000000"/>
          <w:sz w:val="22"/>
          <w:szCs w:val="22"/>
        </w:rPr>
        <w:lastRenderedPageBreak/>
        <w:t>serve as a protective buffer against stressful life events and adverse situations, making it an important factor in mainta</w:t>
      </w:r>
      <w:r>
        <w:rPr>
          <w:color w:val="000000"/>
          <w:sz w:val="22"/>
          <w:szCs w:val="22"/>
        </w:rPr>
        <w:t>ining physical and mental well-being (</w:t>
      </w:r>
      <w:proofErr w:type="spellStart"/>
      <w:r>
        <w:rPr>
          <w:color w:val="000000"/>
          <w:sz w:val="22"/>
          <w:szCs w:val="22"/>
        </w:rPr>
        <w:t>Ioannou</w:t>
      </w:r>
      <w:proofErr w:type="spellEnd"/>
      <w:r>
        <w:rPr>
          <w:color w:val="000000"/>
          <w:sz w:val="22"/>
          <w:szCs w:val="22"/>
        </w:rPr>
        <w:t xml:space="preserve"> et al., 2019; </w:t>
      </w:r>
      <w:proofErr w:type="spellStart"/>
      <w:r>
        <w:rPr>
          <w:color w:val="000000"/>
          <w:sz w:val="22"/>
          <w:szCs w:val="22"/>
        </w:rPr>
        <w:t>Singstad</w:t>
      </w:r>
      <w:proofErr w:type="spellEnd"/>
      <w:r>
        <w:rPr>
          <w:color w:val="000000"/>
          <w:sz w:val="22"/>
          <w:szCs w:val="22"/>
        </w:rPr>
        <w:t xml:space="preserve"> et al., 2021). According to research, </w:t>
      </w:r>
      <w:r>
        <w:rPr>
          <w:sz w:val="22"/>
          <w:szCs w:val="22"/>
        </w:rPr>
        <w:t>PSS</w:t>
      </w:r>
      <w:r>
        <w:rPr>
          <w:color w:val="000000"/>
          <w:sz w:val="22"/>
          <w:szCs w:val="22"/>
        </w:rPr>
        <w:t xml:space="preserve"> is a significant negative predictor of depression (Bukhari &amp; Afzal, 2017).</w:t>
      </w:r>
    </w:p>
    <w:p w14:paraId="255242BA" w14:textId="77777777" w:rsidR="001D46B9" w:rsidRDefault="001D46B9" w:rsidP="002512D9">
      <w:pPr>
        <w:pBdr>
          <w:top w:val="nil"/>
          <w:left w:val="nil"/>
          <w:bottom w:val="nil"/>
          <w:right w:val="nil"/>
          <w:between w:val="nil"/>
        </w:pBdr>
        <w:spacing w:line="360" w:lineRule="auto"/>
        <w:ind w:firstLine="720"/>
        <w:jc w:val="both"/>
        <w:rPr>
          <w:color w:val="000000"/>
          <w:sz w:val="22"/>
          <w:szCs w:val="22"/>
        </w:rPr>
      </w:pPr>
    </w:p>
    <w:p w14:paraId="5FD6B2A9" w14:textId="77777777" w:rsidR="001D46B9" w:rsidRDefault="008D669C" w:rsidP="002512D9">
      <w:pPr>
        <w:pBdr>
          <w:top w:val="nil"/>
          <w:left w:val="nil"/>
          <w:bottom w:val="nil"/>
          <w:right w:val="nil"/>
          <w:between w:val="nil"/>
        </w:pBdr>
        <w:spacing w:line="360" w:lineRule="auto"/>
        <w:ind w:firstLine="720"/>
        <w:jc w:val="both"/>
        <w:rPr>
          <w:b/>
          <w:color w:val="000000"/>
          <w:sz w:val="22"/>
          <w:szCs w:val="22"/>
        </w:rPr>
      </w:pPr>
      <w:r>
        <w:rPr>
          <w:color w:val="000000"/>
          <w:sz w:val="22"/>
          <w:szCs w:val="22"/>
        </w:rPr>
        <w:t>Studies have consistently reported that social support can have a sig</w:t>
      </w:r>
      <w:r>
        <w:rPr>
          <w:color w:val="000000"/>
          <w:sz w:val="22"/>
          <w:szCs w:val="22"/>
        </w:rPr>
        <w:t xml:space="preserve">nificant impact on mental health outcomes, including depression. According to </w:t>
      </w:r>
      <w:proofErr w:type="spellStart"/>
      <w:r>
        <w:rPr>
          <w:color w:val="000000"/>
          <w:sz w:val="22"/>
          <w:szCs w:val="22"/>
        </w:rPr>
        <w:t>Gariépy</w:t>
      </w:r>
      <w:proofErr w:type="spellEnd"/>
      <w:r>
        <w:rPr>
          <w:color w:val="000000"/>
          <w:sz w:val="22"/>
          <w:szCs w:val="22"/>
        </w:rPr>
        <w:t xml:space="preserve"> et al. (2016), people with perceived support had a lower incidence of depression and </w:t>
      </w:r>
      <w:r>
        <w:rPr>
          <w:sz w:val="22"/>
          <w:szCs w:val="22"/>
        </w:rPr>
        <w:t>DS</w:t>
      </w:r>
      <w:r>
        <w:rPr>
          <w:color w:val="000000"/>
          <w:sz w:val="22"/>
          <w:szCs w:val="22"/>
        </w:rPr>
        <w:t>. Similarly, Liu et al. (2020) reported that individuals with higher evaluations of</w:t>
      </w:r>
      <w:r>
        <w:rPr>
          <w:color w:val="000000"/>
          <w:sz w:val="22"/>
          <w:szCs w:val="22"/>
        </w:rPr>
        <w:t xml:space="preserve"> </w:t>
      </w:r>
      <w:r>
        <w:rPr>
          <w:sz w:val="22"/>
          <w:szCs w:val="22"/>
        </w:rPr>
        <w:t>PSS</w:t>
      </w:r>
      <w:r>
        <w:rPr>
          <w:color w:val="000000"/>
          <w:sz w:val="22"/>
          <w:szCs w:val="22"/>
        </w:rPr>
        <w:t xml:space="preserve"> from their </w:t>
      </w:r>
      <w:r>
        <w:rPr>
          <w:sz w:val="22"/>
          <w:szCs w:val="22"/>
        </w:rPr>
        <w:t>family were</w:t>
      </w:r>
      <w:r>
        <w:rPr>
          <w:color w:val="000000"/>
          <w:sz w:val="22"/>
          <w:szCs w:val="22"/>
        </w:rPr>
        <w:t xml:space="preserve"> linked with lower levels of depression and post-traumatic stress disorder (PTSD). Bukhari and Afzal (2017) have proposed that inadequate social support might be a crucial factor in psychological problems, particularly symptoms o</w:t>
      </w:r>
      <w:r>
        <w:rPr>
          <w:color w:val="000000"/>
          <w:sz w:val="22"/>
          <w:szCs w:val="22"/>
        </w:rPr>
        <w:t>f depression. Conversely, receiving support from family and friends could play a crucial role in reducing the likelihood of experiencing</w:t>
      </w:r>
      <w:r>
        <w:rPr>
          <w:sz w:val="22"/>
          <w:szCs w:val="22"/>
        </w:rPr>
        <w:t xml:space="preserve"> DS</w:t>
      </w:r>
      <w:r>
        <w:rPr>
          <w:color w:val="000000"/>
          <w:sz w:val="22"/>
          <w:szCs w:val="22"/>
        </w:rPr>
        <w:t xml:space="preserve"> and enhancing the quality of life concerning psychological well-being (</w:t>
      </w:r>
      <w:proofErr w:type="spellStart"/>
      <w:r>
        <w:rPr>
          <w:color w:val="000000"/>
          <w:sz w:val="22"/>
          <w:szCs w:val="22"/>
        </w:rPr>
        <w:t>Alsubaie</w:t>
      </w:r>
      <w:proofErr w:type="spellEnd"/>
      <w:r>
        <w:rPr>
          <w:color w:val="000000"/>
          <w:sz w:val="22"/>
          <w:szCs w:val="22"/>
        </w:rPr>
        <w:t xml:space="preserve"> et al., 2019). Furthermore, the outc</w:t>
      </w:r>
      <w:r>
        <w:rPr>
          <w:color w:val="000000"/>
          <w:sz w:val="22"/>
          <w:szCs w:val="22"/>
        </w:rPr>
        <w:t xml:space="preserve">omes of a recent investigation carried out by Grey et al. (2020) demonstrate that individuals with high levels of </w:t>
      </w:r>
      <w:r>
        <w:rPr>
          <w:sz w:val="22"/>
          <w:szCs w:val="22"/>
        </w:rPr>
        <w:t xml:space="preserve">PSS </w:t>
      </w:r>
      <w:r>
        <w:rPr>
          <w:color w:val="000000"/>
          <w:sz w:val="22"/>
          <w:szCs w:val="22"/>
        </w:rPr>
        <w:t xml:space="preserve">have a 63% decreased risk of depression in comparison to those with low </w:t>
      </w:r>
      <w:r>
        <w:rPr>
          <w:sz w:val="22"/>
          <w:szCs w:val="22"/>
        </w:rPr>
        <w:t>PSS</w:t>
      </w:r>
      <w:r>
        <w:rPr>
          <w:color w:val="000000"/>
          <w:sz w:val="22"/>
          <w:szCs w:val="22"/>
        </w:rPr>
        <w:t>. This association persists even after adjusting for confoundin</w:t>
      </w:r>
      <w:r>
        <w:rPr>
          <w:color w:val="000000"/>
          <w:sz w:val="22"/>
          <w:szCs w:val="22"/>
        </w:rPr>
        <w:t>g factors such as age, gender, education level, and the presence of chronic illness.</w:t>
      </w:r>
    </w:p>
    <w:p w14:paraId="4A90D61C" w14:textId="77777777" w:rsidR="001D46B9" w:rsidRDefault="001D46B9" w:rsidP="002512D9">
      <w:pPr>
        <w:pBdr>
          <w:top w:val="nil"/>
          <w:left w:val="nil"/>
          <w:bottom w:val="nil"/>
          <w:right w:val="nil"/>
          <w:between w:val="nil"/>
        </w:pBdr>
        <w:spacing w:line="360" w:lineRule="auto"/>
        <w:rPr>
          <w:b/>
          <w:color w:val="000000"/>
          <w:sz w:val="28"/>
          <w:szCs w:val="28"/>
        </w:rPr>
      </w:pPr>
    </w:p>
    <w:p w14:paraId="3172CC69" w14:textId="77777777" w:rsidR="001D46B9" w:rsidRDefault="008D669C" w:rsidP="002512D9">
      <w:pPr>
        <w:pBdr>
          <w:top w:val="nil"/>
          <w:left w:val="nil"/>
          <w:bottom w:val="nil"/>
          <w:right w:val="nil"/>
          <w:between w:val="nil"/>
        </w:pBdr>
        <w:spacing w:line="360" w:lineRule="auto"/>
        <w:rPr>
          <w:b/>
          <w:i/>
          <w:color w:val="000000"/>
          <w:sz w:val="28"/>
          <w:szCs w:val="28"/>
        </w:rPr>
      </w:pPr>
      <w:r>
        <w:rPr>
          <w:b/>
          <w:i/>
          <w:color w:val="000000"/>
          <w:sz w:val="28"/>
          <w:szCs w:val="28"/>
        </w:rPr>
        <w:t xml:space="preserve">Gender Differences in Perceived Social Support </w:t>
      </w:r>
    </w:p>
    <w:p w14:paraId="1C18A2A0" w14:textId="77777777" w:rsidR="001D46B9" w:rsidRDefault="008D669C" w:rsidP="002512D9">
      <w:pPr>
        <w:pBdr>
          <w:top w:val="nil"/>
          <w:left w:val="nil"/>
          <w:bottom w:val="nil"/>
          <w:right w:val="nil"/>
          <w:between w:val="nil"/>
        </w:pBdr>
        <w:spacing w:line="360" w:lineRule="auto"/>
        <w:jc w:val="both"/>
        <w:rPr>
          <w:color w:val="000000"/>
          <w:sz w:val="22"/>
          <w:szCs w:val="22"/>
        </w:rPr>
      </w:pPr>
      <w:r>
        <w:rPr>
          <w:color w:val="000000"/>
          <w:sz w:val="22"/>
          <w:szCs w:val="22"/>
        </w:rPr>
        <w:t xml:space="preserve">Research has suggested that gender differences may exist in </w:t>
      </w:r>
      <w:r>
        <w:rPr>
          <w:sz w:val="22"/>
          <w:szCs w:val="22"/>
        </w:rPr>
        <w:t>PSS</w:t>
      </w:r>
      <w:r>
        <w:rPr>
          <w:color w:val="000000"/>
          <w:sz w:val="22"/>
          <w:szCs w:val="22"/>
        </w:rPr>
        <w:t xml:space="preserve"> among emerging adult students. According to Siddiqui et al</w:t>
      </w:r>
      <w:r>
        <w:rPr>
          <w:color w:val="000000"/>
          <w:sz w:val="22"/>
          <w:szCs w:val="22"/>
        </w:rPr>
        <w:t>. (20</w:t>
      </w:r>
      <w:r>
        <w:rPr>
          <w:sz w:val="22"/>
          <w:szCs w:val="22"/>
        </w:rPr>
        <w:t>19</w:t>
      </w:r>
      <w:r>
        <w:rPr>
          <w:color w:val="000000"/>
          <w:sz w:val="22"/>
          <w:szCs w:val="22"/>
        </w:rPr>
        <w:t>), females tend to use emotional strategies to resolve their daily problems and receive more attention from various sources, while males tend to use negative coping strategies, such as denial and drug use, which may increase their risk of depression</w:t>
      </w:r>
      <w:r>
        <w:rPr>
          <w:color w:val="000000"/>
          <w:sz w:val="22"/>
          <w:szCs w:val="22"/>
        </w:rPr>
        <w:t xml:space="preserve">. However, previous studies have provided conflicting evidence regarding gender differences in </w:t>
      </w:r>
      <w:r>
        <w:rPr>
          <w:sz w:val="22"/>
          <w:szCs w:val="22"/>
        </w:rPr>
        <w:t>PSS</w:t>
      </w:r>
      <w:r>
        <w:rPr>
          <w:color w:val="000000"/>
          <w:sz w:val="22"/>
          <w:szCs w:val="22"/>
        </w:rPr>
        <w:t xml:space="preserve">. Ramaswamy et al. (2009) found that female students had a higher ability to </w:t>
      </w:r>
      <w:r>
        <w:rPr>
          <w:sz w:val="22"/>
          <w:szCs w:val="22"/>
        </w:rPr>
        <w:t>socialise</w:t>
      </w:r>
      <w:r>
        <w:rPr>
          <w:color w:val="000000"/>
          <w:sz w:val="22"/>
          <w:szCs w:val="22"/>
        </w:rPr>
        <w:t xml:space="preserve"> and received more social support compared to male students, while Soman</w:t>
      </w:r>
      <w:r>
        <w:rPr>
          <w:color w:val="000000"/>
          <w:sz w:val="22"/>
          <w:szCs w:val="22"/>
        </w:rPr>
        <w:t xml:space="preserve"> et al. (2016) reported that </w:t>
      </w:r>
      <w:r>
        <w:rPr>
          <w:sz w:val="22"/>
          <w:szCs w:val="22"/>
        </w:rPr>
        <w:t>PSS</w:t>
      </w:r>
      <w:r>
        <w:rPr>
          <w:color w:val="000000"/>
          <w:sz w:val="22"/>
          <w:szCs w:val="22"/>
        </w:rPr>
        <w:t xml:space="preserve"> was higher in males than females. The study discovered that male participants reported a considerably greater </w:t>
      </w:r>
      <w:r>
        <w:rPr>
          <w:sz w:val="22"/>
          <w:szCs w:val="22"/>
        </w:rPr>
        <w:t>PSS</w:t>
      </w:r>
      <w:r>
        <w:rPr>
          <w:color w:val="000000"/>
          <w:sz w:val="22"/>
          <w:szCs w:val="22"/>
        </w:rPr>
        <w:t xml:space="preserve"> from their friends in comparison to female participants, while support from significant others was higher in </w:t>
      </w:r>
      <w:r>
        <w:rPr>
          <w:color w:val="000000"/>
          <w:sz w:val="22"/>
          <w:szCs w:val="22"/>
        </w:rPr>
        <w:t>female participants (Soman et al., 2016). On the other hand, Siddiqui et al. (20</w:t>
      </w:r>
      <w:r>
        <w:rPr>
          <w:sz w:val="22"/>
          <w:szCs w:val="22"/>
        </w:rPr>
        <w:t>19</w:t>
      </w:r>
      <w:r>
        <w:rPr>
          <w:color w:val="000000"/>
          <w:sz w:val="22"/>
          <w:szCs w:val="22"/>
        </w:rPr>
        <w:t>) found no significant difference in</w:t>
      </w:r>
      <w:r>
        <w:rPr>
          <w:sz w:val="22"/>
          <w:szCs w:val="22"/>
        </w:rPr>
        <w:t xml:space="preserve"> PSS</w:t>
      </w:r>
      <w:r>
        <w:rPr>
          <w:color w:val="000000"/>
          <w:sz w:val="22"/>
          <w:szCs w:val="22"/>
        </w:rPr>
        <w:t xml:space="preserve"> between male and female university students. According to Soman et al. (2016), the difference in </w:t>
      </w:r>
      <w:r>
        <w:rPr>
          <w:sz w:val="22"/>
          <w:szCs w:val="22"/>
        </w:rPr>
        <w:t>PSS</w:t>
      </w:r>
      <w:r>
        <w:rPr>
          <w:color w:val="000000"/>
          <w:sz w:val="22"/>
          <w:szCs w:val="22"/>
        </w:rPr>
        <w:t xml:space="preserve"> may vary across cultures and soc</w:t>
      </w:r>
      <w:r>
        <w:rPr>
          <w:color w:val="000000"/>
          <w:sz w:val="22"/>
          <w:szCs w:val="22"/>
        </w:rPr>
        <w:t xml:space="preserve">ieties, indicating the importance of investigating gender differences in </w:t>
      </w:r>
      <w:r>
        <w:rPr>
          <w:sz w:val="22"/>
          <w:szCs w:val="22"/>
        </w:rPr>
        <w:t>PSS</w:t>
      </w:r>
      <w:r>
        <w:rPr>
          <w:color w:val="000000"/>
          <w:sz w:val="22"/>
          <w:szCs w:val="22"/>
        </w:rPr>
        <w:t xml:space="preserve"> among emerging adult students in Malaysian universities.</w:t>
      </w:r>
    </w:p>
    <w:p w14:paraId="78239CBA" w14:textId="77777777" w:rsidR="001D46B9" w:rsidRDefault="001D46B9" w:rsidP="002512D9">
      <w:pPr>
        <w:pBdr>
          <w:top w:val="nil"/>
          <w:left w:val="nil"/>
          <w:bottom w:val="nil"/>
          <w:right w:val="nil"/>
          <w:between w:val="nil"/>
        </w:pBdr>
        <w:spacing w:line="360" w:lineRule="auto"/>
        <w:rPr>
          <w:b/>
          <w:color w:val="000000"/>
          <w:sz w:val="28"/>
          <w:szCs w:val="28"/>
        </w:rPr>
      </w:pPr>
    </w:p>
    <w:p w14:paraId="09408C27" w14:textId="77777777" w:rsidR="001D46B9" w:rsidRDefault="008D669C" w:rsidP="002512D9">
      <w:pPr>
        <w:pBdr>
          <w:top w:val="nil"/>
          <w:left w:val="nil"/>
          <w:bottom w:val="nil"/>
          <w:right w:val="nil"/>
          <w:between w:val="nil"/>
        </w:pBdr>
        <w:spacing w:line="360" w:lineRule="auto"/>
        <w:rPr>
          <w:b/>
          <w:color w:val="000000"/>
          <w:sz w:val="28"/>
          <w:szCs w:val="28"/>
        </w:rPr>
      </w:pPr>
      <w:bookmarkStart w:id="2" w:name="_heading=h.3znysh7" w:colFirst="0" w:colLast="0"/>
      <w:bookmarkEnd w:id="2"/>
      <w:r>
        <w:rPr>
          <w:b/>
          <w:color w:val="000000"/>
          <w:sz w:val="28"/>
          <w:szCs w:val="28"/>
        </w:rPr>
        <w:t xml:space="preserve">Research Objective and Research Questions </w:t>
      </w:r>
    </w:p>
    <w:p w14:paraId="0C4D5BF5" w14:textId="77777777" w:rsidR="001D46B9" w:rsidRDefault="008D669C" w:rsidP="002512D9">
      <w:pPr>
        <w:pBdr>
          <w:top w:val="nil"/>
          <w:left w:val="nil"/>
          <w:bottom w:val="nil"/>
          <w:right w:val="nil"/>
          <w:between w:val="nil"/>
        </w:pBdr>
        <w:spacing w:line="360" w:lineRule="auto"/>
        <w:jc w:val="both"/>
        <w:rPr>
          <w:b/>
          <w:color w:val="000000"/>
          <w:sz w:val="28"/>
          <w:szCs w:val="28"/>
        </w:rPr>
      </w:pPr>
      <w:r>
        <w:rPr>
          <w:color w:val="000000"/>
          <w:sz w:val="22"/>
          <w:szCs w:val="22"/>
        </w:rPr>
        <w:t xml:space="preserve">This study </w:t>
      </w:r>
      <w:r>
        <w:rPr>
          <w:sz w:val="22"/>
          <w:szCs w:val="22"/>
        </w:rPr>
        <w:t>was</w:t>
      </w:r>
      <w:r>
        <w:rPr>
          <w:color w:val="000000"/>
          <w:sz w:val="22"/>
          <w:szCs w:val="22"/>
        </w:rPr>
        <w:t xml:space="preserve"> conducted with two research objectives: (1) To explore the corr</w:t>
      </w:r>
      <w:r>
        <w:rPr>
          <w:color w:val="000000"/>
          <w:sz w:val="22"/>
          <w:szCs w:val="22"/>
        </w:rPr>
        <w:t xml:space="preserve">elation between perceived social support and depressive symptoms among emerging adult students in Malaysian universities. (2) To examine the gender differences in </w:t>
      </w:r>
      <w:r>
        <w:rPr>
          <w:color w:val="000000"/>
          <w:sz w:val="22"/>
          <w:szCs w:val="22"/>
        </w:rPr>
        <w:lastRenderedPageBreak/>
        <w:t>the perceived social support among emerging adult students in Malaysian universities. In acco</w:t>
      </w:r>
      <w:r>
        <w:rPr>
          <w:color w:val="000000"/>
          <w:sz w:val="22"/>
          <w:szCs w:val="22"/>
        </w:rPr>
        <w:t>rdance with the research objectives, two research questions are formulated: (1) Is there a correlation between perceived social support and depressive symptoms among emerging adult students in Malaysian universities? (2) Are there significant gender differ</w:t>
      </w:r>
      <w:r>
        <w:rPr>
          <w:color w:val="000000"/>
          <w:sz w:val="22"/>
          <w:szCs w:val="22"/>
        </w:rPr>
        <w:t>ences in the perceived social support among emerging adult students in Malaysian universities?</w:t>
      </w:r>
    </w:p>
    <w:p w14:paraId="0ECD8ACB" w14:textId="77777777" w:rsidR="001D46B9" w:rsidRDefault="001D46B9" w:rsidP="002512D9">
      <w:pPr>
        <w:pBdr>
          <w:top w:val="nil"/>
          <w:left w:val="nil"/>
          <w:bottom w:val="nil"/>
          <w:right w:val="nil"/>
          <w:between w:val="nil"/>
        </w:pBdr>
        <w:spacing w:line="360" w:lineRule="auto"/>
        <w:jc w:val="both"/>
        <w:rPr>
          <w:b/>
          <w:color w:val="000000"/>
          <w:sz w:val="28"/>
          <w:szCs w:val="28"/>
        </w:rPr>
      </w:pPr>
    </w:p>
    <w:p w14:paraId="637FDDA1" w14:textId="3B66674B" w:rsidR="002512D9" w:rsidRDefault="008D669C" w:rsidP="002512D9">
      <w:pPr>
        <w:pBdr>
          <w:top w:val="nil"/>
          <w:left w:val="nil"/>
          <w:bottom w:val="nil"/>
          <w:right w:val="nil"/>
          <w:between w:val="nil"/>
        </w:pBdr>
        <w:spacing w:line="360" w:lineRule="auto"/>
        <w:jc w:val="both"/>
        <w:rPr>
          <w:color w:val="000000"/>
          <w:sz w:val="22"/>
          <w:szCs w:val="22"/>
        </w:rPr>
      </w:pPr>
      <w:bookmarkStart w:id="3" w:name="_heading=h.2et92p0" w:colFirst="0" w:colLast="0"/>
      <w:bookmarkEnd w:id="3"/>
      <w:r>
        <w:rPr>
          <w:b/>
          <w:color w:val="000000"/>
          <w:sz w:val="28"/>
          <w:szCs w:val="28"/>
        </w:rPr>
        <w:t xml:space="preserve">Theoretical Framework of the Study </w:t>
      </w:r>
      <w:r>
        <w:rPr>
          <w:color w:val="000000"/>
          <w:sz w:val="22"/>
          <w:szCs w:val="22"/>
        </w:rPr>
        <w:t>Self-Determination Theory (SDT) suggests that individuals require three fundamental psychological needs to achieve optimal fu</w:t>
      </w:r>
      <w:r>
        <w:rPr>
          <w:color w:val="000000"/>
          <w:sz w:val="22"/>
          <w:szCs w:val="22"/>
        </w:rPr>
        <w:t xml:space="preserve">nctioning and well-being: autonomy, competence, and relatedness (Ryan &amp; Deci, 2000). Autonomy refers to the perception of control over one's choices and decisions, as well as the acceptance of oneself and one's life choices (Ryan &amp; Deci, 2000). Competence </w:t>
      </w:r>
      <w:r>
        <w:rPr>
          <w:color w:val="000000"/>
          <w:sz w:val="22"/>
          <w:szCs w:val="22"/>
        </w:rPr>
        <w:t>is the desire to master one's environment and achieve valuable outcomes within it. Lastly, relatedness pertains to the sense of being connected to others and having a sense of support and belongingness. These needs are not only essential for our well-being</w:t>
      </w:r>
      <w:r>
        <w:rPr>
          <w:color w:val="000000"/>
          <w:sz w:val="22"/>
          <w:szCs w:val="22"/>
        </w:rPr>
        <w:t xml:space="preserve"> but are also influenced by the external circumstances in which we operate. Therefore, social environments that are nurturing and supportive promote the satisfaction of these needs and contribute to overall happiness. On the other hand, environments that a</w:t>
      </w:r>
      <w:r>
        <w:rPr>
          <w:color w:val="000000"/>
          <w:sz w:val="22"/>
          <w:szCs w:val="22"/>
        </w:rPr>
        <w:t>re oppressive or neglectful can impede their satisfaction and lead to dissatisfaction and unhappiness (</w:t>
      </w:r>
      <w:r>
        <w:rPr>
          <w:sz w:val="22"/>
          <w:szCs w:val="22"/>
        </w:rPr>
        <w:t xml:space="preserve">Ryan &amp; </w:t>
      </w:r>
      <w:r>
        <w:rPr>
          <w:color w:val="000000"/>
          <w:sz w:val="22"/>
          <w:szCs w:val="22"/>
        </w:rPr>
        <w:t>Deci,</w:t>
      </w:r>
      <w:r>
        <w:rPr>
          <w:sz w:val="22"/>
          <w:szCs w:val="22"/>
        </w:rPr>
        <w:t xml:space="preserve"> </w:t>
      </w:r>
      <w:r>
        <w:rPr>
          <w:color w:val="000000"/>
          <w:sz w:val="22"/>
          <w:szCs w:val="22"/>
        </w:rPr>
        <w:t xml:space="preserve">2000). This </w:t>
      </w:r>
      <w:r>
        <w:rPr>
          <w:sz w:val="22"/>
          <w:szCs w:val="22"/>
        </w:rPr>
        <w:t>emphasises</w:t>
      </w:r>
      <w:r>
        <w:rPr>
          <w:color w:val="000000"/>
          <w:sz w:val="22"/>
          <w:szCs w:val="22"/>
        </w:rPr>
        <w:t xml:space="preserve"> the importance of creating and fostering environments that support individuals' psychological needs, ultimately contributing to their overall well-being.</w:t>
      </w:r>
    </w:p>
    <w:p w14:paraId="055611D8" w14:textId="5A615828" w:rsidR="001D46B9" w:rsidRDefault="008D669C" w:rsidP="002512D9">
      <w:pPr>
        <w:pBdr>
          <w:top w:val="nil"/>
          <w:left w:val="nil"/>
          <w:bottom w:val="nil"/>
          <w:right w:val="nil"/>
          <w:between w:val="nil"/>
        </w:pBdr>
        <w:spacing w:line="360" w:lineRule="auto"/>
        <w:ind w:firstLine="720"/>
        <w:jc w:val="both"/>
        <w:rPr>
          <w:color w:val="000000"/>
          <w:sz w:val="22"/>
          <w:szCs w:val="22"/>
        </w:rPr>
      </w:pPr>
      <w:r>
        <w:rPr>
          <w:color w:val="000000"/>
          <w:sz w:val="22"/>
          <w:szCs w:val="22"/>
        </w:rPr>
        <w:t xml:space="preserve">According to </w:t>
      </w:r>
      <w:r>
        <w:rPr>
          <w:sz w:val="22"/>
          <w:szCs w:val="22"/>
        </w:rPr>
        <w:t>SDT</w:t>
      </w:r>
      <w:r>
        <w:rPr>
          <w:color w:val="000000"/>
          <w:sz w:val="22"/>
          <w:szCs w:val="22"/>
        </w:rPr>
        <w:t>, perceived support can promote the fulfilment of these psychological needs, resulti</w:t>
      </w:r>
      <w:r>
        <w:rPr>
          <w:color w:val="000000"/>
          <w:sz w:val="22"/>
          <w:szCs w:val="22"/>
        </w:rPr>
        <w:t>ng in enhanced mental health outcomes, including reduced depression levels (Ryan &amp; Deci, 2000). Previous studies have shown that students manifest greater autonomous self-regulation when they perceive greater necessity for support from their social environ</w:t>
      </w:r>
      <w:r>
        <w:rPr>
          <w:color w:val="000000"/>
          <w:sz w:val="22"/>
          <w:szCs w:val="22"/>
        </w:rPr>
        <w:t>ment. This association further predicts greater psychological well-being and diminished maladaptive behaviours (</w:t>
      </w:r>
      <w:proofErr w:type="spellStart"/>
      <w:r>
        <w:rPr>
          <w:color w:val="000000"/>
          <w:sz w:val="22"/>
          <w:szCs w:val="22"/>
        </w:rPr>
        <w:t>Leow</w:t>
      </w:r>
      <w:proofErr w:type="spellEnd"/>
      <w:r>
        <w:rPr>
          <w:color w:val="000000"/>
          <w:sz w:val="22"/>
          <w:szCs w:val="22"/>
        </w:rPr>
        <w:t xml:space="preserve"> et al., 2016). Moreover, individuals' perceptions of their friends' support for their autonomy aspirations are linked to greater overall ne</w:t>
      </w:r>
      <w:r>
        <w:rPr>
          <w:color w:val="000000"/>
          <w:sz w:val="22"/>
          <w:szCs w:val="22"/>
        </w:rPr>
        <w:t>ed fulfilment and favourable relationship quality (Deci et al., 2006).</w:t>
      </w:r>
    </w:p>
    <w:p w14:paraId="51F74F5A" w14:textId="77777777" w:rsidR="001D46B9" w:rsidRDefault="001D46B9" w:rsidP="002512D9">
      <w:pPr>
        <w:pBdr>
          <w:top w:val="nil"/>
          <w:left w:val="nil"/>
          <w:bottom w:val="nil"/>
          <w:right w:val="nil"/>
          <w:between w:val="nil"/>
        </w:pBdr>
        <w:spacing w:line="360" w:lineRule="auto"/>
        <w:rPr>
          <w:color w:val="000000"/>
          <w:sz w:val="22"/>
          <w:szCs w:val="22"/>
        </w:rPr>
      </w:pPr>
    </w:p>
    <w:p w14:paraId="17AC1F44" w14:textId="77777777" w:rsidR="001D46B9" w:rsidRDefault="008D669C" w:rsidP="002512D9">
      <w:pPr>
        <w:pBdr>
          <w:top w:val="nil"/>
          <w:left w:val="nil"/>
          <w:bottom w:val="nil"/>
          <w:right w:val="nil"/>
          <w:between w:val="nil"/>
        </w:pBdr>
        <w:spacing w:line="360" w:lineRule="auto"/>
        <w:ind w:firstLine="720"/>
        <w:jc w:val="both"/>
        <w:rPr>
          <w:b/>
          <w:color w:val="000000"/>
          <w:sz w:val="28"/>
          <w:szCs w:val="28"/>
        </w:rPr>
      </w:pPr>
      <w:r>
        <w:rPr>
          <w:color w:val="000000"/>
          <w:sz w:val="22"/>
          <w:szCs w:val="22"/>
        </w:rPr>
        <w:t xml:space="preserve">In addition, </w:t>
      </w:r>
      <w:r>
        <w:rPr>
          <w:sz w:val="22"/>
          <w:szCs w:val="22"/>
        </w:rPr>
        <w:t>PSS</w:t>
      </w:r>
      <w:r>
        <w:rPr>
          <w:color w:val="000000"/>
          <w:sz w:val="22"/>
          <w:szCs w:val="22"/>
        </w:rPr>
        <w:t xml:space="preserve"> can facilitate the satisfaction of the need for relatedness, which involves feeling connected and cared for by others (</w:t>
      </w:r>
      <w:proofErr w:type="spellStart"/>
      <w:r>
        <w:rPr>
          <w:color w:val="000000"/>
          <w:sz w:val="22"/>
          <w:szCs w:val="22"/>
        </w:rPr>
        <w:t>Vansteenkiste</w:t>
      </w:r>
      <w:proofErr w:type="spellEnd"/>
      <w:r>
        <w:rPr>
          <w:color w:val="000000"/>
          <w:sz w:val="22"/>
          <w:szCs w:val="22"/>
        </w:rPr>
        <w:t xml:space="preserve"> et al., 2020). Similar to social support, relatedness refers to the feeling of warmth, bonding, and care, which is fulfill</w:t>
      </w:r>
      <w:r>
        <w:rPr>
          <w:color w:val="000000"/>
          <w:sz w:val="22"/>
          <w:szCs w:val="22"/>
        </w:rPr>
        <w:t>ed by developing connections with others and perceiving oneself as important to them. Perceived support from family, friends, and significant others has been found to be positively associated with higher levels of relatedness satisfaction. (</w:t>
      </w:r>
      <w:proofErr w:type="spellStart"/>
      <w:r>
        <w:rPr>
          <w:color w:val="000000"/>
          <w:sz w:val="22"/>
          <w:szCs w:val="22"/>
        </w:rPr>
        <w:t>Vansteenkiste</w:t>
      </w:r>
      <w:proofErr w:type="spellEnd"/>
      <w:r>
        <w:rPr>
          <w:color w:val="000000"/>
          <w:sz w:val="22"/>
          <w:szCs w:val="22"/>
        </w:rPr>
        <w:t xml:space="preserve"> e</w:t>
      </w:r>
      <w:r>
        <w:rPr>
          <w:color w:val="000000"/>
          <w:sz w:val="22"/>
          <w:szCs w:val="22"/>
        </w:rPr>
        <w:t xml:space="preserve">t al., 2020).  Hence, undergraduates who score higher on the </w:t>
      </w:r>
      <w:r>
        <w:rPr>
          <w:sz w:val="22"/>
          <w:szCs w:val="22"/>
        </w:rPr>
        <w:t>PSS</w:t>
      </w:r>
      <w:r>
        <w:rPr>
          <w:color w:val="000000"/>
          <w:sz w:val="22"/>
          <w:szCs w:val="22"/>
        </w:rPr>
        <w:t xml:space="preserve"> scale may find their need for relatedness fulfilled as the sense of attachment and inclusion with others can foster feelings of closeness and affiliation with a social group. Furthermore, var</w:t>
      </w:r>
      <w:r>
        <w:rPr>
          <w:color w:val="000000"/>
          <w:sz w:val="22"/>
          <w:szCs w:val="22"/>
        </w:rPr>
        <w:t xml:space="preserve">ious studies have indicated that relatedness needs are linked to positive functioning and well-being, irrespective of cultural variations (Ryan &amp; Deci, 2000). Consequently, </w:t>
      </w:r>
      <w:r>
        <w:rPr>
          <w:sz w:val="22"/>
          <w:szCs w:val="22"/>
        </w:rPr>
        <w:t>SDT</w:t>
      </w:r>
      <w:r>
        <w:rPr>
          <w:color w:val="000000"/>
          <w:sz w:val="22"/>
          <w:szCs w:val="22"/>
        </w:rPr>
        <w:t xml:space="preserve"> is </w:t>
      </w:r>
      <w:r>
        <w:rPr>
          <w:color w:val="000000"/>
          <w:sz w:val="22"/>
          <w:szCs w:val="22"/>
        </w:rPr>
        <w:lastRenderedPageBreak/>
        <w:t xml:space="preserve">the chosen framework to elucidate the correlation between </w:t>
      </w:r>
      <w:r>
        <w:rPr>
          <w:sz w:val="22"/>
          <w:szCs w:val="22"/>
        </w:rPr>
        <w:t>PSS</w:t>
      </w:r>
      <w:r>
        <w:rPr>
          <w:color w:val="000000"/>
          <w:sz w:val="22"/>
          <w:szCs w:val="22"/>
        </w:rPr>
        <w:t xml:space="preserve"> and </w:t>
      </w:r>
      <w:r>
        <w:rPr>
          <w:sz w:val="22"/>
          <w:szCs w:val="22"/>
        </w:rPr>
        <w:t xml:space="preserve">DS </w:t>
      </w:r>
      <w:r>
        <w:rPr>
          <w:color w:val="000000"/>
          <w:sz w:val="22"/>
          <w:szCs w:val="22"/>
        </w:rPr>
        <w:t>among u</w:t>
      </w:r>
      <w:r>
        <w:rPr>
          <w:color w:val="000000"/>
          <w:sz w:val="22"/>
          <w:szCs w:val="22"/>
        </w:rPr>
        <w:t>ndergraduate students.</w:t>
      </w:r>
    </w:p>
    <w:p w14:paraId="413838F0" w14:textId="77777777" w:rsidR="001D46B9" w:rsidRDefault="001D46B9" w:rsidP="002512D9">
      <w:pPr>
        <w:pBdr>
          <w:top w:val="nil"/>
          <w:left w:val="nil"/>
          <w:bottom w:val="nil"/>
          <w:right w:val="nil"/>
          <w:between w:val="nil"/>
        </w:pBdr>
        <w:spacing w:line="360" w:lineRule="auto"/>
        <w:rPr>
          <w:b/>
          <w:color w:val="000000"/>
          <w:sz w:val="28"/>
          <w:szCs w:val="28"/>
        </w:rPr>
      </w:pPr>
    </w:p>
    <w:p w14:paraId="24ED22BC" w14:textId="77777777" w:rsidR="001D46B9" w:rsidRDefault="008D669C" w:rsidP="002512D9">
      <w:pPr>
        <w:pBdr>
          <w:top w:val="nil"/>
          <w:left w:val="nil"/>
          <w:bottom w:val="nil"/>
          <w:right w:val="nil"/>
          <w:between w:val="nil"/>
        </w:pBdr>
        <w:spacing w:line="360" w:lineRule="auto"/>
        <w:rPr>
          <w:b/>
          <w:color w:val="000000"/>
          <w:sz w:val="28"/>
          <w:szCs w:val="28"/>
        </w:rPr>
      </w:pPr>
      <w:r>
        <w:rPr>
          <w:b/>
          <w:color w:val="000000"/>
          <w:sz w:val="28"/>
          <w:szCs w:val="28"/>
        </w:rPr>
        <w:t xml:space="preserve">Conceptual Framework of the Study </w:t>
      </w:r>
    </w:p>
    <w:p w14:paraId="385A4E14" w14:textId="77777777" w:rsidR="001D46B9" w:rsidRDefault="001D46B9" w:rsidP="002512D9">
      <w:pPr>
        <w:pBdr>
          <w:top w:val="nil"/>
          <w:left w:val="nil"/>
          <w:bottom w:val="nil"/>
          <w:right w:val="nil"/>
          <w:between w:val="nil"/>
        </w:pBdr>
        <w:spacing w:line="360" w:lineRule="auto"/>
        <w:rPr>
          <w:b/>
          <w:color w:val="000000"/>
          <w:sz w:val="28"/>
          <w:szCs w:val="28"/>
        </w:rPr>
      </w:pPr>
    </w:p>
    <w:p w14:paraId="7B722F8D" w14:textId="77777777" w:rsidR="001D46B9" w:rsidRDefault="008D669C" w:rsidP="002512D9">
      <w:pPr>
        <w:pBdr>
          <w:top w:val="nil"/>
          <w:left w:val="nil"/>
          <w:bottom w:val="nil"/>
          <w:right w:val="nil"/>
          <w:between w:val="nil"/>
        </w:pBdr>
        <w:spacing w:line="360" w:lineRule="auto"/>
        <w:rPr>
          <w:i/>
          <w:color w:val="000000"/>
          <w:sz w:val="22"/>
          <w:szCs w:val="22"/>
          <w:u w:val="single"/>
        </w:rPr>
      </w:pPr>
      <w:r>
        <w:rPr>
          <w:b/>
          <w:color w:val="000000"/>
          <w:sz w:val="22"/>
          <w:szCs w:val="22"/>
        </w:rPr>
        <w:t>Figure 1</w:t>
      </w:r>
    </w:p>
    <w:p w14:paraId="66972FB4" w14:textId="77777777" w:rsidR="001D46B9" w:rsidRDefault="001D46B9" w:rsidP="002512D9">
      <w:pPr>
        <w:pBdr>
          <w:top w:val="nil"/>
          <w:left w:val="nil"/>
          <w:bottom w:val="nil"/>
          <w:right w:val="nil"/>
          <w:between w:val="nil"/>
        </w:pBdr>
        <w:spacing w:line="360" w:lineRule="auto"/>
        <w:rPr>
          <w:i/>
          <w:color w:val="000000"/>
          <w:sz w:val="22"/>
          <w:szCs w:val="22"/>
        </w:rPr>
      </w:pPr>
    </w:p>
    <w:p w14:paraId="510DF36B" w14:textId="77777777" w:rsidR="001D46B9" w:rsidRDefault="008D669C" w:rsidP="002512D9">
      <w:pPr>
        <w:pBdr>
          <w:top w:val="nil"/>
          <w:left w:val="nil"/>
          <w:bottom w:val="nil"/>
          <w:right w:val="nil"/>
          <w:between w:val="nil"/>
        </w:pBdr>
        <w:spacing w:line="360" w:lineRule="auto"/>
        <w:rPr>
          <w:color w:val="000000"/>
          <w:sz w:val="22"/>
          <w:szCs w:val="22"/>
        </w:rPr>
      </w:pPr>
      <w:r>
        <w:rPr>
          <w:noProof/>
          <w:color w:val="000000"/>
          <w:sz w:val="22"/>
          <w:szCs w:val="22"/>
        </w:rPr>
        <w:drawing>
          <wp:inline distT="0" distB="0" distL="0" distR="0" wp14:anchorId="3216B3EA" wp14:editId="2C00DDC5">
            <wp:extent cx="1779193" cy="116969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779193" cy="1169696"/>
                    </a:xfrm>
                    <a:prstGeom prst="rect">
                      <a:avLst/>
                    </a:prstGeom>
                    <a:ln/>
                  </pic:spPr>
                </pic:pic>
              </a:graphicData>
            </a:graphic>
          </wp:inline>
        </w:drawing>
      </w:r>
    </w:p>
    <w:p w14:paraId="1F402059" w14:textId="77777777" w:rsidR="001D46B9" w:rsidRDefault="001D46B9" w:rsidP="002512D9">
      <w:pPr>
        <w:pBdr>
          <w:top w:val="nil"/>
          <w:left w:val="nil"/>
          <w:bottom w:val="nil"/>
          <w:right w:val="nil"/>
          <w:between w:val="nil"/>
        </w:pBdr>
        <w:spacing w:line="360" w:lineRule="auto"/>
        <w:ind w:firstLine="720"/>
        <w:jc w:val="both"/>
        <w:rPr>
          <w:color w:val="000000"/>
          <w:sz w:val="22"/>
          <w:szCs w:val="22"/>
        </w:rPr>
      </w:pPr>
    </w:p>
    <w:p w14:paraId="7A25ACF4" w14:textId="77777777" w:rsidR="001D46B9" w:rsidRDefault="008D669C" w:rsidP="002512D9">
      <w:pPr>
        <w:pBdr>
          <w:top w:val="nil"/>
          <w:left w:val="nil"/>
          <w:bottom w:val="nil"/>
          <w:right w:val="nil"/>
          <w:between w:val="nil"/>
        </w:pBdr>
        <w:spacing w:line="360" w:lineRule="auto"/>
        <w:ind w:firstLine="720"/>
        <w:jc w:val="both"/>
        <w:rPr>
          <w:sz w:val="22"/>
          <w:szCs w:val="22"/>
        </w:rPr>
      </w:pPr>
      <w:r>
        <w:rPr>
          <w:color w:val="000000"/>
          <w:sz w:val="22"/>
          <w:szCs w:val="22"/>
        </w:rPr>
        <w:t xml:space="preserve">Figure 1 demonstrates the conceptual framework of this study. The independent variable is </w:t>
      </w:r>
      <w:r>
        <w:rPr>
          <w:sz w:val="22"/>
          <w:szCs w:val="22"/>
        </w:rPr>
        <w:t>PSS</w:t>
      </w:r>
      <w:r>
        <w:rPr>
          <w:color w:val="000000"/>
          <w:sz w:val="22"/>
          <w:szCs w:val="22"/>
        </w:rPr>
        <w:t xml:space="preserve"> and the dependent variable is depressive symptoms. </w:t>
      </w:r>
    </w:p>
    <w:p w14:paraId="1268F671" w14:textId="77777777" w:rsidR="001D46B9" w:rsidRDefault="001D46B9" w:rsidP="002512D9">
      <w:pPr>
        <w:pBdr>
          <w:top w:val="nil"/>
          <w:left w:val="nil"/>
          <w:bottom w:val="nil"/>
          <w:right w:val="nil"/>
          <w:between w:val="nil"/>
        </w:pBdr>
        <w:spacing w:line="360" w:lineRule="auto"/>
        <w:ind w:firstLine="720"/>
        <w:jc w:val="both"/>
        <w:rPr>
          <w:sz w:val="22"/>
          <w:szCs w:val="22"/>
        </w:rPr>
      </w:pPr>
    </w:p>
    <w:p w14:paraId="5FC312CF" w14:textId="77777777" w:rsidR="001D46B9" w:rsidRDefault="008D669C" w:rsidP="002512D9">
      <w:pPr>
        <w:pBdr>
          <w:top w:val="nil"/>
          <w:left w:val="nil"/>
          <w:bottom w:val="nil"/>
          <w:right w:val="nil"/>
          <w:between w:val="nil"/>
        </w:pBdr>
        <w:spacing w:line="360" w:lineRule="auto"/>
        <w:rPr>
          <w:b/>
          <w:color w:val="000000"/>
          <w:sz w:val="28"/>
          <w:szCs w:val="28"/>
        </w:rPr>
      </w:pPr>
      <w:r>
        <w:rPr>
          <w:b/>
          <w:color w:val="000000"/>
          <w:sz w:val="28"/>
          <w:szCs w:val="28"/>
        </w:rPr>
        <w:t>Method</w:t>
      </w:r>
    </w:p>
    <w:p w14:paraId="59B56D28"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8"/>
          <w:szCs w:val="28"/>
        </w:rPr>
      </w:pPr>
    </w:p>
    <w:p w14:paraId="20298F32" w14:textId="77777777"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b/>
          <w:i/>
          <w:color w:val="000000"/>
          <w:sz w:val="28"/>
          <w:szCs w:val="28"/>
        </w:rPr>
        <w:t>Research Design</w:t>
      </w:r>
    </w:p>
    <w:p w14:paraId="756727B5"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 xml:space="preserve">This study </w:t>
      </w:r>
      <w:r>
        <w:rPr>
          <w:sz w:val="22"/>
          <w:szCs w:val="22"/>
        </w:rPr>
        <w:t xml:space="preserve">utilised </w:t>
      </w:r>
      <w:r>
        <w:rPr>
          <w:color w:val="000000"/>
          <w:sz w:val="22"/>
          <w:szCs w:val="22"/>
        </w:rPr>
        <w:t xml:space="preserve">an online survey design, Google Form is employed for effectiveness and affordability in collecting information. In this study, quantitative research </w:t>
      </w:r>
      <w:r>
        <w:rPr>
          <w:sz w:val="22"/>
          <w:szCs w:val="22"/>
        </w:rPr>
        <w:t>is</w:t>
      </w:r>
      <w:r>
        <w:rPr>
          <w:color w:val="000000"/>
          <w:sz w:val="22"/>
          <w:szCs w:val="22"/>
        </w:rPr>
        <w:t xml:space="preserve"> adopted as the main objective to describe the research problem through trends and relationships and to o</w:t>
      </w:r>
      <w:r>
        <w:rPr>
          <w:color w:val="000000"/>
          <w:sz w:val="22"/>
          <w:szCs w:val="22"/>
        </w:rPr>
        <w:t xml:space="preserve">btain numerical information from a significant number of individuals at a single time point. Hence, correlational research design </w:t>
      </w:r>
      <w:r>
        <w:rPr>
          <w:sz w:val="22"/>
          <w:szCs w:val="22"/>
        </w:rPr>
        <w:t>is being</w:t>
      </w:r>
      <w:r>
        <w:rPr>
          <w:color w:val="000000"/>
          <w:sz w:val="22"/>
          <w:szCs w:val="22"/>
        </w:rPr>
        <w:t xml:space="preserve"> selected to examine the relationship between </w:t>
      </w:r>
      <w:r>
        <w:rPr>
          <w:sz w:val="22"/>
          <w:szCs w:val="22"/>
        </w:rPr>
        <w:t>PSS</w:t>
      </w:r>
      <w:r>
        <w:rPr>
          <w:color w:val="000000"/>
          <w:sz w:val="22"/>
          <w:szCs w:val="22"/>
        </w:rPr>
        <w:t xml:space="preserve"> and </w:t>
      </w:r>
      <w:r>
        <w:rPr>
          <w:sz w:val="22"/>
          <w:szCs w:val="22"/>
        </w:rPr>
        <w:t>DS</w:t>
      </w:r>
      <w:r>
        <w:rPr>
          <w:color w:val="000000"/>
          <w:sz w:val="22"/>
          <w:szCs w:val="22"/>
        </w:rPr>
        <w:t xml:space="preserve"> among emerging adult students in Malaysian universities. Corr</w:t>
      </w:r>
      <w:r>
        <w:rPr>
          <w:color w:val="000000"/>
          <w:sz w:val="22"/>
          <w:szCs w:val="22"/>
        </w:rPr>
        <w:t xml:space="preserve">elational research design </w:t>
      </w:r>
      <w:r>
        <w:rPr>
          <w:sz w:val="22"/>
          <w:szCs w:val="22"/>
        </w:rPr>
        <w:t>assessed</w:t>
      </w:r>
      <w:r>
        <w:rPr>
          <w:color w:val="000000"/>
          <w:sz w:val="22"/>
          <w:szCs w:val="22"/>
        </w:rPr>
        <w:t xml:space="preserve"> in identifying </w:t>
      </w:r>
      <w:r>
        <w:rPr>
          <w:color w:val="000000"/>
          <w:sz w:val="22"/>
          <w:szCs w:val="22"/>
        </w:rPr>
        <w:t>the direction of the association (negative or positive), and the degree and strength of the association (Creswell, 2015). This provide</w:t>
      </w:r>
      <w:r>
        <w:rPr>
          <w:sz w:val="22"/>
          <w:szCs w:val="22"/>
        </w:rPr>
        <w:t>d</w:t>
      </w:r>
      <w:r>
        <w:rPr>
          <w:color w:val="000000"/>
          <w:sz w:val="22"/>
          <w:szCs w:val="22"/>
        </w:rPr>
        <w:t xml:space="preserve"> an opportunity for predicting scores and explaining the relationship a</w:t>
      </w:r>
      <w:r>
        <w:rPr>
          <w:color w:val="000000"/>
          <w:sz w:val="22"/>
          <w:szCs w:val="22"/>
        </w:rPr>
        <w:t xml:space="preserve">mong </w:t>
      </w:r>
      <w:r>
        <w:rPr>
          <w:sz w:val="22"/>
          <w:szCs w:val="22"/>
        </w:rPr>
        <w:t xml:space="preserve">PSS </w:t>
      </w:r>
      <w:r>
        <w:rPr>
          <w:color w:val="000000"/>
          <w:sz w:val="22"/>
          <w:szCs w:val="22"/>
        </w:rPr>
        <w:t xml:space="preserve">and </w:t>
      </w:r>
      <w:r>
        <w:rPr>
          <w:sz w:val="22"/>
          <w:szCs w:val="22"/>
        </w:rPr>
        <w:t>DS</w:t>
      </w:r>
      <w:r>
        <w:rPr>
          <w:color w:val="000000"/>
          <w:sz w:val="22"/>
          <w:szCs w:val="22"/>
        </w:rPr>
        <w:t>.</w:t>
      </w:r>
    </w:p>
    <w:p w14:paraId="116B53F3"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5D805B3B" w14:textId="77777777"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b/>
          <w:i/>
          <w:color w:val="000000"/>
          <w:sz w:val="28"/>
          <w:szCs w:val="28"/>
        </w:rPr>
        <w:t>Participants</w:t>
      </w:r>
    </w:p>
    <w:p w14:paraId="2038CAFD"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In this research, the target population is undergraduate students from private and public universities in Malaysia. G power software version 3.1 is employed to compute the recommended sample size. A priori study with the exac</w:t>
      </w:r>
      <w:r>
        <w:rPr>
          <w:color w:val="000000"/>
          <w:sz w:val="22"/>
          <w:szCs w:val="22"/>
        </w:rPr>
        <w:t>t test family for Pearson’s correlation yielded 52 participants, using the bivariate normal model with a small effect size (.37) (Grey et al., 2020) an alpha level of .05, and an estimated power of .80. Considering the effect size, at least 52 participants</w:t>
      </w:r>
      <w:r>
        <w:rPr>
          <w:color w:val="000000"/>
          <w:sz w:val="22"/>
          <w:szCs w:val="22"/>
        </w:rPr>
        <w:t xml:space="preserve"> </w:t>
      </w:r>
      <w:r>
        <w:rPr>
          <w:sz w:val="22"/>
          <w:szCs w:val="22"/>
        </w:rPr>
        <w:t xml:space="preserve">were </w:t>
      </w:r>
      <w:r>
        <w:rPr>
          <w:color w:val="000000"/>
          <w:sz w:val="22"/>
          <w:szCs w:val="22"/>
        </w:rPr>
        <w:t xml:space="preserve">needed. However, this research </w:t>
      </w:r>
      <w:r>
        <w:rPr>
          <w:sz w:val="22"/>
          <w:szCs w:val="22"/>
        </w:rPr>
        <w:t>employed</w:t>
      </w:r>
      <w:r>
        <w:rPr>
          <w:color w:val="000000"/>
          <w:sz w:val="22"/>
          <w:szCs w:val="22"/>
        </w:rPr>
        <w:t xml:space="preserve"> a larger sample size of 140 respondents with an estimation of 70 respondents from each gender, in order to ensure that the findings are robust and generalizable to the population of interest. The inclusion crit</w:t>
      </w:r>
      <w:r>
        <w:rPr>
          <w:color w:val="000000"/>
          <w:sz w:val="22"/>
          <w:szCs w:val="22"/>
        </w:rPr>
        <w:t xml:space="preserve">eria for this study are university students aged 18 to 25 years, which is the age range typically considered to be emerging adulthood. Additionally, they must have given their consent to participate and be currently enrolled as undergraduate students in a </w:t>
      </w:r>
      <w:r>
        <w:rPr>
          <w:color w:val="000000"/>
          <w:sz w:val="22"/>
          <w:szCs w:val="22"/>
        </w:rPr>
        <w:t>university in Malaysia. However, students who are unwilling or unable to provide consent</w:t>
      </w:r>
      <w:r>
        <w:rPr>
          <w:sz w:val="22"/>
          <w:szCs w:val="22"/>
        </w:rPr>
        <w:t xml:space="preserve"> were </w:t>
      </w:r>
      <w:r>
        <w:rPr>
          <w:color w:val="000000"/>
          <w:sz w:val="22"/>
          <w:szCs w:val="22"/>
        </w:rPr>
        <w:t>excluded from the study. These criteria have been established to ensure that the study is conducted with a specific group of individuals who are representative of</w:t>
      </w:r>
      <w:r>
        <w:rPr>
          <w:color w:val="000000"/>
          <w:sz w:val="22"/>
          <w:szCs w:val="22"/>
        </w:rPr>
        <w:t xml:space="preserve"> the emerging adult university student population in Malaysia.</w:t>
      </w:r>
    </w:p>
    <w:p w14:paraId="3DD01C9C"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1C86F959" w14:textId="77777777" w:rsidR="002512D9" w:rsidRDefault="002512D9" w:rsidP="002512D9">
      <w:pPr>
        <w:widowControl w:val="0"/>
        <w:pBdr>
          <w:top w:val="nil"/>
          <w:left w:val="nil"/>
          <w:bottom w:val="nil"/>
          <w:right w:val="nil"/>
          <w:between w:val="nil"/>
        </w:pBdr>
        <w:tabs>
          <w:tab w:val="left" w:pos="198"/>
        </w:tabs>
        <w:spacing w:line="360" w:lineRule="auto"/>
        <w:jc w:val="both"/>
        <w:rPr>
          <w:b/>
          <w:i/>
          <w:color w:val="000000"/>
          <w:sz w:val="28"/>
          <w:szCs w:val="28"/>
        </w:rPr>
      </w:pPr>
    </w:p>
    <w:p w14:paraId="73E65832" w14:textId="6295811C"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b/>
          <w:i/>
          <w:color w:val="000000"/>
          <w:sz w:val="28"/>
          <w:szCs w:val="28"/>
        </w:rPr>
        <w:lastRenderedPageBreak/>
        <w:t>Sampling Procedure</w:t>
      </w:r>
    </w:p>
    <w:p w14:paraId="66D279F6"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 xml:space="preserve">In order to recruit participants, non-probability sampling </w:t>
      </w:r>
      <w:r>
        <w:rPr>
          <w:sz w:val="22"/>
          <w:szCs w:val="22"/>
        </w:rPr>
        <w:t>is</w:t>
      </w:r>
      <w:r>
        <w:rPr>
          <w:color w:val="000000"/>
          <w:sz w:val="22"/>
          <w:szCs w:val="22"/>
        </w:rPr>
        <w:t xml:space="preserve"> employed. According to Creswell (2015), nonprobability sampling is a method in which the researcher selects par</w:t>
      </w:r>
      <w:r>
        <w:rPr>
          <w:color w:val="000000"/>
          <w:sz w:val="22"/>
          <w:szCs w:val="22"/>
        </w:rPr>
        <w:t>ticipants based on their availability and convenience, and they represent certain characteristics that the researcher intends to study. For this study, nonprobability sampling was chosen over probability sampling due to the adaptation of online survey desi</w:t>
      </w:r>
      <w:r>
        <w:rPr>
          <w:color w:val="000000"/>
          <w:sz w:val="22"/>
          <w:szCs w:val="22"/>
        </w:rPr>
        <w:t xml:space="preserve">gn and the limited time frame of two months to complete the data collection. Specifically, convenience sampling </w:t>
      </w:r>
      <w:r>
        <w:rPr>
          <w:sz w:val="22"/>
          <w:szCs w:val="22"/>
        </w:rPr>
        <w:t>is</w:t>
      </w:r>
      <w:r>
        <w:rPr>
          <w:color w:val="000000"/>
          <w:sz w:val="22"/>
          <w:szCs w:val="22"/>
        </w:rPr>
        <w:t xml:space="preserve"> used, which is defined as a method of quantitative sampling where the researcher chooses participants who are readily available and willing t</w:t>
      </w:r>
      <w:r>
        <w:rPr>
          <w:color w:val="000000"/>
          <w:sz w:val="22"/>
          <w:szCs w:val="22"/>
        </w:rPr>
        <w:t>o participate (Creswell, 2015). The researcher</w:t>
      </w:r>
      <w:r>
        <w:rPr>
          <w:sz w:val="22"/>
          <w:szCs w:val="22"/>
        </w:rPr>
        <w:t xml:space="preserve"> </w:t>
      </w:r>
      <w:r>
        <w:rPr>
          <w:color w:val="000000"/>
          <w:sz w:val="22"/>
          <w:szCs w:val="22"/>
        </w:rPr>
        <w:t>shared the link to the created Google form online survey across social media platforms to recruit respondents that are willing to participate. Furthermore, QR code</w:t>
      </w:r>
      <w:r>
        <w:rPr>
          <w:sz w:val="22"/>
          <w:szCs w:val="22"/>
        </w:rPr>
        <w:t xml:space="preserve"> is</w:t>
      </w:r>
      <w:r>
        <w:rPr>
          <w:color w:val="000000"/>
          <w:sz w:val="22"/>
          <w:szCs w:val="22"/>
        </w:rPr>
        <w:t xml:space="preserve"> used as a recruiting tool for participants</w:t>
      </w:r>
      <w:r>
        <w:rPr>
          <w:color w:val="000000"/>
          <w:sz w:val="22"/>
          <w:szCs w:val="22"/>
        </w:rPr>
        <w:t xml:space="preserve"> to scan when approached in common areas of the universities. To be eligible to take part in the survey, students must fulfil the inclusion criteria. </w:t>
      </w:r>
    </w:p>
    <w:p w14:paraId="339DBFB0"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45CF9D4D" w14:textId="77777777"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b/>
          <w:i/>
          <w:color w:val="000000"/>
          <w:sz w:val="28"/>
          <w:szCs w:val="28"/>
        </w:rPr>
        <w:t>Instruments</w:t>
      </w:r>
    </w:p>
    <w:p w14:paraId="48D26F0F"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bookmarkStart w:id="4" w:name="_heading=h.tyjcwt" w:colFirst="0" w:colLast="0"/>
      <w:bookmarkEnd w:id="4"/>
      <w:r>
        <w:rPr>
          <w:b/>
          <w:color w:val="000000"/>
          <w:sz w:val="22"/>
          <w:szCs w:val="22"/>
        </w:rPr>
        <w:tab/>
        <w:t xml:space="preserve">Multidimensional Scale of Perceived Social Support (MSPSS). </w:t>
      </w:r>
      <w:r>
        <w:rPr>
          <w:color w:val="000000"/>
          <w:sz w:val="22"/>
          <w:szCs w:val="22"/>
        </w:rPr>
        <w:t xml:space="preserve">The extent of </w:t>
      </w:r>
      <w:r>
        <w:rPr>
          <w:sz w:val="22"/>
          <w:szCs w:val="22"/>
        </w:rPr>
        <w:t>PSS</w:t>
      </w:r>
      <w:r>
        <w:rPr>
          <w:color w:val="000000"/>
          <w:sz w:val="22"/>
          <w:szCs w:val="22"/>
        </w:rPr>
        <w:t xml:space="preserve"> </w:t>
      </w:r>
      <w:r>
        <w:rPr>
          <w:sz w:val="22"/>
          <w:szCs w:val="22"/>
        </w:rPr>
        <w:t>is</w:t>
      </w:r>
      <w:r>
        <w:rPr>
          <w:color w:val="000000"/>
          <w:sz w:val="22"/>
          <w:szCs w:val="22"/>
        </w:rPr>
        <w:t xml:space="preserve"> measured w</w:t>
      </w:r>
      <w:r>
        <w:rPr>
          <w:color w:val="000000"/>
          <w:sz w:val="22"/>
          <w:szCs w:val="22"/>
        </w:rPr>
        <w:t>ith a 12-item scale measuring from three domains: family, friends, and significant others (</w:t>
      </w:r>
      <w:proofErr w:type="spellStart"/>
      <w:r>
        <w:rPr>
          <w:color w:val="000000"/>
          <w:sz w:val="22"/>
          <w:szCs w:val="22"/>
        </w:rPr>
        <w:t>Zimet</w:t>
      </w:r>
      <w:proofErr w:type="spellEnd"/>
      <w:r>
        <w:rPr>
          <w:color w:val="000000"/>
          <w:sz w:val="22"/>
          <w:szCs w:val="22"/>
        </w:rPr>
        <w:t xml:space="preserve"> et al.1990). Items are rated on a seven-point Likert scale, where 1 signifies "very strongly disagree" and 7 signifies "very strongly agree,”. This measure has</w:t>
      </w:r>
      <w:r>
        <w:rPr>
          <w:color w:val="000000"/>
          <w:sz w:val="22"/>
          <w:szCs w:val="22"/>
        </w:rPr>
        <w:t xml:space="preserve"> demonstrated sufficient validity and reliability, including coefficient alphas for the subscales and scale as a whole ranging from .85 to .91 (</w:t>
      </w:r>
      <w:proofErr w:type="spellStart"/>
      <w:r>
        <w:rPr>
          <w:color w:val="000000"/>
          <w:sz w:val="22"/>
          <w:szCs w:val="22"/>
        </w:rPr>
        <w:t>Zimet</w:t>
      </w:r>
      <w:proofErr w:type="spellEnd"/>
      <w:r>
        <w:rPr>
          <w:color w:val="000000"/>
          <w:sz w:val="22"/>
          <w:szCs w:val="22"/>
        </w:rPr>
        <w:t xml:space="preserve"> et al.1990). </w:t>
      </w:r>
      <w:r>
        <w:rPr>
          <w:color w:val="000000"/>
          <w:sz w:val="22"/>
          <w:szCs w:val="22"/>
        </w:rPr>
        <w:t>A sample statement in the scale is “There is a special person with whom I can share my joys a</w:t>
      </w:r>
      <w:r>
        <w:rPr>
          <w:color w:val="000000"/>
          <w:sz w:val="22"/>
          <w:szCs w:val="22"/>
        </w:rPr>
        <w:t xml:space="preserve">nd sorrows”. The total score can range from 12 to 84, with a higher total indicating stronger </w:t>
      </w:r>
      <w:r>
        <w:rPr>
          <w:sz w:val="22"/>
          <w:szCs w:val="22"/>
        </w:rPr>
        <w:t>PSS</w:t>
      </w:r>
      <w:r>
        <w:rPr>
          <w:color w:val="000000"/>
          <w:sz w:val="22"/>
          <w:szCs w:val="22"/>
        </w:rPr>
        <w:t>.</w:t>
      </w:r>
    </w:p>
    <w:p w14:paraId="4BFB755B" w14:textId="77777777" w:rsidR="001D46B9" w:rsidRDefault="001D46B9" w:rsidP="002512D9">
      <w:pPr>
        <w:widowControl w:val="0"/>
        <w:pBdr>
          <w:top w:val="nil"/>
          <w:left w:val="nil"/>
          <w:bottom w:val="nil"/>
          <w:right w:val="nil"/>
          <w:between w:val="nil"/>
        </w:pBdr>
        <w:tabs>
          <w:tab w:val="left" w:pos="198"/>
        </w:tabs>
        <w:spacing w:line="360" w:lineRule="auto"/>
        <w:ind w:firstLine="202"/>
        <w:jc w:val="both"/>
        <w:rPr>
          <w:color w:val="000000"/>
          <w:sz w:val="22"/>
          <w:szCs w:val="22"/>
        </w:rPr>
      </w:pPr>
    </w:p>
    <w:p w14:paraId="08D1F4E9"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b/>
          <w:color w:val="000000"/>
          <w:sz w:val="22"/>
          <w:szCs w:val="22"/>
        </w:rPr>
        <w:tab/>
        <w:t xml:space="preserve">Patient Health Questionnaire-9 (PHQ-9). </w:t>
      </w:r>
      <w:r>
        <w:rPr>
          <w:sz w:val="22"/>
          <w:szCs w:val="22"/>
        </w:rPr>
        <w:t>PHQ-9</w:t>
      </w:r>
      <w:r>
        <w:rPr>
          <w:color w:val="000000"/>
          <w:sz w:val="22"/>
          <w:szCs w:val="22"/>
        </w:rPr>
        <w:t xml:space="preserve"> is a nine questions instrument based on the nine DSM-IV criteria for major depression. Its validity as a brie</w:t>
      </w:r>
      <w:r>
        <w:rPr>
          <w:color w:val="000000"/>
          <w:sz w:val="22"/>
          <w:szCs w:val="22"/>
        </w:rPr>
        <w:t xml:space="preserve">f depression severity measure was first developed by Kroenke et al., (2001). PHQ-9 is available in many languages, including </w:t>
      </w:r>
      <w:proofErr w:type="spellStart"/>
      <w:r>
        <w:rPr>
          <w:color w:val="000000"/>
          <w:sz w:val="22"/>
          <w:szCs w:val="22"/>
        </w:rPr>
        <w:t>malay</w:t>
      </w:r>
      <w:proofErr w:type="spellEnd"/>
      <w:r>
        <w:rPr>
          <w:color w:val="000000"/>
          <w:sz w:val="22"/>
          <w:szCs w:val="22"/>
        </w:rPr>
        <w:t xml:space="preserve"> language which is found to have good internal reliability (</w:t>
      </w:r>
      <w:proofErr w:type="spellStart"/>
      <w:r>
        <w:rPr>
          <w:color w:val="000000"/>
          <w:sz w:val="22"/>
          <w:szCs w:val="22"/>
        </w:rPr>
        <w:t>Mohd</w:t>
      </w:r>
      <w:proofErr w:type="spellEnd"/>
      <w:r>
        <w:rPr>
          <w:color w:val="000000"/>
          <w:sz w:val="22"/>
          <w:szCs w:val="22"/>
        </w:rPr>
        <w:t xml:space="preserve"> </w:t>
      </w:r>
      <w:proofErr w:type="spellStart"/>
      <w:r>
        <w:rPr>
          <w:color w:val="000000"/>
          <w:sz w:val="22"/>
          <w:szCs w:val="22"/>
        </w:rPr>
        <w:t>Sidik</w:t>
      </w:r>
      <w:proofErr w:type="spellEnd"/>
      <w:r>
        <w:rPr>
          <w:color w:val="000000"/>
          <w:sz w:val="22"/>
          <w:szCs w:val="22"/>
        </w:rPr>
        <w:t xml:space="preserve"> et al., 2012). It has also been used in many different </w:t>
      </w:r>
      <w:r>
        <w:rPr>
          <w:color w:val="000000"/>
          <w:sz w:val="22"/>
          <w:szCs w:val="22"/>
        </w:rPr>
        <w:t>countries; such as Canada, Finland, France, Hong Kong, Korea, Norway, Poland, Russia, and USA (</w:t>
      </w:r>
      <w:proofErr w:type="spellStart"/>
      <w:r>
        <w:rPr>
          <w:color w:val="000000"/>
          <w:sz w:val="22"/>
          <w:szCs w:val="22"/>
        </w:rPr>
        <w:t>Mohd</w:t>
      </w:r>
      <w:proofErr w:type="spellEnd"/>
      <w:r>
        <w:rPr>
          <w:color w:val="000000"/>
          <w:sz w:val="22"/>
          <w:szCs w:val="22"/>
        </w:rPr>
        <w:t xml:space="preserve"> </w:t>
      </w:r>
      <w:proofErr w:type="spellStart"/>
      <w:r>
        <w:rPr>
          <w:color w:val="000000"/>
          <w:sz w:val="22"/>
          <w:szCs w:val="22"/>
        </w:rPr>
        <w:t>Sidik</w:t>
      </w:r>
      <w:proofErr w:type="spellEnd"/>
      <w:r>
        <w:rPr>
          <w:color w:val="000000"/>
          <w:sz w:val="22"/>
          <w:szCs w:val="22"/>
        </w:rPr>
        <w:t xml:space="preserve"> et al., 2012). The PHQ-9 has been used commonly in health research to assess symptoms of depression over the past 2 weeks (e.g., “Little interest or p</w:t>
      </w:r>
      <w:r>
        <w:rPr>
          <w:color w:val="000000"/>
          <w:sz w:val="22"/>
          <w:szCs w:val="22"/>
        </w:rPr>
        <w:t>leasure in doing things”) using responses on a 4-point scale (1 = Not at all, 4 = Nearly every day). The score is calculated by adding up all checked boxes. The scores can range from 1- 27, higher scores interpret higher depression severity. This instrumen</w:t>
      </w:r>
      <w:r>
        <w:rPr>
          <w:color w:val="000000"/>
          <w:sz w:val="22"/>
          <w:szCs w:val="22"/>
        </w:rPr>
        <w:t>t indicated adequate reliability α = .85 (Kroenke et al., 2001).</w:t>
      </w:r>
    </w:p>
    <w:p w14:paraId="79AD41BE" w14:textId="77777777" w:rsidR="001D46B9" w:rsidRDefault="001D46B9" w:rsidP="002512D9">
      <w:pPr>
        <w:widowControl w:val="0"/>
        <w:pBdr>
          <w:top w:val="nil"/>
          <w:left w:val="nil"/>
          <w:bottom w:val="nil"/>
          <w:right w:val="nil"/>
          <w:between w:val="nil"/>
        </w:pBdr>
        <w:tabs>
          <w:tab w:val="left" w:pos="198"/>
        </w:tabs>
        <w:spacing w:line="360" w:lineRule="auto"/>
        <w:jc w:val="both"/>
        <w:rPr>
          <w:b/>
          <w:i/>
          <w:color w:val="000000"/>
          <w:sz w:val="28"/>
          <w:szCs w:val="28"/>
        </w:rPr>
      </w:pPr>
    </w:p>
    <w:p w14:paraId="06C01196" w14:textId="77777777"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b/>
          <w:i/>
          <w:color w:val="000000"/>
          <w:sz w:val="28"/>
          <w:szCs w:val="28"/>
        </w:rPr>
        <w:t>Data Collection Procedure</w:t>
      </w:r>
    </w:p>
    <w:p w14:paraId="116F48D7" w14:textId="77777777"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color w:val="000000"/>
          <w:sz w:val="22"/>
          <w:szCs w:val="22"/>
        </w:rPr>
        <w:t xml:space="preserve">In this study, the data collection </w:t>
      </w:r>
      <w:r>
        <w:rPr>
          <w:sz w:val="22"/>
          <w:szCs w:val="22"/>
        </w:rPr>
        <w:t xml:space="preserve">was </w:t>
      </w:r>
      <w:r>
        <w:rPr>
          <w:color w:val="000000"/>
          <w:sz w:val="22"/>
          <w:szCs w:val="22"/>
        </w:rPr>
        <w:t>conducted online. It is a cross-sectional study involving public and private universities in Malaysia. Cross-sectional studies are observational studies that examine data from a population at a specific point in time (Wang &amp; Cheng, 2020). The process of da</w:t>
      </w:r>
      <w:r>
        <w:rPr>
          <w:color w:val="000000"/>
          <w:sz w:val="22"/>
          <w:szCs w:val="22"/>
        </w:rPr>
        <w:t xml:space="preserve">ta collection </w:t>
      </w:r>
      <w:r>
        <w:rPr>
          <w:sz w:val="22"/>
          <w:szCs w:val="22"/>
        </w:rPr>
        <w:t>started</w:t>
      </w:r>
      <w:r>
        <w:rPr>
          <w:color w:val="000000"/>
          <w:sz w:val="22"/>
          <w:szCs w:val="22"/>
        </w:rPr>
        <w:t xml:space="preserve"> upon obtaining approval from the ethics committee of </w:t>
      </w:r>
      <w:proofErr w:type="spellStart"/>
      <w:r>
        <w:rPr>
          <w:color w:val="000000"/>
          <w:sz w:val="22"/>
          <w:szCs w:val="22"/>
        </w:rPr>
        <w:t>Tunku</w:t>
      </w:r>
      <w:proofErr w:type="spellEnd"/>
      <w:r>
        <w:rPr>
          <w:color w:val="000000"/>
          <w:sz w:val="22"/>
          <w:szCs w:val="22"/>
        </w:rPr>
        <w:t xml:space="preserve"> Abdul Rahman University of Management and </w:t>
      </w:r>
      <w:r>
        <w:rPr>
          <w:color w:val="000000"/>
          <w:sz w:val="22"/>
          <w:szCs w:val="22"/>
        </w:rPr>
        <w:lastRenderedPageBreak/>
        <w:t xml:space="preserve">Technology. A link </w:t>
      </w:r>
      <w:r>
        <w:rPr>
          <w:sz w:val="22"/>
          <w:szCs w:val="22"/>
        </w:rPr>
        <w:t>was being</w:t>
      </w:r>
      <w:r>
        <w:rPr>
          <w:color w:val="000000"/>
          <w:sz w:val="22"/>
          <w:szCs w:val="22"/>
        </w:rPr>
        <w:t xml:space="preserve"> sent to respondents through social media platforms such as WhatsApp and Instagram. Upon clicking the lin</w:t>
      </w:r>
      <w:r>
        <w:rPr>
          <w:color w:val="000000"/>
          <w:sz w:val="22"/>
          <w:szCs w:val="22"/>
        </w:rPr>
        <w:t xml:space="preserve">k, respondents </w:t>
      </w:r>
      <w:r>
        <w:rPr>
          <w:sz w:val="22"/>
          <w:szCs w:val="22"/>
        </w:rPr>
        <w:t>were</w:t>
      </w:r>
      <w:r>
        <w:rPr>
          <w:color w:val="000000"/>
          <w:sz w:val="22"/>
          <w:szCs w:val="22"/>
        </w:rPr>
        <w:t xml:space="preserve"> directed to the designed Google Form to complete the survey. To increase efficiency, participants </w:t>
      </w:r>
      <w:r>
        <w:rPr>
          <w:sz w:val="22"/>
          <w:szCs w:val="22"/>
        </w:rPr>
        <w:t>were also being</w:t>
      </w:r>
      <w:r>
        <w:rPr>
          <w:color w:val="000000"/>
          <w:sz w:val="22"/>
          <w:szCs w:val="22"/>
        </w:rPr>
        <w:t xml:space="preserve"> approached in the cafeteria, library, and campuses’ common spaces in different faculties to scan a QR code that</w:t>
      </w:r>
      <w:r>
        <w:rPr>
          <w:sz w:val="22"/>
          <w:szCs w:val="22"/>
        </w:rPr>
        <w:t xml:space="preserve"> directed </w:t>
      </w:r>
      <w:r>
        <w:rPr>
          <w:color w:val="000000"/>
          <w:sz w:val="22"/>
          <w:szCs w:val="22"/>
        </w:rPr>
        <w:t xml:space="preserve">them to the Google form. Respondents </w:t>
      </w:r>
      <w:r>
        <w:rPr>
          <w:sz w:val="22"/>
          <w:szCs w:val="22"/>
        </w:rPr>
        <w:t>then</w:t>
      </w:r>
      <w:r>
        <w:rPr>
          <w:color w:val="000000"/>
          <w:sz w:val="22"/>
          <w:szCs w:val="22"/>
        </w:rPr>
        <w:t xml:space="preserve"> read about the confidentiality of information and the estimated time in completing the questionnaire. Upon giving consent, they </w:t>
      </w:r>
      <w:r>
        <w:rPr>
          <w:sz w:val="22"/>
          <w:szCs w:val="22"/>
        </w:rPr>
        <w:t>were</w:t>
      </w:r>
      <w:r>
        <w:rPr>
          <w:color w:val="000000"/>
          <w:sz w:val="22"/>
          <w:szCs w:val="22"/>
        </w:rPr>
        <w:t xml:space="preserve"> able to proceed to the next part of the survey.</w:t>
      </w:r>
      <w:r>
        <w:rPr>
          <w:b/>
          <w:i/>
          <w:color w:val="000000"/>
          <w:sz w:val="28"/>
          <w:szCs w:val="28"/>
        </w:rPr>
        <w:t xml:space="preserve">                        </w:t>
      </w:r>
      <w:r>
        <w:rPr>
          <w:b/>
          <w:i/>
          <w:color w:val="000000"/>
          <w:sz w:val="28"/>
          <w:szCs w:val="28"/>
        </w:rPr>
        <w:t xml:space="preserve">                                             </w:t>
      </w:r>
    </w:p>
    <w:p w14:paraId="754A0D0F"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34E3F80E" w14:textId="77777777" w:rsidR="001D46B9" w:rsidRDefault="008D669C" w:rsidP="002512D9">
      <w:pPr>
        <w:widowControl w:val="0"/>
        <w:pBdr>
          <w:top w:val="nil"/>
          <w:left w:val="nil"/>
          <w:bottom w:val="nil"/>
          <w:right w:val="nil"/>
          <w:between w:val="nil"/>
        </w:pBdr>
        <w:tabs>
          <w:tab w:val="left" w:pos="198"/>
        </w:tabs>
        <w:spacing w:line="360" w:lineRule="auto"/>
        <w:jc w:val="both"/>
        <w:rPr>
          <w:b/>
          <w:i/>
          <w:color w:val="000000"/>
          <w:sz w:val="28"/>
          <w:szCs w:val="28"/>
        </w:rPr>
      </w:pPr>
      <w:r>
        <w:rPr>
          <w:b/>
          <w:i/>
          <w:color w:val="000000"/>
          <w:sz w:val="28"/>
          <w:szCs w:val="28"/>
        </w:rPr>
        <w:t>Data Analysis</w:t>
      </w:r>
    </w:p>
    <w:p w14:paraId="28AFF173" w14:textId="77777777" w:rsidR="001D46B9" w:rsidRDefault="008D669C" w:rsidP="002512D9">
      <w:pPr>
        <w:spacing w:line="360" w:lineRule="auto"/>
        <w:jc w:val="both"/>
        <w:rPr>
          <w:sz w:val="22"/>
          <w:szCs w:val="22"/>
        </w:rPr>
      </w:pPr>
      <w:r>
        <w:rPr>
          <w:color w:val="000000"/>
          <w:sz w:val="22"/>
          <w:szCs w:val="22"/>
        </w:rPr>
        <w:t xml:space="preserve">The collected data </w:t>
      </w:r>
      <w:r>
        <w:rPr>
          <w:sz w:val="22"/>
          <w:szCs w:val="22"/>
        </w:rPr>
        <w:t>was</w:t>
      </w:r>
      <w:r>
        <w:rPr>
          <w:color w:val="000000"/>
          <w:sz w:val="22"/>
          <w:szCs w:val="22"/>
        </w:rPr>
        <w:t xml:space="preserve"> analysed using the IBM Statistical Package for the Social Sciences (SPSS), version 26.0 software. The different analysis procedures in SPSS </w:t>
      </w:r>
      <w:r>
        <w:rPr>
          <w:sz w:val="22"/>
          <w:szCs w:val="22"/>
        </w:rPr>
        <w:t>aided</w:t>
      </w:r>
      <w:r>
        <w:rPr>
          <w:color w:val="000000"/>
          <w:sz w:val="22"/>
          <w:szCs w:val="22"/>
        </w:rPr>
        <w:t xml:space="preserve"> in addressing every resear</w:t>
      </w:r>
      <w:r>
        <w:rPr>
          <w:color w:val="000000"/>
          <w:sz w:val="22"/>
          <w:szCs w:val="22"/>
        </w:rPr>
        <w:t xml:space="preserve">ch question. Descriptive statistics </w:t>
      </w:r>
      <w:r>
        <w:rPr>
          <w:sz w:val="22"/>
          <w:szCs w:val="22"/>
        </w:rPr>
        <w:t xml:space="preserve">were </w:t>
      </w:r>
      <w:r>
        <w:rPr>
          <w:color w:val="000000"/>
          <w:sz w:val="22"/>
          <w:szCs w:val="22"/>
        </w:rPr>
        <w:t xml:space="preserve">performed to analyse the demographic data of the respondents. Categorical data including gender, and level of education </w:t>
      </w:r>
      <w:r>
        <w:rPr>
          <w:sz w:val="22"/>
          <w:szCs w:val="22"/>
        </w:rPr>
        <w:t>were</w:t>
      </w:r>
      <w:r>
        <w:rPr>
          <w:color w:val="000000"/>
          <w:sz w:val="22"/>
          <w:szCs w:val="22"/>
        </w:rPr>
        <w:t xml:space="preserve"> described using frequency and percentage. The continuous data such as the age of undergrad</w:t>
      </w:r>
      <w:r>
        <w:rPr>
          <w:color w:val="000000"/>
          <w:sz w:val="22"/>
          <w:szCs w:val="22"/>
        </w:rPr>
        <w:t xml:space="preserve">uate students </w:t>
      </w:r>
      <w:r>
        <w:rPr>
          <w:sz w:val="22"/>
          <w:szCs w:val="22"/>
        </w:rPr>
        <w:t>was</w:t>
      </w:r>
      <w:r>
        <w:rPr>
          <w:color w:val="000000"/>
          <w:sz w:val="22"/>
          <w:szCs w:val="22"/>
        </w:rPr>
        <w:t xml:space="preserve"> described using variability (range) and central tendency (mean). The distribution and </w:t>
      </w:r>
      <w:r>
        <w:rPr>
          <w:sz w:val="22"/>
          <w:szCs w:val="22"/>
        </w:rPr>
        <w:t>normality</w:t>
      </w:r>
      <w:r>
        <w:rPr>
          <w:color w:val="000000"/>
          <w:sz w:val="22"/>
          <w:szCs w:val="22"/>
        </w:rPr>
        <w:t xml:space="preserve"> of the data </w:t>
      </w:r>
      <w:r>
        <w:rPr>
          <w:sz w:val="22"/>
          <w:szCs w:val="22"/>
        </w:rPr>
        <w:t xml:space="preserve">is </w:t>
      </w:r>
      <w:r>
        <w:rPr>
          <w:color w:val="000000"/>
          <w:sz w:val="22"/>
          <w:szCs w:val="22"/>
        </w:rPr>
        <w:t>validated using Skewness &amp; Kurtosis in which the value is between -</w:t>
      </w:r>
      <w:r>
        <w:rPr>
          <w:sz w:val="22"/>
          <w:szCs w:val="22"/>
        </w:rPr>
        <w:t>1</w:t>
      </w:r>
      <w:r>
        <w:rPr>
          <w:color w:val="000000"/>
          <w:sz w:val="22"/>
          <w:szCs w:val="22"/>
        </w:rPr>
        <w:t xml:space="preserve">.00 to </w:t>
      </w:r>
      <w:r>
        <w:rPr>
          <w:sz w:val="22"/>
          <w:szCs w:val="22"/>
        </w:rPr>
        <w:t>1</w:t>
      </w:r>
      <w:r>
        <w:rPr>
          <w:color w:val="000000"/>
          <w:sz w:val="22"/>
          <w:szCs w:val="22"/>
        </w:rPr>
        <w:t>.00</w:t>
      </w:r>
      <w:r>
        <w:rPr>
          <w:sz w:val="22"/>
          <w:szCs w:val="22"/>
        </w:rPr>
        <w:t xml:space="preserve"> and </w:t>
      </w:r>
      <w:r>
        <w:rPr>
          <w:color w:val="000000"/>
          <w:sz w:val="22"/>
          <w:szCs w:val="22"/>
        </w:rPr>
        <w:t xml:space="preserve">Kolmogorov–Smirnov </w:t>
      </w:r>
      <w:r>
        <w:rPr>
          <w:sz w:val="22"/>
          <w:szCs w:val="22"/>
        </w:rPr>
        <w:t>test</w:t>
      </w:r>
      <w:r>
        <w:rPr>
          <w:color w:val="000000"/>
          <w:sz w:val="22"/>
          <w:szCs w:val="22"/>
        </w:rPr>
        <w:t xml:space="preserve"> (</w:t>
      </w:r>
      <w:r>
        <w:rPr>
          <w:sz w:val="22"/>
          <w:szCs w:val="22"/>
        </w:rPr>
        <w:t>Gupta</w:t>
      </w:r>
      <w:r>
        <w:rPr>
          <w:color w:val="000000"/>
          <w:sz w:val="22"/>
          <w:szCs w:val="22"/>
        </w:rPr>
        <w:t xml:space="preserve"> et al., 2019</w:t>
      </w:r>
      <w:r>
        <w:rPr>
          <w:color w:val="000000"/>
          <w:sz w:val="22"/>
          <w:szCs w:val="22"/>
        </w:rPr>
        <w:t xml:space="preserve">). Inferential statistics </w:t>
      </w:r>
      <w:r>
        <w:rPr>
          <w:sz w:val="22"/>
          <w:szCs w:val="22"/>
        </w:rPr>
        <w:t>were</w:t>
      </w:r>
      <w:r>
        <w:rPr>
          <w:color w:val="000000"/>
          <w:sz w:val="22"/>
          <w:szCs w:val="22"/>
        </w:rPr>
        <w:t xml:space="preserve"> conducted when determining </w:t>
      </w:r>
      <w:r>
        <w:rPr>
          <w:color w:val="000000"/>
          <w:sz w:val="22"/>
          <w:szCs w:val="22"/>
        </w:rPr>
        <w:t xml:space="preserve">the correlation between </w:t>
      </w:r>
      <w:r>
        <w:rPr>
          <w:sz w:val="22"/>
          <w:szCs w:val="22"/>
        </w:rPr>
        <w:t>PSS</w:t>
      </w:r>
      <w:r>
        <w:rPr>
          <w:color w:val="000000"/>
          <w:sz w:val="22"/>
          <w:szCs w:val="22"/>
        </w:rPr>
        <w:t xml:space="preserve"> and </w:t>
      </w:r>
      <w:r>
        <w:rPr>
          <w:sz w:val="22"/>
          <w:szCs w:val="22"/>
        </w:rPr>
        <w:t>DS</w:t>
      </w:r>
      <w:r>
        <w:rPr>
          <w:color w:val="000000"/>
          <w:sz w:val="22"/>
          <w:szCs w:val="22"/>
        </w:rPr>
        <w:t xml:space="preserve">. In particular, the Pearson’s correlation (r) coefficient </w:t>
      </w:r>
      <w:r>
        <w:rPr>
          <w:sz w:val="22"/>
          <w:szCs w:val="22"/>
        </w:rPr>
        <w:t>was being</w:t>
      </w:r>
      <w:r>
        <w:rPr>
          <w:color w:val="000000"/>
          <w:sz w:val="22"/>
          <w:szCs w:val="22"/>
        </w:rPr>
        <w:t xml:space="preserve"> used to answer the first research question</w:t>
      </w:r>
      <w:r>
        <w:rPr>
          <w:sz w:val="22"/>
          <w:szCs w:val="22"/>
        </w:rPr>
        <w:t>, d</w:t>
      </w:r>
      <w:r>
        <w:rPr>
          <w:color w:val="000000"/>
          <w:sz w:val="22"/>
          <w:szCs w:val="22"/>
        </w:rPr>
        <w:t xml:space="preserve">ue to the </w:t>
      </w:r>
      <w:r>
        <w:rPr>
          <w:sz w:val="22"/>
          <w:szCs w:val="22"/>
        </w:rPr>
        <w:t>normality</w:t>
      </w:r>
      <w:r>
        <w:rPr>
          <w:color w:val="000000"/>
          <w:sz w:val="22"/>
          <w:szCs w:val="22"/>
        </w:rPr>
        <w:t xml:space="preserve"> of the data c</w:t>
      </w:r>
      <w:r>
        <w:rPr>
          <w:sz w:val="22"/>
          <w:szCs w:val="22"/>
        </w:rPr>
        <w:t xml:space="preserve">ollected. </w:t>
      </w:r>
      <w:r>
        <w:rPr>
          <w:color w:val="000000"/>
          <w:sz w:val="22"/>
          <w:szCs w:val="22"/>
        </w:rPr>
        <w:t>Further</w:t>
      </w:r>
      <w:r>
        <w:rPr>
          <w:color w:val="000000"/>
          <w:sz w:val="22"/>
          <w:szCs w:val="22"/>
        </w:rPr>
        <w:t xml:space="preserve">more, to address the second research objective of examining potential gender differences in </w:t>
      </w:r>
      <w:r>
        <w:rPr>
          <w:sz w:val="22"/>
          <w:szCs w:val="22"/>
        </w:rPr>
        <w:t>PSS</w:t>
      </w:r>
      <w:r>
        <w:rPr>
          <w:color w:val="000000"/>
          <w:sz w:val="22"/>
          <w:szCs w:val="22"/>
        </w:rPr>
        <w:t xml:space="preserve">, </w:t>
      </w:r>
      <w:r>
        <w:rPr>
          <w:sz w:val="22"/>
          <w:szCs w:val="22"/>
        </w:rPr>
        <w:t>researchers utilised</w:t>
      </w:r>
      <w:r>
        <w:rPr>
          <w:color w:val="000000"/>
          <w:sz w:val="22"/>
          <w:szCs w:val="22"/>
        </w:rPr>
        <w:t xml:space="preserve"> an independent sample T-test for data analysis. This statistical method enables a comparison of the mean scores between two groups, in thi</w:t>
      </w:r>
      <w:r>
        <w:rPr>
          <w:color w:val="000000"/>
          <w:sz w:val="22"/>
          <w:szCs w:val="22"/>
        </w:rPr>
        <w:t xml:space="preserve">s case males and females, to determine whether there are any significant differences in their </w:t>
      </w:r>
      <w:r>
        <w:rPr>
          <w:sz w:val="22"/>
          <w:szCs w:val="22"/>
        </w:rPr>
        <w:t>PSS</w:t>
      </w:r>
      <w:r>
        <w:rPr>
          <w:color w:val="000000"/>
          <w:sz w:val="22"/>
          <w:szCs w:val="22"/>
        </w:rPr>
        <w:t xml:space="preserve"> (Kim, 2019). Besides, after analysing all the data, the results </w:t>
      </w:r>
      <w:r>
        <w:rPr>
          <w:sz w:val="22"/>
          <w:szCs w:val="22"/>
        </w:rPr>
        <w:t xml:space="preserve">were </w:t>
      </w:r>
      <w:r>
        <w:rPr>
          <w:color w:val="000000"/>
          <w:sz w:val="22"/>
          <w:szCs w:val="22"/>
        </w:rPr>
        <w:t>reported following the APA 7th edition style.</w:t>
      </w:r>
    </w:p>
    <w:p w14:paraId="00CEA3BF" w14:textId="77777777" w:rsidR="001D46B9" w:rsidRDefault="001D46B9" w:rsidP="002512D9">
      <w:pPr>
        <w:spacing w:line="360" w:lineRule="auto"/>
        <w:rPr>
          <w:b/>
          <w:sz w:val="28"/>
          <w:szCs w:val="28"/>
        </w:rPr>
      </w:pPr>
    </w:p>
    <w:p w14:paraId="126C7722" w14:textId="77777777" w:rsidR="001D46B9" w:rsidRDefault="008D669C" w:rsidP="002512D9">
      <w:pPr>
        <w:spacing w:line="360" w:lineRule="auto"/>
        <w:rPr>
          <w:b/>
          <w:sz w:val="28"/>
          <w:szCs w:val="28"/>
        </w:rPr>
      </w:pPr>
      <w:r>
        <w:rPr>
          <w:b/>
          <w:sz w:val="28"/>
          <w:szCs w:val="28"/>
        </w:rPr>
        <w:t>Results</w:t>
      </w:r>
    </w:p>
    <w:p w14:paraId="6623154A" w14:textId="77777777" w:rsidR="001D46B9" w:rsidRDefault="008D669C" w:rsidP="002512D9">
      <w:pPr>
        <w:spacing w:line="360" w:lineRule="auto"/>
        <w:jc w:val="both"/>
        <w:rPr>
          <w:sz w:val="22"/>
          <w:szCs w:val="22"/>
        </w:rPr>
      </w:pPr>
      <w:r>
        <w:rPr>
          <w:sz w:val="22"/>
          <w:szCs w:val="22"/>
        </w:rPr>
        <w:t>This section is intended to report</w:t>
      </w:r>
      <w:r>
        <w:rPr>
          <w:sz w:val="22"/>
          <w:szCs w:val="22"/>
        </w:rPr>
        <w:t xml:space="preserve"> findings obtained from the targeted samples.</w:t>
      </w:r>
    </w:p>
    <w:p w14:paraId="6AF4973A" w14:textId="77777777" w:rsidR="001D46B9" w:rsidRDefault="001D46B9" w:rsidP="002512D9">
      <w:pPr>
        <w:spacing w:line="360" w:lineRule="auto"/>
        <w:jc w:val="both"/>
        <w:rPr>
          <w:sz w:val="22"/>
          <w:szCs w:val="22"/>
        </w:rPr>
      </w:pPr>
    </w:p>
    <w:p w14:paraId="445A7E69" w14:textId="77777777" w:rsidR="001D46B9" w:rsidRDefault="008D669C" w:rsidP="002512D9">
      <w:pPr>
        <w:widowControl w:val="0"/>
        <w:tabs>
          <w:tab w:val="left" w:pos="198"/>
        </w:tabs>
        <w:spacing w:line="360" w:lineRule="auto"/>
        <w:jc w:val="both"/>
        <w:rPr>
          <w:sz w:val="22"/>
          <w:szCs w:val="22"/>
        </w:rPr>
      </w:pPr>
      <w:r>
        <w:rPr>
          <w:sz w:val="22"/>
          <w:szCs w:val="22"/>
        </w:rPr>
        <w:tab/>
        <w:t>Table 1 displayed the reliability for MSPSS and PHQ-9. The overall internal consistency for MSPSS was .96, and for PHQ-9, it was reported at .87. According to Kennedy (2022), Cronbach’s alpha values of .80 or</w:t>
      </w:r>
      <w:r>
        <w:rPr>
          <w:sz w:val="22"/>
          <w:szCs w:val="22"/>
        </w:rPr>
        <w:t xml:space="preserve"> higher indicate acceptable internal consistency. The reliability of the instrument is considered strong when the sample size is at least 100 (Kennedy, 2022). Therefore, this demonstrated that the MSPSS and PHQ-9 are reliable in measuring PSS and DS, respe</w:t>
      </w:r>
      <w:r>
        <w:rPr>
          <w:sz w:val="22"/>
          <w:szCs w:val="22"/>
        </w:rPr>
        <w:t>ctively.</w:t>
      </w:r>
    </w:p>
    <w:p w14:paraId="5EB0632D" w14:textId="77777777" w:rsidR="001D46B9" w:rsidRDefault="001D46B9" w:rsidP="002512D9">
      <w:pPr>
        <w:spacing w:line="360" w:lineRule="auto"/>
        <w:jc w:val="both"/>
        <w:rPr>
          <w:sz w:val="22"/>
          <w:szCs w:val="22"/>
        </w:rPr>
        <w:sectPr w:rsidR="001D46B9">
          <w:type w:val="continuous"/>
          <w:pgSz w:w="12240" w:h="15840"/>
          <w:pgMar w:top="1021" w:right="907" w:bottom="1021" w:left="1077" w:header="720" w:footer="720" w:gutter="0"/>
          <w:cols w:num="2" w:space="720" w:equalWidth="0">
            <w:col w:w="4768" w:space="720"/>
            <w:col w:w="4768" w:space="0"/>
          </w:cols>
        </w:sectPr>
      </w:pPr>
    </w:p>
    <w:p w14:paraId="2FD997CE" w14:textId="77777777" w:rsidR="001D46B9" w:rsidRDefault="001D46B9" w:rsidP="002512D9">
      <w:pPr>
        <w:spacing w:line="360" w:lineRule="auto"/>
        <w:rPr>
          <w:sz w:val="22"/>
          <w:szCs w:val="22"/>
          <w:highlight w:val="yellow"/>
        </w:rPr>
        <w:sectPr w:rsidR="001D46B9">
          <w:type w:val="continuous"/>
          <w:pgSz w:w="12240" w:h="15840"/>
          <w:pgMar w:top="1021" w:right="907" w:bottom="1021" w:left="1077" w:header="720" w:footer="720" w:gutter="0"/>
          <w:cols w:space="720"/>
        </w:sectPr>
      </w:pPr>
    </w:p>
    <w:p w14:paraId="54CDFAFD" w14:textId="0E875745"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bookmarkStart w:id="5" w:name="_heading=h.3dy6vkm" w:colFirst="0" w:colLast="0"/>
      <w:bookmarkEnd w:id="5"/>
      <w:r>
        <w:rPr>
          <w:color w:val="000000"/>
          <w:sz w:val="22"/>
          <w:szCs w:val="22"/>
        </w:rPr>
        <w:tab/>
      </w:r>
      <w:bookmarkStart w:id="6" w:name="_heading=h.fch7yo3fkw6y" w:colFirst="0" w:colLast="0"/>
      <w:bookmarkEnd w:id="6"/>
      <w:r>
        <w:br w:type="page"/>
      </w:r>
      <w:r>
        <w:rPr>
          <w:sz w:val="22"/>
          <w:szCs w:val="22"/>
        </w:rPr>
        <w:lastRenderedPageBreak/>
        <w:tab/>
      </w:r>
      <w:r>
        <w:rPr>
          <w:color w:val="000000"/>
          <w:sz w:val="22"/>
          <w:szCs w:val="22"/>
        </w:rPr>
        <w:t>Table 2 showed the results of data exploration using the Kolmogorov–Smirnov test of normality, skewness and kurtosis for all the variables. The Kolmogorov–Smirnov test value indicated insignificance of data (p &lt; 0.05). Skewness and kurtosis values within ±</w:t>
      </w:r>
      <w:r>
        <w:rPr>
          <w:color w:val="000000"/>
          <w:sz w:val="22"/>
          <w:szCs w:val="22"/>
        </w:rPr>
        <w:t>1.00 suggest an approximately normal distribution (Gupta et al., 2019</w:t>
      </w:r>
      <w:sdt>
        <w:sdtPr>
          <w:tag w:val="goog_rdk_0"/>
          <w:id w:val="-1261449266"/>
        </w:sdtPr>
        <w:sdtEndPr/>
        <w:sdtContent>
          <w:r>
            <w:rPr>
              <w:rFonts w:ascii="Gungsuh" w:eastAsia="Gungsuh" w:hAnsi="Gungsuh" w:cs="Gungsuh"/>
              <w:color w:val="000000"/>
              <w:sz w:val="22"/>
              <w:szCs w:val="22"/>
            </w:rPr>
            <w:t xml:space="preserve">). However, for small-to-moderate samples (n &lt; 300), the method lacks reliability due to the inability to adjust the standard error. To address this, a z-test for normality was employed. </w:t>
          </w:r>
          <w:r>
            <w:rPr>
              <w:rFonts w:ascii="Gungsuh" w:eastAsia="Gungsuh" w:hAnsi="Gungsuh" w:cs="Gungsuh"/>
              <w:color w:val="000000"/>
              <w:sz w:val="22"/>
              <w:szCs w:val="22"/>
            </w:rPr>
            <w:t xml:space="preserve">For medium-sized samples (50 ≤ </w:t>
          </w:r>
        </w:sdtContent>
      </w:sdt>
      <w:r>
        <w:rPr>
          <w:i/>
          <w:color w:val="000000"/>
          <w:sz w:val="22"/>
          <w:szCs w:val="22"/>
        </w:rPr>
        <w:t xml:space="preserve">n </w:t>
      </w:r>
      <w:r>
        <w:rPr>
          <w:color w:val="000000"/>
          <w:sz w:val="22"/>
          <w:szCs w:val="22"/>
        </w:rPr>
        <w:t>&lt; 300), all z-scores within ±3.29 indicate normality (Gupta et al., 2019). This finding substantiates the assertion that these results align with a normal distribution.</w:t>
      </w:r>
    </w:p>
    <w:p w14:paraId="7D228EDA"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31CF4452"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t>Table 3 presented the background information of th</w:t>
      </w:r>
      <w:r>
        <w:rPr>
          <w:color w:val="000000"/>
          <w:sz w:val="22"/>
          <w:szCs w:val="22"/>
        </w:rPr>
        <w:t>e respondents. A total of one hundred and forty (140) respondents took part in this survey. The mean age is 21.77 years old, ranging from 18 to 25. The total number of respondents in this survey were N=140, compromising 70 females and 70 males. Additionall</w:t>
      </w:r>
      <w:r>
        <w:rPr>
          <w:color w:val="000000"/>
          <w:sz w:val="22"/>
          <w:szCs w:val="22"/>
        </w:rPr>
        <w:t>y, the majority of the respondents' level of education was bachelor’s degree (</w:t>
      </w:r>
      <w:r>
        <w:rPr>
          <w:i/>
          <w:color w:val="000000"/>
          <w:sz w:val="22"/>
          <w:szCs w:val="22"/>
        </w:rPr>
        <w:t>n</w:t>
      </w:r>
      <w:r>
        <w:rPr>
          <w:color w:val="000000"/>
          <w:sz w:val="22"/>
          <w:szCs w:val="22"/>
        </w:rPr>
        <w:t>=86, 61.4%), followed by pre- university (</w:t>
      </w:r>
      <w:r>
        <w:rPr>
          <w:i/>
          <w:color w:val="000000"/>
          <w:sz w:val="22"/>
          <w:szCs w:val="22"/>
        </w:rPr>
        <w:t>n</w:t>
      </w:r>
      <w:r>
        <w:rPr>
          <w:color w:val="000000"/>
          <w:sz w:val="22"/>
          <w:szCs w:val="22"/>
        </w:rPr>
        <w:t>=29, 20.7%), whereas diploma is the least (</w:t>
      </w:r>
      <w:r>
        <w:rPr>
          <w:i/>
          <w:color w:val="000000"/>
          <w:sz w:val="22"/>
          <w:szCs w:val="22"/>
        </w:rPr>
        <w:t>n</w:t>
      </w:r>
      <w:r>
        <w:rPr>
          <w:color w:val="000000"/>
          <w:sz w:val="22"/>
          <w:szCs w:val="22"/>
        </w:rPr>
        <w:t>=25, 17.9%).</w:t>
      </w:r>
    </w:p>
    <w:p w14:paraId="777CD2D4"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0AB11571" w14:textId="41103117" w:rsidR="001D46B9" w:rsidRDefault="002512D9"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r>
      <w:r w:rsidR="008D669C">
        <w:rPr>
          <w:color w:val="000000"/>
          <w:sz w:val="22"/>
          <w:szCs w:val="22"/>
        </w:rPr>
        <w:t>Table 4 described the total Multidimensional Scale of Perceived Social Suppo</w:t>
      </w:r>
      <w:r w:rsidR="008D669C">
        <w:rPr>
          <w:color w:val="000000"/>
          <w:sz w:val="22"/>
          <w:szCs w:val="22"/>
        </w:rPr>
        <w:t xml:space="preserve">rt (MSPSS) and Patient Health Questionnaire-9 (PHQ-9) score among university students based on the sample of 140 respondents. The PSS scores of respondents ranged </w:t>
      </w:r>
      <w:r w:rsidR="008D669C">
        <w:rPr>
          <w:color w:val="000000"/>
          <w:sz w:val="22"/>
          <w:szCs w:val="22"/>
        </w:rPr>
        <w:t>from 1 to 7. The scores were further categorised into 3 groups according to the participants’</w:t>
      </w:r>
      <w:r w:rsidR="008D669C">
        <w:rPr>
          <w:color w:val="000000"/>
          <w:sz w:val="22"/>
          <w:szCs w:val="22"/>
        </w:rPr>
        <w:t xml:space="preserve"> mean scores; low (1.00-2.90), medium (3.00-5.00), and high (5.10-7.00) (</w:t>
      </w:r>
      <w:proofErr w:type="spellStart"/>
      <w:r w:rsidR="008D669C">
        <w:rPr>
          <w:color w:val="000000"/>
          <w:sz w:val="22"/>
          <w:szCs w:val="22"/>
        </w:rPr>
        <w:t>Zimet</w:t>
      </w:r>
      <w:proofErr w:type="spellEnd"/>
      <w:r w:rsidR="008D669C">
        <w:rPr>
          <w:color w:val="000000"/>
          <w:sz w:val="22"/>
          <w:szCs w:val="22"/>
        </w:rPr>
        <w:t xml:space="preserve">, 2016). Results showed that most of the respondents obtained a high level of PSS (n = 70, 50%). This revealed that most of the respondents have a high level of </w:t>
      </w:r>
      <w:r w:rsidR="008D669C">
        <w:rPr>
          <w:sz w:val="22"/>
          <w:szCs w:val="22"/>
        </w:rPr>
        <w:t>PSS</w:t>
      </w:r>
      <w:r w:rsidR="008D669C">
        <w:rPr>
          <w:color w:val="000000"/>
          <w:sz w:val="22"/>
          <w:szCs w:val="22"/>
        </w:rPr>
        <w:t xml:space="preserve">. </w:t>
      </w:r>
      <w:r w:rsidR="008D669C">
        <w:rPr>
          <w:sz w:val="22"/>
          <w:szCs w:val="22"/>
        </w:rPr>
        <w:t>Besides, the</w:t>
      </w:r>
      <w:r w:rsidR="008D669C">
        <w:rPr>
          <w:color w:val="000000"/>
          <w:sz w:val="22"/>
          <w:szCs w:val="22"/>
        </w:rPr>
        <w:t xml:space="preserve"> </w:t>
      </w:r>
      <w:r w:rsidR="008D669C">
        <w:rPr>
          <w:sz w:val="22"/>
          <w:szCs w:val="22"/>
        </w:rPr>
        <w:t>DS</w:t>
      </w:r>
      <w:r w:rsidR="008D669C">
        <w:rPr>
          <w:color w:val="000000"/>
          <w:sz w:val="22"/>
          <w:szCs w:val="22"/>
        </w:rPr>
        <w:t xml:space="preserve"> of respondents ranged from 0 to 27. The scores of </w:t>
      </w:r>
      <w:r w:rsidR="008D669C">
        <w:rPr>
          <w:sz w:val="22"/>
          <w:szCs w:val="22"/>
        </w:rPr>
        <w:t xml:space="preserve">DS </w:t>
      </w:r>
      <w:r w:rsidR="008D669C">
        <w:rPr>
          <w:color w:val="000000"/>
          <w:sz w:val="22"/>
          <w:szCs w:val="22"/>
        </w:rPr>
        <w:t>were categorised into 5 groups which were minimal depression (0-4), mild depression (5-9), moderate depression (10-14), moderately severe depression (15-19), severe depression (20-27) (Kroenke et al.</w:t>
      </w:r>
      <w:r w:rsidR="008D669C">
        <w:rPr>
          <w:color w:val="000000"/>
          <w:sz w:val="22"/>
          <w:szCs w:val="22"/>
        </w:rPr>
        <w:t>, 2001). Majority of the respondents obtained symptoms of mild depression (</w:t>
      </w:r>
      <w:r w:rsidR="008D669C">
        <w:rPr>
          <w:i/>
          <w:color w:val="000000"/>
          <w:sz w:val="22"/>
          <w:szCs w:val="22"/>
        </w:rPr>
        <w:t>n</w:t>
      </w:r>
      <w:r w:rsidR="008D669C">
        <w:rPr>
          <w:color w:val="000000"/>
          <w:sz w:val="22"/>
          <w:szCs w:val="22"/>
        </w:rPr>
        <w:t xml:space="preserve"> = 49, 35%) and the least number of students obtained symptoms of moderately severe depression (</w:t>
      </w:r>
      <w:r w:rsidR="008D669C">
        <w:rPr>
          <w:i/>
          <w:color w:val="000000"/>
          <w:sz w:val="22"/>
          <w:szCs w:val="22"/>
        </w:rPr>
        <w:t>n</w:t>
      </w:r>
      <w:r w:rsidR="008D669C">
        <w:rPr>
          <w:color w:val="000000"/>
          <w:sz w:val="22"/>
          <w:szCs w:val="22"/>
        </w:rPr>
        <w:t xml:space="preserve"> = 18, 12.9%).</w:t>
      </w:r>
    </w:p>
    <w:p w14:paraId="46903E6E"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26B7EC83" w14:textId="4B4F6CDD"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t>To answer the first research question – “Is there a correlation be</w:t>
      </w:r>
      <w:r>
        <w:rPr>
          <w:color w:val="000000"/>
          <w:sz w:val="22"/>
          <w:szCs w:val="22"/>
        </w:rPr>
        <w:t xml:space="preserve">tween </w:t>
      </w:r>
      <w:r>
        <w:rPr>
          <w:sz w:val="22"/>
          <w:szCs w:val="22"/>
        </w:rPr>
        <w:t>PSS</w:t>
      </w:r>
      <w:r>
        <w:rPr>
          <w:color w:val="000000"/>
          <w:sz w:val="22"/>
          <w:szCs w:val="22"/>
        </w:rPr>
        <w:t xml:space="preserve"> and </w:t>
      </w:r>
      <w:r w:rsidR="002512D9">
        <w:rPr>
          <w:sz w:val="22"/>
          <w:szCs w:val="22"/>
        </w:rPr>
        <w:t>DS</w:t>
      </w:r>
      <w:r w:rsidR="002512D9">
        <w:rPr>
          <w:color w:val="000000"/>
          <w:sz w:val="22"/>
          <w:szCs w:val="22"/>
        </w:rPr>
        <w:t xml:space="preserve"> among</w:t>
      </w:r>
      <w:r>
        <w:rPr>
          <w:color w:val="000000"/>
          <w:sz w:val="22"/>
          <w:szCs w:val="22"/>
        </w:rPr>
        <w:t xml:space="preserve"> emerging adult students in Malaysian </w:t>
      </w:r>
      <w:proofErr w:type="gramStart"/>
      <w:r>
        <w:rPr>
          <w:color w:val="000000"/>
          <w:sz w:val="22"/>
          <w:szCs w:val="22"/>
        </w:rPr>
        <w:t>universities?,</w:t>
      </w:r>
      <w:proofErr w:type="gramEnd"/>
      <w:r>
        <w:rPr>
          <w:color w:val="000000"/>
          <w:sz w:val="22"/>
          <w:szCs w:val="22"/>
        </w:rPr>
        <w:t xml:space="preserve"> data was analysed by Pearson Correlation. Table 5 showed the result of Pearson Correlation between PSS and DS. The result showed that there is a significant negative weak relations</w:t>
      </w:r>
      <w:r>
        <w:rPr>
          <w:color w:val="000000"/>
          <w:sz w:val="22"/>
          <w:szCs w:val="22"/>
        </w:rPr>
        <w:t>hip between PSS and DS (</w:t>
      </w:r>
      <w:r>
        <w:rPr>
          <w:i/>
          <w:color w:val="000000"/>
          <w:sz w:val="22"/>
          <w:szCs w:val="22"/>
        </w:rPr>
        <w:t>r</w:t>
      </w:r>
      <w:r>
        <w:rPr>
          <w:color w:val="000000"/>
          <w:sz w:val="22"/>
          <w:szCs w:val="22"/>
        </w:rPr>
        <w:t xml:space="preserve"> = -.28, </w:t>
      </w:r>
      <w:r>
        <w:rPr>
          <w:i/>
          <w:color w:val="000000"/>
          <w:sz w:val="22"/>
          <w:szCs w:val="22"/>
        </w:rPr>
        <w:t xml:space="preserve">p </w:t>
      </w:r>
      <w:r>
        <w:rPr>
          <w:color w:val="000000"/>
          <w:sz w:val="22"/>
          <w:szCs w:val="22"/>
        </w:rPr>
        <w:t>&lt; .01, r² = .08). While the strength of the association was found to be weak, the statistical significance highlights the presence of a discernible link between</w:t>
      </w:r>
      <w:r>
        <w:rPr>
          <w:sz w:val="22"/>
          <w:szCs w:val="22"/>
        </w:rPr>
        <w:t xml:space="preserve"> PSS</w:t>
      </w:r>
      <w:r>
        <w:rPr>
          <w:color w:val="000000"/>
          <w:sz w:val="22"/>
          <w:szCs w:val="22"/>
        </w:rPr>
        <w:t xml:space="preserve"> and </w:t>
      </w:r>
      <w:r>
        <w:rPr>
          <w:sz w:val="22"/>
          <w:szCs w:val="22"/>
        </w:rPr>
        <w:t xml:space="preserve">DS </w:t>
      </w:r>
      <w:r>
        <w:rPr>
          <w:color w:val="000000"/>
          <w:sz w:val="22"/>
          <w:szCs w:val="22"/>
        </w:rPr>
        <w:t xml:space="preserve">in this cohort. Notably, the explained variance </w:t>
      </w:r>
      <w:r>
        <w:rPr>
          <w:color w:val="000000"/>
          <w:sz w:val="22"/>
          <w:szCs w:val="22"/>
        </w:rPr>
        <w:t xml:space="preserve">(R² = 8%) indicates that only a modest proportion of the variability in </w:t>
      </w:r>
      <w:r>
        <w:rPr>
          <w:sz w:val="22"/>
          <w:szCs w:val="22"/>
        </w:rPr>
        <w:t>DS</w:t>
      </w:r>
      <w:r>
        <w:rPr>
          <w:color w:val="000000"/>
          <w:sz w:val="22"/>
          <w:szCs w:val="22"/>
        </w:rPr>
        <w:t xml:space="preserve"> is influenced by</w:t>
      </w:r>
      <w:r>
        <w:rPr>
          <w:sz w:val="22"/>
          <w:szCs w:val="22"/>
        </w:rPr>
        <w:t xml:space="preserve"> PSS</w:t>
      </w:r>
      <w:r>
        <w:rPr>
          <w:color w:val="000000"/>
          <w:sz w:val="22"/>
          <w:szCs w:val="22"/>
        </w:rPr>
        <w:t>.</w:t>
      </w:r>
    </w:p>
    <w:p w14:paraId="78F91C4D"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07BFB774"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t>In relation to the second research question - “Are there significant gender differences in the</w:t>
      </w:r>
      <w:r>
        <w:rPr>
          <w:sz w:val="22"/>
          <w:szCs w:val="22"/>
        </w:rPr>
        <w:t xml:space="preserve"> PSS</w:t>
      </w:r>
      <w:r>
        <w:rPr>
          <w:color w:val="000000"/>
          <w:sz w:val="22"/>
          <w:szCs w:val="22"/>
        </w:rPr>
        <w:t xml:space="preserve"> among emerging adult students in Malaysian universities?”,</w:t>
      </w:r>
      <w:r>
        <w:rPr>
          <w:color w:val="000000"/>
          <w:sz w:val="22"/>
          <w:szCs w:val="22"/>
        </w:rPr>
        <w:t xml:space="preserve"> </w:t>
      </w:r>
      <w:r>
        <w:rPr>
          <w:color w:val="000000"/>
          <w:sz w:val="22"/>
          <w:szCs w:val="22"/>
        </w:rPr>
        <w:lastRenderedPageBreak/>
        <w:t>an independent sample t-test was employed. Table 6 showed the t-test comparison of the PSS between gender. The statistical analysis concluded that there were no significant differences in PSS between males (M = 4.72, SD = 1.19) and females (M = 4.58, SD =</w:t>
      </w:r>
      <w:r>
        <w:rPr>
          <w:color w:val="000000"/>
          <w:sz w:val="22"/>
          <w:szCs w:val="22"/>
        </w:rPr>
        <w:t xml:space="preserve"> 1.77), </w:t>
      </w:r>
      <w:proofErr w:type="gramStart"/>
      <w:r>
        <w:rPr>
          <w:color w:val="000000"/>
          <w:sz w:val="22"/>
          <w:szCs w:val="22"/>
        </w:rPr>
        <w:t>t(</w:t>
      </w:r>
      <w:proofErr w:type="gramEnd"/>
      <w:r>
        <w:rPr>
          <w:color w:val="000000"/>
          <w:sz w:val="22"/>
          <w:szCs w:val="22"/>
        </w:rPr>
        <w:t xml:space="preserve">138) = 0.54, p = .59. These findings suggested a similar level of </w:t>
      </w:r>
      <w:r>
        <w:rPr>
          <w:sz w:val="22"/>
          <w:szCs w:val="22"/>
        </w:rPr>
        <w:t>PSS</w:t>
      </w:r>
      <w:r>
        <w:rPr>
          <w:color w:val="000000"/>
          <w:sz w:val="22"/>
          <w:szCs w:val="22"/>
        </w:rPr>
        <w:t xml:space="preserve"> across gender within the studied </w:t>
      </w:r>
      <w:r>
        <w:rPr>
          <w:color w:val="000000"/>
          <w:sz w:val="22"/>
          <w:szCs w:val="22"/>
        </w:rPr>
        <w:t>population.</w:t>
      </w:r>
    </w:p>
    <w:p w14:paraId="60ED8BD2" w14:textId="77777777" w:rsidR="001D46B9" w:rsidRDefault="001D46B9">
      <w:pPr>
        <w:widowControl w:val="0"/>
        <w:pBdr>
          <w:top w:val="nil"/>
          <w:left w:val="nil"/>
          <w:bottom w:val="nil"/>
          <w:right w:val="nil"/>
          <w:between w:val="nil"/>
        </w:pBdr>
        <w:tabs>
          <w:tab w:val="left" w:pos="198"/>
        </w:tabs>
        <w:jc w:val="both"/>
        <w:rPr>
          <w:sz w:val="22"/>
          <w:szCs w:val="22"/>
        </w:rPr>
      </w:pPr>
    </w:p>
    <w:p w14:paraId="1419D75A" w14:textId="77777777" w:rsidR="001D46B9" w:rsidRDefault="008D669C">
      <w:pPr>
        <w:widowControl w:val="0"/>
        <w:pBdr>
          <w:top w:val="nil"/>
          <w:left w:val="nil"/>
          <w:bottom w:val="nil"/>
          <w:right w:val="nil"/>
          <w:between w:val="nil"/>
        </w:pBdr>
        <w:tabs>
          <w:tab w:val="left" w:pos="198"/>
        </w:tabs>
        <w:rPr>
          <w:b/>
          <w:color w:val="000000"/>
          <w:sz w:val="22"/>
          <w:szCs w:val="22"/>
        </w:rPr>
      </w:pPr>
      <w:r>
        <w:rPr>
          <w:b/>
          <w:color w:val="000000"/>
          <w:sz w:val="22"/>
          <w:szCs w:val="22"/>
        </w:rPr>
        <w:t>Table 1</w:t>
      </w:r>
    </w:p>
    <w:p w14:paraId="3E6745ED" w14:textId="77777777" w:rsidR="001D46B9" w:rsidRDefault="008D669C">
      <w:pPr>
        <w:widowControl w:val="0"/>
        <w:pBdr>
          <w:top w:val="nil"/>
          <w:left w:val="nil"/>
          <w:bottom w:val="nil"/>
          <w:right w:val="nil"/>
          <w:between w:val="nil"/>
        </w:pBdr>
        <w:tabs>
          <w:tab w:val="left" w:pos="198"/>
        </w:tabs>
        <w:jc w:val="both"/>
        <w:rPr>
          <w:i/>
          <w:color w:val="000000"/>
          <w:sz w:val="22"/>
          <w:szCs w:val="22"/>
        </w:rPr>
      </w:pPr>
      <w:r>
        <w:rPr>
          <w:i/>
          <w:color w:val="000000"/>
          <w:sz w:val="22"/>
          <w:szCs w:val="22"/>
        </w:rPr>
        <w:t>Reliability of Study Measures (N=140)</w:t>
      </w:r>
    </w:p>
    <w:p w14:paraId="1AF271B6" w14:textId="77777777" w:rsidR="001D46B9" w:rsidRDefault="001D46B9">
      <w:pPr>
        <w:widowControl w:val="0"/>
        <w:pBdr>
          <w:top w:val="nil"/>
          <w:left w:val="nil"/>
          <w:bottom w:val="nil"/>
          <w:right w:val="nil"/>
          <w:between w:val="nil"/>
        </w:pBdr>
        <w:tabs>
          <w:tab w:val="left" w:pos="198"/>
        </w:tabs>
        <w:jc w:val="both"/>
        <w:rPr>
          <w:color w:val="000000"/>
          <w:sz w:val="22"/>
          <w:szCs w:val="22"/>
        </w:rPr>
      </w:pPr>
    </w:p>
    <w:tbl>
      <w:tblPr>
        <w:tblStyle w:val="a"/>
        <w:tblW w:w="47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8"/>
      </w:tblGrid>
      <w:tr w:rsidR="001D46B9" w14:paraId="5F522544" w14:textId="77777777">
        <w:tc>
          <w:tcPr>
            <w:tcW w:w="4758" w:type="dxa"/>
            <w:tcBorders>
              <w:left w:val="nil"/>
              <w:right w:val="nil"/>
            </w:tcBorders>
          </w:tcPr>
          <w:p w14:paraId="62011A13" w14:textId="77777777" w:rsidR="001D46B9" w:rsidRDefault="008D669C">
            <w:pPr>
              <w:widowControl w:val="0"/>
              <w:pBdr>
                <w:top w:val="nil"/>
                <w:left w:val="nil"/>
                <w:bottom w:val="nil"/>
                <w:right w:val="nil"/>
                <w:between w:val="nil"/>
              </w:pBdr>
              <w:tabs>
                <w:tab w:val="left" w:pos="198"/>
              </w:tabs>
              <w:spacing w:line="230" w:lineRule="auto"/>
              <w:jc w:val="both"/>
              <w:rPr>
                <w:color w:val="000000"/>
                <w:sz w:val="22"/>
                <w:szCs w:val="22"/>
              </w:rPr>
            </w:pPr>
            <w:r>
              <w:rPr>
                <w:color w:val="000000"/>
                <w:sz w:val="22"/>
                <w:szCs w:val="22"/>
              </w:rPr>
              <w:t>Scale</w:t>
            </w:r>
            <w:r>
              <w:rPr>
                <w:color w:val="000000"/>
                <w:sz w:val="22"/>
                <w:szCs w:val="22"/>
              </w:rPr>
              <w:tab/>
            </w:r>
            <w:r>
              <w:rPr>
                <w:color w:val="000000"/>
                <w:sz w:val="22"/>
                <w:szCs w:val="22"/>
              </w:rPr>
              <w:tab/>
              <w:t>Mean (SD)</w:t>
            </w:r>
            <w:r>
              <w:rPr>
                <w:color w:val="000000"/>
                <w:sz w:val="22"/>
                <w:szCs w:val="22"/>
              </w:rPr>
              <w:tab/>
              <w:t>Cronbach’s Alpha</w:t>
            </w:r>
          </w:p>
        </w:tc>
      </w:tr>
      <w:tr w:rsidR="001D46B9" w14:paraId="272C94BB" w14:textId="77777777">
        <w:tc>
          <w:tcPr>
            <w:tcW w:w="4758" w:type="dxa"/>
            <w:tcBorders>
              <w:left w:val="nil"/>
              <w:right w:val="nil"/>
            </w:tcBorders>
          </w:tcPr>
          <w:p w14:paraId="6D6C7DCA" w14:textId="77777777" w:rsidR="001D46B9" w:rsidRDefault="008D669C">
            <w:pPr>
              <w:widowControl w:val="0"/>
              <w:pBdr>
                <w:top w:val="nil"/>
                <w:left w:val="nil"/>
                <w:bottom w:val="nil"/>
                <w:right w:val="nil"/>
                <w:between w:val="nil"/>
              </w:pBdr>
              <w:tabs>
                <w:tab w:val="left" w:pos="198"/>
              </w:tabs>
              <w:spacing w:line="230" w:lineRule="auto"/>
              <w:jc w:val="both"/>
              <w:rPr>
                <w:color w:val="000000"/>
                <w:sz w:val="22"/>
                <w:szCs w:val="22"/>
              </w:rPr>
            </w:pPr>
            <w:r>
              <w:rPr>
                <w:color w:val="000000"/>
                <w:sz w:val="22"/>
                <w:szCs w:val="22"/>
              </w:rPr>
              <w:t>MSPSS</w:t>
            </w:r>
            <w:r>
              <w:rPr>
                <w:color w:val="000000"/>
                <w:sz w:val="22"/>
                <w:szCs w:val="22"/>
              </w:rPr>
              <w:tab/>
            </w:r>
            <w:r>
              <w:rPr>
                <w:color w:val="000000"/>
                <w:sz w:val="22"/>
                <w:szCs w:val="22"/>
              </w:rPr>
              <w:tab/>
              <w:t>55.81 (18.10)</w:t>
            </w:r>
            <w:r>
              <w:rPr>
                <w:color w:val="000000"/>
                <w:sz w:val="22"/>
                <w:szCs w:val="22"/>
              </w:rPr>
              <w:tab/>
            </w:r>
            <w:r>
              <w:rPr>
                <w:color w:val="000000"/>
                <w:sz w:val="22"/>
                <w:szCs w:val="22"/>
              </w:rPr>
              <w:tab/>
              <w:t>.96</w:t>
            </w:r>
          </w:p>
          <w:p w14:paraId="76229149" w14:textId="77777777" w:rsidR="001D46B9" w:rsidRDefault="008D669C">
            <w:pPr>
              <w:widowControl w:val="0"/>
              <w:pBdr>
                <w:top w:val="nil"/>
                <w:left w:val="nil"/>
                <w:bottom w:val="nil"/>
                <w:right w:val="nil"/>
                <w:between w:val="nil"/>
              </w:pBdr>
              <w:tabs>
                <w:tab w:val="left" w:pos="198"/>
              </w:tabs>
              <w:spacing w:line="230" w:lineRule="auto"/>
              <w:jc w:val="both"/>
              <w:rPr>
                <w:color w:val="000000"/>
                <w:sz w:val="22"/>
                <w:szCs w:val="22"/>
              </w:rPr>
            </w:pPr>
            <w:r>
              <w:rPr>
                <w:color w:val="000000"/>
                <w:sz w:val="22"/>
                <w:szCs w:val="22"/>
              </w:rPr>
              <w:t>PHQ-9</w:t>
            </w:r>
            <w:r>
              <w:rPr>
                <w:color w:val="000000"/>
                <w:sz w:val="22"/>
                <w:szCs w:val="22"/>
              </w:rPr>
              <w:tab/>
            </w:r>
            <w:r>
              <w:rPr>
                <w:color w:val="000000"/>
                <w:sz w:val="22"/>
                <w:szCs w:val="22"/>
              </w:rPr>
              <w:tab/>
            </w:r>
            <w:r>
              <w:rPr>
                <w:color w:val="000000"/>
                <w:sz w:val="22"/>
                <w:szCs w:val="22"/>
              </w:rPr>
              <w:t>10.29 (6.01)</w:t>
            </w:r>
            <w:r>
              <w:rPr>
                <w:color w:val="000000"/>
                <w:sz w:val="22"/>
                <w:szCs w:val="22"/>
              </w:rPr>
              <w:tab/>
            </w:r>
            <w:r>
              <w:rPr>
                <w:color w:val="000000"/>
                <w:sz w:val="22"/>
                <w:szCs w:val="22"/>
              </w:rPr>
              <w:tab/>
              <w:t>.8</w:t>
            </w:r>
            <w:r>
              <w:rPr>
                <w:sz w:val="22"/>
                <w:szCs w:val="22"/>
              </w:rPr>
              <w:t>7</w:t>
            </w:r>
          </w:p>
        </w:tc>
      </w:tr>
    </w:tbl>
    <w:p w14:paraId="7452A378" w14:textId="77777777" w:rsidR="001D46B9" w:rsidRDefault="001D46B9">
      <w:pPr>
        <w:jc w:val="both"/>
        <w:rPr>
          <w:sz w:val="22"/>
          <w:szCs w:val="22"/>
        </w:rPr>
        <w:sectPr w:rsidR="001D46B9">
          <w:type w:val="continuous"/>
          <w:pgSz w:w="12240" w:h="15840"/>
          <w:pgMar w:top="1021" w:right="907" w:bottom="1021" w:left="1077" w:header="720" w:footer="720" w:gutter="0"/>
          <w:cols w:num="2" w:space="720" w:equalWidth="0">
            <w:col w:w="4768" w:space="720"/>
            <w:col w:w="4768" w:space="0"/>
          </w:cols>
        </w:sectPr>
      </w:pPr>
    </w:p>
    <w:p w14:paraId="2156351F" w14:textId="77777777" w:rsidR="001D46B9" w:rsidRDefault="001D46B9">
      <w:pPr>
        <w:rPr>
          <w:sz w:val="22"/>
          <w:szCs w:val="22"/>
        </w:rPr>
        <w:sectPr w:rsidR="001D46B9">
          <w:type w:val="continuous"/>
          <w:pgSz w:w="12240" w:h="15840"/>
          <w:pgMar w:top="1021" w:right="907" w:bottom="1021" w:left="1077" w:header="720" w:footer="720" w:gutter="0"/>
          <w:cols w:space="720"/>
        </w:sectPr>
      </w:pPr>
    </w:p>
    <w:p w14:paraId="0340A9ED" w14:textId="0182B5DC" w:rsidR="001D46B9" w:rsidRDefault="008D669C">
      <w:pPr>
        <w:rPr>
          <w:b/>
          <w:sz w:val="22"/>
          <w:szCs w:val="22"/>
        </w:rPr>
      </w:pPr>
      <w:r>
        <w:rPr>
          <w:b/>
          <w:sz w:val="22"/>
          <w:szCs w:val="22"/>
        </w:rPr>
        <w:t>Table 2</w:t>
      </w:r>
    </w:p>
    <w:p w14:paraId="62C39D65" w14:textId="77777777" w:rsidR="001D46B9" w:rsidRDefault="001D46B9">
      <w:pPr>
        <w:rPr>
          <w:b/>
          <w:sz w:val="22"/>
          <w:szCs w:val="22"/>
        </w:rPr>
      </w:pPr>
    </w:p>
    <w:p w14:paraId="057A23A8" w14:textId="77777777" w:rsidR="001D46B9" w:rsidRDefault="008D669C">
      <w:pPr>
        <w:rPr>
          <w:b/>
          <w:sz w:val="22"/>
          <w:szCs w:val="22"/>
        </w:rPr>
      </w:pPr>
      <w:r>
        <w:rPr>
          <w:i/>
          <w:sz w:val="22"/>
          <w:szCs w:val="22"/>
        </w:rPr>
        <w:t>Result of Kolmogorov–Smirnov, Skewness and Kurtosis Evaluation on all Variables</w:t>
      </w:r>
    </w:p>
    <w:p w14:paraId="39B6A718" w14:textId="77777777" w:rsidR="001D46B9" w:rsidRDefault="001D46B9">
      <w:pPr>
        <w:rPr>
          <w:b/>
          <w:sz w:val="22"/>
          <w:szCs w:val="22"/>
        </w:rPr>
      </w:pPr>
    </w:p>
    <w:tbl>
      <w:tblPr>
        <w:tblStyle w:val="a0"/>
        <w:tblW w:w="10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6"/>
        <w:gridCol w:w="1462"/>
        <w:gridCol w:w="1145"/>
        <w:gridCol w:w="1092"/>
        <w:gridCol w:w="1112"/>
        <w:gridCol w:w="1144"/>
        <w:gridCol w:w="1086"/>
        <w:gridCol w:w="1087"/>
      </w:tblGrid>
      <w:tr w:rsidR="001D46B9" w14:paraId="321C0CE6" w14:textId="77777777">
        <w:trPr>
          <w:trHeight w:val="507"/>
        </w:trPr>
        <w:tc>
          <w:tcPr>
            <w:tcW w:w="2206" w:type="dxa"/>
            <w:vMerge w:val="restart"/>
            <w:tcBorders>
              <w:left w:val="nil"/>
              <w:right w:val="nil"/>
            </w:tcBorders>
          </w:tcPr>
          <w:p w14:paraId="2F350D00" w14:textId="77777777" w:rsidR="001D46B9" w:rsidRDefault="008D669C">
            <w:pPr>
              <w:rPr>
                <w:sz w:val="22"/>
                <w:szCs w:val="22"/>
              </w:rPr>
            </w:pPr>
            <w:r>
              <w:rPr>
                <w:sz w:val="22"/>
                <w:szCs w:val="22"/>
              </w:rPr>
              <w:t>Variables</w:t>
            </w:r>
          </w:p>
        </w:tc>
        <w:tc>
          <w:tcPr>
            <w:tcW w:w="1462" w:type="dxa"/>
            <w:tcBorders>
              <w:left w:val="nil"/>
              <w:bottom w:val="single" w:sz="4" w:space="0" w:color="000000"/>
              <w:right w:val="nil"/>
            </w:tcBorders>
          </w:tcPr>
          <w:p w14:paraId="21408534" w14:textId="77777777" w:rsidR="001D46B9" w:rsidRDefault="008D669C">
            <w:pPr>
              <w:rPr>
                <w:sz w:val="22"/>
                <w:szCs w:val="22"/>
              </w:rPr>
            </w:pPr>
            <w:r>
              <w:rPr>
                <w:sz w:val="22"/>
                <w:szCs w:val="22"/>
              </w:rPr>
              <w:t>Kolmogorov–Smirnov</w:t>
            </w:r>
          </w:p>
        </w:tc>
        <w:tc>
          <w:tcPr>
            <w:tcW w:w="3349" w:type="dxa"/>
            <w:gridSpan w:val="3"/>
            <w:tcBorders>
              <w:left w:val="nil"/>
              <w:bottom w:val="single" w:sz="4" w:space="0" w:color="000000"/>
              <w:right w:val="nil"/>
            </w:tcBorders>
          </w:tcPr>
          <w:p w14:paraId="4342EB51" w14:textId="77777777" w:rsidR="001D46B9" w:rsidRDefault="008D669C">
            <w:pPr>
              <w:jc w:val="center"/>
              <w:rPr>
                <w:sz w:val="22"/>
                <w:szCs w:val="22"/>
              </w:rPr>
            </w:pPr>
            <w:r>
              <w:rPr>
                <w:sz w:val="22"/>
                <w:szCs w:val="22"/>
              </w:rPr>
              <w:t>Skewness</w:t>
            </w:r>
          </w:p>
        </w:tc>
        <w:tc>
          <w:tcPr>
            <w:tcW w:w="3317" w:type="dxa"/>
            <w:gridSpan w:val="3"/>
            <w:tcBorders>
              <w:left w:val="nil"/>
              <w:right w:val="nil"/>
            </w:tcBorders>
          </w:tcPr>
          <w:p w14:paraId="794A4A94" w14:textId="77777777" w:rsidR="001D46B9" w:rsidRDefault="008D669C">
            <w:pPr>
              <w:jc w:val="center"/>
              <w:rPr>
                <w:sz w:val="22"/>
                <w:szCs w:val="22"/>
              </w:rPr>
            </w:pPr>
            <w:r>
              <w:rPr>
                <w:sz w:val="22"/>
                <w:szCs w:val="22"/>
              </w:rPr>
              <w:t>Kurtosis</w:t>
            </w:r>
          </w:p>
        </w:tc>
      </w:tr>
      <w:tr w:rsidR="001D46B9" w14:paraId="63C46C46" w14:textId="77777777">
        <w:trPr>
          <w:trHeight w:val="253"/>
        </w:trPr>
        <w:tc>
          <w:tcPr>
            <w:tcW w:w="2206" w:type="dxa"/>
            <w:vMerge/>
            <w:tcBorders>
              <w:left w:val="nil"/>
              <w:right w:val="nil"/>
            </w:tcBorders>
          </w:tcPr>
          <w:p w14:paraId="79279437" w14:textId="77777777" w:rsidR="001D46B9" w:rsidRDefault="001D46B9">
            <w:pPr>
              <w:widowControl w:val="0"/>
              <w:pBdr>
                <w:top w:val="nil"/>
                <w:left w:val="nil"/>
                <w:bottom w:val="nil"/>
                <w:right w:val="nil"/>
                <w:between w:val="nil"/>
              </w:pBdr>
              <w:spacing w:line="276" w:lineRule="auto"/>
              <w:rPr>
                <w:sz w:val="22"/>
                <w:szCs w:val="22"/>
              </w:rPr>
            </w:pPr>
          </w:p>
        </w:tc>
        <w:tc>
          <w:tcPr>
            <w:tcW w:w="1462" w:type="dxa"/>
            <w:tcBorders>
              <w:left w:val="nil"/>
              <w:bottom w:val="single" w:sz="4" w:space="0" w:color="000000"/>
              <w:right w:val="nil"/>
            </w:tcBorders>
          </w:tcPr>
          <w:p w14:paraId="7E6DF8D0" w14:textId="77777777" w:rsidR="001D46B9" w:rsidRDefault="008D669C">
            <w:pPr>
              <w:jc w:val="center"/>
              <w:rPr>
                <w:sz w:val="22"/>
                <w:szCs w:val="22"/>
              </w:rPr>
            </w:pPr>
            <w:r>
              <w:rPr>
                <w:sz w:val="22"/>
                <w:szCs w:val="22"/>
              </w:rPr>
              <w:t>P- value</w:t>
            </w:r>
          </w:p>
        </w:tc>
        <w:tc>
          <w:tcPr>
            <w:tcW w:w="1145" w:type="dxa"/>
            <w:tcBorders>
              <w:left w:val="nil"/>
              <w:bottom w:val="single" w:sz="4" w:space="0" w:color="000000"/>
              <w:right w:val="nil"/>
            </w:tcBorders>
          </w:tcPr>
          <w:p w14:paraId="5BEF470F" w14:textId="77777777" w:rsidR="001D46B9" w:rsidRDefault="008D669C">
            <w:pPr>
              <w:jc w:val="center"/>
              <w:rPr>
                <w:sz w:val="22"/>
                <w:szCs w:val="22"/>
              </w:rPr>
            </w:pPr>
            <w:r>
              <w:rPr>
                <w:sz w:val="22"/>
                <w:szCs w:val="22"/>
              </w:rPr>
              <w:t>Value</w:t>
            </w:r>
          </w:p>
        </w:tc>
        <w:tc>
          <w:tcPr>
            <w:tcW w:w="1092" w:type="dxa"/>
            <w:tcBorders>
              <w:left w:val="nil"/>
              <w:bottom w:val="single" w:sz="4" w:space="0" w:color="000000"/>
              <w:right w:val="nil"/>
            </w:tcBorders>
          </w:tcPr>
          <w:p w14:paraId="05860243" w14:textId="77777777" w:rsidR="001D46B9" w:rsidRDefault="008D669C">
            <w:pPr>
              <w:jc w:val="center"/>
              <w:rPr>
                <w:sz w:val="22"/>
                <w:szCs w:val="22"/>
              </w:rPr>
            </w:pPr>
            <w:r>
              <w:rPr>
                <w:sz w:val="22"/>
                <w:szCs w:val="22"/>
              </w:rPr>
              <w:t>SE</w:t>
            </w:r>
          </w:p>
        </w:tc>
        <w:tc>
          <w:tcPr>
            <w:tcW w:w="1112" w:type="dxa"/>
            <w:tcBorders>
              <w:left w:val="nil"/>
              <w:bottom w:val="single" w:sz="4" w:space="0" w:color="000000"/>
              <w:right w:val="nil"/>
            </w:tcBorders>
          </w:tcPr>
          <w:p w14:paraId="011188D4" w14:textId="77777777" w:rsidR="001D46B9" w:rsidRDefault="008D669C">
            <w:pPr>
              <w:jc w:val="center"/>
              <w:rPr>
                <w:sz w:val="22"/>
                <w:szCs w:val="22"/>
              </w:rPr>
            </w:pPr>
            <w:r>
              <w:rPr>
                <w:sz w:val="22"/>
                <w:szCs w:val="22"/>
              </w:rPr>
              <w:t>Z</w:t>
            </w:r>
          </w:p>
        </w:tc>
        <w:tc>
          <w:tcPr>
            <w:tcW w:w="1144" w:type="dxa"/>
            <w:tcBorders>
              <w:left w:val="nil"/>
              <w:bottom w:val="single" w:sz="4" w:space="0" w:color="000000"/>
              <w:right w:val="nil"/>
            </w:tcBorders>
          </w:tcPr>
          <w:p w14:paraId="18BAE13E" w14:textId="77777777" w:rsidR="001D46B9" w:rsidRDefault="008D669C">
            <w:pPr>
              <w:jc w:val="center"/>
              <w:rPr>
                <w:sz w:val="22"/>
                <w:szCs w:val="22"/>
              </w:rPr>
            </w:pPr>
            <w:r>
              <w:rPr>
                <w:sz w:val="22"/>
                <w:szCs w:val="22"/>
              </w:rPr>
              <w:t>Value</w:t>
            </w:r>
          </w:p>
        </w:tc>
        <w:tc>
          <w:tcPr>
            <w:tcW w:w="1086" w:type="dxa"/>
            <w:tcBorders>
              <w:left w:val="nil"/>
              <w:bottom w:val="single" w:sz="4" w:space="0" w:color="000000"/>
              <w:right w:val="nil"/>
            </w:tcBorders>
          </w:tcPr>
          <w:p w14:paraId="545FD227" w14:textId="77777777" w:rsidR="001D46B9" w:rsidRDefault="008D669C">
            <w:pPr>
              <w:jc w:val="center"/>
              <w:rPr>
                <w:sz w:val="22"/>
                <w:szCs w:val="22"/>
              </w:rPr>
            </w:pPr>
            <w:r>
              <w:rPr>
                <w:sz w:val="22"/>
                <w:szCs w:val="22"/>
              </w:rPr>
              <w:t>SE</w:t>
            </w:r>
          </w:p>
        </w:tc>
        <w:tc>
          <w:tcPr>
            <w:tcW w:w="1087" w:type="dxa"/>
            <w:tcBorders>
              <w:left w:val="nil"/>
              <w:bottom w:val="single" w:sz="4" w:space="0" w:color="000000"/>
              <w:right w:val="nil"/>
            </w:tcBorders>
          </w:tcPr>
          <w:p w14:paraId="7B0E0435" w14:textId="77777777" w:rsidR="001D46B9" w:rsidRDefault="008D669C">
            <w:pPr>
              <w:jc w:val="center"/>
              <w:rPr>
                <w:sz w:val="22"/>
                <w:szCs w:val="22"/>
              </w:rPr>
            </w:pPr>
            <w:r>
              <w:rPr>
                <w:sz w:val="22"/>
                <w:szCs w:val="22"/>
              </w:rPr>
              <w:t>Z</w:t>
            </w:r>
          </w:p>
        </w:tc>
      </w:tr>
      <w:tr w:rsidR="001D46B9" w14:paraId="5B560AF7" w14:textId="77777777">
        <w:trPr>
          <w:trHeight w:val="507"/>
        </w:trPr>
        <w:tc>
          <w:tcPr>
            <w:tcW w:w="2206" w:type="dxa"/>
            <w:tcBorders>
              <w:left w:val="nil"/>
              <w:bottom w:val="nil"/>
              <w:right w:val="nil"/>
            </w:tcBorders>
          </w:tcPr>
          <w:p w14:paraId="017A9F90" w14:textId="77777777" w:rsidR="001D46B9" w:rsidRDefault="008D669C">
            <w:pPr>
              <w:rPr>
                <w:sz w:val="22"/>
                <w:szCs w:val="22"/>
              </w:rPr>
            </w:pPr>
            <w:r>
              <w:rPr>
                <w:sz w:val="22"/>
                <w:szCs w:val="22"/>
              </w:rPr>
              <w:t>PSS</w:t>
            </w:r>
          </w:p>
        </w:tc>
        <w:tc>
          <w:tcPr>
            <w:tcW w:w="1462" w:type="dxa"/>
            <w:tcBorders>
              <w:left w:val="nil"/>
              <w:bottom w:val="nil"/>
              <w:right w:val="nil"/>
            </w:tcBorders>
          </w:tcPr>
          <w:p w14:paraId="5847FA87" w14:textId="77777777" w:rsidR="001D46B9" w:rsidRDefault="008D669C">
            <w:pPr>
              <w:jc w:val="center"/>
              <w:rPr>
                <w:sz w:val="22"/>
                <w:szCs w:val="22"/>
              </w:rPr>
            </w:pPr>
            <w:r>
              <w:rPr>
                <w:sz w:val="22"/>
                <w:szCs w:val="22"/>
              </w:rPr>
              <w:t>0.000</w:t>
            </w:r>
          </w:p>
        </w:tc>
        <w:tc>
          <w:tcPr>
            <w:tcW w:w="1145" w:type="dxa"/>
            <w:tcBorders>
              <w:left w:val="nil"/>
              <w:bottom w:val="nil"/>
              <w:right w:val="nil"/>
            </w:tcBorders>
          </w:tcPr>
          <w:p w14:paraId="5C62F51E" w14:textId="77777777" w:rsidR="001D46B9" w:rsidRDefault="008D669C">
            <w:pPr>
              <w:jc w:val="center"/>
              <w:rPr>
                <w:sz w:val="22"/>
                <w:szCs w:val="22"/>
              </w:rPr>
            </w:pPr>
            <w:r>
              <w:rPr>
                <w:sz w:val="22"/>
                <w:szCs w:val="22"/>
              </w:rPr>
              <w:t>- .67</w:t>
            </w:r>
          </w:p>
        </w:tc>
        <w:tc>
          <w:tcPr>
            <w:tcW w:w="1092" w:type="dxa"/>
            <w:tcBorders>
              <w:left w:val="nil"/>
              <w:bottom w:val="nil"/>
              <w:right w:val="nil"/>
            </w:tcBorders>
          </w:tcPr>
          <w:p w14:paraId="5B6270AA" w14:textId="77777777" w:rsidR="001D46B9" w:rsidRDefault="008D669C">
            <w:pPr>
              <w:jc w:val="center"/>
              <w:rPr>
                <w:sz w:val="22"/>
                <w:szCs w:val="22"/>
              </w:rPr>
            </w:pPr>
            <w:r>
              <w:rPr>
                <w:sz w:val="22"/>
                <w:szCs w:val="22"/>
              </w:rPr>
              <w:t>.21</w:t>
            </w:r>
          </w:p>
        </w:tc>
        <w:tc>
          <w:tcPr>
            <w:tcW w:w="1112" w:type="dxa"/>
            <w:tcBorders>
              <w:left w:val="nil"/>
              <w:bottom w:val="nil"/>
              <w:right w:val="nil"/>
            </w:tcBorders>
          </w:tcPr>
          <w:p w14:paraId="6A8911C2" w14:textId="77777777" w:rsidR="001D46B9" w:rsidRDefault="008D669C">
            <w:pPr>
              <w:jc w:val="center"/>
              <w:rPr>
                <w:sz w:val="22"/>
                <w:szCs w:val="22"/>
              </w:rPr>
            </w:pPr>
            <w:r>
              <w:rPr>
                <w:sz w:val="22"/>
                <w:szCs w:val="22"/>
              </w:rPr>
              <w:t>- 3.27</w:t>
            </w:r>
          </w:p>
        </w:tc>
        <w:tc>
          <w:tcPr>
            <w:tcW w:w="1144" w:type="dxa"/>
            <w:tcBorders>
              <w:left w:val="nil"/>
              <w:bottom w:val="nil"/>
              <w:right w:val="nil"/>
            </w:tcBorders>
          </w:tcPr>
          <w:p w14:paraId="277B1DD0" w14:textId="77777777" w:rsidR="001D46B9" w:rsidRDefault="008D669C">
            <w:pPr>
              <w:jc w:val="center"/>
              <w:rPr>
                <w:sz w:val="22"/>
                <w:szCs w:val="22"/>
              </w:rPr>
            </w:pPr>
            <w:r>
              <w:rPr>
                <w:sz w:val="22"/>
                <w:szCs w:val="22"/>
              </w:rPr>
              <w:t>-.30</w:t>
            </w:r>
          </w:p>
          <w:p w14:paraId="39338257" w14:textId="77777777" w:rsidR="001D46B9" w:rsidRDefault="001D46B9">
            <w:pPr>
              <w:jc w:val="center"/>
              <w:rPr>
                <w:sz w:val="22"/>
                <w:szCs w:val="22"/>
              </w:rPr>
            </w:pPr>
          </w:p>
        </w:tc>
        <w:tc>
          <w:tcPr>
            <w:tcW w:w="1086" w:type="dxa"/>
            <w:tcBorders>
              <w:left w:val="nil"/>
              <w:bottom w:val="nil"/>
              <w:right w:val="nil"/>
            </w:tcBorders>
          </w:tcPr>
          <w:p w14:paraId="081C0BEA" w14:textId="77777777" w:rsidR="001D46B9" w:rsidRDefault="008D669C">
            <w:pPr>
              <w:jc w:val="center"/>
              <w:rPr>
                <w:sz w:val="22"/>
                <w:szCs w:val="22"/>
              </w:rPr>
            </w:pPr>
            <w:r>
              <w:rPr>
                <w:sz w:val="22"/>
                <w:szCs w:val="22"/>
              </w:rPr>
              <w:t>.41</w:t>
            </w:r>
          </w:p>
        </w:tc>
        <w:tc>
          <w:tcPr>
            <w:tcW w:w="1087" w:type="dxa"/>
            <w:tcBorders>
              <w:left w:val="nil"/>
              <w:bottom w:val="nil"/>
              <w:right w:val="nil"/>
            </w:tcBorders>
          </w:tcPr>
          <w:p w14:paraId="3701CE59" w14:textId="77777777" w:rsidR="001D46B9" w:rsidRDefault="008D669C">
            <w:pPr>
              <w:jc w:val="center"/>
              <w:rPr>
                <w:sz w:val="22"/>
                <w:szCs w:val="22"/>
              </w:rPr>
            </w:pPr>
            <w:r>
              <w:rPr>
                <w:sz w:val="22"/>
                <w:szCs w:val="22"/>
              </w:rPr>
              <w:t>-.75</w:t>
            </w:r>
          </w:p>
        </w:tc>
      </w:tr>
      <w:tr w:rsidR="001D46B9" w14:paraId="72FF8603" w14:textId="77777777">
        <w:trPr>
          <w:trHeight w:val="507"/>
        </w:trPr>
        <w:tc>
          <w:tcPr>
            <w:tcW w:w="2206" w:type="dxa"/>
            <w:tcBorders>
              <w:top w:val="nil"/>
              <w:left w:val="nil"/>
              <w:right w:val="nil"/>
            </w:tcBorders>
          </w:tcPr>
          <w:p w14:paraId="0EEF8F62" w14:textId="77777777" w:rsidR="001D46B9" w:rsidRDefault="008D669C">
            <w:pPr>
              <w:rPr>
                <w:sz w:val="22"/>
                <w:szCs w:val="22"/>
              </w:rPr>
            </w:pPr>
            <w:r>
              <w:rPr>
                <w:sz w:val="22"/>
                <w:szCs w:val="22"/>
              </w:rPr>
              <w:t>DS</w:t>
            </w:r>
          </w:p>
        </w:tc>
        <w:tc>
          <w:tcPr>
            <w:tcW w:w="1462" w:type="dxa"/>
            <w:tcBorders>
              <w:top w:val="nil"/>
              <w:left w:val="nil"/>
              <w:right w:val="nil"/>
            </w:tcBorders>
          </w:tcPr>
          <w:p w14:paraId="175C5A6D" w14:textId="77777777" w:rsidR="001D46B9" w:rsidRDefault="008D669C">
            <w:pPr>
              <w:jc w:val="center"/>
              <w:rPr>
                <w:sz w:val="22"/>
                <w:szCs w:val="22"/>
              </w:rPr>
            </w:pPr>
            <w:r>
              <w:rPr>
                <w:sz w:val="22"/>
                <w:szCs w:val="22"/>
              </w:rPr>
              <w:t>0.000</w:t>
            </w:r>
          </w:p>
          <w:p w14:paraId="4D05C770" w14:textId="77777777" w:rsidR="001D46B9" w:rsidRDefault="001D46B9">
            <w:pPr>
              <w:jc w:val="center"/>
              <w:rPr>
                <w:sz w:val="22"/>
                <w:szCs w:val="22"/>
              </w:rPr>
            </w:pPr>
          </w:p>
        </w:tc>
        <w:tc>
          <w:tcPr>
            <w:tcW w:w="1145" w:type="dxa"/>
            <w:tcBorders>
              <w:top w:val="nil"/>
              <w:left w:val="nil"/>
              <w:right w:val="nil"/>
            </w:tcBorders>
          </w:tcPr>
          <w:p w14:paraId="71C0E43C" w14:textId="77777777" w:rsidR="001D46B9" w:rsidRDefault="008D669C">
            <w:pPr>
              <w:jc w:val="center"/>
              <w:rPr>
                <w:sz w:val="22"/>
                <w:szCs w:val="22"/>
              </w:rPr>
            </w:pPr>
            <w:r>
              <w:rPr>
                <w:sz w:val="22"/>
                <w:szCs w:val="22"/>
              </w:rPr>
              <w:t>.62</w:t>
            </w:r>
          </w:p>
        </w:tc>
        <w:tc>
          <w:tcPr>
            <w:tcW w:w="1092" w:type="dxa"/>
            <w:tcBorders>
              <w:top w:val="nil"/>
              <w:left w:val="nil"/>
              <w:right w:val="nil"/>
            </w:tcBorders>
          </w:tcPr>
          <w:p w14:paraId="1000B5C1" w14:textId="77777777" w:rsidR="001D46B9" w:rsidRDefault="008D669C">
            <w:pPr>
              <w:jc w:val="center"/>
              <w:rPr>
                <w:sz w:val="22"/>
                <w:szCs w:val="22"/>
              </w:rPr>
            </w:pPr>
            <w:r>
              <w:rPr>
                <w:color w:val="000000"/>
              </w:rPr>
              <w:t>.21</w:t>
            </w:r>
          </w:p>
        </w:tc>
        <w:tc>
          <w:tcPr>
            <w:tcW w:w="1112" w:type="dxa"/>
            <w:tcBorders>
              <w:top w:val="nil"/>
              <w:left w:val="nil"/>
              <w:right w:val="nil"/>
            </w:tcBorders>
          </w:tcPr>
          <w:p w14:paraId="06496C95" w14:textId="77777777" w:rsidR="001D46B9" w:rsidRDefault="008D669C">
            <w:pPr>
              <w:jc w:val="center"/>
              <w:rPr>
                <w:sz w:val="22"/>
                <w:szCs w:val="22"/>
              </w:rPr>
            </w:pPr>
            <w:r>
              <w:rPr>
                <w:sz w:val="22"/>
                <w:szCs w:val="22"/>
              </w:rPr>
              <w:t>3.04</w:t>
            </w:r>
          </w:p>
        </w:tc>
        <w:tc>
          <w:tcPr>
            <w:tcW w:w="1144" w:type="dxa"/>
            <w:tcBorders>
              <w:top w:val="nil"/>
              <w:left w:val="nil"/>
              <w:right w:val="nil"/>
            </w:tcBorders>
          </w:tcPr>
          <w:p w14:paraId="49D73DD6" w14:textId="77777777" w:rsidR="001D46B9" w:rsidRDefault="008D669C">
            <w:pPr>
              <w:jc w:val="center"/>
              <w:rPr>
                <w:sz w:val="22"/>
                <w:szCs w:val="22"/>
              </w:rPr>
            </w:pPr>
            <w:r>
              <w:rPr>
                <w:sz w:val="22"/>
                <w:szCs w:val="22"/>
              </w:rPr>
              <w:t>-.37</w:t>
            </w:r>
          </w:p>
        </w:tc>
        <w:tc>
          <w:tcPr>
            <w:tcW w:w="1086" w:type="dxa"/>
            <w:tcBorders>
              <w:top w:val="nil"/>
              <w:left w:val="nil"/>
              <w:right w:val="nil"/>
            </w:tcBorders>
          </w:tcPr>
          <w:p w14:paraId="616C0CF0" w14:textId="77777777" w:rsidR="001D46B9" w:rsidRDefault="008D669C">
            <w:pPr>
              <w:jc w:val="center"/>
              <w:rPr>
                <w:sz w:val="22"/>
                <w:szCs w:val="22"/>
              </w:rPr>
            </w:pPr>
            <w:r>
              <w:rPr>
                <w:sz w:val="22"/>
                <w:szCs w:val="22"/>
              </w:rPr>
              <w:t>.41</w:t>
            </w:r>
          </w:p>
        </w:tc>
        <w:tc>
          <w:tcPr>
            <w:tcW w:w="1087" w:type="dxa"/>
            <w:tcBorders>
              <w:top w:val="nil"/>
              <w:left w:val="nil"/>
              <w:right w:val="nil"/>
            </w:tcBorders>
          </w:tcPr>
          <w:p w14:paraId="093936FF" w14:textId="77777777" w:rsidR="001D46B9" w:rsidRDefault="008D669C">
            <w:pPr>
              <w:jc w:val="center"/>
              <w:rPr>
                <w:sz w:val="22"/>
                <w:szCs w:val="22"/>
              </w:rPr>
            </w:pPr>
            <w:r>
              <w:rPr>
                <w:sz w:val="22"/>
                <w:szCs w:val="22"/>
              </w:rPr>
              <w:t>-.90</w:t>
            </w:r>
          </w:p>
        </w:tc>
      </w:tr>
    </w:tbl>
    <w:p w14:paraId="4FC515D4" w14:textId="77777777" w:rsidR="001D46B9" w:rsidRDefault="008D669C">
      <w:pPr>
        <w:rPr>
          <w:sz w:val="22"/>
          <w:szCs w:val="22"/>
        </w:rPr>
      </w:pPr>
      <w:r>
        <w:rPr>
          <w:sz w:val="22"/>
          <w:szCs w:val="22"/>
        </w:rPr>
        <w:t>*Significant at p &lt; .05, SE = Standard error, Z-score = Value / SE</w:t>
      </w:r>
    </w:p>
    <w:p w14:paraId="56E33FDB" w14:textId="77777777" w:rsidR="001D46B9" w:rsidRDefault="001D46B9">
      <w:pPr>
        <w:rPr>
          <w:b/>
          <w:sz w:val="22"/>
          <w:szCs w:val="22"/>
        </w:rPr>
      </w:pPr>
    </w:p>
    <w:p w14:paraId="6715863A" w14:textId="77777777" w:rsidR="001D46B9" w:rsidRDefault="001D46B9">
      <w:pPr>
        <w:rPr>
          <w:b/>
          <w:sz w:val="22"/>
          <w:szCs w:val="22"/>
        </w:rPr>
      </w:pPr>
    </w:p>
    <w:p w14:paraId="3FCB5ED3" w14:textId="77777777" w:rsidR="001D46B9" w:rsidRDefault="008D669C">
      <w:pPr>
        <w:rPr>
          <w:b/>
          <w:sz w:val="22"/>
          <w:szCs w:val="22"/>
        </w:rPr>
      </w:pPr>
      <w:r>
        <w:rPr>
          <w:b/>
          <w:sz w:val="22"/>
          <w:szCs w:val="22"/>
        </w:rPr>
        <w:t>Table 3</w:t>
      </w:r>
    </w:p>
    <w:p w14:paraId="780192E0" w14:textId="77777777" w:rsidR="001D46B9" w:rsidRDefault="001D46B9">
      <w:pPr>
        <w:rPr>
          <w:b/>
          <w:sz w:val="22"/>
          <w:szCs w:val="22"/>
        </w:rPr>
      </w:pPr>
    </w:p>
    <w:p w14:paraId="6F6C8D7D" w14:textId="77777777" w:rsidR="001D46B9" w:rsidRDefault="008D669C">
      <w:pPr>
        <w:rPr>
          <w:i/>
          <w:sz w:val="22"/>
          <w:szCs w:val="22"/>
        </w:rPr>
      </w:pPr>
      <w:r>
        <w:rPr>
          <w:i/>
          <w:sz w:val="22"/>
          <w:szCs w:val="22"/>
        </w:rPr>
        <w:t>Respondents’ Background Information (N=140)</w:t>
      </w:r>
    </w:p>
    <w:p w14:paraId="327CE6D4" w14:textId="77777777" w:rsidR="001D46B9" w:rsidRDefault="001D46B9">
      <w:pPr>
        <w:rPr>
          <w:i/>
          <w:sz w:val="22"/>
          <w:szCs w:val="22"/>
        </w:rPr>
      </w:pPr>
    </w:p>
    <w:tbl>
      <w:tblPr>
        <w:tblStyle w:val="a1"/>
        <w:tblW w:w="10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5"/>
        <w:gridCol w:w="2135"/>
        <w:gridCol w:w="2026"/>
        <w:gridCol w:w="2026"/>
      </w:tblGrid>
      <w:tr w:rsidR="001D46B9" w14:paraId="58114ADE" w14:textId="77777777">
        <w:trPr>
          <w:trHeight w:val="625"/>
        </w:trPr>
        <w:tc>
          <w:tcPr>
            <w:tcW w:w="4115" w:type="dxa"/>
            <w:tcBorders>
              <w:left w:val="nil"/>
              <w:bottom w:val="single" w:sz="4" w:space="0" w:color="000000"/>
              <w:right w:val="nil"/>
            </w:tcBorders>
          </w:tcPr>
          <w:p w14:paraId="7CB01493" w14:textId="77777777" w:rsidR="001D46B9" w:rsidRDefault="008D669C">
            <w:pPr>
              <w:rPr>
                <w:sz w:val="22"/>
                <w:szCs w:val="22"/>
              </w:rPr>
            </w:pPr>
            <w:r>
              <w:rPr>
                <w:sz w:val="22"/>
                <w:szCs w:val="22"/>
              </w:rPr>
              <w:t>Variables</w:t>
            </w:r>
          </w:p>
        </w:tc>
        <w:tc>
          <w:tcPr>
            <w:tcW w:w="2135" w:type="dxa"/>
            <w:tcBorders>
              <w:left w:val="nil"/>
              <w:bottom w:val="single" w:sz="4" w:space="0" w:color="000000"/>
              <w:right w:val="nil"/>
            </w:tcBorders>
          </w:tcPr>
          <w:p w14:paraId="0A124923" w14:textId="77777777" w:rsidR="001D46B9" w:rsidRDefault="008D669C">
            <w:pPr>
              <w:jc w:val="center"/>
              <w:rPr>
                <w:i/>
                <w:sz w:val="22"/>
                <w:szCs w:val="22"/>
              </w:rPr>
            </w:pPr>
            <w:r>
              <w:rPr>
                <w:i/>
                <w:sz w:val="22"/>
                <w:szCs w:val="22"/>
              </w:rPr>
              <w:t>n</w:t>
            </w:r>
          </w:p>
        </w:tc>
        <w:tc>
          <w:tcPr>
            <w:tcW w:w="2026" w:type="dxa"/>
            <w:tcBorders>
              <w:left w:val="nil"/>
              <w:bottom w:val="single" w:sz="4" w:space="0" w:color="000000"/>
              <w:right w:val="nil"/>
            </w:tcBorders>
          </w:tcPr>
          <w:p w14:paraId="7A8C6F65" w14:textId="77777777" w:rsidR="001D46B9" w:rsidRDefault="008D669C">
            <w:pPr>
              <w:jc w:val="center"/>
              <w:rPr>
                <w:sz w:val="22"/>
                <w:szCs w:val="22"/>
              </w:rPr>
            </w:pPr>
            <w:r>
              <w:rPr>
                <w:sz w:val="22"/>
                <w:szCs w:val="22"/>
              </w:rPr>
              <w:t>%</w:t>
            </w:r>
          </w:p>
        </w:tc>
        <w:tc>
          <w:tcPr>
            <w:tcW w:w="2026" w:type="dxa"/>
            <w:tcBorders>
              <w:left w:val="nil"/>
              <w:bottom w:val="single" w:sz="4" w:space="0" w:color="000000"/>
              <w:right w:val="nil"/>
            </w:tcBorders>
          </w:tcPr>
          <w:p w14:paraId="789A71EB" w14:textId="77777777" w:rsidR="001D46B9" w:rsidRDefault="008D669C">
            <w:pPr>
              <w:jc w:val="center"/>
              <w:rPr>
                <w:sz w:val="22"/>
                <w:szCs w:val="22"/>
              </w:rPr>
            </w:pPr>
            <w:r>
              <w:rPr>
                <w:sz w:val="22"/>
                <w:szCs w:val="22"/>
              </w:rPr>
              <w:t>M</w:t>
            </w:r>
          </w:p>
        </w:tc>
      </w:tr>
      <w:tr w:rsidR="001D46B9" w14:paraId="4AD0108D" w14:textId="77777777">
        <w:trPr>
          <w:trHeight w:val="535"/>
        </w:trPr>
        <w:tc>
          <w:tcPr>
            <w:tcW w:w="4115" w:type="dxa"/>
            <w:tcBorders>
              <w:left w:val="nil"/>
              <w:bottom w:val="nil"/>
              <w:right w:val="nil"/>
            </w:tcBorders>
          </w:tcPr>
          <w:p w14:paraId="2A72024A" w14:textId="77777777" w:rsidR="001D46B9" w:rsidRDefault="008D669C">
            <w:pPr>
              <w:rPr>
                <w:sz w:val="22"/>
                <w:szCs w:val="22"/>
              </w:rPr>
            </w:pPr>
            <w:r>
              <w:rPr>
                <w:sz w:val="22"/>
                <w:szCs w:val="22"/>
              </w:rPr>
              <w:t>Age</w:t>
            </w:r>
          </w:p>
        </w:tc>
        <w:tc>
          <w:tcPr>
            <w:tcW w:w="2135" w:type="dxa"/>
            <w:tcBorders>
              <w:left w:val="nil"/>
              <w:bottom w:val="nil"/>
              <w:right w:val="nil"/>
            </w:tcBorders>
          </w:tcPr>
          <w:p w14:paraId="72CE89FA" w14:textId="77777777" w:rsidR="001D46B9" w:rsidRDefault="001D46B9">
            <w:pPr>
              <w:jc w:val="center"/>
              <w:rPr>
                <w:sz w:val="22"/>
                <w:szCs w:val="22"/>
              </w:rPr>
            </w:pPr>
          </w:p>
        </w:tc>
        <w:tc>
          <w:tcPr>
            <w:tcW w:w="2026" w:type="dxa"/>
            <w:tcBorders>
              <w:left w:val="nil"/>
              <w:bottom w:val="nil"/>
              <w:right w:val="nil"/>
            </w:tcBorders>
          </w:tcPr>
          <w:p w14:paraId="78902564" w14:textId="77777777" w:rsidR="001D46B9" w:rsidRDefault="001D46B9">
            <w:pPr>
              <w:jc w:val="center"/>
              <w:rPr>
                <w:sz w:val="22"/>
                <w:szCs w:val="22"/>
              </w:rPr>
            </w:pPr>
          </w:p>
        </w:tc>
        <w:tc>
          <w:tcPr>
            <w:tcW w:w="2026" w:type="dxa"/>
            <w:tcBorders>
              <w:left w:val="nil"/>
              <w:bottom w:val="nil"/>
              <w:right w:val="nil"/>
            </w:tcBorders>
          </w:tcPr>
          <w:p w14:paraId="4CF76AFB" w14:textId="77777777" w:rsidR="001D46B9" w:rsidRDefault="008D669C">
            <w:pPr>
              <w:jc w:val="center"/>
              <w:rPr>
                <w:sz w:val="22"/>
                <w:szCs w:val="22"/>
              </w:rPr>
            </w:pPr>
            <w:r>
              <w:rPr>
                <w:sz w:val="22"/>
                <w:szCs w:val="22"/>
              </w:rPr>
              <w:t>21.77</w:t>
            </w:r>
          </w:p>
        </w:tc>
      </w:tr>
      <w:tr w:rsidR="001D46B9" w14:paraId="580FF7B2" w14:textId="77777777">
        <w:trPr>
          <w:trHeight w:val="740"/>
        </w:trPr>
        <w:tc>
          <w:tcPr>
            <w:tcW w:w="4115" w:type="dxa"/>
            <w:tcBorders>
              <w:top w:val="nil"/>
              <w:left w:val="nil"/>
              <w:bottom w:val="nil"/>
              <w:right w:val="nil"/>
            </w:tcBorders>
          </w:tcPr>
          <w:p w14:paraId="2B17C43F" w14:textId="77777777" w:rsidR="001D46B9" w:rsidRDefault="008D669C">
            <w:pPr>
              <w:rPr>
                <w:sz w:val="22"/>
                <w:szCs w:val="22"/>
              </w:rPr>
            </w:pPr>
            <w:r>
              <w:rPr>
                <w:sz w:val="22"/>
                <w:szCs w:val="22"/>
              </w:rPr>
              <w:t>Gender</w:t>
            </w:r>
          </w:p>
          <w:p w14:paraId="49D06241" w14:textId="77777777" w:rsidR="001D46B9" w:rsidRDefault="008D669C">
            <w:pPr>
              <w:ind w:left="1440"/>
              <w:rPr>
                <w:sz w:val="22"/>
                <w:szCs w:val="22"/>
              </w:rPr>
            </w:pPr>
            <w:r>
              <w:rPr>
                <w:sz w:val="22"/>
                <w:szCs w:val="22"/>
              </w:rPr>
              <w:t>Male</w:t>
            </w:r>
          </w:p>
          <w:p w14:paraId="5A562862" w14:textId="77777777" w:rsidR="001D46B9" w:rsidRDefault="008D669C">
            <w:pPr>
              <w:ind w:left="1440"/>
              <w:rPr>
                <w:sz w:val="22"/>
                <w:szCs w:val="22"/>
              </w:rPr>
            </w:pPr>
            <w:r>
              <w:rPr>
                <w:sz w:val="22"/>
                <w:szCs w:val="22"/>
              </w:rPr>
              <w:t>Female</w:t>
            </w:r>
          </w:p>
        </w:tc>
        <w:tc>
          <w:tcPr>
            <w:tcW w:w="2135" w:type="dxa"/>
            <w:tcBorders>
              <w:top w:val="nil"/>
              <w:left w:val="nil"/>
              <w:bottom w:val="nil"/>
              <w:right w:val="nil"/>
            </w:tcBorders>
          </w:tcPr>
          <w:p w14:paraId="36583076" w14:textId="77777777" w:rsidR="001D46B9" w:rsidRDefault="001D46B9">
            <w:pPr>
              <w:jc w:val="center"/>
              <w:rPr>
                <w:sz w:val="22"/>
                <w:szCs w:val="22"/>
              </w:rPr>
            </w:pPr>
          </w:p>
          <w:p w14:paraId="7047F82E" w14:textId="77777777" w:rsidR="001D46B9" w:rsidRDefault="008D669C">
            <w:pPr>
              <w:jc w:val="center"/>
              <w:rPr>
                <w:sz w:val="22"/>
                <w:szCs w:val="22"/>
              </w:rPr>
            </w:pPr>
            <w:r>
              <w:rPr>
                <w:sz w:val="22"/>
                <w:szCs w:val="22"/>
              </w:rPr>
              <w:t>70</w:t>
            </w:r>
          </w:p>
          <w:p w14:paraId="1408EA56" w14:textId="77777777" w:rsidR="001D46B9" w:rsidRDefault="008D669C">
            <w:pPr>
              <w:jc w:val="center"/>
              <w:rPr>
                <w:sz w:val="22"/>
                <w:szCs w:val="22"/>
              </w:rPr>
            </w:pPr>
            <w:r>
              <w:rPr>
                <w:sz w:val="22"/>
                <w:szCs w:val="22"/>
              </w:rPr>
              <w:t>70</w:t>
            </w:r>
          </w:p>
          <w:p w14:paraId="35128ED4" w14:textId="77777777" w:rsidR="001D46B9" w:rsidRDefault="001D46B9">
            <w:pPr>
              <w:jc w:val="center"/>
              <w:rPr>
                <w:sz w:val="22"/>
                <w:szCs w:val="22"/>
              </w:rPr>
            </w:pPr>
          </w:p>
        </w:tc>
        <w:tc>
          <w:tcPr>
            <w:tcW w:w="2026" w:type="dxa"/>
            <w:tcBorders>
              <w:top w:val="nil"/>
              <w:left w:val="nil"/>
              <w:bottom w:val="nil"/>
              <w:right w:val="nil"/>
            </w:tcBorders>
          </w:tcPr>
          <w:p w14:paraId="23FE2D97" w14:textId="77777777" w:rsidR="001D46B9" w:rsidRDefault="001D46B9">
            <w:pPr>
              <w:jc w:val="center"/>
              <w:rPr>
                <w:sz w:val="22"/>
                <w:szCs w:val="22"/>
              </w:rPr>
            </w:pPr>
          </w:p>
          <w:p w14:paraId="6927B3C6" w14:textId="77777777" w:rsidR="001D46B9" w:rsidRDefault="008D669C">
            <w:pPr>
              <w:jc w:val="center"/>
              <w:rPr>
                <w:sz w:val="22"/>
                <w:szCs w:val="22"/>
              </w:rPr>
            </w:pPr>
            <w:r>
              <w:rPr>
                <w:sz w:val="22"/>
                <w:szCs w:val="22"/>
              </w:rPr>
              <w:t>50</w:t>
            </w:r>
          </w:p>
          <w:p w14:paraId="33289C6E" w14:textId="77777777" w:rsidR="001D46B9" w:rsidRDefault="008D669C">
            <w:pPr>
              <w:jc w:val="center"/>
              <w:rPr>
                <w:sz w:val="22"/>
                <w:szCs w:val="22"/>
              </w:rPr>
            </w:pPr>
            <w:r>
              <w:rPr>
                <w:sz w:val="22"/>
                <w:szCs w:val="22"/>
              </w:rPr>
              <w:t>50</w:t>
            </w:r>
          </w:p>
        </w:tc>
        <w:tc>
          <w:tcPr>
            <w:tcW w:w="2026" w:type="dxa"/>
            <w:tcBorders>
              <w:top w:val="nil"/>
              <w:left w:val="nil"/>
              <w:bottom w:val="nil"/>
              <w:right w:val="nil"/>
            </w:tcBorders>
          </w:tcPr>
          <w:p w14:paraId="3805F836" w14:textId="77777777" w:rsidR="001D46B9" w:rsidRDefault="001D46B9">
            <w:pPr>
              <w:jc w:val="center"/>
              <w:rPr>
                <w:sz w:val="22"/>
                <w:szCs w:val="22"/>
              </w:rPr>
            </w:pPr>
          </w:p>
        </w:tc>
      </w:tr>
      <w:tr w:rsidR="001D46B9" w14:paraId="1339CD79" w14:textId="77777777">
        <w:trPr>
          <w:trHeight w:val="246"/>
        </w:trPr>
        <w:tc>
          <w:tcPr>
            <w:tcW w:w="4115" w:type="dxa"/>
            <w:tcBorders>
              <w:top w:val="nil"/>
              <w:left w:val="nil"/>
              <w:right w:val="nil"/>
            </w:tcBorders>
          </w:tcPr>
          <w:p w14:paraId="779E5DD3" w14:textId="77777777" w:rsidR="001D46B9" w:rsidRDefault="008D669C">
            <w:pPr>
              <w:rPr>
                <w:sz w:val="22"/>
                <w:szCs w:val="22"/>
              </w:rPr>
            </w:pPr>
            <w:r>
              <w:rPr>
                <w:sz w:val="22"/>
                <w:szCs w:val="22"/>
              </w:rPr>
              <w:t>Level of Education</w:t>
            </w:r>
          </w:p>
          <w:p w14:paraId="118252A7" w14:textId="77777777" w:rsidR="001D46B9" w:rsidRDefault="008D669C">
            <w:pPr>
              <w:ind w:left="1440"/>
              <w:rPr>
                <w:sz w:val="22"/>
                <w:szCs w:val="22"/>
              </w:rPr>
            </w:pPr>
            <w:r>
              <w:rPr>
                <w:sz w:val="22"/>
                <w:szCs w:val="22"/>
              </w:rPr>
              <w:t>Pre- University</w:t>
            </w:r>
          </w:p>
          <w:p w14:paraId="4FA992D4" w14:textId="77777777" w:rsidR="001D46B9" w:rsidRDefault="008D669C">
            <w:pPr>
              <w:ind w:left="1440"/>
              <w:rPr>
                <w:sz w:val="22"/>
                <w:szCs w:val="22"/>
              </w:rPr>
            </w:pPr>
            <w:r>
              <w:rPr>
                <w:sz w:val="22"/>
                <w:szCs w:val="22"/>
              </w:rPr>
              <w:t>Diploma</w:t>
            </w:r>
          </w:p>
          <w:p w14:paraId="3772B7C4" w14:textId="77777777" w:rsidR="001D46B9" w:rsidRDefault="008D669C">
            <w:pPr>
              <w:ind w:left="1440"/>
              <w:rPr>
                <w:sz w:val="22"/>
                <w:szCs w:val="22"/>
              </w:rPr>
            </w:pPr>
            <w:r>
              <w:rPr>
                <w:sz w:val="22"/>
                <w:szCs w:val="22"/>
              </w:rPr>
              <w:t>Bachelor’s Degree</w:t>
            </w:r>
          </w:p>
          <w:p w14:paraId="4700B17F" w14:textId="77777777" w:rsidR="001D46B9" w:rsidRDefault="001D46B9">
            <w:pPr>
              <w:rPr>
                <w:sz w:val="22"/>
                <w:szCs w:val="22"/>
              </w:rPr>
            </w:pPr>
          </w:p>
        </w:tc>
        <w:tc>
          <w:tcPr>
            <w:tcW w:w="2135" w:type="dxa"/>
            <w:tcBorders>
              <w:top w:val="nil"/>
              <w:left w:val="nil"/>
              <w:right w:val="nil"/>
            </w:tcBorders>
          </w:tcPr>
          <w:p w14:paraId="00A62012" w14:textId="77777777" w:rsidR="001D46B9" w:rsidRDefault="001D46B9">
            <w:pPr>
              <w:jc w:val="center"/>
              <w:rPr>
                <w:sz w:val="22"/>
                <w:szCs w:val="22"/>
              </w:rPr>
            </w:pPr>
          </w:p>
          <w:p w14:paraId="0028F83B" w14:textId="77777777" w:rsidR="001D46B9" w:rsidRDefault="008D669C">
            <w:pPr>
              <w:jc w:val="center"/>
              <w:rPr>
                <w:sz w:val="22"/>
                <w:szCs w:val="22"/>
              </w:rPr>
            </w:pPr>
            <w:r>
              <w:rPr>
                <w:sz w:val="22"/>
                <w:szCs w:val="22"/>
              </w:rPr>
              <w:t>29</w:t>
            </w:r>
          </w:p>
          <w:p w14:paraId="3EC7B0EC" w14:textId="77777777" w:rsidR="001D46B9" w:rsidRDefault="008D669C">
            <w:pPr>
              <w:jc w:val="center"/>
              <w:rPr>
                <w:sz w:val="22"/>
                <w:szCs w:val="22"/>
              </w:rPr>
            </w:pPr>
            <w:r>
              <w:rPr>
                <w:sz w:val="22"/>
                <w:szCs w:val="22"/>
              </w:rPr>
              <w:t>25</w:t>
            </w:r>
          </w:p>
          <w:p w14:paraId="0DDB29A3" w14:textId="77777777" w:rsidR="001D46B9" w:rsidRDefault="008D669C">
            <w:pPr>
              <w:jc w:val="center"/>
              <w:rPr>
                <w:sz w:val="22"/>
                <w:szCs w:val="22"/>
              </w:rPr>
            </w:pPr>
            <w:r>
              <w:rPr>
                <w:sz w:val="22"/>
                <w:szCs w:val="22"/>
              </w:rPr>
              <w:t>86</w:t>
            </w:r>
          </w:p>
        </w:tc>
        <w:tc>
          <w:tcPr>
            <w:tcW w:w="2026" w:type="dxa"/>
            <w:tcBorders>
              <w:top w:val="nil"/>
              <w:left w:val="nil"/>
              <w:right w:val="nil"/>
            </w:tcBorders>
          </w:tcPr>
          <w:p w14:paraId="2BD8FC67" w14:textId="77777777" w:rsidR="001D46B9" w:rsidRDefault="008D669C">
            <w:pPr>
              <w:jc w:val="center"/>
              <w:rPr>
                <w:sz w:val="22"/>
                <w:szCs w:val="22"/>
              </w:rPr>
            </w:pPr>
            <w:r>
              <w:rPr>
                <w:sz w:val="22"/>
                <w:szCs w:val="22"/>
              </w:rPr>
              <w:t>.</w:t>
            </w:r>
          </w:p>
          <w:p w14:paraId="3E57B902" w14:textId="77777777" w:rsidR="001D46B9" w:rsidRDefault="008D669C">
            <w:pPr>
              <w:jc w:val="center"/>
              <w:rPr>
                <w:sz w:val="22"/>
                <w:szCs w:val="22"/>
              </w:rPr>
            </w:pPr>
            <w:r>
              <w:rPr>
                <w:sz w:val="22"/>
                <w:szCs w:val="22"/>
              </w:rPr>
              <w:t>20.7</w:t>
            </w:r>
          </w:p>
          <w:p w14:paraId="46616767" w14:textId="77777777" w:rsidR="001D46B9" w:rsidRDefault="008D669C">
            <w:pPr>
              <w:jc w:val="center"/>
              <w:rPr>
                <w:sz w:val="22"/>
                <w:szCs w:val="22"/>
              </w:rPr>
            </w:pPr>
            <w:r>
              <w:rPr>
                <w:sz w:val="22"/>
                <w:szCs w:val="22"/>
              </w:rPr>
              <w:t>17.9</w:t>
            </w:r>
          </w:p>
          <w:p w14:paraId="21C8C6EB" w14:textId="77777777" w:rsidR="001D46B9" w:rsidRDefault="008D669C">
            <w:pPr>
              <w:jc w:val="center"/>
              <w:rPr>
                <w:sz w:val="22"/>
                <w:szCs w:val="22"/>
              </w:rPr>
            </w:pPr>
            <w:r>
              <w:rPr>
                <w:sz w:val="22"/>
                <w:szCs w:val="22"/>
              </w:rPr>
              <w:t>61.4</w:t>
            </w:r>
          </w:p>
        </w:tc>
        <w:tc>
          <w:tcPr>
            <w:tcW w:w="2026" w:type="dxa"/>
            <w:tcBorders>
              <w:top w:val="nil"/>
              <w:left w:val="nil"/>
              <w:right w:val="nil"/>
            </w:tcBorders>
          </w:tcPr>
          <w:p w14:paraId="2E83D973" w14:textId="77777777" w:rsidR="001D46B9" w:rsidRDefault="001D46B9">
            <w:pPr>
              <w:jc w:val="center"/>
              <w:rPr>
                <w:sz w:val="22"/>
                <w:szCs w:val="22"/>
              </w:rPr>
            </w:pPr>
          </w:p>
        </w:tc>
      </w:tr>
    </w:tbl>
    <w:p w14:paraId="2B8C5361" w14:textId="77777777" w:rsidR="001D46B9" w:rsidRDefault="001D46B9">
      <w:pPr>
        <w:rPr>
          <w:b/>
          <w:sz w:val="22"/>
          <w:szCs w:val="22"/>
        </w:rPr>
      </w:pPr>
    </w:p>
    <w:p w14:paraId="41678176" w14:textId="77777777" w:rsidR="001D46B9" w:rsidRDefault="008D669C">
      <w:pPr>
        <w:rPr>
          <w:b/>
          <w:sz w:val="22"/>
          <w:szCs w:val="22"/>
        </w:rPr>
      </w:pPr>
      <w:r>
        <w:rPr>
          <w:b/>
          <w:sz w:val="22"/>
          <w:szCs w:val="22"/>
        </w:rPr>
        <w:t>Table 4</w:t>
      </w:r>
    </w:p>
    <w:p w14:paraId="3ADE61D0" w14:textId="77777777" w:rsidR="001D46B9" w:rsidRDefault="001D46B9">
      <w:pPr>
        <w:rPr>
          <w:b/>
          <w:sz w:val="22"/>
          <w:szCs w:val="22"/>
        </w:rPr>
      </w:pPr>
    </w:p>
    <w:p w14:paraId="005B2928" w14:textId="77777777" w:rsidR="001D46B9" w:rsidRDefault="008D669C">
      <w:pPr>
        <w:rPr>
          <w:i/>
          <w:sz w:val="22"/>
          <w:szCs w:val="22"/>
        </w:rPr>
      </w:pPr>
      <w:r>
        <w:rPr>
          <w:i/>
          <w:sz w:val="22"/>
          <w:szCs w:val="22"/>
        </w:rPr>
        <w:t>Descriptive statistics for participants’ Perceived Social Support and Depressive symptoms by gender (N=140)</w:t>
      </w:r>
    </w:p>
    <w:p w14:paraId="444686AC" w14:textId="77777777" w:rsidR="001D46B9" w:rsidRDefault="001D46B9">
      <w:pPr>
        <w:rPr>
          <w:b/>
          <w:sz w:val="22"/>
          <w:szCs w:val="22"/>
        </w:rPr>
      </w:pPr>
    </w:p>
    <w:tbl>
      <w:tblPr>
        <w:tblStyle w:val="a2"/>
        <w:tblW w:w="103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1"/>
        <w:gridCol w:w="174"/>
        <w:gridCol w:w="801"/>
        <w:gridCol w:w="1174"/>
        <w:gridCol w:w="187"/>
        <w:gridCol w:w="1338"/>
        <w:gridCol w:w="1178"/>
        <w:gridCol w:w="173"/>
        <w:gridCol w:w="1361"/>
        <w:gridCol w:w="1154"/>
        <w:gridCol w:w="182"/>
      </w:tblGrid>
      <w:tr w:rsidR="001D46B9" w14:paraId="611E672E" w14:textId="77777777">
        <w:trPr>
          <w:gridAfter w:val="1"/>
          <w:wAfter w:w="182" w:type="dxa"/>
          <w:trHeight w:val="294"/>
        </w:trPr>
        <w:tc>
          <w:tcPr>
            <w:tcW w:w="2671" w:type="dxa"/>
            <w:vMerge w:val="restart"/>
            <w:tcBorders>
              <w:left w:val="nil"/>
              <w:right w:val="nil"/>
            </w:tcBorders>
          </w:tcPr>
          <w:p w14:paraId="60A95597" w14:textId="77777777" w:rsidR="001D46B9" w:rsidRDefault="001D46B9">
            <w:pPr>
              <w:rPr>
                <w:sz w:val="22"/>
                <w:szCs w:val="22"/>
              </w:rPr>
            </w:pPr>
          </w:p>
        </w:tc>
        <w:tc>
          <w:tcPr>
            <w:tcW w:w="2149" w:type="dxa"/>
            <w:gridSpan w:val="3"/>
            <w:tcBorders>
              <w:left w:val="nil"/>
              <w:bottom w:val="single" w:sz="4" w:space="0" w:color="000000"/>
              <w:right w:val="nil"/>
            </w:tcBorders>
          </w:tcPr>
          <w:p w14:paraId="5B4579AA" w14:textId="77777777" w:rsidR="001D46B9" w:rsidRDefault="008D669C">
            <w:pPr>
              <w:jc w:val="center"/>
              <w:rPr>
                <w:sz w:val="22"/>
                <w:szCs w:val="22"/>
              </w:rPr>
            </w:pPr>
            <w:r>
              <w:rPr>
                <w:sz w:val="22"/>
                <w:szCs w:val="22"/>
              </w:rPr>
              <w:t xml:space="preserve">Male </w:t>
            </w:r>
          </w:p>
        </w:tc>
        <w:tc>
          <w:tcPr>
            <w:tcW w:w="2703" w:type="dxa"/>
            <w:gridSpan w:val="3"/>
            <w:tcBorders>
              <w:left w:val="nil"/>
              <w:bottom w:val="single" w:sz="4" w:space="0" w:color="000000"/>
              <w:right w:val="nil"/>
            </w:tcBorders>
          </w:tcPr>
          <w:p w14:paraId="1359599C" w14:textId="77777777" w:rsidR="001D46B9" w:rsidRDefault="008D669C">
            <w:pPr>
              <w:jc w:val="center"/>
              <w:rPr>
                <w:sz w:val="22"/>
                <w:szCs w:val="22"/>
              </w:rPr>
            </w:pPr>
            <w:r>
              <w:rPr>
                <w:sz w:val="22"/>
                <w:szCs w:val="22"/>
              </w:rPr>
              <w:t>Female</w:t>
            </w:r>
          </w:p>
        </w:tc>
        <w:tc>
          <w:tcPr>
            <w:tcW w:w="2688" w:type="dxa"/>
            <w:gridSpan w:val="3"/>
            <w:tcBorders>
              <w:left w:val="nil"/>
              <w:right w:val="nil"/>
            </w:tcBorders>
          </w:tcPr>
          <w:p w14:paraId="65CF69E5" w14:textId="77777777" w:rsidR="001D46B9" w:rsidRDefault="008D669C">
            <w:pPr>
              <w:jc w:val="center"/>
              <w:rPr>
                <w:sz w:val="22"/>
                <w:szCs w:val="22"/>
              </w:rPr>
            </w:pPr>
            <w:r>
              <w:rPr>
                <w:sz w:val="22"/>
                <w:szCs w:val="22"/>
              </w:rPr>
              <w:t>Total</w:t>
            </w:r>
          </w:p>
        </w:tc>
      </w:tr>
      <w:tr w:rsidR="001D46B9" w14:paraId="4F2C105A" w14:textId="77777777">
        <w:trPr>
          <w:trHeight w:val="294"/>
        </w:trPr>
        <w:tc>
          <w:tcPr>
            <w:tcW w:w="2671" w:type="dxa"/>
            <w:vMerge/>
            <w:tcBorders>
              <w:left w:val="nil"/>
              <w:right w:val="nil"/>
            </w:tcBorders>
          </w:tcPr>
          <w:p w14:paraId="66694C9D" w14:textId="77777777" w:rsidR="001D46B9" w:rsidRDefault="001D46B9">
            <w:pPr>
              <w:widowControl w:val="0"/>
              <w:pBdr>
                <w:top w:val="nil"/>
                <w:left w:val="nil"/>
                <w:bottom w:val="nil"/>
                <w:right w:val="nil"/>
                <w:between w:val="nil"/>
              </w:pBdr>
              <w:spacing w:line="276" w:lineRule="auto"/>
              <w:rPr>
                <w:sz w:val="22"/>
                <w:szCs w:val="22"/>
              </w:rPr>
            </w:pPr>
          </w:p>
        </w:tc>
        <w:tc>
          <w:tcPr>
            <w:tcW w:w="975" w:type="dxa"/>
            <w:gridSpan w:val="2"/>
            <w:tcBorders>
              <w:left w:val="nil"/>
              <w:bottom w:val="single" w:sz="4" w:space="0" w:color="000000"/>
              <w:right w:val="nil"/>
            </w:tcBorders>
          </w:tcPr>
          <w:p w14:paraId="70AD1B5E" w14:textId="77777777" w:rsidR="001D46B9" w:rsidRDefault="008D669C">
            <w:pPr>
              <w:jc w:val="center"/>
              <w:rPr>
                <w:i/>
                <w:sz w:val="22"/>
                <w:szCs w:val="22"/>
              </w:rPr>
            </w:pPr>
            <w:r>
              <w:rPr>
                <w:i/>
                <w:sz w:val="22"/>
                <w:szCs w:val="22"/>
              </w:rPr>
              <w:t>n</w:t>
            </w:r>
          </w:p>
        </w:tc>
        <w:tc>
          <w:tcPr>
            <w:tcW w:w="1361" w:type="dxa"/>
            <w:gridSpan w:val="2"/>
            <w:tcBorders>
              <w:left w:val="nil"/>
              <w:bottom w:val="single" w:sz="4" w:space="0" w:color="000000"/>
              <w:right w:val="nil"/>
            </w:tcBorders>
          </w:tcPr>
          <w:p w14:paraId="3BFFDA69" w14:textId="77777777" w:rsidR="001D46B9" w:rsidRDefault="008D669C">
            <w:pPr>
              <w:jc w:val="center"/>
              <w:rPr>
                <w:sz w:val="22"/>
                <w:szCs w:val="22"/>
              </w:rPr>
            </w:pPr>
            <w:r>
              <w:rPr>
                <w:sz w:val="22"/>
                <w:szCs w:val="22"/>
              </w:rPr>
              <w:t>%</w:t>
            </w:r>
          </w:p>
        </w:tc>
        <w:tc>
          <w:tcPr>
            <w:tcW w:w="1338" w:type="dxa"/>
            <w:tcBorders>
              <w:left w:val="nil"/>
              <w:bottom w:val="single" w:sz="4" w:space="0" w:color="000000"/>
              <w:right w:val="nil"/>
            </w:tcBorders>
          </w:tcPr>
          <w:p w14:paraId="616AD252" w14:textId="77777777" w:rsidR="001D46B9" w:rsidRDefault="008D669C">
            <w:pPr>
              <w:jc w:val="center"/>
              <w:rPr>
                <w:i/>
                <w:sz w:val="22"/>
                <w:szCs w:val="22"/>
              </w:rPr>
            </w:pPr>
            <w:r>
              <w:rPr>
                <w:i/>
                <w:sz w:val="22"/>
                <w:szCs w:val="22"/>
              </w:rPr>
              <w:t>n</w:t>
            </w:r>
          </w:p>
        </w:tc>
        <w:tc>
          <w:tcPr>
            <w:tcW w:w="1351" w:type="dxa"/>
            <w:gridSpan w:val="2"/>
            <w:tcBorders>
              <w:left w:val="nil"/>
              <w:bottom w:val="single" w:sz="4" w:space="0" w:color="000000"/>
              <w:right w:val="nil"/>
            </w:tcBorders>
          </w:tcPr>
          <w:p w14:paraId="5A138E5F" w14:textId="77777777" w:rsidR="001D46B9" w:rsidRDefault="008D669C">
            <w:pPr>
              <w:jc w:val="center"/>
              <w:rPr>
                <w:sz w:val="22"/>
                <w:szCs w:val="22"/>
              </w:rPr>
            </w:pPr>
            <w:r>
              <w:rPr>
                <w:sz w:val="22"/>
                <w:szCs w:val="22"/>
              </w:rPr>
              <w:t>%</w:t>
            </w:r>
          </w:p>
        </w:tc>
        <w:tc>
          <w:tcPr>
            <w:tcW w:w="1361" w:type="dxa"/>
            <w:tcBorders>
              <w:left w:val="nil"/>
              <w:bottom w:val="single" w:sz="4" w:space="0" w:color="000000"/>
              <w:right w:val="nil"/>
            </w:tcBorders>
          </w:tcPr>
          <w:p w14:paraId="3B49B2A5" w14:textId="77777777" w:rsidR="001D46B9" w:rsidRDefault="008D669C">
            <w:pPr>
              <w:jc w:val="center"/>
              <w:rPr>
                <w:i/>
                <w:sz w:val="22"/>
                <w:szCs w:val="22"/>
              </w:rPr>
            </w:pPr>
            <w:r>
              <w:rPr>
                <w:i/>
                <w:sz w:val="22"/>
                <w:szCs w:val="22"/>
              </w:rPr>
              <w:t>n</w:t>
            </w:r>
          </w:p>
        </w:tc>
        <w:tc>
          <w:tcPr>
            <w:tcW w:w="1336" w:type="dxa"/>
            <w:gridSpan w:val="2"/>
            <w:tcBorders>
              <w:left w:val="nil"/>
              <w:bottom w:val="single" w:sz="4" w:space="0" w:color="000000"/>
              <w:right w:val="nil"/>
            </w:tcBorders>
          </w:tcPr>
          <w:p w14:paraId="15573F82" w14:textId="77777777" w:rsidR="001D46B9" w:rsidRDefault="008D669C">
            <w:pPr>
              <w:jc w:val="center"/>
              <w:rPr>
                <w:sz w:val="22"/>
                <w:szCs w:val="22"/>
              </w:rPr>
            </w:pPr>
            <w:r>
              <w:rPr>
                <w:sz w:val="22"/>
                <w:szCs w:val="22"/>
              </w:rPr>
              <w:t>%</w:t>
            </w:r>
          </w:p>
        </w:tc>
      </w:tr>
      <w:tr w:rsidR="001D46B9" w14:paraId="1622EA57" w14:textId="77777777">
        <w:trPr>
          <w:trHeight w:val="591"/>
        </w:trPr>
        <w:tc>
          <w:tcPr>
            <w:tcW w:w="2845" w:type="dxa"/>
            <w:gridSpan w:val="2"/>
            <w:tcBorders>
              <w:left w:val="nil"/>
              <w:bottom w:val="nil"/>
              <w:right w:val="nil"/>
            </w:tcBorders>
          </w:tcPr>
          <w:p w14:paraId="687C3A63" w14:textId="77777777" w:rsidR="001D46B9" w:rsidRDefault="008D669C">
            <w:pPr>
              <w:rPr>
                <w:sz w:val="22"/>
                <w:szCs w:val="22"/>
              </w:rPr>
            </w:pPr>
            <w:r>
              <w:rPr>
                <w:sz w:val="22"/>
                <w:szCs w:val="22"/>
              </w:rPr>
              <w:lastRenderedPageBreak/>
              <w:t>PSS</w:t>
            </w:r>
          </w:p>
        </w:tc>
        <w:tc>
          <w:tcPr>
            <w:tcW w:w="801" w:type="dxa"/>
            <w:tcBorders>
              <w:left w:val="nil"/>
              <w:bottom w:val="nil"/>
              <w:right w:val="nil"/>
            </w:tcBorders>
          </w:tcPr>
          <w:p w14:paraId="00D8E52D" w14:textId="77777777" w:rsidR="001D46B9" w:rsidRDefault="001D46B9">
            <w:pPr>
              <w:jc w:val="center"/>
              <w:rPr>
                <w:sz w:val="22"/>
                <w:szCs w:val="22"/>
              </w:rPr>
            </w:pPr>
          </w:p>
        </w:tc>
        <w:tc>
          <w:tcPr>
            <w:tcW w:w="1361" w:type="dxa"/>
            <w:gridSpan w:val="2"/>
            <w:tcBorders>
              <w:left w:val="nil"/>
              <w:bottom w:val="nil"/>
              <w:right w:val="nil"/>
            </w:tcBorders>
          </w:tcPr>
          <w:p w14:paraId="1BDC9078" w14:textId="77777777" w:rsidR="001D46B9" w:rsidRDefault="001D46B9">
            <w:pPr>
              <w:jc w:val="center"/>
              <w:rPr>
                <w:sz w:val="22"/>
                <w:szCs w:val="22"/>
              </w:rPr>
            </w:pPr>
          </w:p>
        </w:tc>
        <w:tc>
          <w:tcPr>
            <w:tcW w:w="1338" w:type="dxa"/>
            <w:tcBorders>
              <w:left w:val="nil"/>
              <w:bottom w:val="nil"/>
              <w:right w:val="nil"/>
            </w:tcBorders>
          </w:tcPr>
          <w:p w14:paraId="779F0A02" w14:textId="77777777" w:rsidR="001D46B9" w:rsidRDefault="001D46B9">
            <w:pPr>
              <w:jc w:val="center"/>
              <w:rPr>
                <w:sz w:val="22"/>
                <w:szCs w:val="22"/>
              </w:rPr>
            </w:pPr>
          </w:p>
        </w:tc>
        <w:tc>
          <w:tcPr>
            <w:tcW w:w="1351" w:type="dxa"/>
            <w:gridSpan w:val="2"/>
            <w:tcBorders>
              <w:left w:val="nil"/>
              <w:bottom w:val="nil"/>
              <w:right w:val="nil"/>
            </w:tcBorders>
          </w:tcPr>
          <w:p w14:paraId="2B4FDFD5" w14:textId="77777777" w:rsidR="001D46B9" w:rsidRDefault="001D46B9">
            <w:pPr>
              <w:jc w:val="center"/>
              <w:rPr>
                <w:sz w:val="22"/>
                <w:szCs w:val="22"/>
              </w:rPr>
            </w:pPr>
          </w:p>
        </w:tc>
        <w:tc>
          <w:tcPr>
            <w:tcW w:w="1361" w:type="dxa"/>
            <w:tcBorders>
              <w:left w:val="nil"/>
              <w:bottom w:val="nil"/>
              <w:right w:val="nil"/>
            </w:tcBorders>
          </w:tcPr>
          <w:p w14:paraId="324ABC3B" w14:textId="77777777" w:rsidR="001D46B9" w:rsidRDefault="001D46B9">
            <w:pPr>
              <w:jc w:val="center"/>
              <w:rPr>
                <w:sz w:val="22"/>
                <w:szCs w:val="22"/>
              </w:rPr>
            </w:pPr>
          </w:p>
        </w:tc>
        <w:tc>
          <w:tcPr>
            <w:tcW w:w="1336" w:type="dxa"/>
            <w:gridSpan w:val="2"/>
            <w:tcBorders>
              <w:left w:val="nil"/>
              <w:bottom w:val="nil"/>
              <w:right w:val="nil"/>
            </w:tcBorders>
          </w:tcPr>
          <w:p w14:paraId="7823F2B4" w14:textId="77777777" w:rsidR="001D46B9" w:rsidRDefault="001D46B9">
            <w:pPr>
              <w:jc w:val="center"/>
              <w:rPr>
                <w:sz w:val="22"/>
                <w:szCs w:val="22"/>
              </w:rPr>
            </w:pPr>
          </w:p>
        </w:tc>
      </w:tr>
      <w:tr w:rsidR="001D46B9" w14:paraId="39747EA1" w14:textId="77777777">
        <w:trPr>
          <w:trHeight w:val="591"/>
        </w:trPr>
        <w:tc>
          <w:tcPr>
            <w:tcW w:w="2845" w:type="dxa"/>
            <w:gridSpan w:val="2"/>
            <w:tcBorders>
              <w:top w:val="nil"/>
              <w:left w:val="nil"/>
              <w:bottom w:val="nil"/>
              <w:right w:val="nil"/>
            </w:tcBorders>
          </w:tcPr>
          <w:p w14:paraId="5484C453" w14:textId="77777777" w:rsidR="001D46B9" w:rsidRDefault="008D669C">
            <w:pPr>
              <w:ind w:left="720"/>
              <w:rPr>
                <w:sz w:val="22"/>
                <w:szCs w:val="22"/>
              </w:rPr>
            </w:pPr>
            <w:r>
              <w:rPr>
                <w:sz w:val="22"/>
                <w:szCs w:val="22"/>
              </w:rPr>
              <w:t>Low</w:t>
            </w:r>
          </w:p>
        </w:tc>
        <w:tc>
          <w:tcPr>
            <w:tcW w:w="801" w:type="dxa"/>
            <w:tcBorders>
              <w:top w:val="nil"/>
              <w:left w:val="nil"/>
              <w:bottom w:val="nil"/>
              <w:right w:val="nil"/>
            </w:tcBorders>
          </w:tcPr>
          <w:p w14:paraId="046C9140" w14:textId="77777777" w:rsidR="001D46B9" w:rsidRDefault="008D669C">
            <w:pPr>
              <w:jc w:val="center"/>
              <w:rPr>
                <w:sz w:val="22"/>
                <w:szCs w:val="22"/>
              </w:rPr>
            </w:pPr>
            <w:r>
              <w:rPr>
                <w:sz w:val="22"/>
                <w:szCs w:val="22"/>
              </w:rPr>
              <w:t>4</w:t>
            </w:r>
          </w:p>
          <w:p w14:paraId="540D09B5" w14:textId="77777777" w:rsidR="001D46B9" w:rsidRDefault="001D46B9">
            <w:pPr>
              <w:jc w:val="center"/>
              <w:rPr>
                <w:sz w:val="22"/>
                <w:szCs w:val="22"/>
              </w:rPr>
            </w:pPr>
          </w:p>
        </w:tc>
        <w:tc>
          <w:tcPr>
            <w:tcW w:w="1361" w:type="dxa"/>
            <w:gridSpan w:val="2"/>
            <w:tcBorders>
              <w:top w:val="nil"/>
              <w:left w:val="nil"/>
              <w:bottom w:val="nil"/>
              <w:right w:val="nil"/>
            </w:tcBorders>
          </w:tcPr>
          <w:p w14:paraId="133A4D35" w14:textId="77777777" w:rsidR="001D46B9" w:rsidRDefault="008D669C">
            <w:pPr>
              <w:jc w:val="center"/>
              <w:rPr>
                <w:sz w:val="22"/>
                <w:szCs w:val="22"/>
              </w:rPr>
            </w:pPr>
            <w:r>
              <w:rPr>
                <w:sz w:val="22"/>
                <w:szCs w:val="22"/>
              </w:rPr>
              <w:t>5.7</w:t>
            </w:r>
          </w:p>
        </w:tc>
        <w:tc>
          <w:tcPr>
            <w:tcW w:w="1338" w:type="dxa"/>
            <w:tcBorders>
              <w:top w:val="nil"/>
              <w:left w:val="nil"/>
              <w:bottom w:val="nil"/>
              <w:right w:val="nil"/>
            </w:tcBorders>
          </w:tcPr>
          <w:p w14:paraId="3EB0A5AC" w14:textId="77777777" w:rsidR="001D46B9" w:rsidRDefault="008D669C">
            <w:pPr>
              <w:jc w:val="center"/>
              <w:rPr>
                <w:sz w:val="22"/>
                <w:szCs w:val="22"/>
              </w:rPr>
            </w:pPr>
            <w:r>
              <w:rPr>
                <w:sz w:val="22"/>
                <w:szCs w:val="22"/>
              </w:rPr>
              <w:t>16</w:t>
            </w:r>
          </w:p>
        </w:tc>
        <w:tc>
          <w:tcPr>
            <w:tcW w:w="1351" w:type="dxa"/>
            <w:gridSpan w:val="2"/>
            <w:tcBorders>
              <w:top w:val="nil"/>
              <w:left w:val="nil"/>
              <w:bottom w:val="nil"/>
              <w:right w:val="nil"/>
            </w:tcBorders>
          </w:tcPr>
          <w:p w14:paraId="19D092E6" w14:textId="77777777" w:rsidR="001D46B9" w:rsidRDefault="008D669C">
            <w:pPr>
              <w:jc w:val="center"/>
              <w:rPr>
                <w:sz w:val="22"/>
                <w:szCs w:val="22"/>
              </w:rPr>
            </w:pPr>
            <w:r>
              <w:rPr>
                <w:sz w:val="22"/>
                <w:szCs w:val="22"/>
              </w:rPr>
              <w:t>22.9</w:t>
            </w:r>
          </w:p>
        </w:tc>
        <w:tc>
          <w:tcPr>
            <w:tcW w:w="1361" w:type="dxa"/>
            <w:tcBorders>
              <w:top w:val="nil"/>
              <w:left w:val="nil"/>
              <w:bottom w:val="nil"/>
              <w:right w:val="nil"/>
            </w:tcBorders>
          </w:tcPr>
          <w:p w14:paraId="71A04C1B" w14:textId="77777777" w:rsidR="001D46B9" w:rsidRDefault="008D669C">
            <w:pPr>
              <w:jc w:val="center"/>
              <w:rPr>
                <w:sz w:val="22"/>
                <w:szCs w:val="22"/>
              </w:rPr>
            </w:pPr>
            <w:r>
              <w:rPr>
                <w:sz w:val="22"/>
                <w:szCs w:val="22"/>
              </w:rPr>
              <w:t>20</w:t>
            </w:r>
          </w:p>
        </w:tc>
        <w:tc>
          <w:tcPr>
            <w:tcW w:w="1336" w:type="dxa"/>
            <w:gridSpan w:val="2"/>
            <w:tcBorders>
              <w:top w:val="nil"/>
              <w:left w:val="nil"/>
              <w:bottom w:val="nil"/>
              <w:right w:val="nil"/>
            </w:tcBorders>
          </w:tcPr>
          <w:p w14:paraId="2D949DBF" w14:textId="77777777" w:rsidR="001D46B9" w:rsidRDefault="008D669C">
            <w:pPr>
              <w:jc w:val="center"/>
              <w:rPr>
                <w:sz w:val="22"/>
                <w:szCs w:val="22"/>
              </w:rPr>
            </w:pPr>
            <w:r>
              <w:rPr>
                <w:sz w:val="22"/>
                <w:szCs w:val="22"/>
              </w:rPr>
              <w:t>14.3</w:t>
            </w:r>
          </w:p>
        </w:tc>
      </w:tr>
      <w:tr w:rsidR="001D46B9" w14:paraId="757D5862" w14:textId="77777777">
        <w:trPr>
          <w:trHeight w:val="591"/>
        </w:trPr>
        <w:tc>
          <w:tcPr>
            <w:tcW w:w="2845" w:type="dxa"/>
            <w:gridSpan w:val="2"/>
            <w:tcBorders>
              <w:top w:val="nil"/>
              <w:left w:val="nil"/>
              <w:bottom w:val="nil"/>
              <w:right w:val="nil"/>
            </w:tcBorders>
          </w:tcPr>
          <w:p w14:paraId="452AC2F3" w14:textId="77777777" w:rsidR="001D46B9" w:rsidRDefault="008D669C">
            <w:pPr>
              <w:ind w:left="720"/>
              <w:rPr>
                <w:sz w:val="22"/>
                <w:szCs w:val="22"/>
              </w:rPr>
            </w:pPr>
            <w:r>
              <w:rPr>
                <w:sz w:val="22"/>
                <w:szCs w:val="22"/>
              </w:rPr>
              <w:t>Moderate</w:t>
            </w:r>
          </w:p>
        </w:tc>
        <w:tc>
          <w:tcPr>
            <w:tcW w:w="801" w:type="dxa"/>
            <w:tcBorders>
              <w:top w:val="nil"/>
              <w:left w:val="nil"/>
              <w:bottom w:val="nil"/>
              <w:right w:val="nil"/>
            </w:tcBorders>
          </w:tcPr>
          <w:p w14:paraId="1485C3AA" w14:textId="77777777" w:rsidR="001D46B9" w:rsidRDefault="008D669C">
            <w:pPr>
              <w:jc w:val="center"/>
              <w:rPr>
                <w:sz w:val="22"/>
                <w:szCs w:val="22"/>
              </w:rPr>
            </w:pPr>
            <w:r>
              <w:rPr>
                <w:sz w:val="22"/>
                <w:szCs w:val="22"/>
              </w:rPr>
              <w:t>33</w:t>
            </w:r>
          </w:p>
        </w:tc>
        <w:tc>
          <w:tcPr>
            <w:tcW w:w="1361" w:type="dxa"/>
            <w:gridSpan w:val="2"/>
            <w:tcBorders>
              <w:top w:val="nil"/>
              <w:left w:val="nil"/>
              <w:bottom w:val="nil"/>
              <w:right w:val="nil"/>
            </w:tcBorders>
          </w:tcPr>
          <w:p w14:paraId="6AB00CFF" w14:textId="77777777" w:rsidR="001D46B9" w:rsidRDefault="008D669C">
            <w:pPr>
              <w:jc w:val="center"/>
              <w:rPr>
                <w:sz w:val="22"/>
                <w:szCs w:val="22"/>
              </w:rPr>
            </w:pPr>
            <w:r>
              <w:rPr>
                <w:sz w:val="22"/>
                <w:szCs w:val="22"/>
              </w:rPr>
              <w:t>47.1</w:t>
            </w:r>
          </w:p>
        </w:tc>
        <w:tc>
          <w:tcPr>
            <w:tcW w:w="1338" w:type="dxa"/>
            <w:tcBorders>
              <w:top w:val="nil"/>
              <w:left w:val="nil"/>
              <w:bottom w:val="nil"/>
              <w:right w:val="nil"/>
            </w:tcBorders>
          </w:tcPr>
          <w:p w14:paraId="7EEF9456" w14:textId="77777777" w:rsidR="001D46B9" w:rsidRDefault="008D669C">
            <w:pPr>
              <w:jc w:val="center"/>
              <w:rPr>
                <w:color w:val="000000"/>
              </w:rPr>
            </w:pPr>
            <w:r>
              <w:rPr>
                <w:color w:val="000000"/>
              </w:rPr>
              <w:t>17</w:t>
            </w:r>
          </w:p>
        </w:tc>
        <w:tc>
          <w:tcPr>
            <w:tcW w:w="1351" w:type="dxa"/>
            <w:gridSpan w:val="2"/>
            <w:tcBorders>
              <w:top w:val="nil"/>
              <w:left w:val="nil"/>
              <w:bottom w:val="nil"/>
              <w:right w:val="nil"/>
            </w:tcBorders>
          </w:tcPr>
          <w:p w14:paraId="481A9131" w14:textId="77777777" w:rsidR="001D46B9" w:rsidRDefault="008D669C">
            <w:pPr>
              <w:jc w:val="center"/>
              <w:rPr>
                <w:sz w:val="22"/>
                <w:szCs w:val="22"/>
              </w:rPr>
            </w:pPr>
            <w:r>
              <w:rPr>
                <w:sz w:val="22"/>
                <w:szCs w:val="22"/>
              </w:rPr>
              <w:t>24.3</w:t>
            </w:r>
          </w:p>
        </w:tc>
        <w:tc>
          <w:tcPr>
            <w:tcW w:w="1361" w:type="dxa"/>
            <w:tcBorders>
              <w:top w:val="nil"/>
              <w:left w:val="nil"/>
              <w:bottom w:val="nil"/>
              <w:right w:val="nil"/>
            </w:tcBorders>
          </w:tcPr>
          <w:p w14:paraId="3E40D8A5" w14:textId="77777777" w:rsidR="001D46B9" w:rsidRDefault="008D669C">
            <w:pPr>
              <w:jc w:val="center"/>
              <w:rPr>
                <w:sz w:val="22"/>
                <w:szCs w:val="22"/>
              </w:rPr>
            </w:pPr>
            <w:r>
              <w:rPr>
                <w:sz w:val="22"/>
                <w:szCs w:val="22"/>
              </w:rPr>
              <w:t>50</w:t>
            </w:r>
          </w:p>
        </w:tc>
        <w:tc>
          <w:tcPr>
            <w:tcW w:w="1336" w:type="dxa"/>
            <w:gridSpan w:val="2"/>
            <w:tcBorders>
              <w:top w:val="nil"/>
              <w:left w:val="nil"/>
              <w:bottom w:val="nil"/>
              <w:right w:val="nil"/>
            </w:tcBorders>
          </w:tcPr>
          <w:p w14:paraId="58C41598" w14:textId="77777777" w:rsidR="001D46B9" w:rsidRDefault="008D669C">
            <w:pPr>
              <w:jc w:val="center"/>
              <w:rPr>
                <w:sz w:val="22"/>
                <w:szCs w:val="22"/>
              </w:rPr>
            </w:pPr>
            <w:r>
              <w:rPr>
                <w:sz w:val="22"/>
                <w:szCs w:val="22"/>
              </w:rPr>
              <w:t>35.7</w:t>
            </w:r>
          </w:p>
        </w:tc>
      </w:tr>
      <w:tr w:rsidR="001D46B9" w14:paraId="251D071E" w14:textId="77777777">
        <w:trPr>
          <w:trHeight w:val="591"/>
        </w:trPr>
        <w:tc>
          <w:tcPr>
            <w:tcW w:w="2845" w:type="dxa"/>
            <w:gridSpan w:val="2"/>
            <w:tcBorders>
              <w:top w:val="nil"/>
              <w:left w:val="nil"/>
              <w:bottom w:val="nil"/>
              <w:right w:val="nil"/>
            </w:tcBorders>
          </w:tcPr>
          <w:p w14:paraId="64B4A494" w14:textId="77777777" w:rsidR="001D46B9" w:rsidRDefault="008D669C">
            <w:pPr>
              <w:ind w:left="720"/>
              <w:rPr>
                <w:sz w:val="22"/>
                <w:szCs w:val="22"/>
              </w:rPr>
            </w:pPr>
            <w:r>
              <w:rPr>
                <w:sz w:val="22"/>
                <w:szCs w:val="22"/>
              </w:rPr>
              <w:t>High</w:t>
            </w:r>
          </w:p>
        </w:tc>
        <w:tc>
          <w:tcPr>
            <w:tcW w:w="801" w:type="dxa"/>
            <w:tcBorders>
              <w:top w:val="nil"/>
              <w:left w:val="nil"/>
              <w:bottom w:val="nil"/>
              <w:right w:val="nil"/>
            </w:tcBorders>
          </w:tcPr>
          <w:p w14:paraId="011AC113" w14:textId="77777777" w:rsidR="001D46B9" w:rsidRDefault="008D669C">
            <w:pPr>
              <w:jc w:val="center"/>
              <w:rPr>
                <w:sz w:val="22"/>
                <w:szCs w:val="22"/>
              </w:rPr>
            </w:pPr>
            <w:r>
              <w:rPr>
                <w:sz w:val="22"/>
                <w:szCs w:val="22"/>
              </w:rPr>
              <w:t>33</w:t>
            </w:r>
          </w:p>
        </w:tc>
        <w:tc>
          <w:tcPr>
            <w:tcW w:w="1361" w:type="dxa"/>
            <w:gridSpan w:val="2"/>
            <w:tcBorders>
              <w:top w:val="nil"/>
              <w:left w:val="nil"/>
              <w:bottom w:val="nil"/>
              <w:right w:val="nil"/>
            </w:tcBorders>
          </w:tcPr>
          <w:p w14:paraId="7A6D9A50" w14:textId="77777777" w:rsidR="001D46B9" w:rsidRDefault="008D669C">
            <w:pPr>
              <w:jc w:val="center"/>
              <w:rPr>
                <w:sz w:val="22"/>
                <w:szCs w:val="22"/>
              </w:rPr>
            </w:pPr>
            <w:r>
              <w:rPr>
                <w:sz w:val="22"/>
                <w:szCs w:val="22"/>
              </w:rPr>
              <w:t>47.1</w:t>
            </w:r>
          </w:p>
        </w:tc>
        <w:tc>
          <w:tcPr>
            <w:tcW w:w="1338" w:type="dxa"/>
            <w:tcBorders>
              <w:top w:val="nil"/>
              <w:left w:val="nil"/>
              <w:bottom w:val="nil"/>
              <w:right w:val="nil"/>
            </w:tcBorders>
          </w:tcPr>
          <w:p w14:paraId="59C5F9E8" w14:textId="77777777" w:rsidR="001D46B9" w:rsidRDefault="008D669C">
            <w:pPr>
              <w:jc w:val="center"/>
              <w:rPr>
                <w:color w:val="000000"/>
              </w:rPr>
            </w:pPr>
            <w:r>
              <w:rPr>
                <w:color w:val="000000"/>
              </w:rPr>
              <w:t>37</w:t>
            </w:r>
          </w:p>
        </w:tc>
        <w:tc>
          <w:tcPr>
            <w:tcW w:w="1351" w:type="dxa"/>
            <w:gridSpan w:val="2"/>
            <w:tcBorders>
              <w:top w:val="nil"/>
              <w:left w:val="nil"/>
              <w:bottom w:val="nil"/>
              <w:right w:val="nil"/>
            </w:tcBorders>
          </w:tcPr>
          <w:p w14:paraId="1B110EA1" w14:textId="77777777" w:rsidR="001D46B9" w:rsidRDefault="008D669C">
            <w:pPr>
              <w:jc w:val="center"/>
              <w:rPr>
                <w:sz w:val="22"/>
                <w:szCs w:val="22"/>
              </w:rPr>
            </w:pPr>
            <w:r>
              <w:rPr>
                <w:sz w:val="22"/>
                <w:szCs w:val="22"/>
              </w:rPr>
              <w:t>52.0</w:t>
            </w:r>
          </w:p>
        </w:tc>
        <w:tc>
          <w:tcPr>
            <w:tcW w:w="1361" w:type="dxa"/>
            <w:tcBorders>
              <w:top w:val="nil"/>
              <w:left w:val="nil"/>
              <w:bottom w:val="nil"/>
              <w:right w:val="nil"/>
            </w:tcBorders>
          </w:tcPr>
          <w:p w14:paraId="786AE5B1" w14:textId="77777777" w:rsidR="001D46B9" w:rsidRDefault="008D669C">
            <w:pPr>
              <w:jc w:val="center"/>
              <w:rPr>
                <w:sz w:val="22"/>
                <w:szCs w:val="22"/>
              </w:rPr>
            </w:pPr>
            <w:r>
              <w:rPr>
                <w:sz w:val="22"/>
                <w:szCs w:val="22"/>
              </w:rPr>
              <w:t>70</w:t>
            </w:r>
          </w:p>
        </w:tc>
        <w:tc>
          <w:tcPr>
            <w:tcW w:w="1336" w:type="dxa"/>
            <w:gridSpan w:val="2"/>
            <w:tcBorders>
              <w:top w:val="nil"/>
              <w:left w:val="nil"/>
              <w:bottom w:val="nil"/>
              <w:right w:val="nil"/>
            </w:tcBorders>
          </w:tcPr>
          <w:p w14:paraId="37FAA1C6" w14:textId="77777777" w:rsidR="001D46B9" w:rsidRDefault="008D669C">
            <w:pPr>
              <w:jc w:val="center"/>
              <w:rPr>
                <w:sz w:val="22"/>
                <w:szCs w:val="22"/>
              </w:rPr>
            </w:pPr>
            <w:r>
              <w:rPr>
                <w:sz w:val="22"/>
                <w:szCs w:val="22"/>
              </w:rPr>
              <w:t>50</w:t>
            </w:r>
          </w:p>
        </w:tc>
      </w:tr>
      <w:tr w:rsidR="001D46B9" w14:paraId="19751ACC" w14:textId="77777777">
        <w:trPr>
          <w:trHeight w:val="591"/>
        </w:trPr>
        <w:tc>
          <w:tcPr>
            <w:tcW w:w="2845" w:type="dxa"/>
            <w:gridSpan w:val="2"/>
            <w:tcBorders>
              <w:top w:val="nil"/>
              <w:left w:val="nil"/>
              <w:bottom w:val="nil"/>
              <w:right w:val="nil"/>
            </w:tcBorders>
          </w:tcPr>
          <w:p w14:paraId="65A6C9BC" w14:textId="77777777" w:rsidR="001D46B9" w:rsidRDefault="008D669C">
            <w:pPr>
              <w:rPr>
                <w:sz w:val="22"/>
                <w:szCs w:val="22"/>
              </w:rPr>
            </w:pPr>
            <w:r>
              <w:rPr>
                <w:sz w:val="22"/>
                <w:szCs w:val="22"/>
              </w:rPr>
              <w:t>DS</w:t>
            </w:r>
          </w:p>
        </w:tc>
        <w:tc>
          <w:tcPr>
            <w:tcW w:w="801" w:type="dxa"/>
            <w:tcBorders>
              <w:top w:val="nil"/>
              <w:left w:val="nil"/>
              <w:bottom w:val="nil"/>
              <w:right w:val="nil"/>
            </w:tcBorders>
          </w:tcPr>
          <w:p w14:paraId="4A962835" w14:textId="77777777" w:rsidR="001D46B9" w:rsidRDefault="001D46B9">
            <w:pPr>
              <w:jc w:val="center"/>
              <w:rPr>
                <w:sz w:val="22"/>
                <w:szCs w:val="22"/>
              </w:rPr>
            </w:pPr>
          </w:p>
        </w:tc>
        <w:tc>
          <w:tcPr>
            <w:tcW w:w="1361" w:type="dxa"/>
            <w:gridSpan w:val="2"/>
            <w:tcBorders>
              <w:top w:val="nil"/>
              <w:left w:val="nil"/>
              <w:bottom w:val="nil"/>
              <w:right w:val="nil"/>
            </w:tcBorders>
          </w:tcPr>
          <w:p w14:paraId="7D915D34" w14:textId="77777777" w:rsidR="001D46B9" w:rsidRDefault="001D46B9">
            <w:pPr>
              <w:jc w:val="center"/>
              <w:rPr>
                <w:sz w:val="22"/>
                <w:szCs w:val="22"/>
              </w:rPr>
            </w:pPr>
          </w:p>
        </w:tc>
        <w:tc>
          <w:tcPr>
            <w:tcW w:w="1338" w:type="dxa"/>
            <w:tcBorders>
              <w:top w:val="nil"/>
              <w:left w:val="nil"/>
              <w:bottom w:val="nil"/>
              <w:right w:val="nil"/>
            </w:tcBorders>
          </w:tcPr>
          <w:p w14:paraId="4CB19FEE" w14:textId="77777777" w:rsidR="001D46B9" w:rsidRDefault="001D46B9">
            <w:pPr>
              <w:jc w:val="center"/>
              <w:rPr>
                <w:color w:val="000000"/>
              </w:rPr>
            </w:pPr>
          </w:p>
        </w:tc>
        <w:tc>
          <w:tcPr>
            <w:tcW w:w="1351" w:type="dxa"/>
            <w:gridSpan w:val="2"/>
            <w:tcBorders>
              <w:top w:val="nil"/>
              <w:left w:val="nil"/>
              <w:bottom w:val="nil"/>
              <w:right w:val="nil"/>
            </w:tcBorders>
          </w:tcPr>
          <w:p w14:paraId="55515A08" w14:textId="77777777" w:rsidR="001D46B9" w:rsidRDefault="001D46B9">
            <w:pPr>
              <w:jc w:val="center"/>
              <w:rPr>
                <w:sz w:val="22"/>
                <w:szCs w:val="22"/>
              </w:rPr>
            </w:pPr>
          </w:p>
        </w:tc>
        <w:tc>
          <w:tcPr>
            <w:tcW w:w="1361" w:type="dxa"/>
            <w:tcBorders>
              <w:top w:val="nil"/>
              <w:left w:val="nil"/>
              <w:bottom w:val="nil"/>
              <w:right w:val="nil"/>
            </w:tcBorders>
          </w:tcPr>
          <w:p w14:paraId="2CF7C651" w14:textId="77777777" w:rsidR="001D46B9" w:rsidRDefault="001D46B9">
            <w:pPr>
              <w:jc w:val="center"/>
              <w:rPr>
                <w:sz w:val="22"/>
                <w:szCs w:val="22"/>
              </w:rPr>
            </w:pPr>
          </w:p>
        </w:tc>
        <w:tc>
          <w:tcPr>
            <w:tcW w:w="1336" w:type="dxa"/>
            <w:gridSpan w:val="2"/>
            <w:tcBorders>
              <w:top w:val="nil"/>
              <w:left w:val="nil"/>
              <w:bottom w:val="nil"/>
              <w:right w:val="nil"/>
            </w:tcBorders>
          </w:tcPr>
          <w:p w14:paraId="387FC9FF" w14:textId="77777777" w:rsidR="001D46B9" w:rsidRDefault="001D46B9">
            <w:pPr>
              <w:jc w:val="center"/>
              <w:rPr>
                <w:sz w:val="22"/>
                <w:szCs w:val="22"/>
              </w:rPr>
            </w:pPr>
          </w:p>
        </w:tc>
      </w:tr>
      <w:tr w:rsidR="001D46B9" w14:paraId="39F9F1CC" w14:textId="77777777">
        <w:trPr>
          <w:trHeight w:val="591"/>
        </w:trPr>
        <w:tc>
          <w:tcPr>
            <w:tcW w:w="2845" w:type="dxa"/>
            <w:gridSpan w:val="2"/>
            <w:tcBorders>
              <w:top w:val="nil"/>
              <w:left w:val="nil"/>
              <w:bottom w:val="nil"/>
              <w:right w:val="nil"/>
            </w:tcBorders>
          </w:tcPr>
          <w:p w14:paraId="3C91D1D0" w14:textId="77777777" w:rsidR="001D46B9" w:rsidRDefault="008D669C">
            <w:pPr>
              <w:ind w:left="720"/>
              <w:rPr>
                <w:sz w:val="22"/>
                <w:szCs w:val="22"/>
              </w:rPr>
            </w:pPr>
            <w:r>
              <w:rPr>
                <w:sz w:val="22"/>
                <w:szCs w:val="22"/>
              </w:rPr>
              <w:t>Minimal Depression</w:t>
            </w:r>
          </w:p>
        </w:tc>
        <w:tc>
          <w:tcPr>
            <w:tcW w:w="801" w:type="dxa"/>
            <w:tcBorders>
              <w:top w:val="nil"/>
              <w:left w:val="nil"/>
              <w:bottom w:val="nil"/>
              <w:right w:val="nil"/>
            </w:tcBorders>
          </w:tcPr>
          <w:p w14:paraId="412AD9E6" w14:textId="77777777" w:rsidR="001D46B9" w:rsidRDefault="008D669C">
            <w:pPr>
              <w:jc w:val="center"/>
              <w:rPr>
                <w:sz w:val="22"/>
                <w:szCs w:val="22"/>
              </w:rPr>
            </w:pPr>
            <w:r>
              <w:rPr>
                <w:sz w:val="22"/>
                <w:szCs w:val="22"/>
              </w:rPr>
              <w:t>13</w:t>
            </w:r>
          </w:p>
        </w:tc>
        <w:tc>
          <w:tcPr>
            <w:tcW w:w="1361" w:type="dxa"/>
            <w:gridSpan w:val="2"/>
            <w:tcBorders>
              <w:top w:val="nil"/>
              <w:left w:val="nil"/>
              <w:bottom w:val="nil"/>
              <w:right w:val="nil"/>
            </w:tcBorders>
          </w:tcPr>
          <w:p w14:paraId="23F63562" w14:textId="77777777" w:rsidR="001D46B9" w:rsidRDefault="008D669C">
            <w:pPr>
              <w:jc w:val="center"/>
              <w:rPr>
                <w:sz w:val="22"/>
                <w:szCs w:val="22"/>
              </w:rPr>
            </w:pPr>
            <w:r>
              <w:rPr>
                <w:sz w:val="22"/>
                <w:szCs w:val="22"/>
              </w:rPr>
              <w:t>18.6</w:t>
            </w:r>
          </w:p>
        </w:tc>
        <w:tc>
          <w:tcPr>
            <w:tcW w:w="1338" w:type="dxa"/>
            <w:tcBorders>
              <w:top w:val="nil"/>
              <w:left w:val="nil"/>
              <w:bottom w:val="nil"/>
              <w:right w:val="nil"/>
            </w:tcBorders>
          </w:tcPr>
          <w:p w14:paraId="376AA880" w14:textId="77777777" w:rsidR="001D46B9" w:rsidRDefault="008D669C">
            <w:pPr>
              <w:jc w:val="center"/>
              <w:rPr>
                <w:color w:val="000000"/>
              </w:rPr>
            </w:pPr>
            <w:r>
              <w:rPr>
                <w:color w:val="000000"/>
              </w:rPr>
              <w:t>13</w:t>
            </w:r>
          </w:p>
        </w:tc>
        <w:tc>
          <w:tcPr>
            <w:tcW w:w="1351" w:type="dxa"/>
            <w:gridSpan w:val="2"/>
            <w:tcBorders>
              <w:top w:val="nil"/>
              <w:left w:val="nil"/>
              <w:bottom w:val="nil"/>
              <w:right w:val="nil"/>
            </w:tcBorders>
          </w:tcPr>
          <w:p w14:paraId="11CEFD4F" w14:textId="77777777" w:rsidR="001D46B9" w:rsidRDefault="008D669C">
            <w:pPr>
              <w:jc w:val="center"/>
              <w:rPr>
                <w:sz w:val="22"/>
                <w:szCs w:val="22"/>
              </w:rPr>
            </w:pPr>
            <w:r>
              <w:rPr>
                <w:sz w:val="22"/>
                <w:szCs w:val="22"/>
              </w:rPr>
              <w:t>18.6</w:t>
            </w:r>
          </w:p>
        </w:tc>
        <w:tc>
          <w:tcPr>
            <w:tcW w:w="1361" w:type="dxa"/>
            <w:tcBorders>
              <w:top w:val="nil"/>
              <w:left w:val="nil"/>
              <w:bottom w:val="nil"/>
              <w:right w:val="nil"/>
            </w:tcBorders>
          </w:tcPr>
          <w:p w14:paraId="4CD88C20" w14:textId="77777777" w:rsidR="001D46B9" w:rsidRDefault="008D669C">
            <w:pPr>
              <w:jc w:val="center"/>
              <w:rPr>
                <w:sz w:val="22"/>
                <w:szCs w:val="22"/>
              </w:rPr>
            </w:pPr>
            <w:r>
              <w:rPr>
                <w:sz w:val="22"/>
                <w:szCs w:val="22"/>
              </w:rPr>
              <w:t>26</w:t>
            </w:r>
          </w:p>
        </w:tc>
        <w:tc>
          <w:tcPr>
            <w:tcW w:w="1336" w:type="dxa"/>
            <w:gridSpan w:val="2"/>
            <w:tcBorders>
              <w:top w:val="nil"/>
              <w:left w:val="nil"/>
              <w:bottom w:val="nil"/>
              <w:right w:val="nil"/>
            </w:tcBorders>
          </w:tcPr>
          <w:p w14:paraId="2A848BF5" w14:textId="77777777" w:rsidR="001D46B9" w:rsidRDefault="008D669C">
            <w:pPr>
              <w:jc w:val="center"/>
              <w:rPr>
                <w:sz w:val="22"/>
                <w:szCs w:val="22"/>
              </w:rPr>
            </w:pPr>
            <w:r>
              <w:rPr>
                <w:sz w:val="22"/>
                <w:szCs w:val="22"/>
              </w:rPr>
              <w:t>18.6</w:t>
            </w:r>
          </w:p>
        </w:tc>
      </w:tr>
      <w:tr w:rsidR="001D46B9" w14:paraId="62410656" w14:textId="77777777">
        <w:trPr>
          <w:trHeight w:val="591"/>
        </w:trPr>
        <w:tc>
          <w:tcPr>
            <w:tcW w:w="2845" w:type="dxa"/>
            <w:gridSpan w:val="2"/>
            <w:tcBorders>
              <w:top w:val="nil"/>
              <w:left w:val="nil"/>
              <w:bottom w:val="nil"/>
              <w:right w:val="nil"/>
            </w:tcBorders>
          </w:tcPr>
          <w:p w14:paraId="44BDF700" w14:textId="77777777" w:rsidR="001D46B9" w:rsidRDefault="008D669C">
            <w:pPr>
              <w:ind w:left="720"/>
              <w:rPr>
                <w:sz w:val="22"/>
                <w:szCs w:val="22"/>
              </w:rPr>
            </w:pPr>
            <w:r>
              <w:rPr>
                <w:sz w:val="22"/>
                <w:szCs w:val="22"/>
              </w:rPr>
              <w:t>Mild Depression</w:t>
            </w:r>
          </w:p>
        </w:tc>
        <w:tc>
          <w:tcPr>
            <w:tcW w:w="801" w:type="dxa"/>
            <w:tcBorders>
              <w:top w:val="nil"/>
              <w:left w:val="nil"/>
              <w:bottom w:val="nil"/>
              <w:right w:val="nil"/>
            </w:tcBorders>
          </w:tcPr>
          <w:p w14:paraId="46B99750" w14:textId="77777777" w:rsidR="001D46B9" w:rsidRDefault="008D669C">
            <w:pPr>
              <w:jc w:val="center"/>
              <w:rPr>
                <w:sz w:val="22"/>
                <w:szCs w:val="22"/>
              </w:rPr>
            </w:pPr>
            <w:r>
              <w:rPr>
                <w:sz w:val="22"/>
                <w:szCs w:val="22"/>
              </w:rPr>
              <w:t>27</w:t>
            </w:r>
          </w:p>
        </w:tc>
        <w:tc>
          <w:tcPr>
            <w:tcW w:w="1361" w:type="dxa"/>
            <w:gridSpan w:val="2"/>
            <w:tcBorders>
              <w:top w:val="nil"/>
              <w:left w:val="nil"/>
              <w:bottom w:val="nil"/>
              <w:right w:val="nil"/>
            </w:tcBorders>
          </w:tcPr>
          <w:p w14:paraId="58EEA982" w14:textId="77777777" w:rsidR="001D46B9" w:rsidRDefault="008D669C">
            <w:pPr>
              <w:jc w:val="center"/>
              <w:rPr>
                <w:sz w:val="22"/>
                <w:szCs w:val="22"/>
              </w:rPr>
            </w:pPr>
            <w:r>
              <w:rPr>
                <w:sz w:val="22"/>
                <w:szCs w:val="22"/>
              </w:rPr>
              <w:t>38.6</w:t>
            </w:r>
          </w:p>
        </w:tc>
        <w:tc>
          <w:tcPr>
            <w:tcW w:w="1338" w:type="dxa"/>
            <w:tcBorders>
              <w:top w:val="nil"/>
              <w:left w:val="nil"/>
              <w:bottom w:val="nil"/>
              <w:right w:val="nil"/>
            </w:tcBorders>
          </w:tcPr>
          <w:p w14:paraId="56E9CB13" w14:textId="77777777" w:rsidR="001D46B9" w:rsidRDefault="008D669C">
            <w:pPr>
              <w:jc w:val="center"/>
              <w:rPr>
                <w:color w:val="000000"/>
              </w:rPr>
            </w:pPr>
            <w:r>
              <w:rPr>
                <w:color w:val="000000"/>
              </w:rPr>
              <w:t>22</w:t>
            </w:r>
          </w:p>
        </w:tc>
        <w:tc>
          <w:tcPr>
            <w:tcW w:w="1351" w:type="dxa"/>
            <w:gridSpan w:val="2"/>
            <w:tcBorders>
              <w:top w:val="nil"/>
              <w:left w:val="nil"/>
              <w:bottom w:val="nil"/>
              <w:right w:val="nil"/>
            </w:tcBorders>
          </w:tcPr>
          <w:p w14:paraId="6220727D" w14:textId="77777777" w:rsidR="001D46B9" w:rsidRDefault="008D669C">
            <w:pPr>
              <w:jc w:val="center"/>
              <w:rPr>
                <w:sz w:val="22"/>
                <w:szCs w:val="22"/>
              </w:rPr>
            </w:pPr>
            <w:r>
              <w:rPr>
                <w:sz w:val="22"/>
                <w:szCs w:val="22"/>
              </w:rPr>
              <w:t>31.4</w:t>
            </w:r>
          </w:p>
        </w:tc>
        <w:tc>
          <w:tcPr>
            <w:tcW w:w="1361" w:type="dxa"/>
            <w:tcBorders>
              <w:top w:val="nil"/>
              <w:left w:val="nil"/>
              <w:bottom w:val="nil"/>
              <w:right w:val="nil"/>
            </w:tcBorders>
          </w:tcPr>
          <w:p w14:paraId="11D51668" w14:textId="77777777" w:rsidR="001D46B9" w:rsidRDefault="008D669C">
            <w:pPr>
              <w:jc w:val="center"/>
              <w:rPr>
                <w:sz w:val="22"/>
                <w:szCs w:val="22"/>
              </w:rPr>
            </w:pPr>
            <w:r>
              <w:rPr>
                <w:sz w:val="22"/>
                <w:szCs w:val="22"/>
              </w:rPr>
              <w:t>49</w:t>
            </w:r>
          </w:p>
        </w:tc>
        <w:tc>
          <w:tcPr>
            <w:tcW w:w="1336" w:type="dxa"/>
            <w:gridSpan w:val="2"/>
            <w:tcBorders>
              <w:top w:val="nil"/>
              <w:left w:val="nil"/>
              <w:bottom w:val="nil"/>
              <w:right w:val="nil"/>
            </w:tcBorders>
          </w:tcPr>
          <w:p w14:paraId="36C943F6" w14:textId="77777777" w:rsidR="001D46B9" w:rsidRDefault="008D669C">
            <w:pPr>
              <w:jc w:val="center"/>
              <w:rPr>
                <w:sz w:val="22"/>
                <w:szCs w:val="22"/>
              </w:rPr>
            </w:pPr>
            <w:r>
              <w:rPr>
                <w:sz w:val="22"/>
                <w:szCs w:val="22"/>
              </w:rPr>
              <w:t>35</w:t>
            </w:r>
          </w:p>
        </w:tc>
      </w:tr>
      <w:tr w:rsidR="001D46B9" w14:paraId="00DCCB65" w14:textId="77777777">
        <w:trPr>
          <w:trHeight w:val="591"/>
        </w:trPr>
        <w:tc>
          <w:tcPr>
            <w:tcW w:w="2845" w:type="dxa"/>
            <w:gridSpan w:val="2"/>
            <w:tcBorders>
              <w:top w:val="nil"/>
              <w:left w:val="nil"/>
              <w:bottom w:val="nil"/>
              <w:right w:val="nil"/>
            </w:tcBorders>
          </w:tcPr>
          <w:p w14:paraId="739D0681" w14:textId="77777777" w:rsidR="001D46B9" w:rsidRDefault="008D669C">
            <w:pPr>
              <w:ind w:left="720"/>
              <w:rPr>
                <w:sz w:val="22"/>
                <w:szCs w:val="22"/>
              </w:rPr>
            </w:pPr>
            <w:r>
              <w:rPr>
                <w:sz w:val="22"/>
                <w:szCs w:val="22"/>
              </w:rPr>
              <w:t>Moderate Depression</w:t>
            </w:r>
          </w:p>
        </w:tc>
        <w:tc>
          <w:tcPr>
            <w:tcW w:w="801" w:type="dxa"/>
            <w:tcBorders>
              <w:top w:val="nil"/>
              <w:left w:val="nil"/>
              <w:bottom w:val="nil"/>
              <w:right w:val="nil"/>
            </w:tcBorders>
          </w:tcPr>
          <w:p w14:paraId="6A0F66F7" w14:textId="77777777" w:rsidR="001D46B9" w:rsidRDefault="008D669C">
            <w:pPr>
              <w:jc w:val="center"/>
              <w:rPr>
                <w:sz w:val="22"/>
                <w:szCs w:val="22"/>
              </w:rPr>
            </w:pPr>
            <w:r>
              <w:rPr>
                <w:sz w:val="22"/>
                <w:szCs w:val="22"/>
              </w:rPr>
              <w:t>20</w:t>
            </w:r>
          </w:p>
        </w:tc>
        <w:tc>
          <w:tcPr>
            <w:tcW w:w="1361" w:type="dxa"/>
            <w:gridSpan w:val="2"/>
            <w:tcBorders>
              <w:top w:val="nil"/>
              <w:left w:val="nil"/>
              <w:bottom w:val="nil"/>
              <w:right w:val="nil"/>
            </w:tcBorders>
          </w:tcPr>
          <w:p w14:paraId="6BEE0558" w14:textId="77777777" w:rsidR="001D46B9" w:rsidRDefault="008D669C">
            <w:pPr>
              <w:jc w:val="center"/>
              <w:rPr>
                <w:sz w:val="22"/>
                <w:szCs w:val="22"/>
              </w:rPr>
            </w:pPr>
            <w:r>
              <w:rPr>
                <w:sz w:val="22"/>
                <w:szCs w:val="22"/>
              </w:rPr>
              <w:t>28.6</w:t>
            </w:r>
          </w:p>
        </w:tc>
        <w:tc>
          <w:tcPr>
            <w:tcW w:w="1338" w:type="dxa"/>
            <w:tcBorders>
              <w:top w:val="nil"/>
              <w:left w:val="nil"/>
              <w:bottom w:val="nil"/>
              <w:right w:val="nil"/>
            </w:tcBorders>
          </w:tcPr>
          <w:p w14:paraId="254FE53A" w14:textId="77777777" w:rsidR="001D46B9" w:rsidRDefault="008D669C">
            <w:pPr>
              <w:jc w:val="center"/>
              <w:rPr>
                <w:color w:val="000000"/>
              </w:rPr>
            </w:pPr>
            <w:r>
              <w:rPr>
                <w:color w:val="000000"/>
              </w:rPr>
              <w:t>13</w:t>
            </w:r>
          </w:p>
        </w:tc>
        <w:tc>
          <w:tcPr>
            <w:tcW w:w="1351" w:type="dxa"/>
            <w:gridSpan w:val="2"/>
            <w:tcBorders>
              <w:top w:val="nil"/>
              <w:left w:val="nil"/>
              <w:bottom w:val="nil"/>
              <w:right w:val="nil"/>
            </w:tcBorders>
          </w:tcPr>
          <w:p w14:paraId="0519970C" w14:textId="77777777" w:rsidR="001D46B9" w:rsidRDefault="008D669C">
            <w:pPr>
              <w:jc w:val="center"/>
              <w:rPr>
                <w:sz w:val="22"/>
                <w:szCs w:val="22"/>
              </w:rPr>
            </w:pPr>
            <w:r>
              <w:rPr>
                <w:sz w:val="22"/>
                <w:szCs w:val="22"/>
              </w:rPr>
              <w:t>18.6</w:t>
            </w:r>
          </w:p>
        </w:tc>
        <w:tc>
          <w:tcPr>
            <w:tcW w:w="1361" w:type="dxa"/>
            <w:tcBorders>
              <w:top w:val="nil"/>
              <w:left w:val="nil"/>
              <w:bottom w:val="nil"/>
              <w:right w:val="nil"/>
            </w:tcBorders>
          </w:tcPr>
          <w:p w14:paraId="41C46AF2" w14:textId="77777777" w:rsidR="001D46B9" w:rsidRDefault="008D669C">
            <w:pPr>
              <w:jc w:val="center"/>
              <w:rPr>
                <w:sz w:val="22"/>
                <w:szCs w:val="22"/>
              </w:rPr>
            </w:pPr>
            <w:r>
              <w:rPr>
                <w:sz w:val="22"/>
                <w:szCs w:val="22"/>
              </w:rPr>
              <w:t>33</w:t>
            </w:r>
          </w:p>
        </w:tc>
        <w:tc>
          <w:tcPr>
            <w:tcW w:w="1336" w:type="dxa"/>
            <w:gridSpan w:val="2"/>
            <w:tcBorders>
              <w:top w:val="nil"/>
              <w:left w:val="nil"/>
              <w:bottom w:val="nil"/>
              <w:right w:val="nil"/>
            </w:tcBorders>
          </w:tcPr>
          <w:p w14:paraId="2747999C" w14:textId="77777777" w:rsidR="001D46B9" w:rsidRDefault="008D669C">
            <w:pPr>
              <w:jc w:val="center"/>
              <w:rPr>
                <w:sz w:val="22"/>
                <w:szCs w:val="22"/>
              </w:rPr>
            </w:pPr>
            <w:r>
              <w:rPr>
                <w:sz w:val="22"/>
                <w:szCs w:val="22"/>
              </w:rPr>
              <w:t>23.6</w:t>
            </w:r>
          </w:p>
        </w:tc>
      </w:tr>
      <w:tr w:rsidR="001D46B9" w14:paraId="7A36F8C0" w14:textId="77777777">
        <w:trPr>
          <w:trHeight w:val="591"/>
        </w:trPr>
        <w:tc>
          <w:tcPr>
            <w:tcW w:w="2845" w:type="dxa"/>
            <w:gridSpan w:val="2"/>
            <w:tcBorders>
              <w:top w:val="nil"/>
              <w:left w:val="nil"/>
              <w:bottom w:val="nil"/>
              <w:right w:val="nil"/>
            </w:tcBorders>
          </w:tcPr>
          <w:p w14:paraId="31738D60" w14:textId="77777777" w:rsidR="001D46B9" w:rsidRDefault="008D669C">
            <w:pPr>
              <w:ind w:left="720"/>
              <w:rPr>
                <w:sz w:val="22"/>
                <w:szCs w:val="22"/>
              </w:rPr>
            </w:pPr>
            <w:r>
              <w:rPr>
                <w:sz w:val="22"/>
                <w:szCs w:val="22"/>
              </w:rPr>
              <w:t>Moderately Severe Depression</w:t>
            </w:r>
          </w:p>
        </w:tc>
        <w:tc>
          <w:tcPr>
            <w:tcW w:w="801" w:type="dxa"/>
            <w:tcBorders>
              <w:top w:val="nil"/>
              <w:left w:val="nil"/>
              <w:bottom w:val="nil"/>
              <w:right w:val="nil"/>
            </w:tcBorders>
          </w:tcPr>
          <w:p w14:paraId="390371BF" w14:textId="77777777" w:rsidR="001D46B9" w:rsidRDefault="008D669C">
            <w:pPr>
              <w:jc w:val="center"/>
              <w:rPr>
                <w:sz w:val="22"/>
                <w:szCs w:val="22"/>
              </w:rPr>
            </w:pPr>
            <w:r>
              <w:rPr>
                <w:sz w:val="22"/>
                <w:szCs w:val="22"/>
              </w:rPr>
              <w:t>5</w:t>
            </w:r>
          </w:p>
        </w:tc>
        <w:tc>
          <w:tcPr>
            <w:tcW w:w="1361" w:type="dxa"/>
            <w:gridSpan w:val="2"/>
            <w:tcBorders>
              <w:top w:val="nil"/>
              <w:left w:val="nil"/>
              <w:bottom w:val="nil"/>
              <w:right w:val="nil"/>
            </w:tcBorders>
          </w:tcPr>
          <w:p w14:paraId="542F7182" w14:textId="77777777" w:rsidR="001D46B9" w:rsidRDefault="008D669C">
            <w:pPr>
              <w:jc w:val="center"/>
              <w:rPr>
                <w:sz w:val="22"/>
                <w:szCs w:val="22"/>
              </w:rPr>
            </w:pPr>
            <w:r>
              <w:rPr>
                <w:sz w:val="22"/>
                <w:szCs w:val="22"/>
              </w:rPr>
              <w:t>7.1</w:t>
            </w:r>
          </w:p>
        </w:tc>
        <w:tc>
          <w:tcPr>
            <w:tcW w:w="1338" w:type="dxa"/>
            <w:tcBorders>
              <w:top w:val="nil"/>
              <w:left w:val="nil"/>
              <w:bottom w:val="nil"/>
              <w:right w:val="nil"/>
            </w:tcBorders>
          </w:tcPr>
          <w:p w14:paraId="3B22648A" w14:textId="77777777" w:rsidR="001D46B9" w:rsidRDefault="008D669C">
            <w:pPr>
              <w:jc w:val="center"/>
              <w:rPr>
                <w:color w:val="000000"/>
              </w:rPr>
            </w:pPr>
            <w:r>
              <w:rPr>
                <w:color w:val="000000"/>
              </w:rPr>
              <w:t>13</w:t>
            </w:r>
          </w:p>
        </w:tc>
        <w:tc>
          <w:tcPr>
            <w:tcW w:w="1351" w:type="dxa"/>
            <w:gridSpan w:val="2"/>
            <w:tcBorders>
              <w:top w:val="nil"/>
              <w:left w:val="nil"/>
              <w:bottom w:val="nil"/>
              <w:right w:val="nil"/>
            </w:tcBorders>
          </w:tcPr>
          <w:p w14:paraId="3177D395" w14:textId="77777777" w:rsidR="001D46B9" w:rsidRDefault="008D669C">
            <w:pPr>
              <w:jc w:val="center"/>
              <w:rPr>
                <w:sz w:val="22"/>
                <w:szCs w:val="22"/>
              </w:rPr>
            </w:pPr>
            <w:r>
              <w:rPr>
                <w:sz w:val="22"/>
                <w:szCs w:val="22"/>
              </w:rPr>
              <w:t>18.6</w:t>
            </w:r>
          </w:p>
        </w:tc>
        <w:tc>
          <w:tcPr>
            <w:tcW w:w="1361" w:type="dxa"/>
            <w:tcBorders>
              <w:top w:val="nil"/>
              <w:left w:val="nil"/>
              <w:bottom w:val="nil"/>
              <w:right w:val="nil"/>
            </w:tcBorders>
          </w:tcPr>
          <w:p w14:paraId="5CFCBF9D" w14:textId="77777777" w:rsidR="001D46B9" w:rsidRDefault="008D669C">
            <w:pPr>
              <w:jc w:val="center"/>
              <w:rPr>
                <w:sz w:val="22"/>
                <w:szCs w:val="22"/>
              </w:rPr>
            </w:pPr>
            <w:r>
              <w:rPr>
                <w:sz w:val="22"/>
                <w:szCs w:val="22"/>
              </w:rPr>
              <w:t>18</w:t>
            </w:r>
          </w:p>
        </w:tc>
        <w:tc>
          <w:tcPr>
            <w:tcW w:w="1336" w:type="dxa"/>
            <w:gridSpan w:val="2"/>
            <w:tcBorders>
              <w:top w:val="nil"/>
              <w:left w:val="nil"/>
              <w:bottom w:val="nil"/>
              <w:right w:val="nil"/>
            </w:tcBorders>
          </w:tcPr>
          <w:p w14:paraId="674FC49F" w14:textId="77777777" w:rsidR="001D46B9" w:rsidRDefault="008D669C">
            <w:pPr>
              <w:jc w:val="center"/>
              <w:rPr>
                <w:sz w:val="22"/>
                <w:szCs w:val="22"/>
              </w:rPr>
            </w:pPr>
            <w:r>
              <w:rPr>
                <w:sz w:val="22"/>
                <w:szCs w:val="22"/>
              </w:rPr>
              <w:t>12.9</w:t>
            </w:r>
          </w:p>
        </w:tc>
      </w:tr>
      <w:tr w:rsidR="001D46B9" w14:paraId="10A8B5F6" w14:textId="77777777">
        <w:trPr>
          <w:trHeight w:val="591"/>
        </w:trPr>
        <w:tc>
          <w:tcPr>
            <w:tcW w:w="2845" w:type="dxa"/>
            <w:gridSpan w:val="2"/>
            <w:tcBorders>
              <w:top w:val="nil"/>
              <w:left w:val="nil"/>
              <w:bottom w:val="single" w:sz="4" w:space="0" w:color="000000"/>
              <w:right w:val="nil"/>
            </w:tcBorders>
          </w:tcPr>
          <w:p w14:paraId="29F1DAA8" w14:textId="77777777" w:rsidR="001D46B9" w:rsidRDefault="008D669C">
            <w:pPr>
              <w:ind w:left="720"/>
              <w:rPr>
                <w:sz w:val="22"/>
                <w:szCs w:val="22"/>
              </w:rPr>
            </w:pPr>
            <w:r>
              <w:rPr>
                <w:sz w:val="22"/>
                <w:szCs w:val="22"/>
              </w:rPr>
              <w:t>Severe Depression</w:t>
            </w:r>
          </w:p>
        </w:tc>
        <w:tc>
          <w:tcPr>
            <w:tcW w:w="801" w:type="dxa"/>
            <w:tcBorders>
              <w:top w:val="nil"/>
              <w:left w:val="nil"/>
              <w:bottom w:val="single" w:sz="4" w:space="0" w:color="000000"/>
              <w:right w:val="nil"/>
            </w:tcBorders>
          </w:tcPr>
          <w:p w14:paraId="3E5E3114" w14:textId="77777777" w:rsidR="001D46B9" w:rsidRDefault="008D669C">
            <w:pPr>
              <w:jc w:val="center"/>
              <w:rPr>
                <w:sz w:val="22"/>
                <w:szCs w:val="22"/>
              </w:rPr>
            </w:pPr>
            <w:r>
              <w:rPr>
                <w:sz w:val="22"/>
                <w:szCs w:val="22"/>
              </w:rPr>
              <w:t>5</w:t>
            </w:r>
          </w:p>
        </w:tc>
        <w:tc>
          <w:tcPr>
            <w:tcW w:w="1361" w:type="dxa"/>
            <w:gridSpan w:val="2"/>
            <w:tcBorders>
              <w:top w:val="nil"/>
              <w:left w:val="nil"/>
              <w:bottom w:val="single" w:sz="4" w:space="0" w:color="000000"/>
              <w:right w:val="nil"/>
            </w:tcBorders>
          </w:tcPr>
          <w:p w14:paraId="3E8DA222" w14:textId="77777777" w:rsidR="001D46B9" w:rsidRDefault="008D669C">
            <w:pPr>
              <w:jc w:val="center"/>
              <w:rPr>
                <w:sz w:val="22"/>
                <w:szCs w:val="22"/>
              </w:rPr>
            </w:pPr>
            <w:r>
              <w:rPr>
                <w:sz w:val="22"/>
                <w:szCs w:val="22"/>
              </w:rPr>
              <w:t>7.1</w:t>
            </w:r>
          </w:p>
        </w:tc>
        <w:tc>
          <w:tcPr>
            <w:tcW w:w="1338" w:type="dxa"/>
            <w:tcBorders>
              <w:top w:val="nil"/>
              <w:left w:val="nil"/>
              <w:bottom w:val="single" w:sz="4" w:space="0" w:color="000000"/>
              <w:right w:val="nil"/>
            </w:tcBorders>
          </w:tcPr>
          <w:p w14:paraId="5A91D255" w14:textId="77777777" w:rsidR="001D46B9" w:rsidRDefault="008D669C">
            <w:pPr>
              <w:jc w:val="center"/>
              <w:rPr>
                <w:color w:val="000000"/>
              </w:rPr>
            </w:pPr>
            <w:r>
              <w:rPr>
                <w:color w:val="000000"/>
              </w:rPr>
              <w:t>9</w:t>
            </w:r>
          </w:p>
        </w:tc>
        <w:tc>
          <w:tcPr>
            <w:tcW w:w="1351" w:type="dxa"/>
            <w:gridSpan w:val="2"/>
            <w:tcBorders>
              <w:top w:val="nil"/>
              <w:left w:val="nil"/>
              <w:bottom w:val="single" w:sz="4" w:space="0" w:color="000000"/>
              <w:right w:val="nil"/>
            </w:tcBorders>
          </w:tcPr>
          <w:p w14:paraId="273EFADF" w14:textId="77777777" w:rsidR="001D46B9" w:rsidRDefault="008D669C">
            <w:pPr>
              <w:jc w:val="center"/>
              <w:rPr>
                <w:sz w:val="22"/>
                <w:szCs w:val="22"/>
              </w:rPr>
            </w:pPr>
            <w:r>
              <w:rPr>
                <w:sz w:val="22"/>
                <w:szCs w:val="22"/>
              </w:rPr>
              <w:t>12.9</w:t>
            </w:r>
          </w:p>
        </w:tc>
        <w:tc>
          <w:tcPr>
            <w:tcW w:w="1361" w:type="dxa"/>
            <w:tcBorders>
              <w:top w:val="nil"/>
              <w:left w:val="nil"/>
              <w:bottom w:val="single" w:sz="4" w:space="0" w:color="000000"/>
              <w:right w:val="nil"/>
            </w:tcBorders>
          </w:tcPr>
          <w:p w14:paraId="362AF762" w14:textId="77777777" w:rsidR="001D46B9" w:rsidRDefault="008D669C">
            <w:pPr>
              <w:jc w:val="center"/>
              <w:rPr>
                <w:sz w:val="22"/>
                <w:szCs w:val="22"/>
              </w:rPr>
            </w:pPr>
            <w:r>
              <w:rPr>
                <w:sz w:val="22"/>
                <w:szCs w:val="22"/>
              </w:rPr>
              <w:t>14</w:t>
            </w:r>
          </w:p>
        </w:tc>
        <w:tc>
          <w:tcPr>
            <w:tcW w:w="1336" w:type="dxa"/>
            <w:gridSpan w:val="2"/>
            <w:tcBorders>
              <w:top w:val="nil"/>
              <w:left w:val="nil"/>
              <w:bottom w:val="single" w:sz="4" w:space="0" w:color="000000"/>
              <w:right w:val="nil"/>
            </w:tcBorders>
          </w:tcPr>
          <w:p w14:paraId="29613130" w14:textId="77777777" w:rsidR="001D46B9" w:rsidRDefault="008D669C">
            <w:pPr>
              <w:jc w:val="center"/>
              <w:rPr>
                <w:sz w:val="22"/>
                <w:szCs w:val="22"/>
              </w:rPr>
            </w:pPr>
            <w:r>
              <w:rPr>
                <w:sz w:val="22"/>
                <w:szCs w:val="22"/>
              </w:rPr>
              <w:t>10</w:t>
            </w:r>
          </w:p>
        </w:tc>
      </w:tr>
    </w:tbl>
    <w:p w14:paraId="335968B2" w14:textId="77777777" w:rsidR="001D46B9" w:rsidRDefault="001D46B9">
      <w:pPr>
        <w:rPr>
          <w:b/>
          <w:sz w:val="22"/>
          <w:szCs w:val="22"/>
        </w:rPr>
      </w:pPr>
    </w:p>
    <w:p w14:paraId="081255B3" w14:textId="77777777" w:rsidR="001D46B9" w:rsidRDefault="001D46B9">
      <w:pPr>
        <w:rPr>
          <w:b/>
          <w:sz w:val="22"/>
          <w:szCs w:val="22"/>
        </w:rPr>
      </w:pPr>
    </w:p>
    <w:p w14:paraId="426E701F" w14:textId="77777777" w:rsidR="001D46B9" w:rsidRDefault="008D669C">
      <w:pPr>
        <w:rPr>
          <w:b/>
          <w:sz w:val="22"/>
          <w:szCs w:val="22"/>
        </w:rPr>
      </w:pPr>
      <w:r>
        <w:rPr>
          <w:b/>
          <w:sz w:val="22"/>
          <w:szCs w:val="22"/>
        </w:rPr>
        <w:t>Table 5</w:t>
      </w:r>
    </w:p>
    <w:p w14:paraId="21D022AA" w14:textId="77777777" w:rsidR="001D46B9" w:rsidRDefault="001D46B9">
      <w:pPr>
        <w:rPr>
          <w:b/>
          <w:sz w:val="22"/>
          <w:szCs w:val="22"/>
        </w:rPr>
      </w:pPr>
    </w:p>
    <w:p w14:paraId="48CE9F96" w14:textId="77777777" w:rsidR="001D46B9" w:rsidRDefault="008D669C">
      <w:pPr>
        <w:rPr>
          <w:i/>
          <w:sz w:val="22"/>
          <w:szCs w:val="22"/>
        </w:rPr>
      </w:pPr>
      <w:r>
        <w:rPr>
          <w:i/>
          <w:sz w:val="22"/>
          <w:szCs w:val="22"/>
        </w:rPr>
        <w:t>Pearson Correlations between Perceived Social Support and Depressive Symptoms (N=140)</w:t>
      </w:r>
    </w:p>
    <w:p w14:paraId="39CD1070" w14:textId="77777777" w:rsidR="001D46B9" w:rsidRDefault="001D46B9">
      <w:pPr>
        <w:rPr>
          <w:i/>
          <w:sz w:val="22"/>
          <w:szCs w:val="22"/>
        </w:rPr>
      </w:pPr>
    </w:p>
    <w:tbl>
      <w:tblPr>
        <w:tblStyle w:val="a3"/>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3"/>
        <w:gridCol w:w="4292"/>
        <w:gridCol w:w="2332"/>
      </w:tblGrid>
      <w:tr w:rsidR="001D46B9" w14:paraId="6962EF4D" w14:textId="77777777">
        <w:trPr>
          <w:trHeight w:val="616"/>
        </w:trPr>
        <w:tc>
          <w:tcPr>
            <w:tcW w:w="2903" w:type="dxa"/>
            <w:tcBorders>
              <w:left w:val="nil"/>
              <w:bottom w:val="single" w:sz="4" w:space="0" w:color="000000"/>
              <w:right w:val="nil"/>
            </w:tcBorders>
          </w:tcPr>
          <w:p w14:paraId="0AFC7574" w14:textId="77777777" w:rsidR="001D46B9" w:rsidRDefault="001D46B9">
            <w:pPr>
              <w:rPr>
                <w:sz w:val="22"/>
                <w:szCs w:val="22"/>
              </w:rPr>
            </w:pPr>
          </w:p>
        </w:tc>
        <w:tc>
          <w:tcPr>
            <w:tcW w:w="4292" w:type="dxa"/>
            <w:tcBorders>
              <w:left w:val="nil"/>
              <w:bottom w:val="single" w:sz="4" w:space="0" w:color="000000"/>
              <w:right w:val="nil"/>
            </w:tcBorders>
          </w:tcPr>
          <w:p w14:paraId="123291AD" w14:textId="77777777" w:rsidR="001D46B9" w:rsidRDefault="008D669C">
            <w:pPr>
              <w:jc w:val="center"/>
              <w:rPr>
                <w:i/>
                <w:sz w:val="22"/>
                <w:szCs w:val="22"/>
              </w:rPr>
            </w:pPr>
            <w:r>
              <w:rPr>
                <w:sz w:val="22"/>
                <w:szCs w:val="22"/>
              </w:rPr>
              <w:t>PSS</w:t>
            </w:r>
          </w:p>
        </w:tc>
        <w:tc>
          <w:tcPr>
            <w:tcW w:w="2332" w:type="dxa"/>
            <w:tcBorders>
              <w:left w:val="nil"/>
              <w:bottom w:val="single" w:sz="4" w:space="0" w:color="000000"/>
              <w:right w:val="nil"/>
            </w:tcBorders>
          </w:tcPr>
          <w:p w14:paraId="390B459B" w14:textId="77777777" w:rsidR="001D46B9" w:rsidRDefault="008D669C">
            <w:pPr>
              <w:jc w:val="center"/>
              <w:rPr>
                <w:sz w:val="22"/>
                <w:szCs w:val="22"/>
              </w:rPr>
            </w:pPr>
            <w:r>
              <w:rPr>
                <w:sz w:val="22"/>
                <w:szCs w:val="22"/>
              </w:rPr>
              <w:t>DS</w:t>
            </w:r>
          </w:p>
          <w:p w14:paraId="007A2826" w14:textId="77777777" w:rsidR="001D46B9" w:rsidRDefault="001D46B9">
            <w:pPr>
              <w:jc w:val="center"/>
              <w:rPr>
                <w:sz w:val="22"/>
                <w:szCs w:val="22"/>
              </w:rPr>
            </w:pPr>
          </w:p>
        </w:tc>
      </w:tr>
      <w:tr w:rsidR="001D46B9" w14:paraId="1F9BFEB7" w14:textId="77777777">
        <w:trPr>
          <w:trHeight w:val="527"/>
        </w:trPr>
        <w:tc>
          <w:tcPr>
            <w:tcW w:w="2903" w:type="dxa"/>
            <w:tcBorders>
              <w:left w:val="nil"/>
              <w:bottom w:val="nil"/>
              <w:right w:val="nil"/>
            </w:tcBorders>
          </w:tcPr>
          <w:p w14:paraId="13835157" w14:textId="77777777" w:rsidR="001D46B9" w:rsidRDefault="008D669C">
            <w:pPr>
              <w:rPr>
                <w:sz w:val="22"/>
                <w:szCs w:val="22"/>
              </w:rPr>
            </w:pPr>
            <w:r>
              <w:rPr>
                <w:sz w:val="22"/>
                <w:szCs w:val="22"/>
              </w:rPr>
              <w:t>PSS</w:t>
            </w:r>
          </w:p>
        </w:tc>
        <w:tc>
          <w:tcPr>
            <w:tcW w:w="4292" w:type="dxa"/>
            <w:tcBorders>
              <w:left w:val="nil"/>
              <w:bottom w:val="nil"/>
              <w:right w:val="nil"/>
            </w:tcBorders>
          </w:tcPr>
          <w:p w14:paraId="2FD438EB" w14:textId="77777777" w:rsidR="001D46B9" w:rsidRDefault="008D669C">
            <w:pPr>
              <w:jc w:val="center"/>
              <w:rPr>
                <w:sz w:val="22"/>
                <w:szCs w:val="22"/>
              </w:rPr>
            </w:pPr>
            <w:r>
              <w:rPr>
                <w:sz w:val="22"/>
                <w:szCs w:val="22"/>
              </w:rPr>
              <w:t>1</w:t>
            </w:r>
          </w:p>
        </w:tc>
        <w:tc>
          <w:tcPr>
            <w:tcW w:w="2332" w:type="dxa"/>
            <w:tcBorders>
              <w:left w:val="nil"/>
              <w:bottom w:val="nil"/>
              <w:right w:val="nil"/>
            </w:tcBorders>
          </w:tcPr>
          <w:p w14:paraId="7B985FB1" w14:textId="77777777" w:rsidR="001D46B9" w:rsidRDefault="008D669C">
            <w:pPr>
              <w:jc w:val="center"/>
              <w:rPr>
                <w:sz w:val="22"/>
                <w:szCs w:val="22"/>
              </w:rPr>
            </w:pPr>
            <w:r>
              <w:rPr>
                <w:sz w:val="22"/>
                <w:szCs w:val="22"/>
              </w:rPr>
              <w:t>-.28**</w:t>
            </w:r>
          </w:p>
        </w:tc>
      </w:tr>
      <w:tr w:rsidR="001D46B9" w14:paraId="3B979225" w14:textId="77777777">
        <w:trPr>
          <w:trHeight w:val="729"/>
        </w:trPr>
        <w:tc>
          <w:tcPr>
            <w:tcW w:w="2903" w:type="dxa"/>
            <w:tcBorders>
              <w:top w:val="nil"/>
              <w:left w:val="nil"/>
              <w:bottom w:val="single" w:sz="4" w:space="0" w:color="000000"/>
              <w:right w:val="nil"/>
            </w:tcBorders>
          </w:tcPr>
          <w:p w14:paraId="3E877E3C" w14:textId="77777777" w:rsidR="001D46B9" w:rsidRDefault="008D669C">
            <w:pPr>
              <w:rPr>
                <w:sz w:val="22"/>
                <w:szCs w:val="22"/>
              </w:rPr>
            </w:pPr>
            <w:r>
              <w:rPr>
                <w:sz w:val="22"/>
                <w:szCs w:val="22"/>
              </w:rPr>
              <w:t>DS</w:t>
            </w:r>
          </w:p>
          <w:p w14:paraId="6F028FC6" w14:textId="77777777" w:rsidR="001D46B9" w:rsidRDefault="001D46B9">
            <w:pPr>
              <w:ind w:left="1440"/>
              <w:rPr>
                <w:sz w:val="22"/>
                <w:szCs w:val="22"/>
              </w:rPr>
            </w:pPr>
          </w:p>
        </w:tc>
        <w:tc>
          <w:tcPr>
            <w:tcW w:w="4292" w:type="dxa"/>
            <w:tcBorders>
              <w:top w:val="nil"/>
              <w:left w:val="nil"/>
              <w:bottom w:val="single" w:sz="4" w:space="0" w:color="000000"/>
              <w:right w:val="nil"/>
            </w:tcBorders>
          </w:tcPr>
          <w:p w14:paraId="50527FD0" w14:textId="77777777" w:rsidR="001D46B9" w:rsidRDefault="008D669C">
            <w:pPr>
              <w:jc w:val="center"/>
              <w:rPr>
                <w:sz w:val="22"/>
                <w:szCs w:val="22"/>
              </w:rPr>
            </w:pPr>
            <w:r>
              <w:rPr>
                <w:sz w:val="22"/>
                <w:szCs w:val="22"/>
              </w:rPr>
              <w:t>-.28**</w:t>
            </w:r>
          </w:p>
        </w:tc>
        <w:tc>
          <w:tcPr>
            <w:tcW w:w="2332" w:type="dxa"/>
            <w:tcBorders>
              <w:top w:val="nil"/>
              <w:left w:val="nil"/>
              <w:bottom w:val="single" w:sz="4" w:space="0" w:color="000000"/>
              <w:right w:val="nil"/>
            </w:tcBorders>
          </w:tcPr>
          <w:p w14:paraId="07FE2329" w14:textId="77777777" w:rsidR="001D46B9" w:rsidRDefault="008D669C">
            <w:pPr>
              <w:jc w:val="center"/>
              <w:rPr>
                <w:sz w:val="22"/>
                <w:szCs w:val="22"/>
              </w:rPr>
            </w:pPr>
            <w:r>
              <w:rPr>
                <w:sz w:val="22"/>
                <w:szCs w:val="22"/>
              </w:rPr>
              <w:t>1</w:t>
            </w:r>
          </w:p>
        </w:tc>
      </w:tr>
    </w:tbl>
    <w:p w14:paraId="40CE5C66" w14:textId="77777777" w:rsidR="001D46B9" w:rsidRDefault="008D669C">
      <w:pPr>
        <w:rPr>
          <w:b/>
          <w:sz w:val="22"/>
          <w:szCs w:val="22"/>
        </w:rPr>
      </w:pPr>
      <w:r>
        <w:rPr>
          <w:color w:val="000000"/>
          <w:sz w:val="22"/>
          <w:szCs w:val="22"/>
        </w:rPr>
        <w:t>**. Correlation is significant at 0.01 level (2-tailed)</w:t>
      </w:r>
    </w:p>
    <w:p w14:paraId="47BB8F6B" w14:textId="77777777" w:rsidR="001D46B9" w:rsidRDefault="001D46B9">
      <w:pPr>
        <w:rPr>
          <w:b/>
          <w:sz w:val="22"/>
          <w:szCs w:val="22"/>
        </w:rPr>
      </w:pPr>
    </w:p>
    <w:p w14:paraId="0179D7F6" w14:textId="77777777" w:rsidR="001D46B9" w:rsidRDefault="008D669C">
      <w:pPr>
        <w:rPr>
          <w:b/>
          <w:sz w:val="22"/>
          <w:szCs w:val="22"/>
        </w:rPr>
      </w:pPr>
      <w:r>
        <w:rPr>
          <w:b/>
          <w:sz w:val="22"/>
          <w:szCs w:val="22"/>
        </w:rPr>
        <w:t>Table 6</w:t>
      </w:r>
    </w:p>
    <w:p w14:paraId="3A5EB4E9" w14:textId="77777777" w:rsidR="001D46B9" w:rsidRDefault="001D46B9">
      <w:pPr>
        <w:rPr>
          <w:b/>
          <w:sz w:val="22"/>
          <w:szCs w:val="22"/>
        </w:rPr>
      </w:pPr>
    </w:p>
    <w:p w14:paraId="5E4F1F7E" w14:textId="77777777" w:rsidR="001D46B9" w:rsidRDefault="008D669C">
      <w:pPr>
        <w:rPr>
          <w:i/>
          <w:sz w:val="22"/>
          <w:szCs w:val="22"/>
        </w:rPr>
      </w:pPr>
      <w:r>
        <w:rPr>
          <w:i/>
          <w:sz w:val="22"/>
          <w:szCs w:val="22"/>
        </w:rPr>
        <w:t>t-Test Comparison of the Total MSPSS Score between Male and Female (N=140)</w:t>
      </w:r>
    </w:p>
    <w:p w14:paraId="1C7809B4" w14:textId="77777777" w:rsidR="001D46B9" w:rsidRDefault="001D46B9">
      <w:pPr>
        <w:rPr>
          <w:i/>
          <w:sz w:val="22"/>
          <w:szCs w:val="22"/>
        </w:rPr>
      </w:pPr>
    </w:p>
    <w:tbl>
      <w:tblPr>
        <w:tblStyle w:val="a4"/>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7"/>
        <w:gridCol w:w="2083"/>
        <w:gridCol w:w="1350"/>
        <w:gridCol w:w="2064"/>
        <w:gridCol w:w="816"/>
        <w:gridCol w:w="1712"/>
      </w:tblGrid>
      <w:tr w:rsidR="001D46B9" w14:paraId="31A0373E" w14:textId="77777777">
        <w:trPr>
          <w:trHeight w:val="614"/>
        </w:trPr>
        <w:tc>
          <w:tcPr>
            <w:tcW w:w="1607" w:type="dxa"/>
            <w:tcBorders>
              <w:left w:val="nil"/>
              <w:bottom w:val="single" w:sz="4" w:space="0" w:color="000000"/>
              <w:right w:val="nil"/>
            </w:tcBorders>
          </w:tcPr>
          <w:p w14:paraId="44190B91" w14:textId="77777777" w:rsidR="001D46B9" w:rsidRDefault="001D46B9">
            <w:pPr>
              <w:rPr>
                <w:sz w:val="22"/>
                <w:szCs w:val="22"/>
              </w:rPr>
            </w:pPr>
          </w:p>
        </w:tc>
        <w:tc>
          <w:tcPr>
            <w:tcW w:w="2083" w:type="dxa"/>
            <w:tcBorders>
              <w:left w:val="nil"/>
              <w:bottom w:val="single" w:sz="4" w:space="0" w:color="000000"/>
              <w:right w:val="nil"/>
            </w:tcBorders>
          </w:tcPr>
          <w:p w14:paraId="0FDD96F7" w14:textId="77777777" w:rsidR="001D46B9" w:rsidRDefault="008D669C">
            <w:pPr>
              <w:jc w:val="center"/>
              <w:rPr>
                <w:i/>
                <w:sz w:val="22"/>
                <w:szCs w:val="22"/>
              </w:rPr>
            </w:pPr>
            <w:r>
              <w:rPr>
                <w:i/>
                <w:sz w:val="22"/>
                <w:szCs w:val="22"/>
              </w:rPr>
              <w:t>n</w:t>
            </w:r>
          </w:p>
        </w:tc>
        <w:tc>
          <w:tcPr>
            <w:tcW w:w="1350" w:type="dxa"/>
            <w:tcBorders>
              <w:left w:val="nil"/>
              <w:bottom w:val="single" w:sz="4" w:space="0" w:color="000000"/>
              <w:right w:val="nil"/>
            </w:tcBorders>
          </w:tcPr>
          <w:p w14:paraId="42F53AAD" w14:textId="77777777" w:rsidR="001D46B9" w:rsidRDefault="008D669C">
            <w:pPr>
              <w:jc w:val="center"/>
              <w:rPr>
                <w:sz w:val="22"/>
                <w:szCs w:val="22"/>
              </w:rPr>
            </w:pPr>
            <w:r>
              <w:rPr>
                <w:sz w:val="22"/>
                <w:szCs w:val="22"/>
              </w:rPr>
              <w:t>M</w:t>
            </w:r>
          </w:p>
          <w:p w14:paraId="54D8DA7C" w14:textId="77777777" w:rsidR="001D46B9" w:rsidRDefault="001D46B9">
            <w:pPr>
              <w:jc w:val="center"/>
              <w:rPr>
                <w:sz w:val="22"/>
                <w:szCs w:val="22"/>
              </w:rPr>
            </w:pPr>
          </w:p>
        </w:tc>
        <w:tc>
          <w:tcPr>
            <w:tcW w:w="2064" w:type="dxa"/>
            <w:tcBorders>
              <w:left w:val="nil"/>
              <w:bottom w:val="single" w:sz="4" w:space="0" w:color="000000"/>
              <w:right w:val="nil"/>
            </w:tcBorders>
          </w:tcPr>
          <w:p w14:paraId="1E42A682" w14:textId="77777777" w:rsidR="001D46B9" w:rsidRDefault="008D669C">
            <w:pPr>
              <w:jc w:val="center"/>
              <w:rPr>
                <w:sz w:val="22"/>
                <w:szCs w:val="22"/>
              </w:rPr>
            </w:pPr>
            <w:r>
              <w:rPr>
                <w:sz w:val="22"/>
                <w:szCs w:val="22"/>
              </w:rPr>
              <w:t>SD</w:t>
            </w:r>
          </w:p>
        </w:tc>
        <w:tc>
          <w:tcPr>
            <w:tcW w:w="816" w:type="dxa"/>
            <w:tcBorders>
              <w:left w:val="nil"/>
              <w:bottom w:val="single" w:sz="4" w:space="0" w:color="000000"/>
              <w:right w:val="nil"/>
            </w:tcBorders>
          </w:tcPr>
          <w:p w14:paraId="7DFA8C6F" w14:textId="77777777" w:rsidR="001D46B9" w:rsidRDefault="008D669C">
            <w:pPr>
              <w:jc w:val="center"/>
              <w:rPr>
                <w:sz w:val="22"/>
                <w:szCs w:val="22"/>
              </w:rPr>
            </w:pPr>
            <w:r>
              <w:rPr>
                <w:sz w:val="22"/>
                <w:szCs w:val="22"/>
              </w:rPr>
              <w:t>t</w:t>
            </w:r>
          </w:p>
        </w:tc>
        <w:tc>
          <w:tcPr>
            <w:tcW w:w="1712" w:type="dxa"/>
            <w:tcBorders>
              <w:left w:val="nil"/>
              <w:bottom w:val="single" w:sz="4" w:space="0" w:color="000000"/>
              <w:right w:val="nil"/>
            </w:tcBorders>
          </w:tcPr>
          <w:p w14:paraId="0FEA7BE8" w14:textId="77777777" w:rsidR="001D46B9" w:rsidRDefault="008D669C">
            <w:pPr>
              <w:jc w:val="center"/>
              <w:rPr>
                <w:sz w:val="22"/>
                <w:szCs w:val="22"/>
              </w:rPr>
            </w:pPr>
            <w:r>
              <w:rPr>
                <w:sz w:val="22"/>
                <w:szCs w:val="22"/>
              </w:rPr>
              <w:t>p</w:t>
            </w:r>
          </w:p>
        </w:tc>
      </w:tr>
      <w:tr w:rsidR="001D46B9" w14:paraId="0AF2D0D7" w14:textId="77777777">
        <w:trPr>
          <w:trHeight w:val="525"/>
        </w:trPr>
        <w:tc>
          <w:tcPr>
            <w:tcW w:w="1607" w:type="dxa"/>
            <w:tcBorders>
              <w:left w:val="nil"/>
              <w:bottom w:val="nil"/>
              <w:right w:val="nil"/>
            </w:tcBorders>
          </w:tcPr>
          <w:p w14:paraId="6A7415B2" w14:textId="77777777" w:rsidR="001D46B9" w:rsidRDefault="008D669C">
            <w:pPr>
              <w:rPr>
                <w:sz w:val="22"/>
                <w:szCs w:val="22"/>
              </w:rPr>
            </w:pPr>
            <w:r>
              <w:rPr>
                <w:sz w:val="22"/>
                <w:szCs w:val="22"/>
              </w:rPr>
              <w:t xml:space="preserve">Male </w:t>
            </w:r>
          </w:p>
        </w:tc>
        <w:tc>
          <w:tcPr>
            <w:tcW w:w="2083" w:type="dxa"/>
            <w:tcBorders>
              <w:left w:val="nil"/>
              <w:bottom w:val="nil"/>
              <w:right w:val="nil"/>
            </w:tcBorders>
          </w:tcPr>
          <w:p w14:paraId="02713525" w14:textId="77777777" w:rsidR="001D46B9" w:rsidRDefault="008D669C">
            <w:pPr>
              <w:jc w:val="center"/>
              <w:rPr>
                <w:sz w:val="22"/>
                <w:szCs w:val="22"/>
              </w:rPr>
            </w:pPr>
            <w:r>
              <w:rPr>
                <w:sz w:val="22"/>
                <w:szCs w:val="22"/>
              </w:rPr>
              <w:t>70</w:t>
            </w:r>
          </w:p>
        </w:tc>
        <w:tc>
          <w:tcPr>
            <w:tcW w:w="1350" w:type="dxa"/>
            <w:tcBorders>
              <w:left w:val="nil"/>
              <w:bottom w:val="nil"/>
              <w:right w:val="nil"/>
            </w:tcBorders>
          </w:tcPr>
          <w:p w14:paraId="4C1079FF" w14:textId="77777777" w:rsidR="001D46B9" w:rsidRDefault="008D669C">
            <w:pPr>
              <w:jc w:val="center"/>
              <w:rPr>
                <w:sz w:val="22"/>
                <w:szCs w:val="22"/>
              </w:rPr>
            </w:pPr>
            <w:r>
              <w:rPr>
                <w:sz w:val="22"/>
                <w:szCs w:val="22"/>
              </w:rPr>
              <w:t>4.72</w:t>
            </w:r>
          </w:p>
        </w:tc>
        <w:tc>
          <w:tcPr>
            <w:tcW w:w="2064" w:type="dxa"/>
            <w:tcBorders>
              <w:left w:val="nil"/>
              <w:bottom w:val="nil"/>
              <w:right w:val="nil"/>
            </w:tcBorders>
          </w:tcPr>
          <w:p w14:paraId="2F251643" w14:textId="77777777" w:rsidR="001D46B9" w:rsidRDefault="008D669C">
            <w:pPr>
              <w:jc w:val="center"/>
              <w:rPr>
                <w:sz w:val="22"/>
                <w:szCs w:val="22"/>
              </w:rPr>
            </w:pPr>
            <w:r>
              <w:rPr>
                <w:sz w:val="22"/>
                <w:szCs w:val="22"/>
              </w:rPr>
              <w:t>1.19</w:t>
            </w:r>
          </w:p>
        </w:tc>
        <w:tc>
          <w:tcPr>
            <w:tcW w:w="816" w:type="dxa"/>
            <w:tcBorders>
              <w:left w:val="nil"/>
              <w:bottom w:val="nil"/>
              <w:right w:val="nil"/>
            </w:tcBorders>
          </w:tcPr>
          <w:p w14:paraId="3CD3E507" w14:textId="77777777" w:rsidR="001D46B9" w:rsidRDefault="008D669C">
            <w:pPr>
              <w:jc w:val="center"/>
              <w:rPr>
                <w:sz w:val="22"/>
                <w:szCs w:val="22"/>
              </w:rPr>
            </w:pPr>
            <w:r>
              <w:rPr>
                <w:sz w:val="22"/>
                <w:szCs w:val="22"/>
              </w:rPr>
              <w:t>.54</w:t>
            </w:r>
          </w:p>
        </w:tc>
        <w:tc>
          <w:tcPr>
            <w:tcW w:w="1712" w:type="dxa"/>
            <w:tcBorders>
              <w:left w:val="nil"/>
              <w:bottom w:val="nil"/>
              <w:right w:val="nil"/>
            </w:tcBorders>
          </w:tcPr>
          <w:p w14:paraId="28060B78" w14:textId="77777777" w:rsidR="001D46B9" w:rsidRDefault="008D669C">
            <w:pPr>
              <w:jc w:val="center"/>
              <w:rPr>
                <w:sz w:val="22"/>
                <w:szCs w:val="22"/>
              </w:rPr>
            </w:pPr>
            <w:r>
              <w:rPr>
                <w:sz w:val="22"/>
                <w:szCs w:val="22"/>
              </w:rPr>
              <w:t>.59</w:t>
            </w:r>
          </w:p>
        </w:tc>
      </w:tr>
      <w:tr w:rsidR="001D46B9" w14:paraId="71784023" w14:textId="77777777">
        <w:trPr>
          <w:trHeight w:val="727"/>
        </w:trPr>
        <w:tc>
          <w:tcPr>
            <w:tcW w:w="1607" w:type="dxa"/>
            <w:tcBorders>
              <w:top w:val="nil"/>
              <w:left w:val="nil"/>
              <w:bottom w:val="single" w:sz="4" w:space="0" w:color="000000"/>
              <w:right w:val="nil"/>
            </w:tcBorders>
          </w:tcPr>
          <w:p w14:paraId="20427E35" w14:textId="77777777" w:rsidR="001D46B9" w:rsidRDefault="008D669C">
            <w:pPr>
              <w:rPr>
                <w:sz w:val="22"/>
                <w:szCs w:val="22"/>
              </w:rPr>
            </w:pPr>
            <w:r>
              <w:rPr>
                <w:sz w:val="22"/>
                <w:szCs w:val="22"/>
              </w:rPr>
              <w:t>Female</w:t>
            </w:r>
          </w:p>
          <w:p w14:paraId="31F07047" w14:textId="77777777" w:rsidR="001D46B9" w:rsidRDefault="001D46B9">
            <w:pPr>
              <w:ind w:left="1440"/>
              <w:rPr>
                <w:sz w:val="22"/>
                <w:szCs w:val="22"/>
              </w:rPr>
            </w:pPr>
          </w:p>
        </w:tc>
        <w:tc>
          <w:tcPr>
            <w:tcW w:w="2083" w:type="dxa"/>
            <w:tcBorders>
              <w:top w:val="nil"/>
              <w:left w:val="nil"/>
              <w:bottom w:val="single" w:sz="4" w:space="0" w:color="000000"/>
              <w:right w:val="nil"/>
            </w:tcBorders>
          </w:tcPr>
          <w:p w14:paraId="70101008" w14:textId="77777777" w:rsidR="001D46B9" w:rsidRDefault="008D669C">
            <w:pPr>
              <w:jc w:val="center"/>
              <w:rPr>
                <w:sz w:val="22"/>
                <w:szCs w:val="22"/>
              </w:rPr>
            </w:pPr>
            <w:r>
              <w:rPr>
                <w:sz w:val="22"/>
                <w:szCs w:val="22"/>
              </w:rPr>
              <w:t>70</w:t>
            </w:r>
          </w:p>
        </w:tc>
        <w:tc>
          <w:tcPr>
            <w:tcW w:w="1350" w:type="dxa"/>
            <w:tcBorders>
              <w:top w:val="nil"/>
              <w:left w:val="nil"/>
              <w:bottom w:val="single" w:sz="4" w:space="0" w:color="000000"/>
              <w:right w:val="nil"/>
            </w:tcBorders>
          </w:tcPr>
          <w:p w14:paraId="3344049C" w14:textId="77777777" w:rsidR="001D46B9" w:rsidRDefault="008D669C">
            <w:pPr>
              <w:jc w:val="center"/>
              <w:rPr>
                <w:sz w:val="22"/>
                <w:szCs w:val="22"/>
              </w:rPr>
            </w:pPr>
            <w:r>
              <w:rPr>
                <w:sz w:val="22"/>
                <w:szCs w:val="22"/>
              </w:rPr>
              <w:t>4.58</w:t>
            </w:r>
          </w:p>
        </w:tc>
        <w:tc>
          <w:tcPr>
            <w:tcW w:w="2064" w:type="dxa"/>
            <w:tcBorders>
              <w:top w:val="nil"/>
              <w:left w:val="nil"/>
              <w:bottom w:val="single" w:sz="4" w:space="0" w:color="000000"/>
              <w:right w:val="nil"/>
            </w:tcBorders>
          </w:tcPr>
          <w:p w14:paraId="53719855" w14:textId="77777777" w:rsidR="001D46B9" w:rsidRDefault="001D46B9">
            <w:pPr>
              <w:jc w:val="center"/>
              <w:rPr>
                <w:sz w:val="22"/>
                <w:szCs w:val="22"/>
              </w:rPr>
            </w:pPr>
          </w:p>
        </w:tc>
        <w:tc>
          <w:tcPr>
            <w:tcW w:w="816" w:type="dxa"/>
            <w:tcBorders>
              <w:top w:val="nil"/>
              <w:left w:val="nil"/>
              <w:bottom w:val="single" w:sz="4" w:space="0" w:color="000000"/>
              <w:right w:val="nil"/>
            </w:tcBorders>
          </w:tcPr>
          <w:p w14:paraId="47EDCF8B" w14:textId="77777777" w:rsidR="001D46B9" w:rsidRDefault="001D46B9">
            <w:pPr>
              <w:jc w:val="center"/>
              <w:rPr>
                <w:sz w:val="22"/>
                <w:szCs w:val="22"/>
              </w:rPr>
            </w:pPr>
          </w:p>
        </w:tc>
        <w:tc>
          <w:tcPr>
            <w:tcW w:w="1712" w:type="dxa"/>
            <w:tcBorders>
              <w:top w:val="nil"/>
              <w:left w:val="nil"/>
              <w:bottom w:val="single" w:sz="4" w:space="0" w:color="000000"/>
              <w:right w:val="nil"/>
            </w:tcBorders>
          </w:tcPr>
          <w:p w14:paraId="093FD919" w14:textId="77777777" w:rsidR="001D46B9" w:rsidRDefault="001D46B9">
            <w:pPr>
              <w:jc w:val="center"/>
              <w:rPr>
                <w:sz w:val="22"/>
                <w:szCs w:val="22"/>
              </w:rPr>
            </w:pPr>
          </w:p>
        </w:tc>
      </w:tr>
    </w:tbl>
    <w:p w14:paraId="2D41776D" w14:textId="77777777" w:rsidR="001D46B9" w:rsidRDefault="008D669C">
      <w:pPr>
        <w:rPr>
          <w:b/>
          <w:sz w:val="22"/>
          <w:szCs w:val="22"/>
        </w:rPr>
        <w:sectPr w:rsidR="001D46B9">
          <w:type w:val="continuous"/>
          <w:pgSz w:w="12240" w:h="15840"/>
          <w:pgMar w:top="1021" w:right="907" w:bottom="1021" w:left="1077" w:header="720" w:footer="720" w:gutter="0"/>
          <w:cols w:space="720"/>
        </w:sectPr>
      </w:pPr>
      <w:r>
        <w:rPr>
          <w:color w:val="000000"/>
          <w:sz w:val="22"/>
          <w:szCs w:val="22"/>
        </w:rPr>
        <w:t xml:space="preserve">*p &lt; .05, </w:t>
      </w:r>
      <w:proofErr w:type="spellStart"/>
      <w:r>
        <w:rPr>
          <w:color w:val="000000"/>
          <w:sz w:val="22"/>
          <w:szCs w:val="22"/>
        </w:rPr>
        <w:t>n.s</w:t>
      </w:r>
      <w:proofErr w:type="spellEnd"/>
      <w:r>
        <w:rPr>
          <w:color w:val="000000"/>
          <w:sz w:val="22"/>
          <w:szCs w:val="22"/>
        </w:rPr>
        <w:t>. = not signifi</w:t>
      </w:r>
      <w:r>
        <w:rPr>
          <w:color w:val="000000"/>
          <w:sz w:val="22"/>
          <w:szCs w:val="22"/>
        </w:rPr>
        <w:t>c</w:t>
      </w:r>
      <w:r>
        <w:rPr>
          <w:color w:val="000000"/>
          <w:sz w:val="22"/>
          <w:szCs w:val="22"/>
        </w:rPr>
        <w:t>a</w:t>
      </w:r>
      <w:r>
        <w:rPr>
          <w:color w:val="000000"/>
          <w:sz w:val="22"/>
          <w:szCs w:val="22"/>
        </w:rPr>
        <w:t>n</w:t>
      </w:r>
      <w:r>
        <w:rPr>
          <w:color w:val="000000"/>
          <w:sz w:val="22"/>
          <w:szCs w:val="22"/>
        </w:rPr>
        <w:t>t</w:t>
      </w:r>
    </w:p>
    <w:p w14:paraId="6DCB3530" w14:textId="77777777" w:rsidR="001D46B9" w:rsidRDefault="008D669C" w:rsidP="002512D9">
      <w:pPr>
        <w:pBdr>
          <w:top w:val="nil"/>
          <w:left w:val="nil"/>
          <w:bottom w:val="nil"/>
          <w:right w:val="nil"/>
          <w:between w:val="nil"/>
        </w:pBdr>
        <w:spacing w:line="360" w:lineRule="auto"/>
        <w:rPr>
          <w:b/>
          <w:color w:val="000000"/>
          <w:sz w:val="28"/>
          <w:szCs w:val="28"/>
        </w:rPr>
      </w:pPr>
      <w:r>
        <w:rPr>
          <w:b/>
          <w:color w:val="000000"/>
          <w:sz w:val="28"/>
          <w:szCs w:val="28"/>
        </w:rPr>
        <w:lastRenderedPageBreak/>
        <w:t>Discussion</w:t>
      </w:r>
    </w:p>
    <w:p w14:paraId="27C463CE" w14:textId="77777777" w:rsidR="001D46B9" w:rsidRDefault="008D669C" w:rsidP="002512D9">
      <w:pPr>
        <w:widowControl w:val="0"/>
        <w:pBdr>
          <w:top w:val="nil"/>
          <w:left w:val="nil"/>
          <w:bottom w:val="nil"/>
          <w:right w:val="nil"/>
          <w:between w:val="nil"/>
        </w:pBdr>
        <w:tabs>
          <w:tab w:val="left" w:pos="198"/>
        </w:tabs>
        <w:spacing w:line="360" w:lineRule="auto"/>
        <w:jc w:val="both"/>
        <w:rPr>
          <w:sz w:val="22"/>
          <w:szCs w:val="22"/>
        </w:rPr>
      </w:pPr>
      <w:r>
        <w:rPr>
          <w:sz w:val="22"/>
          <w:szCs w:val="22"/>
        </w:rPr>
        <w:t>The overall findings regarding the level of PSS indicated that 50% of undergraduate students obtained a high level of PSS, followed by 35.7% of students with moderate PSS. This is consistent with recent research conducted by Faisal et al., (2022), where th</w:t>
      </w:r>
      <w:r>
        <w:rPr>
          <w:sz w:val="22"/>
          <w:szCs w:val="22"/>
        </w:rPr>
        <w:t>e majority of the students reported moderate to high levels of PSS. In a separate study, most of the young adults obtained a moderate level of PSS (Gan et al., 2020). In contrast, studies conducted in Western countries, such as the one by McLean et al. (20</w:t>
      </w:r>
      <w:r>
        <w:rPr>
          <w:sz w:val="22"/>
          <w:szCs w:val="22"/>
        </w:rPr>
        <w:t xml:space="preserve">22), reported lower prevalence percentages for moderate and high levels of PSS. The observed cultural differences between individualist and collectivist societies may account for the variations in findings between Malaysia and most Western studies </w:t>
      </w:r>
      <w:proofErr w:type="gramStart"/>
      <w:r>
        <w:rPr>
          <w:sz w:val="22"/>
          <w:szCs w:val="22"/>
        </w:rPr>
        <w:t>( Khalid</w:t>
      </w:r>
      <w:proofErr w:type="gramEnd"/>
      <w:r>
        <w:rPr>
          <w:sz w:val="22"/>
          <w:szCs w:val="22"/>
        </w:rPr>
        <w:t>, 2021). This suggests that societal norms and values play a significant role in shaping the levels of PSS among undergraduate students.</w:t>
      </w:r>
    </w:p>
    <w:p w14:paraId="3435A8EF" w14:textId="77777777" w:rsidR="001D46B9" w:rsidRDefault="001D46B9" w:rsidP="002512D9">
      <w:pPr>
        <w:widowControl w:val="0"/>
        <w:pBdr>
          <w:top w:val="nil"/>
          <w:left w:val="nil"/>
          <w:bottom w:val="nil"/>
          <w:right w:val="nil"/>
          <w:between w:val="nil"/>
        </w:pBdr>
        <w:tabs>
          <w:tab w:val="left" w:pos="198"/>
        </w:tabs>
        <w:spacing w:line="360" w:lineRule="auto"/>
        <w:jc w:val="both"/>
        <w:rPr>
          <w:sz w:val="22"/>
          <w:szCs w:val="22"/>
        </w:rPr>
      </w:pPr>
    </w:p>
    <w:p w14:paraId="099E9D2A"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t>Moreover, in this study 53.6% of respondents exhibited minimal to mild depression symptoms, while 46.5% of respondent</w:t>
      </w:r>
      <w:r>
        <w:rPr>
          <w:color w:val="000000"/>
          <w:sz w:val="22"/>
          <w:szCs w:val="22"/>
        </w:rPr>
        <w:t>s scored for moderate to extremely severe depression. The findings highlighted a prevalence of depression symptoms among the respondents. This figure is comparatively lower than findings from previous studies among Malaysian undergraduate students, where t</w:t>
      </w:r>
      <w:r>
        <w:rPr>
          <w:color w:val="000000"/>
          <w:sz w:val="22"/>
          <w:szCs w:val="22"/>
        </w:rPr>
        <w:t>he prevalence of depression was reported at 53.9% (Wong et al., 2023). However, it is noteworthy that the prevalence of depression was slightly higher at 59.2% in an earlier study by Wong et al. (2021). In contrast, these results indicate a higher prevalen</w:t>
      </w:r>
      <w:r>
        <w:rPr>
          <w:color w:val="000000"/>
          <w:sz w:val="22"/>
          <w:szCs w:val="22"/>
        </w:rPr>
        <w:t xml:space="preserve">ce compared to studies conducted among Malaysian undergraduate students </w:t>
      </w:r>
      <w:r>
        <w:rPr>
          <w:color w:val="000000"/>
          <w:sz w:val="22"/>
          <w:szCs w:val="22"/>
        </w:rPr>
        <w:t>during the COVID-19 pandemic, where depression was reported at 29.4% (Moy &amp; Ng, 2021). The varying prevalence rates of depression among university students underscore the dynamic diffe</w:t>
      </w:r>
      <w:r>
        <w:rPr>
          <w:color w:val="000000"/>
          <w:sz w:val="22"/>
          <w:szCs w:val="22"/>
        </w:rPr>
        <w:t>rences in university academic structures, geographical locations, and availability of support, among other factors, which may account for the observed variations between studies. Notably, Raman et al. (2019) discovered that 44% of students from a private u</w:t>
      </w:r>
      <w:r>
        <w:rPr>
          <w:color w:val="000000"/>
          <w:sz w:val="22"/>
          <w:szCs w:val="22"/>
        </w:rPr>
        <w:t xml:space="preserve">niversity had insufficient knowledge of mental health. Moreover, </w:t>
      </w:r>
      <w:proofErr w:type="gramStart"/>
      <w:r>
        <w:rPr>
          <w:color w:val="000000"/>
          <w:sz w:val="22"/>
          <w:szCs w:val="22"/>
        </w:rPr>
        <w:t>a research</w:t>
      </w:r>
      <w:proofErr w:type="gramEnd"/>
      <w:r>
        <w:rPr>
          <w:color w:val="000000"/>
          <w:sz w:val="22"/>
          <w:szCs w:val="22"/>
        </w:rPr>
        <w:t xml:space="preserve"> by </w:t>
      </w:r>
      <w:proofErr w:type="spellStart"/>
      <w:r>
        <w:rPr>
          <w:color w:val="000000"/>
          <w:sz w:val="22"/>
          <w:szCs w:val="22"/>
        </w:rPr>
        <w:t>Hanafiah</w:t>
      </w:r>
      <w:proofErr w:type="spellEnd"/>
      <w:r>
        <w:rPr>
          <w:color w:val="000000"/>
          <w:sz w:val="22"/>
          <w:szCs w:val="22"/>
        </w:rPr>
        <w:t xml:space="preserve"> and Van </w:t>
      </w:r>
      <w:proofErr w:type="spellStart"/>
      <w:r>
        <w:rPr>
          <w:color w:val="000000"/>
          <w:sz w:val="22"/>
          <w:szCs w:val="22"/>
        </w:rPr>
        <w:t>Bortel</w:t>
      </w:r>
      <w:proofErr w:type="spellEnd"/>
      <w:r>
        <w:rPr>
          <w:color w:val="000000"/>
          <w:sz w:val="22"/>
          <w:szCs w:val="22"/>
        </w:rPr>
        <w:t xml:space="preserve"> (2015), indicated that the level of stigma regarding mental illness is high in Malaysia. This highlights the necessity for ongoing awareness campaigns to</w:t>
      </w:r>
      <w:r>
        <w:rPr>
          <w:color w:val="000000"/>
          <w:sz w:val="22"/>
          <w:szCs w:val="22"/>
        </w:rPr>
        <w:t xml:space="preserve"> periodically ensure that university students possess a comprehensive understanding of the significance of mental health.</w:t>
      </w:r>
    </w:p>
    <w:p w14:paraId="24FFFA8C"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0B3B9FBC"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r>
      <w:r>
        <w:rPr>
          <w:color w:val="000000"/>
          <w:sz w:val="22"/>
          <w:szCs w:val="22"/>
        </w:rPr>
        <w:t xml:space="preserve">The primary research question addressed in this study aimed to investigate the correlation between </w:t>
      </w:r>
      <w:r>
        <w:rPr>
          <w:sz w:val="22"/>
          <w:szCs w:val="22"/>
        </w:rPr>
        <w:t>PSS</w:t>
      </w:r>
      <w:r>
        <w:rPr>
          <w:color w:val="000000"/>
          <w:sz w:val="22"/>
          <w:szCs w:val="22"/>
        </w:rPr>
        <w:t xml:space="preserve"> and </w:t>
      </w:r>
      <w:r>
        <w:rPr>
          <w:sz w:val="22"/>
          <w:szCs w:val="22"/>
        </w:rPr>
        <w:t>DS</w:t>
      </w:r>
      <w:r>
        <w:rPr>
          <w:color w:val="000000"/>
          <w:sz w:val="22"/>
          <w:szCs w:val="22"/>
        </w:rPr>
        <w:t xml:space="preserve"> among emerging adult students in Malaysian universities. The findings indicate a weak negative correlation between </w:t>
      </w:r>
      <w:r>
        <w:rPr>
          <w:sz w:val="22"/>
          <w:szCs w:val="22"/>
        </w:rPr>
        <w:t>PSS</w:t>
      </w:r>
      <w:r>
        <w:rPr>
          <w:color w:val="000000"/>
          <w:sz w:val="22"/>
          <w:szCs w:val="22"/>
        </w:rPr>
        <w:t xml:space="preserve"> and </w:t>
      </w:r>
      <w:r>
        <w:rPr>
          <w:sz w:val="22"/>
          <w:szCs w:val="22"/>
        </w:rPr>
        <w:t>DS</w:t>
      </w:r>
      <w:r>
        <w:rPr>
          <w:color w:val="000000"/>
          <w:sz w:val="22"/>
          <w:szCs w:val="22"/>
        </w:rPr>
        <w:t>, aligning with a pri</w:t>
      </w:r>
      <w:r>
        <w:rPr>
          <w:color w:val="000000"/>
          <w:sz w:val="22"/>
          <w:szCs w:val="22"/>
        </w:rPr>
        <w:t xml:space="preserve">or study conducted by Grey et al. (2020). Moreover, additional studies have demonstrated a significant association between </w:t>
      </w:r>
      <w:r>
        <w:rPr>
          <w:sz w:val="22"/>
          <w:szCs w:val="22"/>
        </w:rPr>
        <w:t>PSS</w:t>
      </w:r>
      <w:r>
        <w:rPr>
          <w:color w:val="000000"/>
          <w:sz w:val="22"/>
          <w:szCs w:val="22"/>
        </w:rPr>
        <w:t xml:space="preserve"> and </w:t>
      </w:r>
      <w:r>
        <w:rPr>
          <w:sz w:val="22"/>
          <w:szCs w:val="22"/>
        </w:rPr>
        <w:t>DS</w:t>
      </w:r>
      <w:r>
        <w:rPr>
          <w:color w:val="000000"/>
          <w:sz w:val="22"/>
          <w:szCs w:val="22"/>
        </w:rPr>
        <w:t xml:space="preserve"> (</w:t>
      </w:r>
      <w:proofErr w:type="spellStart"/>
      <w:r>
        <w:rPr>
          <w:color w:val="000000"/>
          <w:sz w:val="22"/>
          <w:szCs w:val="22"/>
        </w:rPr>
        <w:t>Ioannou</w:t>
      </w:r>
      <w:proofErr w:type="spellEnd"/>
      <w:r>
        <w:rPr>
          <w:color w:val="000000"/>
          <w:sz w:val="22"/>
          <w:szCs w:val="22"/>
        </w:rPr>
        <w:t xml:space="preserve"> et al., 2019; Ju et al., 2022). This study suggests that individuals with perceived support exhibit a reduced ris</w:t>
      </w:r>
      <w:r>
        <w:rPr>
          <w:color w:val="000000"/>
          <w:sz w:val="22"/>
          <w:szCs w:val="22"/>
        </w:rPr>
        <w:t xml:space="preserve">k of depression and </w:t>
      </w:r>
      <w:r>
        <w:rPr>
          <w:sz w:val="22"/>
          <w:szCs w:val="22"/>
        </w:rPr>
        <w:t>DS</w:t>
      </w:r>
      <w:r>
        <w:rPr>
          <w:color w:val="000000"/>
          <w:sz w:val="22"/>
          <w:szCs w:val="22"/>
        </w:rPr>
        <w:t xml:space="preserve">, consistent with the findings of </w:t>
      </w:r>
      <w:proofErr w:type="spellStart"/>
      <w:r>
        <w:rPr>
          <w:color w:val="000000"/>
          <w:sz w:val="22"/>
          <w:szCs w:val="22"/>
        </w:rPr>
        <w:t>Gariépy</w:t>
      </w:r>
      <w:proofErr w:type="spellEnd"/>
      <w:r>
        <w:rPr>
          <w:color w:val="000000"/>
          <w:sz w:val="22"/>
          <w:szCs w:val="22"/>
        </w:rPr>
        <w:t xml:space="preserve"> et al. (2016). Despite the overall correlation being weak in the current study, explaining only 8% of the variance of </w:t>
      </w:r>
      <w:r>
        <w:rPr>
          <w:sz w:val="22"/>
          <w:szCs w:val="22"/>
        </w:rPr>
        <w:t>DS</w:t>
      </w:r>
      <w:r>
        <w:rPr>
          <w:color w:val="000000"/>
          <w:sz w:val="22"/>
          <w:szCs w:val="22"/>
        </w:rPr>
        <w:t>, prior research consistently emphasised that social support plays a cru</w:t>
      </w:r>
      <w:r>
        <w:rPr>
          <w:color w:val="000000"/>
          <w:sz w:val="22"/>
          <w:szCs w:val="22"/>
        </w:rPr>
        <w:t xml:space="preserve">cial role in promoting mental health by fostering feelings of value </w:t>
      </w:r>
      <w:r>
        <w:rPr>
          <w:color w:val="000000"/>
          <w:sz w:val="22"/>
          <w:szCs w:val="22"/>
        </w:rPr>
        <w:lastRenderedPageBreak/>
        <w:t>and connection among individuals (</w:t>
      </w:r>
      <w:proofErr w:type="spellStart"/>
      <w:r>
        <w:rPr>
          <w:color w:val="000000"/>
          <w:sz w:val="22"/>
          <w:szCs w:val="22"/>
        </w:rPr>
        <w:t>Alsubaie</w:t>
      </w:r>
      <w:proofErr w:type="spellEnd"/>
      <w:r>
        <w:rPr>
          <w:color w:val="000000"/>
          <w:sz w:val="22"/>
          <w:szCs w:val="22"/>
        </w:rPr>
        <w:t xml:space="preserve"> et al., 2019). The results correspond with Self-Determination Theory (SDT), indicating that one of the essential psychological needs crucial for </w:t>
      </w:r>
      <w:r>
        <w:rPr>
          <w:color w:val="000000"/>
          <w:sz w:val="22"/>
          <w:szCs w:val="22"/>
        </w:rPr>
        <w:t>optimal functioning and well-being is relatedness (Ryan &amp; Deci, 2000). This pertains to a feeling of connection with others, coupled with a sense of support and belonging (Ryan &amp; Deci, 2000). Environments that foster nurturing and support play a key role i</w:t>
      </w:r>
      <w:r>
        <w:rPr>
          <w:color w:val="000000"/>
          <w:sz w:val="22"/>
          <w:szCs w:val="22"/>
        </w:rPr>
        <w:t>n fulfilling these needs, thereby promoting overall wellbeing.</w:t>
      </w:r>
    </w:p>
    <w:p w14:paraId="096B9EBB"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00B51E97"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t>Simultaneously, it is plausible that individuals experiencing depression may perceive lower levels of social support. Depressed individuals, characterised by negative self-talk, social inadeq</w:t>
      </w:r>
      <w:r>
        <w:rPr>
          <w:color w:val="000000"/>
          <w:sz w:val="22"/>
          <w:szCs w:val="22"/>
        </w:rPr>
        <w:t xml:space="preserve">uacy, and complaints, may encounter disruptions in social relationships, contributing to a reciprocal association between social support and </w:t>
      </w:r>
      <w:r>
        <w:rPr>
          <w:sz w:val="22"/>
          <w:szCs w:val="22"/>
        </w:rPr>
        <w:t>DS</w:t>
      </w:r>
      <w:r>
        <w:rPr>
          <w:color w:val="000000"/>
          <w:sz w:val="22"/>
          <w:szCs w:val="22"/>
        </w:rPr>
        <w:t xml:space="preserve"> (Ren et al., 2018). Previous research also highlighted that </w:t>
      </w:r>
      <w:r>
        <w:rPr>
          <w:sz w:val="22"/>
          <w:szCs w:val="22"/>
        </w:rPr>
        <w:t xml:space="preserve">PSS </w:t>
      </w:r>
      <w:r>
        <w:rPr>
          <w:color w:val="000000"/>
          <w:sz w:val="22"/>
          <w:szCs w:val="22"/>
        </w:rPr>
        <w:t xml:space="preserve">is a significant predictor of </w:t>
      </w:r>
      <w:r>
        <w:rPr>
          <w:sz w:val="22"/>
          <w:szCs w:val="22"/>
        </w:rPr>
        <w:t>DS</w:t>
      </w:r>
      <w:r>
        <w:rPr>
          <w:color w:val="000000"/>
          <w:sz w:val="22"/>
          <w:szCs w:val="22"/>
        </w:rPr>
        <w:t xml:space="preserve"> (</w:t>
      </w:r>
      <w:proofErr w:type="spellStart"/>
      <w:r>
        <w:rPr>
          <w:color w:val="000000"/>
          <w:sz w:val="22"/>
          <w:szCs w:val="22"/>
        </w:rPr>
        <w:t>Alsubaie</w:t>
      </w:r>
      <w:proofErr w:type="spellEnd"/>
      <w:r>
        <w:rPr>
          <w:color w:val="000000"/>
          <w:sz w:val="22"/>
          <w:szCs w:val="22"/>
        </w:rPr>
        <w:t xml:space="preserve"> et al</w:t>
      </w:r>
      <w:r>
        <w:rPr>
          <w:color w:val="000000"/>
          <w:sz w:val="22"/>
          <w:szCs w:val="22"/>
        </w:rPr>
        <w:t>., 2019). Considering the socio-cultural context, Malaysia being a collectivist society, the significance of social support in enhancing psychological well-being among Malaysian adults may be more salient (Tan et al., 2023). This observation aligns with th</w:t>
      </w:r>
      <w:r>
        <w:rPr>
          <w:color w:val="000000"/>
          <w:sz w:val="22"/>
          <w:szCs w:val="22"/>
        </w:rPr>
        <w:t>e notion that social support may be more salient in collectivist cultures compared to individualist cultures. Unlike Western cultures, where family ties may weaken over time, most Malaysians and Asians tend to maintain close connections with their families</w:t>
      </w:r>
      <w:r>
        <w:rPr>
          <w:color w:val="000000"/>
          <w:sz w:val="22"/>
          <w:szCs w:val="22"/>
        </w:rPr>
        <w:t>, both physically and emotionally, even after marriage and therefore will approach their families and friends, significant under situations of uncertainty (Tan et al., 2023).</w:t>
      </w:r>
    </w:p>
    <w:p w14:paraId="3F63323D"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5B8B2E85"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ab/>
        <w:t xml:space="preserve">Furthermore, this study also aimed to examine the difference between males and </w:t>
      </w:r>
      <w:r>
        <w:rPr>
          <w:color w:val="000000"/>
          <w:sz w:val="22"/>
          <w:szCs w:val="22"/>
        </w:rPr>
        <w:t xml:space="preserve">females in </w:t>
      </w:r>
      <w:r>
        <w:rPr>
          <w:sz w:val="22"/>
          <w:szCs w:val="22"/>
        </w:rPr>
        <w:t>PSS</w:t>
      </w:r>
      <w:r>
        <w:rPr>
          <w:color w:val="000000"/>
          <w:sz w:val="22"/>
          <w:szCs w:val="22"/>
        </w:rPr>
        <w:t xml:space="preserve"> among emerging adult students in Malaysian universities. Results showed that there were no significant gender differences. This is consistent with </w:t>
      </w:r>
      <w:proofErr w:type="gramStart"/>
      <w:r>
        <w:rPr>
          <w:color w:val="000000"/>
          <w:sz w:val="22"/>
          <w:szCs w:val="22"/>
        </w:rPr>
        <w:t>a recent research</w:t>
      </w:r>
      <w:proofErr w:type="gramEnd"/>
      <w:r>
        <w:rPr>
          <w:color w:val="000000"/>
          <w:sz w:val="22"/>
          <w:szCs w:val="22"/>
        </w:rPr>
        <w:t xml:space="preserve"> by Faisal et al (2022), where gender was not significantly associated with</w:t>
      </w:r>
      <w:r>
        <w:rPr>
          <w:sz w:val="22"/>
          <w:szCs w:val="22"/>
        </w:rPr>
        <w:t xml:space="preserve"> P</w:t>
      </w:r>
      <w:r>
        <w:rPr>
          <w:sz w:val="22"/>
          <w:szCs w:val="22"/>
        </w:rPr>
        <w:t>SS</w:t>
      </w:r>
      <w:r>
        <w:rPr>
          <w:color w:val="000000"/>
          <w:sz w:val="22"/>
          <w:szCs w:val="22"/>
        </w:rPr>
        <w:t xml:space="preserve">. Moreover, prior research by Siddiqui et al (2019) also revealed that there is no significant difference in </w:t>
      </w:r>
      <w:r>
        <w:rPr>
          <w:sz w:val="22"/>
          <w:szCs w:val="22"/>
        </w:rPr>
        <w:t>PSS</w:t>
      </w:r>
      <w:r>
        <w:rPr>
          <w:color w:val="000000"/>
          <w:sz w:val="22"/>
          <w:szCs w:val="22"/>
        </w:rPr>
        <w:t xml:space="preserve"> found among male and female university students. On average, the level of </w:t>
      </w:r>
      <w:r>
        <w:rPr>
          <w:sz w:val="22"/>
          <w:szCs w:val="22"/>
        </w:rPr>
        <w:t>PSS</w:t>
      </w:r>
      <w:r>
        <w:rPr>
          <w:color w:val="000000"/>
          <w:sz w:val="22"/>
          <w:szCs w:val="22"/>
        </w:rPr>
        <w:t xml:space="preserve"> in this study was higher among male students than that of their</w:t>
      </w:r>
      <w:r>
        <w:rPr>
          <w:color w:val="000000"/>
          <w:sz w:val="22"/>
          <w:szCs w:val="22"/>
        </w:rPr>
        <w:t xml:space="preserve"> female counterparts. This is however in contrast with research conducted by Grey et al. (2020) revealing a significant result was observed in </w:t>
      </w:r>
      <w:r>
        <w:rPr>
          <w:sz w:val="22"/>
          <w:szCs w:val="22"/>
        </w:rPr>
        <w:t>PSS</w:t>
      </w:r>
      <w:r>
        <w:rPr>
          <w:color w:val="000000"/>
          <w:sz w:val="22"/>
          <w:szCs w:val="22"/>
        </w:rPr>
        <w:t>. Proposing females scored higher on measures of social support (Grey et al., 2020). While acknowledging the e</w:t>
      </w:r>
      <w:r>
        <w:rPr>
          <w:color w:val="000000"/>
          <w:sz w:val="22"/>
          <w:szCs w:val="22"/>
        </w:rPr>
        <w:t xml:space="preserve">qual significance of social support for both genders, it is noted that social support to males and females differs among different societies, based on their culture (Siddiqui et al., 2019). Stereotypically, females are known for expressiveness while males </w:t>
      </w:r>
      <w:r>
        <w:rPr>
          <w:color w:val="000000"/>
          <w:sz w:val="22"/>
          <w:szCs w:val="22"/>
        </w:rPr>
        <w:t xml:space="preserve">for their instrumentality. However, as the decade goes by, the gender role may have developed to another perspective as compared to how it was previously, thus the reason why gender has no significant difference in </w:t>
      </w:r>
      <w:r>
        <w:rPr>
          <w:sz w:val="22"/>
          <w:szCs w:val="22"/>
        </w:rPr>
        <w:t>PSS</w:t>
      </w:r>
      <w:r>
        <w:rPr>
          <w:color w:val="000000"/>
          <w:sz w:val="22"/>
          <w:szCs w:val="22"/>
        </w:rPr>
        <w:t xml:space="preserve"> (Faisal et al., 2022).</w:t>
      </w:r>
    </w:p>
    <w:p w14:paraId="058479E3"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4644BD93" w14:textId="77777777" w:rsidR="001D46B9" w:rsidRDefault="008D669C" w:rsidP="002512D9">
      <w:pPr>
        <w:pBdr>
          <w:top w:val="nil"/>
          <w:left w:val="nil"/>
          <w:bottom w:val="nil"/>
          <w:right w:val="nil"/>
          <w:between w:val="nil"/>
        </w:pBdr>
        <w:spacing w:line="360" w:lineRule="auto"/>
        <w:rPr>
          <w:b/>
          <w:i/>
          <w:color w:val="000000"/>
          <w:sz w:val="28"/>
          <w:szCs w:val="28"/>
        </w:rPr>
      </w:pPr>
      <w:r>
        <w:rPr>
          <w:b/>
          <w:i/>
          <w:color w:val="000000"/>
          <w:sz w:val="28"/>
          <w:szCs w:val="28"/>
        </w:rPr>
        <w:t>Limitations o</w:t>
      </w:r>
      <w:r>
        <w:rPr>
          <w:b/>
          <w:i/>
          <w:color w:val="000000"/>
          <w:sz w:val="28"/>
          <w:szCs w:val="28"/>
        </w:rPr>
        <w:t>f the Study</w:t>
      </w:r>
    </w:p>
    <w:p w14:paraId="56298E83"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Despite these findings, this study does have certain limitations. Firstly, the results of this study are not widely generalisable given the small sample size of only 140 respondents. In quantitative research, the size of the sample is crucial f</w:t>
      </w:r>
      <w:r>
        <w:rPr>
          <w:color w:val="000000"/>
          <w:sz w:val="22"/>
          <w:szCs w:val="22"/>
        </w:rPr>
        <w:t xml:space="preserve">or reaching reliable conclusions. A larger sample size enhances result </w:t>
      </w:r>
      <w:r>
        <w:rPr>
          <w:color w:val="000000"/>
          <w:sz w:val="22"/>
          <w:szCs w:val="22"/>
        </w:rPr>
        <w:lastRenderedPageBreak/>
        <w:t>accuracy and influences the confidence level in the findings. Therefore, in the current study, the sample size presented a challenge in establishing significant relationships within the</w:t>
      </w:r>
      <w:r>
        <w:rPr>
          <w:color w:val="000000"/>
          <w:sz w:val="22"/>
          <w:szCs w:val="22"/>
        </w:rPr>
        <w:t xml:space="preserve"> data. Secondly, it is also important to note that the validity of the results may have also been compromised since data collection was based on participants’ self-report instruments through Google form that was distributed by the researcher. Hence, social</w:t>
      </w:r>
      <w:r>
        <w:rPr>
          <w:color w:val="000000"/>
          <w:sz w:val="22"/>
          <w:szCs w:val="22"/>
        </w:rPr>
        <w:t xml:space="preserve"> desirability bias may be introduced when participants provide information on their </w:t>
      </w:r>
      <w:r>
        <w:rPr>
          <w:sz w:val="22"/>
          <w:szCs w:val="22"/>
        </w:rPr>
        <w:t>PSS</w:t>
      </w:r>
      <w:r>
        <w:rPr>
          <w:color w:val="000000"/>
          <w:sz w:val="22"/>
          <w:szCs w:val="22"/>
        </w:rPr>
        <w:t xml:space="preserve"> and </w:t>
      </w:r>
      <w:r>
        <w:rPr>
          <w:sz w:val="22"/>
          <w:szCs w:val="22"/>
        </w:rPr>
        <w:t>DS</w:t>
      </w:r>
      <w:r>
        <w:rPr>
          <w:color w:val="000000"/>
          <w:sz w:val="22"/>
          <w:szCs w:val="22"/>
        </w:rPr>
        <w:t xml:space="preserve"> in the more socially acceptable way rather than being truthful. Consequently, it may affect the reliability and validity of the results. Thirdly, due to the time</w:t>
      </w:r>
      <w:r>
        <w:rPr>
          <w:color w:val="000000"/>
          <w:sz w:val="22"/>
          <w:szCs w:val="22"/>
        </w:rPr>
        <w:t xml:space="preserve"> constraints of 6 months, non-probability sampling, namely convenience sampling, was adopted which makes it difficult for the researcher to determine if the population is adequately represented. Finally, the findings of this study might be culture-specific</w:t>
      </w:r>
      <w:r>
        <w:rPr>
          <w:color w:val="000000"/>
          <w:sz w:val="22"/>
          <w:szCs w:val="22"/>
        </w:rPr>
        <w:t>, as family bonds are considered considerably strong in this collectivist population. It indicates that the study's outcomes may be influenced by the specific cultural context in which it was conducted.</w:t>
      </w:r>
    </w:p>
    <w:p w14:paraId="134D16D4"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0F717153" w14:textId="77777777" w:rsidR="001D46B9" w:rsidRDefault="008D669C" w:rsidP="002512D9">
      <w:pPr>
        <w:widowControl w:val="0"/>
        <w:pBdr>
          <w:top w:val="nil"/>
          <w:left w:val="nil"/>
          <w:bottom w:val="nil"/>
          <w:right w:val="nil"/>
          <w:between w:val="nil"/>
        </w:pBdr>
        <w:tabs>
          <w:tab w:val="left" w:pos="198"/>
        </w:tabs>
        <w:spacing w:line="360" w:lineRule="auto"/>
        <w:rPr>
          <w:b/>
          <w:i/>
          <w:color w:val="000000"/>
          <w:sz w:val="28"/>
          <w:szCs w:val="28"/>
        </w:rPr>
      </w:pPr>
      <w:r>
        <w:rPr>
          <w:b/>
          <w:i/>
          <w:color w:val="000000"/>
          <w:sz w:val="28"/>
          <w:szCs w:val="28"/>
        </w:rPr>
        <w:t>Strength of the Study</w:t>
      </w:r>
    </w:p>
    <w:p w14:paraId="0E153A5F"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Despite the limitations stated</w:t>
      </w:r>
      <w:r>
        <w:rPr>
          <w:color w:val="000000"/>
          <w:sz w:val="22"/>
          <w:szCs w:val="22"/>
        </w:rPr>
        <w:t xml:space="preserve"> above, this study is unique because to the best of my knowledge, there is no research conducted among emerging adult university students that investigated the relationship between </w:t>
      </w:r>
      <w:r>
        <w:rPr>
          <w:sz w:val="22"/>
          <w:szCs w:val="22"/>
        </w:rPr>
        <w:t>PSS</w:t>
      </w:r>
      <w:r>
        <w:rPr>
          <w:color w:val="000000"/>
          <w:sz w:val="22"/>
          <w:szCs w:val="22"/>
        </w:rPr>
        <w:t xml:space="preserve"> and </w:t>
      </w:r>
      <w:r>
        <w:rPr>
          <w:sz w:val="22"/>
          <w:szCs w:val="22"/>
        </w:rPr>
        <w:t>DS</w:t>
      </w:r>
      <w:r>
        <w:rPr>
          <w:color w:val="000000"/>
          <w:sz w:val="22"/>
          <w:szCs w:val="22"/>
        </w:rPr>
        <w:t>. Furthermore, the research employed an equal number of males and</w:t>
      </w:r>
      <w:r>
        <w:rPr>
          <w:color w:val="000000"/>
          <w:sz w:val="22"/>
          <w:szCs w:val="22"/>
        </w:rPr>
        <w:t xml:space="preserve"> females for gender differences to increase the quality and validity of inferences on gender effects.</w:t>
      </w:r>
    </w:p>
    <w:p w14:paraId="5F6D1159"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763F5E11" w14:textId="77777777" w:rsidR="001D46B9" w:rsidRDefault="008D669C" w:rsidP="002512D9">
      <w:pPr>
        <w:widowControl w:val="0"/>
        <w:pBdr>
          <w:top w:val="nil"/>
          <w:left w:val="nil"/>
          <w:bottom w:val="nil"/>
          <w:right w:val="nil"/>
          <w:between w:val="nil"/>
        </w:pBdr>
        <w:tabs>
          <w:tab w:val="left" w:pos="198"/>
        </w:tabs>
        <w:spacing w:line="360" w:lineRule="auto"/>
        <w:rPr>
          <w:b/>
          <w:i/>
          <w:color w:val="000000"/>
          <w:sz w:val="28"/>
          <w:szCs w:val="28"/>
        </w:rPr>
      </w:pPr>
      <w:r>
        <w:rPr>
          <w:b/>
          <w:i/>
          <w:color w:val="000000"/>
          <w:sz w:val="28"/>
          <w:szCs w:val="28"/>
        </w:rPr>
        <w:t>Recommendations for Future Research</w:t>
      </w:r>
    </w:p>
    <w:p w14:paraId="7808B11A" w14:textId="77777777" w:rsidR="001D46B9" w:rsidRDefault="008D669C" w:rsidP="002512D9">
      <w:pPr>
        <w:widowControl w:val="0"/>
        <w:pBdr>
          <w:top w:val="nil"/>
          <w:left w:val="nil"/>
          <w:bottom w:val="nil"/>
          <w:right w:val="nil"/>
          <w:between w:val="nil"/>
        </w:pBdr>
        <w:tabs>
          <w:tab w:val="left" w:pos="198"/>
        </w:tabs>
        <w:spacing w:line="360" w:lineRule="auto"/>
        <w:jc w:val="both"/>
        <w:rPr>
          <w:color w:val="000000"/>
          <w:sz w:val="22"/>
          <w:szCs w:val="22"/>
        </w:rPr>
      </w:pPr>
      <w:r>
        <w:rPr>
          <w:color w:val="000000"/>
          <w:sz w:val="22"/>
          <w:szCs w:val="22"/>
        </w:rPr>
        <w:t xml:space="preserve">Firstly, the researcher can increase a larger sample size to analyse the significant relationship between variables with sufficient data. For example, the researcher should collect responses from different states in Malaysia among undergraduates to obtain </w:t>
      </w:r>
      <w:r>
        <w:rPr>
          <w:color w:val="000000"/>
          <w:sz w:val="22"/>
          <w:szCs w:val="22"/>
        </w:rPr>
        <w:t xml:space="preserve">ample data on this population. Thus, the researcher will be able to examine the relationships between the variables more adequately. To address concerns about the validity of self-reported data, researchers could consider employing a </w:t>
      </w:r>
      <w:proofErr w:type="gramStart"/>
      <w:r>
        <w:rPr>
          <w:color w:val="000000"/>
          <w:sz w:val="22"/>
          <w:szCs w:val="22"/>
        </w:rPr>
        <w:t>Mixed</w:t>
      </w:r>
      <w:proofErr w:type="gramEnd"/>
      <w:r>
        <w:rPr>
          <w:color w:val="000000"/>
          <w:sz w:val="22"/>
          <w:szCs w:val="22"/>
        </w:rPr>
        <w:t xml:space="preserve"> method research </w:t>
      </w:r>
      <w:r>
        <w:rPr>
          <w:color w:val="000000"/>
          <w:sz w:val="22"/>
          <w:szCs w:val="22"/>
        </w:rPr>
        <w:t xml:space="preserve">combining elements of quantitative and qualitative research. This can be done by integrating self-reported measures and structured interviews in the data collecting process to provide a more comprehensive understanding of </w:t>
      </w:r>
      <w:r>
        <w:rPr>
          <w:sz w:val="22"/>
          <w:szCs w:val="22"/>
        </w:rPr>
        <w:t>PSS</w:t>
      </w:r>
      <w:r>
        <w:rPr>
          <w:color w:val="000000"/>
          <w:sz w:val="22"/>
          <w:szCs w:val="22"/>
        </w:rPr>
        <w:t xml:space="preserve"> and </w:t>
      </w:r>
      <w:r>
        <w:rPr>
          <w:sz w:val="22"/>
          <w:szCs w:val="22"/>
        </w:rPr>
        <w:t>DS</w:t>
      </w:r>
      <w:r>
        <w:rPr>
          <w:color w:val="000000"/>
          <w:sz w:val="22"/>
          <w:szCs w:val="22"/>
        </w:rPr>
        <w:t xml:space="preserve">, minimising the impact </w:t>
      </w:r>
      <w:r>
        <w:rPr>
          <w:color w:val="000000"/>
          <w:sz w:val="22"/>
          <w:szCs w:val="22"/>
        </w:rPr>
        <w:t>of potential social desirability bias. In order to obtain a representative sample, probability sampling such as simple random sampling and stratified sampling is recommended to improve the generalizability of the results to the broader population of emergi</w:t>
      </w:r>
      <w:r>
        <w:rPr>
          <w:color w:val="000000"/>
          <w:sz w:val="22"/>
          <w:szCs w:val="22"/>
        </w:rPr>
        <w:t>ng adult university students.</w:t>
      </w:r>
    </w:p>
    <w:p w14:paraId="007F2743" w14:textId="77777777" w:rsidR="001D46B9" w:rsidRDefault="001D46B9" w:rsidP="002512D9">
      <w:pPr>
        <w:widowControl w:val="0"/>
        <w:pBdr>
          <w:top w:val="nil"/>
          <w:left w:val="nil"/>
          <w:bottom w:val="nil"/>
          <w:right w:val="nil"/>
          <w:between w:val="nil"/>
        </w:pBdr>
        <w:tabs>
          <w:tab w:val="left" w:pos="198"/>
        </w:tabs>
        <w:spacing w:line="360" w:lineRule="auto"/>
        <w:jc w:val="both"/>
        <w:rPr>
          <w:color w:val="000000"/>
          <w:sz w:val="22"/>
          <w:szCs w:val="22"/>
        </w:rPr>
      </w:pPr>
    </w:p>
    <w:p w14:paraId="2911EFB6" w14:textId="77777777" w:rsidR="001D46B9" w:rsidRDefault="008D669C" w:rsidP="002512D9">
      <w:pPr>
        <w:widowControl w:val="0"/>
        <w:pBdr>
          <w:top w:val="nil"/>
          <w:left w:val="nil"/>
          <w:bottom w:val="nil"/>
          <w:right w:val="nil"/>
          <w:between w:val="nil"/>
        </w:pBdr>
        <w:tabs>
          <w:tab w:val="left" w:pos="198"/>
        </w:tabs>
        <w:spacing w:line="360" w:lineRule="auto"/>
        <w:rPr>
          <w:b/>
          <w:i/>
          <w:color w:val="000000"/>
          <w:sz w:val="28"/>
          <w:szCs w:val="28"/>
        </w:rPr>
      </w:pPr>
      <w:r>
        <w:rPr>
          <w:b/>
          <w:i/>
          <w:color w:val="000000"/>
          <w:sz w:val="28"/>
          <w:szCs w:val="28"/>
        </w:rPr>
        <w:t>Implications of the Study</w:t>
      </w:r>
    </w:p>
    <w:p w14:paraId="3025DFB4" w14:textId="77777777" w:rsidR="001D46B9" w:rsidRDefault="008D669C" w:rsidP="002512D9">
      <w:pPr>
        <w:pBdr>
          <w:top w:val="nil"/>
          <w:left w:val="nil"/>
          <w:bottom w:val="nil"/>
          <w:right w:val="nil"/>
          <w:between w:val="nil"/>
        </w:pBdr>
        <w:spacing w:line="360" w:lineRule="auto"/>
        <w:jc w:val="both"/>
        <w:rPr>
          <w:color w:val="000000"/>
          <w:sz w:val="22"/>
          <w:szCs w:val="22"/>
        </w:rPr>
      </w:pPr>
      <w:r>
        <w:rPr>
          <w:color w:val="000000"/>
          <w:sz w:val="22"/>
          <w:szCs w:val="22"/>
        </w:rPr>
        <w:t xml:space="preserve">The present study underscores the correlation between </w:t>
      </w:r>
      <w:r>
        <w:rPr>
          <w:sz w:val="22"/>
          <w:szCs w:val="22"/>
        </w:rPr>
        <w:t>PSS</w:t>
      </w:r>
      <w:r>
        <w:rPr>
          <w:color w:val="000000"/>
          <w:sz w:val="22"/>
          <w:szCs w:val="22"/>
        </w:rPr>
        <w:t xml:space="preserve"> and </w:t>
      </w:r>
      <w:r>
        <w:rPr>
          <w:sz w:val="22"/>
          <w:szCs w:val="22"/>
        </w:rPr>
        <w:t>DS</w:t>
      </w:r>
      <w:r>
        <w:rPr>
          <w:color w:val="000000"/>
          <w:sz w:val="22"/>
          <w:szCs w:val="22"/>
        </w:rPr>
        <w:t xml:space="preserve">, while also examining gender differences in </w:t>
      </w:r>
      <w:r>
        <w:rPr>
          <w:sz w:val="22"/>
          <w:szCs w:val="22"/>
        </w:rPr>
        <w:t>PSS</w:t>
      </w:r>
      <w:r>
        <w:rPr>
          <w:color w:val="000000"/>
          <w:sz w:val="22"/>
          <w:szCs w:val="22"/>
        </w:rPr>
        <w:t xml:space="preserve"> among emerging adult students in Malaysian universities. The study establishes a cruci</w:t>
      </w:r>
      <w:r>
        <w:rPr>
          <w:color w:val="000000"/>
          <w:sz w:val="22"/>
          <w:szCs w:val="22"/>
        </w:rPr>
        <w:t xml:space="preserve">al correlation between </w:t>
      </w:r>
      <w:r>
        <w:rPr>
          <w:sz w:val="22"/>
          <w:szCs w:val="22"/>
        </w:rPr>
        <w:t>PSS</w:t>
      </w:r>
      <w:r>
        <w:rPr>
          <w:color w:val="000000"/>
          <w:sz w:val="22"/>
          <w:szCs w:val="22"/>
        </w:rPr>
        <w:t xml:space="preserve"> and </w:t>
      </w:r>
      <w:r>
        <w:rPr>
          <w:sz w:val="22"/>
          <w:szCs w:val="22"/>
        </w:rPr>
        <w:t>DS</w:t>
      </w:r>
      <w:r>
        <w:rPr>
          <w:color w:val="000000"/>
          <w:sz w:val="22"/>
          <w:szCs w:val="22"/>
        </w:rPr>
        <w:t xml:space="preserve"> among university students, directly addressing the identified problem of increasing depression rates in this population. This reinforces the importance of addressing social support as part of mental health interventions. C</w:t>
      </w:r>
      <w:r>
        <w:rPr>
          <w:color w:val="000000"/>
          <w:sz w:val="22"/>
          <w:szCs w:val="22"/>
        </w:rPr>
        <w:t xml:space="preserve">reating and reinforcing supportive environments within university settings are crucial. This can have positive effects on </w:t>
      </w:r>
      <w:r>
        <w:rPr>
          <w:color w:val="000000"/>
          <w:sz w:val="22"/>
          <w:szCs w:val="22"/>
        </w:rPr>
        <w:lastRenderedPageBreak/>
        <w:t>students' overall well-being. To elaborate further, universities are encouraged to initiate mental health campaigns, such as talks, wo</w:t>
      </w:r>
      <w:r>
        <w:rPr>
          <w:color w:val="000000"/>
          <w:sz w:val="22"/>
          <w:szCs w:val="22"/>
        </w:rPr>
        <w:t>rkshops, or on-campus activities, to raise awareness on the importance of mental health among students.</w:t>
      </w:r>
    </w:p>
    <w:p w14:paraId="3803BF6A" w14:textId="77777777" w:rsidR="001D46B9" w:rsidRDefault="001D46B9" w:rsidP="002512D9">
      <w:pPr>
        <w:pBdr>
          <w:top w:val="nil"/>
          <w:left w:val="nil"/>
          <w:bottom w:val="nil"/>
          <w:right w:val="nil"/>
          <w:between w:val="nil"/>
        </w:pBdr>
        <w:spacing w:line="360" w:lineRule="auto"/>
        <w:jc w:val="both"/>
        <w:rPr>
          <w:color w:val="000000"/>
          <w:sz w:val="22"/>
          <w:szCs w:val="22"/>
        </w:rPr>
      </w:pPr>
    </w:p>
    <w:p w14:paraId="02D31E7D" w14:textId="77777777" w:rsidR="001D46B9" w:rsidRDefault="008D669C" w:rsidP="002512D9">
      <w:pPr>
        <w:pBdr>
          <w:top w:val="nil"/>
          <w:left w:val="nil"/>
          <w:bottom w:val="nil"/>
          <w:right w:val="nil"/>
          <w:between w:val="nil"/>
        </w:pBdr>
        <w:spacing w:line="360" w:lineRule="auto"/>
        <w:ind w:firstLine="720"/>
        <w:jc w:val="both"/>
        <w:rPr>
          <w:color w:val="000000"/>
          <w:sz w:val="22"/>
          <w:szCs w:val="22"/>
        </w:rPr>
      </w:pPr>
      <w:r>
        <w:rPr>
          <w:color w:val="000000"/>
          <w:sz w:val="22"/>
          <w:szCs w:val="22"/>
        </w:rPr>
        <w:t xml:space="preserve">The study's investigation into gender differences in </w:t>
      </w:r>
      <w:r>
        <w:rPr>
          <w:sz w:val="22"/>
          <w:szCs w:val="22"/>
        </w:rPr>
        <w:t>PSS</w:t>
      </w:r>
      <w:r>
        <w:rPr>
          <w:color w:val="000000"/>
          <w:sz w:val="22"/>
          <w:szCs w:val="22"/>
        </w:rPr>
        <w:t xml:space="preserve"> among university students contributes valuable insights into the nuanced ways in which male and female students experience support. The implications extend to understanding how these differences impact mental health outcomes, challenging stereotypes and a</w:t>
      </w:r>
      <w:r>
        <w:rPr>
          <w:color w:val="000000"/>
          <w:sz w:val="22"/>
          <w:szCs w:val="22"/>
        </w:rPr>
        <w:t>ssumptions about gender roles in seeking support. The findings also highlight the importance of promoting gender-inclusive mental health support within university settings, fostering an environment that is sensitive to individual differences and supportive</w:t>
      </w:r>
      <w:r>
        <w:rPr>
          <w:color w:val="000000"/>
          <w:sz w:val="22"/>
          <w:szCs w:val="22"/>
        </w:rPr>
        <w:t xml:space="preserve"> of diverse social support needs. Moreover, parents are encouraged to support their children through the stage of emerging adulthood. Students undergoing this stage encounter numerous challenges related to adjusting to independent living, academic stress, </w:t>
      </w:r>
      <w:r>
        <w:rPr>
          <w:color w:val="000000"/>
          <w:sz w:val="22"/>
          <w:szCs w:val="22"/>
        </w:rPr>
        <w:t>and career planning, which may make them more susceptible to depression (Shamsuddin et al., 2013). The support from parents will foster a conducive environment for the overall well-being and mental health of their children. Ultimately, this exploration add</w:t>
      </w:r>
      <w:r>
        <w:rPr>
          <w:color w:val="000000"/>
          <w:sz w:val="22"/>
          <w:szCs w:val="22"/>
        </w:rPr>
        <w:t xml:space="preserve">s depth to our understanding of the complex interplay between gender, </w:t>
      </w:r>
      <w:r>
        <w:rPr>
          <w:sz w:val="22"/>
          <w:szCs w:val="22"/>
        </w:rPr>
        <w:t>PSS</w:t>
      </w:r>
      <w:r>
        <w:rPr>
          <w:color w:val="000000"/>
          <w:sz w:val="22"/>
          <w:szCs w:val="22"/>
        </w:rPr>
        <w:t xml:space="preserve">, and </w:t>
      </w:r>
      <w:r>
        <w:rPr>
          <w:sz w:val="22"/>
          <w:szCs w:val="22"/>
        </w:rPr>
        <w:t>DS</w:t>
      </w:r>
      <w:r>
        <w:rPr>
          <w:color w:val="000000"/>
          <w:sz w:val="22"/>
          <w:szCs w:val="22"/>
        </w:rPr>
        <w:t xml:space="preserve"> among emerging adult university students.</w:t>
      </w:r>
    </w:p>
    <w:p w14:paraId="78455C73" w14:textId="77777777" w:rsidR="001D46B9" w:rsidRDefault="001D46B9" w:rsidP="002512D9">
      <w:pPr>
        <w:spacing w:line="360" w:lineRule="auto"/>
      </w:pPr>
    </w:p>
    <w:p w14:paraId="17F8AD14" w14:textId="4585FB18" w:rsidR="001D46B9" w:rsidRDefault="008D669C">
      <w:pPr>
        <w:pBdr>
          <w:top w:val="nil"/>
          <w:left w:val="nil"/>
          <w:bottom w:val="nil"/>
          <w:right w:val="nil"/>
          <w:between w:val="nil"/>
        </w:pBdr>
        <w:rPr>
          <w:sz w:val="22"/>
          <w:szCs w:val="22"/>
        </w:rPr>
      </w:pPr>
      <w:r>
        <w:rPr>
          <w:b/>
          <w:color w:val="000000"/>
          <w:sz w:val="28"/>
          <w:szCs w:val="28"/>
        </w:rPr>
        <w:t>References</w:t>
      </w:r>
    </w:p>
    <w:p w14:paraId="3A14A811"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proofErr w:type="spellStart"/>
      <w:r>
        <w:rPr>
          <w:sz w:val="22"/>
          <w:szCs w:val="22"/>
        </w:rPr>
        <w:t>Alsubaie</w:t>
      </w:r>
      <w:proofErr w:type="spellEnd"/>
      <w:r>
        <w:rPr>
          <w:sz w:val="22"/>
          <w:szCs w:val="22"/>
        </w:rPr>
        <w:t xml:space="preserve">, M., Stain, H. J., Webster, L. A. D., &amp; </w:t>
      </w:r>
      <w:proofErr w:type="spellStart"/>
      <w:r>
        <w:rPr>
          <w:sz w:val="22"/>
          <w:szCs w:val="22"/>
        </w:rPr>
        <w:t>Wadman</w:t>
      </w:r>
      <w:proofErr w:type="spellEnd"/>
      <w:r>
        <w:rPr>
          <w:sz w:val="22"/>
          <w:szCs w:val="22"/>
        </w:rPr>
        <w:t xml:space="preserve">, R. (2019). The role of sources of social support on depression </w:t>
      </w:r>
      <w:r>
        <w:rPr>
          <w:sz w:val="22"/>
          <w:szCs w:val="22"/>
        </w:rPr>
        <w:t xml:space="preserve">and quality of life for </w:t>
      </w:r>
      <w:r>
        <w:rPr>
          <w:sz w:val="22"/>
          <w:szCs w:val="22"/>
        </w:rPr>
        <w:t xml:space="preserve">university students. International Journal of Adolescence and Youth, 4, 484–496. </w:t>
      </w:r>
      <w:hyperlink r:id="rId10">
        <w:r>
          <w:rPr>
            <w:color w:val="1155CC"/>
            <w:sz w:val="22"/>
            <w:szCs w:val="22"/>
            <w:u w:val="single"/>
          </w:rPr>
          <w:t>https://doi.org/10.1080/02673843.2019.1568887</w:t>
        </w:r>
      </w:hyperlink>
    </w:p>
    <w:p w14:paraId="458058CF" w14:textId="77777777" w:rsidR="001D46B9" w:rsidRDefault="001D46B9">
      <w:pPr>
        <w:widowControl w:val="0"/>
        <w:pBdr>
          <w:top w:val="nil"/>
          <w:left w:val="nil"/>
          <w:bottom w:val="nil"/>
          <w:right w:val="nil"/>
          <w:between w:val="nil"/>
        </w:pBdr>
        <w:tabs>
          <w:tab w:val="left" w:pos="198"/>
        </w:tabs>
        <w:ind w:left="288" w:hanging="288"/>
        <w:jc w:val="both"/>
        <w:rPr>
          <w:sz w:val="22"/>
          <w:szCs w:val="22"/>
        </w:rPr>
      </w:pPr>
    </w:p>
    <w:p w14:paraId="67DBE5B9"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Arnett, J. J. (2000). Emerging adulthoo</w:t>
      </w:r>
      <w:r>
        <w:rPr>
          <w:sz w:val="22"/>
          <w:szCs w:val="22"/>
        </w:rPr>
        <w:t xml:space="preserve">d: A theory of development from the late teens through the twenties. American Psychologist, 5, 469–480. </w:t>
      </w:r>
      <w:hyperlink r:id="rId11">
        <w:r>
          <w:rPr>
            <w:color w:val="1155CC"/>
            <w:sz w:val="22"/>
            <w:szCs w:val="22"/>
            <w:u w:val="single"/>
          </w:rPr>
          <w:t>https://doi.org/10.1037/0003-066x.55.5.469</w:t>
        </w:r>
      </w:hyperlink>
    </w:p>
    <w:p w14:paraId="7A08D2F4" w14:textId="77777777" w:rsidR="001D46B9" w:rsidRDefault="001D46B9">
      <w:pPr>
        <w:widowControl w:val="0"/>
        <w:pBdr>
          <w:top w:val="nil"/>
          <w:left w:val="nil"/>
          <w:bottom w:val="nil"/>
          <w:right w:val="nil"/>
          <w:between w:val="nil"/>
        </w:pBdr>
        <w:tabs>
          <w:tab w:val="left" w:pos="198"/>
        </w:tabs>
        <w:ind w:left="288" w:hanging="288"/>
        <w:jc w:val="both"/>
        <w:rPr>
          <w:sz w:val="22"/>
          <w:szCs w:val="22"/>
        </w:rPr>
      </w:pPr>
    </w:p>
    <w:p w14:paraId="3F91D84C"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American Psychological Association (n.d.).</w:t>
      </w:r>
    </w:p>
    <w:p w14:paraId="5923A69D"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b/>
        <w:t>De</w:t>
      </w:r>
      <w:r>
        <w:rPr>
          <w:sz w:val="22"/>
          <w:szCs w:val="22"/>
        </w:rPr>
        <w:t>pression. American Psychological Association.</w:t>
      </w:r>
    </w:p>
    <w:p w14:paraId="47BBA80E"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b/>
      </w:r>
      <w:hyperlink r:id="rId12">
        <w:r>
          <w:rPr>
            <w:color w:val="1155CC"/>
            <w:sz w:val="22"/>
            <w:szCs w:val="22"/>
            <w:u w:val="single"/>
          </w:rPr>
          <w:t>https://www.apa.org/topics/depression</w:t>
        </w:r>
      </w:hyperlink>
    </w:p>
    <w:p w14:paraId="052B04D2" w14:textId="77777777" w:rsidR="001D46B9" w:rsidRDefault="001D46B9">
      <w:pPr>
        <w:widowControl w:val="0"/>
        <w:pBdr>
          <w:top w:val="nil"/>
          <w:left w:val="nil"/>
          <w:bottom w:val="nil"/>
          <w:right w:val="nil"/>
          <w:between w:val="nil"/>
        </w:pBdr>
        <w:tabs>
          <w:tab w:val="left" w:pos="198"/>
        </w:tabs>
        <w:ind w:left="288" w:hanging="288"/>
        <w:jc w:val="both"/>
        <w:rPr>
          <w:sz w:val="22"/>
          <w:szCs w:val="22"/>
        </w:rPr>
      </w:pPr>
    </w:p>
    <w:p w14:paraId="5E6496B2"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Bukhari S, Afzal F (2017), Perceived Social Support</w:t>
      </w:r>
    </w:p>
    <w:p w14:paraId="53F62386"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b/>
      </w:r>
      <w:r>
        <w:rPr>
          <w:sz w:val="22"/>
          <w:szCs w:val="22"/>
        </w:rPr>
        <w:tab/>
      </w:r>
      <w:proofErr w:type="spellStart"/>
      <w:r>
        <w:rPr>
          <w:sz w:val="22"/>
          <w:szCs w:val="22"/>
        </w:rPr>
        <w:t>predictsPsychological</w:t>
      </w:r>
      <w:proofErr w:type="spellEnd"/>
      <w:r>
        <w:rPr>
          <w:sz w:val="22"/>
          <w:szCs w:val="22"/>
        </w:rPr>
        <w:t xml:space="preserve"> Problems among </w:t>
      </w:r>
    </w:p>
    <w:p w14:paraId="24BDA4FF"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b/>
      </w:r>
      <w:r>
        <w:rPr>
          <w:sz w:val="22"/>
          <w:szCs w:val="22"/>
        </w:rPr>
        <w:tab/>
        <w:t xml:space="preserve">University Students, International Journal of Indian </w:t>
      </w:r>
      <w:proofErr w:type="spellStart"/>
      <w:proofErr w:type="gramStart"/>
      <w:r>
        <w:rPr>
          <w:sz w:val="22"/>
          <w:szCs w:val="22"/>
        </w:rPr>
        <w:t>Psychology,Volume</w:t>
      </w:r>
      <w:proofErr w:type="spellEnd"/>
      <w:proofErr w:type="gramEnd"/>
      <w:r>
        <w:rPr>
          <w:sz w:val="22"/>
          <w:szCs w:val="22"/>
        </w:rPr>
        <w:t xml:space="preserve"> 4, Issue 2, No. </w:t>
      </w:r>
    </w:p>
    <w:p w14:paraId="1A6F91E5"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ab/>
      </w:r>
      <w:r>
        <w:rPr>
          <w:sz w:val="22"/>
          <w:szCs w:val="22"/>
        </w:rPr>
        <w:tab/>
      </w:r>
      <w:r>
        <w:rPr>
          <w:sz w:val="22"/>
          <w:szCs w:val="22"/>
        </w:rPr>
        <w:t>89, ISSN:2348-5396 (e), ISSN:2349-3429 (p), DIP:18.01.082/</w:t>
      </w:r>
      <w:proofErr w:type="gramStart"/>
      <w:r>
        <w:rPr>
          <w:sz w:val="22"/>
          <w:szCs w:val="22"/>
        </w:rPr>
        <w:t>20170402,ISBN</w:t>
      </w:r>
      <w:proofErr w:type="gramEnd"/>
      <w:r>
        <w:rPr>
          <w:sz w:val="22"/>
          <w:szCs w:val="22"/>
        </w:rPr>
        <w:t>:978-1-365-74162-3</w:t>
      </w:r>
    </w:p>
    <w:p w14:paraId="453CCE11" w14:textId="77777777" w:rsidR="001D46B9" w:rsidRDefault="001D46B9">
      <w:pPr>
        <w:widowControl w:val="0"/>
        <w:pBdr>
          <w:top w:val="nil"/>
          <w:left w:val="nil"/>
          <w:bottom w:val="nil"/>
          <w:right w:val="nil"/>
          <w:between w:val="nil"/>
        </w:pBdr>
        <w:tabs>
          <w:tab w:val="left" w:pos="198"/>
        </w:tabs>
        <w:jc w:val="both"/>
        <w:rPr>
          <w:sz w:val="22"/>
          <w:szCs w:val="22"/>
        </w:rPr>
      </w:pPr>
    </w:p>
    <w:p w14:paraId="48BA2DC7" w14:textId="77777777" w:rsidR="001D46B9" w:rsidRDefault="008D669C">
      <w:pPr>
        <w:widowControl w:val="0"/>
        <w:pBdr>
          <w:top w:val="nil"/>
          <w:left w:val="nil"/>
          <w:bottom w:val="nil"/>
          <w:right w:val="nil"/>
          <w:between w:val="nil"/>
        </w:pBdr>
        <w:tabs>
          <w:tab w:val="left" w:pos="198"/>
        </w:tabs>
        <w:ind w:left="288" w:hanging="288"/>
        <w:jc w:val="both"/>
        <w:rPr>
          <w:sz w:val="22"/>
          <w:szCs w:val="22"/>
        </w:rPr>
      </w:pPr>
      <w:r>
        <w:rPr>
          <w:sz w:val="22"/>
          <w:szCs w:val="22"/>
        </w:rPr>
        <w:t>Cage, E., Jones, E., Ryan, G., Hughes, G., &amp; Spanner, L. (2021). Student mental health and transitions into, through and out of university: student and staff perspec</w:t>
      </w:r>
      <w:r>
        <w:rPr>
          <w:sz w:val="22"/>
          <w:szCs w:val="22"/>
        </w:rPr>
        <w:t xml:space="preserve">tives. Journal </w:t>
      </w:r>
      <w:proofErr w:type="gramStart"/>
      <w:r>
        <w:rPr>
          <w:sz w:val="22"/>
          <w:szCs w:val="22"/>
        </w:rPr>
        <w:t>of  Further</w:t>
      </w:r>
      <w:proofErr w:type="gramEnd"/>
      <w:r>
        <w:rPr>
          <w:sz w:val="22"/>
          <w:szCs w:val="22"/>
        </w:rPr>
        <w:t xml:space="preserve"> and Higher Education, 8, 1076–1089. </w:t>
      </w:r>
      <w:hyperlink r:id="rId13">
        <w:r>
          <w:rPr>
            <w:color w:val="1155CC"/>
            <w:sz w:val="22"/>
            <w:szCs w:val="22"/>
            <w:u w:val="single"/>
          </w:rPr>
          <w:t>https://doi.org/10.1080/0309877x.2021.1875203</w:t>
        </w:r>
      </w:hyperlink>
    </w:p>
    <w:p w14:paraId="297B0FB3" w14:textId="77777777" w:rsidR="001D46B9" w:rsidRDefault="001D46B9">
      <w:pPr>
        <w:widowControl w:val="0"/>
        <w:tabs>
          <w:tab w:val="left" w:pos="198"/>
        </w:tabs>
        <w:ind w:left="288"/>
        <w:jc w:val="both"/>
        <w:rPr>
          <w:sz w:val="22"/>
          <w:szCs w:val="22"/>
        </w:rPr>
      </w:pPr>
    </w:p>
    <w:p w14:paraId="283DA8F7" w14:textId="77777777" w:rsidR="00EE558A" w:rsidRDefault="008D669C" w:rsidP="00EE558A">
      <w:pPr>
        <w:widowControl w:val="0"/>
        <w:tabs>
          <w:tab w:val="left" w:pos="198"/>
        </w:tabs>
        <w:jc w:val="both"/>
        <w:rPr>
          <w:sz w:val="22"/>
          <w:szCs w:val="22"/>
        </w:rPr>
      </w:pPr>
      <w:r>
        <w:rPr>
          <w:sz w:val="22"/>
          <w:szCs w:val="22"/>
        </w:rPr>
        <w:t xml:space="preserve">Creswell, J. W. (2015). Educational Research: </w:t>
      </w:r>
    </w:p>
    <w:p w14:paraId="23169D89" w14:textId="77777777" w:rsidR="00EE558A" w:rsidRDefault="00EE558A" w:rsidP="00EE558A">
      <w:pPr>
        <w:widowControl w:val="0"/>
        <w:tabs>
          <w:tab w:val="left" w:pos="198"/>
        </w:tabs>
        <w:jc w:val="both"/>
        <w:rPr>
          <w:sz w:val="22"/>
          <w:szCs w:val="22"/>
        </w:rPr>
      </w:pPr>
      <w:r>
        <w:rPr>
          <w:sz w:val="22"/>
          <w:szCs w:val="22"/>
        </w:rPr>
        <w:tab/>
      </w:r>
      <w:r w:rsidR="008D669C">
        <w:rPr>
          <w:sz w:val="22"/>
          <w:szCs w:val="22"/>
        </w:rPr>
        <w:t>Planning, Conducting, and Evaluatin</w:t>
      </w:r>
      <w:r w:rsidR="008D669C">
        <w:rPr>
          <w:sz w:val="22"/>
          <w:szCs w:val="22"/>
        </w:rPr>
        <w:t xml:space="preserve">g Quantitative </w:t>
      </w:r>
    </w:p>
    <w:p w14:paraId="5B4687D6" w14:textId="77777777" w:rsidR="00EE558A" w:rsidRDefault="00EE558A" w:rsidP="00EE558A">
      <w:pPr>
        <w:widowControl w:val="0"/>
        <w:tabs>
          <w:tab w:val="left" w:pos="198"/>
        </w:tabs>
        <w:jc w:val="both"/>
        <w:rPr>
          <w:sz w:val="22"/>
          <w:szCs w:val="22"/>
        </w:rPr>
      </w:pPr>
      <w:r>
        <w:rPr>
          <w:sz w:val="22"/>
          <w:szCs w:val="22"/>
        </w:rPr>
        <w:tab/>
      </w:r>
      <w:r w:rsidR="008D669C">
        <w:rPr>
          <w:sz w:val="22"/>
          <w:szCs w:val="22"/>
        </w:rPr>
        <w:t xml:space="preserve">and Qualitative Research (5th ed., p. 339). Pearson </w:t>
      </w:r>
    </w:p>
    <w:p w14:paraId="711608C9" w14:textId="3BD6045E" w:rsidR="001D46B9" w:rsidRDefault="00EE558A" w:rsidP="00EE558A">
      <w:pPr>
        <w:widowControl w:val="0"/>
        <w:tabs>
          <w:tab w:val="left" w:pos="198"/>
        </w:tabs>
        <w:jc w:val="both"/>
        <w:rPr>
          <w:sz w:val="22"/>
          <w:szCs w:val="22"/>
        </w:rPr>
      </w:pPr>
      <w:r>
        <w:rPr>
          <w:sz w:val="22"/>
          <w:szCs w:val="22"/>
        </w:rPr>
        <w:tab/>
      </w:r>
      <w:r w:rsidR="008D669C">
        <w:rPr>
          <w:sz w:val="22"/>
          <w:szCs w:val="22"/>
        </w:rPr>
        <w:t>College Division.</w:t>
      </w:r>
    </w:p>
    <w:p w14:paraId="755C0126" w14:textId="77777777" w:rsidR="001D46B9" w:rsidRDefault="001D46B9">
      <w:pPr>
        <w:widowControl w:val="0"/>
        <w:tabs>
          <w:tab w:val="left" w:pos="198"/>
        </w:tabs>
        <w:ind w:left="288"/>
        <w:jc w:val="both"/>
        <w:rPr>
          <w:sz w:val="22"/>
          <w:szCs w:val="22"/>
        </w:rPr>
      </w:pPr>
    </w:p>
    <w:p w14:paraId="6CA644BE" w14:textId="77777777" w:rsidR="00EE558A" w:rsidRDefault="008D669C" w:rsidP="00EE558A">
      <w:pPr>
        <w:widowControl w:val="0"/>
        <w:tabs>
          <w:tab w:val="left" w:pos="198"/>
        </w:tabs>
        <w:jc w:val="both"/>
        <w:rPr>
          <w:sz w:val="22"/>
          <w:szCs w:val="22"/>
        </w:rPr>
      </w:pPr>
      <w:r>
        <w:rPr>
          <w:sz w:val="22"/>
          <w:szCs w:val="22"/>
        </w:rPr>
        <w:t xml:space="preserve">Deci, E. L., La Guardia, J. G., Moller, A. C., </w:t>
      </w:r>
      <w:proofErr w:type="spellStart"/>
      <w:r>
        <w:rPr>
          <w:sz w:val="22"/>
          <w:szCs w:val="22"/>
        </w:rPr>
        <w:t>Scheiner</w:t>
      </w:r>
      <w:proofErr w:type="spellEnd"/>
      <w:r>
        <w:rPr>
          <w:sz w:val="22"/>
          <w:szCs w:val="22"/>
        </w:rPr>
        <w:t xml:space="preserve">, </w:t>
      </w:r>
    </w:p>
    <w:p w14:paraId="5B4CBFBB" w14:textId="77777777" w:rsidR="00EE558A" w:rsidRDefault="00EE558A" w:rsidP="00EE558A">
      <w:pPr>
        <w:widowControl w:val="0"/>
        <w:tabs>
          <w:tab w:val="left" w:pos="198"/>
        </w:tabs>
        <w:jc w:val="both"/>
        <w:rPr>
          <w:sz w:val="22"/>
          <w:szCs w:val="22"/>
        </w:rPr>
      </w:pPr>
      <w:r>
        <w:rPr>
          <w:sz w:val="22"/>
          <w:szCs w:val="22"/>
        </w:rPr>
        <w:tab/>
      </w:r>
      <w:r w:rsidR="008D669C">
        <w:rPr>
          <w:sz w:val="22"/>
          <w:szCs w:val="22"/>
        </w:rPr>
        <w:t xml:space="preserve">M. J., &amp; Ryan, R. M. (2006). On the benefits of </w:t>
      </w:r>
    </w:p>
    <w:p w14:paraId="5F3ABAEE" w14:textId="77777777" w:rsidR="00EE558A" w:rsidRDefault="00EE558A" w:rsidP="00EE558A">
      <w:pPr>
        <w:widowControl w:val="0"/>
        <w:tabs>
          <w:tab w:val="left" w:pos="198"/>
        </w:tabs>
        <w:jc w:val="both"/>
        <w:rPr>
          <w:sz w:val="22"/>
          <w:szCs w:val="22"/>
        </w:rPr>
      </w:pPr>
      <w:r>
        <w:rPr>
          <w:sz w:val="22"/>
          <w:szCs w:val="22"/>
        </w:rPr>
        <w:tab/>
      </w:r>
      <w:r w:rsidR="008D669C">
        <w:rPr>
          <w:sz w:val="22"/>
          <w:szCs w:val="22"/>
        </w:rPr>
        <w:t xml:space="preserve">giving as well as receiving autonomy support: </w:t>
      </w:r>
    </w:p>
    <w:p w14:paraId="3825A857" w14:textId="77777777" w:rsidR="00EE558A" w:rsidRDefault="00EE558A" w:rsidP="00EE558A">
      <w:pPr>
        <w:widowControl w:val="0"/>
        <w:tabs>
          <w:tab w:val="left" w:pos="198"/>
        </w:tabs>
        <w:jc w:val="both"/>
        <w:rPr>
          <w:sz w:val="22"/>
          <w:szCs w:val="22"/>
        </w:rPr>
      </w:pPr>
      <w:r>
        <w:rPr>
          <w:sz w:val="22"/>
          <w:szCs w:val="22"/>
        </w:rPr>
        <w:tab/>
      </w:r>
      <w:r w:rsidR="008D669C">
        <w:rPr>
          <w:sz w:val="22"/>
          <w:szCs w:val="22"/>
        </w:rPr>
        <w:t xml:space="preserve">Mutuality in close </w:t>
      </w:r>
      <w:r w:rsidR="008D669C">
        <w:rPr>
          <w:sz w:val="22"/>
          <w:szCs w:val="22"/>
        </w:rPr>
        <w:t xml:space="preserve">friendships. Personality and </w:t>
      </w:r>
    </w:p>
    <w:p w14:paraId="65A51201" w14:textId="12C755C4" w:rsidR="001D46B9" w:rsidRDefault="00EE558A" w:rsidP="00EE558A">
      <w:pPr>
        <w:widowControl w:val="0"/>
        <w:tabs>
          <w:tab w:val="left" w:pos="198"/>
        </w:tabs>
        <w:jc w:val="both"/>
        <w:rPr>
          <w:sz w:val="22"/>
          <w:szCs w:val="22"/>
        </w:rPr>
      </w:pPr>
      <w:r>
        <w:rPr>
          <w:sz w:val="22"/>
          <w:szCs w:val="22"/>
        </w:rPr>
        <w:tab/>
      </w:r>
      <w:r w:rsidR="008D669C">
        <w:rPr>
          <w:sz w:val="22"/>
          <w:szCs w:val="22"/>
        </w:rPr>
        <w:t>Social Psychology Bulletin, 32(3), 313-327.</w:t>
      </w:r>
    </w:p>
    <w:p w14:paraId="08B08C4E" w14:textId="77777777" w:rsidR="001D46B9" w:rsidRDefault="001D46B9">
      <w:pPr>
        <w:widowControl w:val="0"/>
        <w:tabs>
          <w:tab w:val="left" w:pos="198"/>
        </w:tabs>
        <w:ind w:left="288"/>
        <w:jc w:val="both"/>
        <w:rPr>
          <w:sz w:val="22"/>
          <w:szCs w:val="22"/>
        </w:rPr>
      </w:pPr>
    </w:p>
    <w:p w14:paraId="0E5AE07D" w14:textId="77777777" w:rsidR="00EE558A" w:rsidRDefault="008D669C" w:rsidP="00EE558A">
      <w:pPr>
        <w:widowControl w:val="0"/>
        <w:tabs>
          <w:tab w:val="left" w:pos="198"/>
        </w:tabs>
        <w:jc w:val="both"/>
        <w:rPr>
          <w:sz w:val="22"/>
          <w:szCs w:val="22"/>
        </w:rPr>
      </w:pPr>
      <w:r>
        <w:rPr>
          <w:sz w:val="22"/>
          <w:szCs w:val="22"/>
        </w:rPr>
        <w:t xml:space="preserve">Faisal, G. G., </w:t>
      </w:r>
      <w:proofErr w:type="spellStart"/>
      <w:r>
        <w:rPr>
          <w:sz w:val="22"/>
          <w:szCs w:val="22"/>
        </w:rPr>
        <w:t>Radeef</w:t>
      </w:r>
      <w:proofErr w:type="spellEnd"/>
      <w:r>
        <w:rPr>
          <w:sz w:val="22"/>
          <w:szCs w:val="22"/>
        </w:rPr>
        <w:t xml:space="preserve">, A. S., </w:t>
      </w:r>
      <w:proofErr w:type="spellStart"/>
      <w:r>
        <w:rPr>
          <w:sz w:val="22"/>
          <w:szCs w:val="22"/>
        </w:rPr>
        <w:t>Basri</w:t>
      </w:r>
      <w:proofErr w:type="spellEnd"/>
      <w:r>
        <w:rPr>
          <w:sz w:val="22"/>
          <w:szCs w:val="22"/>
        </w:rPr>
        <w:t xml:space="preserve">, N. A., &amp; Ibrahim, </w:t>
      </w:r>
    </w:p>
    <w:p w14:paraId="78033AF0" w14:textId="6FC80B07" w:rsidR="001D46B9" w:rsidRDefault="008D669C" w:rsidP="00EE558A">
      <w:pPr>
        <w:widowControl w:val="0"/>
        <w:tabs>
          <w:tab w:val="left" w:pos="198"/>
        </w:tabs>
        <w:ind w:left="198"/>
        <w:jc w:val="both"/>
        <w:rPr>
          <w:sz w:val="22"/>
          <w:szCs w:val="22"/>
        </w:rPr>
      </w:pPr>
      <w:r>
        <w:rPr>
          <w:sz w:val="22"/>
          <w:szCs w:val="22"/>
        </w:rPr>
        <w:t>O. E. (2022). Perceived Social Support Among University Students in Malaysia During Covid-19 Pandemic. Journal of International</w:t>
      </w:r>
      <w:r>
        <w:rPr>
          <w:sz w:val="22"/>
          <w:szCs w:val="22"/>
        </w:rPr>
        <w:t xml:space="preserve"> Dental and Medical Research, 15(3), 1242-1247. </w:t>
      </w:r>
      <w:hyperlink r:id="rId14">
        <w:r>
          <w:rPr>
            <w:color w:val="1155CC"/>
            <w:sz w:val="22"/>
            <w:szCs w:val="22"/>
            <w:u w:val="single"/>
          </w:rPr>
          <w:t>https://www.proquest.com/scholarly-journals/perceived-social-support-among-univ</w:t>
        </w:r>
        <w:r>
          <w:rPr>
            <w:color w:val="1155CC"/>
            <w:sz w:val="22"/>
            <w:szCs w:val="22"/>
            <w:u w:val="single"/>
          </w:rPr>
          <w:t>ersity/docview/2725350029/se-2</w:t>
        </w:r>
      </w:hyperlink>
    </w:p>
    <w:p w14:paraId="2EF908A4" w14:textId="77777777" w:rsidR="001D46B9" w:rsidRDefault="001D46B9">
      <w:pPr>
        <w:widowControl w:val="0"/>
        <w:tabs>
          <w:tab w:val="left" w:pos="198"/>
        </w:tabs>
        <w:jc w:val="both"/>
        <w:rPr>
          <w:sz w:val="22"/>
          <w:szCs w:val="22"/>
        </w:rPr>
      </w:pPr>
    </w:p>
    <w:p w14:paraId="2D6999A7" w14:textId="77777777" w:rsidR="00EE558A" w:rsidRDefault="008D669C" w:rsidP="00EE558A">
      <w:pPr>
        <w:widowControl w:val="0"/>
        <w:tabs>
          <w:tab w:val="left" w:pos="198"/>
        </w:tabs>
        <w:jc w:val="both"/>
        <w:rPr>
          <w:sz w:val="22"/>
          <w:szCs w:val="22"/>
        </w:rPr>
      </w:pPr>
      <w:r>
        <w:rPr>
          <w:sz w:val="22"/>
          <w:szCs w:val="22"/>
        </w:rPr>
        <w:t xml:space="preserve">Gan, S.-W., Ong, L. S., Lee, C. H., &amp; Lin, Y. S. (2020). </w:t>
      </w:r>
    </w:p>
    <w:p w14:paraId="13E5E1F8" w14:textId="77777777" w:rsidR="00EE558A" w:rsidRDefault="008D669C" w:rsidP="00EE558A">
      <w:pPr>
        <w:widowControl w:val="0"/>
        <w:tabs>
          <w:tab w:val="left" w:pos="198"/>
        </w:tabs>
        <w:ind w:left="198"/>
        <w:jc w:val="both"/>
        <w:rPr>
          <w:sz w:val="22"/>
          <w:szCs w:val="22"/>
        </w:rPr>
      </w:pPr>
      <w:r>
        <w:rPr>
          <w:sz w:val="22"/>
          <w:szCs w:val="22"/>
        </w:rPr>
        <w:t>Perceived Social Support and Life Satisfaction of Malaysian Chinese Young Adults: The Mediating</w:t>
      </w:r>
    </w:p>
    <w:p w14:paraId="22CD545F" w14:textId="1AE4AAFA" w:rsidR="001D46B9" w:rsidRDefault="008D669C" w:rsidP="00EE558A">
      <w:pPr>
        <w:widowControl w:val="0"/>
        <w:tabs>
          <w:tab w:val="left" w:pos="198"/>
        </w:tabs>
        <w:ind w:left="720"/>
        <w:jc w:val="both"/>
        <w:rPr>
          <w:sz w:val="22"/>
          <w:szCs w:val="22"/>
        </w:rPr>
      </w:pPr>
      <w:r>
        <w:rPr>
          <w:sz w:val="22"/>
          <w:szCs w:val="22"/>
        </w:rPr>
        <w:lastRenderedPageBreak/>
        <w:t xml:space="preserve">Effect of Loneliness. </w:t>
      </w:r>
      <w:r>
        <w:rPr>
          <w:i/>
          <w:sz w:val="22"/>
          <w:szCs w:val="22"/>
        </w:rPr>
        <w:t>The Journal of Genetic Psychology</w:t>
      </w:r>
      <w:r>
        <w:rPr>
          <w:sz w:val="22"/>
          <w:szCs w:val="22"/>
        </w:rPr>
        <w:t xml:space="preserve">, </w:t>
      </w:r>
      <w:r>
        <w:rPr>
          <w:i/>
          <w:sz w:val="22"/>
          <w:szCs w:val="22"/>
        </w:rPr>
        <w:t>6</w:t>
      </w:r>
      <w:r>
        <w:rPr>
          <w:sz w:val="22"/>
          <w:szCs w:val="22"/>
        </w:rPr>
        <w:t xml:space="preserve">, 458–469. </w:t>
      </w:r>
      <w:hyperlink r:id="rId15">
        <w:r>
          <w:rPr>
            <w:color w:val="1155CC"/>
            <w:sz w:val="22"/>
            <w:szCs w:val="22"/>
            <w:u w:val="single"/>
          </w:rPr>
          <w:t>https://doi.org/10.1080/00221325.2020.1803196</w:t>
        </w:r>
      </w:hyperlink>
    </w:p>
    <w:p w14:paraId="3A2A7D5B" w14:textId="77777777" w:rsidR="001D46B9" w:rsidRDefault="001D46B9">
      <w:pPr>
        <w:widowControl w:val="0"/>
        <w:tabs>
          <w:tab w:val="left" w:pos="198"/>
        </w:tabs>
        <w:ind w:left="288"/>
        <w:jc w:val="both"/>
        <w:rPr>
          <w:sz w:val="22"/>
          <w:szCs w:val="22"/>
        </w:rPr>
      </w:pPr>
    </w:p>
    <w:p w14:paraId="371F88AC" w14:textId="77777777" w:rsidR="00EE558A" w:rsidRDefault="008D669C">
      <w:pPr>
        <w:widowControl w:val="0"/>
        <w:tabs>
          <w:tab w:val="left" w:pos="198"/>
        </w:tabs>
        <w:ind w:left="288"/>
        <w:jc w:val="both"/>
        <w:rPr>
          <w:sz w:val="22"/>
          <w:szCs w:val="22"/>
        </w:rPr>
      </w:pPr>
      <w:proofErr w:type="spellStart"/>
      <w:r>
        <w:rPr>
          <w:sz w:val="22"/>
          <w:szCs w:val="22"/>
        </w:rPr>
        <w:t>Gariépy</w:t>
      </w:r>
      <w:proofErr w:type="spellEnd"/>
      <w:r>
        <w:rPr>
          <w:sz w:val="22"/>
          <w:szCs w:val="22"/>
        </w:rPr>
        <w:t xml:space="preserve">, G., </w:t>
      </w:r>
      <w:proofErr w:type="spellStart"/>
      <w:r>
        <w:rPr>
          <w:sz w:val="22"/>
          <w:szCs w:val="22"/>
        </w:rPr>
        <w:t>Honkaniemi</w:t>
      </w:r>
      <w:proofErr w:type="spellEnd"/>
      <w:r>
        <w:rPr>
          <w:sz w:val="22"/>
          <w:szCs w:val="22"/>
        </w:rPr>
        <w:t>, H., &amp; Quesnel-</w:t>
      </w:r>
      <w:proofErr w:type="spellStart"/>
      <w:r>
        <w:rPr>
          <w:sz w:val="22"/>
          <w:szCs w:val="22"/>
        </w:rPr>
        <w:t>Vallée</w:t>
      </w:r>
      <w:proofErr w:type="spellEnd"/>
      <w:r>
        <w:rPr>
          <w:sz w:val="22"/>
          <w:szCs w:val="22"/>
        </w:rPr>
        <w:t xml:space="preserve">, </w:t>
      </w:r>
    </w:p>
    <w:p w14:paraId="0B17D26B" w14:textId="776797FC" w:rsidR="001D46B9" w:rsidRDefault="008D669C" w:rsidP="00EE558A">
      <w:pPr>
        <w:widowControl w:val="0"/>
        <w:tabs>
          <w:tab w:val="left" w:pos="198"/>
        </w:tabs>
        <w:ind w:left="720"/>
        <w:jc w:val="both"/>
        <w:rPr>
          <w:sz w:val="22"/>
          <w:szCs w:val="22"/>
        </w:rPr>
      </w:pPr>
      <w:r>
        <w:rPr>
          <w:sz w:val="22"/>
          <w:szCs w:val="22"/>
        </w:rPr>
        <w:t>A. (2016). Social support and protection from depression: systematic review of current findings in Western countries. British Journ</w:t>
      </w:r>
      <w:r>
        <w:rPr>
          <w:sz w:val="22"/>
          <w:szCs w:val="22"/>
        </w:rPr>
        <w:t xml:space="preserve">al of Psychiatry, 4, 284–293. </w:t>
      </w:r>
      <w:hyperlink r:id="rId16">
        <w:r>
          <w:rPr>
            <w:color w:val="1155CC"/>
            <w:sz w:val="22"/>
            <w:szCs w:val="22"/>
            <w:u w:val="single"/>
          </w:rPr>
          <w:t>https://doi.org/10.1192/bjp.bp.115.169094</w:t>
        </w:r>
      </w:hyperlink>
    </w:p>
    <w:p w14:paraId="2BF01BDA" w14:textId="77777777" w:rsidR="001D46B9" w:rsidRDefault="001D46B9">
      <w:pPr>
        <w:widowControl w:val="0"/>
        <w:tabs>
          <w:tab w:val="left" w:pos="198"/>
        </w:tabs>
        <w:ind w:left="288"/>
        <w:jc w:val="both"/>
        <w:rPr>
          <w:sz w:val="22"/>
          <w:szCs w:val="22"/>
        </w:rPr>
      </w:pPr>
    </w:p>
    <w:p w14:paraId="66941D91" w14:textId="77777777" w:rsidR="00EE558A" w:rsidRDefault="008D669C">
      <w:pPr>
        <w:widowControl w:val="0"/>
        <w:tabs>
          <w:tab w:val="left" w:pos="198"/>
        </w:tabs>
        <w:ind w:left="288"/>
        <w:jc w:val="both"/>
        <w:rPr>
          <w:sz w:val="22"/>
          <w:szCs w:val="22"/>
        </w:rPr>
      </w:pPr>
      <w:r>
        <w:rPr>
          <w:sz w:val="22"/>
          <w:szCs w:val="22"/>
        </w:rPr>
        <w:t xml:space="preserve">Grey, I., Arora, T., Thomas, J., </w:t>
      </w:r>
      <w:proofErr w:type="spellStart"/>
      <w:r>
        <w:rPr>
          <w:sz w:val="22"/>
          <w:szCs w:val="22"/>
        </w:rPr>
        <w:t>Saneh</w:t>
      </w:r>
      <w:proofErr w:type="spellEnd"/>
      <w:r>
        <w:rPr>
          <w:sz w:val="22"/>
          <w:szCs w:val="22"/>
        </w:rPr>
        <w:t xml:space="preserve">, A., </w:t>
      </w:r>
      <w:proofErr w:type="spellStart"/>
      <w:r>
        <w:rPr>
          <w:sz w:val="22"/>
          <w:szCs w:val="22"/>
        </w:rPr>
        <w:t>Tohme</w:t>
      </w:r>
      <w:proofErr w:type="spellEnd"/>
      <w:r>
        <w:rPr>
          <w:sz w:val="22"/>
          <w:szCs w:val="22"/>
        </w:rPr>
        <w:t xml:space="preserve">, </w:t>
      </w:r>
    </w:p>
    <w:p w14:paraId="356950E3" w14:textId="24050CF5" w:rsidR="001D46B9" w:rsidRDefault="008D669C" w:rsidP="00EE558A">
      <w:pPr>
        <w:widowControl w:val="0"/>
        <w:tabs>
          <w:tab w:val="left" w:pos="198"/>
        </w:tabs>
        <w:ind w:left="720"/>
        <w:jc w:val="both"/>
        <w:rPr>
          <w:sz w:val="22"/>
          <w:szCs w:val="22"/>
        </w:rPr>
      </w:pPr>
      <w:r>
        <w:rPr>
          <w:sz w:val="22"/>
          <w:szCs w:val="22"/>
        </w:rPr>
        <w:t>P., &amp; Abi-Habib, R. (2020). The role of perceived social support on dep</w:t>
      </w:r>
      <w:r>
        <w:rPr>
          <w:sz w:val="22"/>
          <w:szCs w:val="22"/>
        </w:rPr>
        <w:t xml:space="preserve">ression and sleep during the COVID-19 pandemic. Psychiatry Research, 113452. </w:t>
      </w:r>
      <w:hyperlink r:id="rId17">
        <w:r>
          <w:rPr>
            <w:color w:val="1155CC"/>
            <w:sz w:val="22"/>
            <w:szCs w:val="22"/>
            <w:u w:val="single"/>
          </w:rPr>
          <w:t>https://doi.org/10.1016/j.psychres.2020.113452</w:t>
        </w:r>
      </w:hyperlink>
    </w:p>
    <w:p w14:paraId="2450F460" w14:textId="77777777" w:rsidR="001D46B9" w:rsidRDefault="001D46B9">
      <w:pPr>
        <w:widowControl w:val="0"/>
        <w:tabs>
          <w:tab w:val="left" w:pos="198"/>
        </w:tabs>
        <w:ind w:left="288"/>
        <w:jc w:val="both"/>
        <w:rPr>
          <w:sz w:val="22"/>
          <w:szCs w:val="22"/>
        </w:rPr>
      </w:pPr>
    </w:p>
    <w:p w14:paraId="49F9F353" w14:textId="77777777" w:rsidR="00EE558A" w:rsidRDefault="008D669C">
      <w:pPr>
        <w:widowControl w:val="0"/>
        <w:tabs>
          <w:tab w:val="left" w:pos="198"/>
        </w:tabs>
        <w:ind w:left="288"/>
        <w:jc w:val="both"/>
        <w:rPr>
          <w:sz w:val="22"/>
          <w:szCs w:val="22"/>
        </w:rPr>
      </w:pPr>
      <w:r>
        <w:rPr>
          <w:sz w:val="22"/>
          <w:szCs w:val="22"/>
        </w:rPr>
        <w:t xml:space="preserve">Gupta, A., Mishra, P., Pandey, C., Singh, U., </w:t>
      </w:r>
      <w:proofErr w:type="spellStart"/>
      <w:r>
        <w:rPr>
          <w:sz w:val="22"/>
          <w:szCs w:val="22"/>
        </w:rPr>
        <w:t>Sahu</w:t>
      </w:r>
      <w:proofErr w:type="spellEnd"/>
      <w:r>
        <w:rPr>
          <w:sz w:val="22"/>
          <w:szCs w:val="22"/>
        </w:rPr>
        <w:t xml:space="preserve">, </w:t>
      </w:r>
    </w:p>
    <w:p w14:paraId="50BBCD88" w14:textId="21F88E41" w:rsidR="001D46B9" w:rsidRDefault="008D669C" w:rsidP="00EE558A">
      <w:pPr>
        <w:widowControl w:val="0"/>
        <w:tabs>
          <w:tab w:val="left" w:pos="198"/>
        </w:tabs>
        <w:ind w:left="720"/>
        <w:jc w:val="both"/>
        <w:rPr>
          <w:sz w:val="22"/>
          <w:szCs w:val="22"/>
        </w:rPr>
      </w:pPr>
      <w:r>
        <w:rPr>
          <w:sz w:val="22"/>
          <w:szCs w:val="22"/>
        </w:rPr>
        <w:t xml:space="preserve">C., &amp; </w:t>
      </w:r>
      <w:proofErr w:type="spellStart"/>
      <w:r>
        <w:rPr>
          <w:sz w:val="22"/>
          <w:szCs w:val="22"/>
        </w:rPr>
        <w:t>Keshri</w:t>
      </w:r>
      <w:proofErr w:type="spellEnd"/>
      <w:r>
        <w:rPr>
          <w:sz w:val="22"/>
          <w:szCs w:val="22"/>
        </w:rPr>
        <w:t>,</w:t>
      </w:r>
      <w:r>
        <w:rPr>
          <w:sz w:val="22"/>
          <w:szCs w:val="22"/>
        </w:rPr>
        <w:t xml:space="preserve"> A. (2019). Descriptive statistics and normality tests for statistical data. Annals of Cardiac Anaesthesia, 1, 67. </w:t>
      </w:r>
      <w:hyperlink r:id="rId18">
        <w:r>
          <w:rPr>
            <w:color w:val="1155CC"/>
            <w:sz w:val="22"/>
            <w:szCs w:val="22"/>
            <w:u w:val="single"/>
          </w:rPr>
          <w:t>https://doi.org/10.4103/aca.aca_157_18</w:t>
        </w:r>
      </w:hyperlink>
    </w:p>
    <w:p w14:paraId="4FC8BF42" w14:textId="77777777" w:rsidR="001D46B9" w:rsidRDefault="001D46B9">
      <w:pPr>
        <w:widowControl w:val="0"/>
        <w:tabs>
          <w:tab w:val="left" w:pos="198"/>
        </w:tabs>
        <w:ind w:left="288"/>
        <w:jc w:val="both"/>
        <w:rPr>
          <w:sz w:val="22"/>
          <w:szCs w:val="22"/>
        </w:rPr>
      </w:pPr>
    </w:p>
    <w:p w14:paraId="67EEF886" w14:textId="77777777" w:rsidR="00EE558A" w:rsidRDefault="008D669C">
      <w:pPr>
        <w:widowControl w:val="0"/>
        <w:tabs>
          <w:tab w:val="left" w:pos="198"/>
        </w:tabs>
        <w:ind w:left="288"/>
        <w:jc w:val="both"/>
        <w:rPr>
          <w:sz w:val="22"/>
          <w:szCs w:val="22"/>
        </w:rPr>
      </w:pPr>
      <w:proofErr w:type="spellStart"/>
      <w:r>
        <w:rPr>
          <w:sz w:val="22"/>
          <w:szCs w:val="22"/>
        </w:rPr>
        <w:t>Hanafiah</w:t>
      </w:r>
      <w:proofErr w:type="spellEnd"/>
      <w:r>
        <w:rPr>
          <w:sz w:val="22"/>
          <w:szCs w:val="22"/>
        </w:rPr>
        <w:t xml:space="preserve">, A. N., &amp; Van </w:t>
      </w:r>
      <w:proofErr w:type="spellStart"/>
      <w:r>
        <w:rPr>
          <w:sz w:val="22"/>
          <w:szCs w:val="22"/>
        </w:rPr>
        <w:t>Bortel</w:t>
      </w:r>
      <w:proofErr w:type="spellEnd"/>
      <w:r>
        <w:rPr>
          <w:sz w:val="22"/>
          <w:szCs w:val="22"/>
        </w:rPr>
        <w:t>, T. (2015). A</w:t>
      </w:r>
      <w:r>
        <w:rPr>
          <w:sz w:val="22"/>
          <w:szCs w:val="22"/>
        </w:rPr>
        <w:t xml:space="preserve"> </w:t>
      </w:r>
    </w:p>
    <w:p w14:paraId="635E338C" w14:textId="6AD8DA54" w:rsidR="001D46B9" w:rsidRDefault="008D669C" w:rsidP="00EE558A">
      <w:pPr>
        <w:widowControl w:val="0"/>
        <w:tabs>
          <w:tab w:val="left" w:pos="198"/>
        </w:tabs>
        <w:ind w:left="720"/>
        <w:jc w:val="both"/>
        <w:rPr>
          <w:sz w:val="22"/>
          <w:szCs w:val="22"/>
        </w:rPr>
      </w:pPr>
      <w:r>
        <w:rPr>
          <w:sz w:val="22"/>
          <w:szCs w:val="22"/>
        </w:rPr>
        <w:t xml:space="preserve">qualitative exploration of the perspectives of mental health professionals on stigma and discrimination of mental illness in Malaysia. International Journal of Mental Health Systems, 1. </w:t>
      </w:r>
      <w:hyperlink r:id="rId19">
        <w:r>
          <w:rPr>
            <w:color w:val="1155CC"/>
            <w:sz w:val="22"/>
            <w:szCs w:val="22"/>
            <w:u w:val="single"/>
          </w:rPr>
          <w:t>https://</w:t>
        </w:r>
        <w:r>
          <w:rPr>
            <w:color w:val="1155CC"/>
            <w:sz w:val="22"/>
            <w:szCs w:val="22"/>
            <w:u w:val="single"/>
          </w:rPr>
          <w:t>doi.org/10.1186/s13033-015-0002-1</w:t>
        </w:r>
      </w:hyperlink>
    </w:p>
    <w:p w14:paraId="2FEC6344" w14:textId="77777777" w:rsidR="001D46B9" w:rsidRDefault="001D46B9">
      <w:pPr>
        <w:widowControl w:val="0"/>
        <w:tabs>
          <w:tab w:val="left" w:pos="198"/>
        </w:tabs>
        <w:ind w:left="288"/>
        <w:jc w:val="both"/>
        <w:rPr>
          <w:sz w:val="22"/>
          <w:szCs w:val="22"/>
        </w:rPr>
      </w:pPr>
    </w:p>
    <w:p w14:paraId="60F8E317" w14:textId="77777777" w:rsidR="00EE558A" w:rsidRDefault="008D669C">
      <w:pPr>
        <w:widowControl w:val="0"/>
        <w:tabs>
          <w:tab w:val="left" w:pos="198"/>
        </w:tabs>
        <w:ind w:left="288"/>
        <w:jc w:val="both"/>
        <w:rPr>
          <w:sz w:val="22"/>
          <w:szCs w:val="22"/>
        </w:rPr>
      </w:pPr>
      <w:r>
        <w:rPr>
          <w:sz w:val="22"/>
          <w:szCs w:val="22"/>
        </w:rPr>
        <w:t xml:space="preserve">Ibrahim, A. K., Kelly, S. J., &amp; </w:t>
      </w:r>
      <w:proofErr w:type="spellStart"/>
      <w:r>
        <w:rPr>
          <w:sz w:val="22"/>
          <w:szCs w:val="22"/>
        </w:rPr>
        <w:t>Glazebrook</w:t>
      </w:r>
      <w:proofErr w:type="spellEnd"/>
      <w:r>
        <w:rPr>
          <w:sz w:val="22"/>
          <w:szCs w:val="22"/>
        </w:rPr>
        <w:t xml:space="preserve">, C. </w:t>
      </w:r>
    </w:p>
    <w:p w14:paraId="1AA906A4" w14:textId="203CCDCE" w:rsidR="001D46B9" w:rsidRDefault="008D669C" w:rsidP="00EE558A">
      <w:pPr>
        <w:widowControl w:val="0"/>
        <w:tabs>
          <w:tab w:val="left" w:pos="198"/>
        </w:tabs>
        <w:ind w:left="720"/>
        <w:jc w:val="both"/>
        <w:rPr>
          <w:sz w:val="22"/>
          <w:szCs w:val="22"/>
        </w:rPr>
      </w:pPr>
      <w:r>
        <w:rPr>
          <w:sz w:val="22"/>
          <w:szCs w:val="22"/>
        </w:rPr>
        <w:t xml:space="preserve">(2013). Socioeconomic status and the risk of depression among UK higher education students. Social Psychiatry and Psychiatric Epidemiology, 9, 1491–1501. </w:t>
      </w:r>
      <w:hyperlink r:id="rId20">
        <w:r>
          <w:rPr>
            <w:color w:val="1155CC"/>
            <w:sz w:val="22"/>
            <w:szCs w:val="22"/>
            <w:u w:val="single"/>
          </w:rPr>
          <w:t>https://doi.org/10.1007/s00127-013-0663-5</w:t>
        </w:r>
      </w:hyperlink>
    </w:p>
    <w:p w14:paraId="61707A5F" w14:textId="77777777" w:rsidR="001D46B9" w:rsidRDefault="001D46B9">
      <w:pPr>
        <w:widowControl w:val="0"/>
        <w:tabs>
          <w:tab w:val="left" w:pos="198"/>
        </w:tabs>
        <w:ind w:left="288"/>
        <w:jc w:val="both"/>
        <w:rPr>
          <w:sz w:val="22"/>
          <w:szCs w:val="22"/>
        </w:rPr>
      </w:pPr>
    </w:p>
    <w:p w14:paraId="1B384500" w14:textId="77777777" w:rsidR="00EE558A" w:rsidRDefault="008D669C">
      <w:pPr>
        <w:widowControl w:val="0"/>
        <w:tabs>
          <w:tab w:val="left" w:pos="198"/>
        </w:tabs>
        <w:ind w:left="288"/>
        <w:jc w:val="both"/>
        <w:rPr>
          <w:sz w:val="22"/>
          <w:szCs w:val="22"/>
        </w:rPr>
      </w:pPr>
      <w:proofErr w:type="spellStart"/>
      <w:r>
        <w:rPr>
          <w:sz w:val="22"/>
          <w:szCs w:val="22"/>
        </w:rPr>
        <w:t>Ioannou</w:t>
      </w:r>
      <w:proofErr w:type="spellEnd"/>
      <w:r>
        <w:rPr>
          <w:sz w:val="22"/>
          <w:szCs w:val="22"/>
        </w:rPr>
        <w:t xml:space="preserve">, M., </w:t>
      </w:r>
      <w:proofErr w:type="spellStart"/>
      <w:r>
        <w:rPr>
          <w:sz w:val="22"/>
          <w:szCs w:val="22"/>
        </w:rPr>
        <w:t>Kassianos</w:t>
      </w:r>
      <w:proofErr w:type="spellEnd"/>
      <w:r>
        <w:rPr>
          <w:sz w:val="22"/>
          <w:szCs w:val="22"/>
        </w:rPr>
        <w:t xml:space="preserve">, A. P., &amp; </w:t>
      </w:r>
      <w:proofErr w:type="spellStart"/>
      <w:r>
        <w:rPr>
          <w:sz w:val="22"/>
          <w:szCs w:val="22"/>
        </w:rPr>
        <w:t>Symeou</w:t>
      </w:r>
      <w:proofErr w:type="spellEnd"/>
      <w:r>
        <w:rPr>
          <w:sz w:val="22"/>
          <w:szCs w:val="22"/>
        </w:rPr>
        <w:t xml:space="preserve">, M. </w:t>
      </w:r>
    </w:p>
    <w:p w14:paraId="33138294" w14:textId="374AA409" w:rsidR="001D46B9" w:rsidRDefault="008D669C" w:rsidP="00EE558A">
      <w:pPr>
        <w:widowControl w:val="0"/>
        <w:tabs>
          <w:tab w:val="left" w:pos="198"/>
        </w:tabs>
        <w:ind w:left="720"/>
        <w:jc w:val="both"/>
        <w:rPr>
          <w:sz w:val="22"/>
          <w:szCs w:val="22"/>
        </w:rPr>
      </w:pPr>
      <w:r>
        <w:rPr>
          <w:sz w:val="22"/>
          <w:szCs w:val="22"/>
        </w:rPr>
        <w:t>(2019). Coping With Depressive Symptoms in Young Adults: Perceived Social Support Protects Against Depressive Symptoms Only Unde</w:t>
      </w:r>
      <w:r>
        <w:rPr>
          <w:sz w:val="22"/>
          <w:szCs w:val="22"/>
        </w:rPr>
        <w:t xml:space="preserve">r Moderate Levels of Stress. Frontiers in Psychology. </w:t>
      </w:r>
      <w:hyperlink r:id="rId21">
        <w:r>
          <w:rPr>
            <w:color w:val="1155CC"/>
            <w:sz w:val="22"/>
            <w:szCs w:val="22"/>
            <w:u w:val="single"/>
          </w:rPr>
          <w:t>https://doi.org/10.3389/fpsyg.2018.02780</w:t>
        </w:r>
      </w:hyperlink>
    </w:p>
    <w:p w14:paraId="0E85291B" w14:textId="77777777" w:rsidR="001D46B9" w:rsidRDefault="001D46B9">
      <w:pPr>
        <w:widowControl w:val="0"/>
        <w:tabs>
          <w:tab w:val="left" w:pos="198"/>
        </w:tabs>
        <w:ind w:left="288"/>
        <w:jc w:val="both"/>
        <w:rPr>
          <w:sz w:val="22"/>
          <w:szCs w:val="22"/>
        </w:rPr>
      </w:pPr>
    </w:p>
    <w:p w14:paraId="69D98198" w14:textId="77777777" w:rsidR="00EE558A" w:rsidRDefault="008D669C">
      <w:pPr>
        <w:widowControl w:val="0"/>
        <w:tabs>
          <w:tab w:val="left" w:pos="198"/>
        </w:tabs>
        <w:ind w:left="288"/>
        <w:jc w:val="both"/>
        <w:rPr>
          <w:sz w:val="22"/>
          <w:szCs w:val="22"/>
        </w:rPr>
      </w:pPr>
      <w:r>
        <w:rPr>
          <w:sz w:val="22"/>
          <w:szCs w:val="22"/>
        </w:rPr>
        <w:t xml:space="preserve">Islam, Md. A., Yun Low, W., Ting Tong, W., Wan </w:t>
      </w:r>
    </w:p>
    <w:p w14:paraId="2586B346" w14:textId="332891BF" w:rsidR="001D46B9" w:rsidRDefault="008D669C" w:rsidP="00EE558A">
      <w:pPr>
        <w:widowControl w:val="0"/>
        <w:tabs>
          <w:tab w:val="left" w:pos="198"/>
        </w:tabs>
        <w:ind w:left="720"/>
        <w:jc w:val="both"/>
        <w:rPr>
          <w:sz w:val="22"/>
          <w:szCs w:val="22"/>
        </w:rPr>
      </w:pPr>
      <w:r>
        <w:rPr>
          <w:sz w:val="22"/>
          <w:szCs w:val="22"/>
        </w:rPr>
        <w:t xml:space="preserve">Yuen, C. C., &amp; Abdullah, A. (2018). Factors </w:t>
      </w:r>
      <w:r>
        <w:rPr>
          <w:sz w:val="22"/>
          <w:szCs w:val="22"/>
        </w:rPr>
        <w:t>Associate</w:t>
      </w:r>
      <w:r>
        <w:rPr>
          <w:sz w:val="22"/>
          <w:szCs w:val="22"/>
        </w:rPr>
        <w:t xml:space="preserve">d with Depression among University Students in Malaysia: A Cross-sectional Study. </w:t>
      </w:r>
      <w:proofErr w:type="spellStart"/>
      <w:r>
        <w:rPr>
          <w:sz w:val="22"/>
          <w:szCs w:val="22"/>
        </w:rPr>
        <w:t>KnE</w:t>
      </w:r>
      <w:proofErr w:type="spellEnd"/>
      <w:r>
        <w:rPr>
          <w:sz w:val="22"/>
          <w:szCs w:val="22"/>
        </w:rPr>
        <w:t xml:space="preserve"> Publishing, 4, 415. </w:t>
      </w:r>
      <w:hyperlink r:id="rId22">
        <w:r>
          <w:rPr>
            <w:color w:val="1155CC"/>
            <w:sz w:val="22"/>
            <w:szCs w:val="22"/>
            <w:u w:val="single"/>
          </w:rPr>
          <w:t>https://doi.org/10.18502/kls.v4i4.2302</w:t>
        </w:r>
      </w:hyperlink>
    </w:p>
    <w:p w14:paraId="3B983C54" w14:textId="77777777" w:rsidR="001D46B9" w:rsidRDefault="001D46B9">
      <w:pPr>
        <w:widowControl w:val="0"/>
        <w:tabs>
          <w:tab w:val="left" w:pos="198"/>
        </w:tabs>
        <w:ind w:left="288"/>
        <w:jc w:val="both"/>
        <w:rPr>
          <w:sz w:val="22"/>
          <w:szCs w:val="22"/>
        </w:rPr>
      </w:pPr>
    </w:p>
    <w:p w14:paraId="6DAFF47D" w14:textId="77777777" w:rsidR="00EE558A" w:rsidRDefault="008D669C">
      <w:pPr>
        <w:widowControl w:val="0"/>
        <w:tabs>
          <w:tab w:val="left" w:pos="198"/>
        </w:tabs>
        <w:ind w:left="288"/>
        <w:jc w:val="both"/>
        <w:rPr>
          <w:sz w:val="22"/>
          <w:szCs w:val="22"/>
        </w:rPr>
      </w:pPr>
      <w:r>
        <w:rPr>
          <w:sz w:val="22"/>
          <w:szCs w:val="22"/>
        </w:rPr>
        <w:t xml:space="preserve">Ju, Y. J., Kim, W., &amp; Lee, S. Y. (2022). Perceived </w:t>
      </w:r>
    </w:p>
    <w:p w14:paraId="5A4F2952" w14:textId="3E5034DA" w:rsidR="001D46B9" w:rsidRDefault="008D669C" w:rsidP="00EE558A">
      <w:pPr>
        <w:widowControl w:val="0"/>
        <w:tabs>
          <w:tab w:val="left" w:pos="198"/>
        </w:tabs>
        <w:ind w:left="720"/>
        <w:jc w:val="both"/>
        <w:rPr>
          <w:sz w:val="22"/>
          <w:szCs w:val="22"/>
        </w:rPr>
      </w:pPr>
      <w:r>
        <w:rPr>
          <w:sz w:val="22"/>
          <w:szCs w:val="22"/>
        </w:rPr>
        <w:t>s</w:t>
      </w:r>
      <w:r>
        <w:rPr>
          <w:sz w:val="22"/>
          <w:szCs w:val="22"/>
        </w:rPr>
        <w:t xml:space="preserve">ocial support and depressive symptoms during the COVID-19 pandemic: A nationally-representative study. International Journal of Social Psychiatry, 1, 47–55. </w:t>
      </w:r>
      <w:hyperlink r:id="rId23">
        <w:r>
          <w:rPr>
            <w:color w:val="1155CC"/>
            <w:sz w:val="22"/>
            <w:szCs w:val="22"/>
            <w:u w:val="single"/>
          </w:rPr>
          <w:t>https://doi.org/10.1177/00207640211066</w:t>
        </w:r>
        <w:r>
          <w:rPr>
            <w:color w:val="1155CC"/>
            <w:sz w:val="22"/>
            <w:szCs w:val="22"/>
            <w:u w:val="single"/>
          </w:rPr>
          <w:t>737</w:t>
        </w:r>
      </w:hyperlink>
    </w:p>
    <w:p w14:paraId="29F12195" w14:textId="77777777" w:rsidR="001D46B9" w:rsidRDefault="001D46B9">
      <w:pPr>
        <w:widowControl w:val="0"/>
        <w:tabs>
          <w:tab w:val="left" w:pos="198"/>
        </w:tabs>
        <w:ind w:left="288"/>
        <w:jc w:val="both"/>
        <w:rPr>
          <w:sz w:val="22"/>
          <w:szCs w:val="22"/>
        </w:rPr>
      </w:pPr>
    </w:p>
    <w:p w14:paraId="2D645C6A" w14:textId="77777777" w:rsidR="00EE558A" w:rsidRDefault="008D669C">
      <w:pPr>
        <w:widowControl w:val="0"/>
        <w:tabs>
          <w:tab w:val="left" w:pos="198"/>
        </w:tabs>
        <w:ind w:left="288"/>
        <w:jc w:val="both"/>
        <w:rPr>
          <w:sz w:val="22"/>
          <w:szCs w:val="22"/>
        </w:rPr>
      </w:pPr>
      <w:r>
        <w:rPr>
          <w:sz w:val="22"/>
          <w:szCs w:val="22"/>
        </w:rPr>
        <w:t xml:space="preserve">Khalid, N. M.D. (2021). Resilience, perceived </w:t>
      </w:r>
    </w:p>
    <w:p w14:paraId="22A20F19" w14:textId="16D49F66" w:rsidR="001D46B9" w:rsidRDefault="008D669C" w:rsidP="00EE558A">
      <w:pPr>
        <w:widowControl w:val="0"/>
        <w:tabs>
          <w:tab w:val="left" w:pos="198"/>
        </w:tabs>
        <w:ind w:left="720"/>
        <w:jc w:val="both"/>
        <w:rPr>
          <w:sz w:val="22"/>
          <w:szCs w:val="22"/>
        </w:rPr>
      </w:pPr>
      <w:r>
        <w:rPr>
          <w:sz w:val="22"/>
          <w:szCs w:val="22"/>
        </w:rPr>
        <w:t xml:space="preserve">social support and life satisfaction among Malaysia college students. Journal of Nusantara Studies, 6(2), 21-40. </w:t>
      </w:r>
      <w:hyperlink r:id="rId24">
        <w:r>
          <w:rPr>
            <w:color w:val="1155CC"/>
            <w:sz w:val="22"/>
            <w:szCs w:val="22"/>
            <w:u w:val="single"/>
          </w:rPr>
          <w:t>https://doi.org/10.24200/j</w:t>
        </w:r>
        <w:r>
          <w:rPr>
            <w:color w:val="1155CC"/>
            <w:sz w:val="22"/>
            <w:szCs w:val="22"/>
            <w:u w:val="single"/>
          </w:rPr>
          <w:t>onus.vol6iss2pp21-40</w:t>
        </w:r>
      </w:hyperlink>
    </w:p>
    <w:p w14:paraId="3E29EDE0" w14:textId="77777777" w:rsidR="001D46B9" w:rsidRDefault="001D46B9">
      <w:pPr>
        <w:widowControl w:val="0"/>
        <w:tabs>
          <w:tab w:val="left" w:pos="198"/>
        </w:tabs>
        <w:ind w:left="288"/>
        <w:jc w:val="both"/>
        <w:rPr>
          <w:sz w:val="22"/>
          <w:szCs w:val="22"/>
        </w:rPr>
      </w:pPr>
    </w:p>
    <w:p w14:paraId="21BA2515" w14:textId="77777777" w:rsidR="00EE558A" w:rsidRDefault="008D669C">
      <w:pPr>
        <w:widowControl w:val="0"/>
        <w:tabs>
          <w:tab w:val="left" w:pos="198"/>
        </w:tabs>
        <w:ind w:left="288"/>
        <w:jc w:val="both"/>
        <w:rPr>
          <w:sz w:val="22"/>
          <w:szCs w:val="22"/>
        </w:rPr>
      </w:pPr>
      <w:r>
        <w:rPr>
          <w:sz w:val="22"/>
          <w:szCs w:val="22"/>
        </w:rPr>
        <w:t xml:space="preserve">Kennedy, I. (2022). Sample Size Determination in </w:t>
      </w:r>
    </w:p>
    <w:p w14:paraId="69978244" w14:textId="501BA17A" w:rsidR="001D46B9" w:rsidRDefault="008D669C" w:rsidP="00EE558A">
      <w:pPr>
        <w:widowControl w:val="0"/>
        <w:tabs>
          <w:tab w:val="left" w:pos="198"/>
        </w:tabs>
        <w:ind w:left="720"/>
        <w:jc w:val="both"/>
        <w:rPr>
          <w:sz w:val="22"/>
          <w:szCs w:val="22"/>
        </w:rPr>
      </w:pPr>
      <w:r>
        <w:rPr>
          <w:sz w:val="22"/>
          <w:szCs w:val="22"/>
        </w:rPr>
        <w:t xml:space="preserve">Test-Retest and Cronbach Alpha Reliability Estimates. British Journal of Contemporary Education, 1, 17–29. </w:t>
      </w:r>
      <w:hyperlink r:id="rId25">
        <w:r>
          <w:rPr>
            <w:color w:val="1155CC"/>
            <w:sz w:val="22"/>
            <w:szCs w:val="22"/>
            <w:u w:val="single"/>
          </w:rPr>
          <w:t>https://doi.org/10.52589/bjce-fy266hk9</w:t>
        </w:r>
      </w:hyperlink>
    </w:p>
    <w:p w14:paraId="7F6434E8" w14:textId="77777777" w:rsidR="00EE558A" w:rsidRDefault="00EE558A">
      <w:pPr>
        <w:widowControl w:val="0"/>
        <w:tabs>
          <w:tab w:val="left" w:pos="198"/>
        </w:tabs>
        <w:ind w:left="288"/>
        <w:jc w:val="both"/>
        <w:rPr>
          <w:sz w:val="22"/>
          <w:szCs w:val="22"/>
        </w:rPr>
      </w:pPr>
    </w:p>
    <w:p w14:paraId="5F54A6C6" w14:textId="7E44C8A7" w:rsidR="00EE558A" w:rsidRDefault="00EE558A" w:rsidP="00EE558A">
      <w:pPr>
        <w:widowControl w:val="0"/>
        <w:tabs>
          <w:tab w:val="left" w:pos="198"/>
        </w:tabs>
        <w:jc w:val="both"/>
        <w:rPr>
          <w:sz w:val="22"/>
          <w:szCs w:val="22"/>
        </w:rPr>
      </w:pPr>
      <w:r>
        <w:rPr>
          <w:sz w:val="22"/>
          <w:szCs w:val="22"/>
        </w:rPr>
        <w:tab/>
      </w:r>
      <w:r w:rsidR="008D669C">
        <w:rPr>
          <w:sz w:val="22"/>
          <w:szCs w:val="22"/>
        </w:rPr>
        <w:t xml:space="preserve">Kroenke, K., Spitzer, R. L., &amp; Williams, J. B. W. </w:t>
      </w:r>
    </w:p>
    <w:p w14:paraId="746D4703" w14:textId="7CB9A583" w:rsidR="001D46B9" w:rsidRDefault="008D669C" w:rsidP="00EE558A">
      <w:pPr>
        <w:widowControl w:val="0"/>
        <w:tabs>
          <w:tab w:val="left" w:pos="198"/>
        </w:tabs>
        <w:ind w:left="720"/>
        <w:jc w:val="both"/>
        <w:rPr>
          <w:sz w:val="22"/>
          <w:szCs w:val="22"/>
        </w:rPr>
      </w:pPr>
      <w:r>
        <w:rPr>
          <w:sz w:val="22"/>
          <w:szCs w:val="22"/>
        </w:rPr>
        <w:t xml:space="preserve">(2001). The PHQ-9. Journal of General Internal Medicine, 9, 606–613. </w:t>
      </w:r>
      <w:hyperlink r:id="rId26">
        <w:r>
          <w:rPr>
            <w:color w:val="1155CC"/>
            <w:sz w:val="22"/>
            <w:szCs w:val="22"/>
            <w:u w:val="single"/>
          </w:rPr>
          <w:t>https://doi.org/10.1046/j.</w:t>
        </w:r>
        <w:r>
          <w:rPr>
            <w:color w:val="1155CC"/>
            <w:sz w:val="22"/>
            <w:szCs w:val="22"/>
            <w:u w:val="single"/>
          </w:rPr>
          <w:t>1525-1497.2001.016009606.x</w:t>
        </w:r>
      </w:hyperlink>
    </w:p>
    <w:p w14:paraId="1F4A35E7" w14:textId="77777777" w:rsidR="001D46B9" w:rsidRDefault="001D46B9">
      <w:pPr>
        <w:widowControl w:val="0"/>
        <w:tabs>
          <w:tab w:val="left" w:pos="198"/>
        </w:tabs>
        <w:ind w:left="288"/>
        <w:jc w:val="both"/>
        <w:rPr>
          <w:sz w:val="22"/>
          <w:szCs w:val="22"/>
        </w:rPr>
      </w:pPr>
    </w:p>
    <w:p w14:paraId="6503ACFA" w14:textId="77777777" w:rsidR="00EE558A" w:rsidRDefault="008D669C">
      <w:pPr>
        <w:widowControl w:val="0"/>
        <w:tabs>
          <w:tab w:val="left" w:pos="198"/>
        </w:tabs>
        <w:ind w:left="288"/>
        <w:jc w:val="both"/>
        <w:rPr>
          <w:sz w:val="22"/>
          <w:szCs w:val="22"/>
        </w:rPr>
      </w:pPr>
      <w:proofErr w:type="spellStart"/>
      <w:r>
        <w:rPr>
          <w:sz w:val="22"/>
          <w:szCs w:val="22"/>
        </w:rPr>
        <w:t>Leow</w:t>
      </w:r>
      <w:proofErr w:type="spellEnd"/>
      <w:r>
        <w:rPr>
          <w:sz w:val="22"/>
          <w:szCs w:val="22"/>
        </w:rPr>
        <w:t xml:space="preserve">, K., Lee, M., &amp; Lynch, M. F. (2016). Big </w:t>
      </w:r>
    </w:p>
    <w:p w14:paraId="7D02A379" w14:textId="51AC18B7" w:rsidR="001D46B9" w:rsidRDefault="008D669C" w:rsidP="00EE558A">
      <w:pPr>
        <w:widowControl w:val="0"/>
        <w:tabs>
          <w:tab w:val="left" w:pos="198"/>
        </w:tabs>
        <w:ind w:left="720"/>
        <w:jc w:val="both"/>
        <w:rPr>
          <w:sz w:val="22"/>
          <w:szCs w:val="22"/>
        </w:rPr>
      </w:pPr>
      <w:r>
        <w:rPr>
          <w:sz w:val="22"/>
          <w:szCs w:val="22"/>
        </w:rPr>
        <w:t xml:space="preserve">Five personality and depressive symptoms: A Self-Determination Theory perspective on students’ positive relationships with others. Ideas and Research </w:t>
      </w:r>
      <w:proofErr w:type="spellStart"/>
      <w:r>
        <w:rPr>
          <w:sz w:val="22"/>
          <w:szCs w:val="22"/>
        </w:rPr>
        <w:t>YouCan</w:t>
      </w:r>
      <w:proofErr w:type="spellEnd"/>
      <w:r>
        <w:rPr>
          <w:sz w:val="22"/>
          <w:szCs w:val="22"/>
        </w:rPr>
        <w:t xml:space="preserve"> Use: VISTAS 2016. </w:t>
      </w:r>
    </w:p>
    <w:p w14:paraId="694660E0" w14:textId="77777777" w:rsidR="001D46B9" w:rsidRDefault="001D46B9">
      <w:pPr>
        <w:widowControl w:val="0"/>
        <w:tabs>
          <w:tab w:val="left" w:pos="198"/>
        </w:tabs>
        <w:ind w:left="288"/>
        <w:jc w:val="both"/>
        <w:rPr>
          <w:sz w:val="22"/>
          <w:szCs w:val="22"/>
        </w:rPr>
      </w:pPr>
    </w:p>
    <w:p w14:paraId="0BAD022B" w14:textId="77777777" w:rsidR="00EE558A" w:rsidRDefault="008D669C">
      <w:pPr>
        <w:widowControl w:val="0"/>
        <w:tabs>
          <w:tab w:val="left" w:pos="198"/>
        </w:tabs>
        <w:ind w:left="288"/>
        <w:jc w:val="both"/>
        <w:rPr>
          <w:sz w:val="22"/>
          <w:szCs w:val="22"/>
        </w:rPr>
      </w:pPr>
      <w:r>
        <w:rPr>
          <w:sz w:val="22"/>
          <w:szCs w:val="22"/>
        </w:rPr>
        <w:t xml:space="preserve">Liu, </w:t>
      </w:r>
      <w:r>
        <w:rPr>
          <w:sz w:val="22"/>
          <w:szCs w:val="22"/>
        </w:rPr>
        <w:t xml:space="preserve">C. H., Zhang, E., Wong, G. T. F., Hyun, S., &amp; </w:t>
      </w:r>
    </w:p>
    <w:p w14:paraId="4BFF5E65" w14:textId="2A4993F5" w:rsidR="001D46B9" w:rsidRDefault="008D669C" w:rsidP="00EE558A">
      <w:pPr>
        <w:widowControl w:val="0"/>
        <w:tabs>
          <w:tab w:val="left" w:pos="198"/>
        </w:tabs>
        <w:ind w:left="720"/>
        <w:jc w:val="both"/>
        <w:rPr>
          <w:sz w:val="22"/>
          <w:szCs w:val="22"/>
        </w:rPr>
      </w:pPr>
      <w:proofErr w:type="spellStart"/>
      <w:r>
        <w:rPr>
          <w:sz w:val="22"/>
          <w:szCs w:val="22"/>
        </w:rPr>
        <w:t>Hahm</w:t>
      </w:r>
      <w:proofErr w:type="spellEnd"/>
      <w:r>
        <w:rPr>
          <w:sz w:val="22"/>
          <w:szCs w:val="22"/>
        </w:rPr>
        <w:t>, H. “Chris.” (2020). Factors associated with depression, anxiety, and PTSD symptomatology during the COVID-19 pandemic: Clinical implications for U.S. young adult mental health. Psychiatry Research, 113172</w:t>
      </w:r>
      <w:r>
        <w:rPr>
          <w:sz w:val="22"/>
          <w:szCs w:val="22"/>
        </w:rPr>
        <w:t xml:space="preserve">. </w:t>
      </w:r>
      <w:hyperlink r:id="rId27">
        <w:r>
          <w:rPr>
            <w:color w:val="1155CC"/>
            <w:sz w:val="22"/>
            <w:szCs w:val="22"/>
            <w:u w:val="single"/>
          </w:rPr>
          <w:t>https://doi.org/10.1016/j.psychres.2020.113172</w:t>
        </w:r>
      </w:hyperlink>
    </w:p>
    <w:p w14:paraId="1ED52D8C" w14:textId="77777777" w:rsidR="001D46B9" w:rsidRDefault="001D46B9">
      <w:pPr>
        <w:widowControl w:val="0"/>
        <w:tabs>
          <w:tab w:val="left" w:pos="198"/>
        </w:tabs>
        <w:ind w:left="288"/>
        <w:jc w:val="both"/>
        <w:rPr>
          <w:sz w:val="22"/>
          <w:szCs w:val="22"/>
        </w:rPr>
      </w:pPr>
    </w:p>
    <w:p w14:paraId="573C17B2" w14:textId="77777777" w:rsidR="00EE558A" w:rsidRDefault="008D669C">
      <w:pPr>
        <w:widowControl w:val="0"/>
        <w:tabs>
          <w:tab w:val="left" w:pos="198"/>
        </w:tabs>
        <w:ind w:left="288"/>
        <w:jc w:val="both"/>
        <w:rPr>
          <w:sz w:val="22"/>
          <w:szCs w:val="22"/>
        </w:rPr>
      </w:pPr>
      <w:r>
        <w:rPr>
          <w:sz w:val="22"/>
          <w:szCs w:val="22"/>
        </w:rPr>
        <w:t xml:space="preserve">Major, B., </w:t>
      </w:r>
      <w:proofErr w:type="spellStart"/>
      <w:r>
        <w:rPr>
          <w:sz w:val="22"/>
          <w:szCs w:val="22"/>
        </w:rPr>
        <w:t>Cozzarelli</w:t>
      </w:r>
      <w:proofErr w:type="spellEnd"/>
      <w:r>
        <w:rPr>
          <w:sz w:val="22"/>
          <w:szCs w:val="22"/>
        </w:rPr>
        <w:t xml:space="preserve">, C., Horowitz, M. J., </w:t>
      </w:r>
      <w:proofErr w:type="spellStart"/>
      <w:r>
        <w:rPr>
          <w:sz w:val="22"/>
          <w:szCs w:val="22"/>
        </w:rPr>
        <w:t>Colyer</w:t>
      </w:r>
      <w:proofErr w:type="spellEnd"/>
      <w:r>
        <w:rPr>
          <w:sz w:val="22"/>
          <w:szCs w:val="22"/>
        </w:rPr>
        <w:t xml:space="preserve">, </w:t>
      </w:r>
    </w:p>
    <w:p w14:paraId="73411A10" w14:textId="59E7EAC7" w:rsidR="001D46B9" w:rsidRDefault="008D669C" w:rsidP="00EE558A">
      <w:pPr>
        <w:widowControl w:val="0"/>
        <w:tabs>
          <w:tab w:val="left" w:pos="198"/>
        </w:tabs>
        <w:ind w:left="720"/>
        <w:jc w:val="both"/>
        <w:rPr>
          <w:sz w:val="22"/>
          <w:szCs w:val="22"/>
        </w:rPr>
      </w:pPr>
      <w:r>
        <w:rPr>
          <w:sz w:val="22"/>
          <w:szCs w:val="22"/>
        </w:rPr>
        <w:t xml:space="preserve">P. J., Fuchs, L. S., Shapiro, E. S., ... &amp; Nelson, E. L. (2000). </w:t>
      </w:r>
      <w:proofErr w:type="spellStart"/>
      <w:r>
        <w:rPr>
          <w:sz w:val="22"/>
          <w:szCs w:val="22"/>
        </w:rPr>
        <w:t>Encyclopedia</w:t>
      </w:r>
      <w:proofErr w:type="spellEnd"/>
      <w:r>
        <w:rPr>
          <w:sz w:val="22"/>
          <w:szCs w:val="22"/>
        </w:rPr>
        <w:t xml:space="preserve"> of psychol</w:t>
      </w:r>
      <w:r>
        <w:rPr>
          <w:sz w:val="22"/>
          <w:szCs w:val="22"/>
        </w:rPr>
        <w:t xml:space="preserve">ogy: 8 </w:t>
      </w:r>
      <w:r>
        <w:rPr>
          <w:sz w:val="22"/>
          <w:szCs w:val="22"/>
        </w:rPr>
        <w:lastRenderedPageBreak/>
        <w:t>Volume set. New York and Washington: Oxford University Press and the American Psychological Association.</w:t>
      </w:r>
    </w:p>
    <w:p w14:paraId="2391DF96" w14:textId="77777777" w:rsidR="001D46B9" w:rsidRDefault="001D46B9">
      <w:pPr>
        <w:widowControl w:val="0"/>
        <w:tabs>
          <w:tab w:val="left" w:pos="198"/>
        </w:tabs>
        <w:jc w:val="both"/>
        <w:rPr>
          <w:sz w:val="22"/>
          <w:szCs w:val="22"/>
        </w:rPr>
      </w:pPr>
    </w:p>
    <w:p w14:paraId="33F8DFC4" w14:textId="77777777" w:rsidR="00EE558A" w:rsidRDefault="008D669C">
      <w:pPr>
        <w:widowControl w:val="0"/>
        <w:tabs>
          <w:tab w:val="left" w:pos="198"/>
        </w:tabs>
        <w:ind w:left="288"/>
        <w:jc w:val="both"/>
        <w:rPr>
          <w:sz w:val="22"/>
          <w:szCs w:val="22"/>
        </w:rPr>
      </w:pPr>
      <w:proofErr w:type="spellStart"/>
      <w:r>
        <w:rPr>
          <w:sz w:val="22"/>
          <w:szCs w:val="22"/>
        </w:rPr>
        <w:t>Maymon</w:t>
      </w:r>
      <w:proofErr w:type="spellEnd"/>
      <w:r>
        <w:rPr>
          <w:sz w:val="22"/>
          <w:szCs w:val="22"/>
        </w:rPr>
        <w:t xml:space="preserve">, R., Hall, N. C., &amp; Harley, J. M. (2019). </w:t>
      </w:r>
    </w:p>
    <w:p w14:paraId="2E3B3611" w14:textId="2897D2AC" w:rsidR="001D46B9" w:rsidRDefault="008D669C" w:rsidP="00EE558A">
      <w:pPr>
        <w:widowControl w:val="0"/>
        <w:tabs>
          <w:tab w:val="left" w:pos="198"/>
        </w:tabs>
        <w:ind w:left="720"/>
        <w:jc w:val="both"/>
        <w:rPr>
          <w:sz w:val="22"/>
          <w:szCs w:val="22"/>
        </w:rPr>
      </w:pPr>
      <w:r>
        <w:rPr>
          <w:sz w:val="22"/>
          <w:szCs w:val="22"/>
        </w:rPr>
        <w:t xml:space="preserve">Supporting First-Year Students During the Transition to Higher Education: The Importance of Quality and Source of Received Support for Student Well-Being. Student Success, 3, 64–75. </w:t>
      </w:r>
      <w:hyperlink r:id="rId28">
        <w:r>
          <w:rPr>
            <w:color w:val="1155CC"/>
            <w:sz w:val="22"/>
            <w:szCs w:val="22"/>
            <w:u w:val="single"/>
          </w:rPr>
          <w:t>https://doi.org/10.5204/ssj.v10i3.1407</w:t>
        </w:r>
      </w:hyperlink>
    </w:p>
    <w:p w14:paraId="3095E2F9" w14:textId="77777777" w:rsidR="001D46B9" w:rsidRDefault="001D46B9">
      <w:pPr>
        <w:widowControl w:val="0"/>
        <w:tabs>
          <w:tab w:val="left" w:pos="198"/>
        </w:tabs>
        <w:ind w:left="288"/>
        <w:jc w:val="both"/>
        <w:rPr>
          <w:sz w:val="22"/>
          <w:szCs w:val="22"/>
        </w:rPr>
      </w:pPr>
    </w:p>
    <w:p w14:paraId="53FA6809" w14:textId="77777777" w:rsidR="00EE558A" w:rsidRDefault="008D669C">
      <w:pPr>
        <w:widowControl w:val="0"/>
        <w:tabs>
          <w:tab w:val="left" w:pos="198"/>
        </w:tabs>
        <w:ind w:left="288"/>
        <w:jc w:val="both"/>
        <w:rPr>
          <w:sz w:val="22"/>
          <w:szCs w:val="22"/>
        </w:rPr>
      </w:pPr>
      <w:r>
        <w:rPr>
          <w:sz w:val="22"/>
          <w:szCs w:val="22"/>
        </w:rPr>
        <w:t xml:space="preserve">McDougall, M. A., Walsh, M., </w:t>
      </w:r>
      <w:proofErr w:type="spellStart"/>
      <w:r>
        <w:rPr>
          <w:sz w:val="22"/>
          <w:szCs w:val="22"/>
        </w:rPr>
        <w:t>Wattier</w:t>
      </w:r>
      <w:proofErr w:type="spellEnd"/>
      <w:r>
        <w:rPr>
          <w:sz w:val="22"/>
          <w:szCs w:val="22"/>
        </w:rPr>
        <w:t xml:space="preserve">, K., </w:t>
      </w:r>
      <w:proofErr w:type="spellStart"/>
      <w:r>
        <w:rPr>
          <w:sz w:val="22"/>
          <w:szCs w:val="22"/>
        </w:rPr>
        <w:t>Knigge</w:t>
      </w:r>
      <w:proofErr w:type="spellEnd"/>
      <w:r>
        <w:rPr>
          <w:sz w:val="22"/>
          <w:szCs w:val="22"/>
        </w:rPr>
        <w:t xml:space="preserve">, </w:t>
      </w:r>
    </w:p>
    <w:p w14:paraId="01313829" w14:textId="7190EE72" w:rsidR="001D46B9" w:rsidRDefault="008D669C" w:rsidP="00EE558A">
      <w:pPr>
        <w:widowControl w:val="0"/>
        <w:tabs>
          <w:tab w:val="left" w:pos="198"/>
        </w:tabs>
        <w:ind w:left="720"/>
        <w:jc w:val="both"/>
        <w:rPr>
          <w:sz w:val="22"/>
          <w:szCs w:val="22"/>
        </w:rPr>
      </w:pPr>
      <w:r>
        <w:rPr>
          <w:sz w:val="22"/>
          <w:szCs w:val="22"/>
        </w:rPr>
        <w:t xml:space="preserve">R., Miller, L., </w:t>
      </w:r>
      <w:proofErr w:type="spellStart"/>
      <w:r>
        <w:rPr>
          <w:sz w:val="22"/>
          <w:szCs w:val="22"/>
        </w:rPr>
        <w:t>Stevermer</w:t>
      </w:r>
      <w:proofErr w:type="spellEnd"/>
      <w:r>
        <w:rPr>
          <w:sz w:val="22"/>
          <w:szCs w:val="22"/>
        </w:rPr>
        <w:t>, M., &amp; Fogas, B. S. (2016). The effect of social networking sites on the relationship between perceived soc</w:t>
      </w:r>
      <w:r>
        <w:rPr>
          <w:sz w:val="22"/>
          <w:szCs w:val="22"/>
        </w:rPr>
        <w:t xml:space="preserve">ial support and depression. Psychiatry Research, 223–229. </w:t>
      </w:r>
      <w:hyperlink r:id="rId29">
        <w:r>
          <w:rPr>
            <w:color w:val="1155CC"/>
            <w:sz w:val="22"/>
            <w:szCs w:val="22"/>
            <w:u w:val="single"/>
          </w:rPr>
          <w:t>https://doi.org/10.1016/j.psychres.2016.09.018</w:t>
        </w:r>
      </w:hyperlink>
    </w:p>
    <w:p w14:paraId="58443E3B" w14:textId="77777777" w:rsidR="001D46B9" w:rsidRDefault="001D46B9">
      <w:pPr>
        <w:widowControl w:val="0"/>
        <w:tabs>
          <w:tab w:val="left" w:pos="198"/>
        </w:tabs>
        <w:ind w:left="288"/>
        <w:jc w:val="both"/>
        <w:rPr>
          <w:sz w:val="22"/>
          <w:szCs w:val="22"/>
        </w:rPr>
      </w:pPr>
    </w:p>
    <w:p w14:paraId="24DFAA1E" w14:textId="77777777" w:rsidR="00EE558A" w:rsidRDefault="008D669C">
      <w:pPr>
        <w:widowControl w:val="0"/>
        <w:tabs>
          <w:tab w:val="left" w:pos="198"/>
        </w:tabs>
        <w:ind w:left="288"/>
        <w:jc w:val="both"/>
        <w:rPr>
          <w:sz w:val="22"/>
          <w:szCs w:val="22"/>
        </w:rPr>
      </w:pPr>
      <w:r>
        <w:rPr>
          <w:sz w:val="22"/>
          <w:szCs w:val="22"/>
        </w:rPr>
        <w:t xml:space="preserve">McLean, L., Gaul, D., &amp; </w:t>
      </w:r>
      <w:proofErr w:type="spellStart"/>
      <w:r>
        <w:rPr>
          <w:sz w:val="22"/>
          <w:szCs w:val="22"/>
        </w:rPr>
        <w:t>Penco</w:t>
      </w:r>
      <w:proofErr w:type="spellEnd"/>
      <w:r>
        <w:rPr>
          <w:sz w:val="22"/>
          <w:szCs w:val="22"/>
        </w:rPr>
        <w:t xml:space="preserve">, R. (2022). </w:t>
      </w:r>
    </w:p>
    <w:p w14:paraId="4D144642" w14:textId="6BE14AA2" w:rsidR="001D46B9" w:rsidRDefault="008D669C" w:rsidP="00EE558A">
      <w:pPr>
        <w:widowControl w:val="0"/>
        <w:tabs>
          <w:tab w:val="left" w:pos="198"/>
        </w:tabs>
        <w:ind w:left="720"/>
        <w:jc w:val="both"/>
        <w:rPr>
          <w:sz w:val="22"/>
          <w:szCs w:val="22"/>
        </w:rPr>
      </w:pPr>
      <w:r>
        <w:rPr>
          <w:sz w:val="22"/>
          <w:szCs w:val="22"/>
        </w:rPr>
        <w:t xml:space="preserve">Perceived Social Support and Stress: </w:t>
      </w:r>
      <w:proofErr w:type="gramStart"/>
      <w:r>
        <w:rPr>
          <w:sz w:val="22"/>
          <w:szCs w:val="22"/>
        </w:rPr>
        <w:t>a</w:t>
      </w:r>
      <w:proofErr w:type="gramEnd"/>
      <w:r>
        <w:rPr>
          <w:sz w:val="22"/>
          <w:szCs w:val="22"/>
        </w:rPr>
        <w:t xml:space="preserve"> Stu</w:t>
      </w:r>
      <w:r>
        <w:rPr>
          <w:sz w:val="22"/>
          <w:szCs w:val="22"/>
        </w:rPr>
        <w:t xml:space="preserve">dy of 1st Year Students in Ireland. International Journal of Mental Health and Addiction. </w:t>
      </w:r>
      <w:hyperlink r:id="rId30">
        <w:r>
          <w:rPr>
            <w:color w:val="1155CC"/>
            <w:sz w:val="22"/>
            <w:szCs w:val="22"/>
            <w:u w:val="single"/>
          </w:rPr>
          <w:t>https://doi.org/10.1007/s11469-021-00710-z</w:t>
        </w:r>
      </w:hyperlink>
    </w:p>
    <w:p w14:paraId="1DD83BB4" w14:textId="77777777" w:rsidR="001D46B9" w:rsidRDefault="001D46B9">
      <w:pPr>
        <w:widowControl w:val="0"/>
        <w:tabs>
          <w:tab w:val="left" w:pos="198"/>
        </w:tabs>
        <w:ind w:left="288"/>
        <w:jc w:val="both"/>
        <w:rPr>
          <w:sz w:val="22"/>
          <w:szCs w:val="22"/>
        </w:rPr>
      </w:pPr>
    </w:p>
    <w:p w14:paraId="7ED63CBB" w14:textId="77777777" w:rsidR="00F05241" w:rsidRDefault="008D669C">
      <w:pPr>
        <w:widowControl w:val="0"/>
        <w:tabs>
          <w:tab w:val="left" w:pos="198"/>
        </w:tabs>
        <w:ind w:left="288"/>
        <w:jc w:val="both"/>
        <w:rPr>
          <w:sz w:val="22"/>
          <w:szCs w:val="22"/>
        </w:rPr>
      </w:pPr>
      <w:r>
        <w:rPr>
          <w:sz w:val="22"/>
          <w:szCs w:val="22"/>
        </w:rPr>
        <w:t xml:space="preserve">Mishra, S. (2020). Social networks, social capital, </w:t>
      </w:r>
    </w:p>
    <w:p w14:paraId="0B77272F" w14:textId="15752DD8" w:rsidR="001D46B9" w:rsidRDefault="008D669C" w:rsidP="00F05241">
      <w:pPr>
        <w:widowControl w:val="0"/>
        <w:tabs>
          <w:tab w:val="left" w:pos="198"/>
        </w:tabs>
        <w:ind w:left="720"/>
        <w:jc w:val="both"/>
        <w:rPr>
          <w:sz w:val="22"/>
          <w:szCs w:val="22"/>
        </w:rPr>
      </w:pPr>
      <w:r>
        <w:rPr>
          <w:sz w:val="22"/>
          <w:szCs w:val="22"/>
        </w:rPr>
        <w:t>social s</w:t>
      </w:r>
      <w:r>
        <w:rPr>
          <w:sz w:val="22"/>
          <w:szCs w:val="22"/>
        </w:rPr>
        <w:t xml:space="preserve">upport and academic success in higher education: A systematic review with a special focus on ‘underrepresented’ students. Educational Research Review, 100307. </w:t>
      </w:r>
      <w:hyperlink r:id="rId31">
        <w:r>
          <w:rPr>
            <w:color w:val="1155CC"/>
            <w:sz w:val="22"/>
            <w:szCs w:val="22"/>
            <w:u w:val="single"/>
          </w:rPr>
          <w:t>https://doi.org/10.1016/j.edurev.</w:t>
        </w:r>
        <w:r>
          <w:rPr>
            <w:color w:val="1155CC"/>
            <w:sz w:val="22"/>
            <w:szCs w:val="22"/>
            <w:u w:val="single"/>
          </w:rPr>
          <w:t>2019.100307</w:t>
        </w:r>
      </w:hyperlink>
    </w:p>
    <w:p w14:paraId="7526F1CA" w14:textId="77777777" w:rsidR="001D46B9" w:rsidRDefault="001D46B9">
      <w:pPr>
        <w:widowControl w:val="0"/>
        <w:tabs>
          <w:tab w:val="left" w:pos="198"/>
        </w:tabs>
        <w:jc w:val="both"/>
        <w:rPr>
          <w:sz w:val="22"/>
          <w:szCs w:val="22"/>
          <w:highlight w:val="cyan"/>
        </w:rPr>
      </w:pPr>
    </w:p>
    <w:p w14:paraId="7216C9AA" w14:textId="77777777" w:rsidR="001D46B9" w:rsidRDefault="001D46B9">
      <w:pPr>
        <w:widowControl w:val="0"/>
        <w:tabs>
          <w:tab w:val="left" w:pos="198"/>
        </w:tabs>
        <w:ind w:left="288"/>
        <w:jc w:val="both"/>
        <w:rPr>
          <w:sz w:val="22"/>
          <w:szCs w:val="22"/>
        </w:rPr>
      </w:pPr>
    </w:p>
    <w:p w14:paraId="1C96F1D3" w14:textId="77777777" w:rsidR="00F05241" w:rsidRDefault="008D669C">
      <w:pPr>
        <w:widowControl w:val="0"/>
        <w:tabs>
          <w:tab w:val="left" w:pos="198"/>
        </w:tabs>
        <w:ind w:left="288"/>
        <w:jc w:val="both"/>
        <w:rPr>
          <w:sz w:val="22"/>
          <w:szCs w:val="22"/>
        </w:rPr>
      </w:pPr>
      <w:proofErr w:type="spellStart"/>
      <w:r>
        <w:rPr>
          <w:sz w:val="22"/>
          <w:szCs w:val="22"/>
        </w:rPr>
        <w:t>Mohd</w:t>
      </w:r>
      <w:proofErr w:type="spellEnd"/>
      <w:r>
        <w:rPr>
          <w:sz w:val="22"/>
          <w:szCs w:val="22"/>
        </w:rPr>
        <w:t xml:space="preserve"> </w:t>
      </w:r>
      <w:proofErr w:type="spellStart"/>
      <w:r>
        <w:rPr>
          <w:sz w:val="22"/>
          <w:szCs w:val="22"/>
        </w:rPr>
        <w:t>Sidik</w:t>
      </w:r>
      <w:proofErr w:type="spellEnd"/>
      <w:r>
        <w:rPr>
          <w:sz w:val="22"/>
          <w:szCs w:val="22"/>
        </w:rPr>
        <w:t xml:space="preserve">, S., </w:t>
      </w:r>
      <w:proofErr w:type="spellStart"/>
      <w:r>
        <w:rPr>
          <w:sz w:val="22"/>
          <w:szCs w:val="22"/>
        </w:rPr>
        <w:t>Arroll</w:t>
      </w:r>
      <w:proofErr w:type="spellEnd"/>
      <w:r>
        <w:rPr>
          <w:sz w:val="22"/>
          <w:szCs w:val="22"/>
        </w:rPr>
        <w:t xml:space="preserve">, B., &amp; Goodyear-Smith, F. </w:t>
      </w:r>
    </w:p>
    <w:p w14:paraId="6F43858D" w14:textId="4359DD89" w:rsidR="001D46B9" w:rsidRDefault="008D669C" w:rsidP="00F05241">
      <w:pPr>
        <w:widowControl w:val="0"/>
        <w:tabs>
          <w:tab w:val="left" w:pos="198"/>
        </w:tabs>
        <w:ind w:left="720"/>
        <w:jc w:val="both"/>
        <w:rPr>
          <w:sz w:val="22"/>
          <w:szCs w:val="22"/>
        </w:rPr>
      </w:pPr>
      <w:r>
        <w:rPr>
          <w:sz w:val="22"/>
          <w:szCs w:val="22"/>
        </w:rPr>
        <w:t>(2012). Criterion Validity of the PHQ-9 (Malay Version) in a Primary Care Clinic in Malaysia. The Medical Journal of Malaysia. 67. 309-15.</w:t>
      </w:r>
    </w:p>
    <w:p w14:paraId="0C6769BD" w14:textId="77777777" w:rsidR="001D46B9" w:rsidRDefault="001D46B9">
      <w:pPr>
        <w:widowControl w:val="0"/>
        <w:tabs>
          <w:tab w:val="left" w:pos="198"/>
        </w:tabs>
        <w:ind w:left="288"/>
        <w:jc w:val="both"/>
        <w:rPr>
          <w:sz w:val="22"/>
          <w:szCs w:val="22"/>
        </w:rPr>
      </w:pPr>
    </w:p>
    <w:p w14:paraId="0664FFBA" w14:textId="77777777" w:rsidR="00F05241" w:rsidRDefault="008D669C">
      <w:pPr>
        <w:widowControl w:val="0"/>
        <w:tabs>
          <w:tab w:val="left" w:pos="198"/>
        </w:tabs>
        <w:ind w:left="288"/>
        <w:jc w:val="both"/>
        <w:rPr>
          <w:sz w:val="22"/>
          <w:szCs w:val="22"/>
        </w:rPr>
      </w:pPr>
      <w:r>
        <w:rPr>
          <w:sz w:val="22"/>
          <w:szCs w:val="22"/>
        </w:rPr>
        <w:t xml:space="preserve">Moy, F. M., &amp; Ng, Y. H. (2021). Perception </w:t>
      </w:r>
    </w:p>
    <w:p w14:paraId="76502058" w14:textId="57B6DECD" w:rsidR="001D46B9" w:rsidRDefault="008D669C" w:rsidP="00F05241">
      <w:pPr>
        <w:widowControl w:val="0"/>
        <w:tabs>
          <w:tab w:val="left" w:pos="198"/>
        </w:tabs>
        <w:ind w:left="720"/>
        <w:jc w:val="both"/>
        <w:rPr>
          <w:sz w:val="22"/>
          <w:szCs w:val="22"/>
        </w:rPr>
      </w:pPr>
      <w:r>
        <w:rPr>
          <w:sz w:val="22"/>
          <w:szCs w:val="22"/>
        </w:rPr>
        <w:t>towards E-</w:t>
      </w:r>
      <w:r>
        <w:rPr>
          <w:sz w:val="22"/>
          <w:szCs w:val="22"/>
        </w:rPr>
        <w:t xml:space="preserve">learning and COVID-19 on the mental health status of university students in Malaysia. Science Progress, 3, 003685042110298. </w:t>
      </w:r>
      <w:hyperlink r:id="rId32">
        <w:r>
          <w:rPr>
            <w:color w:val="1155CC"/>
            <w:sz w:val="22"/>
            <w:szCs w:val="22"/>
            <w:u w:val="single"/>
          </w:rPr>
          <w:t>https://doi.org/10.1177/00368504211029812</w:t>
        </w:r>
      </w:hyperlink>
    </w:p>
    <w:p w14:paraId="7AF5C202" w14:textId="77777777" w:rsidR="001D46B9" w:rsidRDefault="001D46B9">
      <w:pPr>
        <w:widowControl w:val="0"/>
        <w:tabs>
          <w:tab w:val="left" w:pos="198"/>
        </w:tabs>
        <w:ind w:left="288"/>
        <w:jc w:val="both"/>
        <w:rPr>
          <w:sz w:val="22"/>
          <w:szCs w:val="22"/>
        </w:rPr>
      </w:pPr>
    </w:p>
    <w:p w14:paraId="782977A8" w14:textId="77777777" w:rsidR="00F05241" w:rsidRDefault="008D669C">
      <w:pPr>
        <w:widowControl w:val="0"/>
        <w:tabs>
          <w:tab w:val="left" w:pos="198"/>
        </w:tabs>
        <w:ind w:left="288"/>
        <w:jc w:val="both"/>
        <w:rPr>
          <w:sz w:val="22"/>
          <w:szCs w:val="22"/>
        </w:rPr>
      </w:pPr>
      <w:r>
        <w:rPr>
          <w:sz w:val="22"/>
          <w:szCs w:val="22"/>
        </w:rPr>
        <w:t xml:space="preserve">Raman, B. A. P., </w:t>
      </w:r>
      <w:proofErr w:type="spellStart"/>
      <w:r>
        <w:rPr>
          <w:sz w:val="22"/>
          <w:szCs w:val="22"/>
        </w:rPr>
        <w:t>Sriperumbud</w:t>
      </w:r>
      <w:r>
        <w:rPr>
          <w:sz w:val="22"/>
          <w:szCs w:val="22"/>
        </w:rPr>
        <w:t>uru</w:t>
      </w:r>
      <w:proofErr w:type="spellEnd"/>
      <w:r>
        <w:rPr>
          <w:sz w:val="22"/>
          <w:szCs w:val="22"/>
        </w:rPr>
        <w:t xml:space="preserve">, V. P. K., Ghazi, </w:t>
      </w:r>
    </w:p>
    <w:p w14:paraId="4120B240" w14:textId="6064DF0B" w:rsidR="001D46B9" w:rsidRDefault="008D669C" w:rsidP="00F05241">
      <w:pPr>
        <w:widowControl w:val="0"/>
        <w:tabs>
          <w:tab w:val="left" w:pos="198"/>
        </w:tabs>
        <w:ind w:left="720"/>
        <w:jc w:val="both"/>
        <w:rPr>
          <w:sz w:val="22"/>
          <w:szCs w:val="22"/>
        </w:rPr>
      </w:pPr>
      <w:r>
        <w:rPr>
          <w:sz w:val="22"/>
          <w:szCs w:val="22"/>
        </w:rPr>
        <w:t xml:space="preserve">H. F., Saleem, F., &amp; </w:t>
      </w:r>
      <w:proofErr w:type="spellStart"/>
      <w:r>
        <w:rPr>
          <w:sz w:val="22"/>
          <w:szCs w:val="22"/>
        </w:rPr>
        <w:t>Dalayi</w:t>
      </w:r>
      <w:proofErr w:type="spellEnd"/>
      <w:r>
        <w:rPr>
          <w:sz w:val="22"/>
          <w:szCs w:val="22"/>
        </w:rPr>
        <w:t xml:space="preserve">, N. J. (2019). Study of Mental Health and Attitude towards </w:t>
      </w:r>
      <w:r>
        <w:rPr>
          <w:sz w:val="22"/>
          <w:szCs w:val="22"/>
        </w:rPr>
        <w:t xml:space="preserve">Psychological Help Seeking among Management and Science University Students. Indian Journal of Public Health Research &amp;amp; Development, 1, 612. </w:t>
      </w:r>
      <w:hyperlink r:id="rId33">
        <w:r>
          <w:rPr>
            <w:color w:val="1155CC"/>
            <w:sz w:val="22"/>
            <w:szCs w:val="22"/>
            <w:u w:val="single"/>
          </w:rPr>
          <w:t>https://doi.org/10.5958/0976-5506.2019.00120.7</w:t>
        </w:r>
      </w:hyperlink>
    </w:p>
    <w:p w14:paraId="1E630DE7" w14:textId="77777777" w:rsidR="001D46B9" w:rsidRDefault="001D46B9">
      <w:pPr>
        <w:widowControl w:val="0"/>
        <w:tabs>
          <w:tab w:val="left" w:pos="198"/>
        </w:tabs>
        <w:jc w:val="both"/>
        <w:rPr>
          <w:sz w:val="22"/>
          <w:szCs w:val="22"/>
        </w:rPr>
      </w:pPr>
    </w:p>
    <w:p w14:paraId="216E62E8" w14:textId="77777777" w:rsidR="00F05241" w:rsidRDefault="008D669C">
      <w:pPr>
        <w:widowControl w:val="0"/>
        <w:tabs>
          <w:tab w:val="left" w:pos="198"/>
        </w:tabs>
        <w:ind w:left="288"/>
        <w:jc w:val="both"/>
        <w:rPr>
          <w:sz w:val="22"/>
          <w:szCs w:val="22"/>
        </w:rPr>
      </w:pPr>
      <w:r>
        <w:rPr>
          <w:sz w:val="22"/>
          <w:szCs w:val="22"/>
        </w:rPr>
        <w:t xml:space="preserve">Ramaswamy, V., </w:t>
      </w:r>
      <w:proofErr w:type="spellStart"/>
      <w:r>
        <w:rPr>
          <w:sz w:val="22"/>
          <w:szCs w:val="22"/>
        </w:rPr>
        <w:t>Aroian</w:t>
      </w:r>
      <w:proofErr w:type="spellEnd"/>
      <w:r>
        <w:rPr>
          <w:sz w:val="22"/>
          <w:szCs w:val="22"/>
        </w:rPr>
        <w:t xml:space="preserve">, K. J., &amp; Templin, T. </w:t>
      </w:r>
    </w:p>
    <w:p w14:paraId="591929CA" w14:textId="62E63358" w:rsidR="001D46B9" w:rsidRDefault="008D669C" w:rsidP="00F05241">
      <w:pPr>
        <w:widowControl w:val="0"/>
        <w:tabs>
          <w:tab w:val="left" w:pos="198"/>
        </w:tabs>
        <w:ind w:left="720"/>
        <w:jc w:val="both"/>
        <w:rPr>
          <w:sz w:val="22"/>
          <w:szCs w:val="22"/>
        </w:rPr>
      </w:pPr>
      <w:r>
        <w:rPr>
          <w:sz w:val="22"/>
          <w:szCs w:val="22"/>
        </w:rPr>
        <w:t>(2009). Adaptation and psychometric evaluation of the multidimensional scale of perceived social sup</w:t>
      </w:r>
      <w:r>
        <w:rPr>
          <w:sz w:val="22"/>
          <w:szCs w:val="22"/>
        </w:rPr>
        <w:t xml:space="preserve">port for Arab American adolescents. </w:t>
      </w:r>
      <w:proofErr w:type="spellStart"/>
      <w:r>
        <w:rPr>
          <w:sz w:val="22"/>
          <w:szCs w:val="22"/>
        </w:rPr>
        <w:t>AmericanJournal</w:t>
      </w:r>
      <w:proofErr w:type="spellEnd"/>
      <w:r>
        <w:rPr>
          <w:sz w:val="22"/>
          <w:szCs w:val="22"/>
        </w:rPr>
        <w:t xml:space="preserve"> of Community Psychology, 43(1-2), 49-56 </w:t>
      </w:r>
    </w:p>
    <w:p w14:paraId="3565002D" w14:textId="77777777" w:rsidR="001D46B9" w:rsidRDefault="001D46B9">
      <w:pPr>
        <w:widowControl w:val="0"/>
        <w:tabs>
          <w:tab w:val="left" w:pos="198"/>
        </w:tabs>
        <w:jc w:val="both"/>
        <w:rPr>
          <w:sz w:val="22"/>
          <w:szCs w:val="22"/>
        </w:rPr>
      </w:pPr>
    </w:p>
    <w:p w14:paraId="7D0AD0F0" w14:textId="77777777" w:rsidR="00F05241" w:rsidRDefault="008D669C">
      <w:pPr>
        <w:widowControl w:val="0"/>
        <w:tabs>
          <w:tab w:val="left" w:pos="198"/>
        </w:tabs>
        <w:ind w:left="288"/>
        <w:jc w:val="both"/>
        <w:rPr>
          <w:sz w:val="22"/>
          <w:szCs w:val="22"/>
        </w:rPr>
      </w:pPr>
      <w:r>
        <w:rPr>
          <w:sz w:val="22"/>
          <w:szCs w:val="22"/>
        </w:rPr>
        <w:t xml:space="preserve">Ren, P., Qin, X., Zhang, Y., &amp; Zhang, R. (2018). Is </w:t>
      </w:r>
    </w:p>
    <w:p w14:paraId="7EC4975C" w14:textId="1AB96C59" w:rsidR="001D46B9" w:rsidRDefault="008D669C" w:rsidP="00F05241">
      <w:pPr>
        <w:widowControl w:val="0"/>
        <w:tabs>
          <w:tab w:val="left" w:pos="198"/>
        </w:tabs>
        <w:ind w:left="720"/>
        <w:jc w:val="both"/>
        <w:rPr>
          <w:sz w:val="22"/>
          <w:szCs w:val="22"/>
        </w:rPr>
      </w:pPr>
      <w:r>
        <w:rPr>
          <w:sz w:val="22"/>
          <w:szCs w:val="22"/>
        </w:rPr>
        <w:t>Social Support a Cause or Consequence of Depression? A Longitudinal Study of Adolescents. Frontiers in Psychol</w:t>
      </w:r>
      <w:r>
        <w:rPr>
          <w:sz w:val="22"/>
          <w:szCs w:val="22"/>
        </w:rPr>
        <w:t xml:space="preserve">ogy. </w:t>
      </w:r>
      <w:hyperlink r:id="rId34">
        <w:r>
          <w:rPr>
            <w:color w:val="1155CC"/>
            <w:sz w:val="22"/>
            <w:szCs w:val="22"/>
            <w:u w:val="single"/>
          </w:rPr>
          <w:t>https://doi.org/10.3389/fpsyg.2018.01634</w:t>
        </w:r>
      </w:hyperlink>
    </w:p>
    <w:p w14:paraId="56EF9C88" w14:textId="77777777" w:rsidR="001D46B9" w:rsidRDefault="001D46B9">
      <w:pPr>
        <w:widowControl w:val="0"/>
        <w:tabs>
          <w:tab w:val="left" w:pos="198"/>
        </w:tabs>
        <w:ind w:left="288"/>
        <w:jc w:val="both"/>
        <w:rPr>
          <w:sz w:val="22"/>
          <w:szCs w:val="22"/>
        </w:rPr>
      </w:pPr>
    </w:p>
    <w:p w14:paraId="4967D869" w14:textId="77777777" w:rsidR="00F05241" w:rsidRDefault="008D669C">
      <w:pPr>
        <w:widowControl w:val="0"/>
        <w:tabs>
          <w:tab w:val="left" w:pos="198"/>
        </w:tabs>
        <w:ind w:left="288"/>
        <w:jc w:val="both"/>
        <w:rPr>
          <w:sz w:val="22"/>
          <w:szCs w:val="22"/>
        </w:rPr>
      </w:pPr>
      <w:r>
        <w:rPr>
          <w:sz w:val="22"/>
          <w:szCs w:val="22"/>
        </w:rPr>
        <w:t>Ryan, R. M., &amp; Deci, E. L. (2000). Self-</w:t>
      </w:r>
    </w:p>
    <w:p w14:paraId="4154EDD7" w14:textId="77D2844D" w:rsidR="001D46B9" w:rsidRDefault="008D669C" w:rsidP="00F05241">
      <w:pPr>
        <w:widowControl w:val="0"/>
        <w:tabs>
          <w:tab w:val="left" w:pos="198"/>
        </w:tabs>
        <w:ind w:left="720"/>
        <w:jc w:val="both"/>
        <w:rPr>
          <w:sz w:val="22"/>
          <w:szCs w:val="22"/>
        </w:rPr>
      </w:pPr>
      <w:r>
        <w:rPr>
          <w:sz w:val="22"/>
          <w:szCs w:val="22"/>
        </w:rPr>
        <w:t>determination theory and the facilitation of intrinsic motivation, social development, and well-being. Americ</w:t>
      </w:r>
      <w:r>
        <w:rPr>
          <w:sz w:val="22"/>
          <w:szCs w:val="22"/>
        </w:rPr>
        <w:t xml:space="preserve">an Psychologist, 1, 68–78. </w:t>
      </w:r>
      <w:hyperlink r:id="rId35">
        <w:r>
          <w:rPr>
            <w:color w:val="1155CC"/>
            <w:sz w:val="22"/>
            <w:szCs w:val="22"/>
            <w:u w:val="single"/>
          </w:rPr>
          <w:t>https://doi.org/10.1037/0003-066x.55.1.68</w:t>
        </w:r>
      </w:hyperlink>
    </w:p>
    <w:p w14:paraId="7235222D" w14:textId="77777777" w:rsidR="001D46B9" w:rsidRDefault="001D46B9">
      <w:pPr>
        <w:widowControl w:val="0"/>
        <w:tabs>
          <w:tab w:val="left" w:pos="198"/>
        </w:tabs>
        <w:ind w:left="288"/>
        <w:jc w:val="both"/>
        <w:rPr>
          <w:sz w:val="22"/>
          <w:szCs w:val="22"/>
        </w:rPr>
      </w:pPr>
    </w:p>
    <w:p w14:paraId="13CFAF2B" w14:textId="77777777" w:rsidR="00F05241" w:rsidRDefault="008D669C">
      <w:pPr>
        <w:widowControl w:val="0"/>
        <w:tabs>
          <w:tab w:val="left" w:pos="198"/>
        </w:tabs>
        <w:ind w:left="288"/>
        <w:jc w:val="both"/>
        <w:rPr>
          <w:sz w:val="22"/>
          <w:szCs w:val="22"/>
        </w:rPr>
      </w:pPr>
      <w:r>
        <w:rPr>
          <w:sz w:val="22"/>
          <w:szCs w:val="22"/>
        </w:rPr>
        <w:t xml:space="preserve">Shamsuddin, K., </w:t>
      </w:r>
      <w:proofErr w:type="spellStart"/>
      <w:r>
        <w:rPr>
          <w:sz w:val="22"/>
          <w:szCs w:val="22"/>
        </w:rPr>
        <w:t>Fadzil</w:t>
      </w:r>
      <w:proofErr w:type="spellEnd"/>
      <w:r>
        <w:rPr>
          <w:sz w:val="22"/>
          <w:szCs w:val="22"/>
        </w:rPr>
        <w:t xml:space="preserve">, F., Ismail, W. S. W., Shah, </w:t>
      </w:r>
    </w:p>
    <w:p w14:paraId="7B6D06B7" w14:textId="3D78753A" w:rsidR="001D46B9" w:rsidRDefault="008D669C" w:rsidP="00F05241">
      <w:pPr>
        <w:widowControl w:val="0"/>
        <w:tabs>
          <w:tab w:val="left" w:pos="198"/>
        </w:tabs>
        <w:ind w:left="720"/>
        <w:jc w:val="both"/>
        <w:rPr>
          <w:sz w:val="22"/>
          <w:szCs w:val="22"/>
        </w:rPr>
      </w:pPr>
      <w:r>
        <w:rPr>
          <w:sz w:val="22"/>
          <w:szCs w:val="22"/>
        </w:rPr>
        <w:t>S. A., Omar, K., Muhammad, N. A., Jaffar, A., Ismail, A., &amp; Mahadevan, R.</w:t>
      </w:r>
      <w:r>
        <w:rPr>
          <w:sz w:val="22"/>
          <w:szCs w:val="22"/>
        </w:rPr>
        <w:t xml:space="preserve"> (2013). Correlates of depression, anxiety and stress among Malaysian university students. Asian Journal of Psychiatry, 4, 318–323.</w:t>
      </w:r>
      <w:hyperlink r:id="rId36">
        <w:r>
          <w:rPr>
            <w:color w:val="1155CC"/>
            <w:sz w:val="22"/>
            <w:szCs w:val="22"/>
            <w:u w:val="single"/>
          </w:rPr>
          <w:t>https://doi.org/10.1016/j.ajp.2013.01.014</w:t>
        </w:r>
      </w:hyperlink>
    </w:p>
    <w:p w14:paraId="20A789C0" w14:textId="77777777" w:rsidR="001D46B9" w:rsidRDefault="001D46B9">
      <w:pPr>
        <w:widowControl w:val="0"/>
        <w:tabs>
          <w:tab w:val="left" w:pos="198"/>
        </w:tabs>
        <w:ind w:left="288"/>
        <w:jc w:val="both"/>
        <w:rPr>
          <w:sz w:val="22"/>
          <w:szCs w:val="22"/>
        </w:rPr>
      </w:pPr>
    </w:p>
    <w:p w14:paraId="201DAAB5" w14:textId="77777777" w:rsidR="00F05241" w:rsidRDefault="008D669C">
      <w:pPr>
        <w:widowControl w:val="0"/>
        <w:tabs>
          <w:tab w:val="left" w:pos="198"/>
        </w:tabs>
        <w:ind w:left="288"/>
        <w:jc w:val="both"/>
        <w:rPr>
          <w:sz w:val="22"/>
          <w:szCs w:val="22"/>
        </w:rPr>
      </w:pPr>
      <w:proofErr w:type="spellStart"/>
      <w:r>
        <w:rPr>
          <w:sz w:val="22"/>
          <w:szCs w:val="22"/>
        </w:rPr>
        <w:t>Siah</w:t>
      </w:r>
      <w:proofErr w:type="spellEnd"/>
      <w:r>
        <w:rPr>
          <w:sz w:val="22"/>
          <w:szCs w:val="22"/>
        </w:rPr>
        <w:t xml:space="preserve">, </w:t>
      </w:r>
      <w:proofErr w:type="gramStart"/>
      <w:r>
        <w:rPr>
          <w:sz w:val="22"/>
          <w:szCs w:val="22"/>
        </w:rPr>
        <w:t xml:space="preserve">pc,  </w:t>
      </w:r>
      <w:proofErr w:type="spellStart"/>
      <w:r>
        <w:rPr>
          <w:sz w:val="22"/>
          <w:szCs w:val="22"/>
        </w:rPr>
        <w:t>Niew</w:t>
      </w:r>
      <w:proofErr w:type="spellEnd"/>
      <w:proofErr w:type="gramEnd"/>
      <w:r>
        <w:rPr>
          <w:sz w:val="22"/>
          <w:szCs w:val="22"/>
        </w:rPr>
        <w:t>, K.M.</w:t>
      </w:r>
      <w:r>
        <w:rPr>
          <w:sz w:val="22"/>
          <w:szCs w:val="22"/>
        </w:rPr>
        <w:t xml:space="preserve">, Wong, S.F. &amp; Lee, S.C.. </w:t>
      </w:r>
    </w:p>
    <w:p w14:paraId="565C5A8C" w14:textId="5A1B3705" w:rsidR="001D46B9" w:rsidRDefault="008D669C" w:rsidP="00F05241">
      <w:pPr>
        <w:widowControl w:val="0"/>
        <w:tabs>
          <w:tab w:val="left" w:pos="198"/>
        </w:tabs>
        <w:ind w:left="720"/>
        <w:jc w:val="both"/>
        <w:rPr>
          <w:sz w:val="22"/>
          <w:szCs w:val="22"/>
        </w:rPr>
      </w:pPr>
      <w:r>
        <w:rPr>
          <w:sz w:val="22"/>
          <w:szCs w:val="22"/>
        </w:rPr>
        <w:t>(2016). The relationship of social support and motivation with university adjustment among year one to year three tertiary undergraduates in Malaysia. Journal of Institutional Research South East Asia. 14. 17-28.</w:t>
      </w:r>
    </w:p>
    <w:p w14:paraId="300A97DC" w14:textId="77777777" w:rsidR="001D46B9" w:rsidRDefault="008D669C">
      <w:pPr>
        <w:widowControl w:val="0"/>
        <w:tabs>
          <w:tab w:val="left" w:pos="198"/>
        </w:tabs>
        <w:ind w:left="288"/>
        <w:jc w:val="both"/>
        <w:rPr>
          <w:sz w:val="22"/>
          <w:szCs w:val="22"/>
        </w:rPr>
      </w:pPr>
      <w:r>
        <w:rPr>
          <w:sz w:val="22"/>
          <w:szCs w:val="22"/>
        </w:rPr>
        <w:t xml:space="preserve"> </w:t>
      </w:r>
    </w:p>
    <w:p w14:paraId="56F8FDD8" w14:textId="77777777" w:rsidR="00F05241" w:rsidRDefault="008D669C">
      <w:pPr>
        <w:widowControl w:val="0"/>
        <w:tabs>
          <w:tab w:val="left" w:pos="198"/>
        </w:tabs>
        <w:ind w:left="288"/>
        <w:jc w:val="both"/>
        <w:rPr>
          <w:sz w:val="22"/>
          <w:szCs w:val="22"/>
        </w:rPr>
      </w:pPr>
      <w:r>
        <w:rPr>
          <w:sz w:val="22"/>
          <w:szCs w:val="22"/>
        </w:rPr>
        <w:t xml:space="preserve">Siddiqui, R. S., Jahangir, A. A., &amp; Hassan, A. </w:t>
      </w:r>
    </w:p>
    <w:p w14:paraId="21709516" w14:textId="1242ACAC" w:rsidR="001D46B9" w:rsidRDefault="008D669C" w:rsidP="00F05241">
      <w:pPr>
        <w:widowControl w:val="0"/>
        <w:tabs>
          <w:tab w:val="left" w:pos="198"/>
        </w:tabs>
        <w:ind w:left="720"/>
        <w:jc w:val="both"/>
        <w:rPr>
          <w:sz w:val="22"/>
          <w:szCs w:val="22"/>
        </w:rPr>
      </w:pPr>
      <w:r>
        <w:rPr>
          <w:sz w:val="22"/>
          <w:szCs w:val="22"/>
        </w:rPr>
        <w:t xml:space="preserve">(2019). Gender differences on perceived social support and psychological distress among university students. </w:t>
      </w:r>
      <w:proofErr w:type="spellStart"/>
      <w:r>
        <w:rPr>
          <w:sz w:val="22"/>
          <w:szCs w:val="22"/>
        </w:rPr>
        <w:t>GlobalManagement</w:t>
      </w:r>
      <w:proofErr w:type="spellEnd"/>
      <w:r>
        <w:rPr>
          <w:sz w:val="22"/>
          <w:szCs w:val="22"/>
        </w:rPr>
        <w:t xml:space="preserve"> Journal for Academic &amp; Corporate Studies, 9(2), 210-223. </w:t>
      </w:r>
      <w:hyperlink r:id="rId37">
        <w:r>
          <w:rPr>
            <w:color w:val="1155CC"/>
            <w:highlight w:val="white"/>
            <w:u w:val="single"/>
          </w:rPr>
          <w:t>https://www.proquest.com/scholarly-journals/gender-differences-on-perceived-social-supp/docview/2409183497/se-2</w:t>
        </w:r>
      </w:hyperlink>
    </w:p>
    <w:p w14:paraId="77142F60" w14:textId="77777777" w:rsidR="001D46B9" w:rsidRDefault="001D46B9">
      <w:pPr>
        <w:widowControl w:val="0"/>
        <w:tabs>
          <w:tab w:val="left" w:pos="198"/>
        </w:tabs>
        <w:ind w:left="288"/>
        <w:jc w:val="both"/>
        <w:rPr>
          <w:sz w:val="22"/>
          <w:szCs w:val="22"/>
        </w:rPr>
      </w:pPr>
    </w:p>
    <w:p w14:paraId="142B70E0" w14:textId="77777777" w:rsidR="00F05241" w:rsidRDefault="008D669C">
      <w:pPr>
        <w:widowControl w:val="0"/>
        <w:tabs>
          <w:tab w:val="left" w:pos="198"/>
        </w:tabs>
        <w:ind w:left="288"/>
        <w:jc w:val="both"/>
        <w:rPr>
          <w:sz w:val="22"/>
          <w:szCs w:val="22"/>
        </w:rPr>
      </w:pPr>
      <w:proofErr w:type="spellStart"/>
      <w:r>
        <w:rPr>
          <w:sz w:val="22"/>
          <w:szCs w:val="22"/>
        </w:rPr>
        <w:t>Singstad</w:t>
      </w:r>
      <w:proofErr w:type="spellEnd"/>
      <w:r>
        <w:rPr>
          <w:sz w:val="22"/>
          <w:szCs w:val="22"/>
        </w:rPr>
        <w:t>, M. T</w:t>
      </w:r>
      <w:r>
        <w:rPr>
          <w:sz w:val="22"/>
          <w:szCs w:val="22"/>
        </w:rPr>
        <w:t xml:space="preserve">., Wallander, J. L., </w:t>
      </w:r>
      <w:proofErr w:type="spellStart"/>
      <w:r>
        <w:rPr>
          <w:sz w:val="22"/>
          <w:szCs w:val="22"/>
        </w:rPr>
        <w:t>Greger</w:t>
      </w:r>
      <w:proofErr w:type="spellEnd"/>
      <w:r>
        <w:rPr>
          <w:sz w:val="22"/>
          <w:szCs w:val="22"/>
        </w:rPr>
        <w:t xml:space="preserve">, H. K., </w:t>
      </w:r>
    </w:p>
    <w:p w14:paraId="5C6A7387" w14:textId="5171BA45" w:rsidR="001D46B9" w:rsidRDefault="008D669C" w:rsidP="00F05241">
      <w:pPr>
        <w:widowControl w:val="0"/>
        <w:tabs>
          <w:tab w:val="left" w:pos="198"/>
        </w:tabs>
        <w:ind w:left="720"/>
        <w:jc w:val="both"/>
        <w:rPr>
          <w:sz w:val="22"/>
          <w:szCs w:val="22"/>
        </w:rPr>
      </w:pPr>
      <w:proofErr w:type="spellStart"/>
      <w:r>
        <w:rPr>
          <w:sz w:val="22"/>
          <w:szCs w:val="22"/>
        </w:rPr>
        <w:t>Lydersen</w:t>
      </w:r>
      <w:proofErr w:type="spellEnd"/>
      <w:r>
        <w:rPr>
          <w:sz w:val="22"/>
          <w:szCs w:val="22"/>
        </w:rPr>
        <w:t xml:space="preserve">, S., &amp; </w:t>
      </w:r>
      <w:proofErr w:type="spellStart"/>
      <w:r>
        <w:rPr>
          <w:sz w:val="22"/>
          <w:szCs w:val="22"/>
        </w:rPr>
        <w:t>Kayed</w:t>
      </w:r>
      <w:proofErr w:type="spellEnd"/>
      <w:r>
        <w:rPr>
          <w:sz w:val="22"/>
          <w:szCs w:val="22"/>
        </w:rPr>
        <w:t xml:space="preserve">, N. S. (2021). Perceived social support and quality of life among adolescents in residential youth care: a cross-sectional study. Health and Quality of Life Outcomes, 1. </w:t>
      </w:r>
      <w:hyperlink r:id="rId38">
        <w:r>
          <w:rPr>
            <w:color w:val="1155CC"/>
            <w:sz w:val="22"/>
            <w:szCs w:val="22"/>
            <w:u w:val="single"/>
          </w:rPr>
          <w:t>https://doi.org/10.1186/s12955-021-01676-1</w:t>
        </w:r>
      </w:hyperlink>
    </w:p>
    <w:p w14:paraId="7ADEF368" w14:textId="77777777" w:rsidR="001D46B9" w:rsidRDefault="001D46B9">
      <w:pPr>
        <w:widowControl w:val="0"/>
        <w:tabs>
          <w:tab w:val="left" w:pos="198"/>
        </w:tabs>
        <w:ind w:left="288"/>
        <w:jc w:val="both"/>
        <w:rPr>
          <w:sz w:val="22"/>
          <w:szCs w:val="22"/>
        </w:rPr>
      </w:pPr>
    </w:p>
    <w:p w14:paraId="15474E34" w14:textId="77777777" w:rsidR="00F05241" w:rsidRDefault="008D669C">
      <w:pPr>
        <w:widowControl w:val="0"/>
        <w:tabs>
          <w:tab w:val="left" w:pos="198"/>
        </w:tabs>
        <w:ind w:left="288"/>
        <w:jc w:val="both"/>
        <w:rPr>
          <w:sz w:val="22"/>
          <w:szCs w:val="22"/>
        </w:rPr>
      </w:pPr>
      <w:r>
        <w:rPr>
          <w:sz w:val="22"/>
          <w:szCs w:val="22"/>
        </w:rPr>
        <w:t xml:space="preserve">Soman, S., Bhat, S.M., </w:t>
      </w:r>
      <w:proofErr w:type="spellStart"/>
      <w:r>
        <w:rPr>
          <w:sz w:val="22"/>
          <w:szCs w:val="22"/>
        </w:rPr>
        <w:t>Latha</w:t>
      </w:r>
      <w:proofErr w:type="spellEnd"/>
      <w:r>
        <w:rPr>
          <w:sz w:val="22"/>
          <w:szCs w:val="22"/>
        </w:rPr>
        <w:t xml:space="preserve">, K. S., &amp; </w:t>
      </w:r>
      <w:proofErr w:type="spellStart"/>
      <w:r>
        <w:rPr>
          <w:sz w:val="22"/>
          <w:szCs w:val="22"/>
        </w:rPr>
        <w:t>Praharaj</w:t>
      </w:r>
      <w:proofErr w:type="spellEnd"/>
      <w:r>
        <w:rPr>
          <w:sz w:val="22"/>
          <w:szCs w:val="22"/>
        </w:rPr>
        <w:t xml:space="preserve">, S. </w:t>
      </w:r>
    </w:p>
    <w:p w14:paraId="562CD62A" w14:textId="078B0F0F" w:rsidR="001D46B9" w:rsidRDefault="008D669C" w:rsidP="00F05241">
      <w:pPr>
        <w:widowControl w:val="0"/>
        <w:tabs>
          <w:tab w:val="left" w:pos="198"/>
        </w:tabs>
        <w:ind w:left="720"/>
        <w:jc w:val="both"/>
        <w:rPr>
          <w:sz w:val="22"/>
          <w:szCs w:val="22"/>
        </w:rPr>
      </w:pPr>
      <w:r>
        <w:rPr>
          <w:sz w:val="22"/>
          <w:szCs w:val="22"/>
        </w:rPr>
        <w:t>K. (2016). Gender differences in perceived social support and stressful life events in depressed patients. East Asian Archives</w:t>
      </w:r>
      <w:r>
        <w:rPr>
          <w:sz w:val="22"/>
          <w:szCs w:val="22"/>
        </w:rPr>
        <w:t xml:space="preserve"> of Psychiatry, 26(1), 22-9. Retrieved from </w:t>
      </w:r>
      <w:hyperlink r:id="rId39" w:anchor=":~:text=Results%3A%20The%20perceived%20social%20support,others%20was%20higher%20in%20females">
        <w:r>
          <w:rPr>
            <w:color w:val="1155CC"/>
            <w:sz w:val="22"/>
            <w:szCs w:val="22"/>
            <w:u w:val="single"/>
          </w:rPr>
          <w:t>https://pubmed.ncbi.nlm.nih.gov/27086757/#:~:text=Res</w:t>
        </w:r>
        <w:r>
          <w:rPr>
            <w:color w:val="1155CC"/>
            <w:sz w:val="22"/>
            <w:szCs w:val="22"/>
            <w:u w:val="single"/>
          </w:rPr>
          <w:t>ults%3A%20The%20perceived%20social%20support,others%20was%20higher%20in%20females</w:t>
        </w:r>
      </w:hyperlink>
    </w:p>
    <w:p w14:paraId="1120ECFE" w14:textId="77777777" w:rsidR="001D46B9" w:rsidRDefault="001D46B9">
      <w:pPr>
        <w:widowControl w:val="0"/>
        <w:tabs>
          <w:tab w:val="left" w:pos="198"/>
        </w:tabs>
        <w:ind w:left="288"/>
        <w:jc w:val="both"/>
        <w:rPr>
          <w:sz w:val="22"/>
          <w:szCs w:val="22"/>
        </w:rPr>
      </w:pPr>
    </w:p>
    <w:p w14:paraId="6CEEDC3C" w14:textId="77777777" w:rsidR="00F05241" w:rsidRDefault="008D669C">
      <w:pPr>
        <w:widowControl w:val="0"/>
        <w:tabs>
          <w:tab w:val="left" w:pos="198"/>
        </w:tabs>
        <w:ind w:left="288"/>
        <w:jc w:val="both"/>
        <w:rPr>
          <w:sz w:val="22"/>
          <w:szCs w:val="22"/>
        </w:rPr>
      </w:pPr>
      <w:proofErr w:type="spellStart"/>
      <w:r>
        <w:rPr>
          <w:sz w:val="22"/>
          <w:szCs w:val="22"/>
        </w:rPr>
        <w:t>Sommerlad</w:t>
      </w:r>
      <w:proofErr w:type="spellEnd"/>
      <w:r>
        <w:rPr>
          <w:sz w:val="22"/>
          <w:szCs w:val="22"/>
        </w:rPr>
        <w:t xml:space="preserve">, A., Marston, L., Huntley, J., </w:t>
      </w:r>
    </w:p>
    <w:p w14:paraId="373076AF" w14:textId="38AC5FA5" w:rsidR="001D46B9" w:rsidRDefault="008D669C" w:rsidP="00F05241">
      <w:pPr>
        <w:widowControl w:val="0"/>
        <w:tabs>
          <w:tab w:val="left" w:pos="198"/>
        </w:tabs>
        <w:ind w:left="720"/>
        <w:jc w:val="both"/>
        <w:rPr>
          <w:sz w:val="22"/>
          <w:szCs w:val="22"/>
          <w:highlight w:val="cyan"/>
        </w:rPr>
      </w:pPr>
      <w:r>
        <w:rPr>
          <w:sz w:val="22"/>
          <w:szCs w:val="22"/>
        </w:rPr>
        <w:t xml:space="preserve">Livingston, G., Lewis, G., Steptoe, A., &amp; </w:t>
      </w:r>
      <w:proofErr w:type="spellStart"/>
      <w:r>
        <w:rPr>
          <w:sz w:val="22"/>
          <w:szCs w:val="22"/>
        </w:rPr>
        <w:t>Fancourt</w:t>
      </w:r>
      <w:proofErr w:type="spellEnd"/>
      <w:r>
        <w:rPr>
          <w:sz w:val="22"/>
          <w:szCs w:val="22"/>
        </w:rPr>
        <w:t>, D. (2021). Social relationships and depression during the COVID-19 lockdown: lon</w:t>
      </w:r>
      <w:r>
        <w:rPr>
          <w:sz w:val="22"/>
          <w:szCs w:val="22"/>
        </w:rPr>
        <w:t xml:space="preserve">gitudinal analysis of the COVID-19 Social Study. Psychological Medicine, 15, 3381–3390. </w:t>
      </w:r>
      <w:hyperlink r:id="rId40">
        <w:r>
          <w:rPr>
            <w:color w:val="1155CC"/>
            <w:sz w:val="22"/>
            <w:szCs w:val="22"/>
            <w:u w:val="single"/>
          </w:rPr>
          <w:t>https://doi.org/10.1017/s0033291721000039</w:t>
        </w:r>
      </w:hyperlink>
    </w:p>
    <w:p w14:paraId="5945EA12" w14:textId="77777777" w:rsidR="001D46B9" w:rsidRDefault="001D46B9">
      <w:pPr>
        <w:widowControl w:val="0"/>
        <w:tabs>
          <w:tab w:val="left" w:pos="198"/>
        </w:tabs>
        <w:ind w:left="288"/>
        <w:jc w:val="both"/>
        <w:rPr>
          <w:sz w:val="22"/>
          <w:szCs w:val="22"/>
        </w:rPr>
      </w:pPr>
    </w:p>
    <w:p w14:paraId="2E6A64D6" w14:textId="77777777" w:rsidR="00F05241" w:rsidRDefault="008D669C">
      <w:pPr>
        <w:widowControl w:val="0"/>
        <w:tabs>
          <w:tab w:val="left" w:pos="198"/>
        </w:tabs>
        <w:ind w:left="288"/>
        <w:jc w:val="both"/>
        <w:rPr>
          <w:sz w:val="22"/>
          <w:szCs w:val="22"/>
        </w:rPr>
      </w:pPr>
      <w:r>
        <w:rPr>
          <w:sz w:val="22"/>
          <w:szCs w:val="22"/>
        </w:rPr>
        <w:t xml:space="preserve">Tan, K. K. K., J. Holliman, A., &amp; Waldeck, D. </w:t>
      </w:r>
    </w:p>
    <w:p w14:paraId="6A318DDA" w14:textId="3F3462FB" w:rsidR="001D46B9" w:rsidRDefault="008D669C" w:rsidP="00F05241">
      <w:pPr>
        <w:widowControl w:val="0"/>
        <w:tabs>
          <w:tab w:val="left" w:pos="198"/>
        </w:tabs>
        <w:ind w:left="720"/>
        <w:jc w:val="both"/>
        <w:rPr>
          <w:sz w:val="22"/>
          <w:szCs w:val="22"/>
        </w:rPr>
      </w:pPr>
      <w:r>
        <w:rPr>
          <w:sz w:val="22"/>
          <w:szCs w:val="22"/>
        </w:rPr>
        <w:t>(2023). Adaptabili</w:t>
      </w:r>
      <w:r>
        <w:rPr>
          <w:sz w:val="22"/>
          <w:szCs w:val="22"/>
        </w:rPr>
        <w:t>ty, Social Support, and Psychological Wellbeing Among Malaysian Adults. Journal of Positive Psychology &amp; Wellbeing.</w:t>
      </w:r>
    </w:p>
    <w:p w14:paraId="0A1BD1D2" w14:textId="77777777" w:rsidR="001D46B9" w:rsidRDefault="001D46B9">
      <w:pPr>
        <w:widowControl w:val="0"/>
        <w:tabs>
          <w:tab w:val="left" w:pos="198"/>
        </w:tabs>
        <w:ind w:left="288"/>
        <w:jc w:val="both"/>
        <w:rPr>
          <w:sz w:val="22"/>
          <w:szCs w:val="22"/>
        </w:rPr>
      </w:pPr>
    </w:p>
    <w:p w14:paraId="656AFAA2" w14:textId="77777777" w:rsidR="00F05241" w:rsidRDefault="008D669C">
      <w:pPr>
        <w:widowControl w:val="0"/>
        <w:tabs>
          <w:tab w:val="left" w:pos="198"/>
        </w:tabs>
        <w:ind w:left="288"/>
        <w:jc w:val="both"/>
        <w:rPr>
          <w:sz w:val="22"/>
          <w:szCs w:val="22"/>
        </w:rPr>
      </w:pPr>
      <w:proofErr w:type="spellStart"/>
      <w:r>
        <w:rPr>
          <w:sz w:val="22"/>
          <w:szCs w:val="22"/>
        </w:rPr>
        <w:t>Vansteenkiste</w:t>
      </w:r>
      <w:proofErr w:type="spellEnd"/>
      <w:r>
        <w:rPr>
          <w:sz w:val="22"/>
          <w:szCs w:val="22"/>
        </w:rPr>
        <w:t xml:space="preserve">, M., Ryan, R. M., &amp; </w:t>
      </w:r>
      <w:proofErr w:type="spellStart"/>
      <w:r>
        <w:rPr>
          <w:sz w:val="22"/>
          <w:szCs w:val="22"/>
        </w:rPr>
        <w:t>Soenens</w:t>
      </w:r>
      <w:proofErr w:type="spellEnd"/>
      <w:r>
        <w:rPr>
          <w:sz w:val="22"/>
          <w:szCs w:val="22"/>
        </w:rPr>
        <w:t xml:space="preserve">, B. </w:t>
      </w:r>
    </w:p>
    <w:p w14:paraId="684D0ECC" w14:textId="1ED700BD" w:rsidR="001D46B9" w:rsidRDefault="008D669C" w:rsidP="00F05241">
      <w:pPr>
        <w:widowControl w:val="0"/>
        <w:tabs>
          <w:tab w:val="left" w:pos="198"/>
        </w:tabs>
        <w:ind w:left="720"/>
        <w:jc w:val="both"/>
        <w:rPr>
          <w:sz w:val="22"/>
          <w:szCs w:val="22"/>
        </w:rPr>
      </w:pPr>
      <w:r>
        <w:rPr>
          <w:sz w:val="22"/>
          <w:szCs w:val="22"/>
        </w:rPr>
        <w:t>(2020). Basic psychological need theory: Advancements, critical themes, and future directions</w:t>
      </w:r>
      <w:r>
        <w:rPr>
          <w:sz w:val="22"/>
          <w:szCs w:val="22"/>
        </w:rPr>
        <w:t xml:space="preserve">. Motivation and Emotion, 1, 1–31. </w:t>
      </w:r>
      <w:hyperlink r:id="rId41">
        <w:r>
          <w:rPr>
            <w:color w:val="1155CC"/>
            <w:sz w:val="22"/>
            <w:szCs w:val="22"/>
            <w:u w:val="single"/>
          </w:rPr>
          <w:t>https://doi.org/10.1007/s11031-019-09818-1</w:t>
        </w:r>
      </w:hyperlink>
    </w:p>
    <w:p w14:paraId="6F3D9A13" w14:textId="77777777" w:rsidR="001D46B9" w:rsidRDefault="001D46B9">
      <w:pPr>
        <w:widowControl w:val="0"/>
        <w:tabs>
          <w:tab w:val="left" w:pos="198"/>
        </w:tabs>
        <w:ind w:left="288"/>
        <w:jc w:val="both"/>
        <w:rPr>
          <w:sz w:val="22"/>
          <w:szCs w:val="22"/>
        </w:rPr>
      </w:pPr>
    </w:p>
    <w:p w14:paraId="03DCC52C" w14:textId="77777777" w:rsidR="00F05241" w:rsidRDefault="008D669C">
      <w:pPr>
        <w:widowControl w:val="0"/>
        <w:tabs>
          <w:tab w:val="left" w:pos="198"/>
        </w:tabs>
        <w:ind w:left="288"/>
        <w:jc w:val="both"/>
        <w:rPr>
          <w:sz w:val="22"/>
          <w:szCs w:val="22"/>
        </w:rPr>
      </w:pPr>
      <w:r>
        <w:rPr>
          <w:sz w:val="22"/>
          <w:szCs w:val="22"/>
        </w:rPr>
        <w:t xml:space="preserve">Wang, L.-J., Zhong, W.-X., Ji, X.-D., &amp; Chen, J. </w:t>
      </w:r>
    </w:p>
    <w:p w14:paraId="294CAF4F" w14:textId="4F46C9D3" w:rsidR="001D46B9" w:rsidRDefault="008D669C" w:rsidP="00F05241">
      <w:pPr>
        <w:widowControl w:val="0"/>
        <w:tabs>
          <w:tab w:val="left" w:pos="198"/>
        </w:tabs>
        <w:ind w:left="720"/>
        <w:jc w:val="both"/>
        <w:rPr>
          <w:sz w:val="22"/>
          <w:szCs w:val="22"/>
        </w:rPr>
      </w:pPr>
      <w:r>
        <w:rPr>
          <w:sz w:val="22"/>
          <w:szCs w:val="22"/>
        </w:rPr>
        <w:t>(2016). Depression, caregiver burden and social support among care</w:t>
      </w:r>
      <w:r>
        <w:rPr>
          <w:sz w:val="22"/>
          <w:szCs w:val="22"/>
        </w:rPr>
        <w:t xml:space="preserve">givers of retinoblastoma patients in China. International Journal of Nursing Practice, 5, 478–485. </w:t>
      </w:r>
      <w:hyperlink r:id="rId42">
        <w:r>
          <w:rPr>
            <w:color w:val="1155CC"/>
            <w:sz w:val="22"/>
            <w:szCs w:val="22"/>
            <w:u w:val="single"/>
          </w:rPr>
          <w:t>https://doi.org/10.1111/ijn.12458</w:t>
        </w:r>
      </w:hyperlink>
    </w:p>
    <w:p w14:paraId="7DEE2C75" w14:textId="77777777" w:rsidR="001D46B9" w:rsidRDefault="001D46B9">
      <w:pPr>
        <w:widowControl w:val="0"/>
        <w:tabs>
          <w:tab w:val="left" w:pos="198"/>
        </w:tabs>
        <w:ind w:left="288"/>
        <w:jc w:val="both"/>
        <w:rPr>
          <w:sz w:val="22"/>
          <w:szCs w:val="22"/>
        </w:rPr>
      </w:pPr>
    </w:p>
    <w:p w14:paraId="0A864E2B" w14:textId="77777777" w:rsidR="00F05241" w:rsidRDefault="008D669C">
      <w:pPr>
        <w:widowControl w:val="0"/>
        <w:tabs>
          <w:tab w:val="left" w:pos="198"/>
        </w:tabs>
        <w:ind w:left="288"/>
        <w:jc w:val="both"/>
        <w:rPr>
          <w:sz w:val="22"/>
          <w:szCs w:val="22"/>
        </w:rPr>
      </w:pPr>
      <w:r>
        <w:rPr>
          <w:sz w:val="22"/>
          <w:szCs w:val="22"/>
        </w:rPr>
        <w:t xml:space="preserve">Wang, X., &amp; Cheng, Z. (2020). Cross-Sectional </w:t>
      </w:r>
    </w:p>
    <w:p w14:paraId="352C7EA3" w14:textId="63DA3348" w:rsidR="001D46B9" w:rsidRDefault="008D669C" w:rsidP="00F05241">
      <w:pPr>
        <w:widowControl w:val="0"/>
        <w:tabs>
          <w:tab w:val="left" w:pos="198"/>
        </w:tabs>
        <w:ind w:left="720"/>
        <w:jc w:val="both"/>
        <w:rPr>
          <w:sz w:val="22"/>
          <w:szCs w:val="22"/>
        </w:rPr>
      </w:pPr>
      <w:r>
        <w:rPr>
          <w:sz w:val="22"/>
          <w:szCs w:val="22"/>
        </w:rPr>
        <w:t>Studies Strengths, Weak</w:t>
      </w:r>
      <w:r>
        <w:rPr>
          <w:sz w:val="22"/>
          <w:szCs w:val="22"/>
        </w:rPr>
        <w:t xml:space="preserve">nesses, and Recommendations. Chest, 1, S65–S71. </w:t>
      </w:r>
      <w:hyperlink r:id="rId43">
        <w:r>
          <w:rPr>
            <w:color w:val="1155CC"/>
            <w:sz w:val="22"/>
            <w:szCs w:val="22"/>
            <w:u w:val="single"/>
          </w:rPr>
          <w:t>https://doi.org/10.1016/j.chest.2020.03.012</w:t>
        </w:r>
      </w:hyperlink>
    </w:p>
    <w:p w14:paraId="0703100E" w14:textId="77777777" w:rsidR="001D46B9" w:rsidRDefault="001D46B9">
      <w:pPr>
        <w:widowControl w:val="0"/>
        <w:tabs>
          <w:tab w:val="left" w:pos="198"/>
        </w:tabs>
        <w:ind w:left="288"/>
        <w:jc w:val="both"/>
        <w:rPr>
          <w:sz w:val="22"/>
          <w:szCs w:val="22"/>
        </w:rPr>
      </w:pPr>
    </w:p>
    <w:p w14:paraId="0127DC7A" w14:textId="77777777" w:rsidR="00F05241" w:rsidRDefault="008D669C">
      <w:pPr>
        <w:widowControl w:val="0"/>
        <w:tabs>
          <w:tab w:val="left" w:pos="198"/>
        </w:tabs>
        <w:ind w:left="288"/>
        <w:jc w:val="both"/>
        <w:rPr>
          <w:sz w:val="22"/>
          <w:szCs w:val="22"/>
        </w:rPr>
      </w:pPr>
      <w:r>
        <w:rPr>
          <w:sz w:val="22"/>
          <w:szCs w:val="22"/>
        </w:rPr>
        <w:t xml:space="preserve">Wong, L. P., Alias, H., Md </w:t>
      </w:r>
      <w:proofErr w:type="spellStart"/>
      <w:r>
        <w:rPr>
          <w:sz w:val="22"/>
          <w:szCs w:val="22"/>
        </w:rPr>
        <w:t>Fuzi</w:t>
      </w:r>
      <w:proofErr w:type="spellEnd"/>
      <w:r>
        <w:rPr>
          <w:sz w:val="22"/>
          <w:szCs w:val="22"/>
        </w:rPr>
        <w:t xml:space="preserve">, A. A., Omar, I. S., </w:t>
      </w:r>
    </w:p>
    <w:p w14:paraId="1B8B9E96" w14:textId="057DD048" w:rsidR="001D46B9" w:rsidRDefault="008D669C" w:rsidP="00F05241">
      <w:pPr>
        <w:widowControl w:val="0"/>
        <w:tabs>
          <w:tab w:val="left" w:pos="198"/>
        </w:tabs>
        <w:ind w:left="720"/>
        <w:jc w:val="both"/>
        <w:rPr>
          <w:sz w:val="22"/>
          <w:szCs w:val="22"/>
        </w:rPr>
      </w:pPr>
      <w:r>
        <w:rPr>
          <w:sz w:val="22"/>
          <w:szCs w:val="22"/>
        </w:rPr>
        <w:t xml:space="preserve">Mohamad Nor, A., Tan, M. P., </w:t>
      </w:r>
      <w:proofErr w:type="spellStart"/>
      <w:r>
        <w:rPr>
          <w:sz w:val="22"/>
          <w:szCs w:val="22"/>
        </w:rPr>
        <w:t>Baranovich</w:t>
      </w:r>
      <w:proofErr w:type="spellEnd"/>
      <w:r>
        <w:rPr>
          <w:sz w:val="22"/>
          <w:szCs w:val="22"/>
        </w:rPr>
        <w:t>, D. L.,</w:t>
      </w:r>
      <w:r>
        <w:rPr>
          <w:sz w:val="22"/>
          <w:szCs w:val="22"/>
        </w:rPr>
        <w:t xml:space="preserve"> </w:t>
      </w:r>
      <w:proofErr w:type="spellStart"/>
      <w:r>
        <w:rPr>
          <w:sz w:val="22"/>
          <w:szCs w:val="22"/>
        </w:rPr>
        <w:t>Saari</w:t>
      </w:r>
      <w:proofErr w:type="spellEnd"/>
      <w:r>
        <w:rPr>
          <w:sz w:val="22"/>
          <w:szCs w:val="22"/>
        </w:rPr>
        <w:t xml:space="preserve">, C. Z., Hamzah, S. H., Cheong, K. W., Poon, C. H., </w:t>
      </w:r>
      <w:proofErr w:type="spellStart"/>
      <w:r>
        <w:rPr>
          <w:sz w:val="22"/>
          <w:szCs w:val="22"/>
        </w:rPr>
        <w:t>Ramoo</w:t>
      </w:r>
      <w:proofErr w:type="spellEnd"/>
      <w:r>
        <w:rPr>
          <w:sz w:val="22"/>
          <w:szCs w:val="22"/>
        </w:rPr>
        <w:t xml:space="preserve">, V., Che, C. C., </w:t>
      </w:r>
      <w:proofErr w:type="spellStart"/>
      <w:r>
        <w:rPr>
          <w:sz w:val="22"/>
          <w:szCs w:val="22"/>
        </w:rPr>
        <w:t>Myint</w:t>
      </w:r>
      <w:proofErr w:type="spellEnd"/>
      <w:r>
        <w:rPr>
          <w:sz w:val="22"/>
          <w:szCs w:val="22"/>
        </w:rPr>
        <w:t>, K., Zainuddin, S., &amp; Chung, I. (2021). Escalating progression of mental health disorders during the COVID-19 pandemic: Evidence from a nationwide survey. PLOS ONE, 3, e</w:t>
      </w:r>
      <w:r>
        <w:rPr>
          <w:sz w:val="22"/>
          <w:szCs w:val="22"/>
        </w:rPr>
        <w:t xml:space="preserve">0248916. </w:t>
      </w:r>
      <w:hyperlink r:id="rId44">
        <w:r>
          <w:rPr>
            <w:color w:val="1155CC"/>
            <w:sz w:val="22"/>
            <w:szCs w:val="22"/>
            <w:u w:val="single"/>
          </w:rPr>
          <w:t>https://doi.org/10.1371/journal.pone.0248916</w:t>
        </w:r>
      </w:hyperlink>
    </w:p>
    <w:p w14:paraId="564FAE7E" w14:textId="77777777" w:rsidR="001D46B9" w:rsidRDefault="001D46B9">
      <w:pPr>
        <w:widowControl w:val="0"/>
        <w:tabs>
          <w:tab w:val="left" w:pos="198"/>
        </w:tabs>
        <w:ind w:left="288"/>
        <w:jc w:val="both"/>
        <w:rPr>
          <w:sz w:val="22"/>
          <w:szCs w:val="22"/>
        </w:rPr>
      </w:pPr>
    </w:p>
    <w:p w14:paraId="523A8A06" w14:textId="77777777" w:rsidR="00F05241" w:rsidRDefault="008D669C">
      <w:pPr>
        <w:widowControl w:val="0"/>
        <w:tabs>
          <w:tab w:val="left" w:pos="198"/>
        </w:tabs>
        <w:ind w:left="288"/>
        <w:jc w:val="both"/>
        <w:rPr>
          <w:sz w:val="22"/>
          <w:szCs w:val="22"/>
        </w:rPr>
      </w:pPr>
      <w:r>
        <w:rPr>
          <w:sz w:val="22"/>
          <w:szCs w:val="22"/>
        </w:rPr>
        <w:t xml:space="preserve">Wong, S. S., Wong, C. C., Ng, K. W., </w:t>
      </w:r>
      <w:proofErr w:type="spellStart"/>
      <w:r>
        <w:rPr>
          <w:sz w:val="22"/>
          <w:szCs w:val="22"/>
        </w:rPr>
        <w:t>Bostanudin</w:t>
      </w:r>
      <w:proofErr w:type="spellEnd"/>
      <w:r>
        <w:rPr>
          <w:sz w:val="22"/>
          <w:szCs w:val="22"/>
        </w:rPr>
        <w:t xml:space="preserve">, </w:t>
      </w:r>
    </w:p>
    <w:p w14:paraId="49E5F4FC" w14:textId="36003B87" w:rsidR="001D46B9" w:rsidRDefault="008D669C" w:rsidP="00F05241">
      <w:pPr>
        <w:widowControl w:val="0"/>
        <w:tabs>
          <w:tab w:val="left" w:pos="198"/>
        </w:tabs>
        <w:ind w:left="720"/>
        <w:jc w:val="both"/>
        <w:rPr>
          <w:sz w:val="22"/>
          <w:szCs w:val="22"/>
        </w:rPr>
      </w:pPr>
      <w:r>
        <w:rPr>
          <w:sz w:val="22"/>
          <w:szCs w:val="22"/>
        </w:rPr>
        <w:t>M. F., &amp; Tan, S. F. (2023). Depression, anxiety, and stress among university students in</w:t>
      </w:r>
      <w:r>
        <w:rPr>
          <w:sz w:val="22"/>
          <w:szCs w:val="22"/>
        </w:rPr>
        <w:t xml:space="preserve"> Selangor, Malaysia during COVID-19 pandemics and their associated factors. PLOS ONE, 1, e0280680. </w:t>
      </w:r>
      <w:hyperlink r:id="rId45">
        <w:r>
          <w:rPr>
            <w:color w:val="1155CC"/>
            <w:sz w:val="22"/>
            <w:szCs w:val="22"/>
            <w:u w:val="single"/>
          </w:rPr>
          <w:t>https://doi.org/10.1371/journal.pone.0280680</w:t>
        </w:r>
      </w:hyperlink>
    </w:p>
    <w:p w14:paraId="15F43FE4" w14:textId="77777777" w:rsidR="001D46B9" w:rsidRDefault="001D46B9">
      <w:pPr>
        <w:widowControl w:val="0"/>
        <w:tabs>
          <w:tab w:val="left" w:pos="198"/>
        </w:tabs>
        <w:jc w:val="both"/>
        <w:rPr>
          <w:sz w:val="22"/>
          <w:szCs w:val="22"/>
        </w:rPr>
      </w:pPr>
    </w:p>
    <w:p w14:paraId="71EEB48D" w14:textId="77777777" w:rsidR="00F05241" w:rsidRDefault="008D669C">
      <w:pPr>
        <w:widowControl w:val="0"/>
        <w:tabs>
          <w:tab w:val="left" w:pos="198"/>
        </w:tabs>
        <w:ind w:left="288"/>
        <w:jc w:val="both"/>
        <w:rPr>
          <w:sz w:val="22"/>
          <w:szCs w:val="22"/>
        </w:rPr>
      </w:pPr>
      <w:r>
        <w:rPr>
          <w:sz w:val="22"/>
          <w:szCs w:val="22"/>
        </w:rPr>
        <w:t>Zhong, Y., Wang, J., &amp; Nicholas, S. (2020). Soc</w:t>
      </w:r>
      <w:r>
        <w:rPr>
          <w:sz w:val="22"/>
          <w:szCs w:val="22"/>
        </w:rPr>
        <w:t xml:space="preserve">ial </w:t>
      </w:r>
    </w:p>
    <w:p w14:paraId="5643C739" w14:textId="02CF7750" w:rsidR="001D46B9" w:rsidRDefault="008D669C" w:rsidP="00F05241">
      <w:pPr>
        <w:widowControl w:val="0"/>
        <w:tabs>
          <w:tab w:val="left" w:pos="198"/>
        </w:tabs>
        <w:ind w:left="720"/>
        <w:jc w:val="both"/>
        <w:rPr>
          <w:sz w:val="22"/>
          <w:szCs w:val="22"/>
        </w:rPr>
      </w:pPr>
      <w:r>
        <w:rPr>
          <w:sz w:val="22"/>
          <w:szCs w:val="22"/>
        </w:rPr>
        <w:t xml:space="preserve">support and depressive symptoms among family caregivers of older people with disabilities in four provinces of urban China: the mediating role of caregiver burden. BMC Geriatrics, 1. </w:t>
      </w:r>
      <w:hyperlink r:id="rId46">
        <w:r>
          <w:rPr>
            <w:color w:val="1155CC"/>
            <w:sz w:val="22"/>
            <w:szCs w:val="22"/>
            <w:u w:val="single"/>
          </w:rPr>
          <w:t>https://</w:t>
        </w:r>
        <w:r>
          <w:rPr>
            <w:color w:val="1155CC"/>
            <w:sz w:val="22"/>
            <w:szCs w:val="22"/>
            <w:u w:val="single"/>
          </w:rPr>
          <w:t>doi.org/10.1186/s12877-019-1403-9</w:t>
        </w:r>
      </w:hyperlink>
    </w:p>
    <w:p w14:paraId="013EB4CC" w14:textId="77777777" w:rsidR="001D46B9" w:rsidRDefault="001D46B9">
      <w:pPr>
        <w:widowControl w:val="0"/>
        <w:tabs>
          <w:tab w:val="left" w:pos="198"/>
        </w:tabs>
        <w:ind w:left="288"/>
        <w:jc w:val="both"/>
        <w:rPr>
          <w:sz w:val="22"/>
          <w:szCs w:val="22"/>
        </w:rPr>
      </w:pPr>
    </w:p>
    <w:p w14:paraId="47C4CA1D" w14:textId="77777777" w:rsidR="00F05241" w:rsidRDefault="008D669C">
      <w:pPr>
        <w:widowControl w:val="0"/>
        <w:tabs>
          <w:tab w:val="left" w:pos="198"/>
        </w:tabs>
        <w:ind w:left="288"/>
        <w:jc w:val="both"/>
        <w:rPr>
          <w:sz w:val="22"/>
          <w:szCs w:val="22"/>
        </w:rPr>
      </w:pPr>
      <w:proofErr w:type="spellStart"/>
      <w:r>
        <w:rPr>
          <w:sz w:val="22"/>
          <w:szCs w:val="22"/>
        </w:rPr>
        <w:t>Zimet</w:t>
      </w:r>
      <w:proofErr w:type="spellEnd"/>
      <w:r>
        <w:rPr>
          <w:sz w:val="22"/>
          <w:szCs w:val="22"/>
        </w:rPr>
        <w:t xml:space="preserve"> G (2016) Multidimensional Scale of </w:t>
      </w:r>
    </w:p>
    <w:p w14:paraId="5DAA967A" w14:textId="58BB1DE8" w:rsidR="001D46B9" w:rsidRDefault="008D669C" w:rsidP="00F05241">
      <w:pPr>
        <w:widowControl w:val="0"/>
        <w:tabs>
          <w:tab w:val="left" w:pos="198"/>
        </w:tabs>
        <w:ind w:left="720"/>
        <w:jc w:val="both"/>
        <w:rPr>
          <w:sz w:val="22"/>
          <w:szCs w:val="22"/>
        </w:rPr>
      </w:pPr>
      <w:r>
        <w:rPr>
          <w:sz w:val="22"/>
          <w:szCs w:val="22"/>
        </w:rPr>
        <w:t xml:space="preserve">Perceived Social </w:t>
      </w:r>
      <w:proofErr w:type="gramStart"/>
      <w:r>
        <w:rPr>
          <w:sz w:val="22"/>
          <w:szCs w:val="22"/>
        </w:rPr>
        <w:t>Support(</w:t>
      </w:r>
      <w:proofErr w:type="gramEnd"/>
      <w:r>
        <w:rPr>
          <w:sz w:val="22"/>
          <w:szCs w:val="22"/>
        </w:rPr>
        <w:t>MSPSS)—Scale Items and Scoring Information.</w:t>
      </w:r>
    </w:p>
    <w:p w14:paraId="745BB224" w14:textId="77777777" w:rsidR="001D46B9" w:rsidRDefault="001D46B9">
      <w:pPr>
        <w:widowControl w:val="0"/>
        <w:tabs>
          <w:tab w:val="left" w:pos="198"/>
        </w:tabs>
        <w:ind w:left="288"/>
        <w:jc w:val="both"/>
        <w:rPr>
          <w:sz w:val="22"/>
          <w:szCs w:val="22"/>
        </w:rPr>
      </w:pPr>
    </w:p>
    <w:p w14:paraId="7E55AB3E" w14:textId="77777777" w:rsidR="00F05241" w:rsidRDefault="008D669C">
      <w:pPr>
        <w:widowControl w:val="0"/>
        <w:tabs>
          <w:tab w:val="left" w:pos="198"/>
        </w:tabs>
        <w:ind w:left="288"/>
        <w:jc w:val="both"/>
        <w:rPr>
          <w:sz w:val="22"/>
          <w:szCs w:val="22"/>
        </w:rPr>
      </w:pPr>
      <w:proofErr w:type="spellStart"/>
      <w:r>
        <w:rPr>
          <w:sz w:val="22"/>
          <w:szCs w:val="22"/>
        </w:rPr>
        <w:t>Zimet</w:t>
      </w:r>
      <w:proofErr w:type="spellEnd"/>
      <w:r>
        <w:rPr>
          <w:sz w:val="22"/>
          <w:szCs w:val="22"/>
        </w:rPr>
        <w:t xml:space="preserve">, G. D., Powell, S. S., Farley, G. K., </w:t>
      </w:r>
    </w:p>
    <w:p w14:paraId="3EADEB30" w14:textId="1D7F0550" w:rsidR="001D46B9" w:rsidRDefault="008D669C" w:rsidP="00F05241">
      <w:pPr>
        <w:widowControl w:val="0"/>
        <w:tabs>
          <w:tab w:val="left" w:pos="198"/>
        </w:tabs>
        <w:ind w:left="720"/>
        <w:jc w:val="both"/>
        <w:rPr>
          <w:sz w:val="22"/>
          <w:szCs w:val="22"/>
        </w:rPr>
      </w:pPr>
      <w:proofErr w:type="spellStart"/>
      <w:r>
        <w:rPr>
          <w:sz w:val="22"/>
          <w:szCs w:val="22"/>
        </w:rPr>
        <w:t>Werkman</w:t>
      </w:r>
      <w:proofErr w:type="spellEnd"/>
      <w:r>
        <w:rPr>
          <w:sz w:val="22"/>
          <w:szCs w:val="22"/>
        </w:rPr>
        <w:t>, S., &amp; Berkoff, K. A. (1990). Psychometric Characteristics</w:t>
      </w:r>
      <w:r>
        <w:rPr>
          <w:sz w:val="22"/>
          <w:szCs w:val="22"/>
        </w:rPr>
        <w:t xml:space="preserve"> of the Multidimensional Scale of Perceived Social Support. Journal of Personality Assessment, 3–4, 610–617. </w:t>
      </w:r>
      <w:hyperlink r:id="rId47">
        <w:r>
          <w:rPr>
            <w:color w:val="1155CC"/>
            <w:sz w:val="22"/>
            <w:szCs w:val="22"/>
            <w:u w:val="single"/>
          </w:rPr>
          <w:t>https://doi.org/10.1080/00223891.1990.9674095</w:t>
        </w:r>
      </w:hyperlink>
    </w:p>
    <w:p w14:paraId="3124681B" w14:textId="77777777" w:rsidR="001D46B9" w:rsidRDefault="001D46B9">
      <w:pPr>
        <w:widowControl w:val="0"/>
        <w:tabs>
          <w:tab w:val="left" w:pos="198"/>
        </w:tabs>
        <w:ind w:left="288"/>
        <w:jc w:val="both"/>
        <w:rPr>
          <w:sz w:val="22"/>
          <w:szCs w:val="22"/>
        </w:rPr>
      </w:pPr>
    </w:p>
    <w:p w14:paraId="5CBA9B37" w14:textId="77777777" w:rsidR="001D46B9" w:rsidRDefault="001D46B9">
      <w:pPr>
        <w:widowControl w:val="0"/>
        <w:tabs>
          <w:tab w:val="left" w:pos="198"/>
        </w:tabs>
        <w:ind w:left="288"/>
        <w:jc w:val="both"/>
        <w:rPr>
          <w:sz w:val="22"/>
          <w:szCs w:val="22"/>
        </w:rPr>
      </w:pPr>
    </w:p>
    <w:p w14:paraId="7DE16ACA" w14:textId="77777777" w:rsidR="001D46B9" w:rsidRDefault="001D46B9">
      <w:pPr>
        <w:widowControl w:val="0"/>
        <w:tabs>
          <w:tab w:val="left" w:pos="198"/>
        </w:tabs>
        <w:ind w:left="288"/>
        <w:jc w:val="both"/>
        <w:rPr>
          <w:sz w:val="22"/>
          <w:szCs w:val="22"/>
        </w:rPr>
      </w:pPr>
    </w:p>
    <w:p w14:paraId="4BCAB11B" w14:textId="77777777" w:rsidR="001D46B9" w:rsidRDefault="001D46B9">
      <w:pPr>
        <w:widowControl w:val="0"/>
        <w:tabs>
          <w:tab w:val="left" w:pos="198"/>
        </w:tabs>
        <w:ind w:left="288"/>
        <w:jc w:val="both"/>
        <w:rPr>
          <w:sz w:val="22"/>
          <w:szCs w:val="22"/>
        </w:rPr>
      </w:pPr>
    </w:p>
    <w:p w14:paraId="39F93E0A" w14:textId="77777777" w:rsidR="001D46B9" w:rsidRDefault="001D46B9">
      <w:pPr>
        <w:widowControl w:val="0"/>
        <w:tabs>
          <w:tab w:val="left" w:pos="198"/>
        </w:tabs>
        <w:ind w:left="288"/>
        <w:jc w:val="both"/>
        <w:rPr>
          <w:sz w:val="22"/>
          <w:szCs w:val="22"/>
        </w:rPr>
      </w:pPr>
    </w:p>
    <w:p w14:paraId="29CDC852" w14:textId="77777777" w:rsidR="001D46B9" w:rsidRDefault="001D46B9">
      <w:pPr>
        <w:widowControl w:val="0"/>
        <w:tabs>
          <w:tab w:val="left" w:pos="198"/>
        </w:tabs>
        <w:ind w:left="288"/>
        <w:jc w:val="both"/>
        <w:rPr>
          <w:sz w:val="22"/>
          <w:szCs w:val="22"/>
        </w:rPr>
      </w:pPr>
    </w:p>
    <w:p w14:paraId="568ABE97" w14:textId="77777777" w:rsidR="001D46B9" w:rsidRDefault="001D46B9">
      <w:pPr>
        <w:widowControl w:val="0"/>
        <w:tabs>
          <w:tab w:val="left" w:pos="198"/>
        </w:tabs>
        <w:ind w:left="288"/>
        <w:jc w:val="both"/>
        <w:rPr>
          <w:sz w:val="22"/>
          <w:szCs w:val="22"/>
        </w:rPr>
      </w:pPr>
    </w:p>
    <w:p w14:paraId="23BE87AA" w14:textId="77777777" w:rsidR="001D46B9" w:rsidRDefault="001D46B9">
      <w:pPr>
        <w:widowControl w:val="0"/>
        <w:tabs>
          <w:tab w:val="left" w:pos="198"/>
        </w:tabs>
        <w:ind w:left="288"/>
        <w:jc w:val="both"/>
        <w:rPr>
          <w:sz w:val="22"/>
          <w:szCs w:val="22"/>
        </w:rPr>
      </w:pPr>
    </w:p>
    <w:p w14:paraId="5F67524F" w14:textId="77777777" w:rsidR="001D46B9" w:rsidRDefault="001D46B9">
      <w:pPr>
        <w:widowControl w:val="0"/>
        <w:tabs>
          <w:tab w:val="left" w:pos="198"/>
        </w:tabs>
        <w:ind w:left="288"/>
        <w:jc w:val="both"/>
        <w:rPr>
          <w:sz w:val="22"/>
          <w:szCs w:val="22"/>
        </w:rPr>
      </w:pPr>
    </w:p>
    <w:p w14:paraId="19CD7A77" w14:textId="77777777" w:rsidR="001D46B9" w:rsidRDefault="001D46B9">
      <w:pPr>
        <w:widowControl w:val="0"/>
        <w:tabs>
          <w:tab w:val="left" w:pos="198"/>
        </w:tabs>
        <w:ind w:left="288"/>
        <w:jc w:val="both"/>
        <w:rPr>
          <w:sz w:val="22"/>
          <w:szCs w:val="22"/>
        </w:rPr>
      </w:pPr>
    </w:p>
    <w:p w14:paraId="0A5676C2" w14:textId="77777777" w:rsidR="001D46B9" w:rsidRDefault="001D46B9">
      <w:pPr>
        <w:rPr>
          <w:i/>
          <w:sz w:val="22"/>
          <w:szCs w:val="22"/>
        </w:rPr>
      </w:pPr>
    </w:p>
    <w:sectPr w:rsidR="001D46B9">
      <w:type w:val="continuous"/>
      <w:pgSz w:w="12240" w:h="15840"/>
      <w:pgMar w:top="1021" w:right="907" w:bottom="1021" w:left="1077" w:header="720" w:footer="720" w:gutter="0"/>
      <w:cols w:num="2" w:space="720" w:equalWidth="0">
        <w:col w:w="4768" w:space="720"/>
        <w:col w:w="476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DDF7" w14:textId="77777777" w:rsidR="008D669C" w:rsidRDefault="008D669C">
      <w:r>
        <w:separator/>
      </w:r>
    </w:p>
  </w:endnote>
  <w:endnote w:type="continuationSeparator" w:id="0">
    <w:p w14:paraId="0965B3B6" w14:textId="77777777" w:rsidR="008D669C" w:rsidRDefault="008D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7FBE" w14:textId="77777777" w:rsidR="001D46B9" w:rsidRDefault="008D669C">
    <w:pPr>
      <w:pBdr>
        <w:top w:val="nil"/>
        <w:left w:val="nil"/>
        <w:bottom w:val="nil"/>
        <w:right w:val="nil"/>
        <w:between w:val="nil"/>
      </w:pBdr>
      <w:tabs>
        <w:tab w:val="center" w:pos="4680"/>
        <w:tab w:val="right" w:pos="9360"/>
      </w:tabs>
      <w:rPr>
        <w:sz w:val="20"/>
        <w:szCs w:val="20"/>
      </w:rPr>
    </w:pPr>
    <w:r>
      <w:rPr>
        <w:color w:val="000000"/>
        <w:sz w:val="20"/>
        <w:szCs w:val="20"/>
      </w:rPr>
      <w:t xml:space="preserve">© Department of Social Science, Faculty of Social Science and Humanities, </w:t>
    </w:r>
    <w:proofErr w:type="spellStart"/>
    <w:r>
      <w:rPr>
        <w:sz w:val="20"/>
        <w:szCs w:val="20"/>
      </w:rPr>
      <w:t>Tunku</w:t>
    </w:r>
    <w:proofErr w:type="spellEnd"/>
    <w:r>
      <w:rPr>
        <w:sz w:val="20"/>
        <w:szCs w:val="20"/>
      </w:rPr>
      <w:t xml:space="preserve"> Abdul Rahman University of Management and Technology</w:t>
    </w:r>
  </w:p>
  <w:p w14:paraId="391C8094" w14:textId="77777777" w:rsidR="001D46B9" w:rsidRDefault="001D46B9">
    <w:pPr>
      <w:pBdr>
        <w:top w:val="nil"/>
        <w:left w:val="nil"/>
        <w:bottom w:val="nil"/>
        <w:right w:val="nil"/>
        <w:between w:val="nil"/>
      </w:pBdr>
      <w:tabs>
        <w:tab w:val="center" w:pos="4680"/>
        <w:tab w:val="right" w:pos="936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7C0C" w14:textId="77777777" w:rsidR="008D669C" w:rsidRDefault="008D669C">
      <w:r>
        <w:separator/>
      </w:r>
    </w:p>
  </w:footnote>
  <w:footnote w:type="continuationSeparator" w:id="0">
    <w:p w14:paraId="521E6ACE" w14:textId="77777777" w:rsidR="008D669C" w:rsidRDefault="008D66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A58E" w14:textId="77777777" w:rsidR="001D46B9" w:rsidRDefault="008D669C">
    <w:pPr>
      <w:pBdr>
        <w:top w:val="nil"/>
        <w:left w:val="nil"/>
        <w:bottom w:val="nil"/>
        <w:right w:val="nil"/>
        <w:between w:val="nil"/>
      </w:pBdr>
      <w:tabs>
        <w:tab w:val="center" w:pos="4680"/>
        <w:tab w:val="right" w:pos="9360"/>
      </w:tabs>
      <w:rPr>
        <w:color w:val="000000"/>
      </w:rPr>
    </w:pPr>
    <w:r>
      <w:rPr>
        <w:color w:val="000000"/>
        <w:sz w:val="20"/>
        <w:szCs w:val="20"/>
      </w:rPr>
      <w:t>PERCEIVED SOCIAL SUPPORT AND DEPRESSIVE SYMPTOMS</w:t>
    </w:r>
    <w:r>
      <w:rPr>
        <w:color w:val="000000"/>
        <w:sz w:val="20"/>
        <w:szCs w:val="20"/>
      </w:rPr>
      <w:tab/>
    </w:r>
    <w:r>
      <w:rPr>
        <w:color w:val="000000"/>
        <w:sz w:val="20"/>
        <w:szCs w:val="2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2512D9">
      <w:rPr>
        <w:noProof/>
        <w:color w:val="000000"/>
        <w:sz w:val="20"/>
        <w:szCs w:val="20"/>
      </w:rPr>
      <w:t>1</w:t>
    </w:r>
    <w:r>
      <w:rPr>
        <w:color w:val="000000"/>
        <w:sz w:val="20"/>
        <w:szCs w:val="20"/>
      </w:rPr>
      <w:fldChar w:fldCharType="end"/>
    </w:r>
  </w:p>
  <w:p w14:paraId="3D481E90" w14:textId="77777777" w:rsidR="001D46B9" w:rsidRDefault="001D46B9">
    <w:pPr>
      <w:pBdr>
        <w:top w:val="nil"/>
        <w:left w:val="nil"/>
        <w:bottom w:val="nil"/>
        <w:right w:val="nil"/>
        <w:between w:val="nil"/>
      </w:pBdr>
      <w:tabs>
        <w:tab w:val="center" w:pos="4680"/>
        <w:tab w:val="right" w:pos="936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6B9"/>
    <w:rsid w:val="001D46B9"/>
    <w:rsid w:val="002512D9"/>
    <w:rsid w:val="008C1567"/>
    <w:rsid w:val="008D669C"/>
    <w:rsid w:val="00EE558A"/>
    <w:rsid w:val="00F0524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C0E4"/>
  <w15:docId w15:val="{910BAC13-349B-46C6-909C-1EAEC4BF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80/0309877x.2021.1875203" TargetMode="External"/><Relationship Id="rId18" Type="http://schemas.openxmlformats.org/officeDocument/2006/relationships/hyperlink" Target="https://doi.org/10.4103/aca.aca_157_18" TargetMode="External"/><Relationship Id="rId26" Type="http://schemas.openxmlformats.org/officeDocument/2006/relationships/hyperlink" Target="https://doi.org/10.1046/j.1525-1497.2001.016009606.x" TargetMode="External"/><Relationship Id="rId39" Type="http://schemas.openxmlformats.org/officeDocument/2006/relationships/hyperlink" Target="https://pubmed.ncbi.nlm.nih.gov/27086757/" TargetMode="External"/><Relationship Id="rId21" Type="http://schemas.openxmlformats.org/officeDocument/2006/relationships/hyperlink" Target="https://doi.org/10.3389/fpsyg.2018.02780" TargetMode="External"/><Relationship Id="rId34" Type="http://schemas.openxmlformats.org/officeDocument/2006/relationships/hyperlink" Target="https://doi.org/10.3389/fpsyg.2018.01634" TargetMode="External"/><Relationship Id="rId42" Type="http://schemas.openxmlformats.org/officeDocument/2006/relationships/hyperlink" Target="https://doi.org/10.1111/ijn.12458" TargetMode="External"/><Relationship Id="rId47" Type="http://schemas.openxmlformats.org/officeDocument/2006/relationships/hyperlink" Target="https://doi.org/10.1080/00223891.1990.9674095"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92/bjp.bp.115.169094" TargetMode="External"/><Relationship Id="rId29" Type="http://schemas.openxmlformats.org/officeDocument/2006/relationships/hyperlink" Target="https://doi.org/10.1016/j.psychres.2016.09.018" TargetMode="External"/><Relationship Id="rId11" Type="http://schemas.openxmlformats.org/officeDocument/2006/relationships/hyperlink" Target="https://doi.org/10.1037/0003-066x.55.5.469" TargetMode="External"/><Relationship Id="rId24" Type="http://schemas.openxmlformats.org/officeDocument/2006/relationships/hyperlink" Target="https://doi.org/10.24200/jonus.vol6iss2pp21-40" TargetMode="External"/><Relationship Id="rId32" Type="http://schemas.openxmlformats.org/officeDocument/2006/relationships/hyperlink" Target="https://doi.org/10.1177/00368504211029812" TargetMode="External"/><Relationship Id="rId37" Type="http://schemas.openxmlformats.org/officeDocument/2006/relationships/hyperlink" Target="https://www.proquest.com/scholarly-journals/gender-differences-on-perceived-social-supp/docview/2409183497/se-2" TargetMode="External"/><Relationship Id="rId40" Type="http://schemas.openxmlformats.org/officeDocument/2006/relationships/hyperlink" Target="https://doi.org/10.1017/s0033291721000039" TargetMode="External"/><Relationship Id="rId45" Type="http://schemas.openxmlformats.org/officeDocument/2006/relationships/hyperlink" Target="https://doi.org/10.1371/journal.pone.0280680" TargetMode="External"/><Relationship Id="rId5" Type="http://schemas.openxmlformats.org/officeDocument/2006/relationships/footnotes" Target="footnotes.xml"/><Relationship Id="rId15" Type="http://schemas.openxmlformats.org/officeDocument/2006/relationships/hyperlink" Target="https://doi.org/10.1080/00221325.2020.1803196" TargetMode="External"/><Relationship Id="rId23" Type="http://schemas.openxmlformats.org/officeDocument/2006/relationships/hyperlink" Target="https://doi.org/10.1177/00207640211066737" TargetMode="External"/><Relationship Id="rId28" Type="http://schemas.openxmlformats.org/officeDocument/2006/relationships/hyperlink" Target="https://doi.org/10.5204/ssj.v10i3.1407" TargetMode="External"/><Relationship Id="rId36" Type="http://schemas.openxmlformats.org/officeDocument/2006/relationships/hyperlink" Target="https://doi.org/10.1016/j.ajp.2013.01.014" TargetMode="External"/><Relationship Id="rId49" Type="http://schemas.openxmlformats.org/officeDocument/2006/relationships/theme" Target="theme/theme1.xml"/><Relationship Id="rId10" Type="http://schemas.openxmlformats.org/officeDocument/2006/relationships/hyperlink" Target="https://doi.org/10.1080/02673843.2019.1568887" TargetMode="External"/><Relationship Id="rId19" Type="http://schemas.openxmlformats.org/officeDocument/2006/relationships/hyperlink" Target="https://doi.org/10.1186/s13033-015-0002-1" TargetMode="External"/><Relationship Id="rId31" Type="http://schemas.openxmlformats.org/officeDocument/2006/relationships/hyperlink" Target="https://doi.org/10.1016/j.edurev.2019.100307" TargetMode="External"/><Relationship Id="rId44" Type="http://schemas.openxmlformats.org/officeDocument/2006/relationships/hyperlink" Target="https://doi.org/10.1371/journal.pone.024891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proquest.com/scholarly-journals/perceived-social-support-among-university/docview/2725350029/se-2" TargetMode="External"/><Relationship Id="rId22" Type="http://schemas.openxmlformats.org/officeDocument/2006/relationships/hyperlink" Target="https://doi.org/10.18502/kls.v4i4.2302" TargetMode="External"/><Relationship Id="rId27" Type="http://schemas.openxmlformats.org/officeDocument/2006/relationships/hyperlink" Target="https://doi.org/10.1016/j.psychres.2020.113172" TargetMode="External"/><Relationship Id="rId30" Type="http://schemas.openxmlformats.org/officeDocument/2006/relationships/hyperlink" Target="https://doi.org/10.1007/s11469-021-00710-z" TargetMode="External"/><Relationship Id="rId35" Type="http://schemas.openxmlformats.org/officeDocument/2006/relationships/hyperlink" Target="https://doi.org/10.1037/0003-066x.55.1.68" TargetMode="External"/><Relationship Id="rId43" Type="http://schemas.openxmlformats.org/officeDocument/2006/relationships/hyperlink" Target="https://doi.org/10.1016/j.chest.2020.03.012" TargetMode="External"/><Relationship Id="rId48"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apa.org/topics/depression" TargetMode="External"/><Relationship Id="rId17" Type="http://schemas.openxmlformats.org/officeDocument/2006/relationships/hyperlink" Target="https://doi.org/10.1016/j.psychres.2020.113452" TargetMode="External"/><Relationship Id="rId25" Type="http://schemas.openxmlformats.org/officeDocument/2006/relationships/hyperlink" Target="https://doi.org/10.52589/bjce-fy266hk9" TargetMode="External"/><Relationship Id="rId33" Type="http://schemas.openxmlformats.org/officeDocument/2006/relationships/hyperlink" Target="https://doi.org/10.5958/0976-5506.2019.00120.7" TargetMode="External"/><Relationship Id="rId38" Type="http://schemas.openxmlformats.org/officeDocument/2006/relationships/hyperlink" Target="https://doi.org/10.1186/s12955-021-01676-1" TargetMode="External"/><Relationship Id="rId46" Type="http://schemas.openxmlformats.org/officeDocument/2006/relationships/hyperlink" Target="https://doi.org/10.1186/s12877-019-1403-9" TargetMode="External"/><Relationship Id="rId20" Type="http://schemas.openxmlformats.org/officeDocument/2006/relationships/hyperlink" Target="https://doi.org/10.1007/s00127-013-0663-5" TargetMode="External"/><Relationship Id="rId41" Type="http://schemas.openxmlformats.org/officeDocument/2006/relationships/hyperlink" Target="https://doi.org/10.1007/s11031-019-09818-1"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8T8ntKHvAJOvJuis3snZoMr7nw==">CgMxLjAaFAoBMBIPCg0IB0IJEgdHdW5nc3VoMgloLjFmb2I5dGUyCGguZ2pkZ3hzMgloLjN6bnlzaDcyCWguMmV0OTJwMDIIaC50eWpjd3QyDmguZmNoN3lvM2ZrdzZ5MgloLjNkeTZ2a20yDmguZmNoN3lvM2ZrdzZ5OAByITFwSjJGX25MUVF5N0NKRkN0VG9meUt6ZTh5SWphUlRoWA==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7670</Words>
  <Characters>43725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Marwa</cp:lastModifiedBy>
  <cp:revision>5</cp:revision>
  <dcterms:created xsi:type="dcterms:W3CDTF">2024-04-23T09:21:00Z</dcterms:created>
  <dcterms:modified xsi:type="dcterms:W3CDTF">2024-04-23T09:50:00Z</dcterms:modified>
</cp:coreProperties>
</file>