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BC8CE" w14:textId="3B2FD7B0" w:rsidR="00742E4A" w:rsidRPr="006A35F1" w:rsidRDefault="002054D5" w:rsidP="006A35F1">
      <w:pPr>
        <w:jc w:val="center"/>
        <w:rPr>
          <w:b/>
          <w:bCs/>
          <w:sz w:val="36"/>
          <w:szCs w:val="36"/>
        </w:rPr>
      </w:pPr>
      <w:r w:rsidRPr="006A35F1">
        <w:rPr>
          <w:b/>
          <w:bCs/>
          <w:sz w:val="36"/>
          <w:szCs w:val="36"/>
        </w:rPr>
        <w:t>Desarrollo de la Escala de Microagresión hacia Personas Ateas (EMPA)</w:t>
      </w:r>
      <w:r w:rsidR="00AE3424" w:rsidRPr="006A35F1">
        <w:rPr>
          <w:b/>
          <w:bCs/>
          <w:sz w:val="36"/>
          <w:szCs w:val="36"/>
        </w:rPr>
        <w:t>: Validez preliminar en Puerto Rico</w:t>
      </w:r>
    </w:p>
    <w:p w14:paraId="631DD289" w14:textId="77777777" w:rsidR="00685309" w:rsidRDefault="00685309" w:rsidP="00895543">
      <w:pPr>
        <w:rPr>
          <w:b/>
          <w:lang w:val="es-ES"/>
        </w:rPr>
      </w:pPr>
    </w:p>
    <w:p w14:paraId="166E5255" w14:textId="6D199B85" w:rsidR="00C413D4" w:rsidRPr="006A35F1" w:rsidRDefault="00685309" w:rsidP="00895543">
      <w:pPr>
        <w:rPr>
          <w:b/>
        </w:rPr>
      </w:pPr>
      <w:r>
        <w:rPr>
          <w:b/>
          <w:lang w:val="es-ES"/>
        </w:rPr>
        <w:t>Janeliz Santos López</w:t>
      </w:r>
      <w:r w:rsidR="00200ECC" w:rsidRPr="00200ECC">
        <w:rPr>
          <w:rStyle w:val="FootnoteReference"/>
          <w:b/>
          <w:lang w:val="es-ES"/>
        </w:rPr>
        <w:t xml:space="preserve"> </w:t>
      </w:r>
      <w:r w:rsidR="00200ECC">
        <w:rPr>
          <w:rStyle w:val="FootnoteReference"/>
          <w:b/>
          <w:lang w:val="es-ES"/>
        </w:rPr>
        <w:t>a</w:t>
      </w:r>
      <w:r w:rsidR="000255D7">
        <w:rPr>
          <w:rStyle w:val="FootnoteReference"/>
          <w:b/>
          <w:lang w:val="es-ES"/>
        </w:rPr>
        <w:footnoteReference w:id="1"/>
      </w:r>
      <w:r>
        <w:rPr>
          <w:b/>
          <w:lang w:val="es-ES"/>
        </w:rPr>
        <w:t xml:space="preserve">, </w:t>
      </w:r>
      <w:r w:rsidRPr="00685309">
        <w:rPr>
          <w:b/>
        </w:rPr>
        <w:t xml:space="preserve">Griseila M. Cruz </w:t>
      </w:r>
      <w:proofErr w:type="spellStart"/>
      <w:r w:rsidRPr="00685309">
        <w:rPr>
          <w:b/>
        </w:rPr>
        <w:t>Román</w:t>
      </w:r>
      <w:r w:rsidR="008E25A4" w:rsidRPr="008E25A4">
        <w:rPr>
          <w:rStyle w:val="FootnoteReference"/>
          <w:bCs/>
        </w:rPr>
        <w:t>b</w:t>
      </w:r>
      <w:proofErr w:type="spellEnd"/>
      <w:r w:rsidR="000B770D">
        <w:rPr>
          <w:b/>
        </w:rPr>
        <w:t xml:space="preserve">, &amp; </w:t>
      </w:r>
      <w:r w:rsidR="000B770D">
        <w:rPr>
          <w:b/>
          <w:lang w:val="es-ES"/>
        </w:rPr>
        <w:t>Nayra del C. Rodríguez-Soto</w:t>
      </w:r>
      <w:r w:rsidR="008E25A4" w:rsidRPr="008E25A4">
        <w:rPr>
          <w:rStyle w:val="FootnoteReference"/>
          <w:b/>
          <w:lang w:val="es-ES"/>
        </w:rPr>
        <w:t xml:space="preserve"> </w:t>
      </w:r>
      <w:r w:rsidR="008E25A4">
        <w:rPr>
          <w:rStyle w:val="FootnoteReference"/>
          <w:b/>
          <w:lang w:val="es-ES"/>
        </w:rPr>
        <w:t>a</w:t>
      </w:r>
      <w:r w:rsidR="000B770D">
        <w:rPr>
          <w:rStyle w:val="FootnoteReference"/>
          <w:b/>
        </w:rPr>
        <w:footnoteReference w:id="2"/>
      </w:r>
    </w:p>
    <w:p w14:paraId="32ADB658" w14:textId="77777777" w:rsidR="008E25A4" w:rsidRDefault="008E25A4" w:rsidP="00895543">
      <w:pPr>
        <w:rPr>
          <w:i/>
          <w:sz w:val="28"/>
          <w:szCs w:val="28"/>
          <w:lang w:val="es-ES"/>
        </w:rPr>
      </w:pPr>
    </w:p>
    <w:p w14:paraId="6C942DCA" w14:textId="0B0DFCF3" w:rsidR="00B845A1" w:rsidRPr="008E25A4" w:rsidRDefault="008E25A4" w:rsidP="00895543">
      <w:pPr>
        <w:rPr>
          <w:bCs/>
          <w:i/>
          <w:sz w:val="28"/>
          <w:szCs w:val="28"/>
          <w:lang w:val="es-ES"/>
        </w:rPr>
      </w:pPr>
      <w:r>
        <w:rPr>
          <w:i/>
          <w:sz w:val="28"/>
          <w:szCs w:val="28"/>
          <w:lang w:val="es-ES"/>
        </w:rPr>
        <w:t>Universidad Albizu, San Juan, Puerto Rico</w:t>
      </w:r>
      <w:r w:rsidRPr="008E25A4">
        <w:rPr>
          <w:rStyle w:val="FootnoteReference"/>
          <w:b/>
          <w:lang w:val="es-ES"/>
        </w:rPr>
        <w:t xml:space="preserve"> </w:t>
      </w:r>
      <w:r>
        <w:rPr>
          <w:rStyle w:val="FootnoteReference"/>
          <w:b/>
          <w:lang w:val="es-ES"/>
        </w:rPr>
        <w:t>a</w:t>
      </w:r>
      <w:r>
        <w:rPr>
          <w:i/>
          <w:sz w:val="28"/>
          <w:szCs w:val="28"/>
          <w:lang w:val="es-ES"/>
        </w:rPr>
        <w:t>; Universidad Ana G. Méndez, Carolina, Puerto Rico</w:t>
      </w:r>
      <w:r w:rsidRPr="008E25A4">
        <w:rPr>
          <w:rStyle w:val="FootnoteReference"/>
          <w:bCs/>
        </w:rPr>
        <w:t>b</w:t>
      </w:r>
      <w:r>
        <w:rPr>
          <w:bCs/>
        </w:rPr>
        <w:t>.</w:t>
      </w:r>
    </w:p>
    <w:p w14:paraId="0BAD9FA3" w14:textId="098C1666" w:rsidR="00C413D4" w:rsidRPr="002054D5" w:rsidRDefault="00C413D4" w:rsidP="00895543">
      <w:pPr>
        <w:rPr>
          <w:rFonts w:ascii="Times" w:hAnsi="Times"/>
          <w:i/>
          <w:sz w:val="28"/>
          <w:szCs w:val="28"/>
          <w:lang w:val="es-ES"/>
        </w:rPr>
      </w:pPr>
      <w:r w:rsidRPr="00E25900">
        <w:rPr>
          <w:noProof/>
          <w:lang w:val="es-ES" w:eastAsia="es-ES"/>
        </w:rPr>
        <mc:AlternateContent>
          <mc:Choice Requires="wps">
            <w:drawing>
              <wp:anchor distT="4294967295" distB="4294967295" distL="114300" distR="114300" simplePos="0" relativeHeight="251659264" behindDoc="0" locked="0" layoutInCell="1" allowOverlap="1" wp14:anchorId="40A29C03" wp14:editId="5E43EB78">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C3AB7DE" id="Straight Connector 8"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3C2A8692" w14:textId="46796CA0" w:rsidR="00153DC5" w:rsidRPr="00E417C5" w:rsidRDefault="00153DC5" w:rsidP="00895543">
      <w:pPr>
        <w:jc w:val="both"/>
        <w:rPr>
          <w:bCs/>
          <w:sz w:val="20"/>
          <w:szCs w:val="20"/>
          <w:lang w:val="es-PR"/>
        </w:rPr>
      </w:pPr>
    </w:p>
    <w:p w14:paraId="7C35B110" w14:textId="65566B47" w:rsidR="00153DC5" w:rsidRPr="003C5368" w:rsidRDefault="00153DC5" w:rsidP="00895543">
      <w:pPr>
        <w:pStyle w:val="TtuloResumen"/>
        <w:spacing w:after="0"/>
        <w:rPr>
          <w:lang w:val="es-AR"/>
        </w:rPr>
      </w:pPr>
      <w:r w:rsidRPr="003C5368">
        <w:rPr>
          <w:lang w:val="es-AR"/>
        </w:rPr>
        <w:t>Resum</w:t>
      </w:r>
      <w:r w:rsidR="009A583F" w:rsidRPr="003C5368">
        <w:rPr>
          <w:lang w:val="es-AR"/>
        </w:rPr>
        <w:t>en</w:t>
      </w:r>
    </w:p>
    <w:p w14:paraId="2BBA4188" w14:textId="77777777" w:rsidR="0045268C" w:rsidRPr="003C5368" w:rsidRDefault="0045268C" w:rsidP="00895543">
      <w:pPr>
        <w:pStyle w:val="TtuloResumen"/>
        <w:spacing w:after="0"/>
        <w:rPr>
          <w:lang w:val="es-AR"/>
        </w:rPr>
      </w:pPr>
    </w:p>
    <w:p w14:paraId="319D190B" w14:textId="0A10C40A" w:rsidR="00F27A73" w:rsidRPr="003C5368" w:rsidRDefault="0045268C" w:rsidP="00F27A73">
      <w:pPr>
        <w:jc w:val="both"/>
        <w:rPr>
          <w:sz w:val="20"/>
          <w:szCs w:val="20"/>
          <w:lang w:val="es-ES"/>
        </w:rPr>
      </w:pPr>
      <w:r w:rsidRPr="003C5368">
        <w:rPr>
          <w:sz w:val="20"/>
          <w:szCs w:val="20"/>
          <w:lang w:val="es-ES"/>
        </w:rPr>
        <w:t>La</w:t>
      </w:r>
      <w:r w:rsidR="00E417C5">
        <w:rPr>
          <w:sz w:val="20"/>
          <w:szCs w:val="20"/>
          <w:lang w:val="es-ES"/>
        </w:rPr>
        <w:t xml:space="preserve">s personas </w:t>
      </w:r>
      <w:r w:rsidRPr="003C5368">
        <w:rPr>
          <w:sz w:val="20"/>
          <w:szCs w:val="20"/>
          <w:lang w:val="es-ES"/>
        </w:rPr>
        <w:t>atea</w:t>
      </w:r>
      <w:r w:rsidR="00E417C5">
        <w:rPr>
          <w:sz w:val="20"/>
          <w:szCs w:val="20"/>
          <w:lang w:val="es-ES"/>
        </w:rPr>
        <w:t>s</w:t>
      </w:r>
      <w:r w:rsidRPr="003C5368">
        <w:rPr>
          <w:sz w:val="20"/>
          <w:szCs w:val="20"/>
          <w:lang w:val="es-ES"/>
        </w:rPr>
        <w:t xml:space="preserve"> </w:t>
      </w:r>
      <w:r w:rsidR="00E417C5">
        <w:rPr>
          <w:sz w:val="20"/>
          <w:szCs w:val="20"/>
          <w:lang w:val="es-ES"/>
        </w:rPr>
        <w:t>son</w:t>
      </w:r>
      <w:r w:rsidR="00E417C5" w:rsidRPr="003C5368">
        <w:rPr>
          <w:sz w:val="20"/>
          <w:szCs w:val="20"/>
          <w:lang w:val="es-ES"/>
        </w:rPr>
        <w:t xml:space="preserve"> </w:t>
      </w:r>
      <w:r w:rsidRPr="003C5368">
        <w:rPr>
          <w:sz w:val="20"/>
          <w:szCs w:val="20"/>
          <w:lang w:val="es-ES"/>
        </w:rPr>
        <w:t>una minoría religiosa que enfrenta retos</w:t>
      </w:r>
      <w:r w:rsidR="00E417C5">
        <w:rPr>
          <w:sz w:val="20"/>
          <w:szCs w:val="20"/>
          <w:lang w:val="es-ES"/>
        </w:rPr>
        <w:t xml:space="preserve"> únicos</w:t>
      </w:r>
      <w:r w:rsidRPr="003C5368">
        <w:rPr>
          <w:sz w:val="20"/>
          <w:szCs w:val="20"/>
          <w:lang w:val="es-ES"/>
        </w:rPr>
        <w:t xml:space="preserve"> que incluyen discrimen, microagresiones y necesidades que ameritan ser estudiadas. Sin embargo, es una de las poblaciones más invisibilizadas a nivel mundial. Por consiguiente,</w:t>
      </w:r>
      <w:r w:rsidR="00F27A73" w:rsidRPr="003C5368">
        <w:rPr>
          <w:sz w:val="20"/>
          <w:szCs w:val="20"/>
          <w:lang w:val="es-ES"/>
        </w:rPr>
        <w:t xml:space="preserve"> </w:t>
      </w:r>
      <w:r w:rsidR="00F27A73" w:rsidRPr="00F27A73">
        <w:rPr>
          <w:sz w:val="20"/>
          <w:szCs w:val="20"/>
          <w:lang w:val="es-ES" w:eastAsia="en-US"/>
        </w:rPr>
        <w:t>el objetivo de est</w:t>
      </w:r>
      <w:r w:rsidR="00E417C5">
        <w:rPr>
          <w:sz w:val="20"/>
          <w:szCs w:val="20"/>
          <w:lang w:val="es-ES" w:eastAsia="en-US"/>
        </w:rPr>
        <w:t>e estudio</w:t>
      </w:r>
      <w:r w:rsidR="00F27A73" w:rsidRPr="00F27A73">
        <w:rPr>
          <w:sz w:val="20"/>
          <w:szCs w:val="20"/>
          <w:lang w:val="es-ES" w:eastAsia="en-US"/>
        </w:rPr>
        <w:t xml:space="preserve"> fue desarrollar y validar la Escala de Microagresiones hacia Personas Ateas (EMPA) </w:t>
      </w:r>
      <w:r w:rsidR="00E417C5">
        <w:rPr>
          <w:sz w:val="20"/>
          <w:szCs w:val="20"/>
          <w:lang w:val="es-ES" w:eastAsia="en-US"/>
        </w:rPr>
        <w:t>en Puerto Rico</w:t>
      </w:r>
      <w:r w:rsidR="00F27A73" w:rsidRPr="00F27A73">
        <w:rPr>
          <w:sz w:val="20"/>
          <w:szCs w:val="20"/>
          <w:lang w:val="es-ES" w:eastAsia="en-US"/>
        </w:rPr>
        <w:t xml:space="preserve">. El estudio </w:t>
      </w:r>
      <w:r w:rsidR="00E417C5">
        <w:rPr>
          <w:sz w:val="20"/>
          <w:szCs w:val="20"/>
          <w:lang w:val="es-ES" w:eastAsia="en-US"/>
        </w:rPr>
        <w:t>constó</w:t>
      </w:r>
      <w:r w:rsidR="00F27A73" w:rsidRPr="00F27A73">
        <w:rPr>
          <w:sz w:val="20"/>
          <w:szCs w:val="20"/>
          <w:lang w:val="es-ES" w:eastAsia="en-US"/>
        </w:rPr>
        <w:t xml:space="preserve"> </w:t>
      </w:r>
      <w:r w:rsidR="00E417C5">
        <w:rPr>
          <w:sz w:val="20"/>
          <w:szCs w:val="20"/>
          <w:lang w:val="es-ES" w:eastAsia="en-US"/>
        </w:rPr>
        <w:t>de</w:t>
      </w:r>
      <w:r w:rsidR="00F27A73" w:rsidRPr="00F27A73">
        <w:rPr>
          <w:sz w:val="20"/>
          <w:szCs w:val="20"/>
          <w:lang w:val="es-ES" w:eastAsia="en-US"/>
        </w:rPr>
        <w:t xml:space="preserve"> dos fases: el desarrollo de la escala y su administración</w:t>
      </w:r>
      <w:r w:rsidR="006F601C" w:rsidRPr="003C5368">
        <w:rPr>
          <w:sz w:val="20"/>
          <w:szCs w:val="20"/>
          <w:lang w:val="es-ES" w:eastAsia="en-US"/>
        </w:rPr>
        <w:t xml:space="preserve"> a 227 p</w:t>
      </w:r>
      <w:r w:rsidR="00E417C5">
        <w:rPr>
          <w:sz w:val="20"/>
          <w:szCs w:val="20"/>
          <w:lang w:val="es-ES" w:eastAsia="en-US"/>
        </w:rPr>
        <w:t>ersonas adultas identificadas como ateas. En la primera fase desarrollamos e hicimos</w:t>
      </w:r>
      <w:r w:rsidR="00F27A73" w:rsidRPr="00F27A73">
        <w:rPr>
          <w:sz w:val="20"/>
          <w:szCs w:val="20"/>
          <w:lang w:val="es-ES" w:eastAsia="en-US"/>
        </w:rPr>
        <w:t xml:space="preserve"> análisis de validez de contenido</w:t>
      </w:r>
      <w:r w:rsidR="00E417C5">
        <w:rPr>
          <w:sz w:val="20"/>
          <w:szCs w:val="20"/>
          <w:lang w:val="es-ES" w:eastAsia="en-US"/>
        </w:rPr>
        <w:t>. En la segunda fase, luego de administrar la versión reducida, hicimos</w:t>
      </w:r>
      <w:r w:rsidR="00F27A73" w:rsidRPr="00F27A73">
        <w:rPr>
          <w:sz w:val="20"/>
          <w:szCs w:val="20"/>
          <w:lang w:val="es-ES" w:eastAsia="en-US"/>
        </w:rPr>
        <w:t xml:space="preserve"> </w:t>
      </w:r>
      <w:r w:rsidR="00E417C5">
        <w:rPr>
          <w:sz w:val="20"/>
          <w:szCs w:val="20"/>
          <w:lang w:val="es-ES" w:eastAsia="en-US"/>
        </w:rPr>
        <w:t xml:space="preserve">correlaciones, alfa de Cronbach y </w:t>
      </w:r>
      <w:r w:rsidR="00F27A73" w:rsidRPr="00F27A73">
        <w:rPr>
          <w:sz w:val="20"/>
          <w:szCs w:val="20"/>
          <w:lang w:val="es-ES" w:eastAsia="en-US"/>
        </w:rPr>
        <w:t>análisis de factores exploratorio</w:t>
      </w:r>
      <w:r w:rsidR="00E417C5">
        <w:rPr>
          <w:sz w:val="20"/>
          <w:szCs w:val="20"/>
          <w:lang w:val="es-ES" w:eastAsia="en-US"/>
        </w:rPr>
        <w:t>s. Con los análisis de factores exploratorios,</w:t>
      </w:r>
      <w:r w:rsidR="00F27A73" w:rsidRPr="00F27A73">
        <w:rPr>
          <w:sz w:val="20"/>
          <w:szCs w:val="20"/>
          <w:lang w:val="es-ES" w:eastAsia="en-US"/>
        </w:rPr>
        <w:t xml:space="preserve"> </w:t>
      </w:r>
      <w:r w:rsidR="00E417C5" w:rsidRPr="00F27A73">
        <w:rPr>
          <w:sz w:val="20"/>
          <w:szCs w:val="20"/>
          <w:lang w:val="es-ES" w:eastAsia="en-US"/>
        </w:rPr>
        <w:t>identifica</w:t>
      </w:r>
      <w:r w:rsidR="00E417C5">
        <w:rPr>
          <w:sz w:val="20"/>
          <w:szCs w:val="20"/>
          <w:lang w:val="es-ES" w:eastAsia="en-US"/>
        </w:rPr>
        <w:t>mos</w:t>
      </w:r>
      <w:r w:rsidR="00E417C5" w:rsidRPr="00F27A73">
        <w:rPr>
          <w:sz w:val="20"/>
          <w:szCs w:val="20"/>
          <w:lang w:val="es-ES" w:eastAsia="en-US"/>
        </w:rPr>
        <w:t xml:space="preserve"> tres subescalas</w:t>
      </w:r>
      <w:r w:rsidR="00E417C5" w:rsidRPr="003C5368">
        <w:rPr>
          <w:sz w:val="20"/>
          <w:szCs w:val="20"/>
          <w:lang w:val="es-ES" w:eastAsia="en-US"/>
        </w:rPr>
        <w:t xml:space="preserve"> </w:t>
      </w:r>
      <w:r w:rsidR="00E417C5">
        <w:rPr>
          <w:sz w:val="20"/>
          <w:szCs w:val="20"/>
          <w:lang w:val="es-ES" w:eastAsia="en-US"/>
        </w:rPr>
        <w:t>a</w:t>
      </w:r>
      <w:r w:rsidR="00E417C5" w:rsidRPr="003C5368">
        <w:rPr>
          <w:sz w:val="20"/>
          <w:szCs w:val="20"/>
          <w:lang w:val="es-ES" w:eastAsia="en-US"/>
        </w:rPr>
        <w:t xml:space="preserve"> base </w:t>
      </w:r>
      <w:r w:rsidR="00E417C5">
        <w:rPr>
          <w:sz w:val="20"/>
          <w:szCs w:val="20"/>
          <w:lang w:val="es-ES" w:eastAsia="en-US"/>
        </w:rPr>
        <w:t>de</w:t>
      </w:r>
      <w:r w:rsidR="00E417C5" w:rsidRPr="003C5368">
        <w:rPr>
          <w:sz w:val="20"/>
          <w:szCs w:val="20"/>
          <w:lang w:val="es-ES" w:eastAsia="en-US"/>
        </w:rPr>
        <w:t xml:space="preserve"> la carga factorial de los reactivos </w:t>
      </w:r>
      <w:r w:rsidR="00E417C5">
        <w:rPr>
          <w:sz w:val="20"/>
          <w:szCs w:val="20"/>
          <w:lang w:val="es-ES" w:eastAsia="en-US"/>
        </w:rPr>
        <w:t>y permitió</w:t>
      </w:r>
      <w:r w:rsidR="00F27A73" w:rsidRPr="003C5368">
        <w:rPr>
          <w:sz w:val="20"/>
          <w:szCs w:val="20"/>
          <w:lang w:val="es-ES" w:eastAsia="en-US"/>
        </w:rPr>
        <w:t xml:space="preserve"> r</w:t>
      </w:r>
      <w:r w:rsidR="00F27A73" w:rsidRPr="00F27A73">
        <w:rPr>
          <w:sz w:val="20"/>
          <w:szCs w:val="20"/>
          <w:lang w:val="es-ES" w:eastAsia="en-US"/>
        </w:rPr>
        <w:t>educ</w:t>
      </w:r>
      <w:r w:rsidR="00E417C5">
        <w:rPr>
          <w:sz w:val="20"/>
          <w:szCs w:val="20"/>
          <w:lang w:val="es-ES" w:eastAsia="en-US"/>
        </w:rPr>
        <w:t>ir</w:t>
      </w:r>
      <w:r w:rsidR="00F27A73" w:rsidRPr="00F27A73">
        <w:rPr>
          <w:sz w:val="20"/>
          <w:szCs w:val="20"/>
          <w:lang w:val="es-ES" w:eastAsia="en-US"/>
        </w:rPr>
        <w:t xml:space="preserve"> la matriz de reactivos.</w:t>
      </w:r>
      <w:r w:rsidR="00E417C5">
        <w:rPr>
          <w:sz w:val="20"/>
          <w:szCs w:val="20"/>
          <w:lang w:val="es-ES" w:eastAsia="en-US"/>
        </w:rPr>
        <w:t xml:space="preserve"> Con estos tres factores, evidenciamos</w:t>
      </w:r>
      <w:r w:rsidR="00F27A73" w:rsidRPr="00F27A73">
        <w:rPr>
          <w:sz w:val="20"/>
          <w:szCs w:val="20"/>
          <w:lang w:val="es-ES" w:eastAsia="en-US"/>
        </w:rPr>
        <w:t xml:space="preserve"> una alta consistencia interna </w:t>
      </w:r>
      <w:r w:rsidR="00E417C5">
        <w:rPr>
          <w:sz w:val="20"/>
          <w:szCs w:val="20"/>
          <w:lang w:val="es-ES" w:eastAsia="en-US"/>
        </w:rPr>
        <w:t>por subescalas y escala total, así como</w:t>
      </w:r>
      <w:r w:rsidR="00F27A73" w:rsidRPr="00F27A73">
        <w:rPr>
          <w:sz w:val="20"/>
          <w:szCs w:val="20"/>
          <w:lang w:val="es-ES" w:eastAsia="en-US"/>
        </w:rPr>
        <w:t xml:space="preserve"> correlaci</w:t>
      </w:r>
      <w:r w:rsidR="00E417C5">
        <w:rPr>
          <w:sz w:val="20"/>
          <w:szCs w:val="20"/>
          <w:lang w:val="es-ES" w:eastAsia="en-US"/>
        </w:rPr>
        <w:t>ones</w:t>
      </w:r>
      <w:r w:rsidR="00F27A73" w:rsidRPr="00F27A73">
        <w:rPr>
          <w:sz w:val="20"/>
          <w:szCs w:val="20"/>
          <w:lang w:val="es-ES" w:eastAsia="en-US"/>
        </w:rPr>
        <w:t xml:space="preserve"> significativa</w:t>
      </w:r>
      <w:r w:rsidR="00E417C5">
        <w:rPr>
          <w:sz w:val="20"/>
          <w:szCs w:val="20"/>
          <w:lang w:val="es-ES" w:eastAsia="en-US"/>
        </w:rPr>
        <w:t>s</w:t>
      </w:r>
      <w:r w:rsidR="00F27A73" w:rsidRPr="00F27A73">
        <w:rPr>
          <w:sz w:val="20"/>
          <w:szCs w:val="20"/>
          <w:lang w:val="es-ES" w:eastAsia="en-US"/>
        </w:rPr>
        <w:t xml:space="preserve"> entre la escala total y sus subescalas</w:t>
      </w:r>
      <w:r w:rsidR="00E417C5">
        <w:rPr>
          <w:sz w:val="20"/>
          <w:szCs w:val="20"/>
          <w:lang w:val="es-ES" w:eastAsia="en-US"/>
        </w:rPr>
        <w:t>. Esto</w:t>
      </w:r>
      <w:r w:rsidR="00F27A73" w:rsidRPr="00F27A73">
        <w:rPr>
          <w:sz w:val="20"/>
          <w:szCs w:val="20"/>
          <w:lang w:val="es-ES" w:eastAsia="en-US"/>
        </w:rPr>
        <w:t xml:space="preserve"> </w:t>
      </w:r>
      <w:r w:rsidR="00F27A73" w:rsidRPr="003C5368">
        <w:rPr>
          <w:sz w:val="20"/>
          <w:szCs w:val="20"/>
          <w:lang w:val="es-ES" w:eastAsia="en-US"/>
        </w:rPr>
        <w:t>sugiere</w:t>
      </w:r>
      <w:r w:rsidR="00E417C5">
        <w:rPr>
          <w:sz w:val="20"/>
          <w:szCs w:val="20"/>
          <w:lang w:val="es-ES" w:eastAsia="en-US"/>
        </w:rPr>
        <w:t xml:space="preserve"> alta</w:t>
      </w:r>
      <w:r w:rsidR="00F27A73" w:rsidRPr="00F27A73">
        <w:rPr>
          <w:sz w:val="20"/>
          <w:szCs w:val="20"/>
          <w:lang w:val="es-ES" w:eastAsia="en-US"/>
        </w:rPr>
        <w:t xml:space="preserve"> </w:t>
      </w:r>
      <w:r w:rsidR="00F27A73" w:rsidRPr="003C5368">
        <w:rPr>
          <w:sz w:val="20"/>
          <w:szCs w:val="20"/>
          <w:lang w:val="es-ES" w:eastAsia="en-US"/>
        </w:rPr>
        <w:t>con</w:t>
      </w:r>
      <w:r w:rsidR="00F27A73" w:rsidRPr="00F27A73">
        <w:rPr>
          <w:sz w:val="20"/>
          <w:szCs w:val="20"/>
          <w:lang w:val="es-ES" w:eastAsia="en-US"/>
        </w:rPr>
        <w:t>fiabilidad de la EMPA</w:t>
      </w:r>
      <w:r w:rsidR="00E417C5">
        <w:rPr>
          <w:sz w:val="20"/>
          <w:szCs w:val="20"/>
          <w:lang w:val="es-ES" w:eastAsia="en-US"/>
        </w:rPr>
        <w:t xml:space="preserve"> y sus subescalas</w:t>
      </w:r>
      <w:r w:rsidR="00F27A73" w:rsidRPr="00F27A73">
        <w:rPr>
          <w:sz w:val="20"/>
          <w:szCs w:val="20"/>
          <w:lang w:val="es-ES" w:eastAsia="en-US"/>
        </w:rPr>
        <w:t xml:space="preserve"> para evaluar microagresiones en la población atea puertorriqueña. </w:t>
      </w:r>
      <w:r w:rsidR="00F27A73" w:rsidRPr="003C5368">
        <w:rPr>
          <w:sz w:val="20"/>
          <w:szCs w:val="20"/>
          <w:lang w:val="es-ES" w:eastAsia="en-US"/>
        </w:rPr>
        <w:t>Además,</w:t>
      </w:r>
      <w:r w:rsidR="00F27A73" w:rsidRPr="00F27A73">
        <w:rPr>
          <w:sz w:val="20"/>
          <w:szCs w:val="20"/>
          <w:lang w:val="es-ES" w:eastAsia="en-US"/>
        </w:rPr>
        <w:t xml:space="preserve"> </w:t>
      </w:r>
      <w:r w:rsidR="00E417C5">
        <w:rPr>
          <w:sz w:val="20"/>
          <w:szCs w:val="20"/>
          <w:lang w:val="es-ES" w:eastAsia="en-US"/>
        </w:rPr>
        <w:t>encontramos</w:t>
      </w:r>
      <w:r w:rsidR="00F27A73" w:rsidRPr="00F27A73">
        <w:rPr>
          <w:sz w:val="20"/>
          <w:szCs w:val="20"/>
          <w:lang w:val="es-ES" w:eastAsia="en-US"/>
        </w:rPr>
        <w:t xml:space="preserve"> correlaci</w:t>
      </w:r>
      <w:r w:rsidR="00E417C5">
        <w:rPr>
          <w:sz w:val="20"/>
          <w:szCs w:val="20"/>
          <w:lang w:val="es-ES" w:eastAsia="en-US"/>
        </w:rPr>
        <w:t>ones</w:t>
      </w:r>
      <w:r w:rsidR="00F27A73" w:rsidRPr="00F27A73">
        <w:rPr>
          <w:sz w:val="20"/>
          <w:szCs w:val="20"/>
          <w:lang w:val="es-ES" w:eastAsia="en-US"/>
        </w:rPr>
        <w:t xml:space="preserve"> negativa</w:t>
      </w:r>
      <w:r w:rsidR="00E417C5">
        <w:rPr>
          <w:sz w:val="20"/>
          <w:szCs w:val="20"/>
          <w:lang w:val="es-ES" w:eastAsia="en-US"/>
        </w:rPr>
        <w:t>s</w:t>
      </w:r>
      <w:r w:rsidR="00F27A73" w:rsidRPr="003C5368">
        <w:rPr>
          <w:sz w:val="20"/>
          <w:szCs w:val="20"/>
          <w:lang w:val="es-ES" w:eastAsia="en-US"/>
        </w:rPr>
        <w:t>, baja</w:t>
      </w:r>
      <w:r w:rsidR="00E417C5">
        <w:rPr>
          <w:sz w:val="20"/>
          <w:szCs w:val="20"/>
          <w:lang w:val="es-ES" w:eastAsia="en-US"/>
        </w:rPr>
        <w:t>s</w:t>
      </w:r>
      <w:r w:rsidR="00F27A73" w:rsidRPr="003C5368">
        <w:rPr>
          <w:sz w:val="20"/>
          <w:szCs w:val="20"/>
          <w:lang w:val="es-ES" w:eastAsia="en-US"/>
        </w:rPr>
        <w:t xml:space="preserve"> y estadísticamente</w:t>
      </w:r>
      <w:r w:rsidR="00F27A73" w:rsidRPr="00F27A73">
        <w:rPr>
          <w:sz w:val="20"/>
          <w:szCs w:val="20"/>
          <w:lang w:val="es-ES" w:eastAsia="en-US"/>
        </w:rPr>
        <w:t xml:space="preserve"> significativa entre la edad de los participantes y </w:t>
      </w:r>
      <w:r w:rsidR="00E417C5">
        <w:rPr>
          <w:sz w:val="20"/>
          <w:szCs w:val="20"/>
          <w:lang w:val="es-ES" w:eastAsia="en-US"/>
        </w:rPr>
        <w:t>las</w:t>
      </w:r>
      <w:r w:rsidR="00F27A73" w:rsidRPr="00F27A73">
        <w:rPr>
          <w:sz w:val="20"/>
          <w:szCs w:val="20"/>
          <w:lang w:val="es-ES" w:eastAsia="en-US"/>
        </w:rPr>
        <w:t xml:space="preserve"> microagresiones</w:t>
      </w:r>
      <w:r w:rsidR="00E417C5">
        <w:rPr>
          <w:sz w:val="20"/>
          <w:szCs w:val="20"/>
          <w:lang w:val="es-ES" w:eastAsia="en-US"/>
        </w:rPr>
        <w:t xml:space="preserve"> hacia personas ateas</w:t>
      </w:r>
      <w:r w:rsidR="00F27A73" w:rsidRPr="00F27A73">
        <w:rPr>
          <w:sz w:val="20"/>
          <w:szCs w:val="20"/>
          <w:lang w:val="es-ES" w:eastAsia="en-US"/>
        </w:rPr>
        <w:t>. Estos hallazgos son</w:t>
      </w:r>
      <w:r w:rsidR="00AC41F1">
        <w:rPr>
          <w:sz w:val="20"/>
          <w:szCs w:val="20"/>
          <w:lang w:val="es-ES" w:eastAsia="en-US"/>
        </w:rPr>
        <w:t xml:space="preserve"> </w:t>
      </w:r>
      <w:r w:rsidR="00F27A73" w:rsidRPr="00F27A73">
        <w:rPr>
          <w:sz w:val="20"/>
          <w:szCs w:val="20"/>
          <w:lang w:val="es-ES" w:eastAsia="en-US"/>
        </w:rPr>
        <w:t xml:space="preserve">un primer paso para comprender las experiencias de microagresiones de </w:t>
      </w:r>
      <w:r w:rsidR="006F601C" w:rsidRPr="003C5368">
        <w:rPr>
          <w:sz w:val="20"/>
          <w:szCs w:val="20"/>
          <w:lang w:val="es-ES" w:eastAsia="en-US"/>
        </w:rPr>
        <w:t xml:space="preserve">la población atea en </w:t>
      </w:r>
      <w:r w:rsidR="00AC41F1">
        <w:rPr>
          <w:sz w:val="20"/>
          <w:szCs w:val="20"/>
          <w:lang w:val="es-ES" w:eastAsia="en-US"/>
        </w:rPr>
        <w:t>países hispanoparlantes, incluyendo Puerto Rico.</w:t>
      </w:r>
    </w:p>
    <w:p w14:paraId="39ADA12F" w14:textId="77777777" w:rsidR="00F27A73" w:rsidRPr="003C5368" w:rsidRDefault="00F27A73" w:rsidP="00895543">
      <w:pPr>
        <w:jc w:val="both"/>
        <w:rPr>
          <w:b/>
          <w:sz w:val="20"/>
          <w:szCs w:val="20"/>
          <w:lang w:val="es-ES"/>
        </w:rPr>
      </w:pPr>
    </w:p>
    <w:p w14:paraId="52B41A5E" w14:textId="3D74820A" w:rsidR="00153DC5" w:rsidRPr="003C5368" w:rsidRDefault="00153DC5" w:rsidP="00895543">
      <w:pPr>
        <w:jc w:val="both"/>
        <w:rPr>
          <w:b/>
          <w:sz w:val="20"/>
          <w:szCs w:val="20"/>
          <w:lang w:val="es-ES"/>
        </w:rPr>
      </w:pPr>
      <w:r w:rsidRPr="003C5368">
        <w:rPr>
          <w:b/>
          <w:sz w:val="20"/>
          <w:szCs w:val="20"/>
          <w:lang w:val="es-ES"/>
        </w:rPr>
        <w:t>Pala</w:t>
      </w:r>
      <w:r w:rsidR="009A583F" w:rsidRPr="003C5368">
        <w:rPr>
          <w:b/>
          <w:sz w:val="20"/>
          <w:szCs w:val="20"/>
          <w:lang w:val="es-ES"/>
        </w:rPr>
        <w:t>bras clave</w:t>
      </w:r>
    </w:p>
    <w:p w14:paraId="7189B82D" w14:textId="486B9A87" w:rsidR="00E55124" w:rsidRPr="003C5368" w:rsidRDefault="00330788" w:rsidP="00895543">
      <w:pPr>
        <w:jc w:val="both"/>
        <w:rPr>
          <w:bCs/>
          <w:sz w:val="20"/>
          <w:szCs w:val="20"/>
          <w:lang w:val="es-AR"/>
        </w:rPr>
      </w:pPr>
      <w:r>
        <w:rPr>
          <w:bCs/>
          <w:sz w:val="20"/>
          <w:szCs w:val="20"/>
          <w:lang w:val="es-AR"/>
        </w:rPr>
        <w:t>D</w:t>
      </w:r>
      <w:r w:rsidR="006F601C" w:rsidRPr="003C5368">
        <w:rPr>
          <w:bCs/>
          <w:sz w:val="20"/>
          <w:szCs w:val="20"/>
          <w:lang w:val="es-AR"/>
        </w:rPr>
        <w:t xml:space="preserve">esarrollo de escala, </w:t>
      </w:r>
      <w:r w:rsidR="00AC41F1">
        <w:rPr>
          <w:bCs/>
          <w:sz w:val="20"/>
          <w:szCs w:val="20"/>
          <w:lang w:val="es-AR"/>
        </w:rPr>
        <w:t xml:space="preserve">validación, </w:t>
      </w:r>
      <w:r w:rsidR="006F601C" w:rsidRPr="003C5368">
        <w:rPr>
          <w:bCs/>
          <w:sz w:val="20"/>
          <w:szCs w:val="20"/>
          <w:lang w:val="es-AR"/>
        </w:rPr>
        <w:t>microagresiones</w:t>
      </w:r>
      <w:r w:rsidR="00AC41F1">
        <w:rPr>
          <w:bCs/>
          <w:sz w:val="20"/>
          <w:szCs w:val="20"/>
          <w:lang w:val="es-AR"/>
        </w:rPr>
        <w:t xml:space="preserve"> hacia</w:t>
      </w:r>
      <w:r w:rsidR="006F601C" w:rsidRPr="003C5368">
        <w:rPr>
          <w:bCs/>
          <w:noProof/>
          <w:sz w:val="20"/>
          <w:szCs w:val="20"/>
          <w:lang w:val="pt-BR"/>
        </w:rPr>
        <w:t xml:space="preserve"> </w:t>
      </w:r>
      <w:r w:rsidR="00E55124" w:rsidRPr="003C5368">
        <w:rPr>
          <w:bCs/>
          <w:noProof/>
          <w:sz w:val="20"/>
          <w:szCs w:val="20"/>
          <w:lang w:val="pt-BR"/>
        </w:rPr>
        <w:drawing>
          <wp:anchor distT="0" distB="0" distL="114300" distR="114300" simplePos="0" relativeHeight="251662336" behindDoc="0" locked="0" layoutInCell="1" allowOverlap="1" wp14:anchorId="260AE470" wp14:editId="0162207C">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8"/>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r w:rsidR="00514665" w:rsidRPr="003C5368">
        <w:rPr>
          <w:bCs/>
          <w:sz w:val="20"/>
          <w:szCs w:val="20"/>
          <w:lang w:val="es-AR"/>
        </w:rPr>
        <w:t>personas ateas,</w:t>
      </w:r>
      <w:r w:rsidR="00F27A73" w:rsidRPr="003C5368">
        <w:rPr>
          <w:bCs/>
          <w:sz w:val="20"/>
          <w:szCs w:val="20"/>
          <w:lang w:val="es-AR"/>
        </w:rPr>
        <w:t xml:space="preserve"> </w:t>
      </w:r>
      <w:r w:rsidR="00AC41F1">
        <w:rPr>
          <w:bCs/>
          <w:sz w:val="20"/>
          <w:szCs w:val="20"/>
          <w:lang w:val="es-AR"/>
        </w:rPr>
        <w:t>Puerto Rico</w:t>
      </w:r>
      <w:r w:rsidR="00286403">
        <w:rPr>
          <w:bCs/>
          <w:sz w:val="20"/>
          <w:szCs w:val="20"/>
          <w:lang w:val="es-AR"/>
        </w:rPr>
        <w:t>, ateos, prejuicio, discriminación florecimiento psicológico, estereotipos</w:t>
      </w:r>
    </w:p>
    <w:p w14:paraId="644A69D1" w14:textId="77777777" w:rsidR="003C5368" w:rsidRPr="003C5368" w:rsidRDefault="003C5368" w:rsidP="00F27A73">
      <w:pPr>
        <w:pStyle w:val="TtuloResumen"/>
        <w:spacing w:after="0"/>
        <w:rPr>
          <w:lang w:val="es-ES"/>
        </w:rPr>
      </w:pPr>
    </w:p>
    <w:p w14:paraId="74566D6E" w14:textId="6BFD0234" w:rsidR="00F27A73" w:rsidRPr="003C5368" w:rsidRDefault="002054D5" w:rsidP="00F27A73">
      <w:pPr>
        <w:pStyle w:val="TtuloResumen"/>
        <w:spacing w:after="0"/>
        <w:rPr>
          <w:lang w:val="en-US"/>
        </w:rPr>
      </w:pPr>
      <w:r w:rsidRPr="003C5368">
        <w:rPr>
          <w:lang w:val="en-US"/>
        </w:rPr>
        <w:t>Abstract</w:t>
      </w:r>
    </w:p>
    <w:p w14:paraId="6311D064" w14:textId="77777777" w:rsidR="00F27A73" w:rsidRPr="003C5368" w:rsidRDefault="00F27A73" w:rsidP="00F27A73">
      <w:pPr>
        <w:pStyle w:val="TtuloResumen"/>
        <w:spacing w:after="0"/>
        <w:rPr>
          <w:lang w:val="en-US"/>
        </w:rPr>
      </w:pPr>
    </w:p>
    <w:p w14:paraId="4BAE7ECC" w14:textId="18F80E26" w:rsidR="00F27A73" w:rsidRPr="003C5368" w:rsidRDefault="00F27A73" w:rsidP="00F27A73">
      <w:pPr>
        <w:jc w:val="both"/>
        <w:rPr>
          <w:sz w:val="20"/>
          <w:szCs w:val="20"/>
          <w:lang w:val="en-US"/>
        </w:rPr>
      </w:pPr>
      <w:r w:rsidRPr="003C5368">
        <w:rPr>
          <w:sz w:val="20"/>
          <w:szCs w:val="20"/>
          <w:lang w:val="en-US"/>
        </w:rPr>
        <w:t>The atheist population is a religious minority facing their own challenges</w:t>
      </w:r>
      <w:r w:rsidR="007443E0">
        <w:rPr>
          <w:sz w:val="20"/>
          <w:szCs w:val="20"/>
          <w:lang w:val="en-US"/>
        </w:rPr>
        <w:t>,</w:t>
      </w:r>
      <w:r w:rsidRPr="003C5368">
        <w:rPr>
          <w:sz w:val="20"/>
          <w:szCs w:val="20"/>
          <w:lang w:val="en-US"/>
        </w:rPr>
        <w:t xml:space="preserve"> including discrimination, microaggressions, and needs </w:t>
      </w:r>
      <w:r w:rsidR="00514665" w:rsidRPr="003C5368">
        <w:rPr>
          <w:sz w:val="20"/>
          <w:szCs w:val="20"/>
          <w:lang w:val="en-US"/>
        </w:rPr>
        <w:t>that merit their</w:t>
      </w:r>
      <w:r w:rsidRPr="003C5368">
        <w:rPr>
          <w:sz w:val="20"/>
          <w:szCs w:val="20"/>
          <w:lang w:val="en-US"/>
        </w:rPr>
        <w:t xml:space="preserve"> </w:t>
      </w:r>
      <w:r w:rsidR="00514665" w:rsidRPr="003C5368">
        <w:rPr>
          <w:sz w:val="20"/>
          <w:szCs w:val="20"/>
          <w:lang w:val="en-US"/>
        </w:rPr>
        <w:t>research</w:t>
      </w:r>
      <w:r w:rsidRPr="003C5368">
        <w:rPr>
          <w:sz w:val="20"/>
          <w:szCs w:val="20"/>
          <w:lang w:val="en-US"/>
        </w:rPr>
        <w:t xml:space="preserve">. However, they are one of the most </w:t>
      </w:r>
      <w:r w:rsidR="00514665" w:rsidRPr="003C5368">
        <w:rPr>
          <w:sz w:val="20"/>
          <w:szCs w:val="20"/>
          <w:lang w:val="en-US"/>
        </w:rPr>
        <w:t>understudied</w:t>
      </w:r>
      <w:r w:rsidRPr="003C5368">
        <w:rPr>
          <w:sz w:val="20"/>
          <w:szCs w:val="20"/>
          <w:lang w:val="en-US"/>
        </w:rPr>
        <w:t xml:space="preserve"> populations globally and within the field of psychology. </w:t>
      </w:r>
      <w:r w:rsidR="002F09F6" w:rsidRPr="003C5368">
        <w:rPr>
          <w:sz w:val="20"/>
          <w:szCs w:val="20"/>
          <w:lang w:val="en-US"/>
        </w:rPr>
        <w:t>Th</w:t>
      </w:r>
      <w:r w:rsidR="002F09F6">
        <w:rPr>
          <w:sz w:val="20"/>
          <w:szCs w:val="20"/>
          <w:lang w:val="en-US"/>
        </w:rPr>
        <w:t>eref</w:t>
      </w:r>
      <w:r w:rsidR="002F09F6" w:rsidRPr="003C5368">
        <w:rPr>
          <w:sz w:val="20"/>
          <w:szCs w:val="20"/>
          <w:lang w:val="en-US"/>
        </w:rPr>
        <w:t>ore</w:t>
      </w:r>
      <w:r w:rsidRPr="003C5368">
        <w:rPr>
          <w:sz w:val="20"/>
          <w:szCs w:val="20"/>
          <w:lang w:val="en-US"/>
        </w:rPr>
        <w:t>, th</w:t>
      </w:r>
      <w:r w:rsidR="000B57CC">
        <w:rPr>
          <w:sz w:val="20"/>
          <w:szCs w:val="20"/>
          <w:lang w:val="en-US"/>
        </w:rPr>
        <w:t>is research aimed</w:t>
      </w:r>
      <w:r w:rsidRPr="003C5368">
        <w:rPr>
          <w:sz w:val="20"/>
          <w:szCs w:val="20"/>
          <w:lang w:val="en-US"/>
        </w:rPr>
        <w:t xml:space="preserve"> to develop and validate the Atheist Microaggressions Scale (EMPA</w:t>
      </w:r>
      <w:r w:rsidR="006F601C" w:rsidRPr="003C5368">
        <w:rPr>
          <w:sz w:val="20"/>
          <w:szCs w:val="20"/>
          <w:lang w:val="en-US"/>
        </w:rPr>
        <w:t>,</w:t>
      </w:r>
      <w:r w:rsidR="00AC41F1">
        <w:rPr>
          <w:sz w:val="20"/>
          <w:szCs w:val="20"/>
          <w:lang w:val="en-US"/>
        </w:rPr>
        <w:t xml:space="preserve"> for its</w:t>
      </w:r>
      <w:r w:rsidR="006F601C" w:rsidRPr="003C5368">
        <w:rPr>
          <w:sz w:val="20"/>
          <w:szCs w:val="20"/>
          <w:lang w:val="en-US"/>
        </w:rPr>
        <w:t xml:space="preserve"> </w:t>
      </w:r>
      <w:r w:rsidR="00AC41F1">
        <w:rPr>
          <w:sz w:val="20"/>
          <w:szCs w:val="20"/>
          <w:lang w:val="en-US"/>
        </w:rPr>
        <w:t>S</w:t>
      </w:r>
      <w:r w:rsidR="006F601C" w:rsidRPr="003C5368">
        <w:rPr>
          <w:sz w:val="20"/>
          <w:szCs w:val="20"/>
          <w:lang w:val="en-US"/>
        </w:rPr>
        <w:t>panish acronym</w:t>
      </w:r>
      <w:r w:rsidRPr="003C5368">
        <w:rPr>
          <w:sz w:val="20"/>
          <w:szCs w:val="20"/>
          <w:lang w:val="en-US"/>
        </w:rPr>
        <w:t>) with the Puerto Rican population. The study was divided into two phases: scale development and administration</w:t>
      </w:r>
      <w:r w:rsidR="006F601C" w:rsidRPr="003C5368">
        <w:rPr>
          <w:sz w:val="20"/>
          <w:szCs w:val="20"/>
          <w:lang w:val="en-US"/>
        </w:rPr>
        <w:t xml:space="preserve"> to a sample of 227 participants</w:t>
      </w:r>
      <w:r w:rsidRPr="003C5368">
        <w:rPr>
          <w:sz w:val="20"/>
          <w:szCs w:val="20"/>
          <w:lang w:val="en-US"/>
        </w:rPr>
        <w:t xml:space="preserve">. Content validity analysis and exploratory factor analysis facilitated reducing the item matrix and identifying three subscales based on factor loadings. Results showed high internal consistency and a significant correlation between the total scale and its subscales, suggesting the reliability of the EMPA in assessing specific microaggressions in the Puerto Rican atheist population. Additionally, a significant, negative, and low correlation was found between participants' age and reports of microaggressions. These findings represent, to our knowledge, a first step in understanding the experiences of microaggressions </w:t>
      </w:r>
      <w:r w:rsidR="00D56E7F">
        <w:rPr>
          <w:sz w:val="20"/>
          <w:szCs w:val="20"/>
          <w:lang w:val="en-US"/>
        </w:rPr>
        <w:t>of</w:t>
      </w:r>
      <w:r w:rsidRPr="003C5368">
        <w:rPr>
          <w:sz w:val="20"/>
          <w:szCs w:val="20"/>
          <w:lang w:val="en-US"/>
        </w:rPr>
        <w:t xml:space="preserve"> </w:t>
      </w:r>
      <w:r w:rsidR="006F601C" w:rsidRPr="003C5368">
        <w:rPr>
          <w:sz w:val="20"/>
          <w:szCs w:val="20"/>
          <w:lang w:val="en-US"/>
        </w:rPr>
        <w:t xml:space="preserve">the atheist population </w:t>
      </w:r>
      <w:r w:rsidR="00D56E7F">
        <w:rPr>
          <w:sz w:val="20"/>
          <w:szCs w:val="20"/>
          <w:lang w:val="en-US"/>
        </w:rPr>
        <w:t>in Spanish speaking countries, including</w:t>
      </w:r>
      <w:r w:rsidRPr="003C5368">
        <w:rPr>
          <w:sz w:val="20"/>
          <w:szCs w:val="20"/>
          <w:lang w:val="en-US"/>
        </w:rPr>
        <w:t xml:space="preserve"> Puerto Rico.</w:t>
      </w:r>
    </w:p>
    <w:p w14:paraId="2FEB05E7" w14:textId="77777777" w:rsidR="00F27A73" w:rsidRPr="003C5368" w:rsidRDefault="00F27A73" w:rsidP="00895543">
      <w:pPr>
        <w:rPr>
          <w:sz w:val="20"/>
          <w:szCs w:val="20"/>
          <w:lang w:val="en-US"/>
        </w:rPr>
      </w:pPr>
    </w:p>
    <w:p w14:paraId="603C0429" w14:textId="77777777" w:rsidR="002054D5" w:rsidRPr="003C5368" w:rsidRDefault="002054D5" w:rsidP="00895543">
      <w:pPr>
        <w:rPr>
          <w:b/>
          <w:sz w:val="20"/>
          <w:szCs w:val="20"/>
          <w:lang w:val="en-US"/>
        </w:rPr>
      </w:pPr>
      <w:r w:rsidRPr="003C5368">
        <w:rPr>
          <w:b/>
          <w:sz w:val="20"/>
          <w:szCs w:val="20"/>
          <w:lang w:val="en-US"/>
        </w:rPr>
        <w:t>Keywords</w:t>
      </w:r>
    </w:p>
    <w:p w14:paraId="3B35E00C" w14:textId="10BAE650" w:rsidR="00483D6B" w:rsidRPr="003C5368" w:rsidRDefault="00330788" w:rsidP="00895543">
      <w:pPr>
        <w:rPr>
          <w:b/>
          <w:sz w:val="20"/>
          <w:szCs w:val="20"/>
          <w:lang w:val="en-US"/>
        </w:rPr>
      </w:pPr>
      <w:r>
        <w:rPr>
          <w:sz w:val="20"/>
          <w:szCs w:val="20"/>
          <w:lang w:val="en-US"/>
        </w:rPr>
        <w:t>S</w:t>
      </w:r>
      <w:r w:rsidR="003C5368" w:rsidRPr="003C5368">
        <w:rPr>
          <w:sz w:val="20"/>
          <w:szCs w:val="20"/>
          <w:lang w:val="en-US"/>
        </w:rPr>
        <w:t xml:space="preserve">cale development, scale of microaggressions, </w:t>
      </w:r>
      <w:r w:rsidR="006F601C" w:rsidRPr="003C5368">
        <w:rPr>
          <w:sz w:val="20"/>
          <w:szCs w:val="20"/>
          <w:lang w:val="en-US"/>
        </w:rPr>
        <w:t xml:space="preserve">atheist individuals, atheists, </w:t>
      </w:r>
      <w:r w:rsidR="00286403">
        <w:rPr>
          <w:sz w:val="20"/>
          <w:szCs w:val="20"/>
          <w:lang w:val="en-US"/>
        </w:rPr>
        <w:t>Puerto Rico,</w:t>
      </w:r>
      <w:r w:rsidR="003C5368">
        <w:rPr>
          <w:sz w:val="20"/>
          <w:szCs w:val="20"/>
          <w:lang w:val="en-US"/>
        </w:rPr>
        <w:t xml:space="preserve"> </w:t>
      </w:r>
      <w:r w:rsidR="006F601C" w:rsidRPr="003C5368">
        <w:rPr>
          <w:sz w:val="20"/>
          <w:szCs w:val="20"/>
          <w:lang w:val="en-US"/>
        </w:rPr>
        <w:t>microaggression, atheist microaggressions, discrimination, prejudice, psychological well-being, stereotypes</w:t>
      </w:r>
    </w:p>
    <w:p w14:paraId="6A68894A" w14:textId="77777777" w:rsidR="00AC41F1" w:rsidRPr="006A35F1" w:rsidRDefault="00AC41F1" w:rsidP="000255D7">
      <w:pPr>
        <w:pStyle w:val="Titulodeartculo"/>
      </w:pPr>
    </w:p>
    <w:p w14:paraId="63F5D389" w14:textId="6BEE5EF5" w:rsidR="00AE3424" w:rsidRPr="006A35F1" w:rsidRDefault="00AE3424" w:rsidP="000255D7">
      <w:pPr>
        <w:pStyle w:val="Titulodeartculo"/>
        <w:rPr>
          <w:lang w:eastAsia="pt-BR"/>
        </w:rPr>
      </w:pPr>
      <w:r w:rsidRPr="006A35F1">
        <w:lastRenderedPageBreak/>
        <w:t>Development of the Scale of Microaggression towards Atheist</w:t>
      </w:r>
      <w:r w:rsidR="00E21F5F" w:rsidRPr="006A35F1">
        <w:t>s</w:t>
      </w:r>
      <w:r w:rsidRPr="006A35F1">
        <w:t xml:space="preserve"> (EMPA): Preliminary Validity in Puerto Rico</w:t>
      </w:r>
    </w:p>
    <w:p w14:paraId="4FA726CB" w14:textId="2726F646" w:rsidR="006A1BA2" w:rsidRPr="002054D5" w:rsidRDefault="00153DC5" w:rsidP="006A35F1">
      <w:pPr>
        <w:pStyle w:val="Ttulosinternos"/>
        <w:rPr>
          <w:bCs/>
          <w:lang w:val="es-ES"/>
        </w:rPr>
      </w:pPr>
      <w:r w:rsidRPr="006A35F1">
        <w:rPr>
          <w:lang w:val="es-ES"/>
        </w:rPr>
        <w:t>Introduc</w:t>
      </w:r>
      <w:r w:rsidR="00107993" w:rsidRPr="006A35F1">
        <w:rPr>
          <w:lang w:val="es-ES"/>
        </w:rPr>
        <w:t>ción</w:t>
      </w:r>
    </w:p>
    <w:p w14:paraId="31884374" w14:textId="12593DA5" w:rsidR="00B20E32" w:rsidRPr="006A35F1" w:rsidRDefault="002054D5" w:rsidP="00B20E32">
      <w:pPr>
        <w:spacing w:line="360" w:lineRule="auto"/>
        <w:ind w:firstLine="720"/>
        <w:jc w:val="both"/>
        <w:rPr>
          <w:lang w:val="es-ES"/>
        </w:rPr>
      </w:pPr>
      <w:r w:rsidRPr="0044670C">
        <w:rPr>
          <w:lang w:val="es-ES"/>
        </w:rPr>
        <w:t>La</w:t>
      </w:r>
      <w:r w:rsidR="00AC41F1">
        <w:rPr>
          <w:lang w:val="es-ES"/>
        </w:rPr>
        <w:t xml:space="preserve">s personas </w:t>
      </w:r>
      <w:r w:rsidRPr="0044670C">
        <w:rPr>
          <w:lang w:val="es-ES"/>
        </w:rPr>
        <w:t>atea</w:t>
      </w:r>
      <w:r w:rsidR="00AC41F1">
        <w:rPr>
          <w:lang w:val="es-ES"/>
        </w:rPr>
        <w:t>s</w:t>
      </w:r>
      <w:r w:rsidRPr="0044670C">
        <w:rPr>
          <w:lang w:val="es-ES"/>
        </w:rPr>
        <w:t xml:space="preserve">, es decir </w:t>
      </w:r>
      <w:r w:rsidR="00AC41F1">
        <w:rPr>
          <w:lang w:val="es-ES"/>
        </w:rPr>
        <w:t>aquellas</w:t>
      </w:r>
      <w:r w:rsidRPr="0044670C">
        <w:rPr>
          <w:lang w:val="es-ES"/>
        </w:rPr>
        <w:t xml:space="preserve"> que indican no creer en Dios o Dioses, </w:t>
      </w:r>
      <w:r w:rsidR="00AC41F1">
        <w:rPr>
          <w:lang w:val="es-ES"/>
        </w:rPr>
        <w:t xml:space="preserve">son </w:t>
      </w:r>
      <w:r w:rsidRPr="0044670C">
        <w:rPr>
          <w:lang w:val="es-ES"/>
        </w:rPr>
        <w:t>una de las más invisibilizadas a nivel mundial</w:t>
      </w:r>
      <w:r w:rsidR="00AC41F1">
        <w:rPr>
          <w:lang w:val="es-ES"/>
        </w:rPr>
        <w:t>, inclusive</w:t>
      </w:r>
      <w:r w:rsidRPr="0044670C">
        <w:rPr>
          <w:lang w:val="es-ES"/>
        </w:rPr>
        <w:t xml:space="preserve"> en </w:t>
      </w:r>
      <w:r w:rsidR="00AC41F1">
        <w:rPr>
          <w:lang w:val="es-ES"/>
        </w:rPr>
        <w:t>la investigación</w:t>
      </w:r>
      <w:r w:rsidRPr="0044670C">
        <w:rPr>
          <w:lang w:val="es-ES"/>
        </w:rPr>
        <w:t xml:space="preserve"> psicol</w:t>
      </w:r>
      <w:r w:rsidR="00AC41F1">
        <w:rPr>
          <w:lang w:val="es-ES"/>
        </w:rPr>
        <w:t xml:space="preserve">ógica </w:t>
      </w:r>
      <w:r w:rsidRPr="0044670C">
        <w:rPr>
          <w:lang w:val="es-ES"/>
        </w:rPr>
        <w:t xml:space="preserve">(Brewster et al., 2014). </w:t>
      </w:r>
      <w:r w:rsidR="00AC41F1">
        <w:rPr>
          <w:lang w:val="es-ES"/>
        </w:rPr>
        <w:t xml:space="preserve">Conocer un estimado de la cantidad de personas ateas es </w:t>
      </w:r>
      <w:proofErr w:type="spellStart"/>
      <w:r w:rsidR="00AC41F1">
        <w:rPr>
          <w:lang w:val="es-ES"/>
        </w:rPr>
        <w:t>retante</w:t>
      </w:r>
      <w:proofErr w:type="spellEnd"/>
      <w:r w:rsidR="00AC41F1">
        <w:rPr>
          <w:lang w:val="es-ES"/>
        </w:rPr>
        <w:t xml:space="preserve"> porque</w:t>
      </w:r>
      <w:r w:rsidRPr="0044670C">
        <w:rPr>
          <w:lang w:val="es-ES"/>
        </w:rPr>
        <w:t xml:space="preserve"> difiere drásticamente por país </w:t>
      </w:r>
      <w:r w:rsidRPr="0044670C">
        <w:rPr>
          <w:lang w:val="es-ES"/>
        </w:rPr>
        <w:fldChar w:fldCharType="begin" w:fldLock="1"/>
      </w:r>
      <w:r w:rsidRPr="0044670C">
        <w:rPr>
          <w:lang w:val="es-ES"/>
        </w:rPr>
        <w:instrText>ADDIN CSL_CITATION {"citationItems":[{"id":"ITEM-1","itemData":{"author":[{"dropping-particle":"","family":"Martínez-Taboas, A., Varas-Díaz, N., López-Garay, D., &amp; Hernández-Pereira","given":"L.","non-dropping-particle":"","parse-names":false,"suffix":""}],"container-title":"Interamerican Journal of Psychology,","id":"ITEM-1","issue":"2","issued":{"date-parts":[["2011"]]},"page":"203-210","title":"Lo que todo practicante de la psicología debe saber sobre las personas ateas y el ateísmo","type":"article-journal","volume":"45"},"uris":["http://www.mendeley.com/documents/?uuid=8e493c46-744c-4d03-89f3-83b4a8f67bd1"]}],"mendeley":{"formattedCitation":"(Martínez-Taboas, A., Varas-Díaz, N., López-Garay, D., &amp; Hernández-Pereira, 2011)","manualFormatting":"(Martínez-Taboas et al., 2011)","plainTextFormattedCitation":"(Martínez-Taboas, A., Varas-Díaz, N., López-Garay, D., &amp; Hernández-Pereira, 2011)","previouslyFormattedCitation":"(Martínez-Taboas, A., Varas-Díaz, N., López-Garay, D., &amp; Hernández-Pereira, 2011)"},"properties":{"noteIndex":0},"schema":"https://github.com/citation-style-language/schema/raw/master/csl-citation.json"}</w:instrText>
      </w:r>
      <w:r w:rsidRPr="0044670C">
        <w:rPr>
          <w:lang w:val="es-ES"/>
        </w:rPr>
        <w:fldChar w:fldCharType="separate"/>
      </w:r>
      <w:r w:rsidRPr="0044670C">
        <w:rPr>
          <w:lang w:val="es-ES"/>
        </w:rPr>
        <w:t>(Martínez-Taboas et al., 2011)</w:t>
      </w:r>
      <w:r w:rsidRPr="0044670C">
        <w:rPr>
          <w:lang w:val="es-ES"/>
        </w:rPr>
        <w:fldChar w:fldCharType="end"/>
      </w:r>
      <w:r w:rsidRPr="0044670C">
        <w:rPr>
          <w:lang w:val="es-ES"/>
        </w:rPr>
        <w:t xml:space="preserve">. En Europa, </w:t>
      </w:r>
      <w:r w:rsidR="00AC41F1">
        <w:rPr>
          <w:lang w:val="es-ES"/>
        </w:rPr>
        <w:t xml:space="preserve">muchas personas </w:t>
      </w:r>
      <w:r w:rsidR="00AC41F1" w:rsidRPr="0044670C">
        <w:rPr>
          <w:lang w:val="es-ES"/>
        </w:rPr>
        <w:t>se identifica</w:t>
      </w:r>
      <w:r w:rsidR="00AC41F1">
        <w:rPr>
          <w:lang w:val="es-ES"/>
        </w:rPr>
        <w:t>n</w:t>
      </w:r>
      <w:r w:rsidR="00AC41F1" w:rsidRPr="0044670C">
        <w:rPr>
          <w:lang w:val="es-ES"/>
        </w:rPr>
        <w:t xml:space="preserve"> como </w:t>
      </w:r>
      <w:r w:rsidR="00AC41F1">
        <w:rPr>
          <w:lang w:val="es-ES"/>
        </w:rPr>
        <w:t>a</w:t>
      </w:r>
      <w:r w:rsidR="00AC41F1" w:rsidRPr="0044670C">
        <w:rPr>
          <w:lang w:val="es-ES"/>
        </w:rPr>
        <w:t>teos/as</w:t>
      </w:r>
      <w:r w:rsidR="00AC41F1">
        <w:rPr>
          <w:lang w:val="es-ES"/>
        </w:rPr>
        <w:t xml:space="preserve"> que incluyen: </w:t>
      </w:r>
      <w:r w:rsidRPr="0044670C">
        <w:rPr>
          <w:lang w:val="es-ES"/>
        </w:rPr>
        <w:t>78% en Suecia, 76% en República Checa, 73% en Inglaterra</w:t>
      </w:r>
      <w:r w:rsidR="002F3A72">
        <w:rPr>
          <w:lang w:val="es-ES"/>
        </w:rPr>
        <w:t xml:space="preserve"> y</w:t>
      </w:r>
      <w:r w:rsidRPr="0044670C">
        <w:rPr>
          <w:lang w:val="es-ES"/>
        </w:rPr>
        <w:t xml:space="preserve"> 72% en Bélgica </w:t>
      </w:r>
      <w:r w:rsidR="00AC41F1">
        <w:rPr>
          <w:lang w:val="es-ES"/>
        </w:rPr>
        <w:t>(</w:t>
      </w:r>
      <w:r w:rsidR="00AC41F1" w:rsidRPr="0044670C">
        <w:rPr>
          <w:lang w:val="es-ES"/>
        </w:rPr>
        <w:t>Gallup International</w:t>
      </w:r>
      <w:r w:rsidR="00AC41F1">
        <w:rPr>
          <w:lang w:val="es-ES"/>
        </w:rPr>
        <w:t xml:space="preserve">, </w:t>
      </w:r>
      <w:r w:rsidR="00AC41F1" w:rsidRPr="0044670C">
        <w:rPr>
          <w:lang w:val="es-ES"/>
        </w:rPr>
        <w:t>2017</w:t>
      </w:r>
      <w:r w:rsidR="00AC41F1">
        <w:rPr>
          <w:lang w:val="es-ES"/>
        </w:rPr>
        <w:t>)</w:t>
      </w:r>
      <w:r>
        <w:rPr>
          <w:lang w:val="es-ES"/>
        </w:rPr>
        <w:t>.</w:t>
      </w:r>
      <w:r w:rsidRPr="0044670C">
        <w:rPr>
          <w:lang w:val="es-ES"/>
        </w:rPr>
        <w:t xml:space="preserve"> </w:t>
      </w:r>
      <w:r w:rsidR="00AC41F1">
        <w:rPr>
          <w:lang w:val="es-ES"/>
        </w:rPr>
        <w:t xml:space="preserve">Este fenómeno contrasta en países hispanoparlantes donde </w:t>
      </w:r>
      <w:r w:rsidR="009C397B">
        <w:rPr>
          <w:lang w:val="es-ES"/>
        </w:rPr>
        <w:t xml:space="preserve">solo el 1% al 2% de personas en </w:t>
      </w:r>
      <w:r w:rsidRPr="0044670C">
        <w:rPr>
          <w:lang w:val="es-ES"/>
        </w:rPr>
        <w:t xml:space="preserve">países como El Salvador, Guatemala, Costa Rica, Colombia y en Perú, se identifican como ateos. </w:t>
      </w:r>
      <w:r w:rsidR="00AC41F1">
        <w:rPr>
          <w:lang w:val="es-ES"/>
        </w:rPr>
        <w:t>E</w:t>
      </w:r>
      <w:r w:rsidR="000B57CC">
        <w:rPr>
          <w:lang w:val="es-ES"/>
        </w:rPr>
        <w:t>n</w:t>
      </w:r>
      <w:r w:rsidRPr="0044670C">
        <w:rPr>
          <w:lang w:val="es-ES"/>
        </w:rPr>
        <w:t xml:space="preserve"> Puerto Rico escasean datos estadísticos sobre la población atea. </w:t>
      </w:r>
      <w:r w:rsidR="009C397B">
        <w:rPr>
          <w:lang w:val="es-ES"/>
        </w:rPr>
        <w:t xml:space="preserve">Sin embargo, el </w:t>
      </w:r>
      <w:r w:rsidRPr="0044670C">
        <w:rPr>
          <w:lang w:val="es-ES"/>
        </w:rPr>
        <w:t xml:space="preserve">Pew </w:t>
      </w:r>
      <w:proofErr w:type="spellStart"/>
      <w:r w:rsidRPr="0044670C">
        <w:rPr>
          <w:lang w:val="es-ES"/>
        </w:rPr>
        <w:t>Research</w:t>
      </w:r>
      <w:proofErr w:type="spellEnd"/>
      <w:r w:rsidRPr="0044670C">
        <w:rPr>
          <w:lang w:val="es-ES"/>
        </w:rPr>
        <w:t xml:space="preserve"> Center (2019) sugiere que 7% de la población puertorriqueña no se adhiere a una religión. </w:t>
      </w:r>
      <w:r w:rsidRPr="00C56316">
        <w:rPr>
          <w:lang w:val="es-ES"/>
        </w:rPr>
        <w:t>A pesar</w:t>
      </w:r>
      <w:r w:rsidRPr="0044670C">
        <w:rPr>
          <w:lang w:val="es-ES"/>
        </w:rPr>
        <w:t xml:space="preserve"> de los porcentajes bajos de personas ateas </w:t>
      </w:r>
      <w:r w:rsidR="009C397B">
        <w:rPr>
          <w:lang w:val="es-ES"/>
        </w:rPr>
        <w:t>en</w:t>
      </w:r>
      <w:r w:rsidRPr="0044670C">
        <w:rPr>
          <w:lang w:val="es-ES"/>
        </w:rPr>
        <w:t xml:space="preserve"> América Latina, es una minoría religiosa que enfrenta sus propios retos y necesidades que ameritan ser estudiadas. </w:t>
      </w:r>
    </w:p>
    <w:p w14:paraId="4FDCD6BC" w14:textId="77777777" w:rsidR="002054D5" w:rsidRPr="006A35F1" w:rsidRDefault="002054D5" w:rsidP="00895543">
      <w:pPr>
        <w:spacing w:line="360" w:lineRule="auto"/>
        <w:jc w:val="both"/>
        <w:rPr>
          <w:b/>
          <w:bCs/>
          <w:lang w:val="es-ES"/>
        </w:rPr>
      </w:pPr>
      <w:r w:rsidRPr="006A35F1">
        <w:rPr>
          <w:b/>
          <w:bCs/>
          <w:lang w:val="es-ES"/>
        </w:rPr>
        <w:t>Implicaciones de la historia política-religiosa en Puerto Rico</w:t>
      </w:r>
    </w:p>
    <w:p w14:paraId="5066BA32" w14:textId="779B4A32" w:rsidR="009C397B" w:rsidRPr="0044670C" w:rsidRDefault="00D762A9" w:rsidP="00895543">
      <w:pPr>
        <w:spacing w:line="360" w:lineRule="auto"/>
        <w:ind w:firstLine="720"/>
        <w:jc w:val="both"/>
        <w:rPr>
          <w:lang w:val="es-ES"/>
        </w:rPr>
      </w:pPr>
      <w:r>
        <w:t xml:space="preserve">La historia política y religiosa de Puerto Rico es extensa y compleja debido a </w:t>
      </w:r>
      <w:r w:rsidR="00B20E32">
        <w:t>los eventos históricos y sociales</w:t>
      </w:r>
      <w:r>
        <w:t xml:space="preserve"> que la han influenciado a través de las décadas. Históricamente, la religión ha promovido ideas sobre lo que implica la vida en nuestra sociedad y cómo vivirla.</w:t>
      </w:r>
      <w:r w:rsidR="002054D5" w:rsidRPr="0044670C">
        <w:rPr>
          <w:lang w:val="es-ES"/>
        </w:rPr>
        <w:t xml:space="preserve"> </w:t>
      </w:r>
      <w:r w:rsidR="002054D5" w:rsidRPr="00C56316">
        <w:rPr>
          <w:lang w:val="es-ES"/>
        </w:rPr>
        <w:t>De igual importancia</w:t>
      </w:r>
      <w:r w:rsidR="002054D5" w:rsidRPr="0044670C">
        <w:rPr>
          <w:lang w:val="es-ES"/>
        </w:rPr>
        <w:t xml:space="preserve">, estas ideas se encuentran influenciadas </w:t>
      </w:r>
      <w:r w:rsidR="002054D5" w:rsidRPr="00C56316">
        <w:rPr>
          <w:lang w:val="es-ES"/>
        </w:rPr>
        <w:t xml:space="preserve">y entrelazadas </w:t>
      </w:r>
      <w:r w:rsidR="002054D5" w:rsidRPr="0044670C">
        <w:rPr>
          <w:lang w:val="es-ES"/>
        </w:rPr>
        <w:t>por</w:t>
      </w:r>
      <w:r w:rsidR="002054D5" w:rsidRPr="00C56316">
        <w:rPr>
          <w:lang w:val="es-ES"/>
        </w:rPr>
        <w:t xml:space="preserve"> el mecanismo sociopolítico</w:t>
      </w:r>
      <w:r w:rsidR="002054D5" w:rsidRPr="0044670C">
        <w:rPr>
          <w:lang w:val="es-ES"/>
        </w:rPr>
        <w:t xml:space="preserve"> </w:t>
      </w:r>
      <w:r w:rsidR="002054D5" w:rsidRPr="00C56316">
        <w:rPr>
          <w:lang w:val="es-ES"/>
        </w:rPr>
        <w:t xml:space="preserve">de nuestro país </w:t>
      </w:r>
      <w:r w:rsidR="002054D5" w:rsidRPr="0044670C">
        <w:rPr>
          <w:lang w:val="es-ES"/>
        </w:rPr>
        <w:fldChar w:fldCharType="begin" w:fldLock="1"/>
      </w:r>
      <w:r w:rsidR="002054D5" w:rsidRPr="0044670C">
        <w:rPr>
          <w:lang w:val="es-ES"/>
        </w:rPr>
        <w:instrText>ADDIN CSL_CITATION {"citationItems":[{"id":"ITEM-1","itemData":{"author":[{"dropping-particle":"","family":"Silva Gotay","given":"Samuel","non-dropping-particle":"","parse-names":false,"suffix":""}],"id":"ITEM-1","issued":{"date-parts":[["2005"]]},"number-of-pages":"1-471","publisher":"La Editorial Universidad de Puerto Rico","publisher-place":"San Juan, PR","title":"Catolicismo y política en Puerto Rico bajo España y Estados Unidos: Siglos XIX y XX","type":"book"},"uris":["http://www.mendeley.com/documents/?uuid=2be8bec6-a591-4a13-8f4c-819c9568e6b8"]}],"mendeley":{"formattedCitation":"(Silva Gotay, 2005)","manualFormatting":"(Silva-Gotay, 2005)","plainTextFormattedCitation":"(Silva Gotay, 2005)","previouslyFormattedCitation":"(Silva Gotay, 2005)"},"properties":{"noteIndex":0},"schema":"https://github.com/citation-style-language/schema/raw/master/csl-citation.json"}</w:instrText>
      </w:r>
      <w:r w:rsidR="002054D5" w:rsidRPr="0044670C">
        <w:rPr>
          <w:lang w:val="es-ES"/>
        </w:rPr>
        <w:fldChar w:fldCharType="separate"/>
      </w:r>
      <w:r w:rsidR="002054D5" w:rsidRPr="0044670C">
        <w:rPr>
          <w:lang w:val="es-ES"/>
        </w:rPr>
        <w:t>(Silva-Gotay, 2005)</w:t>
      </w:r>
      <w:r w:rsidR="002054D5" w:rsidRPr="0044670C">
        <w:rPr>
          <w:lang w:val="es-ES"/>
        </w:rPr>
        <w:fldChar w:fldCharType="end"/>
      </w:r>
      <w:r w:rsidR="002054D5" w:rsidRPr="0044670C">
        <w:rPr>
          <w:lang w:val="es-ES"/>
        </w:rPr>
        <w:t>.</w:t>
      </w:r>
      <w:r>
        <w:rPr>
          <w:lang w:val="es-ES"/>
        </w:rPr>
        <w:t xml:space="preserve"> </w:t>
      </w:r>
      <w:r>
        <w:t xml:space="preserve">La dimensión política ha permitido que la religión desempeñe un papel destacado en varios eventos históricos, algunos de los cuales se caracterizan como antagonistas, autoritarios y represivos. </w:t>
      </w:r>
      <w:r w:rsidR="00B20E32">
        <w:t>Un ejemplo de esto es que desde el 1898,</w:t>
      </w:r>
      <w:r>
        <w:t xml:space="preserve"> el protestantismo estadounidense </w:t>
      </w:r>
      <w:r w:rsidR="00B20E32">
        <w:t xml:space="preserve">ha </w:t>
      </w:r>
      <w:r>
        <w:t>facilit</w:t>
      </w:r>
      <w:r w:rsidR="00B20E32">
        <w:t>ado</w:t>
      </w:r>
      <w:r>
        <w:t xml:space="preserve"> la americanización de Puerto Rico con la tarea percibida de llevar una fe más pura a los habitantes de </w:t>
      </w:r>
      <w:r w:rsidR="000B57CC">
        <w:t>sus</w:t>
      </w:r>
      <w:r>
        <w:t xml:space="preserve"> nuevas posesiones</w:t>
      </w:r>
      <w:r w:rsidR="000B57CC">
        <w:t xml:space="preserve"> </w:t>
      </w:r>
      <w:r w:rsidRPr="0044670C">
        <w:rPr>
          <w:lang w:val="es-ES"/>
        </w:rPr>
        <w:t>(García, 1974</w:t>
      </w:r>
      <w:r w:rsidR="00697B36">
        <w:rPr>
          <w:lang w:val="es-ES"/>
        </w:rPr>
        <w:t>;</w:t>
      </w:r>
      <w:r w:rsidR="003775B9">
        <w:rPr>
          <w:lang w:val="es-ES"/>
        </w:rPr>
        <w:t xml:space="preserve"> </w:t>
      </w:r>
      <w:r w:rsidR="00697B36">
        <w:rPr>
          <w:lang w:val="es-ES"/>
        </w:rPr>
        <w:t>Hernández Aponte, 2013</w:t>
      </w:r>
      <w:r>
        <w:rPr>
          <w:lang w:val="es-ES"/>
        </w:rPr>
        <w:t>).</w:t>
      </w:r>
    </w:p>
    <w:p w14:paraId="5DF79251" w14:textId="49A9C277" w:rsidR="00D762A9" w:rsidRDefault="00D762A9" w:rsidP="00895543">
      <w:pPr>
        <w:spacing w:line="360" w:lineRule="auto"/>
        <w:ind w:firstLine="720"/>
        <w:jc w:val="both"/>
        <w:rPr>
          <w:lang w:val="es-ES"/>
        </w:rPr>
      </w:pPr>
      <w:r>
        <w:t xml:space="preserve">El impulso hacia la americanización y el cambio </w:t>
      </w:r>
      <w:r w:rsidR="007E752A">
        <w:t xml:space="preserve">de la </w:t>
      </w:r>
      <w:r>
        <w:t xml:space="preserve">ideología de los puertorriqueños llevaba consigo el mensaje implícito de que la cultura y el sistema económico-político de Puerto Rico eran degenerados, oscurantistas y atrasados </w:t>
      </w:r>
      <w:r w:rsidRPr="0044670C">
        <w:rPr>
          <w:lang w:val="es-ES"/>
        </w:rPr>
        <w:t>(Cotto-Serrano, 1999</w:t>
      </w:r>
      <w:r w:rsidR="003775B9">
        <w:rPr>
          <w:lang w:val="es-ES"/>
        </w:rPr>
        <w:t>)</w:t>
      </w:r>
      <w:r>
        <w:t xml:space="preserve">. </w:t>
      </w:r>
      <w:r w:rsidR="007E752A">
        <w:t>Posteriormente</w:t>
      </w:r>
      <w:r w:rsidR="00B20E32">
        <w:t>,</w:t>
      </w:r>
      <w:r>
        <w:t xml:space="preserve"> </w:t>
      </w:r>
      <w:r w:rsidR="002F3A72">
        <w:t>el sector católico estadounidense</w:t>
      </w:r>
      <w:r>
        <w:t xml:space="preserve"> experimentó un resurgimiento en el país </w:t>
      </w:r>
      <w:r w:rsidR="007E752A">
        <w:t xml:space="preserve">en </w:t>
      </w:r>
      <w:r>
        <w:t>el siglo XX</w:t>
      </w:r>
      <w:r w:rsidR="002F3A72">
        <w:t xml:space="preserve">. </w:t>
      </w:r>
      <w:r>
        <w:t xml:space="preserve">Por lo cual, surgió una nueva iniciativa para reeducar a los puertorriqueños sobre los fundamentos y prácticas de una sociedad guiada por los mandamientos establecidos por la religión católica </w:t>
      </w:r>
      <w:r w:rsidRPr="0044670C">
        <w:rPr>
          <w:lang w:val="es-ES"/>
        </w:rPr>
        <w:fldChar w:fldCharType="begin" w:fldLock="1"/>
      </w:r>
      <w:r w:rsidRPr="0044670C">
        <w:rPr>
          <w:lang w:val="es-ES"/>
        </w:rPr>
        <w:instrText>ADDIN CSL_CITATION {"citationItems":[{"id":"ITEM-1","itemData":{"author":[{"dropping-particle":"","family":"Silva Gotay","given":"Samuel","non-dropping-particle":"","parse-names":false,"suffix":""}],"id":"ITEM-1","issued":{"date-parts":[["2005"]]},"number-of-pages":"1-471","publisher":"La Editorial Universidad de Puerto Rico","publisher-place":"San Juan, PR","title":"Catolicismo y política en Puerto Rico bajo España y Estados Unidos: Siglos XIX y XX","type":"book"},"uris":["http://www.mendeley.com/documents/?uuid=2be8bec6-a591-4a13-8f4c-819c9568e6b8"]}],"mendeley":{"formattedCitation":"(Silva Gotay, 2005)","manualFormatting":"(Silva-Gotay, 2005)","plainTextFormattedCitation":"(Silva Gotay, 2005)","previouslyFormattedCitation":"(Silva Gotay, 2005)"},"properties":{"noteIndex":0},"schema":"https://github.com/citation-style-language/schema/raw/master/csl-citation.json"}</w:instrText>
      </w:r>
      <w:r w:rsidRPr="0044670C">
        <w:rPr>
          <w:lang w:val="es-ES"/>
        </w:rPr>
        <w:fldChar w:fldCharType="separate"/>
      </w:r>
      <w:r w:rsidRPr="0044670C">
        <w:rPr>
          <w:lang w:val="es-ES"/>
        </w:rPr>
        <w:t>(Silva-Gotay, 2005)</w:t>
      </w:r>
      <w:r w:rsidRPr="0044670C">
        <w:rPr>
          <w:lang w:val="es-ES"/>
        </w:rPr>
        <w:fldChar w:fldCharType="end"/>
      </w:r>
      <w:r>
        <w:t>.</w:t>
      </w:r>
    </w:p>
    <w:p w14:paraId="34D9D5C5" w14:textId="3B92B7FB" w:rsidR="009C397B" w:rsidRPr="006A35F1" w:rsidRDefault="009C397B" w:rsidP="0087062C">
      <w:pPr>
        <w:spacing w:line="360" w:lineRule="auto"/>
        <w:ind w:firstLine="720"/>
        <w:jc w:val="both"/>
      </w:pPr>
      <w:r w:rsidRPr="0044670C">
        <w:rPr>
          <w:lang w:val="es-ES"/>
        </w:rPr>
        <w:lastRenderedPageBreak/>
        <w:t xml:space="preserve">El impacto del catolicismo y protestantismo </w:t>
      </w:r>
      <w:r w:rsidR="00B20E32">
        <w:rPr>
          <w:lang w:val="es-ES"/>
        </w:rPr>
        <w:t xml:space="preserve">a </w:t>
      </w:r>
      <w:r w:rsidRPr="0044670C">
        <w:rPr>
          <w:lang w:val="es-ES"/>
        </w:rPr>
        <w:t xml:space="preserve">través de las décadas ha sido uno significativo. Según el </w:t>
      </w:r>
      <w:r w:rsidRPr="006A35F1">
        <w:rPr>
          <w:lang w:val="es-ES"/>
        </w:rPr>
        <w:t xml:space="preserve">Pew </w:t>
      </w:r>
      <w:proofErr w:type="spellStart"/>
      <w:r w:rsidRPr="006A35F1">
        <w:rPr>
          <w:lang w:val="es-ES"/>
        </w:rPr>
        <w:t>Research</w:t>
      </w:r>
      <w:proofErr w:type="spellEnd"/>
      <w:r w:rsidRPr="006A35F1">
        <w:rPr>
          <w:lang w:val="es-ES"/>
        </w:rPr>
        <w:t xml:space="preserve"> Center</w:t>
      </w:r>
      <w:r w:rsidR="005005E8">
        <w:rPr>
          <w:i/>
          <w:iCs/>
          <w:lang w:val="es-ES"/>
        </w:rPr>
        <w:t xml:space="preserve"> </w:t>
      </w:r>
      <w:r w:rsidR="005005E8" w:rsidRPr="006A35F1">
        <w:rPr>
          <w:lang w:val="es-ES"/>
        </w:rPr>
        <w:t>(2014)</w:t>
      </w:r>
      <w:r w:rsidRPr="005005E8">
        <w:rPr>
          <w:lang w:val="es-ES"/>
        </w:rPr>
        <w:t>,</w:t>
      </w:r>
      <w:r w:rsidRPr="0044670C">
        <w:rPr>
          <w:lang w:val="es-ES"/>
        </w:rPr>
        <w:t xml:space="preserve"> el 56% de los puertorriqueños en la isla se identifica como católico y el 33% se identifica como protestante</w:t>
      </w:r>
      <w:r w:rsidR="005005E8">
        <w:rPr>
          <w:lang w:val="es-ES"/>
        </w:rPr>
        <w:t>.</w:t>
      </w:r>
      <w:r w:rsidRPr="0044670C">
        <w:rPr>
          <w:lang w:val="es-ES"/>
        </w:rPr>
        <w:t xml:space="preserve"> </w:t>
      </w:r>
      <w:r w:rsidR="00654C84">
        <w:rPr>
          <w:lang w:val="es-ES"/>
        </w:rPr>
        <w:t xml:space="preserve">Es decir, hay una presencia </w:t>
      </w:r>
      <w:r w:rsidR="0087062C">
        <w:rPr>
          <w:lang w:val="es-ES"/>
        </w:rPr>
        <w:t>mayoritaria</w:t>
      </w:r>
      <w:r w:rsidR="00654C84">
        <w:rPr>
          <w:lang w:val="es-ES"/>
        </w:rPr>
        <w:t xml:space="preserve"> </w:t>
      </w:r>
      <w:r w:rsidR="000D15B0">
        <w:rPr>
          <w:lang w:val="es-ES"/>
        </w:rPr>
        <w:t xml:space="preserve">de la población religiosa que </w:t>
      </w:r>
      <w:r w:rsidR="00CC1872">
        <w:rPr>
          <w:lang w:val="es-ES"/>
        </w:rPr>
        <w:t>continúa influenciando</w:t>
      </w:r>
      <w:r w:rsidR="0087062C">
        <w:rPr>
          <w:lang w:val="es-ES"/>
        </w:rPr>
        <w:t xml:space="preserve"> </w:t>
      </w:r>
      <w:r w:rsidR="002F3A72">
        <w:rPr>
          <w:lang w:val="es-ES"/>
        </w:rPr>
        <w:t xml:space="preserve">y </w:t>
      </w:r>
      <w:r w:rsidR="00EE72A8">
        <w:rPr>
          <w:lang w:val="es-ES"/>
        </w:rPr>
        <w:t>ref</w:t>
      </w:r>
      <w:r w:rsidR="002F3A72">
        <w:rPr>
          <w:lang w:val="es-ES"/>
        </w:rPr>
        <w:t>orzando</w:t>
      </w:r>
      <w:r w:rsidR="007B198E">
        <w:rPr>
          <w:lang w:val="es-ES"/>
        </w:rPr>
        <w:t xml:space="preserve"> </w:t>
      </w:r>
      <w:r w:rsidRPr="0044670C">
        <w:rPr>
          <w:lang w:val="es-ES"/>
        </w:rPr>
        <w:t>las creencias de lo que significa tener valores y moral</w:t>
      </w:r>
      <w:r w:rsidR="00BB1914">
        <w:rPr>
          <w:lang w:val="es-ES"/>
        </w:rPr>
        <w:t>es</w:t>
      </w:r>
      <w:r w:rsidRPr="0044670C">
        <w:rPr>
          <w:lang w:val="es-ES"/>
        </w:rPr>
        <w:t xml:space="preserve"> en la cultura puertorriqueña. </w:t>
      </w:r>
    </w:p>
    <w:p w14:paraId="38B04D2C" w14:textId="77777777" w:rsidR="00DB33E1" w:rsidRPr="009C2451" w:rsidRDefault="00DB33E1" w:rsidP="00DB33E1">
      <w:pPr>
        <w:spacing w:line="360" w:lineRule="auto"/>
        <w:jc w:val="both"/>
        <w:rPr>
          <w:b/>
          <w:bCs/>
          <w:i/>
          <w:iCs/>
          <w:lang w:val="es-ES"/>
        </w:rPr>
      </w:pPr>
      <w:r w:rsidRPr="009C2451">
        <w:rPr>
          <w:b/>
          <w:bCs/>
          <w:i/>
          <w:iCs/>
          <w:lang w:val="es-ES"/>
        </w:rPr>
        <w:t>Estudio del ateísmo en América Latina</w:t>
      </w:r>
    </w:p>
    <w:p w14:paraId="5E8D66C7" w14:textId="4736B1CE" w:rsidR="00DB33E1" w:rsidRDefault="00DB33E1" w:rsidP="002F3A72">
      <w:pPr>
        <w:spacing w:line="360" w:lineRule="auto"/>
        <w:ind w:firstLine="720"/>
        <w:jc w:val="both"/>
        <w:rPr>
          <w:lang w:val="es-ES"/>
        </w:rPr>
      </w:pPr>
      <w:r w:rsidRPr="007D4F74">
        <w:rPr>
          <w:lang w:val="es-ES"/>
        </w:rPr>
        <w:t xml:space="preserve">Según </w:t>
      </w:r>
      <w:r>
        <w:rPr>
          <w:lang w:val="es-ES"/>
        </w:rPr>
        <w:t>nuestro conocimiento, son</w:t>
      </w:r>
      <w:r w:rsidRPr="007D4F74">
        <w:rPr>
          <w:lang w:val="es-ES"/>
        </w:rPr>
        <w:t xml:space="preserve"> pocos</w:t>
      </w:r>
      <w:r>
        <w:rPr>
          <w:lang w:val="es-ES"/>
        </w:rPr>
        <w:t xml:space="preserve"> los</w:t>
      </w:r>
      <w:r w:rsidRPr="007D4F74">
        <w:rPr>
          <w:lang w:val="es-ES"/>
        </w:rPr>
        <w:t xml:space="preserve"> estudios </w:t>
      </w:r>
      <w:r w:rsidR="00BB1914">
        <w:rPr>
          <w:lang w:val="es-ES"/>
        </w:rPr>
        <w:t>sobre el ateísmo</w:t>
      </w:r>
      <w:r>
        <w:rPr>
          <w:lang w:val="es-ES"/>
        </w:rPr>
        <w:t xml:space="preserve"> en América Latina</w:t>
      </w:r>
      <w:r w:rsidRPr="007D4F74">
        <w:rPr>
          <w:lang w:val="es-ES"/>
        </w:rPr>
        <w:t xml:space="preserve">. Sin embargo, </w:t>
      </w:r>
      <w:r w:rsidR="00BB1914">
        <w:t>un estudio en Guatemala mostró que diez personas se identificaron como no creyentes tras cuestionar sus creencias y buscar respuestas en la filosofía y la ciencia</w:t>
      </w:r>
      <w:r w:rsidR="00BB1914" w:rsidRPr="007D4F74" w:rsidDel="00BB1914">
        <w:rPr>
          <w:lang w:val="es-ES"/>
        </w:rPr>
        <w:t xml:space="preserve"> </w:t>
      </w:r>
      <w:r w:rsidRPr="007D4F74">
        <w:rPr>
          <w:lang w:val="es-ES"/>
        </w:rPr>
        <w:t>(</w:t>
      </w:r>
      <w:r>
        <w:rPr>
          <w:lang w:val="es-ES"/>
        </w:rPr>
        <w:t xml:space="preserve">Fanjul </w:t>
      </w:r>
      <w:r w:rsidRPr="007D4F74">
        <w:rPr>
          <w:lang w:val="es-ES"/>
        </w:rPr>
        <w:t xml:space="preserve">de </w:t>
      </w:r>
      <w:proofErr w:type="spellStart"/>
      <w:r w:rsidRPr="007D4F74">
        <w:rPr>
          <w:lang w:val="es-ES"/>
        </w:rPr>
        <w:t>Marsicovetere</w:t>
      </w:r>
      <w:proofErr w:type="spellEnd"/>
      <w:r w:rsidRPr="007D4F74">
        <w:rPr>
          <w:lang w:val="es-ES"/>
        </w:rPr>
        <w:t xml:space="preserve"> et al., 2014).</w:t>
      </w:r>
      <w:r>
        <w:rPr>
          <w:lang w:val="es-ES"/>
        </w:rPr>
        <w:t xml:space="preserve"> </w:t>
      </w:r>
      <w:r w:rsidR="002F3A72">
        <w:rPr>
          <w:lang w:val="es-ES"/>
        </w:rPr>
        <w:t>Mientras que, o</w:t>
      </w:r>
      <w:r w:rsidR="002107C4">
        <w:rPr>
          <w:lang w:val="es-ES"/>
        </w:rPr>
        <w:t>tra línea de trabajo e</w:t>
      </w:r>
      <w:r w:rsidR="002F3A72">
        <w:rPr>
          <w:lang w:val="es-ES"/>
        </w:rPr>
        <w:t>s</w:t>
      </w:r>
      <w:r w:rsidR="002107C4">
        <w:rPr>
          <w:lang w:val="es-ES"/>
        </w:rPr>
        <w:t xml:space="preserve"> entender el impacto de identificarse como ate</w:t>
      </w:r>
      <w:r w:rsidR="007B3AA6">
        <w:rPr>
          <w:lang w:val="es-ES"/>
        </w:rPr>
        <w:t>o/</w:t>
      </w:r>
      <w:r w:rsidR="002107C4">
        <w:rPr>
          <w:lang w:val="es-ES"/>
        </w:rPr>
        <w:t>a en el bienestar psicológico donde existen hallazgos inconclusos. Por un lado,</w:t>
      </w:r>
      <w:r>
        <w:rPr>
          <w:lang w:val="es-ES"/>
        </w:rPr>
        <w:t xml:space="preserve"> </w:t>
      </w:r>
      <w:r w:rsidR="002107C4" w:rsidRPr="0044670C">
        <w:rPr>
          <w:lang w:val="es-ES"/>
        </w:rPr>
        <w:t xml:space="preserve">las actitudes religiosas </w:t>
      </w:r>
      <w:r w:rsidR="002107C4">
        <w:rPr>
          <w:lang w:val="es-ES"/>
        </w:rPr>
        <w:t xml:space="preserve">al identificarse como </w:t>
      </w:r>
      <w:r w:rsidR="002107C4" w:rsidRPr="0044670C">
        <w:rPr>
          <w:lang w:val="es-ES"/>
        </w:rPr>
        <w:t>católic</w:t>
      </w:r>
      <w:r w:rsidR="002107C4">
        <w:rPr>
          <w:lang w:val="es-ES"/>
        </w:rPr>
        <w:t>o</w:t>
      </w:r>
      <w:r w:rsidR="002107C4" w:rsidRPr="0044670C">
        <w:rPr>
          <w:lang w:val="es-ES"/>
        </w:rPr>
        <w:t xml:space="preserve">, cristiano, ateo, agnóstico y </w:t>
      </w:r>
      <w:r w:rsidR="002107C4" w:rsidRPr="004C6B62">
        <w:rPr>
          <w:lang w:val="es-ES"/>
        </w:rPr>
        <w:t xml:space="preserve">evangélico </w:t>
      </w:r>
      <w:r w:rsidR="002107C4" w:rsidRPr="0044670C">
        <w:rPr>
          <w:lang w:val="es-ES"/>
        </w:rPr>
        <w:t xml:space="preserve">no predijeron el bienestar psicológico de </w:t>
      </w:r>
      <w:r w:rsidR="002107C4">
        <w:rPr>
          <w:lang w:val="es-ES"/>
        </w:rPr>
        <w:t>estas</w:t>
      </w:r>
      <w:r w:rsidR="002107C4" w:rsidRPr="0044670C">
        <w:rPr>
          <w:lang w:val="es-ES"/>
        </w:rPr>
        <w:t xml:space="preserve"> personas</w:t>
      </w:r>
      <w:r w:rsidR="002107C4">
        <w:rPr>
          <w:lang w:val="es-ES"/>
        </w:rPr>
        <w:t xml:space="preserve"> en</w:t>
      </w:r>
      <w:r w:rsidRPr="0044670C">
        <w:rPr>
          <w:lang w:val="es-ES"/>
        </w:rPr>
        <w:t xml:space="preserve"> Ecuador </w:t>
      </w:r>
      <w:r w:rsidRPr="004C6B62">
        <w:rPr>
          <w:lang w:val="es-ES"/>
        </w:rPr>
        <w:t>(Santamaria Cusco &amp; Trujillo Andrade</w:t>
      </w:r>
      <w:r>
        <w:rPr>
          <w:lang w:val="es-ES"/>
        </w:rPr>
        <w:t>,</w:t>
      </w:r>
      <w:r w:rsidRPr="004C6B62">
        <w:rPr>
          <w:lang w:val="es-ES"/>
        </w:rPr>
        <w:t xml:space="preserve"> 2022)</w:t>
      </w:r>
      <w:r w:rsidRPr="0044670C">
        <w:rPr>
          <w:lang w:val="es-ES"/>
        </w:rPr>
        <w:t>.</w:t>
      </w:r>
      <w:r w:rsidR="00BB1914" w:rsidRPr="00BB1914">
        <w:t xml:space="preserve"> </w:t>
      </w:r>
      <w:r w:rsidR="00BB1914">
        <w:t xml:space="preserve">Sin embargo, los creyentes practicantes </w:t>
      </w:r>
      <w:r w:rsidR="002F3A72">
        <w:t xml:space="preserve">de otro estudio </w:t>
      </w:r>
      <w:r w:rsidR="00BB1914">
        <w:t>mostraron mayor bienestar que los no practicantes y los no creyentes en varios países de América Latina (</w:t>
      </w:r>
      <w:proofErr w:type="spellStart"/>
      <w:r w:rsidR="00BB1914">
        <w:t>Crego</w:t>
      </w:r>
      <w:proofErr w:type="spellEnd"/>
      <w:r w:rsidR="00BB1914">
        <w:t xml:space="preserve"> et al., 2019).</w:t>
      </w:r>
    </w:p>
    <w:p w14:paraId="13313542" w14:textId="4115C383" w:rsidR="00DB33E1" w:rsidRPr="0044670C" w:rsidRDefault="00A66B2C" w:rsidP="006A35F1">
      <w:pPr>
        <w:spacing w:line="360" w:lineRule="auto"/>
        <w:jc w:val="both"/>
        <w:rPr>
          <w:lang w:val="es-ES"/>
        </w:rPr>
      </w:pPr>
      <w:r>
        <w:rPr>
          <w:lang w:val="es-ES"/>
        </w:rPr>
        <w:tab/>
      </w:r>
      <w:r w:rsidR="00DB33E1">
        <w:rPr>
          <w:lang w:val="es-ES"/>
        </w:rPr>
        <w:t>Además,</w:t>
      </w:r>
      <w:r w:rsidR="001D38BC">
        <w:rPr>
          <w:lang w:val="es-ES"/>
        </w:rPr>
        <w:t xml:space="preserve"> se han realizado investigaciones para explorar </w:t>
      </w:r>
      <w:r w:rsidR="001E6CE8">
        <w:rPr>
          <w:lang w:val="es-ES"/>
        </w:rPr>
        <w:t>el bienestar psicológico de las personas ateas en Puerto Rico</w:t>
      </w:r>
      <w:r w:rsidR="0058358F">
        <w:rPr>
          <w:lang w:val="es-ES"/>
        </w:rPr>
        <w:t xml:space="preserve">. </w:t>
      </w:r>
      <w:r w:rsidR="00880CC8">
        <w:rPr>
          <w:lang w:val="es-ES"/>
        </w:rPr>
        <w:t>U</w:t>
      </w:r>
      <w:r w:rsidR="0058358F">
        <w:rPr>
          <w:lang w:val="es-ES"/>
        </w:rPr>
        <w:t>n estudio</w:t>
      </w:r>
      <w:r w:rsidR="00DB33E1">
        <w:rPr>
          <w:lang w:val="es-ES"/>
        </w:rPr>
        <w:t xml:space="preserve"> </w:t>
      </w:r>
      <w:r w:rsidR="00BB1914">
        <w:rPr>
          <w:lang w:val="es-ES"/>
        </w:rPr>
        <w:t xml:space="preserve">encontró que la discriminación percibida no predice el bienestar psicológico de los no creyentes. Además, </w:t>
      </w:r>
      <w:r w:rsidR="00880CC8">
        <w:rPr>
          <w:lang w:val="es-ES"/>
        </w:rPr>
        <w:t xml:space="preserve">reveló que </w:t>
      </w:r>
      <w:r w:rsidR="00BB1914">
        <w:rPr>
          <w:lang w:val="es-ES"/>
        </w:rPr>
        <w:t xml:space="preserve">la identificación ateísta puede crear in vinculo positivo entre la discriminación y el bienestar psicológico </w:t>
      </w:r>
      <w:r w:rsidR="00BB1914" w:rsidRPr="0044670C">
        <w:rPr>
          <w:lang w:val="es-ES"/>
        </w:rPr>
        <w:t>(</w:t>
      </w:r>
      <w:r w:rsidR="00BB1914" w:rsidRPr="0044670C">
        <w:rPr>
          <w:lang w:val="es-ES"/>
        </w:rPr>
        <w:fldChar w:fldCharType="begin" w:fldLock="1"/>
      </w:r>
      <w:r w:rsidR="00BB1914" w:rsidRPr="0044670C">
        <w:rPr>
          <w:lang w:val="es-ES"/>
        </w:rPr>
        <w:instrText>ADDIN CSL_CITATION {"citationItems":[{"id":"ITEM-1","itemData":{"ISSN":"1946-2026","abstract":"The scientific literature identifies atheist community as a marginalized group that perceives discrimination and usually seen as a target of social rejection. However, in Puerto Rico there are no studies to explore this issue or its impact on the psychological well-being of atheists. Accordingly, the purpose of our study was to examine the mediator role of atheist identification in the relationship between perceived discrimination and psychological well-being in the context of the Rejection-Identification Model (RIM). The RIM suggests that identification with a specific marginalized group reduces the negative effect of discrimination on psychological well-being. We collect a non-probabilistic sample of 348 atheists in Puerto Rico, selected by availability. Preliminarily, the statistical analysis showed a partial and significant mediation of atheistic identification, in the relationship between perceived discrimination and psychological well-being. Our study provides evidence on how the rejection-identification process protects psychological well-being, reducing the negative effects of discrimination among the atheistic community. (English) [ABSTRACT FROM AUTHOR]","author":[{"dropping-particle":"","family":"González Rivera","given":"Juan","non-dropping-particle":"","parse-names":false,"suffix":""},{"dropping-particle":"","family":"Pabellón Lebrón","given":"Suham","non-dropping-particle":"","parse-names":false,"suffix":""},{"dropping-particle":"","family":"Rosario Rodríguez","given":"Adam","non-dropping-particle":"","parse-names":false,"suffix":""}],"container-title":"Revista Puertorriqueña de Psicología","id":"ITEM-1","issue":"2","issued":{"date-parts":[["2017"]]},"page":"406-421","title":"El rol mediador de la identificación ateísta en la relación entre discriminación y bienestar psicológico: Un estudio preliminar","type":"article-journal","volume":"28"},"uris":["http://www.mendeley.com/documents/?uuid=f12b6eda-2942-4a8a-bb43-ce1a91b526ea"]}],"mendeley":{"formattedCitation":"(González Rivera et al., 2017)","manualFormatting":"González Rivera et al., 2017, p. 416)","plainTextFormattedCitation":"(González Rivera et al., 2017)","previouslyFormattedCitation":"(González Rivera et al., 2017)"},"properties":{"noteIndex":0},"schema":"https://github.com/citation-style-language/schema/raw/master/csl-citation.json"}</w:instrText>
      </w:r>
      <w:r w:rsidR="00BB1914" w:rsidRPr="0044670C">
        <w:rPr>
          <w:lang w:val="es-ES"/>
        </w:rPr>
        <w:fldChar w:fldCharType="separate"/>
      </w:r>
      <w:r w:rsidR="00BB1914" w:rsidRPr="0044670C">
        <w:rPr>
          <w:lang w:val="es-ES"/>
        </w:rPr>
        <w:t>González Rivera et al., 2017)</w:t>
      </w:r>
      <w:r w:rsidR="00BB1914" w:rsidRPr="0044670C">
        <w:rPr>
          <w:lang w:val="es-ES"/>
        </w:rPr>
        <w:fldChar w:fldCharType="end"/>
      </w:r>
      <w:r w:rsidR="00BB1914">
        <w:rPr>
          <w:lang w:val="es-ES"/>
        </w:rPr>
        <w:t xml:space="preserve">. </w:t>
      </w:r>
      <w:r w:rsidR="00DB33E1" w:rsidRPr="0044670C">
        <w:rPr>
          <w:lang w:val="es-ES"/>
        </w:rPr>
        <w:t xml:space="preserve">Estos resultados son consistentes con investigaciones </w:t>
      </w:r>
      <w:r w:rsidR="00DB33E1">
        <w:rPr>
          <w:lang w:val="es-ES"/>
        </w:rPr>
        <w:t>estadounidenses</w:t>
      </w:r>
      <w:r w:rsidR="00DB33E1" w:rsidRPr="0044670C">
        <w:rPr>
          <w:lang w:val="es-ES"/>
        </w:rPr>
        <w:t xml:space="preserve"> sobre el tema </w:t>
      </w:r>
      <w:r w:rsidR="00DB33E1" w:rsidRPr="0044670C">
        <w:rPr>
          <w:lang w:val="es-ES"/>
        </w:rPr>
        <w:fldChar w:fldCharType="begin" w:fldLock="1"/>
      </w:r>
      <w:r w:rsidR="00DB33E1" w:rsidRPr="0044670C">
        <w:rPr>
          <w:lang w:val="es-ES"/>
        </w:rPr>
        <w:instrText>ADDIN CSL_CITATION {"citationItems":[{"id":"ITEM-1","itemData":{"DOI":"10.1177/0011000018792669","ISSN":"0011-0000","author":[{"dropping-particle":"","family":"Abbott","given":"Dena M.","non-dropping-particle":"","parse-names":false,"suffix":""},{"dropping-particle":"","family":"Mollen","given":"Debra","non-dropping-particle":"","parse-names":false,"suffix":""}],"container-title":"The Counseling Psychologist","id":"ITEM-1","issue":"6","issued":{"date-parts":[["2018","8","26"]]},"page":"685-707","title":"Atheism as a Concealable Stigmatized Identity: Outness, Anticipated Stigma, and Well-Being","type":"article-journal","volume":"46"},"uris":["http://www.mendeley.com/documents/?uuid=25f9687c-09a3-4bee-ac31-4586613dbf47"]},{"id":"ITEM-2","itemData":{"DOI":"10.1037/rel0000015","ISSN":"19411022","abstract":"Atheists are a marginalized group of people in the United States. Although studies have found that atheists perceive prejudice and experience discrimination, little is known about the consequences of such social rejection. To address this gap in research, we examined the associations among discrimination, identity, and well-being using original survey data from self-identified atheists (n = 960). We investigated their associations in the context of the Rejection-Identification Model, which posits that group identification reduces the negative effect of discrimination on well-being. Consistent with extant research on other marginalized groups, discrimination was negatively associated with well-being while positively associated with atheist identification. Further, atheist identification was positively associated with well-being. In support of the rejection-identification process, we found evidence that atheists may strengthen their group identification in the face of discrimination. Strengthened identification as an atheist may be a strategy that protects atheists from the harmful effects of social rejection.","author":[{"dropping-particle":"","family":"Doane","given":"Michael J.","non-dropping-particle":"","parse-names":false,"suffix":""},{"dropping-particle":"","family":"Elliott","given":"Marta","non-dropping-particle":"","parse-names":false,"suffix":""}],"container-title":"Psychology of Religion and Spirituality","id":"ITEM-2","issue":"2","issued":{"date-parts":[["2015","5","1"]]},"page":"130-141","publisher":"American Psychological Association Inc.","title":"Perceptions of discrimination among atheists: Consequences for atheist identification, psychological and physical well-being","type":"article-journal","volume":"7"},"uris":["http://www.mendeley.com/documents/?uuid=c94a2987-bc76-3979-bd3c-4b0dade44744"]},{"id":"ITEM-3","itemData":{"DOI":"10.17582/journal.src/2015/2.3.54.69","ISSN":"2055222X","abstract":"The majority of social science research on religiosity and associated variables has tended to focus on putative beneficial aspects, implying that the absence of religious belief is accompanied by liabilities. However, a closer examination of the literature reveals that the mechanisms of most beneficial associations with religiosity are attributable to factors other than beliefs, chiefly, social en- gagement and embeddeness in supportive groups. Often, those with the lowest levels of well-being and prosociality are uncommitted or indifferent religious believers, not socially engaged nonbelievers. Therefore, defining individuals who are not committed or engaged in socially supportive groups sole- ly in terms of their lack of religious belief virtually guarantees that atheists and agnostics will appear inferior on a variety of outcome variables. However, nonbelief and secular worldviews can also be practiced in social groups such as atheist, humanist, and freethought organizations. Contrary to prev- alent stereotypes, organized nonbelief is also associated with well-being and prosociality equivalent to that seen with organized religious belief. Notable areas of relative advantage for nonbelievers are in the domains of outgroup tolerance and moral universalism.","author":[{"dropping-particle":"","family":"Galen","given":"Luke","non-dropping-particle":"","parse-names":false,"suffix":""}],"container-title":"Science, Religion and Culture","id":"ITEM-3","issue":"3","issued":{"date-parts":[["2015"]]},"page":"54-69","title":"Atheism, Wellbeing, and the Wager: Why Not Believing in God (With Others) is Good for You","type":"article-journal","volume":"2"},"uris":["http://www.mendeley.com/documents/?uuid=129a9881-bf83-4b21-984b-a5175dcfbbff"]},{"id":"ITEM-4","itemData":{"DOI":"10.5334/snr.bd","ISSN":"2053-6712","author":[{"dropping-particle":"","family":"Mann","given":"M.","non-dropping-particle":"","parse-names":false,"suffix":""}],"container-title":"Secularism and Nonreligion","id":"ITEM-4","issued":{"date-parts":[["2015","10","23"]]},"page":"1-12","title":"Triangle Atheists: Stigma, Identity, and Community Among Atheists in North Carolina’s Triangle Region","type":"article-journal","volume":"4"},"uris":["http://www.mendeley.com/documents/?uuid=2ac6aaa8-65f7-4437-88d1-9a4b6e2352ba"]}],"mendeley":{"formattedCitation":"(Abbott &amp; Mollen, 2018; Doane &amp; Elliott, 2015; Galen, 2015; Mann, 2015)","plainTextFormattedCitation":"(Abbott &amp; Mollen, 2018; Doane &amp; Elliott, 2015; Galen, 2015; Mann, 2015)","previouslyFormattedCitation":"(Abbott &amp; Mollen, 2018; Doane &amp; Elliott, 2015; Galen, 2015; Mann, 2015)"},"properties":{"noteIndex":0},"schema":"https://github.com/citation-style-language/schema/raw/master/csl-citation.json"}</w:instrText>
      </w:r>
      <w:r w:rsidR="00DB33E1" w:rsidRPr="0044670C">
        <w:rPr>
          <w:lang w:val="es-ES"/>
        </w:rPr>
        <w:fldChar w:fldCharType="separate"/>
      </w:r>
      <w:r w:rsidR="00DB33E1" w:rsidRPr="0044670C">
        <w:rPr>
          <w:lang w:val="es-ES"/>
        </w:rPr>
        <w:t>(Abbott &amp; Mollen, 2018; Doane &amp; Elliott, 2015; Galen, 2015; Mann, 2015)</w:t>
      </w:r>
      <w:r w:rsidR="00DB33E1" w:rsidRPr="0044670C">
        <w:rPr>
          <w:lang w:val="es-ES"/>
        </w:rPr>
        <w:fldChar w:fldCharType="end"/>
      </w:r>
      <w:r w:rsidR="00DB33E1" w:rsidRPr="0044670C">
        <w:rPr>
          <w:lang w:val="es-ES"/>
        </w:rPr>
        <w:t>.</w:t>
      </w:r>
      <w:r w:rsidR="00DB33E1">
        <w:rPr>
          <w:lang w:val="es-ES"/>
        </w:rPr>
        <w:t xml:space="preserve"> </w:t>
      </w:r>
      <w:r w:rsidR="00BB1914">
        <w:t xml:space="preserve">Por otro lado, dos </w:t>
      </w:r>
      <w:r w:rsidR="00880CC8">
        <w:t>estudios</w:t>
      </w:r>
      <w:r w:rsidR="00BB1914">
        <w:t xml:space="preserve"> revelaron que no hay diferencias significativas en satisfacción de vida y florecimiento psicológico entre creyentes y no creyentes (González-Rivera et al., 2019; Martínez-</w:t>
      </w:r>
      <w:proofErr w:type="spellStart"/>
      <w:r w:rsidR="00BB1914">
        <w:t>Taboas</w:t>
      </w:r>
      <w:proofErr w:type="spellEnd"/>
      <w:r w:rsidR="00BB1914">
        <w:t xml:space="preserve"> &amp; Orellana, 2017). Rechazando la idea de que los no creyentes son menos felices </w:t>
      </w:r>
      <w:r w:rsidR="00DB33E1" w:rsidRPr="0044670C">
        <w:rPr>
          <w:lang w:val="es-ES"/>
        </w:rPr>
        <w:t>que los creyentes.</w:t>
      </w:r>
    </w:p>
    <w:p w14:paraId="23EAAB0E" w14:textId="77777777" w:rsidR="009C397B" w:rsidRPr="009C2451" w:rsidRDefault="009C397B" w:rsidP="00895543">
      <w:pPr>
        <w:spacing w:line="360" w:lineRule="auto"/>
        <w:jc w:val="both"/>
        <w:rPr>
          <w:b/>
          <w:bCs/>
          <w:i/>
          <w:iCs/>
          <w:lang w:val="es-ES"/>
        </w:rPr>
      </w:pPr>
      <w:r w:rsidRPr="009C2451">
        <w:rPr>
          <w:b/>
          <w:bCs/>
          <w:i/>
          <w:iCs/>
          <w:lang w:val="es-ES"/>
        </w:rPr>
        <w:t>Las microagresiones en el contexto de la identificación ateísta</w:t>
      </w:r>
    </w:p>
    <w:p w14:paraId="14A39E4C" w14:textId="52C33E74" w:rsidR="00BB450C" w:rsidRDefault="00BB450C" w:rsidP="00895543">
      <w:pPr>
        <w:spacing w:line="360" w:lineRule="auto"/>
        <w:ind w:firstLine="720"/>
        <w:jc w:val="both"/>
        <w:rPr>
          <w:lang w:val="es-ES"/>
        </w:rPr>
      </w:pPr>
      <w:r>
        <w:t>Las personas ateas suelen ser descritas por otros como individuos que llevan una vida menos satisfactoria y carecen de compás moral</w:t>
      </w:r>
      <w:r w:rsidR="00B41B4C">
        <w:t xml:space="preserve"> y </w:t>
      </w:r>
      <w:r>
        <w:t xml:space="preserve">son percibidos/as como menos confiables que los miembros de cualquier otra religión, grupo étnico o racial </w:t>
      </w:r>
      <w:r w:rsidRPr="00994D03">
        <w:rPr>
          <w:lang w:val="es-ES"/>
        </w:rPr>
        <w:t>(Nichols &amp; Wright, 2014).</w:t>
      </w:r>
      <w:r>
        <w:rPr>
          <w:lang w:val="es-ES"/>
        </w:rPr>
        <w:t xml:space="preserve"> </w:t>
      </w:r>
      <w:r>
        <w:t xml:space="preserve">Por lo tanto, revelar ser ateo/a tiene una influencia negativa en el juicio sobre </w:t>
      </w:r>
      <w:r w:rsidR="00EE72A8">
        <w:t>estas personas</w:t>
      </w:r>
      <w:r>
        <w:t xml:space="preserve"> </w:t>
      </w:r>
      <w:r w:rsidR="00697B36">
        <w:t>debido a idea</w:t>
      </w:r>
      <w:r w:rsidR="00A66B2C">
        <w:t>s</w:t>
      </w:r>
      <w:r w:rsidR="00697B36">
        <w:t xml:space="preserve"> preconcebid</w:t>
      </w:r>
      <w:r w:rsidR="00A66B2C">
        <w:t>a</w:t>
      </w:r>
      <w:r w:rsidR="00697B36">
        <w:t>s</w:t>
      </w:r>
      <w:r w:rsidR="00697B36" w:rsidRPr="006A35F1">
        <w:t>.</w:t>
      </w:r>
      <w:r>
        <w:t xml:space="preserve"> Una de estas formas es conocida como microagresiones</w:t>
      </w:r>
      <w:r w:rsidR="00B41B4C">
        <w:t xml:space="preserve"> hacia personas ateas</w:t>
      </w:r>
      <w:r>
        <w:t>.</w:t>
      </w:r>
    </w:p>
    <w:p w14:paraId="2D5E1D85" w14:textId="24D5104D" w:rsidR="00BB450C" w:rsidRDefault="00BB450C" w:rsidP="00895543">
      <w:pPr>
        <w:spacing w:line="360" w:lineRule="auto"/>
        <w:ind w:firstLine="720"/>
        <w:jc w:val="both"/>
        <w:rPr>
          <w:lang w:val="es-ES"/>
        </w:rPr>
      </w:pPr>
      <w:r w:rsidRPr="00BB450C">
        <w:rPr>
          <w:lang w:val="es-ES"/>
        </w:rPr>
        <w:lastRenderedPageBreak/>
        <w:t>El concepto de microagresiones fue introducido originalmente por el psiquiatra Chester M. Pierce en 1970 para describir las experiencias de desprecio a las que se enfrentaban los afroamericanos</w:t>
      </w:r>
      <w:r>
        <w:rPr>
          <w:lang w:val="es-ES"/>
        </w:rPr>
        <w:t xml:space="preserve"> </w:t>
      </w:r>
      <w:r w:rsidRPr="0044670C">
        <w:rPr>
          <w:lang w:val="es-ES"/>
        </w:rPr>
        <w:fldChar w:fldCharType="begin" w:fldLock="1"/>
      </w:r>
      <w:r w:rsidRPr="0044670C">
        <w:rPr>
          <w:lang w:val="es-ES"/>
        </w:rPr>
        <w:instrText>ADDIN CSL_CITATION {"citationItems":[{"id":"ITEM-1","itemData":{"DOI":"10.1002/9781119466642","ISBN":"9781119420071","author":[{"dropping-particle":"","family":"Torino, Gina C.; Rivera, David P.; Capodilupo, Christina M.; Nadal, Kevin L.; Sue","given":"Derald Wing","non-dropping-particle":"","parse-names":false,"suffix":""}],"container-title":"Microaggression Theory: Influence and Implications","id":"ITEM-1","issued":{"date-parts":[["2019"]]},"page":"3-15","publisher":"John Wiley &amp; Sons, Inc.","publisher-place":"Hoboken, NJ","title":"Everything You Wanted to Know About Microaggressions but Didn’t Get a Chance to Ask","type":"chapter"},"uris":["http://www.mendeley.com/documents/?uuid=a52b45d9-762a-43f9-b3df-c916b94d6cbf"]}],"mendeley":{"formattedCitation":"(Torino, Gina C.; Rivera, David P.; Capodilupo, Christina M.; Nadal, Kevin L.; Sue, 2019)","manualFormatting":"(Torino et. al, 2019)","plainTextFormattedCitation":"(Torino, Gina C.; Rivera, David P.; Capodilupo, Christina M.; Nadal, Kevin L.; Sue, 2019)","previouslyFormattedCitation":"(Torino, Gina C.; Rivera, David P.; Capodilupo, Christina M.; Nadal, Kevin L.; Sue, 2019)"},"properties":{"noteIndex":0},"schema":"https://github.com/citation-style-language/schema/raw/master/csl-citation.json"}</w:instrText>
      </w:r>
      <w:r w:rsidRPr="0044670C">
        <w:rPr>
          <w:lang w:val="es-ES"/>
        </w:rPr>
        <w:fldChar w:fldCharType="separate"/>
      </w:r>
      <w:r w:rsidRPr="0044670C">
        <w:rPr>
          <w:lang w:val="es-ES"/>
        </w:rPr>
        <w:t>(Torino et al., 2019)</w:t>
      </w:r>
      <w:r w:rsidRPr="0044670C">
        <w:rPr>
          <w:lang w:val="es-ES"/>
        </w:rPr>
        <w:fldChar w:fldCharType="end"/>
      </w:r>
      <w:r w:rsidRPr="0044670C">
        <w:rPr>
          <w:lang w:val="es-ES"/>
        </w:rPr>
        <w:t>.</w:t>
      </w:r>
      <w:r w:rsidRPr="00BB450C">
        <w:rPr>
          <w:lang w:val="es-ES"/>
        </w:rPr>
        <w:t xml:space="preserve"> Basándose en el trabajo de Pierce, Sue y colaboradores (2007)</w:t>
      </w:r>
      <w:r w:rsidR="00B20E32">
        <w:rPr>
          <w:lang w:val="es-ES"/>
        </w:rPr>
        <w:t>,</w:t>
      </w:r>
      <w:r w:rsidRPr="00BB450C">
        <w:rPr>
          <w:lang w:val="es-ES"/>
        </w:rPr>
        <w:t xml:space="preserve"> desarrollaron una taxonomía inicial sobre las microagresiones raciales y establecieron los fundamentos teóricos para entenderlas</w:t>
      </w:r>
      <w:r w:rsidR="001C0469">
        <w:rPr>
          <w:lang w:val="es-ES"/>
        </w:rPr>
        <w:t>.</w:t>
      </w:r>
      <w:r>
        <w:rPr>
          <w:lang w:val="es-ES"/>
        </w:rPr>
        <w:t xml:space="preserve"> </w:t>
      </w:r>
      <w:r>
        <w:t>Posteriormente, ampliaron esta taxonomía para abarcar cualquier forma de marginalización hacia diversos grupos minoritarios</w:t>
      </w:r>
      <w:r w:rsidR="00B41B4C">
        <w:t>, incluyendo las minorías religiosas como las personas ateas</w:t>
      </w:r>
      <w:r>
        <w:t xml:space="preserve"> </w:t>
      </w:r>
      <w:r w:rsidRPr="0044670C">
        <w:rPr>
          <w:lang w:val="es-ES"/>
        </w:rPr>
        <w:fldChar w:fldCharType="begin" w:fldLock="1"/>
      </w:r>
      <w:r w:rsidRPr="0044670C">
        <w:rPr>
          <w:lang w:val="es-ES"/>
        </w:rPr>
        <w:instrText>ADDIN CSL_CITATION {"citationItems":[{"id":"ITEM-1","itemData":{"DOI":"10.1007/s12552-013-9107-9","ISSN":"1867-1748","author":[{"dropping-particle":"","family":"Wong","given":"Gloria","non-dropping-particle":"","parse-names":false,"suffix":""},{"dropping-particle":"","family":"Derthick","given":"Annie O.","non-dropping-particle":"","parse-names":false,"suffix":""},{"dropping-particle":"","family":"David","given":"E. J. R.","non-dropping-particle":"","parse-names":false,"suffix":""},{"dropping-particle":"","family":"Saw","given":"Anne","non-dropping-particle":"","parse-names":false,"suffix":""},{"dropping-particle":"","family":"Okazaki","given":"Sumie","non-dropping-particle":"","parse-names":false,"suffix":""}],"container-title":"Race and Social Problems","id":"ITEM-1","issue":"2","issued":{"date-parts":[["2014","6","24"]]},"page":"181-200","title":"The What, the Why, and the How: A Review of Racial Microaggressions Research in Psychology","type":"article-journal","volume":"6"},"uris":["http://www.mendeley.com/documents/?uuid=b7331d19-f8bc-4467-8ce8-06524cbc0e60"]},{"id":"ITEM-2","itemData":{"editor":[{"dropping-particle":"","family":"Torino, G. C., Rivera, D. P., Capodilupo, C. M., Nadal, K. L., &amp; Sue","given":"D. W.","non-dropping-particle":"","parse-names":false,"suffix":""}],"id":"ITEM-2","issued":{"date-parts":[["2019"]]},"number-of-pages":"1-343","publisher":"John Wiley &amp; Sons, Inc.","publisher-place":"Hoboken, New Jersey","title":"Microaggression Theory: Influence and Implication","type":"book"},"uris":["http://www.mendeley.com/documents/?uuid=0398ecf6-cab5-462f-a491-163705d2dfb5"]},{"id":"ITEM-3","itemData":{"editor":[{"dropping-particle":"","family":"Sue","given":"Derald Wing","non-dropping-particle":"","parse-names":false,"suffix":""}],"id":"ITEM-3","issued":{"date-parts":[["2010"]]},"number-of-pages":"1-355","publisher":"John Wiley &amp; Sons, Inc.","publisher-place":"Hoboken, New Jersey","title":"Microaggressions and Marginality: Manifestation, Dynamics and Impact","type":"book"},"uris":["http://www.mendeley.com/documents/?uuid=c365f342-a72f-49b0-b419-17552ab5f5cf"]},{"id":"ITEM-4","itemData":{"author":[{"dropping-particle":"","family":"Sue","given":"D. W.","non-dropping-particle":"","parse-names":false,"suffix":""},{"dropping-particle":"","family":"Capodilupo","given":"C. M.","non-dropping-particle":"","parse-names":false,"suffix":""},{"dropping-particle":"","family":"Torino","given":"G. C.","non-dropping-particle":"","parse-names":false,"suffix":""},{"dropping-particle":"","family":"Bucceri","given":"J. M.","non-dropping-particle":"","parse-names":false,"suffix":""},{"dropping-particle":"","family":"Holder","given":"A. M. B.","non-dropping-particle":"","parse-names":false,"suffix":""},{"dropping-particle":"","family":"Nadal","given":"K. L.","non-dropping-particle":"","parse-names":false,"suffix":""},{"dropping-particle":"","family":"Esquilin","given":"M.","non-dropping-particle":"","parse-names":false,"suffix":""}],"container-title":"American Psychologist","id":"ITEM-4","issue":"4","issued":{"date-parts":[["2007"]]},"page":"271-286","title":"Racial microaggressions in everyday life: implications for clinical practice","type":"article-journal","volume":"62"},"uris":["http://www.mendeley.com/documents/?uuid=888fa52f-b710-4dec-a556-0205f84d52ef"]}],"mendeley":{"formattedCitation":"(D. W. Sue et al., 2007; Derald Wing Sue, 2010b; Torino, G. C., Rivera, D. P., Capodilupo, C. M., Nadal, K. L., &amp; Sue, 2019; Wong et al., 2014)","manualFormatting":"(Sue, 2010; Torino et. al, 2019; Wong et al., 2014)","plainTextFormattedCitation":"(D. W. Sue et al., 2007; Derald Wing Sue, 2010b; Torino, G. C., Rivera, D. P., Capodilupo, C. M., Nadal, K. L., &amp; Sue, 2019; Wong et al., 2014)","previouslyFormattedCitation":"(D. W. Sue et al., 2007; Derald Wing Sue, 2010b; Torino, G. C., Rivera, D. P., Capodilupo, C. M., Nadal, K. L., &amp; Sue, 2019; Wong et al., 2014)"},"properties":{"noteIndex":0},"schema":"https://github.com/citation-style-language/schema/raw/master/csl-citation.json"}</w:instrText>
      </w:r>
      <w:r w:rsidRPr="0044670C">
        <w:rPr>
          <w:lang w:val="es-ES"/>
        </w:rPr>
        <w:fldChar w:fldCharType="separate"/>
      </w:r>
      <w:r w:rsidRPr="0044670C">
        <w:rPr>
          <w:lang w:val="es-ES"/>
        </w:rPr>
        <w:t>(Sue, 201</w:t>
      </w:r>
      <w:r w:rsidRPr="007757C0">
        <w:rPr>
          <w:lang w:val="es-ES"/>
        </w:rPr>
        <w:t>0</w:t>
      </w:r>
      <w:r w:rsidRPr="0044670C">
        <w:rPr>
          <w:lang w:val="es-ES"/>
        </w:rPr>
        <w:t>; Torino et al., 2019)</w:t>
      </w:r>
      <w:r w:rsidRPr="0044670C">
        <w:rPr>
          <w:lang w:val="es-ES"/>
        </w:rPr>
        <w:fldChar w:fldCharType="end"/>
      </w:r>
      <w:r w:rsidRPr="0044670C">
        <w:rPr>
          <w:lang w:val="es-ES"/>
        </w:rPr>
        <w:t>.</w:t>
      </w:r>
    </w:p>
    <w:p w14:paraId="02FAD300" w14:textId="27C997B2" w:rsidR="00DB33E1" w:rsidRDefault="00B41B4C" w:rsidP="0053115D">
      <w:pPr>
        <w:spacing w:line="360" w:lineRule="auto"/>
        <w:ind w:firstLine="720"/>
        <w:jc w:val="both"/>
      </w:pPr>
      <w:r>
        <w:rPr>
          <w:lang w:val="es-ES"/>
        </w:rPr>
        <w:t>L</w:t>
      </w:r>
      <w:r w:rsidR="009C397B" w:rsidRPr="0044670C">
        <w:rPr>
          <w:lang w:val="es-ES"/>
        </w:rPr>
        <w:t>as microagresiones hacia minorías religiosas</w:t>
      </w:r>
      <w:r w:rsidR="001C0469">
        <w:rPr>
          <w:lang w:val="es-ES"/>
        </w:rPr>
        <w:t>,</w:t>
      </w:r>
      <w:r>
        <w:rPr>
          <w:lang w:val="es-ES"/>
        </w:rPr>
        <w:t xml:space="preserve"> como </w:t>
      </w:r>
      <w:r w:rsidR="009C397B" w:rsidRPr="0044670C">
        <w:rPr>
          <w:lang w:val="es-ES"/>
        </w:rPr>
        <w:t>las personas ateas</w:t>
      </w:r>
      <w:r w:rsidR="001C0469">
        <w:rPr>
          <w:lang w:val="es-ES"/>
        </w:rPr>
        <w:t>,</w:t>
      </w:r>
      <w:r>
        <w:rPr>
          <w:lang w:val="es-ES"/>
        </w:rPr>
        <w:t xml:space="preserve"> </w:t>
      </w:r>
      <w:r w:rsidR="009C397B" w:rsidRPr="0044670C">
        <w:rPr>
          <w:lang w:val="es-ES"/>
        </w:rPr>
        <w:t xml:space="preserve">son conductas sutiles e intercambios verbales (conscientes e inconscientes) que envían un mensaje denigrante a individuos de varios grupos religiosos </w:t>
      </w:r>
      <w:r w:rsidR="009C397B" w:rsidRPr="0044670C">
        <w:rPr>
          <w:lang w:val="es-ES"/>
        </w:rPr>
        <w:fldChar w:fldCharType="begin" w:fldLock="1"/>
      </w:r>
      <w:r w:rsidR="009C397B" w:rsidRPr="0044670C">
        <w:rPr>
          <w:lang w:val="es-ES"/>
        </w:rPr>
        <w:instrText>ADDIN CSL_CITATION {"citationItems":[{"id":"ITEM-1","itemData":{"author":[{"dropping-particle":"","family":"Nadal","given":"Kevin L.","non-dropping-particle":"","parse-names":false,"suffix":""},{"dropping-particle":"","family":"Issa","given":"Marie-Anne","non-dropping-particle":"","parse-names":false,"suffix":""},{"dropping-particle":"","family":"Griffin","given":"Katie E.","non-dropping-particle":"","parse-names":false,"suffix":""},{"dropping-particle":"","family":"Hamit","given":"Sahran","non-dropping-particle":"","parse-names":false,"suffix":""},{"dropping-particle":"","family":"Lyons","given":"Oliver B.","non-dropping-particle":"","parse-names":false,"suffix":""}],"container-title":"Microaggressions and marginality: Manifestation, dynamics, and impact","editor":[{"dropping-particle":"","family":"Sue","given":"Derald Wing","non-dropping-particle":"","parse-names":false,"suffix":""}],"id":"ITEM-1","issued":{"date-parts":[["2010"]]},"publisher":"John Wiley &amp; Sons, Inc.","publisher-place":"New Jersey","title":"Religious Microaggressions in the United States: Mental Health Implications for Religious Minority Groups","type":"chapter"},"uris":["http://www.mendeley.com/documents/?uuid=8601f45d-09a6-4a89-a9fc-a9f64b57a245"]}],"mendeley":{"formattedCitation":"(Nadal et al., 2010)","plainTextFormattedCitation":"(Nadal et al., 2010)","previouslyFormattedCitation":"(Nadal et al., 2010)"},"properties":{"noteIndex":0},"schema":"https://github.com/citation-style-language/schema/raw/master/csl-citation.json"}</w:instrText>
      </w:r>
      <w:r w:rsidR="009C397B" w:rsidRPr="0044670C">
        <w:rPr>
          <w:lang w:val="es-ES"/>
        </w:rPr>
        <w:fldChar w:fldCharType="separate"/>
      </w:r>
      <w:r w:rsidR="009C397B" w:rsidRPr="0044670C">
        <w:rPr>
          <w:lang w:val="es-ES"/>
        </w:rPr>
        <w:t>(Nadal et al., 2010)</w:t>
      </w:r>
      <w:r w:rsidR="009C397B" w:rsidRPr="0044670C">
        <w:rPr>
          <w:lang w:val="es-ES"/>
        </w:rPr>
        <w:fldChar w:fldCharType="end"/>
      </w:r>
      <w:r w:rsidR="009C397B" w:rsidRPr="0044670C">
        <w:rPr>
          <w:lang w:val="es-ES"/>
        </w:rPr>
        <w:t xml:space="preserve">. </w:t>
      </w:r>
      <w:r w:rsidR="002C049D">
        <w:rPr>
          <w:lang w:val="es-ES"/>
        </w:rPr>
        <w:t>Según Nadal y colaboradores,</w:t>
      </w:r>
      <w:r w:rsidR="009C397B" w:rsidRPr="0044670C">
        <w:rPr>
          <w:lang w:val="es-ES"/>
        </w:rPr>
        <w:t xml:space="preserve"> la taxonomía de microagresiones religiosas </w:t>
      </w:r>
      <w:r w:rsidR="002C049D">
        <w:rPr>
          <w:lang w:val="es-ES"/>
        </w:rPr>
        <w:t>consta de</w:t>
      </w:r>
      <w:r w:rsidR="009C397B" w:rsidRPr="0044670C">
        <w:rPr>
          <w:lang w:val="es-ES"/>
        </w:rPr>
        <w:t xml:space="preserve"> seis categorías</w:t>
      </w:r>
      <w:r w:rsidR="002C049D">
        <w:rPr>
          <w:lang w:val="es-ES"/>
        </w:rPr>
        <w:t>:</w:t>
      </w:r>
      <w:r w:rsidR="009C397B" w:rsidRPr="0044670C">
        <w:rPr>
          <w:lang w:val="es-ES"/>
        </w:rPr>
        <w:t xml:space="preserve"> 1) respaldar estereotipos religiosos, 2) </w:t>
      </w:r>
      <w:proofErr w:type="spellStart"/>
      <w:r w:rsidR="009C397B" w:rsidRPr="0044670C">
        <w:rPr>
          <w:lang w:val="es-ES"/>
        </w:rPr>
        <w:t>exotización</w:t>
      </w:r>
      <w:proofErr w:type="spellEnd"/>
      <w:r w:rsidR="009C397B" w:rsidRPr="0044670C">
        <w:rPr>
          <w:lang w:val="es-ES"/>
        </w:rPr>
        <w:t>, 3) patología de diferentes grupos religiosos, (4) suposición de la propia identidad religiosa como la norma, 5) suposición de homogeneidad religiosa, y 6) negación de prejuicios religiosos.</w:t>
      </w:r>
      <w:r w:rsidR="002C049D">
        <w:rPr>
          <w:lang w:val="es-ES"/>
        </w:rPr>
        <w:t xml:space="preserve"> </w:t>
      </w:r>
      <w:r w:rsidR="00DB33E1">
        <w:rPr>
          <w:lang w:val="es-ES"/>
        </w:rPr>
        <w:t xml:space="preserve">Existen </w:t>
      </w:r>
      <w:r w:rsidR="007D4F74" w:rsidRPr="001B6228">
        <w:rPr>
          <w:lang w:val="es-ES"/>
        </w:rPr>
        <w:t xml:space="preserve">diversos tipos de discriminación percibida </w:t>
      </w:r>
      <w:r w:rsidR="00DB33E1">
        <w:rPr>
          <w:lang w:val="es-ES"/>
        </w:rPr>
        <w:t>hacia</w:t>
      </w:r>
      <w:r w:rsidR="007D4F74" w:rsidRPr="001B6228">
        <w:rPr>
          <w:lang w:val="es-ES"/>
        </w:rPr>
        <w:t xml:space="preserve"> personas ateas</w:t>
      </w:r>
      <w:r w:rsidR="00DB33E1">
        <w:rPr>
          <w:lang w:val="es-ES"/>
        </w:rPr>
        <w:t>, como el</w:t>
      </w:r>
      <w:r w:rsidR="00DB33E1" w:rsidRPr="00DB33E1">
        <w:rPr>
          <w:lang w:val="es-ES"/>
        </w:rPr>
        <w:t xml:space="preserve"> </w:t>
      </w:r>
      <w:r w:rsidR="00DB33E1" w:rsidRPr="001B6228">
        <w:rPr>
          <w:lang w:val="es-ES"/>
        </w:rPr>
        <w:t xml:space="preserve">sentir presión para llevar a cabo conductas religiosas o arriesgarse a consecuencias sociales </w:t>
      </w:r>
      <w:r w:rsidR="00DB33E1">
        <w:rPr>
          <w:lang w:val="es-ES"/>
        </w:rPr>
        <w:t>al</w:t>
      </w:r>
      <w:r w:rsidR="00DB33E1" w:rsidRPr="001B6228">
        <w:rPr>
          <w:lang w:val="es-ES"/>
        </w:rPr>
        <w:t xml:space="preserve"> no participar</w:t>
      </w:r>
      <w:r w:rsidR="00DB33E1">
        <w:rPr>
          <w:lang w:val="es-ES"/>
        </w:rPr>
        <w:t>,</w:t>
      </w:r>
      <w:r w:rsidR="00DB33E1" w:rsidRPr="001B6228">
        <w:rPr>
          <w:lang w:val="es-ES"/>
        </w:rPr>
        <w:t xml:space="preserve"> </w:t>
      </w:r>
      <w:r w:rsidR="001C0469">
        <w:rPr>
          <w:lang w:val="es-ES"/>
        </w:rPr>
        <w:t>aumentando</w:t>
      </w:r>
      <w:r w:rsidR="00DB33E1" w:rsidRPr="001B6228">
        <w:rPr>
          <w:lang w:val="es-ES"/>
        </w:rPr>
        <w:t xml:space="preserve"> </w:t>
      </w:r>
      <w:r w:rsidR="00DB33E1">
        <w:rPr>
          <w:lang w:val="es-ES"/>
        </w:rPr>
        <w:t>sus niveles</w:t>
      </w:r>
      <w:r w:rsidR="00DB33E1" w:rsidRPr="001B6228">
        <w:rPr>
          <w:lang w:val="es-ES"/>
        </w:rPr>
        <w:t xml:space="preserve"> estrés</w:t>
      </w:r>
      <w:r w:rsidR="00DB33E1">
        <w:rPr>
          <w:lang w:val="es-ES"/>
        </w:rPr>
        <w:t xml:space="preserve"> (</w:t>
      </w:r>
      <w:proofErr w:type="spellStart"/>
      <w:r w:rsidR="00DB33E1" w:rsidRPr="001B6228">
        <w:rPr>
          <w:lang w:val="es-ES"/>
        </w:rPr>
        <w:t>Hammer</w:t>
      </w:r>
      <w:proofErr w:type="spellEnd"/>
      <w:r w:rsidR="00DB33E1" w:rsidRPr="001B6228">
        <w:rPr>
          <w:lang w:val="es-ES"/>
        </w:rPr>
        <w:t xml:space="preserve"> </w:t>
      </w:r>
      <w:r w:rsidR="00DB33E1">
        <w:rPr>
          <w:lang w:val="es-ES"/>
        </w:rPr>
        <w:t xml:space="preserve">et al., </w:t>
      </w:r>
      <w:r w:rsidR="00DB33E1" w:rsidRPr="001B6228">
        <w:rPr>
          <w:lang w:val="es-ES"/>
        </w:rPr>
        <w:t>2012)</w:t>
      </w:r>
      <w:r w:rsidR="007D4F74" w:rsidRPr="001B6228">
        <w:rPr>
          <w:lang w:val="es-ES"/>
        </w:rPr>
        <w:t xml:space="preserve">. </w:t>
      </w:r>
      <w:r w:rsidR="00DB33E1">
        <w:t>Según Nadal y colaboradores (2010), e</w:t>
      </w:r>
      <w:r w:rsidR="007D4F74">
        <w:t xml:space="preserve">stas experiencias </w:t>
      </w:r>
      <w:r w:rsidR="00DB33E1">
        <w:t xml:space="preserve">son </w:t>
      </w:r>
      <w:r w:rsidR="00B06EF2">
        <w:t>microagresiones</w:t>
      </w:r>
      <w:r w:rsidR="007D4F74">
        <w:t xml:space="preserve"> hacia los ateos </w:t>
      </w:r>
      <w:r w:rsidR="00B06EF2">
        <w:t>que</w:t>
      </w:r>
      <w:r w:rsidR="007D4F74">
        <w:t xml:space="preserve"> respalda</w:t>
      </w:r>
      <w:r w:rsidR="00DB33E1">
        <w:t>n</w:t>
      </w:r>
      <w:r w:rsidR="007D4F74">
        <w:t xml:space="preserve"> estereotipos, patologiza</w:t>
      </w:r>
      <w:r w:rsidR="00DB33E1">
        <w:t>n</w:t>
      </w:r>
      <w:r w:rsidR="007D4F74">
        <w:t xml:space="preserve"> sus experiencias y hace</w:t>
      </w:r>
      <w:r w:rsidR="00DB33E1">
        <w:t xml:space="preserve">n </w:t>
      </w:r>
      <w:r w:rsidR="007D4F74">
        <w:t>suposiciones sobre su identidad religiosa</w:t>
      </w:r>
      <w:r w:rsidR="00DB33E1">
        <w:t xml:space="preserve">. </w:t>
      </w:r>
    </w:p>
    <w:p w14:paraId="719FE55A" w14:textId="09EB0B26" w:rsidR="00550241" w:rsidRPr="006A35F1" w:rsidRDefault="00550241" w:rsidP="006A35F1">
      <w:pPr>
        <w:spacing w:line="360" w:lineRule="auto"/>
        <w:jc w:val="both"/>
        <w:rPr>
          <w:b/>
          <w:bCs/>
          <w:lang w:val="es-ES"/>
        </w:rPr>
      </w:pPr>
      <w:r w:rsidRPr="006A35F1">
        <w:rPr>
          <w:b/>
          <w:bCs/>
          <w:lang w:val="es-ES"/>
        </w:rPr>
        <w:t>Justificación</w:t>
      </w:r>
    </w:p>
    <w:p w14:paraId="7B789324" w14:textId="4C55A62B" w:rsidR="00550241" w:rsidRDefault="00D20923" w:rsidP="006A35F1">
      <w:pPr>
        <w:spacing w:line="360" w:lineRule="auto"/>
        <w:jc w:val="both"/>
        <w:rPr>
          <w:lang w:val="es-ES"/>
        </w:rPr>
      </w:pPr>
      <w:r>
        <w:rPr>
          <w:b/>
          <w:bCs/>
          <w:i/>
          <w:iCs/>
          <w:lang w:val="es-ES"/>
        </w:rPr>
        <w:tab/>
      </w:r>
      <w:r w:rsidR="00550241">
        <w:rPr>
          <w:lang w:val="es-ES"/>
        </w:rPr>
        <w:t>Ya que el estigma y la discriminación impacta</w:t>
      </w:r>
      <w:r w:rsidR="00A44FDF">
        <w:rPr>
          <w:lang w:val="es-ES"/>
        </w:rPr>
        <w:t>n</w:t>
      </w:r>
      <w:r w:rsidR="00550241">
        <w:rPr>
          <w:lang w:val="es-ES"/>
        </w:rPr>
        <w:t xml:space="preserve"> de forma negativa en la salud y bienestar de las personas ateas, es importante </w:t>
      </w:r>
      <w:r w:rsidR="00A44FDF">
        <w:rPr>
          <w:lang w:val="es-ES"/>
        </w:rPr>
        <w:t>describir y conocer</w:t>
      </w:r>
      <w:r w:rsidR="00550241">
        <w:rPr>
          <w:lang w:val="es-ES"/>
        </w:rPr>
        <w:t xml:space="preserve"> las microagresiones vivenciadas por esta población. Hasta el momento,</w:t>
      </w:r>
      <w:r w:rsidR="009C397B" w:rsidRPr="00C56316">
        <w:rPr>
          <w:lang w:val="es-ES"/>
        </w:rPr>
        <w:t xml:space="preserve"> </w:t>
      </w:r>
      <w:r w:rsidR="009C397B" w:rsidRPr="0044670C">
        <w:rPr>
          <w:lang w:val="es-ES"/>
        </w:rPr>
        <w:t xml:space="preserve">sólo </w:t>
      </w:r>
      <w:r w:rsidR="00550241">
        <w:rPr>
          <w:lang w:val="es-ES"/>
        </w:rPr>
        <w:t xml:space="preserve">existe </w:t>
      </w:r>
      <w:r w:rsidR="009C397B" w:rsidRPr="0044670C">
        <w:rPr>
          <w:lang w:val="es-ES"/>
        </w:rPr>
        <w:t>una escala, llamada la Escala</w:t>
      </w:r>
      <w:r w:rsidR="009C397B" w:rsidRPr="0044670C">
        <w:rPr>
          <w:b/>
          <w:bCs/>
          <w:lang w:val="es-ES"/>
        </w:rPr>
        <w:t xml:space="preserve"> </w:t>
      </w:r>
      <w:r w:rsidR="009C397B" w:rsidRPr="009C397B">
        <w:rPr>
          <w:lang w:val="es-ES"/>
        </w:rPr>
        <w:t xml:space="preserve">de microagresiones ateas o </w:t>
      </w:r>
      <w:proofErr w:type="spellStart"/>
      <w:r w:rsidR="009C397B" w:rsidRPr="009C397B">
        <w:rPr>
          <w:i/>
          <w:iCs/>
          <w:lang w:val="es-ES"/>
        </w:rPr>
        <w:t>Scale</w:t>
      </w:r>
      <w:proofErr w:type="spellEnd"/>
      <w:r w:rsidR="009C397B" w:rsidRPr="009C397B">
        <w:rPr>
          <w:i/>
          <w:iCs/>
          <w:lang w:val="es-ES"/>
        </w:rPr>
        <w:t xml:space="preserve"> </w:t>
      </w:r>
      <w:proofErr w:type="spellStart"/>
      <w:r w:rsidR="009C397B" w:rsidRPr="009C397B">
        <w:rPr>
          <w:i/>
          <w:iCs/>
          <w:lang w:val="es-ES"/>
        </w:rPr>
        <w:t>of</w:t>
      </w:r>
      <w:proofErr w:type="spellEnd"/>
      <w:r w:rsidR="009C397B" w:rsidRPr="009C397B">
        <w:rPr>
          <w:i/>
          <w:iCs/>
          <w:lang w:val="es-ES"/>
        </w:rPr>
        <w:t xml:space="preserve"> </w:t>
      </w:r>
      <w:proofErr w:type="spellStart"/>
      <w:r w:rsidR="009C397B" w:rsidRPr="009C397B">
        <w:rPr>
          <w:i/>
          <w:iCs/>
          <w:lang w:val="es-ES"/>
        </w:rPr>
        <w:t>Atheist</w:t>
      </w:r>
      <w:proofErr w:type="spellEnd"/>
      <w:r w:rsidR="009C397B" w:rsidRPr="009C397B">
        <w:rPr>
          <w:i/>
          <w:iCs/>
          <w:lang w:val="es-ES"/>
        </w:rPr>
        <w:t xml:space="preserve"> </w:t>
      </w:r>
      <w:proofErr w:type="spellStart"/>
      <w:r w:rsidR="009C397B" w:rsidRPr="009C397B">
        <w:rPr>
          <w:i/>
          <w:iCs/>
          <w:lang w:val="es-ES"/>
        </w:rPr>
        <w:t>Microagressions</w:t>
      </w:r>
      <w:proofErr w:type="spellEnd"/>
      <w:r w:rsidR="009C397B" w:rsidRPr="009C397B">
        <w:rPr>
          <w:lang w:val="es-ES"/>
        </w:rPr>
        <w:t xml:space="preserve"> </w:t>
      </w:r>
      <w:r w:rsidR="009C397B" w:rsidRPr="0044670C">
        <w:t>(Pagano, 2015)</w:t>
      </w:r>
      <w:r w:rsidR="009C397B" w:rsidRPr="009C397B">
        <w:rPr>
          <w:lang w:val="es-ES"/>
        </w:rPr>
        <w:t xml:space="preserve"> </w:t>
      </w:r>
      <w:r w:rsidR="00550241">
        <w:rPr>
          <w:lang w:val="es-PR"/>
        </w:rPr>
        <w:t>que</w:t>
      </w:r>
      <w:r w:rsidR="009C397B" w:rsidRPr="0044670C">
        <w:rPr>
          <w:lang w:val="es-PR"/>
        </w:rPr>
        <w:t xml:space="preserve"> </w:t>
      </w:r>
      <w:r w:rsidR="009C397B" w:rsidRPr="0044670C">
        <w:rPr>
          <w:lang w:val="es-ES"/>
        </w:rPr>
        <w:t xml:space="preserve">mide los tipos y las frecuencias de microagresiones experimentadas </w:t>
      </w:r>
      <w:r w:rsidR="00550241">
        <w:rPr>
          <w:lang w:val="es-ES"/>
        </w:rPr>
        <w:t xml:space="preserve">definidas </w:t>
      </w:r>
      <w:r w:rsidR="009C397B" w:rsidRPr="0044670C">
        <w:rPr>
          <w:lang w:val="es-ES"/>
        </w:rPr>
        <w:t xml:space="preserve">como cualquier desaire, indignidad o humillación perpetuada por un individuo o grupo hacia ateos/as (Pagano, 2015). </w:t>
      </w:r>
      <w:r w:rsidR="00550241">
        <w:rPr>
          <w:lang w:val="es-ES"/>
        </w:rPr>
        <w:t xml:space="preserve">Específicamente, </w:t>
      </w:r>
      <w:r w:rsidR="009C397B" w:rsidRPr="0044670C">
        <w:rPr>
          <w:lang w:val="es-ES"/>
        </w:rPr>
        <w:t xml:space="preserve">operacionalizó </w:t>
      </w:r>
      <w:r w:rsidR="00550241">
        <w:rPr>
          <w:lang w:val="es-ES"/>
        </w:rPr>
        <w:t xml:space="preserve">la escala en </w:t>
      </w:r>
      <w:r w:rsidR="009C397B" w:rsidRPr="0044670C">
        <w:rPr>
          <w:lang w:val="es-ES"/>
        </w:rPr>
        <w:t>seis dimensiones de microagresiones: el respaldar estereotipos ateístas</w:t>
      </w:r>
      <w:r w:rsidR="00546AFE">
        <w:rPr>
          <w:lang w:val="es-ES"/>
        </w:rPr>
        <w:t xml:space="preserve"> (</w:t>
      </w:r>
      <w:proofErr w:type="spellStart"/>
      <w:r w:rsidR="00546AFE">
        <w:rPr>
          <w:lang w:val="es-ES"/>
        </w:rPr>
        <w:t>e.g</w:t>
      </w:r>
      <w:proofErr w:type="spellEnd"/>
      <w:r w:rsidR="00546AFE">
        <w:rPr>
          <w:lang w:val="es-ES"/>
        </w:rPr>
        <w:t>.</w:t>
      </w:r>
      <w:r w:rsidR="00BF42D4">
        <w:rPr>
          <w:lang w:val="es-ES"/>
        </w:rPr>
        <w:t>,</w:t>
      </w:r>
      <w:r w:rsidR="00546AFE">
        <w:rPr>
          <w:lang w:val="es-ES"/>
        </w:rPr>
        <w:t xml:space="preserve"> “</w:t>
      </w:r>
      <w:r w:rsidR="00546AFE" w:rsidRPr="00546AFE">
        <w:rPr>
          <w:lang w:val="es-ES"/>
        </w:rPr>
        <w:t>Me han preguntado por qué los ateos son intolerantes</w:t>
      </w:r>
      <w:r w:rsidR="00546AFE">
        <w:rPr>
          <w:lang w:val="es-ES"/>
        </w:rPr>
        <w:t>”</w:t>
      </w:r>
      <w:r w:rsidR="00546AFE">
        <w:rPr>
          <w:rFonts w:eastAsiaTheme="minorHAnsi"/>
          <w:lang w:val="es-ES" w:eastAsia="en-US"/>
        </w:rPr>
        <w:t>)</w:t>
      </w:r>
      <w:r w:rsidR="009C397B" w:rsidRPr="0044670C">
        <w:rPr>
          <w:lang w:val="es-ES"/>
        </w:rPr>
        <w:t>, la suposición de la identidad religiosa como normal</w:t>
      </w:r>
      <w:r w:rsidR="00546AFE">
        <w:rPr>
          <w:lang w:val="es-ES"/>
        </w:rPr>
        <w:t xml:space="preserve"> (</w:t>
      </w:r>
      <w:proofErr w:type="spellStart"/>
      <w:r w:rsidR="00546AFE">
        <w:rPr>
          <w:lang w:val="es-ES"/>
        </w:rPr>
        <w:t>e.g</w:t>
      </w:r>
      <w:proofErr w:type="spellEnd"/>
      <w:r w:rsidR="00546AFE">
        <w:rPr>
          <w:lang w:val="es-ES"/>
        </w:rPr>
        <w:t>.</w:t>
      </w:r>
      <w:r w:rsidR="00BF42D4">
        <w:rPr>
          <w:lang w:val="es-ES"/>
        </w:rPr>
        <w:t>,</w:t>
      </w:r>
      <w:r w:rsidR="00546AFE">
        <w:rPr>
          <w:lang w:val="es-ES"/>
        </w:rPr>
        <w:t xml:space="preserve"> </w:t>
      </w:r>
      <w:r>
        <w:rPr>
          <w:lang w:val="es-ES"/>
        </w:rPr>
        <w:t>“</w:t>
      </w:r>
      <w:r w:rsidRPr="00D20923">
        <w:rPr>
          <w:lang w:val="es-ES"/>
        </w:rPr>
        <w:t>Alguien me ha preguntado a qué iglesia asisto sin preguntarme primero si me identifico como</w:t>
      </w:r>
      <w:r>
        <w:rPr>
          <w:lang w:val="es-ES"/>
        </w:rPr>
        <w:t xml:space="preserve"> </w:t>
      </w:r>
      <w:r w:rsidRPr="00D20923">
        <w:rPr>
          <w:lang w:val="es-ES"/>
        </w:rPr>
        <w:t>individuo religioso</w:t>
      </w:r>
      <w:r>
        <w:rPr>
          <w:lang w:val="es-ES"/>
        </w:rPr>
        <w:t>.”)</w:t>
      </w:r>
      <w:r w:rsidR="009C397B" w:rsidRPr="0044670C">
        <w:rPr>
          <w:lang w:val="es-ES"/>
        </w:rPr>
        <w:t>, la suposición de homogeneidad ateísta, la patología de individuos ateístas</w:t>
      </w:r>
      <w:r w:rsidR="006A35F1">
        <w:rPr>
          <w:lang w:val="es-ES"/>
        </w:rPr>
        <w:t xml:space="preserve">, </w:t>
      </w:r>
      <w:r w:rsidR="009C397B" w:rsidRPr="0044670C">
        <w:rPr>
          <w:lang w:val="es-ES"/>
        </w:rPr>
        <w:t xml:space="preserve">la </w:t>
      </w:r>
      <w:proofErr w:type="spellStart"/>
      <w:r w:rsidR="009C397B">
        <w:rPr>
          <w:lang w:val="es-ES"/>
        </w:rPr>
        <w:t>exotización</w:t>
      </w:r>
      <w:proofErr w:type="spellEnd"/>
      <w:r w:rsidR="009C397B" w:rsidRPr="0044670C">
        <w:rPr>
          <w:lang w:val="es-ES"/>
        </w:rPr>
        <w:t xml:space="preserve"> ateísta y negación de prejuicio religioso hacia ateos/as</w:t>
      </w:r>
      <w:r>
        <w:rPr>
          <w:lang w:val="es-ES"/>
        </w:rPr>
        <w:t xml:space="preserve"> (</w:t>
      </w:r>
      <w:proofErr w:type="spellStart"/>
      <w:r>
        <w:rPr>
          <w:lang w:val="es-ES"/>
        </w:rPr>
        <w:t>e.g</w:t>
      </w:r>
      <w:proofErr w:type="spellEnd"/>
      <w:r>
        <w:rPr>
          <w:lang w:val="es-ES"/>
        </w:rPr>
        <w:t>.</w:t>
      </w:r>
      <w:r w:rsidR="00BF42D4">
        <w:rPr>
          <w:lang w:val="es-ES"/>
        </w:rPr>
        <w:t>,</w:t>
      </w:r>
      <w:r>
        <w:rPr>
          <w:lang w:val="es-ES"/>
        </w:rPr>
        <w:t xml:space="preserve"> </w:t>
      </w:r>
      <w:r w:rsidRPr="00D20923">
        <w:rPr>
          <w:lang w:val="es-ES"/>
        </w:rPr>
        <w:t>Alguien me ha dicho que no me queje de la religión</w:t>
      </w:r>
      <w:r>
        <w:rPr>
          <w:lang w:val="es-ES"/>
        </w:rPr>
        <w:t>”</w:t>
      </w:r>
      <w:r w:rsidR="00BF42D4">
        <w:rPr>
          <w:lang w:val="es-ES"/>
        </w:rPr>
        <w:t xml:space="preserve">, </w:t>
      </w:r>
      <w:r w:rsidR="009C397B" w:rsidRPr="0044670C">
        <w:rPr>
          <w:lang w:val="es-ES"/>
        </w:rPr>
        <w:t xml:space="preserve">Pagano et al., 2012). </w:t>
      </w:r>
      <w:r w:rsidR="00550241" w:rsidRPr="0044670C">
        <w:rPr>
          <w:lang w:val="es-ES"/>
        </w:rPr>
        <w:t xml:space="preserve">Debido </w:t>
      </w:r>
      <w:r w:rsidR="00550241" w:rsidRPr="0044670C">
        <w:rPr>
          <w:lang w:val="es-ES"/>
        </w:rPr>
        <w:lastRenderedPageBreak/>
        <w:t xml:space="preserve">a la ausencia de estudios sobre microagresiones hacia minorías religiosas, </w:t>
      </w:r>
      <w:r w:rsidR="00550241">
        <w:rPr>
          <w:lang w:val="es-ES"/>
        </w:rPr>
        <w:t>es necesario</w:t>
      </w:r>
      <w:r w:rsidR="00550241" w:rsidRPr="0044670C">
        <w:rPr>
          <w:lang w:val="es-ES"/>
        </w:rPr>
        <w:t xml:space="preserve"> realizar </w:t>
      </w:r>
      <w:r w:rsidR="00550241">
        <w:rPr>
          <w:lang w:val="es-ES"/>
        </w:rPr>
        <w:t xml:space="preserve">estudios con instrumento válidos y confiables </w:t>
      </w:r>
      <w:r w:rsidR="00550241" w:rsidRPr="0044670C">
        <w:rPr>
          <w:lang w:val="es-ES"/>
        </w:rPr>
        <w:t xml:space="preserve">en el contexto </w:t>
      </w:r>
      <w:r w:rsidRPr="0044670C">
        <w:rPr>
          <w:lang w:val="es-ES"/>
        </w:rPr>
        <w:t>latinoamerican</w:t>
      </w:r>
      <w:r>
        <w:rPr>
          <w:lang w:val="es-ES"/>
        </w:rPr>
        <w:t>o</w:t>
      </w:r>
      <w:r w:rsidR="00B22C0B">
        <w:rPr>
          <w:lang w:val="es-ES"/>
        </w:rPr>
        <w:t>.</w:t>
      </w:r>
    </w:p>
    <w:p w14:paraId="50DDA63A" w14:textId="0E129F5E" w:rsidR="009C397B" w:rsidRPr="002D3839" w:rsidRDefault="009C397B" w:rsidP="006A35F1">
      <w:pPr>
        <w:spacing w:line="360" w:lineRule="auto"/>
        <w:jc w:val="both"/>
        <w:rPr>
          <w:lang w:val="es-ES"/>
        </w:rPr>
      </w:pPr>
      <w:r w:rsidRPr="009C2451">
        <w:rPr>
          <w:b/>
          <w:bCs/>
          <w:i/>
          <w:iCs/>
          <w:lang w:val="es-ES"/>
        </w:rPr>
        <w:t>Propósito de</w:t>
      </w:r>
      <w:r w:rsidR="009C2451">
        <w:rPr>
          <w:b/>
          <w:bCs/>
          <w:i/>
          <w:iCs/>
          <w:lang w:val="es-ES"/>
        </w:rPr>
        <w:t>l estudio</w:t>
      </w:r>
    </w:p>
    <w:p w14:paraId="5ACBB592" w14:textId="31DCDDD4" w:rsidR="002054D5" w:rsidRPr="00B811EE" w:rsidRDefault="0053115D" w:rsidP="006A35F1">
      <w:pPr>
        <w:spacing w:line="360" w:lineRule="auto"/>
        <w:ind w:firstLine="720"/>
        <w:jc w:val="both"/>
        <w:rPr>
          <w:b/>
          <w:bCs/>
          <w:lang w:val="es-ES"/>
        </w:rPr>
      </w:pPr>
      <w:r>
        <w:rPr>
          <w:lang w:val="es-ES"/>
        </w:rPr>
        <w:t>El</w:t>
      </w:r>
      <w:r w:rsidR="009C397B" w:rsidRPr="0044670C">
        <w:rPr>
          <w:lang w:val="es-ES"/>
        </w:rPr>
        <w:t xml:space="preserve"> propósito de</w:t>
      </w:r>
      <w:r w:rsidR="00B811EE">
        <w:rPr>
          <w:lang w:val="es-ES"/>
        </w:rPr>
        <w:t xml:space="preserve">l estudio </w:t>
      </w:r>
      <w:r w:rsidR="009C397B" w:rsidRPr="0044670C">
        <w:rPr>
          <w:lang w:val="es-ES"/>
        </w:rPr>
        <w:t xml:space="preserve">fue: 1) desarrollar la Escala de Microagresiones hacia Personas Ateas (EMPA) y 2) obtener datos preliminares de validación de la EMPA con la población puertorriqueña. </w:t>
      </w:r>
      <w:r w:rsidR="00485FAC">
        <w:rPr>
          <w:lang w:val="es-ES"/>
        </w:rPr>
        <w:t>Durante</w:t>
      </w:r>
      <w:r w:rsidR="00485FAC" w:rsidRPr="0044670C">
        <w:rPr>
          <w:lang w:val="es-ES"/>
        </w:rPr>
        <w:t xml:space="preserve"> la fase de validación, </w:t>
      </w:r>
      <w:r w:rsidR="00DB7784">
        <w:rPr>
          <w:lang w:val="es-ES"/>
        </w:rPr>
        <w:t>hipotetizamos que la EMPA</w:t>
      </w:r>
      <w:r w:rsidR="00485FAC" w:rsidRPr="0044670C">
        <w:rPr>
          <w:lang w:val="es-ES"/>
        </w:rPr>
        <w:t xml:space="preserve">: </w:t>
      </w:r>
      <w:r w:rsidR="00485FAC" w:rsidRPr="00C56316">
        <w:rPr>
          <w:lang w:val="es-ES"/>
        </w:rPr>
        <w:t xml:space="preserve">1) </w:t>
      </w:r>
      <w:r w:rsidR="00DB7784">
        <w:rPr>
          <w:kern w:val="2"/>
          <w:lang w:val="es-ES"/>
          <w14:ligatures w14:val="standardContextual"/>
        </w:rPr>
        <w:t>D</w:t>
      </w:r>
      <w:r w:rsidR="00485FAC" w:rsidRPr="00C56316">
        <w:rPr>
          <w:kern w:val="2"/>
          <w:lang w:val="es-ES"/>
          <w14:ligatures w14:val="standardContextual"/>
        </w:rPr>
        <w:t>emostrar</w:t>
      </w:r>
      <w:r w:rsidR="006A35F1">
        <w:rPr>
          <w:kern w:val="2"/>
          <w:lang w:val="es-ES"/>
          <w14:ligatures w14:val="standardContextual"/>
        </w:rPr>
        <w:t>á</w:t>
      </w:r>
      <w:r w:rsidR="00485FAC" w:rsidRPr="00C56316">
        <w:rPr>
          <w:kern w:val="2"/>
          <w:lang w:val="es-ES"/>
          <w14:ligatures w14:val="standardContextual"/>
        </w:rPr>
        <w:t xml:space="preserve"> una consistencia interna confiable mediante una puntuación de .80 o mayor a través del coeficiente Alfa de Cronbach</w:t>
      </w:r>
      <w:r w:rsidR="00485FAC">
        <w:rPr>
          <w:lang w:val="es-ES"/>
        </w:rPr>
        <w:t>, 2)</w:t>
      </w:r>
      <w:r w:rsidR="00485FAC" w:rsidRPr="00C56316">
        <w:rPr>
          <w:kern w:val="2"/>
          <w:lang w:val="es-ES"/>
          <w14:ligatures w14:val="standardContextual"/>
        </w:rPr>
        <w:t xml:space="preserve"> A mayor edad de la persona al momento de la investigación, mayor reporte de microagresiones</w:t>
      </w:r>
      <w:r w:rsidR="00BF42D4">
        <w:rPr>
          <w:kern w:val="2"/>
          <w:lang w:val="es-ES"/>
          <w14:ligatures w14:val="standardContextual"/>
        </w:rPr>
        <w:t>,</w:t>
      </w:r>
      <w:r w:rsidR="00485FAC">
        <w:rPr>
          <w:lang w:val="es-ES"/>
        </w:rPr>
        <w:t xml:space="preserve"> 3) </w:t>
      </w:r>
      <w:r w:rsidR="00485FAC" w:rsidRPr="00C56316">
        <w:rPr>
          <w:kern w:val="2"/>
          <w:lang w:val="es-ES"/>
          <w14:ligatures w14:val="standardContextual"/>
        </w:rPr>
        <w:t>A menor edad desde que una persona se identifica como atea, mayor reporte de microagresiones que causan molestia moderada a severa</w:t>
      </w:r>
      <w:r w:rsidR="00BF42D4">
        <w:rPr>
          <w:kern w:val="2"/>
          <w:lang w:val="es-ES"/>
          <w14:ligatures w14:val="standardContextual"/>
        </w:rPr>
        <w:t>,</w:t>
      </w:r>
      <w:r w:rsidR="00485FAC">
        <w:rPr>
          <w:lang w:val="es-ES"/>
        </w:rPr>
        <w:t xml:space="preserve"> y 4) </w:t>
      </w:r>
      <w:r w:rsidR="00485FAC" w:rsidRPr="00C56316">
        <w:rPr>
          <w:kern w:val="2"/>
          <w:lang w:val="es-ES"/>
          <w14:ligatures w14:val="standardContextual"/>
        </w:rPr>
        <w:t>A mayor nivel de escolaridad, más experiencias de microagresión.</w:t>
      </w:r>
    </w:p>
    <w:p w14:paraId="2254AC27" w14:textId="6AABC5AF" w:rsidR="006F7E7E" w:rsidRPr="006A35F1" w:rsidRDefault="001516ED" w:rsidP="00BF42D4">
      <w:pPr>
        <w:pStyle w:val="Ttulosinternos"/>
        <w:rPr>
          <w:lang w:val="es-ES"/>
        </w:rPr>
      </w:pPr>
      <w:r w:rsidRPr="006A35F1">
        <w:rPr>
          <w:lang w:val="es-ES"/>
        </w:rPr>
        <w:t>M</w:t>
      </w:r>
      <w:r w:rsidR="00107993" w:rsidRPr="006A35F1">
        <w:rPr>
          <w:lang w:val="es-ES"/>
        </w:rPr>
        <w:t>étodo</w:t>
      </w:r>
    </w:p>
    <w:p w14:paraId="78175295" w14:textId="3185EBDC" w:rsidR="00B811EE" w:rsidRPr="0044670C" w:rsidRDefault="00B811EE" w:rsidP="005A6A31">
      <w:pPr>
        <w:tabs>
          <w:tab w:val="left" w:pos="3714"/>
        </w:tabs>
        <w:spacing w:line="360" w:lineRule="auto"/>
        <w:ind w:firstLine="567"/>
        <w:jc w:val="both"/>
        <w:rPr>
          <w:lang w:val="es-ES"/>
        </w:rPr>
      </w:pPr>
      <w:r w:rsidRPr="0044670C">
        <w:rPr>
          <w:lang w:val="es-ES"/>
        </w:rPr>
        <w:t xml:space="preserve">Este estudio constó de dos fases: (1) desarrollo </w:t>
      </w:r>
      <w:r w:rsidR="00D53D40">
        <w:rPr>
          <w:lang w:val="es-ES"/>
        </w:rPr>
        <w:t>y validez de contenido</w:t>
      </w:r>
      <w:r w:rsidRPr="0044670C">
        <w:rPr>
          <w:lang w:val="es-ES"/>
        </w:rPr>
        <w:t xml:space="preserve"> la escala de microagresiones a personas ateas puertorriqueñas y (2) </w:t>
      </w:r>
      <w:r w:rsidR="00D53D40">
        <w:rPr>
          <w:lang w:val="es-ES"/>
        </w:rPr>
        <w:t>piloto de</w:t>
      </w:r>
      <w:r w:rsidRPr="0044670C">
        <w:rPr>
          <w:lang w:val="es-ES"/>
        </w:rPr>
        <w:t xml:space="preserve"> escala de microagresiones hacia personas ateas. </w:t>
      </w:r>
    </w:p>
    <w:p w14:paraId="31C8072E" w14:textId="79B62A04" w:rsidR="00B811EE" w:rsidRPr="006A35F1" w:rsidRDefault="00B811EE" w:rsidP="005A6A31">
      <w:pPr>
        <w:spacing w:line="360" w:lineRule="auto"/>
        <w:jc w:val="both"/>
        <w:rPr>
          <w:b/>
          <w:bCs/>
          <w:lang w:val="es-ES"/>
        </w:rPr>
      </w:pPr>
      <w:r w:rsidRPr="006A35F1">
        <w:rPr>
          <w:b/>
          <w:bCs/>
          <w:lang w:val="es-ES"/>
        </w:rPr>
        <w:t>Diseño de investigación</w:t>
      </w:r>
    </w:p>
    <w:p w14:paraId="61C83CA9" w14:textId="4FA5A093" w:rsidR="00B811EE" w:rsidRPr="0044670C" w:rsidRDefault="00B811EE" w:rsidP="005A6A31">
      <w:pPr>
        <w:spacing w:line="360" w:lineRule="auto"/>
        <w:ind w:firstLine="720"/>
        <w:jc w:val="both"/>
        <w:rPr>
          <w:lang w:val="es-ES"/>
        </w:rPr>
      </w:pPr>
      <w:r w:rsidRPr="0044670C">
        <w:rPr>
          <w:lang w:val="es-ES"/>
        </w:rPr>
        <w:t xml:space="preserve">Utilizamos el método mixto propuesto por Zhou (2019). El mismo incluye cinco pasos para la construcción de escalas nuevas: (1) investigar cualitativamente el </w:t>
      </w:r>
      <w:proofErr w:type="spellStart"/>
      <w:r w:rsidRPr="0044670C">
        <w:rPr>
          <w:lang w:val="es-ES"/>
        </w:rPr>
        <w:t>construct</w:t>
      </w:r>
      <w:r w:rsidR="001C657A">
        <w:rPr>
          <w:lang w:val="es-ES"/>
        </w:rPr>
        <w:t>o</w:t>
      </w:r>
      <w:proofErr w:type="spellEnd"/>
      <w:r w:rsidRPr="0044670C">
        <w:rPr>
          <w:lang w:val="es-ES"/>
        </w:rPr>
        <w:t xml:space="preserve"> de la escala, </w:t>
      </w:r>
      <w:r w:rsidR="00A44FDF">
        <w:rPr>
          <w:lang w:val="es-ES"/>
        </w:rPr>
        <w:t>incluyendo</w:t>
      </w:r>
      <w:r w:rsidRPr="0044670C">
        <w:rPr>
          <w:lang w:val="es-ES"/>
        </w:rPr>
        <w:t xml:space="preserve"> la revisión de literatura</w:t>
      </w:r>
      <w:r w:rsidR="00BF42D4">
        <w:rPr>
          <w:lang w:val="es-ES"/>
        </w:rPr>
        <w:t>,</w:t>
      </w:r>
      <w:r w:rsidRPr="0044670C">
        <w:rPr>
          <w:lang w:val="es-ES"/>
        </w:rPr>
        <w:t xml:space="preserve"> (2) convertir hallazgos cualitativos de la revisión de literatura en reactivos</w:t>
      </w:r>
      <w:r w:rsidR="00BF42D4">
        <w:rPr>
          <w:lang w:val="es-ES"/>
        </w:rPr>
        <w:t>,</w:t>
      </w:r>
      <w:r w:rsidRPr="0044670C">
        <w:rPr>
          <w:lang w:val="es-ES"/>
        </w:rPr>
        <w:t xml:space="preserve"> 3) realizar una validación mixta para evaluar la validez de contenido</w:t>
      </w:r>
      <w:r w:rsidR="00BF42D4">
        <w:rPr>
          <w:lang w:val="es-ES"/>
        </w:rPr>
        <w:t>,</w:t>
      </w:r>
      <w:r w:rsidRPr="0044670C">
        <w:rPr>
          <w:lang w:val="es-ES"/>
        </w:rPr>
        <w:t xml:space="preserve"> 4) administrar la escala</w:t>
      </w:r>
      <w:r w:rsidR="00BF42D4">
        <w:rPr>
          <w:lang w:val="es-ES"/>
        </w:rPr>
        <w:t>,</w:t>
      </w:r>
      <w:r w:rsidRPr="0044670C">
        <w:rPr>
          <w:lang w:val="es-ES"/>
        </w:rPr>
        <w:t xml:space="preserve"> y 5)</w:t>
      </w:r>
      <w:r w:rsidR="0053115D">
        <w:rPr>
          <w:lang w:val="es-ES"/>
        </w:rPr>
        <w:t xml:space="preserve"> </w:t>
      </w:r>
      <w:r w:rsidRPr="0044670C">
        <w:rPr>
          <w:lang w:val="es-ES"/>
        </w:rPr>
        <w:t>análisis de datos. A continuación, presentamos las dos fases.</w:t>
      </w:r>
    </w:p>
    <w:p w14:paraId="04474064" w14:textId="204A6CFF" w:rsidR="00B811EE" w:rsidRPr="006A35F1" w:rsidRDefault="00B811EE" w:rsidP="005A6A31">
      <w:pPr>
        <w:spacing w:line="360" w:lineRule="auto"/>
        <w:jc w:val="both"/>
        <w:rPr>
          <w:b/>
          <w:bCs/>
          <w:lang w:val="es-ES"/>
        </w:rPr>
      </w:pPr>
      <w:r w:rsidRPr="006A35F1">
        <w:rPr>
          <w:b/>
          <w:bCs/>
          <w:lang w:val="es-ES"/>
        </w:rPr>
        <w:t>Fase 1</w:t>
      </w:r>
      <w:r w:rsidR="00895543" w:rsidRPr="006A35F1">
        <w:rPr>
          <w:b/>
          <w:bCs/>
          <w:lang w:val="es-ES"/>
        </w:rPr>
        <w:t xml:space="preserve">: </w:t>
      </w:r>
      <w:r w:rsidRPr="006A35F1">
        <w:rPr>
          <w:b/>
          <w:bCs/>
          <w:lang w:val="es-ES"/>
        </w:rPr>
        <w:t>Desarrollo de la escala de microagresiones hacia personas ateas puertorriqueñas</w:t>
      </w:r>
    </w:p>
    <w:p w14:paraId="0479A65A" w14:textId="1B9E910A" w:rsidR="00BF42D4" w:rsidRPr="006A35F1" w:rsidRDefault="00B811EE" w:rsidP="006A35F1">
      <w:pPr>
        <w:spacing w:line="360" w:lineRule="auto"/>
        <w:ind w:firstLine="720"/>
        <w:jc w:val="both"/>
        <w:rPr>
          <w:lang w:val="es-ES"/>
        </w:rPr>
      </w:pPr>
      <w:r w:rsidRPr="0044670C">
        <w:rPr>
          <w:lang w:val="es-ES"/>
        </w:rPr>
        <w:t xml:space="preserve">La primera autora desarrolló la escala de microagresiones hacia personas ateas (EMPA) </w:t>
      </w:r>
      <w:r w:rsidR="00717D13">
        <w:rPr>
          <w:lang w:val="es-ES"/>
        </w:rPr>
        <w:t>en base a</w:t>
      </w:r>
      <w:r w:rsidR="00A44FDF">
        <w:rPr>
          <w:lang w:val="es-ES"/>
        </w:rPr>
        <w:t xml:space="preserve"> la </w:t>
      </w:r>
      <w:r w:rsidRPr="0044670C">
        <w:rPr>
          <w:lang w:val="es-ES"/>
        </w:rPr>
        <w:t xml:space="preserve">revisión de literatura y los dominios desarrollados por Nadal y colaboradores (2010) sobre microagresiones religiosas. </w:t>
      </w:r>
      <w:r w:rsidR="00A44FDF">
        <w:rPr>
          <w:lang w:val="es-ES"/>
        </w:rPr>
        <w:t>Primero,</w:t>
      </w:r>
      <w:r w:rsidRPr="0044670C">
        <w:rPr>
          <w:lang w:val="es-ES"/>
        </w:rPr>
        <w:t xml:space="preserve"> desarrolló un total de 80 reactivos con la intención de medir microagresión a través de seis subescalas: 1) respaldar estereotipos ateístas, 2) </w:t>
      </w:r>
      <w:proofErr w:type="spellStart"/>
      <w:r w:rsidRPr="0044670C">
        <w:rPr>
          <w:lang w:val="es-ES"/>
        </w:rPr>
        <w:t>exotización</w:t>
      </w:r>
      <w:proofErr w:type="spellEnd"/>
      <w:r w:rsidRPr="0044670C">
        <w:rPr>
          <w:lang w:val="es-ES"/>
        </w:rPr>
        <w:t xml:space="preserve"> ateísta</w:t>
      </w:r>
      <w:r>
        <w:rPr>
          <w:lang w:val="es-ES"/>
        </w:rPr>
        <w:t xml:space="preserve">, </w:t>
      </w:r>
      <w:r w:rsidRPr="0044670C">
        <w:rPr>
          <w:lang w:val="es-ES"/>
        </w:rPr>
        <w:t>3) patología de individuos ateístas</w:t>
      </w:r>
      <w:r>
        <w:rPr>
          <w:lang w:val="es-ES"/>
        </w:rPr>
        <w:t xml:space="preserve">, </w:t>
      </w:r>
      <w:r w:rsidRPr="0044670C">
        <w:rPr>
          <w:lang w:val="es-ES"/>
        </w:rPr>
        <w:t xml:space="preserve">4) suposición de la identidad religiosa como normal, 5) suposición de homogeneidad ateísta y, 6) negación de prejuicio religioso hacia ateos/as. </w:t>
      </w:r>
    </w:p>
    <w:p w14:paraId="2437AAE7" w14:textId="6B144A77" w:rsidR="004F6E41" w:rsidRPr="006A35F1" w:rsidRDefault="00B811EE" w:rsidP="0013416E">
      <w:pPr>
        <w:spacing w:line="360" w:lineRule="auto"/>
        <w:jc w:val="both"/>
        <w:rPr>
          <w:b/>
          <w:bCs/>
          <w:i/>
          <w:iCs/>
          <w:lang w:val="es-ES"/>
        </w:rPr>
      </w:pPr>
      <w:r w:rsidRPr="006A35F1">
        <w:rPr>
          <w:b/>
          <w:bCs/>
          <w:i/>
          <w:iCs/>
          <w:lang w:val="es-ES"/>
        </w:rPr>
        <w:t>Validez de contenido del instrumento</w:t>
      </w:r>
      <w:r w:rsidR="00033EDF">
        <w:rPr>
          <w:b/>
          <w:bCs/>
          <w:i/>
          <w:iCs/>
          <w:lang w:val="es-ES"/>
        </w:rPr>
        <w:t xml:space="preserve"> y análisis de validez de contenido</w:t>
      </w:r>
    </w:p>
    <w:p w14:paraId="1B088A33" w14:textId="41D0BC32" w:rsidR="00B811EE" w:rsidRPr="0044670C" w:rsidRDefault="00A44FDF" w:rsidP="006A35F1">
      <w:pPr>
        <w:spacing w:line="360" w:lineRule="auto"/>
        <w:ind w:firstLine="720"/>
        <w:jc w:val="both"/>
        <w:rPr>
          <w:lang w:val="es-ES"/>
        </w:rPr>
      </w:pPr>
      <w:r>
        <w:rPr>
          <w:lang w:val="es-ES"/>
        </w:rPr>
        <w:t xml:space="preserve">Luego del proceso de desarrollo, </w:t>
      </w:r>
      <w:r w:rsidR="00BF42D4">
        <w:rPr>
          <w:lang w:val="es-ES"/>
        </w:rPr>
        <w:t>cuatro (4)</w:t>
      </w:r>
      <w:r w:rsidR="00B811EE" w:rsidRPr="0044670C">
        <w:rPr>
          <w:lang w:val="es-ES"/>
        </w:rPr>
        <w:t xml:space="preserve"> jueces expertos </w:t>
      </w:r>
      <w:r>
        <w:rPr>
          <w:lang w:val="es-ES"/>
        </w:rPr>
        <w:t xml:space="preserve">facilitaron retroalimentación </w:t>
      </w:r>
      <w:r w:rsidR="00B811EE" w:rsidRPr="0044670C">
        <w:rPr>
          <w:lang w:val="es-ES"/>
        </w:rPr>
        <w:t xml:space="preserve">para la validación del contenido del instrumento. </w:t>
      </w:r>
      <w:r>
        <w:rPr>
          <w:lang w:val="es-ES"/>
        </w:rPr>
        <w:t>Eran</w:t>
      </w:r>
      <w:r w:rsidR="00B811EE" w:rsidRPr="0044670C">
        <w:rPr>
          <w:lang w:val="es-ES"/>
        </w:rPr>
        <w:t xml:space="preserve"> profesionales con un Doctorado en Filosofía </w:t>
      </w:r>
      <w:r w:rsidR="00B811EE" w:rsidRPr="0044670C">
        <w:rPr>
          <w:lang w:val="es-ES"/>
        </w:rPr>
        <w:lastRenderedPageBreak/>
        <w:t>(Ph.D.) o un Doctorado en Psicología (Psy.D.) con especialización en Psicología y con una licencia vigente de la Junta Examinadora de Psicólogos del Estado Libre Asociado de Puerto Rico</w:t>
      </w:r>
      <w:r w:rsidR="00281ADC">
        <w:rPr>
          <w:lang w:val="es-ES"/>
        </w:rPr>
        <w:t xml:space="preserve">. </w:t>
      </w:r>
      <w:r w:rsidRPr="006A35F1">
        <w:rPr>
          <w:lang w:val="es-ES"/>
        </w:rPr>
        <w:t>Con</w:t>
      </w:r>
      <w:r>
        <w:rPr>
          <w:lang w:val="es-ES"/>
        </w:rPr>
        <w:t xml:space="preserve"> una</w:t>
      </w:r>
      <w:r>
        <w:rPr>
          <w:b/>
          <w:bCs/>
          <w:i/>
          <w:iCs/>
          <w:lang w:val="es-ES"/>
        </w:rPr>
        <w:t xml:space="preserve"> </w:t>
      </w:r>
      <w:r w:rsidR="00B811EE" w:rsidRPr="0044670C">
        <w:rPr>
          <w:lang w:val="es-ES"/>
        </w:rPr>
        <w:t>Planilla de Revisión</w:t>
      </w:r>
      <w:r>
        <w:rPr>
          <w:lang w:val="es-ES"/>
        </w:rPr>
        <w:t>, evaluaron</w:t>
      </w:r>
      <w:r w:rsidR="00B811EE" w:rsidRPr="0044670C">
        <w:rPr>
          <w:lang w:val="es-ES"/>
        </w:rPr>
        <w:t xml:space="preserve"> </w:t>
      </w:r>
      <w:r>
        <w:rPr>
          <w:lang w:val="es-ES"/>
        </w:rPr>
        <w:t xml:space="preserve">los </w:t>
      </w:r>
      <w:r w:rsidR="00B811EE" w:rsidRPr="0044670C">
        <w:rPr>
          <w:lang w:val="es-ES"/>
        </w:rPr>
        <w:t xml:space="preserve">80 reactivos </w:t>
      </w:r>
      <w:r>
        <w:rPr>
          <w:lang w:val="es-ES"/>
        </w:rPr>
        <w:t>para</w:t>
      </w:r>
      <w:r w:rsidR="00B811EE" w:rsidRPr="0044670C">
        <w:rPr>
          <w:lang w:val="es-ES"/>
        </w:rPr>
        <w:t xml:space="preserve"> obtener la validez de contenido. </w:t>
      </w:r>
      <w:r>
        <w:rPr>
          <w:lang w:val="es-ES"/>
        </w:rPr>
        <w:t xml:space="preserve">Siguiendo la recomendación de </w:t>
      </w:r>
      <w:proofErr w:type="spellStart"/>
      <w:r>
        <w:rPr>
          <w:lang w:val="es-ES"/>
        </w:rPr>
        <w:t>Lawshe</w:t>
      </w:r>
      <w:proofErr w:type="spellEnd"/>
      <w:r>
        <w:rPr>
          <w:lang w:val="es-ES"/>
        </w:rPr>
        <w:t xml:space="preserve"> (1975), </w:t>
      </w:r>
      <w:r w:rsidR="00B811EE" w:rsidRPr="0044670C">
        <w:rPr>
          <w:lang w:val="es-ES"/>
        </w:rPr>
        <w:t>identificar</w:t>
      </w:r>
      <w:r>
        <w:rPr>
          <w:lang w:val="es-ES"/>
        </w:rPr>
        <w:t>on</w:t>
      </w:r>
      <w:r w:rsidR="00B811EE" w:rsidRPr="0044670C">
        <w:rPr>
          <w:lang w:val="es-ES"/>
        </w:rPr>
        <w:t xml:space="preserve"> si cada </w:t>
      </w:r>
      <w:r>
        <w:rPr>
          <w:lang w:val="es-ES"/>
        </w:rPr>
        <w:t xml:space="preserve">reactivo </w:t>
      </w:r>
      <w:r w:rsidR="00B811EE" w:rsidRPr="0044670C">
        <w:rPr>
          <w:lang w:val="es-ES"/>
        </w:rPr>
        <w:t xml:space="preserve">era esencial, útil/no indispensable o no esencial </w:t>
      </w:r>
      <w:r w:rsidR="001C657A" w:rsidRPr="0044670C">
        <w:rPr>
          <w:lang w:val="es-ES"/>
        </w:rPr>
        <w:t>de acuerdo con el</w:t>
      </w:r>
      <w:r w:rsidR="00B811EE" w:rsidRPr="0044670C">
        <w:rPr>
          <w:lang w:val="es-ES"/>
        </w:rPr>
        <w:t xml:space="preserve"> concepto de microagresiones</w:t>
      </w:r>
      <w:r w:rsidR="00576317">
        <w:rPr>
          <w:lang w:val="es-ES"/>
        </w:rPr>
        <w:t>.</w:t>
      </w:r>
    </w:p>
    <w:p w14:paraId="0989FE09" w14:textId="31FF9473" w:rsidR="002E6774" w:rsidRPr="0044670C" w:rsidRDefault="00B811EE" w:rsidP="005A6A31">
      <w:pPr>
        <w:spacing w:line="360" w:lineRule="auto"/>
        <w:jc w:val="both"/>
        <w:rPr>
          <w:lang w:val="es-ES"/>
        </w:rPr>
      </w:pPr>
      <w:r w:rsidRPr="0044670C">
        <w:rPr>
          <w:lang w:val="es-ES"/>
        </w:rPr>
        <w:tab/>
      </w:r>
      <w:r w:rsidR="00A44FDF">
        <w:rPr>
          <w:lang w:val="es-ES"/>
        </w:rPr>
        <w:t xml:space="preserve">Para evaluar la validez de contenido, utilizamos </w:t>
      </w:r>
      <w:r w:rsidRPr="0044670C">
        <w:rPr>
          <w:lang w:val="es-ES"/>
        </w:rPr>
        <w:t xml:space="preserve">la modificación </w:t>
      </w:r>
      <w:r w:rsidR="00895543">
        <w:rPr>
          <w:lang w:val="es-ES"/>
        </w:rPr>
        <w:t>de</w:t>
      </w:r>
      <w:r w:rsidRPr="0044670C">
        <w:rPr>
          <w:lang w:val="es-ES"/>
        </w:rPr>
        <w:t xml:space="preserve"> Tristán-López (2008) </w:t>
      </w:r>
      <w:r w:rsidR="00033EDF">
        <w:rPr>
          <w:lang w:val="es-ES"/>
        </w:rPr>
        <w:t>basados en la técnica de</w:t>
      </w:r>
      <w:r w:rsidRPr="0044670C">
        <w:rPr>
          <w:lang w:val="es-ES"/>
        </w:rPr>
        <w:t xml:space="preserve"> </w:t>
      </w:r>
      <w:proofErr w:type="spellStart"/>
      <w:r w:rsidRPr="0044670C">
        <w:rPr>
          <w:lang w:val="es-ES"/>
        </w:rPr>
        <w:t>Lawshe</w:t>
      </w:r>
      <w:proofErr w:type="spellEnd"/>
      <w:r w:rsidRPr="0044670C">
        <w:rPr>
          <w:lang w:val="es-ES"/>
        </w:rPr>
        <w:t xml:space="preserve"> (1975)</w:t>
      </w:r>
      <w:r w:rsidR="00033EDF">
        <w:rPr>
          <w:lang w:val="es-ES"/>
        </w:rPr>
        <w:t xml:space="preserve"> que</w:t>
      </w:r>
      <w:r w:rsidRPr="0044670C">
        <w:rPr>
          <w:lang w:val="es-ES"/>
        </w:rPr>
        <w:t xml:space="preserve"> permite realizar el análisis con menos de </w:t>
      </w:r>
      <w:r w:rsidR="00BF42D4">
        <w:rPr>
          <w:lang w:val="es-ES"/>
        </w:rPr>
        <w:t xml:space="preserve">siete </w:t>
      </w:r>
      <w:r w:rsidR="00033EDF">
        <w:rPr>
          <w:lang w:val="es-ES"/>
        </w:rPr>
        <w:t>jueces</w:t>
      </w:r>
      <w:r w:rsidRPr="0044670C">
        <w:rPr>
          <w:lang w:val="es-ES"/>
        </w:rPr>
        <w:t xml:space="preserve">. </w:t>
      </w:r>
      <w:r w:rsidR="00033EDF" w:rsidRPr="0044670C">
        <w:rPr>
          <w:lang w:val="es-ES"/>
        </w:rPr>
        <w:t xml:space="preserve">Aquellos que obtuvieron </w:t>
      </w:r>
      <w:r w:rsidR="00033EDF">
        <w:rPr>
          <w:lang w:val="es-ES"/>
        </w:rPr>
        <w:t xml:space="preserve">una </w:t>
      </w:r>
      <w:r w:rsidR="00033EDF" w:rsidRPr="0044670C">
        <w:rPr>
          <w:lang w:val="es-ES"/>
        </w:rPr>
        <w:t>Razón de Validez de Contenido (RVC) igual a 0.50 fueron revisados con el objetivo de mejorarlos o eliminarlos.</w:t>
      </w:r>
      <w:r w:rsidRPr="0044670C">
        <w:rPr>
          <w:lang w:val="es-ES"/>
        </w:rPr>
        <w:t xml:space="preserve"> </w:t>
      </w:r>
      <w:r w:rsidR="009E70FD" w:rsidRPr="006A35F1">
        <w:rPr>
          <w:lang w:val="es-ES"/>
        </w:rPr>
        <w:t>Los</w:t>
      </w:r>
      <w:r w:rsidRPr="002641C1">
        <w:rPr>
          <w:lang w:val="es-ES"/>
        </w:rPr>
        <w:t xml:space="preserve"> reactivos aceptables </w:t>
      </w:r>
      <w:r w:rsidR="002641C1" w:rsidRPr="006A35F1">
        <w:rPr>
          <w:lang w:val="es-ES"/>
        </w:rPr>
        <w:t>fueron</w:t>
      </w:r>
      <w:r w:rsidRPr="002641C1">
        <w:rPr>
          <w:lang w:val="es-ES"/>
        </w:rPr>
        <w:t xml:space="preserve"> aquellos con una RVC mayor o igual a 0.58</w:t>
      </w:r>
      <w:r w:rsidR="002641C1" w:rsidRPr="006A35F1">
        <w:rPr>
          <w:lang w:val="es-ES"/>
        </w:rPr>
        <w:t>, según los parámetros establecidos por Tristán-López (2008)</w:t>
      </w:r>
      <w:r w:rsidRPr="002641C1">
        <w:rPr>
          <w:lang w:val="es-ES"/>
        </w:rPr>
        <w:t>.</w:t>
      </w:r>
      <w:r w:rsidRPr="0044670C">
        <w:rPr>
          <w:lang w:val="es-ES"/>
        </w:rPr>
        <w:t xml:space="preserve"> </w:t>
      </w:r>
    </w:p>
    <w:p w14:paraId="4715CC69" w14:textId="0278A4D5" w:rsidR="00B811EE" w:rsidRPr="0044670C" w:rsidRDefault="00B811EE" w:rsidP="005A6A31">
      <w:pPr>
        <w:spacing w:line="360" w:lineRule="auto"/>
        <w:jc w:val="both"/>
        <w:rPr>
          <w:lang w:val="es-ES"/>
        </w:rPr>
      </w:pPr>
      <w:r w:rsidRPr="006A35F1">
        <w:rPr>
          <w:b/>
          <w:bCs/>
          <w:lang w:val="es-ES"/>
        </w:rPr>
        <w:t>Fase 2</w:t>
      </w:r>
      <w:r w:rsidR="00895543" w:rsidRPr="006A35F1">
        <w:rPr>
          <w:b/>
          <w:bCs/>
          <w:lang w:val="es-ES"/>
        </w:rPr>
        <w:t xml:space="preserve">: </w:t>
      </w:r>
      <w:r w:rsidRPr="006A35F1">
        <w:rPr>
          <w:b/>
          <w:bCs/>
          <w:lang w:val="es-ES"/>
        </w:rPr>
        <w:t xml:space="preserve">Administración de la escala </w:t>
      </w:r>
      <w:r w:rsidR="00895543" w:rsidRPr="006A35F1">
        <w:rPr>
          <w:b/>
          <w:bCs/>
          <w:lang w:val="es-ES"/>
        </w:rPr>
        <w:t>(</w:t>
      </w:r>
      <w:r w:rsidRPr="006A35F1">
        <w:rPr>
          <w:b/>
          <w:bCs/>
          <w:lang w:val="es-ES"/>
        </w:rPr>
        <w:t>Estudio piloto</w:t>
      </w:r>
      <w:r w:rsidR="00895543" w:rsidRPr="006A35F1">
        <w:rPr>
          <w:b/>
          <w:bCs/>
          <w:lang w:val="es-ES"/>
        </w:rPr>
        <w:t>)</w:t>
      </w:r>
    </w:p>
    <w:p w14:paraId="2A4FBB47" w14:textId="6958425D" w:rsidR="00B811EE" w:rsidRPr="006A35F1" w:rsidRDefault="00B811EE" w:rsidP="005A6A31">
      <w:pPr>
        <w:spacing w:line="360" w:lineRule="auto"/>
        <w:jc w:val="both"/>
        <w:rPr>
          <w:b/>
          <w:bCs/>
          <w:i/>
          <w:iCs/>
          <w:lang w:val="es-ES"/>
        </w:rPr>
      </w:pPr>
      <w:r w:rsidRPr="006A35F1">
        <w:rPr>
          <w:b/>
          <w:bCs/>
          <w:i/>
          <w:iCs/>
          <w:lang w:val="es-ES"/>
        </w:rPr>
        <w:t>Partic</w:t>
      </w:r>
      <w:r w:rsidR="009E70FD" w:rsidRPr="006A35F1">
        <w:rPr>
          <w:b/>
          <w:bCs/>
          <w:i/>
          <w:iCs/>
          <w:lang w:val="es-ES"/>
        </w:rPr>
        <w:t>i</w:t>
      </w:r>
      <w:r w:rsidRPr="006A35F1">
        <w:rPr>
          <w:b/>
          <w:bCs/>
          <w:i/>
          <w:iCs/>
          <w:lang w:val="es-ES"/>
        </w:rPr>
        <w:t>pantes</w:t>
      </w:r>
      <w:r w:rsidRPr="006A35F1">
        <w:rPr>
          <w:b/>
          <w:bCs/>
          <w:i/>
          <w:iCs/>
          <w:lang w:val="es-ES"/>
        </w:rPr>
        <w:tab/>
      </w:r>
    </w:p>
    <w:p w14:paraId="43B1D21A" w14:textId="4E0F4BA8" w:rsidR="003D000D" w:rsidRPr="0044670C" w:rsidRDefault="009E70FD" w:rsidP="003D000D">
      <w:pPr>
        <w:spacing w:line="360" w:lineRule="auto"/>
        <w:ind w:firstLine="720"/>
        <w:jc w:val="both"/>
        <w:rPr>
          <w:b/>
          <w:bCs/>
          <w:i/>
          <w:iCs/>
          <w:lang w:val="es-ES"/>
        </w:rPr>
      </w:pPr>
      <w:r>
        <w:rPr>
          <w:lang w:val="es-ES"/>
        </w:rPr>
        <w:t>Para la segunda fase</w:t>
      </w:r>
      <w:r w:rsidR="00D53D40">
        <w:rPr>
          <w:lang w:val="es-ES"/>
        </w:rPr>
        <w:t xml:space="preserve">, </w:t>
      </w:r>
      <w:r w:rsidR="00B811EE" w:rsidRPr="0044670C">
        <w:rPr>
          <w:lang w:val="es-ES"/>
        </w:rPr>
        <w:t>392 participantes completaron la hoja de consentimiento. De estas 392 personas, 227 personas cumplieron con los requisitos de inclusión</w:t>
      </w:r>
      <w:r w:rsidR="00B811EE">
        <w:rPr>
          <w:lang w:val="es-ES"/>
        </w:rPr>
        <w:t xml:space="preserve"> </w:t>
      </w:r>
      <w:r w:rsidR="00B811EE" w:rsidRPr="0044670C">
        <w:rPr>
          <w:lang w:val="es-ES"/>
        </w:rPr>
        <w:t xml:space="preserve">y completaron la </w:t>
      </w:r>
      <w:r w:rsidR="00B811EE">
        <w:rPr>
          <w:lang w:val="es-ES"/>
        </w:rPr>
        <w:t>escala</w:t>
      </w:r>
      <w:r w:rsidR="00B811EE" w:rsidRPr="0044670C">
        <w:rPr>
          <w:lang w:val="es-ES"/>
        </w:rPr>
        <w:t xml:space="preserve"> </w:t>
      </w:r>
      <w:r w:rsidR="00880CC8">
        <w:rPr>
          <w:lang w:val="es-ES"/>
        </w:rPr>
        <w:t xml:space="preserve">en </w:t>
      </w:r>
      <w:r w:rsidR="00B811EE" w:rsidRPr="0044670C">
        <w:rPr>
          <w:lang w:val="es-ES"/>
        </w:rPr>
        <w:t xml:space="preserve">su totalidad. </w:t>
      </w:r>
      <w:r w:rsidR="003D000D">
        <w:t>Los criterios de inclusión fueron: 1) ser puertorriqueño/a y residir en el país, 2) ser ateo/a, 3) tener 21 años o más, 4) poder leer y escribir en español</w:t>
      </w:r>
      <w:r w:rsidR="00BF42D4">
        <w:t>,</w:t>
      </w:r>
      <w:r w:rsidR="003D000D">
        <w:t xml:space="preserve"> y 5) tener acceso a internet. Los criterios de exclusión fueron: 1) tener menos de 21 años, 2) no ser puertorriqueño/a, 3) practicar una religión o creer en Dios/Dioses, 4) residir fuera de Puerto Rico, 5) no poder leer y escribir en español</w:t>
      </w:r>
      <w:r w:rsidR="00BF42D4">
        <w:t>,</w:t>
      </w:r>
      <w:r w:rsidR="003D000D">
        <w:t xml:space="preserve"> y 6) no tener acceso a internet.</w:t>
      </w:r>
    </w:p>
    <w:p w14:paraId="21BBBFFC" w14:textId="3EADA4FD" w:rsidR="005374B2" w:rsidRDefault="00B811EE" w:rsidP="006A35F1">
      <w:pPr>
        <w:spacing w:line="360" w:lineRule="auto"/>
        <w:jc w:val="both"/>
        <w:rPr>
          <w:lang w:val="es-ES"/>
        </w:rPr>
      </w:pPr>
      <w:r w:rsidRPr="006A35F1">
        <w:rPr>
          <w:b/>
          <w:bCs/>
          <w:i/>
          <w:iCs/>
          <w:lang w:val="es-ES"/>
        </w:rPr>
        <w:t xml:space="preserve">Reclutamiento de </w:t>
      </w:r>
      <w:r w:rsidR="00D53D40">
        <w:rPr>
          <w:b/>
          <w:bCs/>
          <w:i/>
          <w:iCs/>
          <w:lang w:val="es-ES"/>
        </w:rPr>
        <w:t>p</w:t>
      </w:r>
      <w:r w:rsidRPr="006A35F1">
        <w:rPr>
          <w:b/>
          <w:bCs/>
          <w:i/>
          <w:iCs/>
          <w:lang w:val="es-ES"/>
        </w:rPr>
        <w:t>articipantes</w:t>
      </w:r>
      <w:r w:rsidR="00D53D40" w:rsidRPr="006A35F1">
        <w:rPr>
          <w:b/>
          <w:bCs/>
          <w:lang w:val="es-ES"/>
        </w:rPr>
        <w:t xml:space="preserve"> y </w:t>
      </w:r>
      <w:r w:rsidR="00D53D40">
        <w:rPr>
          <w:b/>
          <w:bCs/>
          <w:i/>
          <w:iCs/>
          <w:lang w:val="es-ES"/>
        </w:rPr>
        <w:t>p</w:t>
      </w:r>
      <w:r w:rsidR="009E70FD">
        <w:rPr>
          <w:b/>
          <w:bCs/>
          <w:i/>
          <w:iCs/>
          <w:lang w:val="es-ES"/>
        </w:rPr>
        <w:t>rocedimientos</w:t>
      </w:r>
    </w:p>
    <w:p w14:paraId="118E3DDE" w14:textId="1FE4A2E9" w:rsidR="00BF42D4" w:rsidRPr="00717D13" w:rsidRDefault="00115DF8" w:rsidP="00717D13">
      <w:pPr>
        <w:spacing w:line="360" w:lineRule="auto"/>
        <w:ind w:firstLine="720"/>
        <w:jc w:val="both"/>
        <w:rPr>
          <w:b/>
          <w:bCs/>
          <w:i/>
          <w:iCs/>
          <w:lang w:val="es-ES"/>
        </w:rPr>
      </w:pPr>
      <w:r>
        <w:rPr>
          <w:lang w:val="es-ES"/>
        </w:rPr>
        <w:t>U</w:t>
      </w:r>
      <w:r w:rsidR="005374B2" w:rsidRPr="0044670C">
        <w:rPr>
          <w:lang w:val="es-ES"/>
        </w:rPr>
        <w:t>tiliza</w:t>
      </w:r>
      <w:r w:rsidR="005374B2">
        <w:rPr>
          <w:lang w:val="es-ES"/>
        </w:rPr>
        <w:t>mos</w:t>
      </w:r>
      <w:r w:rsidR="005374B2" w:rsidRPr="0044670C">
        <w:rPr>
          <w:lang w:val="es-ES"/>
        </w:rPr>
        <w:t xml:space="preserve"> un muestreo de tipo no probabilístico</w:t>
      </w:r>
      <w:r w:rsidR="005374B2">
        <w:rPr>
          <w:lang w:val="es-ES"/>
        </w:rPr>
        <w:t xml:space="preserve"> para reclutar a los participantes, específicamente el muestreo de</w:t>
      </w:r>
      <w:r w:rsidR="005374B2" w:rsidRPr="0044670C">
        <w:rPr>
          <w:lang w:val="es-ES"/>
        </w:rPr>
        <w:t xml:space="preserve"> cadena o por redes (“bola de nieve”)</w:t>
      </w:r>
      <w:r w:rsidR="005374B2">
        <w:rPr>
          <w:lang w:val="es-ES"/>
        </w:rPr>
        <w:t xml:space="preserve"> para promover el estudio </w:t>
      </w:r>
      <w:r w:rsidR="005374B2" w:rsidRPr="006A35F1">
        <w:rPr>
          <w:lang w:val="es-ES"/>
        </w:rPr>
        <w:t>(</w:t>
      </w:r>
      <w:r w:rsidR="00831184" w:rsidRPr="00831184">
        <w:rPr>
          <w:lang w:val="es-ES"/>
        </w:rPr>
        <w:t>Hernández</w:t>
      </w:r>
      <w:r w:rsidRPr="006A35F1">
        <w:rPr>
          <w:lang w:val="es-ES"/>
        </w:rPr>
        <w:t>-Sampieri &amp; Mendoza, 2018</w:t>
      </w:r>
      <w:r w:rsidR="005374B2" w:rsidRPr="006A35F1">
        <w:rPr>
          <w:lang w:val="es-ES"/>
        </w:rPr>
        <w:t>).</w:t>
      </w:r>
      <w:r w:rsidR="009917EC">
        <w:rPr>
          <w:lang w:val="es-ES"/>
        </w:rPr>
        <w:t xml:space="preserve"> </w:t>
      </w:r>
      <w:r w:rsidR="005374B2">
        <w:rPr>
          <w:lang w:val="es-ES"/>
        </w:rPr>
        <w:t>Reclutamos a los participantes de dos formas: promoci</w:t>
      </w:r>
      <w:r w:rsidR="009917EC">
        <w:rPr>
          <w:lang w:val="es-ES"/>
        </w:rPr>
        <w:t>ón</w:t>
      </w:r>
      <w:r w:rsidR="005374B2">
        <w:rPr>
          <w:lang w:val="es-ES"/>
        </w:rPr>
        <w:t xml:space="preserve"> </w:t>
      </w:r>
      <w:r w:rsidR="005374B2" w:rsidRPr="0044670C">
        <w:rPr>
          <w:lang w:val="es-ES"/>
        </w:rPr>
        <w:t>a través de redes sociale</w:t>
      </w:r>
      <w:r w:rsidR="009917EC">
        <w:rPr>
          <w:lang w:val="es-ES"/>
        </w:rPr>
        <w:t xml:space="preserve">s </w:t>
      </w:r>
      <w:r w:rsidR="005374B2" w:rsidRPr="0044670C">
        <w:rPr>
          <w:lang w:val="es-ES"/>
        </w:rPr>
        <w:t xml:space="preserve">como Facebook, Instagram y la plataforma Reddit </w:t>
      </w:r>
      <w:r w:rsidR="005374B2">
        <w:rPr>
          <w:lang w:val="es-ES"/>
        </w:rPr>
        <w:t xml:space="preserve">y promoción en un grupo de </w:t>
      </w:r>
      <w:r w:rsidR="005374B2" w:rsidRPr="0044670C">
        <w:rPr>
          <w:lang w:val="es-ES"/>
        </w:rPr>
        <w:t>una asociación de ateístas en Puerto R</w:t>
      </w:r>
      <w:r w:rsidR="005374B2">
        <w:rPr>
          <w:lang w:val="es-ES"/>
        </w:rPr>
        <w:t xml:space="preserve">ico. </w:t>
      </w:r>
      <w:r w:rsidR="009917EC">
        <w:rPr>
          <w:lang w:val="es-ES"/>
        </w:rPr>
        <w:t>La</w:t>
      </w:r>
      <w:r w:rsidR="005374B2">
        <w:rPr>
          <w:lang w:val="es-ES"/>
        </w:rPr>
        <w:t>s personas interesadas</w:t>
      </w:r>
      <w:r w:rsidR="005374B2" w:rsidRPr="0044670C">
        <w:rPr>
          <w:lang w:val="es-ES"/>
        </w:rPr>
        <w:t xml:space="preserve"> </w:t>
      </w:r>
      <w:r w:rsidR="005374B2">
        <w:rPr>
          <w:lang w:val="es-ES"/>
        </w:rPr>
        <w:t xml:space="preserve">accedían a la plataforma </w:t>
      </w:r>
      <w:proofErr w:type="spellStart"/>
      <w:r w:rsidR="005374B2">
        <w:rPr>
          <w:lang w:val="es-ES"/>
        </w:rPr>
        <w:t>PsychData</w:t>
      </w:r>
      <w:proofErr w:type="spellEnd"/>
      <w:r w:rsidR="005374B2">
        <w:rPr>
          <w:lang w:val="es-ES"/>
        </w:rPr>
        <w:t xml:space="preserve"> que es conocida por su seguridad y protección de los datos.</w:t>
      </w:r>
    </w:p>
    <w:p w14:paraId="146A4288" w14:textId="77777777" w:rsidR="00717D13" w:rsidRDefault="00B811EE" w:rsidP="00717D13">
      <w:pPr>
        <w:spacing w:line="360" w:lineRule="auto"/>
        <w:jc w:val="both"/>
        <w:rPr>
          <w:b/>
          <w:bCs/>
          <w:i/>
          <w:iCs/>
          <w:lang w:val="es-ES"/>
        </w:rPr>
      </w:pPr>
      <w:r w:rsidRPr="00C7510F">
        <w:rPr>
          <w:b/>
          <w:bCs/>
          <w:i/>
          <w:iCs/>
          <w:lang w:val="es-ES"/>
        </w:rPr>
        <w:t>Instrumentos</w:t>
      </w:r>
    </w:p>
    <w:p w14:paraId="4600E7AC" w14:textId="41848835" w:rsidR="00B811EE" w:rsidRPr="00717D13" w:rsidRDefault="00B811EE" w:rsidP="00717D13">
      <w:pPr>
        <w:spacing w:line="360" w:lineRule="auto"/>
        <w:jc w:val="both"/>
        <w:rPr>
          <w:b/>
          <w:bCs/>
          <w:i/>
          <w:iCs/>
          <w:lang w:val="es-ES"/>
        </w:rPr>
      </w:pPr>
      <w:r w:rsidRPr="006A35F1">
        <w:rPr>
          <w:b/>
          <w:bCs/>
          <w:i/>
          <w:iCs/>
          <w:lang w:val="es-ES"/>
        </w:rPr>
        <w:t>Hoja de Datos Sociodemográficos</w:t>
      </w:r>
      <w:r w:rsidR="00530BF6">
        <w:rPr>
          <w:lang w:val="es-ES"/>
        </w:rPr>
        <w:t xml:space="preserve">. Esta </w:t>
      </w:r>
      <w:r w:rsidRPr="0044670C">
        <w:rPr>
          <w:lang w:val="es-ES"/>
        </w:rPr>
        <w:t>hoja permitió recopilar información sociodemográfica, como la edad, identidad de género</w:t>
      </w:r>
      <w:r>
        <w:rPr>
          <w:lang w:val="es-ES"/>
        </w:rPr>
        <w:t xml:space="preserve"> </w:t>
      </w:r>
      <w:r w:rsidR="00530BF6">
        <w:rPr>
          <w:lang w:val="es-ES"/>
        </w:rPr>
        <w:t xml:space="preserve">y </w:t>
      </w:r>
      <w:r>
        <w:rPr>
          <w:lang w:val="es-ES"/>
        </w:rPr>
        <w:t xml:space="preserve">escolaridad, </w:t>
      </w:r>
      <w:r w:rsidR="00530BF6">
        <w:rPr>
          <w:lang w:val="es-ES"/>
        </w:rPr>
        <w:t>así como desde cuando</w:t>
      </w:r>
      <w:r w:rsidRPr="0044670C">
        <w:rPr>
          <w:lang w:val="es-ES"/>
        </w:rPr>
        <w:t xml:space="preserve"> se identifica como persona atea</w:t>
      </w:r>
      <w:r w:rsidR="00530BF6">
        <w:rPr>
          <w:lang w:val="es-ES"/>
        </w:rPr>
        <w:t>.</w:t>
      </w:r>
      <w:r w:rsidRPr="0044670C">
        <w:rPr>
          <w:lang w:val="es-ES"/>
        </w:rPr>
        <w:t xml:space="preserve"> </w:t>
      </w:r>
    </w:p>
    <w:p w14:paraId="30A5A3DB" w14:textId="12EB9D0A" w:rsidR="00B811EE" w:rsidRPr="0044670C" w:rsidRDefault="00B811EE" w:rsidP="005374B2">
      <w:pPr>
        <w:spacing w:line="360" w:lineRule="auto"/>
        <w:ind w:firstLine="720"/>
        <w:jc w:val="both"/>
        <w:rPr>
          <w:lang w:val="es-ES"/>
        </w:rPr>
      </w:pPr>
      <w:r w:rsidRPr="006A35F1">
        <w:rPr>
          <w:b/>
          <w:bCs/>
          <w:i/>
          <w:iCs/>
          <w:lang w:val="es-ES"/>
        </w:rPr>
        <w:lastRenderedPageBreak/>
        <w:t>Escala de microagresiones hacia personas ateas</w:t>
      </w:r>
      <w:r w:rsidR="00C7510F" w:rsidRPr="006A35F1">
        <w:rPr>
          <w:b/>
          <w:bCs/>
          <w:i/>
          <w:iCs/>
          <w:lang w:val="es-ES"/>
        </w:rPr>
        <w:t xml:space="preserve"> (EMPA)</w:t>
      </w:r>
      <w:r w:rsidR="00530BF6">
        <w:rPr>
          <w:lang w:val="es-ES"/>
        </w:rPr>
        <w:t xml:space="preserve">. La </w:t>
      </w:r>
      <w:r w:rsidRPr="0044670C">
        <w:rPr>
          <w:lang w:val="es-ES"/>
        </w:rPr>
        <w:t xml:space="preserve">EMPA </w:t>
      </w:r>
      <w:r w:rsidR="005374B2">
        <w:rPr>
          <w:lang w:val="es-ES"/>
        </w:rPr>
        <w:t>permite</w:t>
      </w:r>
      <w:r w:rsidRPr="0044670C">
        <w:rPr>
          <w:lang w:val="es-ES"/>
        </w:rPr>
        <w:t xml:space="preserve"> evaluar </w:t>
      </w:r>
      <w:r w:rsidR="005374B2">
        <w:rPr>
          <w:lang w:val="es-ES"/>
        </w:rPr>
        <w:t>las</w:t>
      </w:r>
      <w:r w:rsidRPr="0044670C">
        <w:rPr>
          <w:lang w:val="es-ES"/>
        </w:rPr>
        <w:t xml:space="preserve"> experiencias de microagresiones</w:t>
      </w:r>
      <w:r w:rsidR="005374B2">
        <w:rPr>
          <w:lang w:val="es-ES"/>
        </w:rPr>
        <w:t xml:space="preserve"> de personas ateas</w:t>
      </w:r>
      <w:r w:rsidRPr="0044670C">
        <w:rPr>
          <w:lang w:val="es-ES"/>
        </w:rPr>
        <w:t xml:space="preserve">. </w:t>
      </w:r>
      <w:r w:rsidR="005374B2">
        <w:rPr>
          <w:lang w:val="es-ES"/>
        </w:rPr>
        <w:t xml:space="preserve">La misma consta de </w:t>
      </w:r>
      <w:r w:rsidR="00D53D40">
        <w:rPr>
          <w:lang w:val="es-ES"/>
        </w:rPr>
        <w:t>62</w:t>
      </w:r>
      <w:r w:rsidR="005374B2">
        <w:rPr>
          <w:lang w:val="es-ES"/>
        </w:rPr>
        <w:t xml:space="preserve"> reactivos con una escala </w:t>
      </w:r>
      <w:r w:rsidR="00086E5F" w:rsidRPr="0044670C">
        <w:rPr>
          <w:lang w:val="es-ES"/>
        </w:rPr>
        <w:t xml:space="preserve">de tipo Likert de </w:t>
      </w:r>
      <w:r w:rsidR="00BF42D4">
        <w:rPr>
          <w:lang w:val="es-ES"/>
        </w:rPr>
        <w:t>cinco (</w:t>
      </w:r>
      <w:r w:rsidR="00086E5F" w:rsidRPr="0044670C">
        <w:rPr>
          <w:lang w:val="es-ES"/>
        </w:rPr>
        <w:t>5</w:t>
      </w:r>
      <w:r w:rsidR="00BF42D4">
        <w:rPr>
          <w:lang w:val="es-ES"/>
        </w:rPr>
        <w:t>)</w:t>
      </w:r>
      <w:r w:rsidR="00086E5F" w:rsidRPr="0044670C">
        <w:rPr>
          <w:lang w:val="es-ES"/>
        </w:rPr>
        <w:t xml:space="preserve"> puntos categorizados </w:t>
      </w:r>
      <w:r w:rsidR="00D53D40">
        <w:rPr>
          <w:lang w:val="es-ES"/>
        </w:rPr>
        <w:t>en</w:t>
      </w:r>
      <w:r w:rsidR="00086E5F" w:rsidRPr="0044670C">
        <w:rPr>
          <w:lang w:val="es-ES"/>
        </w:rPr>
        <w:t xml:space="preserve"> seis subescalas</w:t>
      </w:r>
      <w:r w:rsidR="00FD34FD">
        <w:rPr>
          <w:lang w:val="es-ES"/>
        </w:rPr>
        <w:t xml:space="preserve"> que le pregunta las personas si les ha ocurrido y si la</w:t>
      </w:r>
      <w:r w:rsidR="00B16B69">
        <w:rPr>
          <w:lang w:val="es-ES"/>
        </w:rPr>
        <w:t>s</w:t>
      </w:r>
      <w:r w:rsidR="00FD34FD">
        <w:rPr>
          <w:lang w:val="es-ES"/>
        </w:rPr>
        <w:t xml:space="preserve"> misma</w:t>
      </w:r>
      <w:r w:rsidR="00B16B69">
        <w:rPr>
          <w:lang w:val="es-ES"/>
        </w:rPr>
        <w:t>s</w:t>
      </w:r>
      <w:r w:rsidR="00FD34FD">
        <w:rPr>
          <w:lang w:val="es-ES"/>
        </w:rPr>
        <w:t xml:space="preserve"> le</w:t>
      </w:r>
      <w:r w:rsidR="00B16B69">
        <w:rPr>
          <w:lang w:val="es-ES"/>
        </w:rPr>
        <w:t>s</w:t>
      </w:r>
      <w:r w:rsidR="00FD34FD">
        <w:rPr>
          <w:lang w:val="es-ES"/>
        </w:rPr>
        <w:t xml:space="preserve"> causó molestia de leve a severa. </w:t>
      </w:r>
    </w:p>
    <w:p w14:paraId="5D8BDF8D" w14:textId="0BEE9FD5" w:rsidR="00B811EE" w:rsidRPr="006A35F1" w:rsidRDefault="00B811EE" w:rsidP="005A6A31">
      <w:pPr>
        <w:spacing w:line="360" w:lineRule="auto"/>
        <w:jc w:val="both"/>
        <w:rPr>
          <w:b/>
          <w:bCs/>
          <w:i/>
          <w:iCs/>
          <w:lang w:val="es-ES"/>
        </w:rPr>
      </w:pPr>
      <w:r w:rsidRPr="006A35F1">
        <w:rPr>
          <w:b/>
          <w:bCs/>
          <w:i/>
          <w:iCs/>
          <w:lang w:val="es-ES"/>
        </w:rPr>
        <w:t xml:space="preserve">Diseño </w:t>
      </w:r>
      <w:r w:rsidR="005374B2">
        <w:rPr>
          <w:b/>
          <w:bCs/>
          <w:i/>
          <w:iCs/>
          <w:lang w:val="es-ES"/>
        </w:rPr>
        <w:t>de investigación</w:t>
      </w:r>
    </w:p>
    <w:p w14:paraId="5A0BF9A4" w14:textId="6993BAC3" w:rsidR="00B811EE" w:rsidRPr="0044670C" w:rsidRDefault="00B811EE" w:rsidP="005A6A31">
      <w:pPr>
        <w:spacing w:line="360" w:lineRule="auto"/>
        <w:ind w:firstLine="720"/>
        <w:jc w:val="both"/>
        <w:rPr>
          <w:lang w:val="es-ES"/>
        </w:rPr>
      </w:pPr>
      <w:r w:rsidRPr="0044670C">
        <w:rPr>
          <w:lang w:val="es-ES"/>
        </w:rPr>
        <w:t>El diseño de la fase de administración fue transversal</w:t>
      </w:r>
      <w:r w:rsidR="005374B2">
        <w:rPr>
          <w:lang w:val="es-ES"/>
        </w:rPr>
        <w:t xml:space="preserve"> con alcance exploratorio</w:t>
      </w:r>
      <w:r w:rsidRPr="0044670C">
        <w:rPr>
          <w:lang w:val="es-ES"/>
        </w:rPr>
        <w:t xml:space="preserve"> porque se recolectaron los datos en un momento </w:t>
      </w:r>
      <w:r w:rsidR="009917EC">
        <w:rPr>
          <w:lang w:val="es-ES"/>
        </w:rPr>
        <w:t>específico</w:t>
      </w:r>
      <w:r w:rsidRPr="0044670C">
        <w:rPr>
          <w:lang w:val="es-ES"/>
        </w:rPr>
        <w:t xml:space="preserve"> y entre sus propósitos se incluía el estudiar un fenómeno, situación, evento o comunidad </w:t>
      </w:r>
      <w:r w:rsidRPr="0044670C">
        <w:rPr>
          <w:lang w:val="es-ES"/>
        </w:rPr>
        <w:fldChar w:fldCharType="begin" w:fldLock="1"/>
      </w:r>
      <w:r w:rsidRPr="0044670C">
        <w:rPr>
          <w:lang w:val="es-ES"/>
        </w:rPr>
        <w:instrText>ADDIN CSL_CITATION {"citationItems":[{"id":"ITEM-1","itemData":{"author":[{"dropping-particle":"","family":"Hernández-Sampieri","given":"R","non-dropping-particle":"","parse-names":false,"suffix":""},{"dropping-particle":"","family":"Mendoza","given":"C","non-dropping-particle":"","parse-names":false,"suffix":""}],"id":"ITEM-1","issued":{"date-parts":[["2018"]]},"publisher":"McGraw Hill","publisher-place":"México","title":"Metodología de la investigación. Las rutas cuantitativa, cualitativa y mixta","type":"book"},"uris":["http://www.mendeley.com/documents/?uuid=35adadef-9a55-4c55-b21a-935070396220"]}],"mendeley":{"formattedCitation":"(Hernández-Sampieri &amp; Mendoza, 2018)","plainTextFormattedCitation":"(Hernández-Sampieri &amp; Mendoza, 2018)","previouslyFormattedCitation":"(Hernández-Sampieri &amp; Mendoza, 2018)"},"properties":{"noteIndex":0},"schema":"https://github.com/citation-style-language/schema/raw/master/csl-citation.json"}</w:instrText>
      </w:r>
      <w:r w:rsidRPr="0044670C">
        <w:rPr>
          <w:lang w:val="es-ES"/>
        </w:rPr>
        <w:fldChar w:fldCharType="separate"/>
      </w:r>
      <w:r w:rsidRPr="0044670C">
        <w:rPr>
          <w:lang w:val="es-ES"/>
        </w:rPr>
        <w:t>(Hernández-Sampieri &amp; Mendoza, 2018)</w:t>
      </w:r>
      <w:r w:rsidRPr="0044670C">
        <w:rPr>
          <w:lang w:val="es-ES"/>
        </w:rPr>
        <w:fldChar w:fldCharType="end"/>
      </w:r>
      <w:r w:rsidRPr="0044670C">
        <w:rPr>
          <w:lang w:val="es-ES"/>
        </w:rPr>
        <w:t xml:space="preserve">. </w:t>
      </w:r>
    </w:p>
    <w:p w14:paraId="1874E51E" w14:textId="77777777" w:rsidR="00B811EE" w:rsidRPr="00C7510F" w:rsidRDefault="00B811EE" w:rsidP="005A6A31">
      <w:pPr>
        <w:spacing w:line="360" w:lineRule="auto"/>
        <w:jc w:val="both"/>
        <w:rPr>
          <w:b/>
          <w:bCs/>
          <w:i/>
          <w:iCs/>
          <w:lang w:val="es-ES"/>
        </w:rPr>
      </w:pPr>
      <w:r w:rsidRPr="00C7510F">
        <w:rPr>
          <w:b/>
          <w:bCs/>
          <w:i/>
          <w:iCs/>
          <w:lang w:val="es-ES"/>
        </w:rPr>
        <w:t xml:space="preserve">Análisis Estadístico </w:t>
      </w:r>
    </w:p>
    <w:p w14:paraId="57866FE3" w14:textId="59375FD1" w:rsidR="00B811EE" w:rsidRDefault="00B811EE" w:rsidP="005A6A31">
      <w:pPr>
        <w:spacing w:line="360" w:lineRule="auto"/>
        <w:jc w:val="both"/>
        <w:rPr>
          <w:lang w:val="es-ES"/>
        </w:rPr>
      </w:pPr>
      <w:r w:rsidRPr="0044670C">
        <w:rPr>
          <w:lang w:val="es-ES"/>
        </w:rPr>
        <w:tab/>
      </w:r>
      <w:r w:rsidRPr="00444D92">
        <w:rPr>
          <w:lang w:val="es-ES"/>
        </w:rPr>
        <w:t xml:space="preserve">El análisis de datos consistió en llevar a cabo un análisis de factores exploratorio </w:t>
      </w:r>
      <w:r w:rsidR="00213EC3">
        <w:rPr>
          <w:lang w:val="es-ES"/>
        </w:rPr>
        <w:t>para</w:t>
      </w:r>
      <w:r w:rsidR="00444D92" w:rsidRPr="006A35F1">
        <w:rPr>
          <w:lang w:val="es-ES"/>
        </w:rPr>
        <w:t xml:space="preserve"> observar la carga factorial de la escala y</w:t>
      </w:r>
      <w:r w:rsidRPr="00444D92">
        <w:rPr>
          <w:lang w:val="es-ES"/>
        </w:rPr>
        <w:t xml:space="preserve"> reducir la matriz de reactivos.</w:t>
      </w:r>
      <w:r w:rsidRPr="0044670C">
        <w:rPr>
          <w:lang w:val="es-ES"/>
        </w:rPr>
        <w:t xml:space="preserve"> A su vez, se evaluó la confiabilidad preliminar del instrumento</w:t>
      </w:r>
      <w:r w:rsidR="00576317">
        <w:rPr>
          <w:lang w:val="es-ES"/>
        </w:rPr>
        <w:t xml:space="preserve">. </w:t>
      </w:r>
      <w:r w:rsidRPr="0044670C">
        <w:rPr>
          <w:lang w:val="es-ES"/>
        </w:rPr>
        <w:t xml:space="preserve">Ambos procesos fueron completados en el programa de análisis estadístico </w:t>
      </w:r>
      <w:proofErr w:type="spellStart"/>
      <w:r w:rsidRPr="00305FC1">
        <w:rPr>
          <w:lang w:val="es-ES"/>
        </w:rPr>
        <w:t>Statistical</w:t>
      </w:r>
      <w:proofErr w:type="spellEnd"/>
      <w:r w:rsidRPr="00305FC1">
        <w:rPr>
          <w:lang w:val="es-ES"/>
        </w:rPr>
        <w:t xml:space="preserve"> </w:t>
      </w:r>
      <w:proofErr w:type="spellStart"/>
      <w:r w:rsidRPr="00305FC1">
        <w:rPr>
          <w:lang w:val="es-ES"/>
        </w:rPr>
        <w:t>Package</w:t>
      </w:r>
      <w:proofErr w:type="spellEnd"/>
      <w:r w:rsidRPr="00305FC1">
        <w:rPr>
          <w:lang w:val="es-ES"/>
        </w:rPr>
        <w:t xml:space="preserve"> </w:t>
      </w:r>
      <w:proofErr w:type="spellStart"/>
      <w:r w:rsidRPr="00305FC1">
        <w:rPr>
          <w:lang w:val="es-ES"/>
        </w:rPr>
        <w:t>for</w:t>
      </w:r>
      <w:proofErr w:type="spellEnd"/>
      <w:r w:rsidRPr="00305FC1">
        <w:rPr>
          <w:lang w:val="es-ES"/>
        </w:rPr>
        <w:t xml:space="preserve"> </w:t>
      </w:r>
      <w:proofErr w:type="spellStart"/>
      <w:r w:rsidRPr="00305FC1">
        <w:rPr>
          <w:lang w:val="es-ES"/>
        </w:rPr>
        <w:t>the</w:t>
      </w:r>
      <w:proofErr w:type="spellEnd"/>
      <w:r w:rsidRPr="00305FC1">
        <w:rPr>
          <w:lang w:val="es-ES"/>
        </w:rPr>
        <w:t xml:space="preserve"> Social </w:t>
      </w:r>
      <w:proofErr w:type="spellStart"/>
      <w:r w:rsidRPr="00305FC1">
        <w:rPr>
          <w:lang w:val="es-ES"/>
        </w:rPr>
        <w:t>Sciences</w:t>
      </w:r>
      <w:proofErr w:type="spellEnd"/>
      <w:r w:rsidRPr="00305FC1">
        <w:rPr>
          <w:lang w:val="es-ES"/>
        </w:rPr>
        <w:t xml:space="preserve">, </w:t>
      </w:r>
      <w:r w:rsidR="004F32B1">
        <w:rPr>
          <w:lang w:val="es-ES"/>
        </w:rPr>
        <w:t xml:space="preserve">versión </w:t>
      </w:r>
      <w:r w:rsidRPr="00305FC1">
        <w:rPr>
          <w:lang w:val="es-ES"/>
        </w:rPr>
        <w:t>2</w:t>
      </w:r>
      <w:r w:rsidR="004F32B1">
        <w:rPr>
          <w:lang w:val="es-ES"/>
        </w:rPr>
        <w:t>9.0.1</w:t>
      </w:r>
      <w:r w:rsidRPr="00305FC1">
        <w:rPr>
          <w:lang w:val="es-ES"/>
        </w:rPr>
        <w:t>.</w:t>
      </w:r>
      <w:r w:rsidRPr="0044670C">
        <w:rPr>
          <w:lang w:val="es-ES"/>
        </w:rPr>
        <w:t xml:space="preserve"> Para medir </w:t>
      </w:r>
      <w:r w:rsidR="000C08E9">
        <w:rPr>
          <w:lang w:val="es-ES"/>
        </w:rPr>
        <w:t>la consistencia interna</w:t>
      </w:r>
      <w:r w:rsidRPr="0044670C">
        <w:rPr>
          <w:lang w:val="es-ES"/>
        </w:rPr>
        <w:t xml:space="preserve">, utilizamos el Coeficiente Alfa de Cronbach entre las dimensiones de la escala y la </w:t>
      </w:r>
      <w:r w:rsidR="009E5EBB" w:rsidRPr="0044670C">
        <w:rPr>
          <w:lang w:val="es-ES"/>
        </w:rPr>
        <w:t>sumatori</w:t>
      </w:r>
      <w:r w:rsidR="00DD2CF0">
        <w:rPr>
          <w:lang w:val="es-ES"/>
        </w:rPr>
        <w:t>a</w:t>
      </w:r>
      <w:r w:rsidR="009E5EBB">
        <w:rPr>
          <w:lang w:val="es-ES"/>
        </w:rPr>
        <w:t xml:space="preserve"> total</w:t>
      </w:r>
      <w:r w:rsidRPr="0044670C">
        <w:rPr>
          <w:lang w:val="es-ES"/>
        </w:rPr>
        <w:t xml:space="preserve"> del instrumento.</w:t>
      </w:r>
      <w:r w:rsidR="009E5EBB">
        <w:rPr>
          <w:lang w:val="es-ES"/>
        </w:rPr>
        <w:t xml:space="preserve"> </w:t>
      </w:r>
      <w:r w:rsidR="00C7510F">
        <w:rPr>
          <w:lang w:val="es-ES"/>
        </w:rPr>
        <w:t>Además</w:t>
      </w:r>
      <w:r>
        <w:rPr>
          <w:lang w:val="es-ES"/>
        </w:rPr>
        <w:t xml:space="preserve">, realizamos un análisis de correlación entre las puntuaciones de la EMPA y variables </w:t>
      </w:r>
      <w:r w:rsidR="00576317">
        <w:rPr>
          <w:lang w:val="es-ES"/>
        </w:rPr>
        <w:t>sociodemográficas (</w:t>
      </w:r>
      <w:proofErr w:type="spellStart"/>
      <w:r w:rsidR="00576317">
        <w:rPr>
          <w:lang w:val="es-ES"/>
        </w:rPr>
        <w:t>e</w:t>
      </w:r>
      <w:r w:rsidR="0013416E">
        <w:rPr>
          <w:lang w:val="es-ES"/>
        </w:rPr>
        <w:t>.g</w:t>
      </w:r>
      <w:proofErr w:type="spellEnd"/>
      <w:r w:rsidR="00576317">
        <w:rPr>
          <w:lang w:val="es-ES"/>
        </w:rPr>
        <w:t>.</w:t>
      </w:r>
      <w:r w:rsidR="00BF42D4">
        <w:rPr>
          <w:lang w:val="es-ES"/>
        </w:rPr>
        <w:t>,</w:t>
      </w:r>
      <w:r w:rsidR="00576317">
        <w:rPr>
          <w:lang w:val="es-ES"/>
        </w:rPr>
        <w:t xml:space="preserve"> </w:t>
      </w:r>
      <w:r w:rsidR="00566AA0">
        <w:rPr>
          <w:lang w:val="es-ES"/>
        </w:rPr>
        <w:t>e</w:t>
      </w:r>
      <w:r w:rsidR="00576317">
        <w:rPr>
          <w:lang w:val="es-ES"/>
        </w:rPr>
        <w:t>dad</w:t>
      </w:r>
      <w:r w:rsidR="00566AA0">
        <w:rPr>
          <w:lang w:val="es-ES"/>
        </w:rPr>
        <w:t xml:space="preserve"> y escolaridad</w:t>
      </w:r>
      <w:r w:rsidR="00576317">
        <w:rPr>
          <w:lang w:val="es-ES"/>
        </w:rPr>
        <w:t>)</w:t>
      </w:r>
      <w:r w:rsidR="00566AA0">
        <w:rPr>
          <w:lang w:val="es-ES"/>
        </w:rPr>
        <w:t xml:space="preserve">. </w:t>
      </w:r>
    </w:p>
    <w:p w14:paraId="44569A1D" w14:textId="77777777" w:rsidR="004E3DCC" w:rsidRPr="005B24FF" w:rsidRDefault="004E3DCC" w:rsidP="004E3DCC">
      <w:pPr>
        <w:pStyle w:val="SubtituloInterno"/>
        <w:spacing w:before="0" w:beforeAutospacing="0" w:after="0" w:afterAutospacing="0"/>
        <w:rPr>
          <w:lang w:val="es-ES_tradnl"/>
        </w:rPr>
      </w:pPr>
      <w:r w:rsidRPr="009E5EBB">
        <w:rPr>
          <w:lang w:val="es-ES_tradnl"/>
        </w:rPr>
        <w:t>Consideraciones éticas</w:t>
      </w:r>
    </w:p>
    <w:p w14:paraId="347C8CEA" w14:textId="77DB6197" w:rsidR="004E3DCC" w:rsidRPr="0044670C" w:rsidRDefault="004E3DCC" w:rsidP="006A35F1">
      <w:pPr>
        <w:pStyle w:val="Prrafocomn"/>
        <w:rPr>
          <w:lang w:val="es-ES"/>
        </w:rPr>
      </w:pPr>
      <w:r>
        <w:rPr>
          <w:lang w:val="es-ES_tradnl"/>
        </w:rPr>
        <w:t xml:space="preserve">El presente estudio se realizó de acuerdo con los requisitos para el grado de Doctor en Psicológica Clínica (Psy.D.) de la autora principal. Por consiguiente, obtuvo el aval del </w:t>
      </w:r>
      <w:proofErr w:type="spellStart"/>
      <w:r w:rsidRPr="005A5B25">
        <w:rPr>
          <w:lang w:val="es-ES"/>
        </w:rPr>
        <w:t>Institutional</w:t>
      </w:r>
      <w:proofErr w:type="spellEnd"/>
      <w:r w:rsidRPr="005A5B25">
        <w:rPr>
          <w:lang w:val="es-ES"/>
        </w:rPr>
        <w:t xml:space="preserve"> </w:t>
      </w:r>
      <w:proofErr w:type="spellStart"/>
      <w:r w:rsidRPr="005A5B25">
        <w:rPr>
          <w:lang w:val="es-ES"/>
        </w:rPr>
        <w:t>Review</w:t>
      </w:r>
      <w:proofErr w:type="spellEnd"/>
      <w:r w:rsidRPr="005A5B25">
        <w:rPr>
          <w:lang w:val="es-ES"/>
        </w:rPr>
        <w:t xml:space="preserve"> </w:t>
      </w:r>
      <w:proofErr w:type="spellStart"/>
      <w:r w:rsidRPr="005A5B25">
        <w:rPr>
          <w:lang w:val="es-ES"/>
        </w:rPr>
        <w:t>Board</w:t>
      </w:r>
      <w:proofErr w:type="spellEnd"/>
      <w:r w:rsidRPr="00D760EB">
        <w:rPr>
          <w:lang w:val="es-ES"/>
        </w:rPr>
        <w:t xml:space="preserve"> (IRB) de la Universidad Albizu en San Juan, Puerto Rico.</w:t>
      </w:r>
      <w:r>
        <w:rPr>
          <w:lang w:val="es-ES"/>
        </w:rPr>
        <w:t xml:space="preserve"> Llevamos a cabo los p</w:t>
      </w:r>
      <w:r w:rsidRPr="009E5EBB">
        <w:rPr>
          <w:lang w:val="es-ES"/>
        </w:rPr>
        <w:t>rocedimientos para garantizar los derechos de los/as participantes</w:t>
      </w:r>
      <w:r>
        <w:rPr>
          <w:lang w:val="es-ES"/>
        </w:rPr>
        <w:t>, incluyendo todo aspecto relacionado a la confidencialidad de los/as participantes. Por lo cual, se presentó el consentimiento informado antes de comenzar su participación y se identificó un protocolo a seguir en caso a eventos adversos como consecuencias de la investigación.</w:t>
      </w:r>
    </w:p>
    <w:p w14:paraId="61754C2A" w14:textId="04F11712" w:rsidR="006F7E7E" w:rsidRPr="006A35F1" w:rsidRDefault="005B5614" w:rsidP="006A35F1">
      <w:pPr>
        <w:pStyle w:val="Ttulosinternos"/>
        <w:rPr>
          <w:lang w:val="es-ES"/>
        </w:rPr>
      </w:pPr>
      <w:r w:rsidRPr="006A35F1">
        <w:rPr>
          <w:lang w:val="es-ES"/>
        </w:rPr>
        <w:t>Result</w:t>
      </w:r>
      <w:r w:rsidR="005B24FF" w:rsidRPr="006A35F1">
        <w:rPr>
          <w:lang w:val="es-ES"/>
        </w:rPr>
        <w:t>ados</w:t>
      </w:r>
    </w:p>
    <w:p w14:paraId="006E1635" w14:textId="22F7A2EA" w:rsidR="009F5D81" w:rsidRPr="00766DA1" w:rsidRDefault="009F5D81" w:rsidP="009F5D81">
      <w:pPr>
        <w:spacing w:line="360" w:lineRule="auto"/>
        <w:jc w:val="both"/>
        <w:rPr>
          <w:b/>
          <w:bCs/>
          <w:lang w:val="es-ES"/>
        </w:rPr>
      </w:pPr>
      <w:r w:rsidRPr="00766DA1">
        <w:rPr>
          <w:b/>
          <w:bCs/>
          <w:lang w:val="es-ES"/>
        </w:rPr>
        <w:t>Fase 1</w:t>
      </w:r>
      <w:r w:rsidR="00766DA1" w:rsidRPr="00766DA1">
        <w:rPr>
          <w:b/>
          <w:bCs/>
          <w:lang w:val="es-ES"/>
        </w:rPr>
        <w:t xml:space="preserve">: </w:t>
      </w:r>
      <w:r w:rsidRPr="006A35F1">
        <w:rPr>
          <w:b/>
          <w:bCs/>
          <w:lang w:val="es-ES"/>
        </w:rPr>
        <w:t>Desarrollo de la escala de microagresiones hacia personas ateas puertorriqueñas</w:t>
      </w:r>
    </w:p>
    <w:p w14:paraId="3E6C50CE" w14:textId="376F84CC" w:rsidR="007B6692" w:rsidRDefault="007B6692" w:rsidP="000501B8">
      <w:pPr>
        <w:spacing w:line="360" w:lineRule="auto"/>
        <w:ind w:firstLine="720"/>
        <w:jc w:val="both"/>
        <w:rPr>
          <w:lang w:val="es-ES"/>
        </w:rPr>
      </w:pPr>
      <w:r>
        <w:rPr>
          <w:lang w:val="es-ES"/>
        </w:rPr>
        <w:t>En la primera fase</w:t>
      </w:r>
      <w:r w:rsidR="009F5D81" w:rsidRPr="0044670C">
        <w:rPr>
          <w:lang w:val="es-ES"/>
        </w:rPr>
        <w:t xml:space="preserve">, </w:t>
      </w:r>
      <w:r w:rsidR="009F5D81">
        <w:rPr>
          <w:lang w:val="es-ES"/>
        </w:rPr>
        <w:t>la investigadora principal desarrolló</w:t>
      </w:r>
      <w:r w:rsidR="009F5D81" w:rsidRPr="0044670C">
        <w:rPr>
          <w:lang w:val="es-ES"/>
        </w:rPr>
        <w:t xml:space="preserve"> 80 reactivos</w:t>
      </w:r>
      <w:r>
        <w:rPr>
          <w:lang w:val="es-ES"/>
        </w:rPr>
        <w:t xml:space="preserve"> que fueron </w:t>
      </w:r>
      <w:r w:rsidR="009F5D81" w:rsidRPr="0044670C">
        <w:rPr>
          <w:lang w:val="es-ES"/>
        </w:rPr>
        <w:t xml:space="preserve">evaluados por (4) jueces expertos con el objetivo de obtener la validez de contenido </w:t>
      </w:r>
      <w:r w:rsidR="009F5D81">
        <w:rPr>
          <w:lang w:val="es-ES"/>
        </w:rPr>
        <w:t xml:space="preserve">de la </w:t>
      </w:r>
      <w:r w:rsidR="009F5D81" w:rsidRPr="0044670C">
        <w:rPr>
          <w:lang w:val="es-ES"/>
        </w:rPr>
        <w:t>EMPA.</w:t>
      </w:r>
      <w:r w:rsidR="000501B8">
        <w:rPr>
          <w:lang w:val="es-ES"/>
        </w:rPr>
        <w:t xml:space="preserve"> </w:t>
      </w:r>
      <w:r w:rsidR="009F5D81" w:rsidRPr="0044670C">
        <w:rPr>
          <w:lang w:val="es-ES"/>
        </w:rPr>
        <w:t xml:space="preserve">Utilizamos la validez de contenido mediante la RVC de cada reactivo evaluado y la siguiente fórmula: CVR’ = </w:t>
      </w:r>
      <w:proofErr w:type="spellStart"/>
      <w:r w:rsidR="009F5D81" w:rsidRPr="0044670C">
        <w:rPr>
          <w:lang w:val="es-ES"/>
        </w:rPr>
        <w:t>ne</w:t>
      </w:r>
      <w:proofErr w:type="spellEnd"/>
      <w:r w:rsidR="009F5D81" w:rsidRPr="0044670C">
        <w:rPr>
          <w:lang w:val="es-ES"/>
        </w:rPr>
        <w:t xml:space="preserve">/N.  </w:t>
      </w:r>
      <w:r>
        <w:rPr>
          <w:lang w:val="es-ES"/>
        </w:rPr>
        <w:t xml:space="preserve">Con este proceso cuantitativo, </w:t>
      </w:r>
      <w:r w:rsidR="009F5D81" w:rsidRPr="00C56316">
        <w:rPr>
          <w:lang w:val="es-ES"/>
        </w:rPr>
        <w:t>elimina</w:t>
      </w:r>
      <w:r>
        <w:rPr>
          <w:lang w:val="es-ES"/>
        </w:rPr>
        <w:t xml:space="preserve">mos </w:t>
      </w:r>
      <w:r w:rsidR="009F5D81">
        <w:rPr>
          <w:lang w:val="es-ES"/>
        </w:rPr>
        <w:t>18 reactivos.</w:t>
      </w:r>
      <w:r w:rsidR="009F5D81" w:rsidRPr="0044670C">
        <w:rPr>
          <w:lang w:val="es-ES"/>
        </w:rPr>
        <w:t xml:space="preserve"> </w:t>
      </w:r>
    </w:p>
    <w:p w14:paraId="536B36DB" w14:textId="5BD69CC2" w:rsidR="006B294A" w:rsidRDefault="009F5D81" w:rsidP="006A35F1">
      <w:pPr>
        <w:spacing w:line="360" w:lineRule="auto"/>
        <w:ind w:firstLine="720"/>
        <w:jc w:val="both"/>
        <w:rPr>
          <w:lang w:val="es-AR"/>
        </w:rPr>
      </w:pPr>
      <w:r w:rsidRPr="0044670C">
        <w:rPr>
          <w:lang w:val="es-ES"/>
        </w:rPr>
        <w:lastRenderedPageBreak/>
        <w:t xml:space="preserve">A nivel cualitativo, los jueces </w:t>
      </w:r>
      <w:r w:rsidR="007B6692">
        <w:rPr>
          <w:lang w:val="es-ES"/>
        </w:rPr>
        <w:t>recomendaron</w:t>
      </w:r>
      <w:r w:rsidRPr="0044670C">
        <w:rPr>
          <w:lang w:val="es-ES"/>
        </w:rPr>
        <w:t xml:space="preserve"> modificar reactivos que reflejaran opiniones, por ejemplo: “He escuchado a alguien decir que no confían en las personas ateas”</w:t>
      </w:r>
      <w:r w:rsidR="000501B8">
        <w:rPr>
          <w:lang w:val="es-ES"/>
        </w:rPr>
        <w:t xml:space="preserve">. </w:t>
      </w:r>
      <w:r w:rsidR="007B6692">
        <w:rPr>
          <w:lang w:val="es-ES"/>
        </w:rPr>
        <w:t>Dado a esto</w:t>
      </w:r>
      <w:r w:rsidRPr="0044670C">
        <w:rPr>
          <w:lang w:val="es-ES"/>
        </w:rPr>
        <w:t xml:space="preserve">, modificamos reactivos cómo </w:t>
      </w:r>
      <w:r w:rsidR="000501B8">
        <w:rPr>
          <w:lang w:val="es-ES"/>
        </w:rPr>
        <w:t>el</w:t>
      </w:r>
      <w:r w:rsidRPr="0044670C">
        <w:rPr>
          <w:lang w:val="es-ES"/>
        </w:rPr>
        <w:t xml:space="preserve"> </w:t>
      </w:r>
      <w:r w:rsidR="00DD25A4">
        <w:rPr>
          <w:lang w:val="es-ES"/>
        </w:rPr>
        <w:t>anterio</w:t>
      </w:r>
      <w:r w:rsidR="000501B8">
        <w:rPr>
          <w:lang w:val="es-ES"/>
        </w:rPr>
        <w:t>r</w:t>
      </w:r>
      <w:r w:rsidRPr="0044670C">
        <w:rPr>
          <w:lang w:val="es-ES"/>
        </w:rPr>
        <w:t xml:space="preserve"> para que representaran una experiencia personal</w:t>
      </w:r>
      <w:r w:rsidR="00213EC3">
        <w:rPr>
          <w:lang w:val="es-ES"/>
        </w:rPr>
        <w:t>.</w:t>
      </w:r>
      <w:r w:rsidR="00DD25A4">
        <w:rPr>
          <w:lang w:val="es-ES"/>
        </w:rPr>
        <w:t xml:space="preserve"> </w:t>
      </w:r>
      <w:r w:rsidR="007B6692">
        <w:rPr>
          <w:lang w:val="es-ES"/>
        </w:rPr>
        <w:t>L</w:t>
      </w:r>
      <w:r w:rsidRPr="00C56316">
        <w:rPr>
          <w:lang w:val="es-ES"/>
        </w:rPr>
        <w:t>uego de la modificación de tres reactivos y la exclusión de 18</w:t>
      </w:r>
      <w:r w:rsidR="00086E5F">
        <w:rPr>
          <w:lang w:val="es-ES"/>
        </w:rPr>
        <w:t>,</w:t>
      </w:r>
      <w:r w:rsidRPr="00C56316">
        <w:rPr>
          <w:lang w:val="es-ES"/>
        </w:rPr>
        <w:t xml:space="preserve"> el EMPA con</w:t>
      </w:r>
      <w:r w:rsidR="00213EC3">
        <w:rPr>
          <w:lang w:val="es-ES"/>
        </w:rPr>
        <w:t>s</w:t>
      </w:r>
      <w:r w:rsidRPr="00C56316">
        <w:rPr>
          <w:lang w:val="es-ES"/>
        </w:rPr>
        <w:t>t</w:t>
      </w:r>
      <w:r w:rsidR="00DD25A4">
        <w:rPr>
          <w:lang w:val="es-ES"/>
        </w:rPr>
        <w:t>a</w:t>
      </w:r>
      <w:r w:rsidRPr="00C56316">
        <w:rPr>
          <w:lang w:val="es-ES"/>
        </w:rPr>
        <w:t xml:space="preserve"> </w:t>
      </w:r>
      <w:r w:rsidR="00086E5F">
        <w:rPr>
          <w:lang w:val="es-ES"/>
        </w:rPr>
        <w:t xml:space="preserve">de </w:t>
      </w:r>
      <w:r w:rsidRPr="00C56316">
        <w:rPr>
          <w:lang w:val="es-ES"/>
        </w:rPr>
        <w:t xml:space="preserve">un total de 62 reactivos </w:t>
      </w:r>
      <w:r w:rsidR="00086E5F">
        <w:rPr>
          <w:lang w:val="es-ES"/>
        </w:rPr>
        <w:t>en esta fase.</w:t>
      </w:r>
    </w:p>
    <w:p w14:paraId="4E502A7C" w14:textId="4C8B4665" w:rsidR="00766DA1" w:rsidRPr="0044670C" w:rsidRDefault="00766DA1" w:rsidP="00727BDE">
      <w:pPr>
        <w:spacing w:line="360" w:lineRule="auto"/>
        <w:jc w:val="both"/>
        <w:rPr>
          <w:lang w:val="es-ES"/>
        </w:rPr>
      </w:pPr>
      <w:r w:rsidRPr="006A35F1">
        <w:rPr>
          <w:b/>
          <w:bCs/>
          <w:lang w:val="es-ES"/>
        </w:rPr>
        <w:t>Fase 2:</w:t>
      </w:r>
      <w:r w:rsidRPr="00766DA1">
        <w:rPr>
          <w:b/>
          <w:bCs/>
          <w:i/>
          <w:iCs/>
          <w:lang w:val="es-ES"/>
        </w:rPr>
        <w:t xml:space="preserve"> </w:t>
      </w:r>
      <w:r w:rsidRPr="006A35F1">
        <w:rPr>
          <w:b/>
          <w:bCs/>
          <w:lang w:val="es-ES"/>
        </w:rPr>
        <w:t>Administración de la escala (Estudio piloto)</w:t>
      </w:r>
    </w:p>
    <w:p w14:paraId="747AA4E5" w14:textId="4EE0B93C" w:rsidR="00766DA1" w:rsidRPr="006A35F1" w:rsidRDefault="00F60BA3" w:rsidP="00727BDE">
      <w:pPr>
        <w:spacing w:line="360" w:lineRule="auto"/>
        <w:jc w:val="both"/>
        <w:rPr>
          <w:b/>
          <w:bCs/>
          <w:i/>
          <w:iCs/>
          <w:lang w:val="es-ES"/>
        </w:rPr>
      </w:pPr>
      <w:r w:rsidRPr="006A35F1">
        <w:rPr>
          <w:b/>
          <w:bCs/>
          <w:i/>
          <w:iCs/>
          <w:lang w:val="es-ES"/>
        </w:rPr>
        <w:t>Participantes</w:t>
      </w:r>
    </w:p>
    <w:p w14:paraId="2014DAD5" w14:textId="772BAD9D" w:rsidR="00766DA1" w:rsidRPr="0044670C" w:rsidRDefault="00D53D40" w:rsidP="00727BDE">
      <w:pPr>
        <w:spacing w:line="360" w:lineRule="auto"/>
        <w:ind w:firstLine="720"/>
        <w:jc w:val="both"/>
        <w:rPr>
          <w:lang w:val="es-ES"/>
        </w:rPr>
      </w:pPr>
      <w:r>
        <w:rPr>
          <w:lang w:val="es-ES"/>
        </w:rPr>
        <w:t xml:space="preserve">Un total de </w:t>
      </w:r>
      <w:r w:rsidR="00766DA1" w:rsidRPr="0044670C">
        <w:rPr>
          <w:lang w:val="es-ES"/>
        </w:rPr>
        <w:t>227</w:t>
      </w:r>
      <w:r>
        <w:rPr>
          <w:lang w:val="es-ES"/>
        </w:rPr>
        <w:t xml:space="preserve"> participantes</w:t>
      </w:r>
      <w:r w:rsidR="00766DA1" w:rsidRPr="0044670C">
        <w:rPr>
          <w:lang w:val="es-ES"/>
        </w:rPr>
        <w:t xml:space="preserve"> cumpli</w:t>
      </w:r>
      <w:r>
        <w:rPr>
          <w:lang w:val="es-ES"/>
        </w:rPr>
        <w:t>ó</w:t>
      </w:r>
      <w:r w:rsidR="00766DA1" w:rsidRPr="0044670C">
        <w:rPr>
          <w:lang w:val="es-ES"/>
        </w:rPr>
        <w:t xml:space="preserve"> con los requisitos de inclusión y completaron la EMPA en su totalidad. </w:t>
      </w:r>
      <w:r>
        <w:rPr>
          <w:lang w:val="es-ES"/>
        </w:rPr>
        <w:t>En resumen,</w:t>
      </w:r>
      <w:r w:rsidR="00766DA1" w:rsidRPr="0044670C">
        <w:rPr>
          <w:lang w:val="es-ES"/>
        </w:rPr>
        <w:t xml:space="preserve"> </w:t>
      </w:r>
      <w:r>
        <w:rPr>
          <w:lang w:val="es-ES"/>
        </w:rPr>
        <w:t>l</w:t>
      </w:r>
      <w:r w:rsidR="00766DA1" w:rsidRPr="0044670C">
        <w:rPr>
          <w:lang w:val="es-ES"/>
        </w:rPr>
        <w:t>a mayoría de los/as participantes se identificó con el género femenino (</w:t>
      </w:r>
      <w:r w:rsidR="00766DA1" w:rsidRPr="0044670C">
        <w:rPr>
          <w:i/>
          <w:iCs/>
          <w:lang w:val="es-ES"/>
        </w:rPr>
        <w:t>n</w:t>
      </w:r>
      <w:r w:rsidR="00BF42D4">
        <w:rPr>
          <w:i/>
          <w:iCs/>
          <w:lang w:val="es-ES"/>
        </w:rPr>
        <w:t xml:space="preserve"> </w:t>
      </w:r>
      <w:r w:rsidR="00766DA1" w:rsidRPr="0044670C">
        <w:rPr>
          <w:lang w:val="es-ES"/>
        </w:rPr>
        <w:t>= 121;</w:t>
      </w:r>
      <w:r w:rsidR="00430392">
        <w:rPr>
          <w:lang w:val="es-ES"/>
        </w:rPr>
        <w:t xml:space="preserve"> </w:t>
      </w:r>
      <w:r w:rsidR="00766DA1" w:rsidRPr="0044670C">
        <w:rPr>
          <w:lang w:val="es-ES"/>
        </w:rPr>
        <w:t>53.3%) y el género masculino (</w:t>
      </w:r>
      <w:r w:rsidR="00766DA1" w:rsidRPr="0044670C">
        <w:rPr>
          <w:i/>
          <w:iCs/>
          <w:lang w:val="es-ES"/>
        </w:rPr>
        <w:t>n</w:t>
      </w:r>
      <w:r w:rsidR="00766DA1" w:rsidRPr="0044670C">
        <w:rPr>
          <w:lang w:val="es-ES"/>
        </w:rPr>
        <w:t xml:space="preserve">= 86: 37.9%). </w:t>
      </w:r>
      <w:r>
        <w:rPr>
          <w:lang w:val="es-ES"/>
        </w:rPr>
        <w:t>En términos de escolaridad</w:t>
      </w:r>
      <w:r w:rsidR="00766DA1" w:rsidRPr="0044670C">
        <w:rPr>
          <w:lang w:val="es-ES"/>
        </w:rPr>
        <w:t xml:space="preserve">, la mayoría de los/as participantes había completado </w:t>
      </w:r>
      <w:r w:rsidR="00430392">
        <w:rPr>
          <w:lang w:val="es-ES"/>
        </w:rPr>
        <w:t>su</w:t>
      </w:r>
      <w:r w:rsidR="00766DA1" w:rsidRPr="0044670C">
        <w:rPr>
          <w:lang w:val="es-ES"/>
        </w:rPr>
        <w:t xml:space="preserve"> bachillerato</w:t>
      </w:r>
      <w:r>
        <w:rPr>
          <w:lang w:val="es-ES"/>
        </w:rPr>
        <w:t xml:space="preserve"> (licenciatura)</w:t>
      </w:r>
      <w:r w:rsidR="00766DA1" w:rsidRPr="0044670C">
        <w:rPr>
          <w:lang w:val="es-ES"/>
        </w:rPr>
        <w:t xml:space="preserve"> al momento de su participación (</w:t>
      </w:r>
      <w:r w:rsidR="00766DA1" w:rsidRPr="006A35F1">
        <w:rPr>
          <w:i/>
          <w:iCs/>
          <w:lang w:val="es-ES"/>
        </w:rPr>
        <w:t>n</w:t>
      </w:r>
      <w:r w:rsidR="00BF42D4">
        <w:rPr>
          <w:lang w:val="es-ES"/>
        </w:rPr>
        <w:t xml:space="preserve"> </w:t>
      </w:r>
      <w:r w:rsidR="00766DA1" w:rsidRPr="0044670C">
        <w:rPr>
          <w:lang w:val="es-ES"/>
        </w:rPr>
        <w:t>=</w:t>
      </w:r>
      <w:r w:rsidR="00BF42D4">
        <w:rPr>
          <w:lang w:val="es-ES"/>
        </w:rPr>
        <w:t xml:space="preserve"> </w:t>
      </w:r>
      <w:r w:rsidR="00766DA1" w:rsidRPr="0044670C">
        <w:rPr>
          <w:lang w:val="es-ES"/>
        </w:rPr>
        <w:t>87; 38.3%). Para más información</w:t>
      </w:r>
      <w:r w:rsidR="00DD2CF0">
        <w:rPr>
          <w:lang w:val="es-ES"/>
        </w:rPr>
        <w:t xml:space="preserve"> </w:t>
      </w:r>
      <w:r w:rsidR="00430392">
        <w:rPr>
          <w:lang w:val="es-ES"/>
        </w:rPr>
        <w:t>v</w:t>
      </w:r>
      <w:r w:rsidR="00766DA1" w:rsidRPr="0044670C">
        <w:rPr>
          <w:lang w:val="es-ES"/>
        </w:rPr>
        <w:t>éase Tabla 1</w:t>
      </w:r>
      <w:r>
        <w:rPr>
          <w:lang w:val="es-ES"/>
        </w:rPr>
        <w:t>.</w:t>
      </w:r>
      <w:r w:rsidR="00766DA1" w:rsidRPr="0044670C">
        <w:rPr>
          <w:lang w:val="es-ES"/>
        </w:rPr>
        <w:t xml:space="preserve"> </w:t>
      </w:r>
    </w:p>
    <w:p w14:paraId="237D731C" w14:textId="29E60B7A" w:rsidR="00727BDE" w:rsidRPr="00727BDE" w:rsidRDefault="00727BDE" w:rsidP="00441D67">
      <w:pPr>
        <w:pStyle w:val="Prrafocomn"/>
        <w:spacing w:line="276" w:lineRule="auto"/>
        <w:ind w:firstLine="0"/>
        <w:rPr>
          <w:b/>
          <w:bCs/>
          <w:lang w:val="es-AR"/>
        </w:rPr>
      </w:pPr>
      <w:r w:rsidRPr="0044670C">
        <w:rPr>
          <w:b/>
          <w:bCs/>
          <w:lang w:val="es-ES"/>
        </w:rPr>
        <w:t>Tabla 1</w:t>
      </w:r>
    </w:p>
    <w:p w14:paraId="1EB5C886" w14:textId="77777777" w:rsidR="00727BDE" w:rsidRPr="0044670C" w:rsidRDefault="00727BDE" w:rsidP="00441D67">
      <w:pPr>
        <w:spacing w:line="276" w:lineRule="auto"/>
        <w:rPr>
          <w:i/>
          <w:iCs/>
          <w:lang w:val="es-ES"/>
        </w:rPr>
      </w:pPr>
      <w:r w:rsidRPr="0044670C">
        <w:rPr>
          <w:i/>
          <w:iCs/>
          <w:lang w:val="es-ES"/>
        </w:rPr>
        <w:t>Características Sociodemográficas de la Muestra (n= 227)</w:t>
      </w:r>
    </w:p>
    <w:tbl>
      <w:tblPr>
        <w:tblStyle w:val="TableGrid"/>
        <w:tblW w:w="0" w:type="auto"/>
        <w:tblInd w:w="5" w:type="dxa"/>
        <w:tblBorders>
          <w:left w:val="single" w:sz="4" w:space="0" w:color="FFFFFF"/>
          <w:right w:val="single" w:sz="4" w:space="0" w:color="FFFFFF"/>
          <w:insideH w:val="none" w:sz="0" w:space="0" w:color="auto"/>
          <w:insideV w:val="single" w:sz="4" w:space="0" w:color="FFFFFF"/>
        </w:tblBorders>
        <w:tblLook w:val="04A0" w:firstRow="1" w:lastRow="0" w:firstColumn="1" w:lastColumn="0" w:noHBand="0" w:noVBand="1"/>
      </w:tblPr>
      <w:tblGrid>
        <w:gridCol w:w="6112"/>
        <w:gridCol w:w="3233"/>
      </w:tblGrid>
      <w:tr w:rsidR="00727BDE" w:rsidRPr="0044670C" w14:paraId="2EEA2528" w14:textId="77777777" w:rsidTr="00C56316">
        <w:trPr>
          <w:tblHeader/>
        </w:trPr>
        <w:tc>
          <w:tcPr>
            <w:tcW w:w="6112" w:type="dxa"/>
            <w:tcBorders>
              <w:top w:val="single" w:sz="4" w:space="0" w:color="auto"/>
              <w:bottom w:val="single" w:sz="4" w:space="0" w:color="auto"/>
            </w:tcBorders>
          </w:tcPr>
          <w:p w14:paraId="097641CE" w14:textId="77777777" w:rsidR="00727BDE" w:rsidRPr="0044670C" w:rsidRDefault="00727BDE" w:rsidP="006A35F1">
            <w:pPr>
              <w:rPr>
                <w:lang w:val="es-ES"/>
              </w:rPr>
            </w:pPr>
            <w:r w:rsidRPr="0044670C">
              <w:rPr>
                <w:lang w:val="es-ES"/>
              </w:rPr>
              <w:t>Variable</w:t>
            </w:r>
          </w:p>
        </w:tc>
        <w:tc>
          <w:tcPr>
            <w:tcW w:w="3233" w:type="dxa"/>
            <w:tcBorders>
              <w:top w:val="single" w:sz="4" w:space="0" w:color="auto"/>
              <w:bottom w:val="single" w:sz="4" w:space="0" w:color="auto"/>
            </w:tcBorders>
          </w:tcPr>
          <w:p w14:paraId="18C73FE0" w14:textId="77777777" w:rsidR="00727BDE" w:rsidRPr="0044670C" w:rsidRDefault="00727BDE" w:rsidP="006A35F1">
            <w:pPr>
              <w:jc w:val="center"/>
              <w:rPr>
                <w:lang w:val="es-ES"/>
              </w:rPr>
            </w:pPr>
            <w:r w:rsidRPr="0044670C">
              <w:rPr>
                <w:lang w:val="es-ES"/>
              </w:rPr>
              <w:t>M</w:t>
            </w:r>
            <w:r w:rsidRPr="0044670C">
              <w:rPr>
                <w:i/>
                <w:iCs/>
                <w:lang w:val="es-ES"/>
              </w:rPr>
              <w:t>(DE)</w:t>
            </w:r>
          </w:p>
        </w:tc>
      </w:tr>
      <w:tr w:rsidR="00727BDE" w:rsidRPr="0044670C" w14:paraId="49D50B8F" w14:textId="77777777" w:rsidTr="00C56316">
        <w:tc>
          <w:tcPr>
            <w:tcW w:w="6112" w:type="dxa"/>
            <w:tcBorders>
              <w:top w:val="single" w:sz="4" w:space="0" w:color="auto"/>
            </w:tcBorders>
          </w:tcPr>
          <w:p w14:paraId="67A02C85" w14:textId="77777777" w:rsidR="00727BDE" w:rsidRPr="0044670C" w:rsidRDefault="00727BDE" w:rsidP="006A35F1">
            <w:pPr>
              <w:rPr>
                <w:lang w:val="es-ES"/>
              </w:rPr>
            </w:pPr>
            <w:r w:rsidRPr="0044670C">
              <w:rPr>
                <w:lang w:val="es-ES"/>
              </w:rPr>
              <w:t>Edad</w:t>
            </w:r>
          </w:p>
        </w:tc>
        <w:tc>
          <w:tcPr>
            <w:tcW w:w="3233" w:type="dxa"/>
            <w:tcBorders>
              <w:top w:val="single" w:sz="4" w:space="0" w:color="auto"/>
              <w:bottom w:val="nil"/>
            </w:tcBorders>
          </w:tcPr>
          <w:p w14:paraId="06D8E4FA" w14:textId="77777777" w:rsidR="00727BDE" w:rsidRPr="0044670C" w:rsidRDefault="00727BDE" w:rsidP="006A35F1">
            <w:pPr>
              <w:jc w:val="center"/>
              <w:rPr>
                <w:lang w:val="es-ES"/>
              </w:rPr>
            </w:pPr>
            <w:r w:rsidRPr="0044670C">
              <w:rPr>
                <w:lang w:val="es-ES"/>
              </w:rPr>
              <w:t>36.41(10.48)</w:t>
            </w:r>
          </w:p>
        </w:tc>
      </w:tr>
      <w:tr w:rsidR="00727BDE" w:rsidRPr="0044670C" w14:paraId="1E6906FA" w14:textId="77777777" w:rsidTr="00C56316">
        <w:tc>
          <w:tcPr>
            <w:tcW w:w="6112" w:type="dxa"/>
          </w:tcPr>
          <w:p w14:paraId="0D294465" w14:textId="77777777" w:rsidR="00727BDE" w:rsidRPr="0044670C" w:rsidRDefault="00727BDE" w:rsidP="006A35F1">
            <w:pPr>
              <w:rPr>
                <w:lang w:val="es-ES"/>
              </w:rPr>
            </w:pPr>
          </w:p>
        </w:tc>
        <w:tc>
          <w:tcPr>
            <w:tcW w:w="3233" w:type="dxa"/>
            <w:tcBorders>
              <w:top w:val="nil"/>
              <w:bottom w:val="single" w:sz="4" w:space="0" w:color="000000" w:themeColor="text1"/>
            </w:tcBorders>
          </w:tcPr>
          <w:p w14:paraId="03318932" w14:textId="61B0597E" w:rsidR="00727BDE" w:rsidRPr="0044670C" w:rsidRDefault="007C3C20" w:rsidP="006A35F1">
            <w:pPr>
              <w:jc w:val="center"/>
              <w:rPr>
                <w:i/>
                <w:iCs/>
                <w:lang w:val="es-ES"/>
              </w:rPr>
            </w:pPr>
            <w:r>
              <w:rPr>
                <w:i/>
                <w:iCs/>
                <w:lang w:val="es-ES"/>
              </w:rPr>
              <w:t xml:space="preserve">f </w:t>
            </w:r>
            <w:r w:rsidR="00727BDE" w:rsidRPr="0044670C">
              <w:rPr>
                <w:lang w:val="es-ES"/>
              </w:rPr>
              <w:t>(%)</w:t>
            </w:r>
          </w:p>
        </w:tc>
      </w:tr>
      <w:tr w:rsidR="00727BDE" w:rsidRPr="0044670C" w14:paraId="3A84F14E" w14:textId="77777777" w:rsidTr="00C56316">
        <w:tc>
          <w:tcPr>
            <w:tcW w:w="6112" w:type="dxa"/>
          </w:tcPr>
          <w:p w14:paraId="3E3D670F" w14:textId="77777777" w:rsidR="00727BDE" w:rsidRPr="0044670C" w:rsidRDefault="00727BDE" w:rsidP="006A35F1">
            <w:pPr>
              <w:rPr>
                <w:color w:val="000000" w:themeColor="text1"/>
                <w:lang w:val="es-ES"/>
              </w:rPr>
            </w:pPr>
            <w:r w:rsidRPr="0044670C">
              <w:rPr>
                <w:color w:val="000000" w:themeColor="text1"/>
                <w:lang w:val="es-ES"/>
              </w:rPr>
              <w:t>Identidad de género</w:t>
            </w:r>
          </w:p>
        </w:tc>
        <w:tc>
          <w:tcPr>
            <w:tcW w:w="3233" w:type="dxa"/>
            <w:tcBorders>
              <w:top w:val="single" w:sz="4" w:space="0" w:color="000000" w:themeColor="text1"/>
            </w:tcBorders>
          </w:tcPr>
          <w:p w14:paraId="54A78ACE" w14:textId="77777777" w:rsidR="00727BDE" w:rsidRPr="0044670C" w:rsidRDefault="00727BDE" w:rsidP="006A35F1">
            <w:pPr>
              <w:jc w:val="center"/>
              <w:rPr>
                <w:lang w:val="es-ES"/>
              </w:rPr>
            </w:pPr>
          </w:p>
        </w:tc>
      </w:tr>
      <w:tr w:rsidR="00727BDE" w:rsidRPr="0044670C" w14:paraId="023A4638" w14:textId="77777777" w:rsidTr="00C56316">
        <w:tc>
          <w:tcPr>
            <w:tcW w:w="6112" w:type="dxa"/>
          </w:tcPr>
          <w:p w14:paraId="192A0977" w14:textId="77777777" w:rsidR="00727BDE" w:rsidRPr="0044670C" w:rsidRDefault="00727BDE" w:rsidP="006A35F1">
            <w:pPr>
              <w:ind w:left="720"/>
              <w:rPr>
                <w:color w:val="000000" w:themeColor="text1"/>
                <w:lang w:val="es-ES"/>
              </w:rPr>
            </w:pPr>
            <w:r w:rsidRPr="0044670C">
              <w:rPr>
                <w:color w:val="000000" w:themeColor="text1"/>
                <w:lang w:val="es-ES"/>
              </w:rPr>
              <w:t>Femenino</w:t>
            </w:r>
          </w:p>
        </w:tc>
        <w:tc>
          <w:tcPr>
            <w:tcW w:w="3233" w:type="dxa"/>
          </w:tcPr>
          <w:p w14:paraId="7CB9E2AF" w14:textId="77777777" w:rsidR="00727BDE" w:rsidRPr="0044670C" w:rsidRDefault="00727BDE" w:rsidP="006A35F1">
            <w:pPr>
              <w:jc w:val="center"/>
              <w:rPr>
                <w:lang w:val="es-ES"/>
              </w:rPr>
            </w:pPr>
            <w:r w:rsidRPr="0044670C">
              <w:rPr>
                <w:color w:val="010205"/>
                <w:lang w:val="es-ES"/>
              </w:rPr>
              <w:t>121(53.3)</w:t>
            </w:r>
          </w:p>
        </w:tc>
      </w:tr>
      <w:tr w:rsidR="00727BDE" w:rsidRPr="0044670C" w14:paraId="5B618C92" w14:textId="77777777" w:rsidTr="00C56316">
        <w:tc>
          <w:tcPr>
            <w:tcW w:w="6112" w:type="dxa"/>
          </w:tcPr>
          <w:p w14:paraId="10A48287" w14:textId="77777777" w:rsidR="00727BDE" w:rsidRPr="0044670C" w:rsidRDefault="00727BDE" w:rsidP="006A35F1">
            <w:pPr>
              <w:ind w:left="720"/>
              <w:rPr>
                <w:color w:val="000000" w:themeColor="text1"/>
                <w:lang w:val="es-ES"/>
              </w:rPr>
            </w:pPr>
            <w:r w:rsidRPr="0044670C">
              <w:rPr>
                <w:color w:val="000000" w:themeColor="text1"/>
                <w:lang w:val="es-ES"/>
              </w:rPr>
              <w:t>Masculino</w:t>
            </w:r>
          </w:p>
        </w:tc>
        <w:tc>
          <w:tcPr>
            <w:tcW w:w="3233" w:type="dxa"/>
          </w:tcPr>
          <w:p w14:paraId="123020A8" w14:textId="77777777" w:rsidR="00727BDE" w:rsidRPr="0044670C" w:rsidRDefault="00727BDE" w:rsidP="006A35F1">
            <w:pPr>
              <w:jc w:val="center"/>
              <w:rPr>
                <w:lang w:val="es-ES"/>
              </w:rPr>
            </w:pPr>
            <w:r w:rsidRPr="0044670C">
              <w:rPr>
                <w:color w:val="010205"/>
                <w:lang w:val="es-ES"/>
              </w:rPr>
              <w:t>86(37.9)</w:t>
            </w:r>
          </w:p>
        </w:tc>
      </w:tr>
      <w:tr w:rsidR="00727BDE" w:rsidRPr="0044670C" w14:paraId="619EBEC8" w14:textId="77777777" w:rsidTr="00C56316">
        <w:tc>
          <w:tcPr>
            <w:tcW w:w="6112" w:type="dxa"/>
          </w:tcPr>
          <w:p w14:paraId="485A9814" w14:textId="77777777" w:rsidR="00727BDE" w:rsidRPr="0044670C" w:rsidRDefault="00727BDE" w:rsidP="006A35F1">
            <w:pPr>
              <w:ind w:left="720"/>
              <w:rPr>
                <w:color w:val="000000" w:themeColor="text1"/>
                <w:lang w:val="es-ES"/>
              </w:rPr>
            </w:pPr>
            <w:r w:rsidRPr="0044670C">
              <w:rPr>
                <w:color w:val="000000" w:themeColor="text1"/>
                <w:lang w:val="es-ES"/>
              </w:rPr>
              <w:t>Transgénero/Transexual</w:t>
            </w:r>
          </w:p>
        </w:tc>
        <w:tc>
          <w:tcPr>
            <w:tcW w:w="3233" w:type="dxa"/>
          </w:tcPr>
          <w:p w14:paraId="56890557" w14:textId="77777777" w:rsidR="00727BDE" w:rsidRPr="0044670C" w:rsidRDefault="00727BDE" w:rsidP="006A35F1">
            <w:pPr>
              <w:jc w:val="center"/>
              <w:rPr>
                <w:lang w:val="es-ES"/>
              </w:rPr>
            </w:pPr>
            <w:r w:rsidRPr="0044670C">
              <w:rPr>
                <w:color w:val="010205"/>
                <w:lang w:val="es-ES"/>
              </w:rPr>
              <w:t>2(.9)</w:t>
            </w:r>
          </w:p>
        </w:tc>
      </w:tr>
      <w:tr w:rsidR="00727BDE" w:rsidRPr="0044670C" w14:paraId="14590DD0" w14:textId="77777777" w:rsidTr="00C56316">
        <w:tc>
          <w:tcPr>
            <w:tcW w:w="6112" w:type="dxa"/>
          </w:tcPr>
          <w:p w14:paraId="2209F93E" w14:textId="7A21CB7A" w:rsidR="00727BDE" w:rsidRPr="0044670C" w:rsidRDefault="002C2F3E" w:rsidP="006A35F1">
            <w:pPr>
              <w:ind w:left="720"/>
              <w:rPr>
                <w:color w:val="000000" w:themeColor="text1"/>
                <w:lang w:val="es-ES"/>
              </w:rPr>
            </w:pPr>
            <w:r>
              <w:rPr>
                <w:color w:val="000000" w:themeColor="text1"/>
                <w:lang w:val="es-ES"/>
              </w:rPr>
              <w:t>Genero no conforme</w:t>
            </w:r>
          </w:p>
        </w:tc>
        <w:tc>
          <w:tcPr>
            <w:tcW w:w="3233" w:type="dxa"/>
          </w:tcPr>
          <w:p w14:paraId="73AB794A" w14:textId="77777777" w:rsidR="00727BDE" w:rsidRPr="0044670C" w:rsidRDefault="00727BDE" w:rsidP="006A35F1">
            <w:pPr>
              <w:jc w:val="center"/>
              <w:rPr>
                <w:lang w:val="es-ES"/>
              </w:rPr>
            </w:pPr>
            <w:r w:rsidRPr="0044670C">
              <w:rPr>
                <w:color w:val="010205"/>
                <w:lang w:val="es-ES"/>
              </w:rPr>
              <w:t>5(2.2)</w:t>
            </w:r>
          </w:p>
        </w:tc>
      </w:tr>
      <w:tr w:rsidR="00727BDE" w:rsidRPr="0044670C" w14:paraId="73E5B079" w14:textId="77777777" w:rsidTr="00C56316">
        <w:tc>
          <w:tcPr>
            <w:tcW w:w="6112" w:type="dxa"/>
          </w:tcPr>
          <w:p w14:paraId="377396D7" w14:textId="77777777" w:rsidR="00727BDE" w:rsidRPr="0044670C" w:rsidRDefault="00727BDE" w:rsidP="006A35F1">
            <w:pPr>
              <w:ind w:left="720"/>
              <w:rPr>
                <w:color w:val="000000" w:themeColor="text1"/>
                <w:lang w:val="es-ES"/>
              </w:rPr>
            </w:pPr>
            <w:r w:rsidRPr="0044670C">
              <w:rPr>
                <w:color w:val="000000" w:themeColor="text1"/>
                <w:lang w:val="es-ES"/>
              </w:rPr>
              <w:t>Queer</w:t>
            </w:r>
          </w:p>
        </w:tc>
        <w:tc>
          <w:tcPr>
            <w:tcW w:w="3233" w:type="dxa"/>
          </w:tcPr>
          <w:p w14:paraId="686E8B5F" w14:textId="77777777" w:rsidR="00727BDE" w:rsidRPr="0044670C" w:rsidRDefault="00727BDE" w:rsidP="006A35F1">
            <w:pPr>
              <w:jc w:val="center"/>
              <w:rPr>
                <w:lang w:val="es-ES"/>
              </w:rPr>
            </w:pPr>
            <w:r w:rsidRPr="0044670C">
              <w:rPr>
                <w:color w:val="010205"/>
                <w:lang w:val="es-ES"/>
              </w:rPr>
              <w:t>6(2.6)</w:t>
            </w:r>
          </w:p>
        </w:tc>
      </w:tr>
      <w:tr w:rsidR="00727BDE" w:rsidRPr="0044670C" w14:paraId="716EDFC2" w14:textId="77777777" w:rsidTr="00C56316">
        <w:tc>
          <w:tcPr>
            <w:tcW w:w="6112" w:type="dxa"/>
          </w:tcPr>
          <w:p w14:paraId="4DB0008D" w14:textId="7D87FC6E" w:rsidR="00727BDE" w:rsidRPr="0044670C" w:rsidRDefault="00727BDE" w:rsidP="006A35F1">
            <w:pPr>
              <w:ind w:left="720"/>
              <w:rPr>
                <w:color w:val="000000" w:themeColor="text1"/>
                <w:lang w:val="es-ES"/>
              </w:rPr>
            </w:pPr>
            <w:r w:rsidRPr="002641C1">
              <w:rPr>
                <w:color w:val="000000" w:themeColor="text1"/>
                <w:lang w:val="es-ES"/>
              </w:rPr>
              <w:t>G</w:t>
            </w:r>
            <w:r w:rsidR="002C2F3E" w:rsidRPr="006A35F1">
              <w:rPr>
                <w:color w:val="000000" w:themeColor="text1"/>
                <w:lang w:val="es-ES"/>
              </w:rPr>
              <w:t>énero fluido</w:t>
            </w:r>
          </w:p>
        </w:tc>
        <w:tc>
          <w:tcPr>
            <w:tcW w:w="3233" w:type="dxa"/>
          </w:tcPr>
          <w:p w14:paraId="7411FEF5" w14:textId="77777777" w:rsidR="00727BDE" w:rsidRPr="0044670C" w:rsidRDefault="00727BDE" w:rsidP="006A35F1">
            <w:pPr>
              <w:jc w:val="center"/>
              <w:rPr>
                <w:lang w:val="es-ES"/>
              </w:rPr>
            </w:pPr>
            <w:r w:rsidRPr="0044670C">
              <w:rPr>
                <w:color w:val="010205"/>
                <w:lang w:val="es-ES"/>
              </w:rPr>
              <w:t>2(.9)</w:t>
            </w:r>
          </w:p>
        </w:tc>
      </w:tr>
      <w:tr w:rsidR="00727BDE" w:rsidRPr="0044670C" w14:paraId="75AC8815" w14:textId="77777777" w:rsidTr="00C56316">
        <w:tc>
          <w:tcPr>
            <w:tcW w:w="6112" w:type="dxa"/>
          </w:tcPr>
          <w:p w14:paraId="37FD0533" w14:textId="77777777" w:rsidR="00727BDE" w:rsidRPr="0044670C" w:rsidRDefault="00727BDE" w:rsidP="006A35F1">
            <w:pPr>
              <w:rPr>
                <w:color w:val="000000" w:themeColor="text1"/>
                <w:lang w:val="es-ES"/>
              </w:rPr>
            </w:pPr>
            <w:r w:rsidRPr="0044670C">
              <w:rPr>
                <w:color w:val="000000" w:themeColor="text1"/>
                <w:lang w:val="es-ES"/>
              </w:rPr>
              <w:t>Estatus civil</w:t>
            </w:r>
          </w:p>
        </w:tc>
        <w:tc>
          <w:tcPr>
            <w:tcW w:w="3233" w:type="dxa"/>
          </w:tcPr>
          <w:p w14:paraId="00BD3525" w14:textId="77777777" w:rsidR="00727BDE" w:rsidRPr="0044670C" w:rsidRDefault="00727BDE" w:rsidP="006A35F1">
            <w:pPr>
              <w:jc w:val="center"/>
              <w:rPr>
                <w:color w:val="010205"/>
                <w:lang w:val="es-ES"/>
              </w:rPr>
            </w:pPr>
          </w:p>
        </w:tc>
      </w:tr>
      <w:tr w:rsidR="00727BDE" w:rsidRPr="0044670C" w14:paraId="42680552" w14:textId="77777777" w:rsidTr="00C56316">
        <w:tc>
          <w:tcPr>
            <w:tcW w:w="6112" w:type="dxa"/>
          </w:tcPr>
          <w:p w14:paraId="76ED7DF2" w14:textId="77777777" w:rsidR="00727BDE" w:rsidRPr="0044670C" w:rsidRDefault="00727BDE" w:rsidP="006A35F1">
            <w:pPr>
              <w:ind w:left="720"/>
              <w:rPr>
                <w:color w:val="000000" w:themeColor="text1"/>
                <w:lang w:val="es-ES"/>
              </w:rPr>
            </w:pPr>
            <w:r w:rsidRPr="0044670C">
              <w:rPr>
                <w:color w:val="000000" w:themeColor="text1"/>
                <w:lang w:val="es-ES"/>
              </w:rPr>
              <w:t>Soltero/a</w:t>
            </w:r>
          </w:p>
        </w:tc>
        <w:tc>
          <w:tcPr>
            <w:tcW w:w="3233" w:type="dxa"/>
          </w:tcPr>
          <w:p w14:paraId="10059D16" w14:textId="77777777" w:rsidR="00727BDE" w:rsidRPr="0044670C" w:rsidRDefault="00727BDE" w:rsidP="006A35F1">
            <w:pPr>
              <w:jc w:val="center"/>
              <w:rPr>
                <w:color w:val="010205"/>
                <w:lang w:val="es-ES"/>
              </w:rPr>
            </w:pPr>
            <w:r w:rsidRPr="0044670C">
              <w:rPr>
                <w:color w:val="010205"/>
                <w:lang w:val="es-ES"/>
              </w:rPr>
              <w:t>94(41.4)</w:t>
            </w:r>
          </w:p>
        </w:tc>
      </w:tr>
      <w:tr w:rsidR="00727BDE" w:rsidRPr="0044670C" w14:paraId="7935FD6D" w14:textId="77777777" w:rsidTr="00C56316">
        <w:tc>
          <w:tcPr>
            <w:tcW w:w="6112" w:type="dxa"/>
          </w:tcPr>
          <w:p w14:paraId="2BA0FAB3" w14:textId="77777777" w:rsidR="00727BDE" w:rsidRPr="0044670C" w:rsidRDefault="00727BDE" w:rsidP="006A35F1">
            <w:pPr>
              <w:ind w:left="720"/>
              <w:rPr>
                <w:color w:val="000000" w:themeColor="text1"/>
                <w:lang w:val="es-ES"/>
              </w:rPr>
            </w:pPr>
            <w:r w:rsidRPr="0044670C">
              <w:rPr>
                <w:color w:val="000000" w:themeColor="text1"/>
                <w:lang w:val="es-ES"/>
              </w:rPr>
              <w:t>Casado/a</w:t>
            </w:r>
          </w:p>
        </w:tc>
        <w:tc>
          <w:tcPr>
            <w:tcW w:w="3233" w:type="dxa"/>
          </w:tcPr>
          <w:p w14:paraId="59BE6BAF" w14:textId="77777777" w:rsidR="00727BDE" w:rsidRPr="0044670C" w:rsidRDefault="00727BDE" w:rsidP="006A35F1">
            <w:pPr>
              <w:jc w:val="center"/>
              <w:rPr>
                <w:color w:val="010205"/>
                <w:lang w:val="es-ES"/>
              </w:rPr>
            </w:pPr>
            <w:r w:rsidRPr="0044670C">
              <w:rPr>
                <w:color w:val="010205"/>
                <w:lang w:val="es-ES"/>
              </w:rPr>
              <w:t>67(29.5)</w:t>
            </w:r>
          </w:p>
        </w:tc>
      </w:tr>
      <w:tr w:rsidR="00727BDE" w:rsidRPr="0044670C" w14:paraId="03D0B55A" w14:textId="77777777" w:rsidTr="00C56316">
        <w:tc>
          <w:tcPr>
            <w:tcW w:w="6112" w:type="dxa"/>
          </w:tcPr>
          <w:p w14:paraId="27482B2C" w14:textId="77777777" w:rsidR="00727BDE" w:rsidRPr="0044670C" w:rsidRDefault="00727BDE" w:rsidP="006A35F1">
            <w:pPr>
              <w:ind w:left="720"/>
              <w:rPr>
                <w:color w:val="000000" w:themeColor="text1"/>
                <w:lang w:val="es-ES"/>
              </w:rPr>
            </w:pPr>
            <w:r w:rsidRPr="0044670C">
              <w:rPr>
                <w:color w:val="000000" w:themeColor="text1"/>
                <w:lang w:val="es-ES"/>
              </w:rPr>
              <w:t>Conviviendo</w:t>
            </w:r>
          </w:p>
        </w:tc>
        <w:tc>
          <w:tcPr>
            <w:tcW w:w="3233" w:type="dxa"/>
          </w:tcPr>
          <w:p w14:paraId="16ACF21B" w14:textId="77777777" w:rsidR="00727BDE" w:rsidRPr="0044670C" w:rsidRDefault="00727BDE" w:rsidP="006A35F1">
            <w:pPr>
              <w:jc w:val="center"/>
              <w:rPr>
                <w:color w:val="010205"/>
                <w:lang w:val="es-ES"/>
              </w:rPr>
            </w:pPr>
            <w:r w:rsidRPr="0044670C">
              <w:rPr>
                <w:color w:val="010205"/>
                <w:lang w:val="es-ES"/>
              </w:rPr>
              <w:t>48(21.1)</w:t>
            </w:r>
          </w:p>
        </w:tc>
      </w:tr>
      <w:tr w:rsidR="00727BDE" w:rsidRPr="0044670C" w14:paraId="73AB02D1" w14:textId="77777777" w:rsidTr="00C56316">
        <w:tc>
          <w:tcPr>
            <w:tcW w:w="6112" w:type="dxa"/>
          </w:tcPr>
          <w:p w14:paraId="78C9F25E" w14:textId="77777777" w:rsidR="00727BDE" w:rsidRPr="0044670C" w:rsidRDefault="00727BDE" w:rsidP="006A35F1">
            <w:pPr>
              <w:ind w:left="720"/>
              <w:rPr>
                <w:color w:val="000000" w:themeColor="text1"/>
                <w:lang w:val="es-ES"/>
              </w:rPr>
            </w:pPr>
            <w:r w:rsidRPr="0044670C">
              <w:rPr>
                <w:color w:val="000000" w:themeColor="text1"/>
                <w:lang w:val="es-ES"/>
              </w:rPr>
              <w:t>Relación consensual con citas formales</w:t>
            </w:r>
          </w:p>
        </w:tc>
        <w:tc>
          <w:tcPr>
            <w:tcW w:w="3233" w:type="dxa"/>
          </w:tcPr>
          <w:p w14:paraId="7663F496" w14:textId="77777777" w:rsidR="00727BDE" w:rsidRPr="0044670C" w:rsidRDefault="00727BDE" w:rsidP="006A35F1">
            <w:pPr>
              <w:jc w:val="center"/>
              <w:rPr>
                <w:color w:val="010205"/>
                <w:lang w:val="es-ES"/>
              </w:rPr>
            </w:pPr>
            <w:r w:rsidRPr="0044670C">
              <w:rPr>
                <w:color w:val="010205"/>
                <w:lang w:val="es-ES"/>
              </w:rPr>
              <w:t>15(6.6)</w:t>
            </w:r>
          </w:p>
        </w:tc>
      </w:tr>
      <w:tr w:rsidR="00727BDE" w:rsidRPr="0044670C" w14:paraId="7E4484E0" w14:textId="77777777" w:rsidTr="00C56316">
        <w:tc>
          <w:tcPr>
            <w:tcW w:w="6112" w:type="dxa"/>
          </w:tcPr>
          <w:p w14:paraId="177BD7DA" w14:textId="77777777" w:rsidR="00727BDE" w:rsidRPr="0044670C" w:rsidRDefault="00727BDE" w:rsidP="006A35F1">
            <w:pPr>
              <w:rPr>
                <w:color w:val="000000" w:themeColor="text1"/>
                <w:lang w:val="es-ES"/>
              </w:rPr>
            </w:pPr>
            <w:r w:rsidRPr="0044670C">
              <w:rPr>
                <w:color w:val="000000" w:themeColor="text1"/>
                <w:lang w:val="es-ES"/>
              </w:rPr>
              <w:t>Escolaridad</w:t>
            </w:r>
          </w:p>
        </w:tc>
        <w:tc>
          <w:tcPr>
            <w:tcW w:w="3233" w:type="dxa"/>
          </w:tcPr>
          <w:p w14:paraId="05147E78" w14:textId="77777777" w:rsidR="00727BDE" w:rsidRPr="0044670C" w:rsidRDefault="00727BDE" w:rsidP="006A35F1">
            <w:pPr>
              <w:jc w:val="center"/>
              <w:rPr>
                <w:color w:val="000000" w:themeColor="text1"/>
                <w:lang w:val="es-ES"/>
              </w:rPr>
            </w:pPr>
          </w:p>
        </w:tc>
      </w:tr>
      <w:tr w:rsidR="00727BDE" w:rsidRPr="0044670C" w14:paraId="56B88F9B" w14:textId="77777777" w:rsidTr="00C56316">
        <w:tc>
          <w:tcPr>
            <w:tcW w:w="6112" w:type="dxa"/>
          </w:tcPr>
          <w:p w14:paraId="25AA89ED" w14:textId="77777777" w:rsidR="00727BDE" w:rsidRPr="0044670C" w:rsidRDefault="00727BDE" w:rsidP="006A35F1">
            <w:pPr>
              <w:ind w:left="720"/>
              <w:rPr>
                <w:color w:val="000000" w:themeColor="text1"/>
                <w:lang w:val="es-ES"/>
              </w:rPr>
            </w:pPr>
            <w:r w:rsidRPr="0044670C">
              <w:rPr>
                <w:color w:val="000000" w:themeColor="text1"/>
                <w:lang w:val="es-ES"/>
              </w:rPr>
              <w:t>Escuela superior</w:t>
            </w:r>
          </w:p>
        </w:tc>
        <w:tc>
          <w:tcPr>
            <w:tcW w:w="3233" w:type="dxa"/>
          </w:tcPr>
          <w:p w14:paraId="1A7A0904" w14:textId="77777777" w:rsidR="00727BDE" w:rsidRPr="0044670C" w:rsidRDefault="00727BDE" w:rsidP="006A35F1">
            <w:pPr>
              <w:jc w:val="center"/>
              <w:rPr>
                <w:color w:val="000000" w:themeColor="text1"/>
                <w:lang w:val="es-ES"/>
              </w:rPr>
            </w:pPr>
            <w:r w:rsidRPr="0044670C">
              <w:rPr>
                <w:color w:val="000000" w:themeColor="text1"/>
                <w:lang w:val="es-ES"/>
              </w:rPr>
              <w:t>15(6.6)</w:t>
            </w:r>
          </w:p>
        </w:tc>
      </w:tr>
      <w:tr w:rsidR="00727BDE" w:rsidRPr="0044670C" w14:paraId="42B64EF7" w14:textId="77777777" w:rsidTr="00C56316">
        <w:tc>
          <w:tcPr>
            <w:tcW w:w="6112" w:type="dxa"/>
          </w:tcPr>
          <w:p w14:paraId="016A0D25" w14:textId="77777777" w:rsidR="00727BDE" w:rsidRPr="0044670C" w:rsidRDefault="00727BDE" w:rsidP="006A35F1">
            <w:pPr>
              <w:ind w:left="720"/>
              <w:rPr>
                <w:color w:val="000000" w:themeColor="text1"/>
                <w:lang w:val="es-ES"/>
              </w:rPr>
            </w:pPr>
            <w:r w:rsidRPr="0044670C">
              <w:rPr>
                <w:color w:val="000000" w:themeColor="text1"/>
                <w:lang w:val="es-ES"/>
              </w:rPr>
              <w:t>Grado Asociado</w:t>
            </w:r>
          </w:p>
        </w:tc>
        <w:tc>
          <w:tcPr>
            <w:tcW w:w="3233" w:type="dxa"/>
          </w:tcPr>
          <w:p w14:paraId="5C870421" w14:textId="77777777" w:rsidR="00727BDE" w:rsidRPr="0044670C" w:rsidRDefault="00727BDE" w:rsidP="006A35F1">
            <w:pPr>
              <w:jc w:val="center"/>
              <w:rPr>
                <w:color w:val="000000" w:themeColor="text1"/>
                <w:lang w:val="es-ES"/>
              </w:rPr>
            </w:pPr>
            <w:r w:rsidRPr="0044670C">
              <w:rPr>
                <w:color w:val="000000" w:themeColor="text1"/>
                <w:lang w:val="es-ES"/>
              </w:rPr>
              <w:t>14(6.2)</w:t>
            </w:r>
          </w:p>
        </w:tc>
      </w:tr>
      <w:tr w:rsidR="00727BDE" w:rsidRPr="0044670C" w14:paraId="13A2ACF9" w14:textId="77777777" w:rsidTr="00C56316">
        <w:tc>
          <w:tcPr>
            <w:tcW w:w="6112" w:type="dxa"/>
          </w:tcPr>
          <w:p w14:paraId="67002B07" w14:textId="77777777" w:rsidR="00727BDE" w:rsidRPr="0044670C" w:rsidRDefault="00727BDE" w:rsidP="006A35F1">
            <w:pPr>
              <w:ind w:left="720"/>
              <w:rPr>
                <w:color w:val="000000" w:themeColor="text1"/>
                <w:lang w:val="es-ES"/>
              </w:rPr>
            </w:pPr>
            <w:r w:rsidRPr="0044670C">
              <w:rPr>
                <w:color w:val="000000" w:themeColor="text1"/>
                <w:lang w:val="es-ES"/>
              </w:rPr>
              <w:t>Bachillerato</w:t>
            </w:r>
          </w:p>
        </w:tc>
        <w:tc>
          <w:tcPr>
            <w:tcW w:w="3233" w:type="dxa"/>
          </w:tcPr>
          <w:p w14:paraId="0C7F8875" w14:textId="77777777" w:rsidR="00727BDE" w:rsidRPr="0044670C" w:rsidRDefault="00727BDE" w:rsidP="006A35F1">
            <w:pPr>
              <w:jc w:val="center"/>
              <w:rPr>
                <w:color w:val="000000" w:themeColor="text1"/>
                <w:lang w:val="es-ES"/>
              </w:rPr>
            </w:pPr>
            <w:r w:rsidRPr="0044670C">
              <w:rPr>
                <w:color w:val="000000" w:themeColor="text1"/>
                <w:lang w:val="es-ES"/>
              </w:rPr>
              <w:t>87(38.3)</w:t>
            </w:r>
          </w:p>
        </w:tc>
      </w:tr>
      <w:tr w:rsidR="00727BDE" w:rsidRPr="0044670C" w14:paraId="401D1FD6" w14:textId="77777777" w:rsidTr="00C56316">
        <w:tc>
          <w:tcPr>
            <w:tcW w:w="6112" w:type="dxa"/>
          </w:tcPr>
          <w:p w14:paraId="62D29656" w14:textId="77777777" w:rsidR="00727BDE" w:rsidRPr="0044670C" w:rsidRDefault="00727BDE" w:rsidP="006A35F1">
            <w:pPr>
              <w:ind w:left="720"/>
              <w:rPr>
                <w:color w:val="000000" w:themeColor="text1"/>
                <w:lang w:val="es-ES"/>
              </w:rPr>
            </w:pPr>
            <w:r w:rsidRPr="0044670C">
              <w:rPr>
                <w:color w:val="000000" w:themeColor="text1"/>
                <w:lang w:val="es-ES"/>
              </w:rPr>
              <w:t>Maestría</w:t>
            </w:r>
          </w:p>
        </w:tc>
        <w:tc>
          <w:tcPr>
            <w:tcW w:w="3233" w:type="dxa"/>
          </w:tcPr>
          <w:p w14:paraId="43DE3ED4" w14:textId="77777777" w:rsidR="00727BDE" w:rsidRPr="0044670C" w:rsidRDefault="00727BDE" w:rsidP="006A35F1">
            <w:pPr>
              <w:jc w:val="center"/>
              <w:rPr>
                <w:color w:val="000000" w:themeColor="text1"/>
                <w:lang w:val="es-ES"/>
              </w:rPr>
            </w:pPr>
            <w:r w:rsidRPr="0044670C">
              <w:rPr>
                <w:color w:val="000000" w:themeColor="text1"/>
                <w:lang w:val="es-ES"/>
              </w:rPr>
              <w:t>76(33.5)</w:t>
            </w:r>
          </w:p>
        </w:tc>
      </w:tr>
      <w:tr w:rsidR="00727BDE" w:rsidRPr="0044670C" w14:paraId="23120E4B" w14:textId="77777777" w:rsidTr="00C56316">
        <w:tc>
          <w:tcPr>
            <w:tcW w:w="6112" w:type="dxa"/>
          </w:tcPr>
          <w:p w14:paraId="385B1FE5" w14:textId="77777777" w:rsidR="00727BDE" w:rsidRPr="0044670C" w:rsidRDefault="00727BDE" w:rsidP="006A35F1">
            <w:pPr>
              <w:ind w:left="720"/>
              <w:rPr>
                <w:color w:val="000000" w:themeColor="text1"/>
                <w:lang w:val="es-ES"/>
              </w:rPr>
            </w:pPr>
            <w:r w:rsidRPr="0044670C">
              <w:rPr>
                <w:color w:val="000000" w:themeColor="text1"/>
                <w:lang w:val="es-ES"/>
              </w:rPr>
              <w:t>Doctorado</w:t>
            </w:r>
          </w:p>
        </w:tc>
        <w:tc>
          <w:tcPr>
            <w:tcW w:w="3233" w:type="dxa"/>
          </w:tcPr>
          <w:p w14:paraId="1AE37527" w14:textId="77777777" w:rsidR="00727BDE" w:rsidRPr="0044670C" w:rsidRDefault="00727BDE" w:rsidP="006A35F1">
            <w:pPr>
              <w:jc w:val="center"/>
              <w:rPr>
                <w:color w:val="000000" w:themeColor="text1"/>
                <w:lang w:val="es-ES"/>
              </w:rPr>
            </w:pPr>
            <w:r w:rsidRPr="0044670C">
              <w:rPr>
                <w:color w:val="000000" w:themeColor="text1"/>
                <w:lang w:val="es-ES"/>
              </w:rPr>
              <w:t>26(11.5)</w:t>
            </w:r>
          </w:p>
        </w:tc>
      </w:tr>
      <w:tr w:rsidR="00727BDE" w:rsidRPr="0044670C" w14:paraId="0FF64749" w14:textId="77777777" w:rsidTr="00C56316">
        <w:tc>
          <w:tcPr>
            <w:tcW w:w="6112" w:type="dxa"/>
          </w:tcPr>
          <w:p w14:paraId="06BB24C6" w14:textId="77777777" w:rsidR="00727BDE" w:rsidRPr="0044670C" w:rsidRDefault="00727BDE" w:rsidP="006A35F1">
            <w:pPr>
              <w:ind w:left="720"/>
              <w:rPr>
                <w:color w:val="000000" w:themeColor="text1"/>
                <w:lang w:val="es-ES"/>
              </w:rPr>
            </w:pPr>
            <w:r w:rsidRPr="0044670C">
              <w:rPr>
                <w:color w:val="000000" w:themeColor="text1"/>
                <w:lang w:val="es-ES"/>
              </w:rPr>
              <w:t>Otro</w:t>
            </w:r>
          </w:p>
        </w:tc>
        <w:tc>
          <w:tcPr>
            <w:tcW w:w="3233" w:type="dxa"/>
          </w:tcPr>
          <w:p w14:paraId="547E6505" w14:textId="77777777" w:rsidR="00727BDE" w:rsidRPr="0044670C" w:rsidRDefault="00727BDE" w:rsidP="006A35F1">
            <w:pPr>
              <w:jc w:val="center"/>
              <w:rPr>
                <w:color w:val="010205"/>
                <w:lang w:val="es-ES"/>
              </w:rPr>
            </w:pPr>
            <w:r w:rsidRPr="0044670C">
              <w:rPr>
                <w:color w:val="000000" w:themeColor="text1"/>
                <w:lang w:val="es-ES"/>
              </w:rPr>
              <w:t>9(4.0)</w:t>
            </w:r>
          </w:p>
        </w:tc>
      </w:tr>
    </w:tbl>
    <w:p w14:paraId="388AE166" w14:textId="764B87F0" w:rsidR="00727BDE" w:rsidRPr="0044670C" w:rsidRDefault="00727BDE" w:rsidP="00727BDE">
      <w:pPr>
        <w:spacing w:before="240" w:line="360" w:lineRule="auto"/>
        <w:rPr>
          <w:b/>
          <w:bCs/>
          <w:lang w:val="es-ES"/>
        </w:rPr>
      </w:pPr>
      <w:r w:rsidRPr="0044670C">
        <w:rPr>
          <w:b/>
          <w:bCs/>
          <w:lang w:val="es-ES"/>
        </w:rPr>
        <w:t>Análisis de factores exploratorio</w:t>
      </w:r>
      <w:r w:rsidR="00224038">
        <w:rPr>
          <w:b/>
          <w:bCs/>
          <w:lang w:val="es-ES"/>
        </w:rPr>
        <w:t xml:space="preserve"> (AFE)</w:t>
      </w:r>
    </w:p>
    <w:p w14:paraId="6DC643EC" w14:textId="7017BFF9" w:rsidR="00727BDE" w:rsidRPr="00D21CD8" w:rsidRDefault="00727BDE" w:rsidP="00727BDE">
      <w:pPr>
        <w:spacing w:line="360" w:lineRule="auto"/>
        <w:jc w:val="both"/>
        <w:rPr>
          <w:b/>
          <w:bCs/>
          <w:lang w:val="es-ES"/>
        </w:rPr>
      </w:pPr>
      <w:r w:rsidRPr="0044670C">
        <w:rPr>
          <w:b/>
          <w:bCs/>
          <w:lang w:val="es-ES"/>
        </w:rPr>
        <w:tab/>
      </w:r>
      <w:r w:rsidR="00AF1C41">
        <w:t>Realizamos</w:t>
      </w:r>
      <w:r w:rsidR="00D21CD8">
        <w:t xml:space="preserve"> un </w:t>
      </w:r>
      <w:r w:rsidR="00224038">
        <w:t>AFE</w:t>
      </w:r>
      <w:r w:rsidR="00D21CD8">
        <w:t xml:space="preserve"> para reducir la matriz de 62 reactivos del instrumento. </w:t>
      </w:r>
      <w:r w:rsidR="00FD4949">
        <w:t xml:space="preserve">Utilizamos el método de factorización de ejes principales (FEP) con rotación </w:t>
      </w:r>
      <w:proofErr w:type="spellStart"/>
      <w:r w:rsidR="00FD4949">
        <w:t>Varimax</w:t>
      </w:r>
      <w:proofErr w:type="spellEnd"/>
      <w:r w:rsidR="00FD4949">
        <w:t xml:space="preserve"> (rotación ortogonal) para </w:t>
      </w:r>
      <w:r w:rsidR="00FD4949">
        <w:lastRenderedPageBreak/>
        <w:t>los 62 reactivos</w:t>
      </w:r>
      <w:r w:rsidR="0041389B">
        <w:t>.</w:t>
      </w:r>
      <w:r w:rsidR="00FD4949">
        <w:t xml:space="preserve"> De este proceso, r</w:t>
      </w:r>
      <w:r w:rsidR="00D21CD8">
        <w:t>etuvi</w:t>
      </w:r>
      <w:r w:rsidR="00FD4949">
        <w:t>mos</w:t>
      </w:r>
      <w:r w:rsidR="00D21CD8">
        <w:t xml:space="preserve"> </w:t>
      </w:r>
      <w:r w:rsidR="00FD4949">
        <w:t xml:space="preserve">los </w:t>
      </w:r>
      <w:r w:rsidR="00D21CD8">
        <w:t xml:space="preserve">tres factores o subescalas que </w:t>
      </w:r>
      <w:r w:rsidR="00430392">
        <w:t>mejor explica</w:t>
      </w:r>
      <w:r w:rsidR="00DB7E5C">
        <w:t>ron</w:t>
      </w:r>
      <w:r w:rsidR="00D21CD8">
        <w:t xml:space="preserve"> la variabilidad común entre las subescalas y cada reactivo. </w:t>
      </w:r>
      <w:r w:rsidR="00FD4949">
        <w:t xml:space="preserve">Seleccionamos aquellos </w:t>
      </w:r>
      <w:r w:rsidR="00D21CD8">
        <w:t xml:space="preserve">reactivos con una carga factorial mayor a .30 y que se ubicaron en un solo factor. </w:t>
      </w:r>
      <w:r w:rsidR="00FD4949">
        <w:t xml:space="preserve">A su vez, </w:t>
      </w:r>
      <w:r w:rsidR="00D21CD8">
        <w:t>elimina</w:t>
      </w:r>
      <w:r w:rsidR="00FD4949">
        <w:t>mos</w:t>
      </w:r>
      <w:r w:rsidR="00D21CD8">
        <w:t xml:space="preserve"> los reactivos con una diferencia de carga igual o menor a .10 entre los factores. </w:t>
      </w:r>
      <w:r w:rsidR="006D7A99">
        <w:t>Al</w:t>
      </w:r>
      <w:r w:rsidR="00D21CD8">
        <w:t xml:space="preserve"> elimin</w:t>
      </w:r>
      <w:r w:rsidR="006D7A99">
        <w:t>arse</w:t>
      </w:r>
      <w:r w:rsidR="00D21CD8">
        <w:t xml:space="preserve"> 14 reactivos, </w:t>
      </w:r>
      <w:r w:rsidR="006D7A99">
        <w:t xml:space="preserve">quedaron </w:t>
      </w:r>
      <w:r w:rsidR="00D21CD8">
        <w:t xml:space="preserve">48 </w:t>
      </w:r>
      <w:r w:rsidR="006D7A99">
        <w:t xml:space="preserve">que están </w:t>
      </w:r>
      <w:r w:rsidR="00D21CD8">
        <w:t>distribuidos en tres subescalas</w:t>
      </w:r>
      <w:r w:rsidR="00DB7E5C">
        <w:t xml:space="preserve"> </w:t>
      </w:r>
      <w:r w:rsidR="00D21CD8">
        <w:t>nombradas como: 1) Estereotipar a personas ateas, 2) Degradación de la identidad ateísta</w:t>
      </w:r>
      <w:r w:rsidR="00BF42D4">
        <w:t>,</w:t>
      </w:r>
      <w:r w:rsidR="00D21CD8">
        <w:t xml:space="preserve"> y 3) Negación de la individualidad ateísta.</w:t>
      </w:r>
      <w:r w:rsidR="00D21CD8">
        <w:rPr>
          <w:b/>
          <w:bCs/>
          <w:lang w:val="es-ES"/>
        </w:rPr>
        <w:t xml:space="preserve"> </w:t>
      </w:r>
      <w:r>
        <w:rPr>
          <w:rStyle w:val="hgkelc"/>
          <w:lang w:val="es-ES"/>
        </w:rPr>
        <w:t>Para más información, véase Tabla 2.</w:t>
      </w:r>
    </w:p>
    <w:p w14:paraId="6F010559" w14:textId="77777777" w:rsidR="00727BDE" w:rsidRPr="00C56316" w:rsidRDefault="00727BDE" w:rsidP="00441D67">
      <w:pPr>
        <w:spacing w:line="276" w:lineRule="auto"/>
        <w:rPr>
          <w:b/>
          <w:bCs/>
          <w:lang w:val="es-ES"/>
        </w:rPr>
      </w:pPr>
      <w:r>
        <w:rPr>
          <w:b/>
          <w:bCs/>
          <w:lang w:val="es-ES"/>
        </w:rPr>
        <w:t>Tabla 2</w:t>
      </w:r>
    </w:p>
    <w:p w14:paraId="15371BB3" w14:textId="77777777" w:rsidR="00727BDE" w:rsidRPr="0044670C" w:rsidRDefault="00727BDE" w:rsidP="00441D67">
      <w:pPr>
        <w:spacing w:line="276" w:lineRule="auto"/>
        <w:rPr>
          <w:i/>
          <w:iCs/>
          <w:lang w:val="es-ES"/>
        </w:rPr>
      </w:pPr>
      <w:r>
        <w:rPr>
          <w:i/>
          <w:iCs/>
          <w:lang w:val="es-ES"/>
        </w:rPr>
        <w:t>Resultados del análisis de factores exploratorios de la EMPA</w:t>
      </w:r>
    </w:p>
    <w:tbl>
      <w:tblPr>
        <w:tblStyle w:val="TableGrid1"/>
        <w:tblW w:w="9350" w:type="dxa"/>
        <w:tblInd w:w="5" w:type="dxa"/>
        <w:tblLayout w:type="fixed"/>
        <w:tblLook w:val="04A0" w:firstRow="1" w:lastRow="0" w:firstColumn="1" w:lastColumn="0" w:noHBand="0" w:noVBand="1"/>
      </w:tblPr>
      <w:tblGrid>
        <w:gridCol w:w="7280"/>
        <w:gridCol w:w="810"/>
        <w:gridCol w:w="540"/>
        <w:gridCol w:w="720"/>
      </w:tblGrid>
      <w:tr w:rsidR="00890199" w14:paraId="613E8E33" w14:textId="77777777" w:rsidTr="006A35F1">
        <w:trPr>
          <w:tblHeader/>
        </w:trPr>
        <w:tc>
          <w:tcPr>
            <w:tcW w:w="7280" w:type="dxa"/>
            <w:tcBorders>
              <w:left w:val="nil"/>
              <w:bottom w:val="nil"/>
              <w:right w:val="nil"/>
            </w:tcBorders>
          </w:tcPr>
          <w:p w14:paraId="315C178C" w14:textId="77777777" w:rsidR="00890199" w:rsidRPr="00D90996" w:rsidRDefault="00890199" w:rsidP="00D85E63">
            <w:pPr>
              <w:jc w:val="center"/>
              <w:rPr>
                <w:lang w:val="es-ES"/>
              </w:rPr>
            </w:pPr>
            <w:r w:rsidRPr="00D90996">
              <w:rPr>
                <w:lang w:val="es-ES"/>
              </w:rPr>
              <w:t>Reactivo de EMPA</w:t>
            </w:r>
          </w:p>
        </w:tc>
        <w:tc>
          <w:tcPr>
            <w:tcW w:w="2070" w:type="dxa"/>
            <w:gridSpan w:val="3"/>
            <w:tcBorders>
              <w:left w:val="nil"/>
              <w:right w:val="nil"/>
            </w:tcBorders>
          </w:tcPr>
          <w:p w14:paraId="350022A9" w14:textId="77777777" w:rsidR="00890199" w:rsidRPr="00D90996" w:rsidRDefault="00890199" w:rsidP="00D85E63">
            <w:pPr>
              <w:jc w:val="center"/>
              <w:rPr>
                <w:lang w:val="es-ES"/>
              </w:rPr>
            </w:pPr>
            <w:r w:rsidRPr="00D90996">
              <w:rPr>
                <w:lang w:val="es-ES"/>
              </w:rPr>
              <w:t xml:space="preserve">Carga </w:t>
            </w:r>
            <w:r>
              <w:rPr>
                <w:lang w:val="es-ES"/>
              </w:rPr>
              <w:t>f</w:t>
            </w:r>
            <w:r w:rsidRPr="00D90996">
              <w:rPr>
                <w:lang w:val="es-ES"/>
              </w:rPr>
              <w:t>actorial</w:t>
            </w:r>
          </w:p>
        </w:tc>
      </w:tr>
      <w:tr w:rsidR="00890199" w14:paraId="438065B9" w14:textId="77777777" w:rsidTr="006A35F1">
        <w:trPr>
          <w:tblHeader/>
        </w:trPr>
        <w:tc>
          <w:tcPr>
            <w:tcW w:w="7280" w:type="dxa"/>
            <w:tcBorders>
              <w:top w:val="nil"/>
              <w:left w:val="nil"/>
              <w:bottom w:val="single" w:sz="4" w:space="0" w:color="auto"/>
              <w:right w:val="nil"/>
            </w:tcBorders>
          </w:tcPr>
          <w:p w14:paraId="37E22E71" w14:textId="77777777" w:rsidR="00890199" w:rsidRPr="00D90996" w:rsidRDefault="00890199" w:rsidP="00D85E63">
            <w:pPr>
              <w:jc w:val="center"/>
              <w:rPr>
                <w:lang w:val="es-ES"/>
              </w:rPr>
            </w:pPr>
          </w:p>
        </w:tc>
        <w:tc>
          <w:tcPr>
            <w:tcW w:w="810" w:type="dxa"/>
            <w:tcBorders>
              <w:left w:val="nil"/>
              <w:bottom w:val="single" w:sz="4" w:space="0" w:color="auto"/>
              <w:right w:val="nil"/>
            </w:tcBorders>
          </w:tcPr>
          <w:p w14:paraId="7B1C7ED0" w14:textId="77777777" w:rsidR="00890199" w:rsidRPr="00D90996" w:rsidRDefault="00890199" w:rsidP="00D85E63">
            <w:pPr>
              <w:jc w:val="center"/>
              <w:rPr>
                <w:lang w:val="es-ES"/>
              </w:rPr>
            </w:pPr>
            <w:r w:rsidRPr="00D90996">
              <w:rPr>
                <w:lang w:val="es-ES"/>
              </w:rPr>
              <w:t>1</w:t>
            </w:r>
          </w:p>
        </w:tc>
        <w:tc>
          <w:tcPr>
            <w:tcW w:w="540" w:type="dxa"/>
            <w:tcBorders>
              <w:left w:val="nil"/>
              <w:right w:val="nil"/>
            </w:tcBorders>
          </w:tcPr>
          <w:p w14:paraId="0F39E2A2" w14:textId="77777777" w:rsidR="00890199" w:rsidRPr="00D90996" w:rsidRDefault="00890199" w:rsidP="00D85E63">
            <w:pPr>
              <w:jc w:val="center"/>
              <w:rPr>
                <w:lang w:val="es-ES"/>
              </w:rPr>
            </w:pPr>
            <w:r w:rsidRPr="00D90996">
              <w:rPr>
                <w:lang w:val="es-ES"/>
              </w:rPr>
              <w:t>2</w:t>
            </w:r>
          </w:p>
        </w:tc>
        <w:tc>
          <w:tcPr>
            <w:tcW w:w="720" w:type="dxa"/>
            <w:tcBorders>
              <w:left w:val="nil"/>
              <w:bottom w:val="single" w:sz="4" w:space="0" w:color="auto"/>
              <w:right w:val="nil"/>
            </w:tcBorders>
          </w:tcPr>
          <w:p w14:paraId="3AB81813" w14:textId="77777777" w:rsidR="00890199" w:rsidRPr="00D90996" w:rsidRDefault="00890199" w:rsidP="00D85E63">
            <w:pPr>
              <w:jc w:val="center"/>
              <w:rPr>
                <w:lang w:val="es-ES"/>
              </w:rPr>
            </w:pPr>
            <w:r w:rsidRPr="00D90996">
              <w:rPr>
                <w:lang w:val="es-ES"/>
              </w:rPr>
              <w:t>3</w:t>
            </w:r>
          </w:p>
        </w:tc>
      </w:tr>
      <w:tr w:rsidR="00890199" w:rsidRPr="00D90996" w14:paraId="78E7EB54" w14:textId="77777777" w:rsidTr="00D85E63">
        <w:tc>
          <w:tcPr>
            <w:tcW w:w="7280" w:type="dxa"/>
            <w:tcBorders>
              <w:left w:val="nil"/>
              <w:right w:val="nil"/>
            </w:tcBorders>
          </w:tcPr>
          <w:p w14:paraId="2FCB355D" w14:textId="77777777" w:rsidR="00890199" w:rsidRPr="00D16A65" w:rsidRDefault="00890199" w:rsidP="00D85E63">
            <w:pPr>
              <w:rPr>
                <w:b/>
                <w:bCs/>
                <w:lang w:val="es-ES"/>
              </w:rPr>
            </w:pPr>
            <w:r w:rsidRPr="00D16A65">
              <w:rPr>
                <w:b/>
                <w:bCs/>
                <w:lang w:val="es-ES"/>
              </w:rPr>
              <w:t>Factor 1: Estereotipar a personas ateas</w:t>
            </w:r>
          </w:p>
          <w:p w14:paraId="21CAEB62" w14:textId="77777777" w:rsidR="00890199" w:rsidRDefault="00890199" w:rsidP="00D85E63">
            <w:pPr>
              <w:ind w:left="238"/>
              <w:rPr>
                <w:lang w:val="es-ES"/>
              </w:rPr>
            </w:pPr>
            <w:r>
              <w:rPr>
                <w:lang w:val="es-ES"/>
              </w:rPr>
              <w:t xml:space="preserve">23. </w:t>
            </w:r>
            <w:r w:rsidRPr="00942B9F">
              <w:rPr>
                <w:color w:val="000000" w:themeColor="text1"/>
                <w:lang w:val="es-ES"/>
              </w:rPr>
              <w:t>Alguien me ha dicho que no tengo morales porque soy ateo/a</w:t>
            </w:r>
            <w:r>
              <w:rPr>
                <w:color w:val="000000" w:themeColor="text1"/>
                <w:lang w:val="es-ES"/>
              </w:rPr>
              <w:t>.</w:t>
            </w:r>
          </w:p>
          <w:p w14:paraId="00B4C3BB" w14:textId="77777777" w:rsidR="00890199" w:rsidRDefault="00890199" w:rsidP="00D85E63">
            <w:pPr>
              <w:ind w:left="238"/>
              <w:rPr>
                <w:lang w:val="es-ES"/>
              </w:rPr>
            </w:pPr>
            <w:r>
              <w:rPr>
                <w:lang w:val="es-ES"/>
              </w:rPr>
              <w:t>22.</w:t>
            </w:r>
            <w:r w:rsidRPr="00942B9F">
              <w:rPr>
                <w:color w:val="000000" w:themeColor="text1"/>
                <w:lang w:val="es-ES"/>
              </w:rPr>
              <w:t xml:space="preserve"> Alguien me ha dicho que no tengo valores porque soy ateo/a.</w:t>
            </w:r>
          </w:p>
          <w:p w14:paraId="31C58818" w14:textId="77777777" w:rsidR="00890199" w:rsidRDefault="00890199" w:rsidP="00D85E63">
            <w:pPr>
              <w:ind w:left="238"/>
              <w:rPr>
                <w:color w:val="000000" w:themeColor="text1"/>
                <w:lang w:val="es-ES"/>
              </w:rPr>
            </w:pPr>
            <w:r>
              <w:rPr>
                <w:lang w:val="es-ES"/>
              </w:rPr>
              <w:t>18.</w:t>
            </w:r>
            <w:r w:rsidRPr="00942B9F">
              <w:rPr>
                <w:color w:val="000000" w:themeColor="text1"/>
                <w:lang w:val="es-ES"/>
              </w:rPr>
              <w:t xml:space="preserve"> Alguien me ha dicho que mi vida no tiene un propósito porque </w:t>
            </w:r>
            <w:r>
              <w:rPr>
                <w:color w:val="000000" w:themeColor="text1"/>
                <w:lang w:val="es-ES"/>
              </w:rPr>
              <w:t xml:space="preserve"> </w:t>
            </w:r>
          </w:p>
          <w:p w14:paraId="0202CC2D" w14:textId="77777777" w:rsidR="00890199" w:rsidRDefault="00890199" w:rsidP="00D85E63">
            <w:pPr>
              <w:ind w:left="238"/>
              <w:rPr>
                <w:lang w:val="es-ES"/>
              </w:rPr>
            </w:pPr>
            <w:r>
              <w:rPr>
                <w:lang w:val="es-ES"/>
              </w:rPr>
              <w:t xml:space="preserve">      </w:t>
            </w:r>
            <w:r w:rsidRPr="00942B9F">
              <w:rPr>
                <w:color w:val="000000" w:themeColor="text1"/>
                <w:lang w:val="es-ES"/>
              </w:rPr>
              <w:t>soy ateo/a.</w:t>
            </w:r>
          </w:p>
          <w:p w14:paraId="405F95F4" w14:textId="77777777" w:rsidR="00890199" w:rsidRDefault="00890199" w:rsidP="00D85E63">
            <w:pPr>
              <w:ind w:left="238"/>
              <w:rPr>
                <w:color w:val="000000" w:themeColor="text1"/>
                <w:lang w:val="es-ES"/>
              </w:rPr>
            </w:pPr>
            <w:r>
              <w:rPr>
                <w:color w:val="000000" w:themeColor="text1"/>
                <w:lang w:val="es-ES"/>
              </w:rPr>
              <w:t xml:space="preserve">19. </w:t>
            </w:r>
            <w:r w:rsidRPr="00942B9F">
              <w:rPr>
                <w:color w:val="000000" w:themeColor="text1"/>
                <w:lang w:val="es-ES"/>
              </w:rPr>
              <w:t xml:space="preserve">Alguien me ha dicho que no tengo un propósito en la vida porque </w:t>
            </w:r>
          </w:p>
          <w:p w14:paraId="2E088B4C" w14:textId="77777777" w:rsidR="00890199" w:rsidRDefault="00890199" w:rsidP="00D85E63">
            <w:pPr>
              <w:ind w:left="238"/>
              <w:rPr>
                <w:lang w:val="es-ES"/>
              </w:rPr>
            </w:pPr>
            <w:r>
              <w:rPr>
                <w:color w:val="000000" w:themeColor="text1"/>
                <w:lang w:val="es-ES"/>
              </w:rPr>
              <w:t xml:space="preserve">      </w:t>
            </w:r>
            <w:r w:rsidRPr="00942B9F">
              <w:rPr>
                <w:color w:val="000000" w:themeColor="text1"/>
                <w:lang w:val="es-ES"/>
              </w:rPr>
              <w:t>no creo en Dios.</w:t>
            </w:r>
          </w:p>
          <w:p w14:paraId="18D4A6A6" w14:textId="77777777" w:rsidR="00890199" w:rsidRDefault="00890199" w:rsidP="00D85E63">
            <w:pPr>
              <w:ind w:left="238"/>
              <w:rPr>
                <w:color w:val="000000" w:themeColor="text1"/>
                <w:lang w:val="es-ES"/>
              </w:rPr>
            </w:pPr>
            <w:r>
              <w:rPr>
                <w:lang w:val="es-ES"/>
              </w:rPr>
              <w:t xml:space="preserve">40. </w:t>
            </w:r>
            <w:r w:rsidRPr="00942B9F">
              <w:rPr>
                <w:color w:val="000000" w:themeColor="text1"/>
                <w:lang w:val="es-ES"/>
              </w:rPr>
              <w:t>Alguien me ha dicho comentarios despectivos por ser ateo/a (</w:t>
            </w:r>
            <w:proofErr w:type="spellStart"/>
            <w:r w:rsidRPr="00942B9F">
              <w:rPr>
                <w:color w:val="000000" w:themeColor="text1"/>
                <w:lang w:val="es-ES"/>
              </w:rPr>
              <w:t>ej</w:t>
            </w:r>
            <w:proofErr w:type="spellEnd"/>
            <w:r w:rsidRPr="00942B9F">
              <w:rPr>
                <w:color w:val="000000" w:themeColor="text1"/>
                <w:lang w:val="es-ES"/>
              </w:rPr>
              <w:t xml:space="preserve">: </w:t>
            </w:r>
          </w:p>
          <w:p w14:paraId="3109DF16" w14:textId="77777777" w:rsidR="00890199" w:rsidRDefault="00890199" w:rsidP="00D85E63">
            <w:pPr>
              <w:ind w:left="238"/>
              <w:rPr>
                <w:lang w:val="es-ES"/>
              </w:rPr>
            </w:pPr>
            <w:r>
              <w:rPr>
                <w:lang w:val="es-ES"/>
              </w:rPr>
              <w:t xml:space="preserve">       </w:t>
            </w:r>
            <w:r w:rsidRPr="00942B9F">
              <w:rPr>
                <w:color w:val="000000" w:themeColor="text1"/>
                <w:lang w:val="es-ES"/>
              </w:rPr>
              <w:t>eres estúpido/a, ignorante).</w:t>
            </w:r>
          </w:p>
          <w:p w14:paraId="62C00BFB" w14:textId="77777777" w:rsidR="00890199" w:rsidRDefault="00890199" w:rsidP="00D85E63">
            <w:pPr>
              <w:ind w:left="238"/>
              <w:rPr>
                <w:lang w:val="es-ES"/>
              </w:rPr>
            </w:pPr>
            <w:r>
              <w:rPr>
                <w:lang w:val="es-ES"/>
              </w:rPr>
              <w:t xml:space="preserve">38. </w:t>
            </w:r>
            <w:r w:rsidRPr="00942B9F">
              <w:rPr>
                <w:color w:val="000000" w:themeColor="text1"/>
                <w:lang w:val="es-ES"/>
              </w:rPr>
              <w:t>Me han dicho que no soy o no puedo ser feliz porque soy ateo/a.</w:t>
            </w:r>
          </w:p>
          <w:p w14:paraId="7C9896D6" w14:textId="77777777" w:rsidR="00890199" w:rsidRDefault="00890199" w:rsidP="00D85E63">
            <w:pPr>
              <w:ind w:left="238"/>
              <w:rPr>
                <w:color w:val="000000" w:themeColor="text1"/>
                <w:lang w:val="es-ES"/>
              </w:rPr>
            </w:pPr>
            <w:r>
              <w:rPr>
                <w:lang w:val="es-ES"/>
              </w:rPr>
              <w:t xml:space="preserve">21. </w:t>
            </w:r>
            <w:r w:rsidRPr="00942B9F">
              <w:rPr>
                <w:color w:val="000000" w:themeColor="text1"/>
                <w:lang w:val="es-ES"/>
              </w:rPr>
              <w:t xml:space="preserve">Alguien me ha dicho que no pueden confiar en mi porque soy </w:t>
            </w:r>
          </w:p>
          <w:p w14:paraId="04DF9D36" w14:textId="77777777" w:rsidR="00890199" w:rsidRDefault="00890199" w:rsidP="00D85E63">
            <w:pPr>
              <w:ind w:left="238"/>
              <w:rPr>
                <w:lang w:val="es-ES"/>
              </w:rPr>
            </w:pPr>
            <w:r>
              <w:rPr>
                <w:lang w:val="es-ES"/>
              </w:rPr>
              <w:t xml:space="preserve">      </w:t>
            </w:r>
            <w:r w:rsidRPr="00942B9F">
              <w:rPr>
                <w:color w:val="000000" w:themeColor="text1"/>
                <w:lang w:val="es-ES"/>
              </w:rPr>
              <w:t>ateo/a.</w:t>
            </w:r>
          </w:p>
          <w:p w14:paraId="119ED1B3" w14:textId="77777777" w:rsidR="00890199" w:rsidRDefault="00890199" w:rsidP="00D85E63">
            <w:pPr>
              <w:ind w:left="238"/>
              <w:rPr>
                <w:color w:val="000000" w:themeColor="text1"/>
                <w:lang w:val="es-ES"/>
              </w:rPr>
            </w:pPr>
            <w:r>
              <w:rPr>
                <w:lang w:val="es-ES"/>
              </w:rPr>
              <w:t xml:space="preserve">34. </w:t>
            </w:r>
            <w:r w:rsidRPr="00942B9F">
              <w:rPr>
                <w:color w:val="000000" w:themeColor="text1"/>
                <w:lang w:val="es-ES"/>
              </w:rPr>
              <w:t xml:space="preserve">Me han dicho que no soy una persona buena porque soy ateo/a. </w:t>
            </w:r>
          </w:p>
          <w:p w14:paraId="14DF7288" w14:textId="77777777" w:rsidR="00890199" w:rsidRDefault="00890199" w:rsidP="00D85E63">
            <w:pPr>
              <w:ind w:left="238"/>
              <w:rPr>
                <w:color w:val="000000" w:themeColor="text1"/>
                <w:lang w:val="es-ES"/>
              </w:rPr>
            </w:pPr>
            <w:r>
              <w:rPr>
                <w:lang w:val="es-ES"/>
              </w:rPr>
              <w:t>39.</w:t>
            </w:r>
            <w:r w:rsidRPr="00942B9F">
              <w:rPr>
                <w:color w:val="000000" w:themeColor="text1"/>
                <w:lang w:val="es-ES"/>
              </w:rPr>
              <w:t xml:space="preserve"> Alguien me ha dicho que confían más en alguien de cualquier tipo </w:t>
            </w:r>
          </w:p>
          <w:p w14:paraId="5B398F37" w14:textId="77777777" w:rsidR="00890199" w:rsidRDefault="00890199" w:rsidP="00D85E63">
            <w:pPr>
              <w:ind w:left="238"/>
              <w:rPr>
                <w:color w:val="000000" w:themeColor="text1"/>
                <w:lang w:val="es-ES"/>
              </w:rPr>
            </w:pPr>
            <w:r>
              <w:rPr>
                <w:lang w:val="es-ES"/>
              </w:rPr>
              <w:t xml:space="preserve">      </w:t>
            </w:r>
            <w:r w:rsidRPr="00942B9F">
              <w:rPr>
                <w:color w:val="000000" w:themeColor="text1"/>
                <w:lang w:val="es-ES"/>
              </w:rPr>
              <w:t>denominación religiosa (</w:t>
            </w:r>
            <w:proofErr w:type="spellStart"/>
            <w:r w:rsidRPr="00942B9F">
              <w:rPr>
                <w:color w:val="000000" w:themeColor="text1"/>
                <w:lang w:val="es-ES"/>
              </w:rPr>
              <w:t>ej</w:t>
            </w:r>
            <w:proofErr w:type="spellEnd"/>
            <w:r w:rsidRPr="00942B9F">
              <w:rPr>
                <w:color w:val="000000" w:themeColor="text1"/>
                <w:lang w:val="es-ES"/>
              </w:rPr>
              <w:t xml:space="preserve">: evangélica, cristiana, judía) que en </w:t>
            </w:r>
          </w:p>
          <w:p w14:paraId="4A381994" w14:textId="77777777" w:rsidR="00890199" w:rsidRDefault="00890199" w:rsidP="00D85E63">
            <w:pPr>
              <w:ind w:left="238"/>
              <w:rPr>
                <w:lang w:val="es-ES"/>
              </w:rPr>
            </w:pPr>
            <w:r>
              <w:rPr>
                <w:color w:val="000000" w:themeColor="text1"/>
                <w:lang w:val="es-ES"/>
              </w:rPr>
              <w:t xml:space="preserve">      </w:t>
            </w:r>
            <w:r w:rsidRPr="00942B9F">
              <w:rPr>
                <w:color w:val="000000" w:themeColor="text1"/>
                <w:lang w:val="es-ES"/>
              </w:rPr>
              <w:t>una persona atea.</w:t>
            </w:r>
          </w:p>
          <w:p w14:paraId="653A327B" w14:textId="77777777" w:rsidR="00890199" w:rsidRDefault="00890199" w:rsidP="00D85E63">
            <w:pPr>
              <w:ind w:left="238"/>
              <w:rPr>
                <w:color w:val="000000" w:themeColor="text1"/>
                <w:lang w:val="es-ES"/>
              </w:rPr>
            </w:pPr>
            <w:r>
              <w:rPr>
                <w:lang w:val="es-ES"/>
              </w:rPr>
              <w:t xml:space="preserve">24. </w:t>
            </w:r>
            <w:r w:rsidRPr="00942B9F">
              <w:rPr>
                <w:color w:val="000000" w:themeColor="text1"/>
                <w:lang w:val="es-ES"/>
              </w:rPr>
              <w:t xml:space="preserve">Me han dicho que soy anticristianos, es decir, que discrimino o </w:t>
            </w:r>
          </w:p>
          <w:p w14:paraId="04AF9239" w14:textId="77777777" w:rsidR="00890199" w:rsidRDefault="00890199" w:rsidP="00D85E63">
            <w:pPr>
              <w:ind w:left="238"/>
              <w:rPr>
                <w:lang w:val="es-ES"/>
              </w:rPr>
            </w:pPr>
            <w:r>
              <w:rPr>
                <w:lang w:val="es-ES"/>
              </w:rPr>
              <w:t xml:space="preserve">      </w:t>
            </w:r>
            <w:r w:rsidRPr="00942B9F">
              <w:rPr>
                <w:color w:val="000000" w:themeColor="text1"/>
                <w:lang w:val="es-ES"/>
              </w:rPr>
              <w:t>soy intolerante a los/as cristianos/as.</w:t>
            </w:r>
          </w:p>
          <w:p w14:paraId="5E8939A5" w14:textId="77777777" w:rsidR="00890199" w:rsidRPr="00D90996" w:rsidRDefault="00890199" w:rsidP="00D85E63">
            <w:pPr>
              <w:ind w:left="238"/>
              <w:rPr>
                <w:lang w:val="es-ES"/>
              </w:rPr>
            </w:pPr>
            <w:r>
              <w:rPr>
                <w:lang w:val="es-ES"/>
              </w:rPr>
              <w:t xml:space="preserve">16. </w:t>
            </w:r>
            <w:r w:rsidRPr="00942B9F">
              <w:rPr>
                <w:color w:val="000000" w:themeColor="text1"/>
                <w:lang w:val="es-ES"/>
              </w:rPr>
              <w:t>Me han preguntado si le rindo culto o adoración al diablo.</w:t>
            </w:r>
          </w:p>
          <w:p w14:paraId="51755DD6" w14:textId="77777777" w:rsidR="00890199" w:rsidRDefault="00890199" w:rsidP="00D85E63">
            <w:pPr>
              <w:ind w:left="238"/>
              <w:rPr>
                <w:color w:val="000000" w:themeColor="text1"/>
                <w:lang w:val="es-ES"/>
              </w:rPr>
            </w:pPr>
            <w:r>
              <w:rPr>
                <w:color w:val="000000" w:themeColor="text1"/>
                <w:lang w:val="es-ES"/>
              </w:rPr>
              <w:t xml:space="preserve">43. </w:t>
            </w:r>
            <w:r w:rsidRPr="00942B9F">
              <w:rPr>
                <w:color w:val="000000" w:themeColor="text1"/>
                <w:lang w:val="es-ES"/>
              </w:rPr>
              <w:t xml:space="preserve">Alguien me ha dicho que está decepcionado/a de mi porque soy </w:t>
            </w:r>
          </w:p>
          <w:p w14:paraId="1E9DADFD" w14:textId="77777777" w:rsidR="00890199" w:rsidRDefault="00890199" w:rsidP="00D85E63">
            <w:pPr>
              <w:ind w:left="238"/>
              <w:rPr>
                <w:lang w:val="es-ES"/>
              </w:rPr>
            </w:pPr>
            <w:r>
              <w:rPr>
                <w:color w:val="000000" w:themeColor="text1"/>
                <w:lang w:val="es-ES"/>
              </w:rPr>
              <w:t xml:space="preserve">      </w:t>
            </w:r>
            <w:r w:rsidRPr="00942B9F">
              <w:rPr>
                <w:color w:val="000000" w:themeColor="text1"/>
                <w:lang w:val="es-ES"/>
              </w:rPr>
              <w:t>ateo/a.</w:t>
            </w:r>
          </w:p>
          <w:p w14:paraId="2228952F" w14:textId="77777777" w:rsidR="00890199" w:rsidRDefault="00890199" w:rsidP="00D85E63">
            <w:pPr>
              <w:ind w:left="238"/>
              <w:rPr>
                <w:color w:val="000000" w:themeColor="text1"/>
                <w:lang w:val="es-ES"/>
              </w:rPr>
            </w:pPr>
            <w:r>
              <w:rPr>
                <w:color w:val="000000" w:themeColor="text1"/>
                <w:lang w:val="es-ES"/>
              </w:rPr>
              <w:t xml:space="preserve">80. </w:t>
            </w:r>
            <w:r w:rsidRPr="00942B9F">
              <w:rPr>
                <w:color w:val="000000" w:themeColor="text1"/>
                <w:lang w:val="es-ES"/>
              </w:rPr>
              <w:t xml:space="preserve">Me han sugerido que ''deje pasar'' comentarios invalidantes sobre </w:t>
            </w:r>
          </w:p>
          <w:p w14:paraId="09EFF07D" w14:textId="77777777" w:rsidR="00890199" w:rsidRPr="00D90996" w:rsidRDefault="00890199" w:rsidP="00D85E63">
            <w:pPr>
              <w:ind w:left="598"/>
              <w:rPr>
                <w:color w:val="000000" w:themeColor="text1"/>
                <w:lang w:val="es-ES"/>
              </w:rPr>
            </w:pPr>
            <w:r w:rsidRPr="00942B9F">
              <w:rPr>
                <w:color w:val="000000" w:themeColor="text1"/>
                <w:lang w:val="es-ES"/>
              </w:rPr>
              <w:t>las personas ateas.</w:t>
            </w:r>
          </w:p>
          <w:p w14:paraId="54E998AA" w14:textId="77777777" w:rsidR="00890199" w:rsidRDefault="00890199" w:rsidP="00D85E63">
            <w:pPr>
              <w:ind w:left="238"/>
              <w:rPr>
                <w:color w:val="000000" w:themeColor="text1"/>
                <w:lang w:val="es-ES"/>
              </w:rPr>
            </w:pPr>
            <w:r>
              <w:rPr>
                <w:color w:val="000000" w:themeColor="text1"/>
                <w:lang w:val="es-ES"/>
              </w:rPr>
              <w:t xml:space="preserve">76. </w:t>
            </w:r>
            <w:r w:rsidRPr="00942B9F">
              <w:rPr>
                <w:color w:val="000000" w:themeColor="text1"/>
                <w:lang w:val="es-ES"/>
              </w:rPr>
              <w:t xml:space="preserve">Mis experiencias como persona atea han sido invalidadas, es </w:t>
            </w:r>
          </w:p>
          <w:p w14:paraId="2092A6DF" w14:textId="77777777" w:rsidR="00890199" w:rsidRDefault="00890199" w:rsidP="00D85E63">
            <w:pPr>
              <w:ind w:left="238"/>
              <w:rPr>
                <w:color w:val="000000" w:themeColor="text1"/>
                <w:lang w:val="es-ES"/>
              </w:rPr>
            </w:pPr>
            <w:r>
              <w:rPr>
                <w:color w:val="000000" w:themeColor="text1"/>
                <w:lang w:val="es-ES"/>
              </w:rPr>
              <w:t xml:space="preserve">     </w:t>
            </w:r>
            <w:r w:rsidRPr="00942B9F">
              <w:rPr>
                <w:color w:val="000000" w:themeColor="text1"/>
                <w:lang w:val="es-ES"/>
              </w:rPr>
              <w:t>decir, las han tratado como si no tuvieran valor o importancia.</w:t>
            </w:r>
          </w:p>
          <w:p w14:paraId="35188F2E" w14:textId="77777777" w:rsidR="00890199" w:rsidRDefault="00890199" w:rsidP="00D85E63">
            <w:pPr>
              <w:ind w:left="238"/>
              <w:rPr>
                <w:color w:val="000000" w:themeColor="text1"/>
                <w:lang w:val="es-ES"/>
              </w:rPr>
            </w:pPr>
            <w:r>
              <w:rPr>
                <w:color w:val="000000" w:themeColor="text1"/>
                <w:lang w:val="es-ES"/>
              </w:rPr>
              <w:t xml:space="preserve">20. </w:t>
            </w:r>
            <w:r w:rsidRPr="00942B9F">
              <w:rPr>
                <w:color w:val="000000" w:themeColor="text1"/>
                <w:lang w:val="es-ES"/>
              </w:rPr>
              <w:t>Me han dicho que me iré al infierno porque soy ateo/a.</w:t>
            </w:r>
          </w:p>
          <w:p w14:paraId="0A39AD35" w14:textId="77777777" w:rsidR="00890199" w:rsidRDefault="00890199" w:rsidP="00D85E63">
            <w:pPr>
              <w:ind w:left="238"/>
              <w:rPr>
                <w:color w:val="000000" w:themeColor="text1"/>
                <w:lang w:val="es-ES"/>
              </w:rPr>
            </w:pPr>
            <w:r>
              <w:rPr>
                <w:color w:val="000000" w:themeColor="text1"/>
                <w:lang w:val="es-ES"/>
              </w:rPr>
              <w:t xml:space="preserve">79. </w:t>
            </w:r>
            <w:r w:rsidRPr="00942B9F">
              <w:rPr>
                <w:color w:val="000000" w:themeColor="text1"/>
                <w:lang w:val="es-ES"/>
              </w:rPr>
              <w:t xml:space="preserve">Alguien me ha dicho que soy un/a exagerado/a </w:t>
            </w:r>
            <w:proofErr w:type="spellStart"/>
            <w:r w:rsidRPr="00942B9F">
              <w:rPr>
                <w:color w:val="000000" w:themeColor="text1"/>
                <w:lang w:val="es-ES"/>
              </w:rPr>
              <w:t>o</w:t>
            </w:r>
            <w:proofErr w:type="spellEnd"/>
            <w:r w:rsidRPr="00942B9F">
              <w:rPr>
                <w:color w:val="000000" w:themeColor="text1"/>
                <w:lang w:val="es-ES"/>
              </w:rPr>
              <w:t xml:space="preserve"> que estoy </w:t>
            </w:r>
          </w:p>
          <w:p w14:paraId="61B68765" w14:textId="77777777" w:rsidR="00890199" w:rsidRDefault="00890199" w:rsidP="00D85E63">
            <w:pPr>
              <w:ind w:left="598"/>
              <w:rPr>
                <w:color w:val="000000" w:themeColor="text1"/>
                <w:lang w:val="es-ES"/>
              </w:rPr>
            </w:pPr>
            <w:r w:rsidRPr="00942B9F">
              <w:rPr>
                <w:color w:val="000000" w:themeColor="text1"/>
                <w:lang w:val="es-ES"/>
              </w:rPr>
              <w:t xml:space="preserve">''haciendo un </w:t>
            </w:r>
            <w:proofErr w:type="gramStart"/>
            <w:r w:rsidRPr="00942B9F">
              <w:rPr>
                <w:color w:val="000000" w:themeColor="text1"/>
                <w:lang w:val="es-ES"/>
              </w:rPr>
              <w:t>show</w:t>
            </w:r>
            <w:proofErr w:type="gramEnd"/>
            <w:r w:rsidRPr="00942B9F">
              <w:rPr>
                <w:color w:val="000000" w:themeColor="text1"/>
                <w:lang w:val="es-ES"/>
              </w:rPr>
              <w:t>'' cuando he hablado de mis experiencias como persona atea.</w:t>
            </w:r>
          </w:p>
          <w:p w14:paraId="32750FEC" w14:textId="77777777" w:rsidR="00890199" w:rsidRDefault="00890199" w:rsidP="00D85E63">
            <w:pPr>
              <w:ind w:left="238"/>
              <w:rPr>
                <w:color w:val="000000" w:themeColor="text1"/>
                <w:lang w:val="es-ES"/>
              </w:rPr>
            </w:pPr>
            <w:r>
              <w:rPr>
                <w:lang w:val="es-ES"/>
              </w:rPr>
              <w:t xml:space="preserve">44. </w:t>
            </w:r>
            <w:r w:rsidRPr="00942B9F">
              <w:rPr>
                <w:color w:val="000000" w:themeColor="text1"/>
                <w:lang w:val="es-ES"/>
              </w:rPr>
              <w:t>Alguien se ha burlado de mi por identificarme como ateo/a.</w:t>
            </w:r>
          </w:p>
          <w:p w14:paraId="4FF0AF98" w14:textId="77777777" w:rsidR="00890199" w:rsidRDefault="00890199" w:rsidP="00D85E63">
            <w:pPr>
              <w:ind w:left="238"/>
              <w:rPr>
                <w:color w:val="000000" w:themeColor="text1"/>
                <w:lang w:val="es-ES"/>
              </w:rPr>
            </w:pPr>
            <w:r>
              <w:rPr>
                <w:lang w:val="es-ES"/>
              </w:rPr>
              <w:t>77.</w:t>
            </w:r>
            <w:r>
              <w:rPr>
                <w:color w:val="000000" w:themeColor="text1"/>
                <w:lang w:val="es-ES"/>
              </w:rPr>
              <w:t xml:space="preserve"> </w:t>
            </w:r>
            <w:r w:rsidRPr="00942B9F">
              <w:rPr>
                <w:color w:val="000000" w:themeColor="text1"/>
                <w:lang w:val="es-ES"/>
              </w:rPr>
              <w:t>Me han dicho que los/as ateos/as no sufren prejuicio o discrimen.</w:t>
            </w:r>
          </w:p>
          <w:p w14:paraId="5F8D3268" w14:textId="77777777" w:rsidR="00890199" w:rsidRDefault="00890199" w:rsidP="00D85E63">
            <w:pPr>
              <w:ind w:left="238"/>
              <w:rPr>
                <w:color w:val="000000" w:themeColor="text1"/>
                <w:lang w:val="es-ES"/>
              </w:rPr>
            </w:pPr>
            <w:r>
              <w:rPr>
                <w:lang w:val="es-ES"/>
              </w:rPr>
              <w:t>81.</w:t>
            </w:r>
            <w:r>
              <w:rPr>
                <w:color w:val="000000" w:themeColor="text1"/>
                <w:lang w:val="es-ES"/>
              </w:rPr>
              <w:t xml:space="preserve"> </w:t>
            </w:r>
            <w:r w:rsidRPr="00942B9F">
              <w:rPr>
                <w:color w:val="000000" w:themeColor="text1"/>
                <w:lang w:val="es-ES"/>
              </w:rPr>
              <w:t>Alguien me ha dicho que no me queje de las religiones.</w:t>
            </w:r>
          </w:p>
          <w:p w14:paraId="46D3B7F7" w14:textId="77777777" w:rsidR="00890199" w:rsidRDefault="00890199" w:rsidP="00D85E63">
            <w:pPr>
              <w:ind w:left="238"/>
              <w:rPr>
                <w:color w:val="000000" w:themeColor="text1"/>
                <w:lang w:val="es-ES"/>
              </w:rPr>
            </w:pPr>
            <w:r>
              <w:rPr>
                <w:color w:val="000000" w:themeColor="text1"/>
                <w:lang w:val="es-ES"/>
              </w:rPr>
              <w:lastRenderedPageBreak/>
              <w:t xml:space="preserve">36. </w:t>
            </w:r>
            <w:r w:rsidRPr="00942B9F">
              <w:rPr>
                <w:color w:val="000000" w:themeColor="text1"/>
                <w:lang w:val="es-ES"/>
              </w:rPr>
              <w:t xml:space="preserve">Uno o más familiares me han pedido que no le diga a un miembro </w:t>
            </w:r>
          </w:p>
          <w:p w14:paraId="4345660F" w14:textId="77777777" w:rsidR="00890199" w:rsidRDefault="00890199" w:rsidP="00D85E63">
            <w:pPr>
              <w:ind w:left="238"/>
              <w:rPr>
                <w:color w:val="000000" w:themeColor="text1"/>
                <w:lang w:val="es-ES"/>
              </w:rPr>
            </w:pPr>
            <w:r>
              <w:rPr>
                <w:color w:val="000000" w:themeColor="text1"/>
                <w:lang w:val="es-ES"/>
              </w:rPr>
              <w:t xml:space="preserve">      </w:t>
            </w:r>
            <w:r w:rsidRPr="00942B9F">
              <w:rPr>
                <w:color w:val="000000" w:themeColor="text1"/>
                <w:lang w:val="es-ES"/>
              </w:rPr>
              <w:t>o al resto de mi familia que soy ateo/a.</w:t>
            </w:r>
          </w:p>
          <w:p w14:paraId="5869136E" w14:textId="77777777" w:rsidR="00890199" w:rsidRPr="00D16A65" w:rsidRDefault="00890199" w:rsidP="00D85E63">
            <w:pPr>
              <w:rPr>
                <w:b/>
                <w:bCs/>
                <w:lang w:val="es-ES"/>
              </w:rPr>
            </w:pPr>
            <w:r w:rsidRPr="00D16A65">
              <w:rPr>
                <w:b/>
                <w:bCs/>
                <w:lang w:val="es-ES"/>
              </w:rPr>
              <w:t>Factor 2: Degradación de la identidad ateísta</w:t>
            </w:r>
          </w:p>
          <w:p w14:paraId="521B55D3" w14:textId="77777777" w:rsidR="00890199" w:rsidRDefault="00890199" w:rsidP="00D85E63">
            <w:pPr>
              <w:ind w:left="238"/>
              <w:rPr>
                <w:color w:val="000000" w:themeColor="text1"/>
                <w:lang w:val="es-ES"/>
              </w:rPr>
            </w:pPr>
            <w:r>
              <w:rPr>
                <w:lang w:val="es-ES"/>
              </w:rPr>
              <w:t xml:space="preserve">48. </w:t>
            </w:r>
            <w:r w:rsidRPr="00942B9F">
              <w:rPr>
                <w:color w:val="000000" w:themeColor="text1"/>
                <w:lang w:val="es-ES"/>
              </w:rPr>
              <w:t>Me han invitado a una reunión o eventos religiosos (</w:t>
            </w:r>
            <w:proofErr w:type="spellStart"/>
            <w:r w:rsidRPr="00942B9F">
              <w:rPr>
                <w:color w:val="000000" w:themeColor="text1"/>
                <w:lang w:val="es-ES"/>
              </w:rPr>
              <w:t>ej</w:t>
            </w:r>
            <w:proofErr w:type="spellEnd"/>
            <w:r w:rsidRPr="00942B9F">
              <w:rPr>
                <w:color w:val="000000" w:themeColor="text1"/>
                <w:lang w:val="es-ES"/>
              </w:rPr>
              <w:t xml:space="preserve">: rosarios, </w:t>
            </w:r>
          </w:p>
          <w:p w14:paraId="7DB86AF2" w14:textId="77777777" w:rsidR="00890199" w:rsidRDefault="00890199" w:rsidP="00D85E63">
            <w:pPr>
              <w:ind w:left="238"/>
              <w:rPr>
                <w:lang w:val="es-ES"/>
              </w:rPr>
            </w:pPr>
            <w:r>
              <w:rPr>
                <w:lang w:val="es-ES"/>
              </w:rPr>
              <w:t xml:space="preserve">      </w:t>
            </w:r>
            <w:r w:rsidRPr="00942B9F">
              <w:rPr>
                <w:color w:val="000000" w:themeColor="text1"/>
                <w:lang w:val="es-ES"/>
              </w:rPr>
              <w:t>retiros religiosos, etc.).</w:t>
            </w:r>
          </w:p>
          <w:p w14:paraId="26EBCA50" w14:textId="77777777" w:rsidR="00890199" w:rsidRDefault="00890199" w:rsidP="00D85E63">
            <w:pPr>
              <w:ind w:left="238"/>
              <w:rPr>
                <w:lang w:val="es-ES"/>
              </w:rPr>
            </w:pPr>
            <w:r>
              <w:rPr>
                <w:lang w:val="es-ES"/>
              </w:rPr>
              <w:t xml:space="preserve">55. </w:t>
            </w:r>
            <w:r w:rsidRPr="00D91166">
              <w:rPr>
                <w:lang w:val="es-ES"/>
              </w:rPr>
              <w:t xml:space="preserve">Me han </w:t>
            </w:r>
            <w:r w:rsidRPr="00975F0F">
              <w:rPr>
                <w:lang w:val="es-ES"/>
              </w:rPr>
              <w:t>dicho que Dios obrará</w:t>
            </w:r>
            <w:r w:rsidRPr="00D91166">
              <w:rPr>
                <w:lang w:val="es-ES"/>
              </w:rPr>
              <w:t xml:space="preserve"> por mí, sin</w:t>
            </w:r>
            <w:r>
              <w:rPr>
                <w:lang w:val="es-ES"/>
              </w:rPr>
              <w:t xml:space="preserve"> </w:t>
            </w:r>
            <w:r w:rsidRPr="00D91166">
              <w:rPr>
                <w:lang w:val="es-ES"/>
              </w:rPr>
              <w:t>conocer o preguntar si</w:t>
            </w:r>
          </w:p>
          <w:p w14:paraId="3EBD3767" w14:textId="77777777" w:rsidR="00890199" w:rsidRDefault="00890199" w:rsidP="00D85E63">
            <w:pPr>
              <w:ind w:left="598"/>
              <w:rPr>
                <w:lang w:val="es-ES"/>
              </w:rPr>
            </w:pPr>
            <w:r w:rsidRPr="00D91166">
              <w:rPr>
                <w:lang w:val="es-ES"/>
              </w:rPr>
              <w:t>soy</w:t>
            </w:r>
            <w:r>
              <w:rPr>
                <w:lang w:val="es-ES"/>
              </w:rPr>
              <w:t xml:space="preserve"> </w:t>
            </w:r>
            <w:r w:rsidRPr="00D91166">
              <w:rPr>
                <w:lang w:val="es-ES"/>
              </w:rPr>
              <w:t>creyente.</w:t>
            </w:r>
          </w:p>
          <w:p w14:paraId="7C034A2C" w14:textId="77777777" w:rsidR="00890199" w:rsidRDefault="00890199" w:rsidP="00D85E63">
            <w:pPr>
              <w:ind w:left="238"/>
              <w:rPr>
                <w:color w:val="000000" w:themeColor="text1"/>
                <w:lang w:val="es-ES"/>
              </w:rPr>
            </w:pPr>
            <w:r>
              <w:rPr>
                <w:lang w:val="es-ES"/>
              </w:rPr>
              <w:t xml:space="preserve">50. </w:t>
            </w:r>
            <w:r w:rsidRPr="00942B9F">
              <w:rPr>
                <w:color w:val="000000" w:themeColor="text1"/>
                <w:lang w:val="es-ES"/>
              </w:rPr>
              <w:t xml:space="preserve">Alguien ha realizado una oración religiosa en un evento social del </w:t>
            </w:r>
          </w:p>
          <w:p w14:paraId="25417F6F" w14:textId="77777777" w:rsidR="00890199" w:rsidRDefault="00890199" w:rsidP="00D85E63">
            <w:pPr>
              <w:ind w:left="238"/>
              <w:rPr>
                <w:color w:val="000000" w:themeColor="text1"/>
                <w:lang w:val="es-ES"/>
              </w:rPr>
            </w:pPr>
            <w:r>
              <w:rPr>
                <w:lang w:val="es-ES"/>
              </w:rPr>
              <w:t xml:space="preserve">      </w:t>
            </w:r>
            <w:r w:rsidRPr="00942B9F">
              <w:rPr>
                <w:color w:val="000000" w:themeColor="text1"/>
                <w:lang w:val="es-ES"/>
              </w:rPr>
              <w:t xml:space="preserve">cual he participado como: una reunión laboral, actividad </w:t>
            </w:r>
          </w:p>
          <w:p w14:paraId="5CC28C21" w14:textId="77777777" w:rsidR="00890199" w:rsidRDefault="00890199" w:rsidP="00D85E63">
            <w:pPr>
              <w:ind w:left="238"/>
              <w:rPr>
                <w:lang w:val="es-ES"/>
              </w:rPr>
            </w:pPr>
            <w:r>
              <w:rPr>
                <w:color w:val="000000" w:themeColor="text1"/>
                <w:lang w:val="es-ES"/>
              </w:rPr>
              <w:t xml:space="preserve">       </w:t>
            </w:r>
            <w:r w:rsidRPr="00942B9F">
              <w:rPr>
                <w:color w:val="000000" w:themeColor="text1"/>
                <w:lang w:val="es-ES"/>
              </w:rPr>
              <w:t>recreativa o seminario/taller de crecimiento profesional.</w:t>
            </w:r>
          </w:p>
          <w:p w14:paraId="2E86C0C8" w14:textId="77777777" w:rsidR="00890199" w:rsidRDefault="00890199" w:rsidP="00D85E63">
            <w:pPr>
              <w:ind w:left="238"/>
              <w:rPr>
                <w:lang w:val="es-ES"/>
              </w:rPr>
            </w:pPr>
            <w:r>
              <w:rPr>
                <w:lang w:val="es-ES"/>
              </w:rPr>
              <w:t xml:space="preserve">47. </w:t>
            </w:r>
            <w:r w:rsidRPr="00942B9F">
              <w:rPr>
                <w:color w:val="000000" w:themeColor="text1"/>
                <w:lang w:val="es-ES"/>
              </w:rPr>
              <w:t>Me han pedido que ore por algo o por alguien.</w:t>
            </w:r>
          </w:p>
          <w:p w14:paraId="029E76A0" w14:textId="77777777" w:rsidR="00890199" w:rsidRDefault="00890199" w:rsidP="00D85E63">
            <w:pPr>
              <w:ind w:left="238"/>
              <w:rPr>
                <w:color w:val="000000" w:themeColor="text1"/>
                <w:lang w:val="es-ES"/>
              </w:rPr>
            </w:pPr>
            <w:r>
              <w:rPr>
                <w:lang w:val="es-ES"/>
              </w:rPr>
              <w:t xml:space="preserve">49. </w:t>
            </w:r>
            <w:r w:rsidRPr="00942B9F">
              <w:rPr>
                <w:color w:val="000000" w:themeColor="text1"/>
                <w:lang w:val="es-ES"/>
              </w:rPr>
              <w:t xml:space="preserve">Alguien me ha dicho que le dé gracias a Dios luego de alguna </w:t>
            </w:r>
          </w:p>
          <w:p w14:paraId="143993EC" w14:textId="77777777" w:rsidR="00890199" w:rsidRDefault="00890199" w:rsidP="00D85E63">
            <w:pPr>
              <w:ind w:left="238"/>
              <w:rPr>
                <w:lang w:val="es-ES"/>
              </w:rPr>
            </w:pPr>
            <w:r>
              <w:rPr>
                <w:lang w:val="es-ES"/>
              </w:rPr>
              <w:t xml:space="preserve">      </w:t>
            </w:r>
            <w:r w:rsidRPr="00942B9F">
              <w:rPr>
                <w:color w:val="000000" w:themeColor="text1"/>
                <w:lang w:val="es-ES"/>
              </w:rPr>
              <w:t>situación que me haya pasado.</w:t>
            </w:r>
          </w:p>
          <w:p w14:paraId="7FEC7643" w14:textId="77777777" w:rsidR="00890199" w:rsidRPr="00D90996" w:rsidRDefault="00890199" w:rsidP="00D85E63">
            <w:pPr>
              <w:ind w:left="238"/>
              <w:rPr>
                <w:color w:val="000000" w:themeColor="text1"/>
                <w:lang w:val="es-ES"/>
              </w:rPr>
            </w:pPr>
            <w:r>
              <w:rPr>
                <w:color w:val="000000" w:themeColor="text1"/>
                <w:lang w:val="es-ES"/>
              </w:rPr>
              <w:t xml:space="preserve">53. </w:t>
            </w:r>
            <w:r w:rsidRPr="00975F0F">
              <w:rPr>
                <w:color w:val="000000" w:themeColor="text1"/>
                <w:lang w:val="es-ES"/>
              </w:rPr>
              <w:t>Han colocado versículos</w:t>
            </w:r>
            <w:r>
              <w:rPr>
                <w:color w:val="000000" w:themeColor="text1"/>
                <w:lang w:val="es-ES"/>
              </w:rPr>
              <w:t xml:space="preserve"> </w:t>
            </w:r>
            <w:r w:rsidRPr="00975F0F">
              <w:rPr>
                <w:color w:val="000000" w:themeColor="text1"/>
                <w:lang w:val="es-ES"/>
              </w:rPr>
              <w:t>religiosos en un lugar</w:t>
            </w:r>
            <w:r>
              <w:rPr>
                <w:color w:val="000000" w:themeColor="text1"/>
                <w:lang w:val="es-ES"/>
              </w:rPr>
              <w:t xml:space="preserve"> </w:t>
            </w:r>
            <w:r w:rsidRPr="00975F0F">
              <w:rPr>
                <w:color w:val="000000" w:themeColor="text1"/>
                <w:lang w:val="es-ES"/>
              </w:rPr>
              <w:t>que frecuento.</w:t>
            </w:r>
          </w:p>
          <w:p w14:paraId="2D81DBA8" w14:textId="77777777" w:rsidR="00890199" w:rsidRDefault="00890199" w:rsidP="00D85E63">
            <w:pPr>
              <w:ind w:left="238"/>
              <w:rPr>
                <w:color w:val="000000" w:themeColor="text1"/>
                <w:lang w:val="es-ES"/>
              </w:rPr>
            </w:pPr>
            <w:r>
              <w:rPr>
                <w:lang w:val="es-ES"/>
              </w:rPr>
              <w:t xml:space="preserve">52. </w:t>
            </w:r>
            <w:r w:rsidRPr="00942B9F">
              <w:rPr>
                <w:color w:val="000000" w:themeColor="text1"/>
                <w:lang w:val="es-ES"/>
              </w:rPr>
              <w:t xml:space="preserve">Han colocado decoraciones de índole religiosa en un lugar que </w:t>
            </w:r>
          </w:p>
          <w:p w14:paraId="69D4847C" w14:textId="77777777" w:rsidR="00890199" w:rsidRDefault="00890199" w:rsidP="00D85E63">
            <w:pPr>
              <w:ind w:left="238"/>
              <w:rPr>
                <w:lang w:val="es-ES"/>
              </w:rPr>
            </w:pPr>
            <w:r>
              <w:rPr>
                <w:lang w:val="es-ES"/>
              </w:rPr>
              <w:t xml:space="preserve">      </w:t>
            </w:r>
            <w:r w:rsidRPr="00942B9F">
              <w:rPr>
                <w:color w:val="000000" w:themeColor="text1"/>
                <w:lang w:val="es-ES"/>
              </w:rPr>
              <w:t>frecuento.</w:t>
            </w:r>
          </w:p>
          <w:p w14:paraId="18EB7BB1" w14:textId="77777777" w:rsidR="00890199" w:rsidRDefault="00890199" w:rsidP="00D85E63">
            <w:pPr>
              <w:ind w:left="238"/>
              <w:rPr>
                <w:color w:val="000000" w:themeColor="text1"/>
                <w:lang w:val="es-ES"/>
              </w:rPr>
            </w:pPr>
            <w:r>
              <w:rPr>
                <w:lang w:val="es-ES"/>
              </w:rPr>
              <w:t xml:space="preserve">54. </w:t>
            </w:r>
            <w:r w:rsidRPr="00942B9F">
              <w:rPr>
                <w:color w:val="000000" w:themeColor="text1"/>
                <w:lang w:val="es-ES"/>
              </w:rPr>
              <w:t xml:space="preserve">Luego de alcanzar una meta o superar una situación me han dicho </w:t>
            </w:r>
          </w:p>
          <w:p w14:paraId="1CF4E555" w14:textId="77777777" w:rsidR="00890199" w:rsidRDefault="00890199" w:rsidP="00D85E63">
            <w:pPr>
              <w:ind w:left="238"/>
              <w:rPr>
                <w:lang w:val="es-ES"/>
              </w:rPr>
            </w:pPr>
            <w:r>
              <w:rPr>
                <w:lang w:val="es-ES"/>
              </w:rPr>
              <w:t xml:space="preserve">      </w:t>
            </w:r>
            <w:r w:rsidRPr="00942B9F">
              <w:rPr>
                <w:color w:val="000000" w:themeColor="text1"/>
                <w:lang w:val="es-ES"/>
              </w:rPr>
              <w:t>que lo logré gracias a Dios</w:t>
            </w:r>
          </w:p>
          <w:p w14:paraId="7A0EB1E9" w14:textId="77777777" w:rsidR="00890199" w:rsidRPr="00D90996" w:rsidRDefault="00890199" w:rsidP="00D85E63">
            <w:pPr>
              <w:ind w:left="238"/>
              <w:rPr>
                <w:color w:val="000000" w:themeColor="text1"/>
                <w:lang w:val="es-ES"/>
              </w:rPr>
            </w:pPr>
            <w:r w:rsidRPr="00D90996">
              <w:rPr>
                <w:lang w:val="es-ES"/>
              </w:rPr>
              <w:t xml:space="preserve">57. </w:t>
            </w:r>
            <w:r w:rsidRPr="00D90996">
              <w:rPr>
                <w:color w:val="000000" w:themeColor="text1"/>
                <w:lang w:val="es-ES"/>
              </w:rPr>
              <w:t>Alguien ha rezado por</w:t>
            </w:r>
            <w:r>
              <w:rPr>
                <w:color w:val="000000" w:themeColor="text1"/>
                <w:lang w:val="es-ES"/>
              </w:rPr>
              <w:t xml:space="preserve"> </w:t>
            </w:r>
            <w:r w:rsidRPr="00942B9F">
              <w:rPr>
                <w:color w:val="000000" w:themeColor="text1"/>
                <w:lang w:val="es-ES"/>
              </w:rPr>
              <w:t>mí, aunque no se lo he</w:t>
            </w:r>
            <w:r>
              <w:rPr>
                <w:color w:val="000000" w:themeColor="text1"/>
                <w:lang w:val="es-ES"/>
              </w:rPr>
              <w:t xml:space="preserve"> </w:t>
            </w:r>
            <w:r w:rsidRPr="00942B9F">
              <w:rPr>
                <w:color w:val="000000" w:themeColor="text1"/>
                <w:lang w:val="es-ES"/>
              </w:rPr>
              <w:t>pedido.</w:t>
            </w:r>
          </w:p>
          <w:p w14:paraId="20CC3527" w14:textId="77777777" w:rsidR="00890199" w:rsidRDefault="00890199" w:rsidP="00D85E63">
            <w:pPr>
              <w:ind w:left="238"/>
              <w:rPr>
                <w:lang w:val="es-ES"/>
              </w:rPr>
            </w:pPr>
            <w:r>
              <w:rPr>
                <w:lang w:val="es-ES"/>
              </w:rPr>
              <w:t xml:space="preserve">56. </w:t>
            </w:r>
            <w:r w:rsidRPr="00942B9F">
              <w:rPr>
                <w:color w:val="000000" w:themeColor="text1"/>
                <w:lang w:val="es-ES"/>
              </w:rPr>
              <w:t>Me han echado o pedido la bendición.</w:t>
            </w:r>
          </w:p>
          <w:p w14:paraId="551FD63C" w14:textId="77777777" w:rsidR="00890199" w:rsidRDefault="00890199" w:rsidP="00D85E63">
            <w:pPr>
              <w:ind w:left="238"/>
              <w:rPr>
                <w:color w:val="000000" w:themeColor="text1"/>
                <w:lang w:val="es-ES"/>
              </w:rPr>
            </w:pPr>
            <w:r w:rsidRPr="00D90996">
              <w:rPr>
                <w:lang w:val="es-ES"/>
              </w:rPr>
              <w:t xml:space="preserve">46. </w:t>
            </w:r>
            <w:r w:rsidRPr="00D90996">
              <w:rPr>
                <w:color w:val="000000" w:themeColor="text1"/>
                <w:lang w:val="es-ES"/>
              </w:rPr>
              <w:t>Me han invitado a una</w:t>
            </w:r>
            <w:r>
              <w:rPr>
                <w:lang w:val="es-ES"/>
              </w:rPr>
              <w:t xml:space="preserve"> </w:t>
            </w:r>
            <w:r w:rsidRPr="00942B9F">
              <w:rPr>
                <w:color w:val="000000" w:themeColor="text1"/>
                <w:lang w:val="es-ES"/>
              </w:rPr>
              <w:t>iglesia, asumiendo que</w:t>
            </w:r>
            <w:r>
              <w:rPr>
                <w:lang w:val="es-ES"/>
              </w:rPr>
              <w:t xml:space="preserve"> </w:t>
            </w:r>
            <w:r w:rsidRPr="00942B9F">
              <w:rPr>
                <w:color w:val="000000" w:themeColor="text1"/>
                <w:lang w:val="es-ES"/>
              </w:rPr>
              <w:t xml:space="preserve">practico o me </w:t>
            </w:r>
          </w:p>
          <w:p w14:paraId="416A970F" w14:textId="77777777" w:rsidR="00890199" w:rsidRDefault="00890199" w:rsidP="00D85E63">
            <w:pPr>
              <w:ind w:left="238"/>
              <w:rPr>
                <w:lang w:val="es-ES"/>
              </w:rPr>
            </w:pPr>
            <w:r>
              <w:rPr>
                <w:lang w:val="es-ES"/>
              </w:rPr>
              <w:t xml:space="preserve">     </w:t>
            </w:r>
            <w:r w:rsidRPr="00942B9F">
              <w:rPr>
                <w:color w:val="000000" w:themeColor="text1"/>
                <w:lang w:val="es-ES"/>
              </w:rPr>
              <w:t>identifico</w:t>
            </w:r>
            <w:r>
              <w:rPr>
                <w:lang w:val="es-ES"/>
              </w:rPr>
              <w:t xml:space="preserve"> </w:t>
            </w:r>
            <w:r w:rsidRPr="00942B9F">
              <w:rPr>
                <w:color w:val="000000" w:themeColor="text1"/>
                <w:lang w:val="es-ES"/>
              </w:rPr>
              <w:t>con alguna religión.</w:t>
            </w:r>
          </w:p>
          <w:p w14:paraId="3131FD6E" w14:textId="77777777" w:rsidR="00890199" w:rsidRDefault="00890199" w:rsidP="00D85E63">
            <w:pPr>
              <w:ind w:left="238"/>
              <w:rPr>
                <w:lang w:val="es-ES"/>
              </w:rPr>
            </w:pPr>
            <w:r>
              <w:rPr>
                <w:lang w:val="es-ES"/>
              </w:rPr>
              <w:t xml:space="preserve">58. </w:t>
            </w:r>
            <w:r w:rsidRPr="00975F0F">
              <w:rPr>
                <w:lang w:val="es-ES"/>
              </w:rPr>
              <w:t>Me han invitado a rezar por mi salvación, sin</w:t>
            </w:r>
            <w:r>
              <w:rPr>
                <w:lang w:val="es-ES"/>
              </w:rPr>
              <w:t xml:space="preserve"> </w:t>
            </w:r>
            <w:r w:rsidRPr="00975F0F">
              <w:rPr>
                <w:lang w:val="es-ES"/>
              </w:rPr>
              <w:t>antes preguntar si</w:t>
            </w:r>
          </w:p>
          <w:p w14:paraId="65D43CC6" w14:textId="77777777" w:rsidR="00890199" w:rsidRDefault="00890199" w:rsidP="00D85E63">
            <w:pPr>
              <w:ind w:left="598"/>
              <w:rPr>
                <w:lang w:val="es-ES"/>
              </w:rPr>
            </w:pPr>
            <w:r w:rsidRPr="00975F0F">
              <w:rPr>
                <w:lang w:val="es-ES"/>
              </w:rPr>
              <w:t>practico alguna religión.</w:t>
            </w:r>
          </w:p>
          <w:p w14:paraId="1A2C73A4" w14:textId="77777777" w:rsidR="00890199" w:rsidRDefault="00890199" w:rsidP="00D85E63">
            <w:pPr>
              <w:ind w:left="238"/>
              <w:rPr>
                <w:color w:val="000000" w:themeColor="text1"/>
                <w:lang w:val="es-ES"/>
              </w:rPr>
            </w:pPr>
            <w:r w:rsidRPr="00D90996">
              <w:rPr>
                <w:lang w:val="es-ES"/>
              </w:rPr>
              <w:t xml:space="preserve">29. </w:t>
            </w:r>
            <w:r w:rsidRPr="00D90996">
              <w:rPr>
                <w:color w:val="000000" w:themeColor="text1"/>
                <w:lang w:val="es-ES"/>
              </w:rPr>
              <w:t>Alguien me preguntó</w:t>
            </w:r>
            <w:r>
              <w:rPr>
                <w:color w:val="000000" w:themeColor="text1"/>
                <w:lang w:val="es-ES"/>
              </w:rPr>
              <w:t xml:space="preserve"> </w:t>
            </w:r>
            <w:r w:rsidRPr="00942B9F">
              <w:rPr>
                <w:color w:val="000000" w:themeColor="text1"/>
                <w:lang w:val="es-ES"/>
              </w:rPr>
              <w:t>que, si no creo en Dios o</w:t>
            </w:r>
            <w:r>
              <w:rPr>
                <w:color w:val="000000" w:themeColor="text1"/>
                <w:lang w:val="es-ES"/>
              </w:rPr>
              <w:t xml:space="preserve"> </w:t>
            </w:r>
            <w:r w:rsidRPr="00942B9F">
              <w:rPr>
                <w:color w:val="000000" w:themeColor="text1"/>
                <w:lang w:val="es-ES"/>
              </w:rPr>
              <w:t>un ser superior,</w:t>
            </w:r>
            <w:r>
              <w:rPr>
                <w:color w:val="000000" w:themeColor="text1"/>
                <w:lang w:val="es-ES"/>
              </w:rPr>
              <w:t xml:space="preserve"> </w:t>
            </w:r>
          </w:p>
          <w:p w14:paraId="365D09C9" w14:textId="77777777" w:rsidR="00890199" w:rsidRDefault="00890199" w:rsidP="00D85E63">
            <w:pPr>
              <w:ind w:left="598"/>
              <w:rPr>
                <w:color w:val="000000" w:themeColor="text1"/>
                <w:lang w:val="es-ES"/>
              </w:rPr>
            </w:pPr>
            <w:r w:rsidRPr="00942B9F">
              <w:rPr>
                <w:color w:val="000000" w:themeColor="text1"/>
                <w:lang w:val="es-ES"/>
              </w:rPr>
              <w:t>entonces</w:t>
            </w:r>
            <w:r>
              <w:rPr>
                <w:color w:val="000000" w:themeColor="text1"/>
                <w:lang w:val="es-ES"/>
              </w:rPr>
              <w:t xml:space="preserve"> </w:t>
            </w:r>
            <w:r w:rsidRPr="00942B9F">
              <w:rPr>
                <w:color w:val="000000" w:themeColor="text1"/>
                <w:lang w:val="es-ES"/>
              </w:rPr>
              <w:t>en qué creo.</w:t>
            </w:r>
          </w:p>
          <w:p w14:paraId="2A4D2822" w14:textId="77777777" w:rsidR="00890199" w:rsidRDefault="00890199" w:rsidP="00D85E63">
            <w:pPr>
              <w:ind w:left="238"/>
              <w:rPr>
                <w:color w:val="000000" w:themeColor="text1"/>
                <w:lang w:val="es-ES"/>
              </w:rPr>
            </w:pPr>
            <w:r>
              <w:rPr>
                <w:color w:val="000000" w:themeColor="text1"/>
                <w:lang w:val="es-ES"/>
              </w:rPr>
              <w:t xml:space="preserve">31. </w:t>
            </w:r>
            <w:r w:rsidRPr="00975F0F">
              <w:rPr>
                <w:color w:val="000000" w:themeColor="text1"/>
                <w:lang w:val="es-ES"/>
              </w:rPr>
              <w:t>Me han preguntado que</w:t>
            </w:r>
            <w:r>
              <w:rPr>
                <w:color w:val="000000" w:themeColor="text1"/>
                <w:lang w:val="es-ES"/>
              </w:rPr>
              <w:t xml:space="preserve"> </w:t>
            </w:r>
            <w:r w:rsidRPr="00975F0F">
              <w:rPr>
                <w:color w:val="000000" w:themeColor="text1"/>
                <w:lang w:val="es-ES"/>
              </w:rPr>
              <w:t>de dónde</w:t>
            </w:r>
            <w:r>
              <w:rPr>
                <w:color w:val="000000" w:themeColor="text1"/>
                <w:lang w:val="es-ES"/>
              </w:rPr>
              <w:t xml:space="preserve"> </w:t>
            </w:r>
            <w:r w:rsidRPr="00975F0F">
              <w:rPr>
                <w:color w:val="000000" w:themeColor="text1"/>
                <w:lang w:val="es-ES"/>
              </w:rPr>
              <w:t>venimos/surgimos o</w:t>
            </w:r>
            <w:r>
              <w:rPr>
                <w:color w:val="000000" w:themeColor="text1"/>
                <w:lang w:val="es-ES"/>
              </w:rPr>
              <w:t xml:space="preserve"> </w:t>
            </w:r>
            <w:r w:rsidRPr="00975F0F">
              <w:rPr>
                <w:color w:val="000000" w:themeColor="text1"/>
                <w:lang w:val="es-ES"/>
              </w:rPr>
              <w:t>quién nos</w:t>
            </w:r>
          </w:p>
          <w:p w14:paraId="6D095819" w14:textId="77777777" w:rsidR="00890199" w:rsidRDefault="00890199" w:rsidP="00D85E63">
            <w:pPr>
              <w:ind w:left="598"/>
              <w:rPr>
                <w:color w:val="000000" w:themeColor="text1"/>
                <w:lang w:val="es-ES"/>
              </w:rPr>
            </w:pPr>
            <w:r w:rsidRPr="00975F0F">
              <w:rPr>
                <w:color w:val="000000" w:themeColor="text1"/>
                <w:lang w:val="es-ES"/>
              </w:rPr>
              <w:t>creó.</w:t>
            </w:r>
          </w:p>
          <w:p w14:paraId="1A859652" w14:textId="77777777" w:rsidR="00890199" w:rsidRDefault="00890199" w:rsidP="00D85E63">
            <w:pPr>
              <w:ind w:left="251"/>
              <w:rPr>
                <w:color w:val="000000" w:themeColor="text1"/>
                <w:lang w:val="es-ES"/>
              </w:rPr>
            </w:pPr>
            <w:r>
              <w:rPr>
                <w:color w:val="000000" w:themeColor="text1"/>
                <w:lang w:val="es-ES"/>
              </w:rPr>
              <w:t xml:space="preserve">35. </w:t>
            </w:r>
            <w:r w:rsidRPr="00942B9F">
              <w:rPr>
                <w:color w:val="000000" w:themeColor="text1"/>
                <w:lang w:val="es-ES"/>
              </w:rPr>
              <w:t xml:space="preserve">Me han dicho que Dios obrará por mi y/o me sanará luego de </w:t>
            </w:r>
            <w:r>
              <w:rPr>
                <w:color w:val="000000" w:themeColor="text1"/>
                <w:lang w:val="es-ES"/>
              </w:rPr>
              <w:t xml:space="preserve"> </w:t>
            </w:r>
          </w:p>
          <w:p w14:paraId="11E4762C" w14:textId="77777777" w:rsidR="00890199" w:rsidRDefault="00890199" w:rsidP="00D85E63">
            <w:pPr>
              <w:ind w:left="161"/>
              <w:rPr>
                <w:color w:val="000000" w:themeColor="text1"/>
                <w:lang w:val="es-ES"/>
              </w:rPr>
            </w:pPr>
            <w:r>
              <w:rPr>
                <w:color w:val="000000" w:themeColor="text1"/>
                <w:lang w:val="es-ES"/>
              </w:rPr>
              <w:t xml:space="preserve">       </w:t>
            </w:r>
            <w:r w:rsidRPr="00942B9F">
              <w:rPr>
                <w:color w:val="000000" w:themeColor="text1"/>
                <w:lang w:val="es-ES"/>
              </w:rPr>
              <w:t>decirles o enterarse que soy ateo/a.</w:t>
            </w:r>
          </w:p>
          <w:p w14:paraId="04963A2C" w14:textId="77777777" w:rsidR="00890199" w:rsidRPr="00942B9F" w:rsidRDefault="00890199" w:rsidP="00D85E63">
            <w:pPr>
              <w:ind w:left="161"/>
              <w:rPr>
                <w:color w:val="000000" w:themeColor="text1"/>
                <w:lang w:val="es-ES"/>
              </w:rPr>
            </w:pPr>
            <w:r w:rsidRPr="00D90996">
              <w:rPr>
                <w:color w:val="000000" w:themeColor="text1"/>
                <w:lang w:val="es-ES"/>
              </w:rPr>
              <w:t>28. Alguien reaccionó de</w:t>
            </w:r>
            <w:r>
              <w:rPr>
                <w:color w:val="000000" w:themeColor="text1"/>
                <w:lang w:val="es-ES"/>
              </w:rPr>
              <w:t xml:space="preserve"> </w:t>
            </w:r>
            <w:r w:rsidRPr="00942B9F">
              <w:rPr>
                <w:color w:val="000000" w:themeColor="text1"/>
                <w:lang w:val="es-ES"/>
              </w:rPr>
              <w:t>manera sorprendida</w:t>
            </w:r>
            <w:r>
              <w:rPr>
                <w:color w:val="000000" w:themeColor="text1"/>
                <w:lang w:val="es-ES"/>
              </w:rPr>
              <w:t xml:space="preserve"> </w:t>
            </w:r>
            <w:r w:rsidRPr="00942B9F">
              <w:rPr>
                <w:color w:val="000000" w:themeColor="text1"/>
                <w:lang w:val="es-ES"/>
              </w:rPr>
              <w:t>cuando le dije que soy</w:t>
            </w:r>
          </w:p>
          <w:p w14:paraId="124268B4" w14:textId="77777777" w:rsidR="00890199" w:rsidRDefault="00890199" w:rsidP="00D85E63">
            <w:pPr>
              <w:rPr>
                <w:color w:val="000000" w:themeColor="text1"/>
                <w:lang w:val="es-ES"/>
              </w:rPr>
            </w:pPr>
            <w:r>
              <w:rPr>
                <w:color w:val="000000" w:themeColor="text1"/>
                <w:lang w:val="es-ES"/>
              </w:rPr>
              <w:t xml:space="preserve">         </w:t>
            </w:r>
            <w:r w:rsidRPr="00942B9F">
              <w:rPr>
                <w:color w:val="000000" w:themeColor="text1"/>
                <w:lang w:val="es-ES"/>
              </w:rPr>
              <w:t>ateo/a.</w:t>
            </w:r>
          </w:p>
          <w:p w14:paraId="18B77625" w14:textId="77777777" w:rsidR="00890199" w:rsidRDefault="00890199" w:rsidP="00D85E63">
            <w:pPr>
              <w:ind w:left="238"/>
              <w:rPr>
                <w:color w:val="000000" w:themeColor="text1"/>
                <w:lang w:val="es-ES"/>
              </w:rPr>
            </w:pPr>
            <w:r>
              <w:rPr>
                <w:color w:val="000000" w:themeColor="text1"/>
                <w:lang w:val="es-ES"/>
              </w:rPr>
              <w:t xml:space="preserve">51. </w:t>
            </w:r>
            <w:r w:rsidRPr="00942B9F">
              <w:rPr>
                <w:color w:val="000000" w:themeColor="text1"/>
                <w:lang w:val="es-ES"/>
              </w:rPr>
              <w:t>Me han pedido que le dé gracias a Dios en un evento social.</w:t>
            </w:r>
          </w:p>
          <w:p w14:paraId="513C181F" w14:textId="77777777" w:rsidR="00890199" w:rsidRDefault="00890199" w:rsidP="00D85E63">
            <w:pPr>
              <w:rPr>
                <w:lang w:val="es-ES"/>
              </w:rPr>
            </w:pPr>
            <w:r w:rsidRPr="00D16A65">
              <w:rPr>
                <w:b/>
                <w:bCs/>
                <w:lang w:val="es-ES"/>
              </w:rPr>
              <w:t>Factor 3: Negación la individualidad ateísta</w:t>
            </w:r>
          </w:p>
          <w:p w14:paraId="09763D53" w14:textId="77777777" w:rsidR="00890199" w:rsidRDefault="00890199" w:rsidP="00D85E63">
            <w:pPr>
              <w:ind w:left="161"/>
              <w:rPr>
                <w:lang w:val="es-ES"/>
              </w:rPr>
            </w:pPr>
            <w:r>
              <w:rPr>
                <w:lang w:val="es-ES"/>
              </w:rPr>
              <w:t xml:space="preserve">67. </w:t>
            </w:r>
            <w:r w:rsidRPr="001424CC">
              <w:rPr>
                <w:lang w:val="es-ES"/>
              </w:rPr>
              <w:t xml:space="preserve">Alguien me ha dicho que no pensaba que soy ateo/a por mi </w:t>
            </w:r>
          </w:p>
          <w:p w14:paraId="181B4763" w14:textId="77777777" w:rsidR="00890199" w:rsidRDefault="00890199" w:rsidP="00D85E63">
            <w:pPr>
              <w:ind w:left="161"/>
              <w:rPr>
                <w:lang w:val="es-ES"/>
              </w:rPr>
            </w:pPr>
            <w:r>
              <w:rPr>
                <w:lang w:val="es-ES"/>
              </w:rPr>
              <w:t xml:space="preserve">     </w:t>
            </w:r>
            <w:r w:rsidRPr="001424CC">
              <w:rPr>
                <w:lang w:val="es-ES"/>
              </w:rPr>
              <w:t xml:space="preserve">profesión. </w:t>
            </w:r>
          </w:p>
          <w:p w14:paraId="698E5736" w14:textId="77777777" w:rsidR="00890199" w:rsidRDefault="00890199" w:rsidP="00D85E63">
            <w:pPr>
              <w:ind w:left="161"/>
              <w:rPr>
                <w:lang w:val="es-ES"/>
              </w:rPr>
            </w:pPr>
            <w:r>
              <w:rPr>
                <w:lang w:val="es-ES"/>
              </w:rPr>
              <w:t xml:space="preserve">62. </w:t>
            </w:r>
            <w:r w:rsidRPr="001424CC">
              <w:rPr>
                <w:lang w:val="es-ES"/>
              </w:rPr>
              <w:t>Alguien me ha</w:t>
            </w:r>
            <w:r>
              <w:rPr>
                <w:lang w:val="es-ES"/>
              </w:rPr>
              <w:t xml:space="preserve"> </w:t>
            </w:r>
            <w:r w:rsidRPr="001424CC">
              <w:rPr>
                <w:lang w:val="es-ES"/>
              </w:rPr>
              <w:t>preguntado el por qué no</w:t>
            </w:r>
            <w:r>
              <w:rPr>
                <w:lang w:val="es-ES"/>
              </w:rPr>
              <w:t xml:space="preserve"> </w:t>
            </w:r>
            <w:proofErr w:type="spellStart"/>
            <w:r w:rsidRPr="001424CC">
              <w:rPr>
                <w:lang w:val="es-ES"/>
              </w:rPr>
              <w:t>participo</w:t>
            </w:r>
            <w:proofErr w:type="spellEnd"/>
            <w:r w:rsidRPr="001424CC">
              <w:rPr>
                <w:lang w:val="es-ES"/>
              </w:rPr>
              <w:t xml:space="preserve"> activamente de</w:t>
            </w:r>
            <w:r>
              <w:rPr>
                <w:lang w:val="es-ES"/>
              </w:rPr>
              <w:t xml:space="preserve"> </w:t>
            </w:r>
          </w:p>
          <w:p w14:paraId="14B49FF1" w14:textId="77777777" w:rsidR="00890199" w:rsidRDefault="00890199" w:rsidP="00D85E63">
            <w:pPr>
              <w:ind w:left="161"/>
              <w:rPr>
                <w:lang w:val="es-ES"/>
              </w:rPr>
            </w:pPr>
            <w:r>
              <w:rPr>
                <w:lang w:val="es-ES"/>
              </w:rPr>
              <w:t xml:space="preserve">      </w:t>
            </w:r>
            <w:r w:rsidRPr="001424CC">
              <w:rPr>
                <w:lang w:val="es-ES"/>
              </w:rPr>
              <w:t>organizaciones ateístas.</w:t>
            </w:r>
          </w:p>
          <w:p w14:paraId="7068948C" w14:textId="77777777" w:rsidR="00890199" w:rsidRDefault="00890199" w:rsidP="00D85E63">
            <w:pPr>
              <w:ind w:left="161"/>
              <w:rPr>
                <w:color w:val="000000" w:themeColor="text1"/>
                <w:lang w:val="es-ES"/>
              </w:rPr>
            </w:pPr>
            <w:r w:rsidRPr="00D90996">
              <w:rPr>
                <w:lang w:val="es-ES"/>
              </w:rPr>
              <w:t xml:space="preserve">63. </w:t>
            </w:r>
            <w:r w:rsidRPr="00D90996">
              <w:rPr>
                <w:color w:val="000000" w:themeColor="text1"/>
                <w:lang w:val="es-ES"/>
              </w:rPr>
              <w:t>Alguien me ha</w:t>
            </w:r>
            <w:r>
              <w:rPr>
                <w:lang w:val="es-ES"/>
              </w:rPr>
              <w:t xml:space="preserve"> </w:t>
            </w:r>
            <w:r w:rsidRPr="00942B9F">
              <w:rPr>
                <w:color w:val="000000" w:themeColor="text1"/>
                <w:lang w:val="es-ES"/>
              </w:rPr>
              <w:t>preguntado por qué no</w:t>
            </w:r>
            <w:r>
              <w:rPr>
                <w:lang w:val="es-ES"/>
              </w:rPr>
              <w:t xml:space="preserve"> </w:t>
            </w:r>
            <w:r w:rsidRPr="00942B9F">
              <w:rPr>
                <w:color w:val="000000" w:themeColor="text1"/>
                <w:lang w:val="es-ES"/>
              </w:rPr>
              <w:t>''alzo la voz'' sobre los</w:t>
            </w:r>
            <w:r>
              <w:rPr>
                <w:lang w:val="es-ES"/>
              </w:rPr>
              <w:t xml:space="preserve"> </w:t>
            </w:r>
            <w:r w:rsidRPr="00942B9F">
              <w:rPr>
                <w:color w:val="000000" w:themeColor="text1"/>
                <w:lang w:val="es-ES"/>
              </w:rPr>
              <w:t xml:space="preserve">temas </w:t>
            </w:r>
            <w:r>
              <w:rPr>
                <w:color w:val="000000" w:themeColor="text1"/>
                <w:lang w:val="es-ES"/>
              </w:rPr>
              <w:t xml:space="preserve">    </w:t>
            </w:r>
          </w:p>
          <w:p w14:paraId="7717C14E" w14:textId="77777777" w:rsidR="00890199" w:rsidRDefault="00890199" w:rsidP="00D85E63">
            <w:pPr>
              <w:ind w:left="161"/>
              <w:rPr>
                <w:color w:val="000000" w:themeColor="text1"/>
                <w:lang w:val="es-ES"/>
              </w:rPr>
            </w:pPr>
            <w:r>
              <w:rPr>
                <w:lang w:val="es-ES"/>
              </w:rPr>
              <w:t xml:space="preserve">      </w:t>
            </w:r>
            <w:r w:rsidRPr="00942B9F">
              <w:rPr>
                <w:color w:val="000000" w:themeColor="text1"/>
                <w:lang w:val="es-ES"/>
              </w:rPr>
              <w:t>asociados al</w:t>
            </w:r>
            <w:r>
              <w:rPr>
                <w:lang w:val="es-ES"/>
              </w:rPr>
              <w:t xml:space="preserve"> </w:t>
            </w:r>
            <w:r w:rsidRPr="00942B9F">
              <w:rPr>
                <w:color w:val="000000" w:themeColor="text1"/>
                <w:lang w:val="es-ES"/>
              </w:rPr>
              <w:t>ateísmo.</w:t>
            </w:r>
          </w:p>
          <w:p w14:paraId="655FD6AD" w14:textId="77777777" w:rsidR="00890199" w:rsidRDefault="00890199" w:rsidP="00D85E63">
            <w:pPr>
              <w:ind w:left="161"/>
              <w:rPr>
                <w:color w:val="000000" w:themeColor="text1"/>
                <w:lang w:val="es-ES"/>
              </w:rPr>
            </w:pPr>
            <w:r>
              <w:rPr>
                <w:color w:val="000000" w:themeColor="text1"/>
                <w:lang w:val="es-ES"/>
              </w:rPr>
              <w:t xml:space="preserve">68. </w:t>
            </w:r>
            <w:r w:rsidRPr="00942B9F">
              <w:rPr>
                <w:color w:val="000000" w:themeColor="text1"/>
                <w:lang w:val="es-ES"/>
              </w:rPr>
              <w:t>Alguien me ha preguntado qué piensan los ateos sobre un tema en</w:t>
            </w:r>
            <w:r>
              <w:rPr>
                <w:color w:val="000000" w:themeColor="text1"/>
                <w:lang w:val="es-ES"/>
              </w:rPr>
              <w:t xml:space="preserve"> </w:t>
            </w:r>
          </w:p>
          <w:p w14:paraId="28BBA91B" w14:textId="77777777" w:rsidR="00890199" w:rsidRDefault="00890199" w:rsidP="00D85E63">
            <w:pPr>
              <w:ind w:left="161"/>
              <w:rPr>
                <w:color w:val="000000" w:themeColor="text1"/>
                <w:lang w:val="es-ES"/>
              </w:rPr>
            </w:pPr>
            <w:r>
              <w:rPr>
                <w:color w:val="000000" w:themeColor="text1"/>
                <w:lang w:val="es-ES"/>
              </w:rPr>
              <w:t xml:space="preserve">      </w:t>
            </w:r>
            <w:r w:rsidRPr="00942B9F">
              <w:rPr>
                <w:color w:val="000000" w:themeColor="text1"/>
                <w:lang w:val="es-ES"/>
              </w:rPr>
              <w:t xml:space="preserve">particular, a pesar de que mi punto de vista puede ser diferente al </w:t>
            </w:r>
            <w:r>
              <w:rPr>
                <w:color w:val="000000" w:themeColor="text1"/>
                <w:lang w:val="es-ES"/>
              </w:rPr>
              <w:t xml:space="preserve">   </w:t>
            </w:r>
          </w:p>
          <w:p w14:paraId="425326C2" w14:textId="77777777" w:rsidR="00890199" w:rsidRDefault="00890199" w:rsidP="00D85E63">
            <w:pPr>
              <w:ind w:left="161"/>
              <w:rPr>
                <w:color w:val="000000" w:themeColor="text1"/>
                <w:lang w:val="es-ES"/>
              </w:rPr>
            </w:pPr>
            <w:r>
              <w:rPr>
                <w:color w:val="000000" w:themeColor="text1"/>
                <w:lang w:val="es-ES"/>
              </w:rPr>
              <w:t xml:space="preserve">      </w:t>
            </w:r>
            <w:r w:rsidRPr="00942B9F">
              <w:rPr>
                <w:color w:val="000000" w:themeColor="text1"/>
                <w:lang w:val="es-ES"/>
              </w:rPr>
              <w:t>de otras personas ateas.</w:t>
            </w:r>
          </w:p>
          <w:p w14:paraId="0B02B1ED" w14:textId="77777777" w:rsidR="00890199" w:rsidRDefault="00890199" w:rsidP="00D85E63">
            <w:pPr>
              <w:ind w:left="161"/>
              <w:rPr>
                <w:color w:val="000000" w:themeColor="text1"/>
                <w:lang w:val="es-ES"/>
              </w:rPr>
            </w:pPr>
            <w:r>
              <w:rPr>
                <w:color w:val="000000" w:themeColor="text1"/>
                <w:lang w:val="es-ES"/>
              </w:rPr>
              <w:t xml:space="preserve">69. </w:t>
            </w:r>
            <w:r w:rsidRPr="00942B9F">
              <w:rPr>
                <w:color w:val="000000" w:themeColor="text1"/>
                <w:lang w:val="es-ES"/>
              </w:rPr>
              <w:t>Me han dicho que no parezco ateo/a por mi visión de mundo o</w:t>
            </w:r>
            <w:r>
              <w:rPr>
                <w:color w:val="000000" w:themeColor="text1"/>
                <w:lang w:val="es-ES"/>
              </w:rPr>
              <w:t xml:space="preserve"> </w:t>
            </w:r>
          </w:p>
          <w:p w14:paraId="01709596" w14:textId="77777777" w:rsidR="00890199" w:rsidRDefault="00890199" w:rsidP="00D85E63">
            <w:pPr>
              <w:ind w:left="161"/>
              <w:rPr>
                <w:color w:val="000000" w:themeColor="text1"/>
                <w:lang w:val="es-ES"/>
              </w:rPr>
            </w:pPr>
            <w:r>
              <w:rPr>
                <w:color w:val="000000" w:themeColor="text1"/>
                <w:lang w:val="es-ES"/>
              </w:rPr>
              <w:lastRenderedPageBreak/>
              <w:t xml:space="preserve">      </w:t>
            </w:r>
            <w:r w:rsidRPr="00942B9F">
              <w:rPr>
                <w:color w:val="000000" w:themeColor="text1"/>
                <w:lang w:val="es-ES"/>
              </w:rPr>
              <w:t>filosofía de vida.</w:t>
            </w:r>
          </w:p>
          <w:p w14:paraId="57274FB7" w14:textId="77777777" w:rsidR="00890199" w:rsidRDefault="00890199" w:rsidP="00D85E63">
            <w:pPr>
              <w:ind w:left="161"/>
              <w:rPr>
                <w:color w:val="000000" w:themeColor="text1"/>
                <w:lang w:val="es-ES"/>
              </w:rPr>
            </w:pPr>
            <w:r>
              <w:rPr>
                <w:color w:val="000000" w:themeColor="text1"/>
                <w:lang w:val="es-ES"/>
              </w:rPr>
              <w:t xml:space="preserve">61. </w:t>
            </w:r>
            <w:r w:rsidRPr="001424CC">
              <w:rPr>
                <w:color w:val="000000" w:themeColor="text1"/>
                <w:lang w:val="es-ES"/>
              </w:rPr>
              <w:t>Me han dicho que no</w:t>
            </w:r>
            <w:r>
              <w:rPr>
                <w:color w:val="000000" w:themeColor="text1"/>
                <w:lang w:val="es-ES"/>
              </w:rPr>
              <w:t xml:space="preserve"> </w:t>
            </w:r>
            <w:r w:rsidRPr="001424CC">
              <w:rPr>
                <w:color w:val="000000" w:themeColor="text1"/>
                <w:lang w:val="es-ES"/>
              </w:rPr>
              <w:t xml:space="preserve">parezco ateo/a por </w:t>
            </w:r>
            <w:proofErr w:type="spellStart"/>
            <w:r w:rsidRPr="001424CC">
              <w:rPr>
                <w:color w:val="000000" w:themeColor="text1"/>
                <w:lang w:val="es-ES"/>
              </w:rPr>
              <w:t>mi</w:t>
            </w:r>
            <w:proofErr w:type="spellEnd"/>
            <w:r>
              <w:rPr>
                <w:color w:val="000000" w:themeColor="text1"/>
                <w:lang w:val="es-ES"/>
              </w:rPr>
              <w:t xml:space="preserve"> </w:t>
            </w:r>
            <w:r w:rsidRPr="001424CC">
              <w:rPr>
                <w:color w:val="000000" w:themeColor="text1"/>
                <w:lang w:val="es-ES"/>
              </w:rPr>
              <w:t>forma vestir o por</w:t>
            </w:r>
            <w:r>
              <w:rPr>
                <w:color w:val="000000" w:themeColor="text1"/>
                <w:lang w:val="es-ES"/>
              </w:rPr>
              <w:t xml:space="preserve"> </w:t>
            </w:r>
          </w:p>
          <w:p w14:paraId="1A2A107A" w14:textId="77777777" w:rsidR="00890199" w:rsidRDefault="00890199" w:rsidP="00D85E63">
            <w:pPr>
              <w:ind w:left="161"/>
              <w:rPr>
                <w:color w:val="000000" w:themeColor="text1"/>
                <w:lang w:val="es-ES"/>
              </w:rPr>
            </w:pPr>
            <w:r>
              <w:rPr>
                <w:color w:val="000000" w:themeColor="text1"/>
                <w:lang w:val="es-ES"/>
              </w:rPr>
              <w:t xml:space="preserve">      </w:t>
            </w:r>
            <w:r w:rsidRPr="001424CC">
              <w:rPr>
                <w:color w:val="000000" w:themeColor="text1"/>
                <w:lang w:val="es-ES"/>
              </w:rPr>
              <w:t>cómo</w:t>
            </w:r>
            <w:r>
              <w:rPr>
                <w:color w:val="000000" w:themeColor="text1"/>
                <w:lang w:val="es-ES"/>
              </w:rPr>
              <w:t xml:space="preserve"> </w:t>
            </w:r>
            <w:r w:rsidRPr="001424CC">
              <w:rPr>
                <w:color w:val="000000" w:themeColor="text1"/>
                <w:lang w:val="es-ES"/>
              </w:rPr>
              <w:t>me veo.</w:t>
            </w:r>
          </w:p>
          <w:p w14:paraId="5AC6D3F6" w14:textId="77777777" w:rsidR="00890199" w:rsidRDefault="00890199" w:rsidP="00D85E63">
            <w:pPr>
              <w:ind w:left="161"/>
              <w:rPr>
                <w:color w:val="000000" w:themeColor="text1"/>
                <w:lang w:val="es-ES"/>
              </w:rPr>
            </w:pPr>
            <w:r>
              <w:rPr>
                <w:color w:val="000000" w:themeColor="text1"/>
                <w:lang w:val="es-ES"/>
              </w:rPr>
              <w:t xml:space="preserve">71. </w:t>
            </w:r>
            <w:r w:rsidRPr="00942B9F">
              <w:rPr>
                <w:color w:val="000000" w:themeColor="text1"/>
                <w:lang w:val="es-ES"/>
              </w:rPr>
              <w:t>Alguien reaccionó sorprendido al verme en un escenario social</w:t>
            </w:r>
            <w:r>
              <w:rPr>
                <w:color w:val="000000" w:themeColor="text1"/>
                <w:lang w:val="es-ES"/>
              </w:rPr>
              <w:t xml:space="preserve"> </w:t>
            </w:r>
          </w:p>
          <w:p w14:paraId="18BE74B0" w14:textId="77777777" w:rsidR="00890199" w:rsidRDefault="00890199" w:rsidP="00D85E63">
            <w:pPr>
              <w:ind w:left="161"/>
              <w:rPr>
                <w:color w:val="000000" w:themeColor="text1"/>
                <w:lang w:val="es-ES"/>
              </w:rPr>
            </w:pPr>
            <w:r>
              <w:rPr>
                <w:color w:val="000000" w:themeColor="text1"/>
                <w:lang w:val="es-ES"/>
              </w:rPr>
              <w:t xml:space="preserve">      </w:t>
            </w:r>
            <w:r w:rsidRPr="00942B9F">
              <w:rPr>
                <w:color w:val="000000" w:themeColor="text1"/>
                <w:lang w:val="es-ES"/>
              </w:rPr>
              <w:t>religioso.</w:t>
            </w:r>
          </w:p>
          <w:p w14:paraId="5D8F4220" w14:textId="77777777" w:rsidR="00890199" w:rsidRDefault="00890199" w:rsidP="00D85E63">
            <w:pPr>
              <w:ind w:left="161"/>
              <w:rPr>
                <w:color w:val="000000" w:themeColor="text1"/>
                <w:lang w:val="es-ES"/>
              </w:rPr>
            </w:pPr>
            <w:r>
              <w:rPr>
                <w:color w:val="000000" w:themeColor="text1"/>
                <w:lang w:val="es-ES"/>
              </w:rPr>
              <w:t xml:space="preserve">70. </w:t>
            </w:r>
            <w:r w:rsidRPr="00942B9F">
              <w:rPr>
                <w:color w:val="000000" w:themeColor="text1"/>
                <w:lang w:val="es-ES"/>
              </w:rPr>
              <w:t>Me han dicho que no me dieron una noticia particular porque para</w:t>
            </w:r>
            <w:r>
              <w:rPr>
                <w:color w:val="000000" w:themeColor="text1"/>
                <w:lang w:val="es-ES"/>
              </w:rPr>
              <w:t xml:space="preserve"> </w:t>
            </w:r>
          </w:p>
          <w:p w14:paraId="5BE8BCAF" w14:textId="77777777" w:rsidR="00890199" w:rsidRDefault="00890199" w:rsidP="00D85E63">
            <w:pPr>
              <w:ind w:left="161"/>
              <w:rPr>
                <w:color w:val="000000" w:themeColor="text1"/>
                <w:lang w:val="es-ES"/>
              </w:rPr>
            </w:pPr>
            <w:r>
              <w:rPr>
                <w:color w:val="000000" w:themeColor="text1"/>
                <w:lang w:val="es-ES"/>
              </w:rPr>
              <w:t xml:space="preserve">     </w:t>
            </w:r>
            <w:r w:rsidRPr="00942B9F">
              <w:rPr>
                <w:color w:val="000000" w:themeColor="text1"/>
                <w:lang w:val="es-ES"/>
              </w:rPr>
              <w:t>los/as ateos/as ese tema no es importante.</w:t>
            </w:r>
          </w:p>
          <w:p w14:paraId="0A9B7778" w14:textId="77777777" w:rsidR="00890199" w:rsidRDefault="00890199" w:rsidP="00D85E63">
            <w:pPr>
              <w:ind w:left="161"/>
              <w:rPr>
                <w:color w:val="000000" w:themeColor="text1"/>
                <w:lang w:val="es-ES"/>
              </w:rPr>
            </w:pPr>
            <w:r>
              <w:rPr>
                <w:color w:val="000000" w:themeColor="text1"/>
                <w:lang w:val="es-ES"/>
              </w:rPr>
              <w:t xml:space="preserve">64. </w:t>
            </w:r>
            <w:r w:rsidRPr="00942B9F">
              <w:rPr>
                <w:color w:val="000000" w:themeColor="text1"/>
                <w:lang w:val="es-ES"/>
              </w:rPr>
              <w:t>Me han dicho que todos los/as ateos/as somos iguales.</w:t>
            </w:r>
          </w:p>
          <w:p w14:paraId="0942EDAB" w14:textId="77777777" w:rsidR="00890199" w:rsidRDefault="00890199" w:rsidP="00D85E63">
            <w:pPr>
              <w:ind w:left="161"/>
              <w:rPr>
                <w:color w:val="000000" w:themeColor="text1"/>
                <w:lang w:val="es-ES"/>
              </w:rPr>
            </w:pPr>
            <w:r>
              <w:rPr>
                <w:color w:val="000000" w:themeColor="text1"/>
                <w:lang w:val="es-ES"/>
              </w:rPr>
              <w:t xml:space="preserve">65. </w:t>
            </w:r>
            <w:r w:rsidRPr="00942B9F">
              <w:rPr>
                <w:color w:val="000000" w:themeColor="text1"/>
                <w:lang w:val="es-ES"/>
              </w:rPr>
              <w:t xml:space="preserve">Me han dicho que todos los/as ateos/as pensamos de la misma </w:t>
            </w:r>
          </w:p>
          <w:p w14:paraId="67A48000" w14:textId="77777777" w:rsidR="00890199" w:rsidRDefault="00890199" w:rsidP="00D85E63">
            <w:pPr>
              <w:ind w:left="161"/>
              <w:rPr>
                <w:color w:val="000000" w:themeColor="text1"/>
                <w:lang w:val="es-ES"/>
              </w:rPr>
            </w:pPr>
            <w:r>
              <w:rPr>
                <w:color w:val="000000" w:themeColor="text1"/>
                <w:lang w:val="es-ES"/>
              </w:rPr>
              <w:t xml:space="preserve">      </w:t>
            </w:r>
            <w:r w:rsidRPr="00942B9F">
              <w:rPr>
                <w:color w:val="000000" w:themeColor="text1"/>
                <w:lang w:val="es-ES"/>
              </w:rPr>
              <w:t>manera.</w:t>
            </w:r>
          </w:p>
          <w:p w14:paraId="2CCF79C3" w14:textId="77777777" w:rsidR="00890199" w:rsidRDefault="00890199" w:rsidP="00D85E63">
            <w:pPr>
              <w:ind w:left="161"/>
              <w:rPr>
                <w:color w:val="000000" w:themeColor="text1"/>
                <w:lang w:val="es-ES"/>
              </w:rPr>
            </w:pPr>
            <w:r>
              <w:rPr>
                <w:color w:val="000000" w:themeColor="text1"/>
                <w:lang w:val="es-ES"/>
              </w:rPr>
              <w:t xml:space="preserve">66. </w:t>
            </w:r>
            <w:r w:rsidRPr="00942B9F">
              <w:rPr>
                <w:color w:val="000000" w:themeColor="text1"/>
                <w:lang w:val="es-ES"/>
              </w:rPr>
              <w:t xml:space="preserve">Alguien ha dicho que sabía que era ateo/a por </w:t>
            </w:r>
            <w:proofErr w:type="spellStart"/>
            <w:r w:rsidRPr="00942B9F">
              <w:rPr>
                <w:color w:val="000000" w:themeColor="text1"/>
                <w:lang w:val="es-ES"/>
              </w:rPr>
              <w:t>mi</w:t>
            </w:r>
            <w:proofErr w:type="spellEnd"/>
            <w:r w:rsidRPr="00942B9F">
              <w:rPr>
                <w:color w:val="000000" w:themeColor="text1"/>
                <w:lang w:val="es-ES"/>
              </w:rPr>
              <w:t xml:space="preserve"> preparación </w:t>
            </w:r>
          </w:p>
          <w:p w14:paraId="2E7EE7B0" w14:textId="77777777" w:rsidR="00890199" w:rsidRPr="00D90996" w:rsidRDefault="00890199" w:rsidP="00D85E63">
            <w:pPr>
              <w:ind w:left="161"/>
              <w:rPr>
                <w:color w:val="000000" w:themeColor="text1"/>
                <w:lang w:val="es-ES"/>
              </w:rPr>
            </w:pPr>
            <w:r>
              <w:rPr>
                <w:color w:val="000000" w:themeColor="text1"/>
                <w:lang w:val="es-ES"/>
              </w:rPr>
              <w:t xml:space="preserve">       </w:t>
            </w:r>
            <w:r w:rsidRPr="00942B9F">
              <w:rPr>
                <w:color w:val="000000" w:themeColor="text1"/>
                <w:lang w:val="es-ES"/>
              </w:rPr>
              <w:t>académica.</w:t>
            </w:r>
          </w:p>
        </w:tc>
        <w:tc>
          <w:tcPr>
            <w:tcW w:w="810" w:type="dxa"/>
            <w:tcBorders>
              <w:left w:val="nil"/>
              <w:right w:val="nil"/>
            </w:tcBorders>
          </w:tcPr>
          <w:p w14:paraId="558B071B" w14:textId="77777777" w:rsidR="00890199" w:rsidRDefault="00890199" w:rsidP="00D85E63">
            <w:pPr>
              <w:jc w:val="center"/>
              <w:rPr>
                <w:b/>
                <w:bCs/>
                <w:lang w:val="es-ES"/>
              </w:rPr>
            </w:pPr>
          </w:p>
          <w:p w14:paraId="519C6B2D" w14:textId="77777777" w:rsidR="00890199" w:rsidRDefault="00890199" w:rsidP="00D85E63">
            <w:pPr>
              <w:jc w:val="center"/>
              <w:rPr>
                <w:b/>
                <w:bCs/>
                <w:lang w:val="es-ES"/>
              </w:rPr>
            </w:pPr>
            <w:r>
              <w:rPr>
                <w:b/>
                <w:bCs/>
                <w:lang w:val="es-ES"/>
              </w:rPr>
              <w:t>.82</w:t>
            </w:r>
          </w:p>
          <w:p w14:paraId="78C88B6A" w14:textId="77777777" w:rsidR="00890199" w:rsidRDefault="00890199" w:rsidP="00D85E63">
            <w:pPr>
              <w:jc w:val="center"/>
              <w:rPr>
                <w:b/>
                <w:bCs/>
                <w:lang w:val="es-ES"/>
              </w:rPr>
            </w:pPr>
            <w:r>
              <w:rPr>
                <w:b/>
                <w:bCs/>
                <w:lang w:val="es-ES"/>
              </w:rPr>
              <w:t>.77</w:t>
            </w:r>
          </w:p>
          <w:p w14:paraId="40995B31" w14:textId="77777777" w:rsidR="00890199" w:rsidRDefault="00890199" w:rsidP="00D85E63">
            <w:pPr>
              <w:jc w:val="center"/>
              <w:rPr>
                <w:b/>
                <w:bCs/>
                <w:lang w:val="es-ES"/>
              </w:rPr>
            </w:pPr>
            <w:r>
              <w:rPr>
                <w:b/>
                <w:bCs/>
                <w:lang w:val="es-ES"/>
              </w:rPr>
              <w:t>.68</w:t>
            </w:r>
          </w:p>
          <w:p w14:paraId="564C400A" w14:textId="77777777" w:rsidR="00890199" w:rsidRDefault="00890199" w:rsidP="00D85E63">
            <w:pPr>
              <w:jc w:val="center"/>
              <w:rPr>
                <w:b/>
                <w:bCs/>
                <w:lang w:val="es-ES"/>
              </w:rPr>
            </w:pPr>
          </w:p>
          <w:p w14:paraId="4641A649" w14:textId="77777777" w:rsidR="00890199" w:rsidRDefault="00890199" w:rsidP="00D85E63">
            <w:pPr>
              <w:jc w:val="center"/>
              <w:rPr>
                <w:b/>
                <w:bCs/>
                <w:lang w:val="es-ES"/>
              </w:rPr>
            </w:pPr>
            <w:r>
              <w:rPr>
                <w:b/>
                <w:bCs/>
                <w:lang w:val="es-ES"/>
              </w:rPr>
              <w:t>.66</w:t>
            </w:r>
          </w:p>
          <w:p w14:paraId="5F951283" w14:textId="77777777" w:rsidR="00890199" w:rsidRDefault="00890199" w:rsidP="00D85E63">
            <w:pPr>
              <w:jc w:val="center"/>
              <w:rPr>
                <w:b/>
                <w:bCs/>
                <w:lang w:val="es-ES"/>
              </w:rPr>
            </w:pPr>
          </w:p>
          <w:p w14:paraId="74F41D2E" w14:textId="77777777" w:rsidR="00890199" w:rsidRDefault="00890199" w:rsidP="00D85E63">
            <w:pPr>
              <w:jc w:val="center"/>
              <w:rPr>
                <w:b/>
                <w:bCs/>
                <w:lang w:val="es-ES"/>
              </w:rPr>
            </w:pPr>
            <w:r>
              <w:rPr>
                <w:b/>
                <w:bCs/>
                <w:lang w:val="es-ES"/>
              </w:rPr>
              <w:t>.66</w:t>
            </w:r>
          </w:p>
          <w:p w14:paraId="541055A3" w14:textId="77777777" w:rsidR="00890199" w:rsidRDefault="00890199" w:rsidP="00D85E63">
            <w:pPr>
              <w:jc w:val="center"/>
              <w:rPr>
                <w:b/>
                <w:bCs/>
                <w:lang w:val="es-ES"/>
              </w:rPr>
            </w:pPr>
          </w:p>
          <w:p w14:paraId="11B225A9" w14:textId="77777777" w:rsidR="00890199" w:rsidRDefault="00890199" w:rsidP="00D85E63">
            <w:pPr>
              <w:jc w:val="center"/>
              <w:rPr>
                <w:b/>
                <w:bCs/>
                <w:lang w:val="es-ES"/>
              </w:rPr>
            </w:pPr>
            <w:r>
              <w:rPr>
                <w:b/>
                <w:bCs/>
                <w:lang w:val="es-ES"/>
              </w:rPr>
              <w:t>.66</w:t>
            </w:r>
          </w:p>
          <w:p w14:paraId="7A5B76E5" w14:textId="77777777" w:rsidR="00890199" w:rsidRDefault="00890199" w:rsidP="00D85E63">
            <w:pPr>
              <w:jc w:val="center"/>
              <w:rPr>
                <w:b/>
                <w:bCs/>
                <w:lang w:val="es-ES"/>
              </w:rPr>
            </w:pPr>
            <w:r>
              <w:rPr>
                <w:b/>
                <w:bCs/>
                <w:lang w:val="es-ES"/>
              </w:rPr>
              <w:t>.65</w:t>
            </w:r>
          </w:p>
          <w:p w14:paraId="21ED195E" w14:textId="77777777" w:rsidR="00890199" w:rsidRDefault="00890199" w:rsidP="00D85E63">
            <w:pPr>
              <w:jc w:val="center"/>
              <w:rPr>
                <w:b/>
                <w:bCs/>
                <w:lang w:val="es-ES"/>
              </w:rPr>
            </w:pPr>
          </w:p>
          <w:p w14:paraId="1FF2ED76" w14:textId="77777777" w:rsidR="00890199" w:rsidRDefault="00890199" w:rsidP="00D85E63">
            <w:pPr>
              <w:jc w:val="center"/>
              <w:rPr>
                <w:b/>
                <w:bCs/>
                <w:lang w:val="es-ES"/>
              </w:rPr>
            </w:pPr>
            <w:r>
              <w:rPr>
                <w:b/>
                <w:bCs/>
                <w:lang w:val="es-ES"/>
              </w:rPr>
              <w:t>.62</w:t>
            </w:r>
          </w:p>
          <w:p w14:paraId="458C9831" w14:textId="77777777" w:rsidR="00890199" w:rsidRDefault="00890199" w:rsidP="00D85E63">
            <w:pPr>
              <w:jc w:val="center"/>
              <w:rPr>
                <w:b/>
                <w:bCs/>
                <w:lang w:val="es-ES"/>
              </w:rPr>
            </w:pPr>
            <w:r>
              <w:rPr>
                <w:b/>
                <w:bCs/>
                <w:lang w:val="es-ES"/>
              </w:rPr>
              <w:t>.62</w:t>
            </w:r>
          </w:p>
          <w:p w14:paraId="3DB75EDA" w14:textId="77777777" w:rsidR="00890199" w:rsidRDefault="00890199" w:rsidP="00D85E63">
            <w:pPr>
              <w:jc w:val="center"/>
              <w:rPr>
                <w:b/>
                <w:bCs/>
                <w:lang w:val="es-ES"/>
              </w:rPr>
            </w:pPr>
          </w:p>
          <w:p w14:paraId="3EBE9CE0" w14:textId="77777777" w:rsidR="00890199" w:rsidRDefault="00890199" w:rsidP="00D85E63">
            <w:pPr>
              <w:jc w:val="center"/>
              <w:rPr>
                <w:b/>
                <w:bCs/>
                <w:lang w:val="es-ES"/>
              </w:rPr>
            </w:pPr>
          </w:p>
          <w:p w14:paraId="31950263" w14:textId="77777777" w:rsidR="00890199" w:rsidRDefault="00890199" w:rsidP="00D85E63">
            <w:pPr>
              <w:jc w:val="center"/>
              <w:rPr>
                <w:b/>
                <w:bCs/>
                <w:lang w:val="es-ES"/>
              </w:rPr>
            </w:pPr>
            <w:r>
              <w:rPr>
                <w:b/>
                <w:bCs/>
                <w:lang w:val="es-ES"/>
              </w:rPr>
              <w:t>.60</w:t>
            </w:r>
          </w:p>
          <w:p w14:paraId="3C894E9B" w14:textId="77777777" w:rsidR="00890199" w:rsidRDefault="00890199" w:rsidP="00D85E63">
            <w:pPr>
              <w:jc w:val="center"/>
              <w:rPr>
                <w:b/>
                <w:bCs/>
                <w:lang w:val="es-ES"/>
              </w:rPr>
            </w:pPr>
          </w:p>
          <w:p w14:paraId="7A996473" w14:textId="77777777" w:rsidR="00890199" w:rsidRDefault="00890199" w:rsidP="00D85E63">
            <w:pPr>
              <w:jc w:val="center"/>
              <w:rPr>
                <w:b/>
                <w:bCs/>
                <w:lang w:val="es-ES"/>
              </w:rPr>
            </w:pPr>
            <w:r>
              <w:rPr>
                <w:b/>
                <w:bCs/>
                <w:lang w:val="es-ES"/>
              </w:rPr>
              <w:t>.58</w:t>
            </w:r>
          </w:p>
          <w:p w14:paraId="69AF8F4E" w14:textId="77777777" w:rsidR="00890199" w:rsidRDefault="00890199" w:rsidP="00D85E63">
            <w:pPr>
              <w:jc w:val="center"/>
              <w:rPr>
                <w:b/>
                <w:bCs/>
                <w:lang w:val="es-ES"/>
              </w:rPr>
            </w:pPr>
            <w:r>
              <w:rPr>
                <w:b/>
                <w:bCs/>
                <w:lang w:val="es-ES"/>
              </w:rPr>
              <w:t>.57</w:t>
            </w:r>
          </w:p>
          <w:p w14:paraId="0F19832C" w14:textId="77777777" w:rsidR="00890199" w:rsidRDefault="00890199" w:rsidP="00D85E63">
            <w:pPr>
              <w:jc w:val="center"/>
              <w:rPr>
                <w:b/>
                <w:bCs/>
                <w:lang w:val="es-ES"/>
              </w:rPr>
            </w:pPr>
          </w:p>
          <w:p w14:paraId="60C9EEAC" w14:textId="77777777" w:rsidR="00890199" w:rsidRDefault="00890199" w:rsidP="00D85E63">
            <w:pPr>
              <w:jc w:val="center"/>
              <w:rPr>
                <w:b/>
                <w:bCs/>
                <w:lang w:val="es-ES"/>
              </w:rPr>
            </w:pPr>
            <w:r>
              <w:rPr>
                <w:b/>
                <w:bCs/>
                <w:lang w:val="es-ES"/>
              </w:rPr>
              <w:t>.57</w:t>
            </w:r>
          </w:p>
          <w:p w14:paraId="3DD62576" w14:textId="77777777" w:rsidR="00890199" w:rsidRDefault="00890199" w:rsidP="00D85E63">
            <w:pPr>
              <w:jc w:val="center"/>
              <w:rPr>
                <w:b/>
                <w:bCs/>
                <w:lang w:val="es-ES"/>
              </w:rPr>
            </w:pPr>
          </w:p>
          <w:p w14:paraId="5B67E5B3" w14:textId="77777777" w:rsidR="00890199" w:rsidRDefault="00890199" w:rsidP="00D85E63">
            <w:pPr>
              <w:jc w:val="center"/>
              <w:rPr>
                <w:b/>
                <w:bCs/>
                <w:lang w:val="es-ES"/>
              </w:rPr>
            </w:pPr>
            <w:r>
              <w:rPr>
                <w:b/>
                <w:bCs/>
                <w:lang w:val="es-ES"/>
              </w:rPr>
              <w:t>.55</w:t>
            </w:r>
          </w:p>
          <w:p w14:paraId="3BE3E8F5" w14:textId="77777777" w:rsidR="00890199" w:rsidRDefault="00890199" w:rsidP="00D85E63">
            <w:pPr>
              <w:jc w:val="center"/>
              <w:rPr>
                <w:b/>
                <w:bCs/>
                <w:lang w:val="es-ES"/>
              </w:rPr>
            </w:pPr>
          </w:p>
          <w:p w14:paraId="316CCC2E" w14:textId="77777777" w:rsidR="00890199" w:rsidRDefault="00890199" w:rsidP="00D85E63">
            <w:pPr>
              <w:jc w:val="center"/>
              <w:rPr>
                <w:b/>
                <w:bCs/>
                <w:lang w:val="es-ES"/>
              </w:rPr>
            </w:pPr>
            <w:r>
              <w:rPr>
                <w:b/>
                <w:bCs/>
                <w:lang w:val="es-ES"/>
              </w:rPr>
              <w:t>.53</w:t>
            </w:r>
          </w:p>
          <w:p w14:paraId="35E1DDFF" w14:textId="77777777" w:rsidR="00890199" w:rsidRDefault="00890199" w:rsidP="00D85E63">
            <w:pPr>
              <w:jc w:val="center"/>
              <w:rPr>
                <w:b/>
                <w:bCs/>
                <w:lang w:val="es-ES"/>
              </w:rPr>
            </w:pPr>
            <w:r>
              <w:rPr>
                <w:b/>
                <w:bCs/>
                <w:lang w:val="es-ES"/>
              </w:rPr>
              <w:t>.53</w:t>
            </w:r>
          </w:p>
          <w:p w14:paraId="350E5EF2" w14:textId="77777777" w:rsidR="00890199" w:rsidRDefault="00890199" w:rsidP="00D85E63">
            <w:pPr>
              <w:jc w:val="center"/>
              <w:rPr>
                <w:b/>
                <w:bCs/>
                <w:lang w:val="es-ES"/>
              </w:rPr>
            </w:pPr>
          </w:p>
          <w:p w14:paraId="035D458E" w14:textId="77777777" w:rsidR="00890199" w:rsidRDefault="00890199" w:rsidP="00D85E63">
            <w:pPr>
              <w:jc w:val="center"/>
              <w:rPr>
                <w:b/>
                <w:bCs/>
                <w:lang w:val="es-ES"/>
              </w:rPr>
            </w:pPr>
          </w:p>
          <w:p w14:paraId="2C4211AF" w14:textId="77777777" w:rsidR="00890199" w:rsidRDefault="00890199" w:rsidP="00D85E63">
            <w:pPr>
              <w:jc w:val="center"/>
              <w:rPr>
                <w:b/>
                <w:bCs/>
                <w:lang w:val="es-ES"/>
              </w:rPr>
            </w:pPr>
            <w:r>
              <w:rPr>
                <w:b/>
                <w:bCs/>
                <w:lang w:val="es-ES"/>
              </w:rPr>
              <w:t>.53</w:t>
            </w:r>
          </w:p>
          <w:p w14:paraId="7DAD29C8" w14:textId="77777777" w:rsidR="00890199" w:rsidRDefault="00890199" w:rsidP="00D85E63">
            <w:pPr>
              <w:jc w:val="center"/>
              <w:rPr>
                <w:b/>
                <w:bCs/>
                <w:lang w:val="es-ES"/>
              </w:rPr>
            </w:pPr>
            <w:r>
              <w:rPr>
                <w:b/>
                <w:bCs/>
                <w:lang w:val="es-ES"/>
              </w:rPr>
              <w:t>.52</w:t>
            </w:r>
          </w:p>
          <w:p w14:paraId="7728DB3C" w14:textId="77777777" w:rsidR="00890199" w:rsidRDefault="00890199" w:rsidP="00D85E63">
            <w:pPr>
              <w:jc w:val="center"/>
              <w:rPr>
                <w:b/>
                <w:bCs/>
                <w:lang w:val="es-ES"/>
              </w:rPr>
            </w:pPr>
            <w:r>
              <w:rPr>
                <w:b/>
                <w:bCs/>
                <w:lang w:val="es-ES"/>
              </w:rPr>
              <w:t>.51</w:t>
            </w:r>
          </w:p>
          <w:p w14:paraId="756F771E" w14:textId="77777777" w:rsidR="00890199" w:rsidRDefault="00890199" w:rsidP="00D85E63">
            <w:pPr>
              <w:jc w:val="center"/>
              <w:rPr>
                <w:b/>
                <w:bCs/>
                <w:lang w:val="es-ES"/>
              </w:rPr>
            </w:pPr>
            <w:r>
              <w:rPr>
                <w:b/>
                <w:bCs/>
                <w:lang w:val="es-ES"/>
              </w:rPr>
              <w:lastRenderedPageBreak/>
              <w:t>.42</w:t>
            </w:r>
          </w:p>
          <w:p w14:paraId="5039B082" w14:textId="77777777" w:rsidR="00890199" w:rsidRDefault="00890199" w:rsidP="00D85E63">
            <w:pPr>
              <w:jc w:val="center"/>
              <w:rPr>
                <w:b/>
                <w:bCs/>
                <w:lang w:val="es-ES"/>
              </w:rPr>
            </w:pPr>
          </w:p>
          <w:p w14:paraId="503559BF" w14:textId="77777777" w:rsidR="00890199" w:rsidRDefault="00890199" w:rsidP="00D85E63">
            <w:pPr>
              <w:jc w:val="center"/>
              <w:rPr>
                <w:b/>
                <w:bCs/>
                <w:lang w:val="es-ES"/>
              </w:rPr>
            </w:pPr>
          </w:p>
          <w:p w14:paraId="29C0CB28" w14:textId="77777777" w:rsidR="00890199" w:rsidRDefault="00890199" w:rsidP="00D85E63">
            <w:pPr>
              <w:jc w:val="center"/>
              <w:rPr>
                <w:b/>
                <w:bCs/>
                <w:lang w:val="es-ES"/>
              </w:rPr>
            </w:pPr>
          </w:p>
          <w:p w14:paraId="643E7E0B" w14:textId="77777777" w:rsidR="00890199" w:rsidRDefault="00890199" w:rsidP="00D85E63">
            <w:pPr>
              <w:jc w:val="center"/>
              <w:rPr>
                <w:b/>
                <w:bCs/>
                <w:lang w:val="es-ES"/>
              </w:rPr>
            </w:pPr>
          </w:p>
          <w:p w14:paraId="4C7654E5" w14:textId="77777777" w:rsidR="00890199" w:rsidRDefault="00890199" w:rsidP="00D85E63">
            <w:pPr>
              <w:jc w:val="center"/>
              <w:rPr>
                <w:b/>
                <w:bCs/>
                <w:lang w:val="es-ES"/>
              </w:rPr>
            </w:pPr>
          </w:p>
          <w:p w14:paraId="72A3BA6B" w14:textId="77777777" w:rsidR="00890199" w:rsidRDefault="00890199" w:rsidP="00D85E63">
            <w:pPr>
              <w:jc w:val="center"/>
              <w:rPr>
                <w:b/>
                <w:bCs/>
                <w:lang w:val="es-ES"/>
              </w:rPr>
            </w:pPr>
          </w:p>
          <w:p w14:paraId="0E3383ED" w14:textId="77777777" w:rsidR="00890199" w:rsidRDefault="00890199" w:rsidP="00D85E63">
            <w:pPr>
              <w:jc w:val="center"/>
              <w:rPr>
                <w:b/>
                <w:bCs/>
                <w:lang w:val="es-ES"/>
              </w:rPr>
            </w:pPr>
          </w:p>
          <w:p w14:paraId="6958C1AF" w14:textId="77777777" w:rsidR="00890199" w:rsidRDefault="00890199" w:rsidP="00D85E63">
            <w:pPr>
              <w:jc w:val="center"/>
              <w:rPr>
                <w:b/>
                <w:bCs/>
                <w:lang w:val="es-ES"/>
              </w:rPr>
            </w:pPr>
          </w:p>
          <w:p w14:paraId="0D0B4552" w14:textId="77777777" w:rsidR="00890199" w:rsidRDefault="00890199" w:rsidP="00D85E63">
            <w:pPr>
              <w:jc w:val="center"/>
              <w:rPr>
                <w:b/>
                <w:bCs/>
                <w:lang w:val="es-ES"/>
              </w:rPr>
            </w:pPr>
          </w:p>
          <w:p w14:paraId="046F201A" w14:textId="77777777" w:rsidR="00890199" w:rsidRDefault="00890199" w:rsidP="00D85E63">
            <w:pPr>
              <w:jc w:val="center"/>
              <w:rPr>
                <w:b/>
                <w:bCs/>
                <w:lang w:val="es-ES"/>
              </w:rPr>
            </w:pPr>
          </w:p>
          <w:p w14:paraId="362F3999" w14:textId="77777777" w:rsidR="00890199" w:rsidRDefault="00890199" w:rsidP="00D85E63">
            <w:pPr>
              <w:jc w:val="center"/>
              <w:rPr>
                <w:b/>
                <w:bCs/>
                <w:lang w:val="es-ES"/>
              </w:rPr>
            </w:pPr>
          </w:p>
          <w:p w14:paraId="4CC1663E" w14:textId="77777777" w:rsidR="00890199" w:rsidRDefault="00890199" w:rsidP="00D85E63">
            <w:pPr>
              <w:jc w:val="center"/>
              <w:rPr>
                <w:b/>
                <w:bCs/>
                <w:lang w:val="es-ES"/>
              </w:rPr>
            </w:pPr>
          </w:p>
          <w:p w14:paraId="327C3330" w14:textId="77777777" w:rsidR="00890199" w:rsidRDefault="00890199" w:rsidP="00D85E63">
            <w:pPr>
              <w:jc w:val="center"/>
              <w:rPr>
                <w:b/>
                <w:bCs/>
                <w:lang w:val="es-ES"/>
              </w:rPr>
            </w:pPr>
          </w:p>
          <w:p w14:paraId="61C48A08" w14:textId="77777777" w:rsidR="00890199" w:rsidRDefault="00890199" w:rsidP="00D85E63">
            <w:pPr>
              <w:jc w:val="center"/>
              <w:rPr>
                <w:b/>
                <w:bCs/>
                <w:lang w:val="es-ES"/>
              </w:rPr>
            </w:pPr>
          </w:p>
          <w:p w14:paraId="4BF04DB1" w14:textId="77777777" w:rsidR="00890199" w:rsidRDefault="00890199" w:rsidP="00D85E63">
            <w:pPr>
              <w:jc w:val="center"/>
              <w:rPr>
                <w:b/>
                <w:bCs/>
                <w:lang w:val="es-ES"/>
              </w:rPr>
            </w:pPr>
          </w:p>
          <w:p w14:paraId="5CE151A5" w14:textId="77777777" w:rsidR="00890199" w:rsidRDefault="00890199" w:rsidP="00D85E63">
            <w:pPr>
              <w:jc w:val="center"/>
              <w:rPr>
                <w:b/>
                <w:bCs/>
                <w:lang w:val="es-ES"/>
              </w:rPr>
            </w:pPr>
          </w:p>
          <w:p w14:paraId="4B0618AF" w14:textId="77777777" w:rsidR="00890199" w:rsidRDefault="00890199" w:rsidP="00D85E63">
            <w:pPr>
              <w:jc w:val="center"/>
              <w:rPr>
                <w:b/>
                <w:bCs/>
                <w:lang w:val="es-ES"/>
              </w:rPr>
            </w:pPr>
          </w:p>
          <w:p w14:paraId="43EDC113" w14:textId="77777777" w:rsidR="00890199" w:rsidRDefault="00890199" w:rsidP="00D85E63">
            <w:pPr>
              <w:jc w:val="center"/>
              <w:rPr>
                <w:b/>
                <w:bCs/>
                <w:lang w:val="es-ES"/>
              </w:rPr>
            </w:pPr>
          </w:p>
          <w:p w14:paraId="1314C508" w14:textId="77777777" w:rsidR="00890199" w:rsidRDefault="00890199" w:rsidP="00D85E63">
            <w:pPr>
              <w:jc w:val="center"/>
              <w:rPr>
                <w:b/>
                <w:bCs/>
                <w:lang w:val="es-ES"/>
              </w:rPr>
            </w:pPr>
          </w:p>
          <w:p w14:paraId="1ED77031" w14:textId="77777777" w:rsidR="00890199" w:rsidRDefault="00890199" w:rsidP="00D85E63">
            <w:pPr>
              <w:jc w:val="center"/>
              <w:rPr>
                <w:b/>
                <w:bCs/>
                <w:lang w:val="es-ES"/>
              </w:rPr>
            </w:pPr>
          </w:p>
          <w:p w14:paraId="49F7C8B0" w14:textId="77777777" w:rsidR="00890199" w:rsidRDefault="00890199" w:rsidP="00D85E63">
            <w:pPr>
              <w:jc w:val="center"/>
              <w:rPr>
                <w:b/>
                <w:bCs/>
                <w:lang w:val="es-ES"/>
              </w:rPr>
            </w:pPr>
          </w:p>
          <w:p w14:paraId="41DAED51" w14:textId="77777777" w:rsidR="00890199" w:rsidRDefault="00890199" w:rsidP="00D85E63">
            <w:pPr>
              <w:jc w:val="center"/>
              <w:rPr>
                <w:lang w:val="es-ES"/>
              </w:rPr>
            </w:pPr>
            <w:r w:rsidRPr="00D90996">
              <w:rPr>
                <w:lang w:val="es-ES"/>
              </w:rPr>
              <w:t>.34</w:t>
            </w:r>
          </w:p>
          <w:p w14:paraId="06CF0D0D" w14:textId="77777777" w:rsidR="00890199" w:rsidRDefault="00890199" w:rsidP="00D85E63">
            <w:pPr>
              <w:jc w:val="center"/>
              <w:rPr>
                <w:lang w:val="es-ES"/>
              </w:rPr>
            </w:pPr>
          </w:p>
          <w:p w14:paraId="50347048" w14:textId="77777777" w:rsidR="00890199" w:rsidRDefault="00890199" w:rsidP="00D85E63">
            <w:pPr>
              <w:jc w:val="center"/>
              <w:rPr>
                <w:lang w:val="es-ES"/>
              </w:rPr>
            </w:pPr>
          </w:p>
          <w:p w14:paraId="06C45BB7" w14:textId="77777777" w:rsidR="00890199" w:rsidRDefault="00890199" w:rsidP="00D85E63">
            <w:pPr>
              <w:jc w:val="center"/>
              <w:rPr>
                <w:lang w:val="es-ES"/>
              </w:rPr>
            </w:pPr>
          </w:p>
          <w:p w14:paraId="35FF41FD" w14:textId="77777777" w:rsidR="00890199" w:rsidRDefault="00890199" w:rsidP="00D85E63">
            <w:pPr>
              <w:jc w:val="center"/>
              <w:rPr>
                <w:lang w:val="es-ES"/>
              </w:rPr>
            </w:pPr>
          </w:p>
          <w:p w14:paraId="1C935DD4" w14:textId="77777777" w:rsidR="00890199" w:rsidRDefault="00890199" w:rsidP="00D85E63">
            <w:pPr>
              <w:jc w:val="center"/>
              <w:rPr>
                <w:lang w:val="es-ES"/>
              </w:rPr>
            </w:pPr>
          </w:p>
          <w:p w14:paraId="5C835C77" w14:textId="77777777" w:rsidR="00890199" w:rsidRPr="00D90996" w:rsidRDefault="00890199" w:rsidP="00D85E63">
            <w:pPr>
              <w:jc w:val="center"/>
              <w:rPr>
                <w:lang w:val="es-ES"/>
              </w:rPr>
            </w:pPr>
            <w:r>
              <w:rPr>
                <w:lang w:val="es-ES"/>
              </w:rPr>
              <w:t>.41</w:t>
            </w:r>
          </w:p>
          <w:p w14:paraId="367F21E4" w14:textId="77777777" w:rsidR="00890199" w:rsidRDefault="00890199" w:rsidP="00D85E63">
            <w:pPr>
              <w:jc w:val="center"/>
              <w:rPr>
                <w:b/>
                <w:bCs/>
                <w:lang w:val="es-ES"/>
              </w:rPr>
            </w:pPr>
          </w:p>
          <w:p w14:paraId="4643E771" w14:textId="77777777" w:rsidR="00890199" w:rsidRDefault="00890199" w:rsidP="00D85E63">
            <w:pPr>
              <w:jc w:val="center"/>
              <w:rPr>
                <w:b/>
                <w:bCs/>
                <w:lang w:val="es-ES"/>
              </w:rPr>
            </w:pPr>
          </w:p>
          <w:p w14:paraId="3612BC0F" w14:textId="77777777" w:rsidR="00890199" w:rsidRDefault="00890199" w:rsidP="00D85E63">
            <w:pPr>
              <w:jc w:val="center"/>
              <w:rPr>
                <w:b/>
                <w:bCs/>
                <w:lang w:val="es-ES"/>
              </w:rPr>
            </w:pPr>
          </w:p>
          <w:p w14:paraId="07C55568" w14:textId="77777777" w:rsidR="00890199" w:rsidRDefault="00890199" w:rsidP="00D85E63">
            <w:pPr>
              <w:jc w:val="center"/>
              <w:rPr>
                <w:b/>
                <w:bCs/>
                <w:lang w:val="es-ES"/>
              </w:rPr>
            </w:pPr>
          </w:p>
          <w:p w14:paraId="386A34F9" w14:textId="77777777" w:rsidR="00890199" w:rsidRDefault="00890199" w:rsidP="00D85E63">
            <w:pPr>
              <w:jc w:val="center"/>
              <w:rPr>
                <w:b/>
                <w:bCs/>
                <w:lang w:val="es-ES"/>
              </w:rPr>
            </w:pPr>
          </w:p>
          <w:p w14:paraId="5D7F0527" w14:textId="77777777" w:rsidR="00890199" w:rsidRDefault="00890199" w:rsidP="00D85E63">
            <w:pPr>
              <w:jc w:val="center"/>
              <w:rPr>
                <w:b/>
                <w:bCs/>
                <w:lang w:val="es-ES"/>
              </w:rPr>
            </w:pPr>
          </w:p>
          <w:p w14:paraId="6CF59B0E" w14:textId="77777777" w:rsidR="00890199" w:rsidRDefault="00890199" w:rsidP="00D85E63">
            <w:pPr>
              <w:jc w:val="center"/>
              <w:rPr>
                <w:b/>
                <w:bCs/>
                <w:lang w:val="es-ES"/>
              </w:rPr>
            </w:pPr>
          </w:p>
          <w:p w14:paraId="254A6BE3" w14:textId="77777777" w:rsidR="00890199" w:rsidRDefault="00890199" w:rsidP="00D85E63">
            <w:pPr>
              <w:jc w:val="center"/>
              <w:rPr>
                <w:b/>
                <w:bCs/>
                <w:lang w:val="es-ES"/>
              </w:rPr>
            </w:pPr>
          </w:p>
          <w:p w14:paraId="3319AA6C" w14:textId="77777777" w:rsidR="00890199" w:rsidRDefault="00890199" w:rsidP="00D85E63">
            <w:pPr>
              <w:jc w:val="center"/>
              <w:rPr>
                <w:b/>
                <w:bCs/>
                <w:lang w:val="es-ES"/>
              </w:rPr>
            </w:pPr>
          </w:p>
          <w:p w14:paraId="7AABCB98" w14:textId="77777777" w:rsidR="00890199" w:rsidRDefault="00890199" w:rsidP="00D85E63">
            <w:pPr>
              <w:jc w:val="center"/>
              <w:rPr>
                <w:b/>
                <w:bCs/>
                <w:lang w:val="es-ES"/>
              </w:rPr>
            </w:pPr>
          </w:p>
          <w:p w14:paraId="2BAE88AC" w14:textId="77777777" w:rsidR="00890199" w:rsidRDefault="00890199" w:rsidP="00D85E63">
            <w:pPr>
              <w:jc w:val="center"/>
              <w:rPr>
                <w:b/>
                <w:bCs/>
                <w:lang w:val="es-ES"/>
              </w:rPr>
            </w:pPr>
          </w:p>
          <w:p w14:paraId="61BDEB1A" w14:textId="77777777" w:rsidR="00890199" w:rsidRDefault="00890199" w:rsidP="00D85E63">
            <w:pPr>
              <w:jc w:val="center"/>
              <w:rPr>
                <w:b/>
                <w:bCs/>
                <w:lang w:val="es-ES"/>
              </w:rPr>
            </w:pPr>
          </w:p>
          <w:p w14:paraId="4DF11C43" w14:textId="77777777" w:rsidR="00890199" w:rsidRDefault="00890199" w:rsidP="00D85E63">
            <w:pPr>
              <w:jc w:val="center"/>
              <w:rPr>
                <w:b/>
                <w:bCs/>
                <w:lang w:val="es-ES"/>
              </w:rPr>
            </w:pPr>
          </w:p>
          <w:p w14:paraId="35D60BAF" w14:textId="77777777" w:rsidR="00890199" w:rsidRDefault="00890199" w:rsidP="00D85E63">
            <w:pPr>
              <w:jc w:val="center"/>
              <w:rPr>
                <w:b/>
                <w:bCs/>
                <w:lang w:val="es-ES"/>
              </w:rPr>
            </w:pPr>
          </w:p>
          <w:p w14:paraId="6F8B0E24" w14:textId="77777777" w:rsidR="00890199" w:rsidRDefault="00890199" w:rsidP="00D85E63">
            <w:pPr>
              <w:jc w:val="center"/>
              <w:rPr>
                <w:b/>
                <w:bCs/>
                <w:lang w:val="es-ES"/>
              </w:rPr>
            </w:pPr>
          </w:p>
          <w:p w14:paraId="44AA658D" w14:textId="77777777" w:rsidR="00890199" w:rsidRDefault="00890199" w:rsidP="00D85E63">
            <w:pPr>
              <w:jc w:val="center"/>
              <w:rPr>
                <w:b/>
                <w:bCs/>
                <w:lang w:val="es-ES"/>
              </w:rPr>
            </w:pPr>
          </w:p>
          <w:p w14:paraId="5806B068" w14:textId="77777777" w:rsidR="00890199" w:rsidRDefault="00890199" w:rsidP="00D85E63">
            <w:pPr>
              <w:jc w:val="center"/>
              <w:rPr>
                <w:b/>
                <w:bCs/>
                <w:lang w:val="es-ES"/>
              </w:rPr>
            </w:pPr>
          </w:p>
          <w:p w14:paraId="13AA6BFD" w14:textId="77777777" w:rsidR="00890199" w:rsidRDefault="00890199" w:rsidP="00D85E63">
            <w:pPr>
              <w:jc w:val="center"/>
              <w:rPr>
                <w:b/>
                <w:bCs/>
                <w:lang w:val="es-ES"/>
              </w:rPr>
            </w:pPr>
          </w:p>
          <w:p w14:paraId="0BFD7319" w14:textId="77777777" w:rsidR="00890199" w:rsidRDefault="00890199" w:rsidP="00D85E63">
            <w:pPr>
              <w:jc w:val="center"/>
              <w:rPr>
                <w:b/>
                <w:bCs/>
                <w:lang w:val="es-ES"/>
              </w:rPr>
            </w:pPr>
          </w:p>
          <w:p w14:paraId="487B4FA8" w14:textId="77777777" w:rsidR="00DB7E5C" w:rsidRDefault="00DB7E5C" w:rsidP="006A35F1">
            <w:pPr>
              <w:rPr>
                <w:b/>
                <w:bCs/>
                <w:lang w:val="es-ES"/>
              </w:rPr>
            </w:pPr>
          </w:p>
          <w:p w14:paraId="2BF02864" w14:textId="77777777" w:rsidR="00890199" w:rsidRDefault="00890199" w:rsidP="00D85E63">
            <w:pPr>
              <w:jc w:val="center"/>
              <w:rPr>
                <w:lang w:val="es-ES"/>
              </w:rPr>
            </w:pPr>
            <w:r w:rsidRPr="00D90996">
              <w:rPr>
                <w:lang w:val="es-ES"/>
              </w:rPr>
              <w:t>.38</w:t>
            </w:r>
          </w:p>
          <w:p w14:paraId="374A5EC4" w14:textId="77777777" w:rsidR="00890199" w:rsidRDefault="00890199" w:rsidP="00D85E63">
            <w:pPr>
              <w:jc w:val="center"/>
              <w:rPr>
                <w:lang w:val="es-ES"/>
              </w:rPr>
            </w:pPr>
          </w:p>
          <w:p w14:paraId="3B226842" w14:textId="77777777" w:rsidR="00890199" w:rsidRDefault="00890199" w:rsidP="00D85E63">
            <w:pPr>
              <w:jc w:val="center"/>
              <w:rPr>
                <w:lang w:val="es-ES"/>
              </w:rPr>
            </w:pPr>
            <w:r>
              <w:rPr>
                <w:lang w:val="es-ES"/>
              </w:rPr>
              <w:t>.36</w:t>
            </w:r>
          </w:p>
          <w:p w14:paraId="32068AC3" w14:textId="77777777" w:rsidR="00890199" w:rsidRPr="00D90996" w:rsidRDefault="00890199" w:rsidP="00D85E63">
            <w:pPr>
              <w:jc w:val="center"/>
              <w:rPr>
                <w:lang w:val="es-ES"/>
              </w:rPr>
            </w:pPr>
            <w:r>
              <w:rPr>
                <w:lang w:val="es-ES"/>
              </w:rPr>
              <w:t>.37</w:t>
            </w:r>
          </w:p>
        </w:tc>
        <w:tc>
          <w:tcPr>
            <w:tcW w:w="540" w:type="dxa"/>
            <w:tcBorders>
              <w:left w:val="nil"/>
              <w:right w:val="nil"/>
            </w:tcBorders>
          </w:tcPr>
          <w:p w14:paraId="40062C10" w14:textId="77777777" w:rsidR="00890199" w:rsidRPr="00D90996" w:rsidRDefault="00890199" w:rsidP="00D85E63">
            <w:pPr>
              <w:jc w:val="center"/>
              <w:rPr>
                <w:lang w:val="es-ES"/>
              </w:rPr>
            </w:pPr>
          </w:p>
          <w:p w14:paraId="47D537C1" w14:textId="77777777" w:rsidR="00890199" w:rsidRDefault="00890199" w:rsidP="00D85E63">
            <w:pPr>
              <w:jc w:val="center"/>
              <w:rPr>
                <w:lang w:val="es-ES"/>
              </w:rPr>
            </w:pPr>
          </w:p>
          <w:p w14:paraId="59C8CE10" w14:textId="77777777" w:rsidR="00890199" w:rsidRDefault="00890199" w:rsidP="00D85E63">
            <w:pPr>
              <w:jc w:val="center"/>
              <w:rPr>
                <w:lang w:val="es-ES"/>
              </w:rPr>
            </w:pPr>
          </w:p>
          <w:p w14:paraId="07962BAF" w14:textId="77777777" w:rsidR="00890199" w:rsidRDefault="00890199" w:rsidP="00D85E63">
            <w:pPr>
              <w:jc w:val="center"/>
              <w:rPr>
                <w:lang w:val="es-ES"/>
              </w:rPr>
            </w:pPr>
          </w:p>
          <w:p w14:paraId="27169352" w14:textId="77777777" w:rsidR="00890199" w:rsidRDefault="00890199" w:rsidP="00D85E63">
            <w:pPr>
              <w:jc w:val="center"/>
              <w:rPr>
                <w:lang w:val="es-ES"/>
              </w:rPr>
            </w:pPr>
          </w:p>
          <w:p w14:paraId="281E73DA" w14:textId="77777777" w:rsidR="00890199" w:rsidRDefault="00890199" w:rsidP="00D85E63">
            <w:pPr>
              <w:jc w:val="center"/>
              <w:rPr>
                <w:lang w:val="es-ES"/>
              </w:rPr>
            </w:pPr>
          </w:p>
          <w:p w14:paraId="334F3B7A" w14:textId="77777777" w:rsidR="00890199" w:rsidRDefault="00890199" w:rsidP="00D85E63">
            <w:pPr>
              <w:jc w:val="center"/>
              <w:rPr>
                <w:lang w:val="es-ES"/>
              </w:rPr>
            </w:pPr>
          </w:p>
          <w:p w14:paraId="01A98387" w14:textId="77777777" w:rsidR="00890199" w:rsidRDefault="00890199" w:rsidP="00D85E63">
            <w:pPr>
              <w:jc w:val="center"/>
              <w:rPr>
                <w:lang w:val="es-ES"/>
              </w:rPr>
            </w:pPr>
          </w:p>
          <w:p w14:paraId="5F277B1A" w14:textId="77777777" w:rsidR="00890199" w:rsidRDefault="00890199" w:rsidP="00D85E63">
            <w:pPr>
              <w:jc w:val="center"/>
              <w:rPr>
                <w:lang w:val="es-ES"/>
              </w:rPr>
            </w:pPr>
          </w:p>
          <w:p w14:paraId="08AA82F8" w14:textId="77777777" w:rsidR="00890199" w:rsidRDefault="00890199" w:rsidP="00D85E63">
            <w:pPr>
              <w:jc w:val="center"/>
              <w:rPr>
                <w:lang w:val="es-ES"/>
              </w:rPr>
            </w:pPr>
            <w:r>
              <w:rPr>
                <w:lang w:val="es-ES"/>
              </w:rPr>
              <w:t>.36</w:t>
            </w:r>
          </w:p>
          <w:p w14:paraId="106F1FF7" w14:textId="77777777" w:rsidR="00890199" w:rsidRDefault="00890199" w:rsidP="00D85E63">
            <w:pPr>
              <w:jc w:val="center"/>
              <w:rPr>
                <w:lang w:val="es-ES"/>
              </w:rPr>
            </w:pPr>
          </w:p>
          <w:p w14:paraId="1229FF3B" w14:textId="77777777" w:rsidR="00890199" w:rsidRDefault="00890199" w:rsidP="00D85E63">
            <w:pPr>
              <w:jc w:val="center"/>
              <w:rPr>
                <w:lang w:val="es-ES"/>
              </w:rPr>
            </w:pPr>
          </w:p>
          <w:p w14:paraId="70312C42" w14:textId="77777777" w:rsidR="00890199" w:rsidRDefault="00890199" w:rsidP="00D85E63">
            <w:pPr>
              <w:jc w:val="center"/>
              <w:rPr>
                <w:lang w:val="es-ES"/>
              </w:rPr>
            </w:pPr>
          </w:p>
          <w:p w14:paraId="297BD82A" w14:textId="77777777" w:rsidR="00890199" w:rsidRDefault="00890199" w:rsidP="00D85E63">
            <w:pPr>
              <w:jc w:val="center"/>
              <w:rPr>
                <w:lang w:val="es-ES"/>
              </w:rPr>
            </w:pPr>
          </w:p>
          <w:p w14:paraId="0F208439" w14:textId="77777777" w:rsidR="00890199" w:rsidRDefault="00890199" w:rsidP="00D85E63">
            <w:pPr>
              <w:jc w:val="center"/>
              <w:rPr>
                <w:lang w:val="es-ES"/>
              </w:rPr>
            </w:pPr>
          </w:p>
          <w:p w14:paraId="6D7D44B0" w14:textId="77777777" w:rsidR="00890199" w:rsidRDefault="00890199" w:rsidP="00D85E63">
            <w:pPr>
              <w:jc w:val="center"/>
              <w:rPr>
                <w:lang w:val="es-ES"/>
              </w:rPr>
            </w:pPr>
          </w:p>
          <w:p w14:paraId="79C106CD" w14:textId="77777777" w:rsidR="00890199" w:rsidRDefault="00890199" w:rsidP="00D85E63">
            <w:pPr>
              <w:jc w:val="center"/>
              <w:rPr>
                <w:lang w:val="es-ES"/>
              </w:rPr>
            </w:pPr>
          </w:p>
          <w:p w14:paraId="7D2ED1D7" w14:textId="77777777" w:rsidR="00890199" w:rsidRDefault="00890199" w:rsidP="00D85E63">
            <w:pPr>
              <w:jc w:val="center"/>
              <w:rPr>
                <w:lang w:val="es-ES"/>
              </w:rPr>
            </w:pPr>
          </w:p>
          <w:p w14:paraId="0835308D" w14:textId="77777777" w:rsidR="00890199" w:rsidRDefault="00890199" w:rsidP="00D85E63">
            <w:pPr>
              <w:jc w:val="center"/>
              <w:rPr>
                <w:lang w:val="es-ES"/>
              </w:rPr>
            </w:pPr>
          </w:p>
          <w:p w14:paraId="7B94460B" w14:textId="77777777" w:rsidR="00890199" w:rsidRDefault="00890199" w:rsidP="00D85E63">
            <w:pPr>
              <w:jc w:val="center"/>
              <w:rPr>
                <w:lang w:val="es-ES"/>
              </w:rPr>
            </w:pPr>
          </w:p>
          <w:p w14:paraId="02501660" w14:textId="77777777" w:rsidR="00890199" w:rsidRDefault="00890199" w:rsidP="00D85E63">
            <w:pPr>
              <w:jc w:val="center"/>
              <w:rPr>
                <w:lang w:val="es-ES"/>
              </w:rPr>
            </w:pPr>
          </w:p>
          <w:p w14:paraId="55771673" w14:textId="77777777" w:rsidR="00890199" w:rsidRDefault="00890199" w:rsidP="00D85E63">
            <w:pPr>
              <w:jc w:val="center"/>
              <w:rPr>
                <w:lang w:val="es-ES"/>
              </w:rPr>
            </w:pPr>
          </w:p>
          <w:p w14:paraId="54A50EBF" w14:textId="77777777" w:rsidR="00890199" w:rsidRDefault="00890199" w:rsidP="00D85E63">
            <w:pPr>
              <w:jc w:val="center"/>
              <w:rPr>
                <w:lang w:val="es-ES"/>
              </w:rPr>
            </w:pPr>
          </w:p>
          <w:p w14:paraId="5B33A57A" w14:textId="77777777" w:rsidR="00890199" w:rsidRDefault="00890199" w:rsidP="00D85E63">
            <w:pPr>
              <w:jc w:val="center"/>
              <w:rPr>
                <w:lang w:val="es-ES"/>
              </w:rPr>
            </w:pPr>
          </w:p>
          <w:p w14:paraId="67602F55" w14:textId="77777777" w:rsidR="00890199" w:rsidRDefault="00890199" w:rsidP="00D85E63">
            <w:pPr>
              <w:jc w:val="center"/>
              <w:rPr>
                <w:lang w:val="es-ES"/>
              </w:rPr>
            </w:pPr>
          </w:p>
          <w:p w14:paraId="7004ACF0" w14:textId="77777777" w:rsidR="00890199" w:rsidRDefault="00890199" w:rsidP="00D85E63">
            <w:pPr>
              <w:jc w:val="center"/>
              <w:rPr>
                <w:lang w:val="es-ES"/>
              </w:rPr>
            </w:pPr>
            <w:r>
              <w:rPr>
                <w:lang w:val="es-ES"/>
              </w:rPr>
              <w:t>.37</w:t>
            </w:r>
          </w:p>
          <w:p w14:paraId="7E6B63F3" w14:textId="77777777" w:rsidR="00890199" w:rsidRDefault="00890199" w:rsidP="00D85E63">
            <w:pPr>
              <w:jc w:val="center"/>
              <w:rPr>
                <w:lang w:val="es-ES"/>
              </w:rPr>
            </w:pPr>
            <w:r>
              <w:rPr>
                <w:lang w:val="es-ES"/>
              </w:rPr>
              <w:t>.34</w:t>
            </w:r>
          </w:p>
          <w:p w14:paraId="78E66FB6" w14:textId="77777777" w:rsidR="00890199" w:rsidRDefault="00890199" w:rsidP="00D85E63">
            <w:pPr>
              <w:jc w:val="center"/>
              <w:rPr>
                <w:lang w:val="es-ES"/>
              </w:rPr>
            </w:pPr>
          </w:p>
          <w:p w14:paraId="3B58A4DC" w14:textId="77777777" w:rsidR="00890199" w:rsidRDefault="00890199" w:rsidP="00D85E63">
            <w:pPr>
              <w:jc w:val="center"/>
              <w:rPr>
                <w:lang w:val="es-ES"/>
              </w:rPr>
            </w:pPr>
          </w:p>
          <w:p w14:paraId="52B95C9E" w14:textId="77777777" w:rsidR="00890199" w:rsidRDefault="00890199" w:rsidP="00D85E63">
            <w:pPr>
              <w:jc w:val="center"/>
              <w:rPr>
                <w:lang w:val="es-ES"/>
              </w:rPr>
            </w:pPr>
            <w:r>
              <w:rPr>
                <w:lang w:val="es-ES"/>
              </w:rPr>
              <w:t>.32</w:t>
            </w:r>
          </w:p>
          <w:p w14:paraId="2C230B4A" w14:textId="77777777" w:rsidR="00890199" w:rsidRDefault="00890199" w:rsidP="00D85E63">
            <w:pPr>
              <w:jc w:val="center"/>
              <w:rPr>
                <w:lang w:val="es-ES"/>
              </w:rPr>
            </w:pPr>
          </w:p>
          <w:p w14:paraId="5774F351" w14:textId="77777777" w:rsidR="00890199" w:rsidRDefault="00890199" w:rsidP="00D85E63">
            <w:pPr>
              <w:jc w:val="center"/>
              <w:rPr>
                <w:lang w:val="es-ES"/>
              </w:rPr>
            </w:pPr>
          </w:p>
          <w:p w14:paraId="3CA757AC" w14:textId="77777777" w:rsidR="00890199" w:rsidRDefault="00890199" w:rsidP="00D85E63">
            <w:pPr>
              <w:jc w:val="center"/>
              <w:rPr>
                <w:lang w:val="es-ES"/>
              </w:rPr>
            </w:pPr>
          </w:p>
          <w:p w14:paraId="7ADB34E0" w14:textId="77777777" w:rsidR="00890199" w:rsidRDefault="00890199" w:rsidP="00D85E63">
            <w:pPr>
              <w:jc w:val="center"/>
              <w:rPr>
                <w:lang w:val="es-ES"/>
              </w:rPr>
            </w:pPr>
          </w:p>
          <w:p w14:paraId="7D07D571" w14:textId="77777777" w:rsidR="00890199" w:rsidRDefault="00890199" w:rsidP="006A35F1">
            <w:pPr>
              <w:rPr>
                <w:lang w:val="es-ES"/>
              </w:rPr>
            </w:pPr>
          </w:p>
          <w:p w14:paraId="30944AC9" w14:textId="77777777" w:rsidR="00890199" w:rsidRPr="00D90996" w:rsidRDefault="00890199" w:rsidP="00D85E63">
            <w:pPr>
              <w:jc w:val="center"/>
              <w:rPr>
                <w:b/>
                <w:bCs/>
                <w:lang w:val="es-ES"/>
              </w:rPr>
            </w:pPr>
            <w:r>
              <w:rPr>
                <w:lang w:val="es-ES"/>
              </w:rPr>
              <w:t>.</w:t>
            </w:r>
            <w:r w:rsidRPr="00D90996">
              <w:rPr>
                <w:b/>
                <w:bCs/>
                <w:lang w:val="es-ES"/>
              </w:rPr>
              <w:t>76</w:t>
            </w:r>
          </w:p>
          <w:p w14:paraId="4405C8E0" w14:textId="77777777" w:rsidR="00890199" w:rsidRPr="00D90996" w:rsidRDefault="00890199" w:rsidP="00D85E63">
            <w:pPr>
              <w:jc w:val="center"/>
              <w:rPr>
                <w:b/>
                <w:bCs/>
                <w:lang w:val="es-ES"/>
              </w:rPr>
            </w:pPr>
          </w:p>
          <w:p w14:paraId="2CF81AA2" w14:textId="77777777" w:rsidR="00890199" w:rsidRPr="00D90996" w:rsidRDefault="00890199" w:rsidP="00D85E63">
            <w:pPr>
              <w:jc w:val="center"/>
              <w:rPr>
                <w:b/>
                <w:bCs/>
                <w:lang w:val="es-ES"/>
              </w:rPr>
            </w:pPr>
            <w:r w:rsidRPr="00D90996">
              <w:rPr>
                <w:b/>
                <w:bCs/>
                <w:lang w:val="es-ES"/>
              </w:rPr>
              <w:t>.74</w:t>
            </w:r>
          </w:p>
          <w:p w14:paraId="452289D9" w14:textId="77777777" w:rsidR="00890199" w:rsidRDefault="00890199" w:rsidP="00D85E63">
            <w:pPr>
              <w:jc w:val="center"/>
              <w:rPr>
                <w:lang w:val="es-ES"/>
              </w:rPr>
            </w:pPr>
          </w:p>
          <w:p w14:paraId="590F313B" w14:textId="77777777" w:rsidR="00890199" w:rsidRPr="00D90996" w:rsidRDefault="00890199" w:rsidP="00D85E63">
            <w:pPr>
              <w:jc w:val="center"/>
              <w:rPr>
                <w:b/>
                <w:bCs/>
                <w:lang w:val="es-ES"/>
              </w:rPr>
            </w:pPr>
            <w:r w:rsidRPr="00D90996">
              <w:rPr>
                <w:b/>
                <w:bCs/>
                <w:lang w:val="es-ES"/>
              </w:rPr>
              <w:t>.73</w:t>
            </w:r>
          </w:p>
          <w:p w14:paraId="36E097C0" w14:textId="77777777" w:rsidR="00890199" w:rsidRPr="00D90996" w:rsidRDefault="00890199" w:rsidP="00D85E63">
            <w:pPr>
              <w:jc w:val="center"/>
              <w:rPr>
                <w:b/>
                <w:bCs/>
                <w:lang w:val="es-ES"/>
              </w:rPr>
            </w:pPr>
          </w:p>
          <w:p w14:paraId="612A6921" w14:textId="77777777" w:rsidR="00890199" w:rsidRPr="00D90996" w:rsidRDefault="00890199" w:rsidP="00D85E63">
            <w:pPr>
              <w:jc w:val="center"/>
              <w:rPr>
                <w:b/>
                <w:bCs/>
                <w:lang w:val="es-ES"/>
              </w:rPr>
            </w:pPr>
          </w:p>
          <w:p w14:paraId="331002A9" w14:textId="77777777" w:rsidR="00890199" w:rsidRPr="00D90996" w:rsidRDefault="00890199" w:rsidP="00D85E63">
            <w:pPr>
              <w:jc w:val="center"/>
              <w:rPr>
                <w:b/>
                <w:bCs/>
                <w:lang w:val="es-ES"/>
              </w:rPr>
            </w:pPr>
            <w:r w:rsidRPr="00D90996">
              <w:rPr>
                <w:b/>
                <w:bCs/>
                <w:lang w:val="es-ES"/>
              </w:rPr>
              <w:t>.73</w:t>
            </w:r>
          </w:p>
          <w:p w14:paraId="0842E7E9" w14:textId="77777777" w:rsidR="00890199" w:rsidRPr="00D90996" w:rsidRDefault="00890199" w:rsidP="00D85E63">
            <w:pPr>
              <w:jc w:val="center"/>
              <w:rPr>
                <w:b/>
                <w:bCs/>
                <w:lang w:val="es-ES"/>
              </w:rPr>
            </w:pPr>
            <w:r w:rsidRPr="00D90996">
              <w:rPr>
                <w:b/>
                <w:bCs/>
                <w:lang w:val="es-ES"/>
              </w:rPr>
              <w:t>.72</w:t>
            </w:r>
          </w:p>
          <w:p w14:paraId="09C7994F" w14:textId="77777777" w:rsidR="00890199" w:rsidRDefault="00890199" w:rsidP="00D85E63">
            <w:pPr>
              <w:jc w:val="center"/>
              <w:rPr>
                <w:lang w:val="es-ES"/>
              </w:rPr>
            </w:pPr>
          </w:p>
          <w:p w14:paraId="49512000" w14:textId="77777777" w:rsidR="00890199" w:rsidRPr="00D90996" w:rsidRDefault="00890199" w:rsidP="00D85E63">
            <w:pPr>
              <w:jc w:val="center"/>
              <w:rPr>
                <w:b/>
                <w:bCs/>
                <w:lang w:val="es-ES"/>
              </w:rPr>
            </w:pPr>
            <w:r w:rsidRPr="00D90996">
              <w:rPr>
                <w:b/>
                <w:bCs/>
                <w:lang w:val="es-ES"/>
              </w:rPr>
              <w:t>.68</w:t>
            </w:r>
          </w:p>
          <w:p w14:paraId="48457199" w14:textId="77777777" w:rsidR="00890199" w:rsidRPr="00D90996" w:rsidRDefault="00890199" w:rsidP="00D85E63">
            <w:pPr>
              <w:jc w:val="center"/>
              <w:rPr>
                <w:b/>
                <w:bCs/>
                <w:lang w:val="es-ES"/>
              </w:rPr>
            </w:pPr>
            <w:r w:rsidRPr="00D90996">
              <w:rPr>
                <w:b/>
                <w:bCs/>
                <w:lang w:val="es-ES"/>
              </w:rPr>
              <w:t>.67</w:t>
            </w:r>
          </w:p>
          <w:p w14:paraId="2B23CD01" w14:textId="77777777" w:rsidR="00890199" w:rsidRPr="00D90996" w:rsidRDefault="00890199" w:rsidP="00D85E63">
            <w:pPr>
              <w:jc w:val="center"/>
              <w:rPr>
                <w:b/>
                <w:bCs/>
                <w:lang w:val="es-ES"/>
              </w:rPr>
            </w:pPr>
          </w:p>
          <w:p w14:paraId="177C71B6" w14:textId="77777777" w:rsidR="00890199" w:rsidRPr="00D90996" w:rsidRDefault="00890199" w:rsidP="00D85E63">
            <w:pPr>
              <w:jc w:val="center"/>
              <w:rPr>
                <w:b/>
                <w:bCs/>
                <w:lang w:val="es-ES"/>
              </w:rPr>
            </w:pPr>
            <w:r w:rsidRPr="00D90996">
              <w:rPr>
                <w:b/>
                <w:bCs/>
                <w:lang w:val="es-ES"/>
              </w:rPr>
              <w:t>.65</w:t>
            </w:r>
          </w:p>
          <w:p w14:paraId="1C231E7F" w14:textId="77777777" w:rsidR="00890199" w:rsidRPr="00D90996" w:rsidRDefault="00890199" w:rsidP="00D85E63">
            <w:pPr>
              <w:jc w:val="center"/>
              <w:rPr>
                <w:b/>
                <w:bCs/>
                <w:lang w:val="es-ES"/>
              </w:rPr>
            </w:pPr>
          </w:p>
          <w:p w14:paraId="0A55BDA4" w14:textId="77777777" w:rsidR="00890199" w:rsidRPr="00D90996" w:rsidRDefault="00890199" w:rsidP="00D85E63">
            <w:pPr>
              <w:jc w:val="center"/>
              <w:rPr>
                <w:b/>
                <w:bCs/>
                <w:lang w:val="es-ES"/>
              </w:rPr>
            </w:pPr>
            <w:r w:rsidRPr="00D90996">
              <w:rPr>
                <w:b/>
                <w:bCs/>
                <w:lang w:val="es-ES"/>
              </w:rPr>
              <w:t>.64</w:t>
            </w:r>
          </w:p>
          <w:p w14:paraId="1658E558" w14:textId="77777777" w:rsidR="00890199" w:rsidRPr="00D90996" w:rsidRDefault="00890199" w:rsidP="00D85E63">
            <w:pPr>
              <w:jc w:val="center"/>
              <w:rPr>
                <w:b/>
                <w:bCs/>
                <w:lang w:val="es-ES"/>
              </w:rPr>
            </w:pPr>
            <w:r w:rsidRPr="00D90996">
              <w:rPr>
                <w:b/>
                <w:bCs/>
                <w:lang w:val="es-ES"/>
              </w:rPr>
              <w:t>.63</w:t>
            </w:r>
          </w:p>
          <w:p w14:paraId="6B630D40" w14:textId="77777777" w:rsidR="00890199" w:rsidRPr="00D90996" w:rsidRDefault="00890199" w:rsidP="00D85E63">
            <w:pPr>
              <w:jc w:val="center"/>
              <w:rPr>
                <w:b/>
                <w:bCs/>
                <w:lang w:val="es-ES"/>
              </w:rPr>
            </w:pPr>
            <w:r w:rsidRPr="00D90996">
              <w:rPr>
                <w:b/>
                <w:bCs/>
                <w:lang w:val="es-ES"/>
              </w:rPr>
              <w:t>.62</w:t>
            </w:r>
          </w:p>
          <w:p w14:paraId="52003780" w14:textId="77777777" w:rsidR="00890199" w:rsidRPr="00D90996" w:rsidRDefault="00890199" w:rsidP="00D85E63">
            <w:pPr>
              <w:jc w:val="center"/>
              <w:rPr>
                <w:b/>
                <w:bCs/>
                <w:lang w:val="es-ES"/>
              </w:rPr>
            </w:pPr>
          </w:p>
          <w:p w14:paraId="6D5E0F07" w14:textId="77777777" w:rsidR="00890199" w:rsidRPr="00D90996" w:rsidRDefault="00890199" w:rsidP="00D85E63">
            <w:pPr>
              <w:jc w:val="center"/>
              <w:rPr>
                <w:b/>
                <w:bCs/>
                <w:lang w:val="es-ES"/>
              </w:rPr>
            </w:pPr>
            <w:r w:rsidRPr="00D90996">
              <w:rPr>
                <w:b/>
                <w:bCs/>
                <w:lang w:val="es-ES"/>
              </w:rPr>
              <w:t>.60</w:t>
            </w:r>
          </w:p>
          <w:p w14:paraId="4C735E1A" w14:textId="77777777" w:rsidR="00890199" w:rsidRDefault="00890199" w:rsidP="00D85E63">
            <w:pPr>
              <w:jc w:val="center"/>
              <w:rPr>
                <w:lang w:val="es-ES"/>
              </w:rPr>
            </w:pPr>
          </w:p>
          <w:p w14:paraId="00EDEE48" w14:textId="77777777" w:rsidR="00890199" w:rsidRPr="00D90996" w:rsidRDefault="00890199" w:rsidP="00D85E63">
            <w:pPr>
              <w:jc w:val="center"/>
              <w:rPr>
                <w:b/>
                <w:bCs/>
                <w:lang w:val="es-ES"/>
              </w:rPr>
            </w:pPr>
            <w:r w:rsidRPr="00D90996">
              <w:rPr>
                <w:b/>
                <w:bCs/>
                <w:lang w:val="es-ES"/>
              </w:rPr>
              <w:t>.58</w:t>
            </w:r>
          </w:p>
          <w:p w14:paraId="42DAE3AC" w14:textId="77777777" w:rsidR="00890199" w:rsidRPr="00D90996" w:rsidRDefault="00890199" w:rsidP="00D85E63">
            <w:pPr>
              <w:jc w:val="center"/>
              <w:rPr>
                <w:b/>
                <w:bCs/>
                <w:lang w:val="es-ES"/>
              </w:rPr>
            </w:pPr>
          </w:p>
          <w:p w14:paraId="625D1B12" w14:textId="77777777" w:rsidR="00890199" w:rsidRPr="00D90996" w:rsidRDefault="00890199" w:rsidP="00D85E63">
            <w:pPr>
              <w:jc w:val="center"/>
              <w:rPr>
                <w:b/>
                <w:bCs/>
                <w:lang w:val="es-ES"/>
              </w:rPr>
            </w:pPr>
            <w:r w:rsidRPr="00D90996">
              <w:rPr>
                <w:b/>
                <w:bCs/>
                <w:lang w:val="es-ES"/>
              </w:rPr>
              <w:t>.54</w:t>
            </w:r>
          </w:p>
          <w:p w14:paraId="28E461D3" w14:textId="77777777" w:rsidR="00890199" w:rsidRPr="00D90996" w:rsidRDefault="00890199" w:rsidP="00D85E63">
            <w:pPr>
              <w:jc w:val="center"/>
              <w:rPr>
                <w:b/>
                <w:bCs/>
                <w:lang w:val="es-ES"/>
              </w:rPr>
            </w:pPr>
          </w:p>
          <w:p w14:paraId="5C899EC9" w14:textId="77777777" w:rsidR="00890199" w:rsidRPr="00D90996" w:rsidRDefault="00890199" w:rsidP="00D85E63">
            <w:pPr>
              <w:jc w:val="center"/>
              <w:rPr>
                <w:b/>
                <w:bCs/>
                <w:lang w:val="es-ES"/>
              </w:rPr>
            </w:pPr>
            <w:r w:rsidRPr="00D90996">
              <w:rPr>
                <w:b/>
                <w:bCs/>
                <w:lang w:val="es-ES"/>
              </w:rPr>
              <w:t>.53</w:t>
            </w:r>
          </w:p>
          <w:p w14:paraId="269D7BA2" w14:textId="77777777" w:rsidR="00890199" w:rsidRDefault="00890199" w:rsidP="00D85E63">
            <w:pPr>
              <w:jc w:val="center"/>
              <w:rPr>
                <w:lang w:val="es-ES"/>
              </w:rPr>
            </w:pPr>
          </w:p>
          <w:p w14:paraId="029CBDF0" w14:textId="77777777" w:rsidR="00890199" w:rsidRPr="00D90996" w:rsidRDefault="00890199" w:rsidP="00D85E63">
            <w:pPr>
              <w:jc w:val="center"/>
              <w:rPr>
                <w:b/>
                <w:bCs/>
                <w:lang w:val="es-ES"/>
              </w:rPr>
            </w:pPr>
            <w:r w:rsidRPr="00D90996">
              <w:rPr>
                <w:b/>
                <w:bCs/>
                <w:lang w:val="es-ES"/>
              </w:rPr>
              <w:t>.53</w:t>
            </w:r>
          </w:p>
          <w:p w14:paraId="522F499F" w14:textId="77777777" w:rsidR="00890199" w:rsidRPr="00D90996" w:rsidRDefault="00890199" w:rsidP="00D85E63">
            <w:pPr>
              <w:jc w:val="center"/>
              <w:rPr>
                <w:b/>
                <w:bCs/>
                <w:lang w:val="es-ES"/>
              </w:rPr>
            </w:pPr>
          </w:p>
          <w:p w14:paraId="7B2843C2" w14:textId="77777777" w:rsidR="00890199" w:rsidRPr="00D90996" w:rsidRDefault="00890199" w:rsidP="00D85E63">
            <w:pPr>
              <w:jc w:val="center"/>
              <w:rPr>
                <w:lang w:val="es-ES"/>
              </w:rPr>
            </w:pPr>
            <w:r w:rsidRPr="00D90996">
              <w:rPr>
                <w:b/>
                <w:bCs/>
                <w:lang w:val="es-ES"/>
              </w:rPr>
              <w:t>.51</w:t>
            </w:r>
          </w:p>
        </w:tc>
        <w:tc>
          <w:tcPr>
            <w:tcW w:w="720" w:type="dxa"/>
            <w:tcBorders>
              <w:left w:val="nil"/>
              <w:right w:val="nil"/>
            </w:tcBorders>
          </w:tcPr>
          <w:p w14:paraId="52BC6901" w14:textId="77777777" w:rsidR="00890199" w:rsidRPr="00D90996" w:rsidRDefault="00890199" w:rsidP="00D85E63">
            <w:pPr>
              <w:jc w:val="center"/>
              <w:rPr>
                <w:lang w:val="es-ES"/>
              </w:rPr>
            </w:pPr>
          </w:p>
          <w:p w14:paraId="21152B33" w14:textId="77777777" w:rsidR="00890199" w:rsidRDefault="00890199" w:rsidP="00D85E63">
            <w:pPr>
              <w:jc w:val="center"/>
              <w:rPr>
                <w:lang w:val="es-ES"/>
              </w:rPr>
            </w:pPr>
          </w:p>
          <w:p w14:paraId="44270337" w14:textId="77777777" w:rsidR="00890199" w:rsidRDefault="00890199" w:rsidP="00D85E63">
            <w:pPr>
              <w:jc w:val="center"/>
              <w:rPr>
                <w:lang w:val="es-ES"/>
              </w:rPr>
            </w:pPr>
          </w:p>
          <w:p w14:paraId="27B33DF5" w14:textId="77777777" w:rsidR="00890199" w:rsidRDefault="00890199" w:rsidP="00D85E63">
            <w:pPr>
              <w:jc w:val="center"/>
              <w:rPr>
                <w:lang w:val="es-ES"/>
              </w:rPr>
            </w:pPr>
          </w:p>
          <w:p w14:paraId="225CA5D7" w14:textId="77777777" w:rsidR="00890199" w:rsidRDefault="00890199" w:rsidP="00D85E63">
            <w:pPr>
              <w:jc w:val="center"/>
              <w:rPr>
                <w:lang w:val="es-ES"/>
              </w:rPr>
            </w:pPr>
          </w:p>
          <w:p w14:paraId="5752E7AB" w14:textId="77777777" w:rsidR="00890199" w:rsidRDefault="00890199" w:rsidP="00D85E63">
            <w:pPr>
              <w:jc w:val="center"/>
              <w:rPr>
                <w:lang w:val="es-ES"/>
              </w:rPr>
            </w:pPr>
          </w:p>
          <w:p w14:paraId="228E7EAA" w14:textId="77777777" w:rsidR="00890199" w:rsidRDefault="00890199" w:rsidP="00D85E63">
            <w:pPr>
              <w:jc w:val="center"/>
              <w:rPr>
                <w:lang w:val="es-ES"/>
              </w:rPr>
            </w:pPr>
          </w:p>
          <w:p w14:paraId="4F9DF6AE" w14:textId="77777777" w:rsidR="00890199" w:rsidRDefault="00890199" w:rsidP="00D85E63">
            <w:pPr>
              <w:jc w:val="center"/>
              <w:rPr>
                <w:lang w:val="es-ES"/>
              </w:rPr>
            </w:pPr>
          </w:p>
          <w:p w14:paraId="7A0D5084" w14:textId="77777777" w:rsidR="00890199" w:rsidRDefault="00890199" w:rsidP="00D85E63">
            <w:pPr>
              <w:jc w:val="center"/>
              <w:rPr>
                <w:lang w:val="es-ES"/>
              </w:rPr>
            </w:pPr>
          </w:p>
          <w:p w14:paraId="6BD6D9F4" w14:textId="77777777" w:rsidR="00890199" w:rsidRDefault="00890199" w:rsidP="00D85E63">
            <w:pPr>
              <w:jc w:val="center"/>
              <w:rPr>
                <w:lang w:val="es-ES"/>
              </w:rPr>
            </w:pPr>
          </w:p>
          <w:p w14:paraId="2C74452D" w14:textId="77777777" w:rsidR="00890199" w:rsidRDefault="00890199" w:rsidP="00D85E63">
            <w:pPr>
              <w:jc w:val="center"/>
              <w:rPr>
                <w:lang w:val="es-ES"/>
              </w:rPr>
            </w:pPr>
          </w:p>
          <w:p w14:paraId="038E999B" w14:textId="77777777" w:rsidR="00890199" w:rsidRDefault="00890199" w:rsidP="00D85E63">
            <w:pPr>
              <w:jc w:val="center"/>
              <w:rPr>
                <w:lang w:val="es-ES"/>
              </w:rPr>
            </w:pPr>
          </w:p>
          <w:p w14:paraId="10A78303" w14:textId="77777777" w:rsidR="00890199" w:rsidRDefault="00890199" w:rsidP="00D85E63">
            <w:pPr>
              <w:jc w:val="center"/>
              <w:rPr>
                <w:lang w:val="es-ES"/>
              </w:rPr>
            </w:pPr>
          </w:p>
          <w:p w14:paraId="0559CA4F" w14:textId="77777777" w:rsidR="00890199" w:rsidRDefault="00890199" w:rsidP="00D85E63">
            <w:pPr>
              <w:jc w:val="center"/>
              <w:rPr>
                <w:lang w:val="es-ES"/>
              </w:rPr>
            </w:pPr>
          </w:p>
          <w:p w14:paraId="60B2DF5C" w14:textId="77777777" w:rsidR="00890199" w:rsidRDefault="00890199" w:rsidP="00D85E63">
            <w:pPr>
              <w:jc w:val="center"/>
              <w:rPr>
                <w:lang w:val="es-ES"/>
              </w:rPr>
            </w:pPr>
          </w:p>
          <w:p w14:paraId="492FC222" w14:textId="77777777" w:rsidR="00890199" w:rsidRDefault="00890199" w:rsidP="00D85E63">
            <w:pPr>
              <w:jc w:val="center"/>
              <w:rPr>
                <w:lang w:val="es-ES"/>
              </w:rPr>
            </w:pPr>
          </w:p>
          <w:p w14:paraId="483779E7" w14:textId="77777777" w:rsidR="00890199" w:rsidRDefault="00890199" w:rsidP="00D85E63">
            <w:pPr>
              <w:jc w:val="center"/>
              <w:rPr>
                <w:lang w:val="es-ES"/>
              </w:rPr>
            </w:pPr>
          </w:p>
          <w:p w14:paraId="134C6DCF" w14:textId="77777777" w:rsidR="00890199" w:rsidRDefault="00890199" w:rsidP="00D85E63">
            <w:pPr>
              <w:jc w:val="center"/>
              <w:rPr>
                <w:lang w:val="es-ES"/>
              </w:rPr>
            </w:pPr>
          </w:p>
          <w:p w14:paraId="761D5E56" w14:textId="77777777" w:rsidR="00890199" w:rsidRDefault="00890199" w:rsidP="00D85E63">
            <w:pPr>
              <w:jc w:val="center"/>
              <w:rPr>
                <w:lang w:val="es-ES"/>
              </w:rPr>
            </w:pPr>
            <w:r>
              <w:rPr>
                <w:lang w:val="es-ES"/>
              </w:rPr>
              <w:t>.31</w:t>
            </w:r>
          </w:p>
          <w:p w14:paraId="5FB8F5A9" w14:textId="77777777" w:rsidR="00890199" w:rsidRDefault="00890199" w:rsidP="00D85E63">
            <w:pPr>
              <w:jc w:val="center"/>
              <w:rPr>
                <w:lang w:val="es-ES"/>
              </w:rPr>
            </w:pPr>
            <w:r>
              <w:rPr>
                <w:lang w:val="es-ES"/>
              </w:rPr>
              <w:t>.34</w:t>
            </w:r>
          </w:p>
          <w:p w14:paraId="55B54E4D" w14:textId="77777777" w:rsidR="00890199" w:rsidRDefault="00890199" w:rsidP="00D85E63">
            <w:pPr>
              <w:jc w:val="center"/>
              <w:rPr>
                <w:lang w:val="es-ES"/>
              </w:rPr>
            </w:pPr>
          </w:p>
          <w:p w14:paraId="2789CE1E" w14:textId="77777777" w:rsidR="00890199" w:rsidRDefault="00890199" w:rsidP="00D85E63">
            <w:pPr>
              <w:jc w:val="center"/>
              <w:rPr>
                <w:lang w:val="es-ES"/>
              </w:rPr>
            </w:pPr>
            <w:r>
              <w:rPr>
                <w:lang w:val="es-ES"/>
              </w:rPr>
              <w:t>.30</w:t>
            </w:r>
          </w:p>
          <w:p w14:paraId="6CB52F2F" w14:textId="77777777" w:rsidR="00890199" w:rsidRDefault="00890199" w:rsidP="00D85E63">
            <w:pPr>
              <w:jc w:val="center"/>
              <w:rPr>
                <w:lang w:val="es-ES"/>
              </w:rPr>
            </w:pPr>
          </w:p>
          <w:p w14:paraId="7DE0198D" w14:textId="77777777" w:rsidR="00890199" w:rsidRDefault="00890199" w:rsidP="00D85E63">
            <w:pPr>
              <w:jc w:val="center"/>
              <w:rPr>
                <w:lang w:val="es-ES"/>
              </w:rPr>
            </w:pPr>
            <w:r>
              <w:rPr>
                <w:lang w:val="es-ES"/>
              </w:rPr>
              <w:t>.33</w:t>
            </w:r>
          </w:p>
          <w:p w14:paraId="1941439D" w14:textId="77777777" w:rsidR="00890199" w:rsidRDefault="00890199" w:rsidP="00D85E63">
            <w:pPr>
              <w:jc w:val="center"/>
              <w:rPr>
                <w:lang w:val="es-ES"/>
              </w:rPr>
            </w:pPr>
          </w:p>
          <w:p w14:paraId="77CBAE94" w14:textId="77777777" w:rsidR="00890199" w:rsidRDefault="00890199" w:rsidP="00D85E63">
            <w:pPr>
              <w:jc w:val="center"/>
              <w:rPr>
                <w:lang w:val="es-ES"/>
              </w:rPr>
            </w:pPr>
            <w:r>
              <w:rPr>
                <w:lang w:val="es-ES"/>
              </w:rPr>
              <w:t>.</w:t>
            </w:r>
          </w:p>
          <w:p w14:paraId="5BF56E15" w14:textId="77777777" w:rsidR="00890199" w:rsidRDefault="00890199" w:rsidP="00D85E63">
            <w:pPr>
              <w:jc w:val="center"/>
              <w:rPr>
                <w:lang w:val="es-ES"/>
              </w:rPr>
            </w:pPr>
            <w:r>
              <w:rPr>
                <w:lang w:val="es-ES"/>
              </w:rPr>
              <w:t>35</w:t>
            </w:r>
          </w:p>
          <w:p w14:paraId="718D0174" w14:textId="77777777" w:rsidR="00890199" w:rsidRDefault="00890199" w:rsidP="00D85E63">
            <w:pPr>
              <w:jc w:val="center"/>
              <w:rPr>
                <w:lang w:val="es-ES"/>
              </w:rPr>
            </w:pPr>
          </w:p>
          <w:p w14:paraId="497DB993" w14:textId="77777777" w:rsidR="00890199" w:rsidRDefault="00890199" w:rsidP="00D85E63">
            <w:pPr>
              <w:jc w:val="center"/>
              <w:rPr>
                <w:lang w:val="es-ES"/>
              </w:rPr>
            </w:pPr>
          </w:p>
          <w:p w14:paraId="77450EBF" w14:textId="77777777" w:rsidR="00890199" w:rsidRDefault="00890199" w:rsidP="00D85E63">
            <w:pPr>
              <w:jc w:val="center"/>
              <w:rPr>
                <w:lang w:val="es-ES"/>
              </w:rPr>
            </w:pPr>
            <w:r>
              <w:rPr>
                <w:lang w:val="es-ES"/>
              </w:rPr>
              <w:t>.33</w:t>
            </w:r>
          </w:p>
          <w:p w14:paraId="2F53A721" w14:textId="77777777" w:rsidR="00890199" w:rsidRDefault="00890199" w:rsidP="00D85E63">
            <w:pPr>
              <w:jc w:val="center"/>
              <w:rPr>
                <w:lang w:val="es-ES"/>
              </w:rPr>
            </w:pPr>
          </w:p>
          <w:p w14:paraId="373F6CA3" w14:textId="77777777" w:rsidR="00890199" w:rsidRDefault="00890199" w:rsidP="00D85E63">
            <w:pPr>
              <w:jc w:val="center"/>
              <w:rPr>
                <w:lang w:val="es-ES"/>
              </w:rPr>
            </w:pPr>
          </w:p>
          <w:p w14:paraId="17378647" w14:textId="77777777" w:rsidR="00890199" w:rsidRDefault="00890199" w:rsidP="00D85E63">
            <w:pPr>
              <w:jc w:val="center"/>
              <w:rPr>
                <w:lang w:val="es-ES"/>
              </w:rPr>
            </w:pPr>
          </w:p>
          <w:p w14:paraId="48271C32" w14:textId="77777777" w:rsidR="00890199" w:rsidRDefault="00890199" w:rsidP="00D85E63">
            <w:pPr>
              <w:jc w:val="center"/>
              <w:rPr>
                <w:lang w:val="es-ES"/>
              </w:rPr>
            </w:pPr>
          </w:p>
          <w:p w14:paraId="1F71922B" w14:textId="77777777" w:rsidR="00890199" w:rsidRDefault="00890199" w:rsidP="00D85E63">
            <w:pPr>
              <w:jc w:val="center"/>
              <w:rPr>
                <w:lang w:val="es-ES"/>
              </w:rPr>
            </w:pPr>
          </w:p>
          <w:p w14:paraId="63013397" w14:textId="77777777" w:rsidR="00890199" w:rsidRDefault="00890199" w:rsidP="00D85E63">
            <w:pPr>
              <w:jc w:val="center"/>
              <w:rPr>
                <w:lang w:val="es-ES"/>
              </w:rPr>
            </w:pPr>
          </w:p>
          <w:p w14:paraId="40251BFF" w14:textId="77777777" w:rsidR="00890199" w:rsidRDefault="00890199" w:rsidP="00D85E63">
            <w:pPr>
              <w:jc w:val="center"/>
              <w:rPr>
                <w:lang w:val="es-ES"/>
              </w:rPr>
            </w:pPr>
          </w:p>
          <w:p w14:paraId="6AAFCDF1" w14:textId="77777777" w:rsidR="00890199" w:rsidRDefault="00890199" w:rsidP="00D85E63">
            <w:pPr>
              <w:jc w:val="center"/>
              <w:rPr>
                <w:lang w:val="es-ES"/>
              </w:rPr>
            </w:pPr>
          </w:p>
          <w:p w14:paraId="757C7B40" w14:textId="77777777" w:rsidR="00890199" w:rsidRDefault="00890199" w:rsidP="00D85E63">
            <w:pPr>
              <w:jc w:val="center"/>
              <w:rPr>
                <w:lang w:val="es-ES"/>
              </w:rPr>
            </w:pPr>
          </w:p>
          <w:p w14:paraId="43914B3F" w14:textId="77777777" w:rsidR="00890199" w:rsidRDefault="00890199" w:rsidP="00D85E63">
            <w:pPr>
              <w:jc w:val="center"/>
              <w:rPr>
                <w:lang w:val="es-ES"/>
              </w:rPr>
            </w:pPr>
          </w:p>
          <w:p w14:paraId="3800999D" w14:textId="77777777" w:rsidR="00890199" w:rsidRDefault="00890199" w:rsidP="00D85E63">
            <w:pPr>
              <w:jc w:val="center"/>
              <w:rPr>
                <w:lang w:val="es-ES"/>
              </w:rPr>
            </w:pPr>
          </w:p>
          <w:p w14:paraId="0A11DAD4" w14:textId="77777777" w:rsidR="00890199" w:rsidRDefault="00890199" w:rsidP="00D85E63">
            <w:pPr>
              <w:jc w:val="center"/>
              <w:rPr>
                <w:lang w:val="es-ES"/>
              </w:rPr>
            </w:pPr>
          </w:p>
          <w:p w14:paraId="6A04B2BB" w14:textId="77777777" w:rsidR="00890199" w:rsidRDefault="00890199" w:rsidP="00D85E63">
            <w:pPr>
              <w:jc w:val="center"/>
              <w:rPr>
                <w:lang w:val="es-ES"/>
              </w:rPr>
            </w:pPr>
          </w:p>
          <w:p w14:paraId="5149A738" w14:textId="77777777" w:rsidR="00890199" w:rsidRDefault="00890199" w:rsidP="00D85E63">
            <w:pPr>
              <w:jc w:val="center"/>
              <w:rPr>
                <w:lang w:val="es-ES"/>
              </w:rPr>
            </w:pPr>
          </w:p>
          <w:p w14:paraId="11A0EFC8" w14:textId="77777777" w:rsidR="00890199" w:rsidRDefault="00890199" w:rsidP="00D85E63">
            <w:pPr>
              <w:jc w:val="center"/>
              <w:rPr>
                <w:lang w:val="es-ES"/>
              </w:rPr>
            </w:pPr>
          </w:p>
          <w:p w14:paraId="661B765D" w14:textId="77777777" w:rsidR="00890199" w:rsidRDefault="00890199" w:rsidP="00D85E63">
            <w:pPr>
              <w:jc w:val="center"/>
              <w:rPr>
                <w:lang w:val="es-ES"/>
              </w:rPr>
            </w:pPr>
          </w:p>
          <w:p w14:paraId="4698BC28" w14:textId="77777777" w:rsidR="00890199" w:rsidRDefault="00890199" w:rsidP="00D85E63">
            <w:pPr>
              <w:jc w:val="center"/>
              <w:rPr>
                <w:lang w:val="es-ES"/>
              </w:rPr>
            </w:pPr>
          </w:p>
          <w:p w14:paraId="6C77135C" w14:textId="77777777" w:rsidR="00890199" w:rsidRDefault="00890199" w:rsidP="00D85E63">
            <w:pPr>
              <w:jc w:val="center"/>
              <w:rPr>
                <w:lang w:val="es-ES"/>
              </w:rPr>
            </w:pPr>
          </w:p>
          <w:p w14:paraId="2F2E9F8B" w14:textId="77777777" w:rsidR="00890199" w:rsidRDefault="00890199" w:rsidP="00D85E63">
            <w:pPr>
              <w:jc w:val="center"/>
              <w:rPr>
                <w:lang w:val="es-ES"/>
              </w:rPr>
            </w:pPr>
          </w:p>
          <w:p w14:paraId="2AAB595C" w14:textId="77777777" w:rsidR="00890199" w:rsidRDefault="00890199" w:rsidP="00D85E63">
            <w:pPr>
              <w:jc w:val="center"/>
              <w:rPr>
                <w:lang w:val="es-ES"/>
              </w:rPr>
            </w:pPr>
          </w:p>
          <w:p w14:paraId="0A8FEB4D" w14:textId="77777777" w:rsidR="00890199" w:rsidRDefault="00890199" w:rsidP="00D85E63">
            <w:pPr>
              <w:jc w:val="center"/>
              <w:rPr>
                <w:lang w:val="es-ES"/>
              </w:rPr>
            </w:pPr>
          </w:p>
          <w:p w14:paraId="4E42AA62" w14:textId="77777777" w:rsidR="00890199" w:rsidRDefault="00890199" w:rsidP="00D85E63">
            <w:pPr>
              <w:jc w:val="center"/>
              <w:rPr>
                <w:lang w:val="es-ES"/>
              </w:rPr>
            </w:pPr>
          </w:p>
          <w:p w14:paraId="6E8F6164" w14:textId="77777777" w:rsidR="00890199" w:rsidRDefault="00890199" w:rsidP="00D85E63">
            <w:pPr>
              <w:jc w:val="center"/>
              <w:rPr>
                <w:lang w:val="es-ES"/>
              </w:rPr>
            </w:pPr>
          </w:p>
          <w:p w14:paraId="0D9839D5" w14:textId="77777777" w:rsidR="00890199" w:rsidRDefault="00890199" w:rsidP="00D85E63">
            <w:pPr>
              <w:jc w:val="center"/>
              <w:rPr>
                <w:lang w:val="es-ES"/>
              </w:rPr>
            </w:pPr>
          </w:p>
          <w:p w14:paraId="23EF67A3" w14:textId="77777777" w:rsidR="00890199" w:rsidRDefault="00890199" w:rsidP="00D85E63">
            <w:pPr>
              <w:jc w:val="center"/>
              <w:rPr>
                <w:lang w:val="es-ES"/>
              </w:rPr>
            </w:pPr>
          </w:p>
          <w:p w14:paraId="3267A817" w14:textId="77777777" w:rsidR="00890199" w:rsidRDefault="00890199" w:rsidP="00D85E63">
            <w:pPr>
              <w:jc w:val="center"/>
              <w:rPr>
                <w:lang w:val="es-ES"/>
              </w:rPr>
            </w:pPr>
          </w:p>
          <w:p w14:paraId="4DA845F5" w14:textId="77777777" w:rsidR="00890199" w:rsidRDefault="00890199" w:rsidP="00D85E63">
            <w:pPr>
              <w:jc w:val="center"/>
              <w:rPr>
                <w:lang w:val="es-ES"/>
              </w:rPr>
            </w:pPr>
          </w:p>
          <w:p w14:paraId="4B90AC68" w14:textId="77777777" w:rsidR="00890199" w:rsidRDefault="00890199" w:rsidP="00D85E63">
            <w:pPr>
              <w:jc w:val="center"/>
              <w:rPr>
                <w:lang w:val="es-ES"/>
              </w:rPr>
            </w:pPr>
          </w:p>
          <w:p w14:paraId="0832FAE9" w14:textId="77777777" w:rsidR="00890199" w:rsidRDefault="00890199" w:rsidP="00D85E63">
            <w:pPr>
              <w:jc w:val="center"/>
              <w:rPr>
                <w:lang w:val="es-ES"/>
              </w:rPr>
            </w:pPr>
          </w:p>
          <w:p w14:paraId="26D06A0E" w14:textId="77777777" w:rsidR="00890199" w:rsidRDefault="00890199" w:rsidP="00D85E63">
            <w:pPr>
              <w:jc w:val="center"/>
              <w:rPr>
                <w:lang w:val="es-ES"/>
              </w:rPr>
            </w:pPr>
          </w:p>
          <w:p w14:paraId="24815169" w14:textId="77777777" w:rsidR="00890199" w:rsidRDefault="00890199" w:rsidP="00D85E63">
            <w:pPr>
              <w:jc w:val="center"/>
              <w:rPr>
                <w:lang w:val="es-ES"/>
              </w:rPr>
            </w:pPr>
          </w:p>
          <w:p w14:paraId="101CF713" w14:textId="77777777" w:rsidR="00890199" w:rsidRDefault="00890199" w:rsidP="00D85E63">
            <w:pPr>
              <w:jc w:val="center"/>
              <w:rPr>
                <w:lang w:val="es-ES"/>
              </w:rPr>
            </w:pPr>
          </w:p>
          <w:p w14:paraId="423F43C8" w14:textId="77777777" w:rsidR="00890199" w:rsidRDefault="00890199" w:rsidP="00D85E63">
            <w:pPr>
              <w:jc w:val="center"/>
              <w:rPr>
                <w:lang w:val="es-ES"/>
              </w:rPr>
            </w:pPr>
          </w:p>
          <w:p w14:paraId="10182C1F" w14:textId="77777777" w:rsidR="00890199" w:rsidRDefault="00890199" w:rsidP="00D85E63">
            <w:pPr>
              <w:jc w:val="center"/>
              <w:rPr>
                <w:lang w:val="es-ES"/>
              </w:rPr>
            </w:pPr>
          </w:p>
          <w:p w14:paraId="0A615A49" w14:textId="77777777" w:rsidR="00890199" w:rsidRDefault="00890199" w:rsidP="00D85E63">
            <w:pPr>
              <w:jc w:val="center"/>
              <w:rPr>
                <w:lang w:val="es-ES"/>
              </w:rPr>
            </w:pPr>
          </w:p>
          <w:p w14:paraId="222D3A2E" w14:textId="77777777" w:rsidR="00890199" w:rsidRDefault="00890199" w:rsidP="006A35F1">
            <w:pPr>
              <w:rPr>
                <w:lang w:val="es-ES"/>
              </w:rPr>
            </w:pPr>
          </w:p>
          <w:p w14:paraId="3C1DBA4C" w14:textId="77777777" w:rsidR="00890199" w:rsidRPr="00D90996" w:rsidRDefault="00890199" w:rsidP="00D85E63">
            <w:pPr>
              <w:jc w:val="center"/>
              <w:rPr>
                <w:b/>
                <w:bCs/>
                <w:lang w:val="es-ES"/>
              </w:rPr>
            </w:pPr>
            <w:r w:rsidRPr="00D90996">
              <w:rPr>
                <w:b/>
                <w:bCs/>
                <w:lang w:val="es-ES"/>
              </w:rPr>
              <w:t>.71</w:t>
            </w:r>
          </w:p>
          <w:p w14:paraId="5B80C94E" w14:textId="77777777" w:rsidR="00890199" w:rsidRPr="00D90996" w:rsidRDefault="00890199" w:rsidP="00D85E63">
            <w:pPr>
              <w:jc w:val="center"/>
              <w:rPr>
                <w:b/>
                <w:bCs/>
                <w:lang w:val="es-ES"/>
              </w:rPr>
            </w:pPr>
          </w:p>
          <w:p w14:paraId="76B78B0D" w14:textId="77777777" w:rsidR="00890199" w:rsidRPr="00D90996" w:rsidRDefault="00890199" w:rsidP="00D85E63">
            <w:pPr>
              <w:jc w:val="center"/>
              <w:rPr>
                <w:b/>
                <w:bCs/>
                <w:lang w:val="es-ES"/>
              </w:rPr>
            </w:pPr>
            <w:r w:rsidRPr="00D90996">
              <w:rPr>
                <w:b/>
                <w:bCs/>
                <w:lang w:val="es-ES"/>
              </w:rPr>
              <w:t>.68</w:t>
            </w:r>
          </w:p>
          <w:p w14:paraId="7A5E6A21" w14:textId="77777777" w:rsidR="00890199" w:rsidRPr="00D90996" w:rsidRDefault="00890199" w:rsidP="00D85E63">
            <w:pPr>
              <w:jc w:val="center"/>
              <w:rPr>
                <w:b/>
                <w:bCs/>
                <w:lang w:val="es-ES"/>
              </w:rPr>
            </w:pPr>
          </w:p>
          <w:p w14:paraId="131A704C" w14:textId="77777777" w:rsidR="00890199" w:rsidRPr="00D90996" w:rsidRDefault="00890199" w:rsidP="00D85E63">
            <w:pPr>
              <w:jc w:val="center"/>
              <w:rPr>
                <w:b/>
                <w:bCs/>
                <w:lang w:val="es-ES"/>
              </w:rPr>
            </w:pPr>
            <w:r w:rsidRPr="00D90996">
              <w:rPr>
                <w:b/>
                <w:bCs/>
                <w:lang w:val="es-ES"/>
              </w:rPr>
              <w:t>.68</w:t>
            </w:r>
          </w:p>
          <w:p w14:paraId="7852D445" w14:textId="77777777" w:rsidR="00890199" w:rsidRPr="00D90996" w:rsidRDefault="00890199" w:rsidP="00D85E63">
            <w:pPr>
              <w:jc w:val="center"/>
              <w:rPr>
                <w:b/>
                <w:bCs/>
                <w:lang w:val="es-ES"/>
              </w:rPr>
            </w:pPr>
          </w:p>
          <w:p w14:paraId="1CA651E8" w14:textId="77777777" w:rsidR="00890199" w:rsidRPr="00D90996" w:rsidRDefault="00890199" w:rsidP="00D85E63">
            <w:pPr>
              <w:jc w:val="center"/>
              <w:rPr>
                <w:b/>
                <w:bCs/>
                <w:lang w:val="es-ES"/>
              </w:rPr>
            </w:pPr>
            <w:r w:rsidRPr="00D90996">
              <w:rPr>
                <w:b/>
                <w:bCs/>
                <w:lang w:val="es-ES"/>
              </w:rPr>
              <w:t>.65</w:t>
            </w:r>
          </w:p>
          <w:p w14:paraId="33A0E80E" w14:textId="77777777" w:rsidR="00890199" w:rsidRDefault="00890199" w:rsidP="00D85E63">
            <w:pPr>
              <w:jc w:val="center"/>
              <w:rPr>
                <w:lang w:val="es-ES"/>
              </w:rPr>
            </w:pPr>
          </w:p>
          <w:p w14:paraId="3EF33275" w14:textId="77777777" w:rsidR="00890199" w:rsidRDefault="00890199" w:rsidP="00D85E63">
            <w:pPr>
              <w:jc w:val="center"/>
              <w:rPr>
                <w:lang w:val="es-ES"/>
              </w:rPr>
            </w:pPr>
          </w:p>
          <w:p w14:paraId="12E39663" w14:textId="77777777" w:rsidR="00890199" w:rsidRPr="00D90996" w:rsidRDefault="00890199" w:rsidP="00D85E63">
            <w:pPr>
              <w:jc w:val="center"/>
              <w:rPr>
                <w:b/>
                <w:bCs/>
                <w:lang w:val="es-ES"/>
              </w:rPr>
            </w:pPr>
            <w:r w:rsidRPr="00D90996">
              <w:rPr>
                <w:b/>
                <w:bCs/>
                <w:lang w:val="es-ES"/>
              </w:rPr>
              <w:t>.64</w:t>
            </w:r>
          </w:p>
          <w:p w14:paraId="400D0C50" w14:textId="77777777" w:rsidR="00890199" w:rsidRPr="00D90996" w:rsidRDefault="00890199" w:rsidP="00D85E63">
            <w:pPr>
              <w:jc w:val="center"/>
              <w:rPr>
                <w:b/>
                <w:bCs/>
                <w:lang w:val="es-ES"/>
              </w:rPr>
            </w:pPr>
          </w:p>
          <w:p w14:paraId="4F9E2351" w14:textId="77777777" w:rsidR="00890199" w:rsidRPr="00D90996" w:rsidRDefault="00890199" w:rsidP="00D85E63">
            <w:pPr>
              <w:jc w:val="center"/>
              <w:rPr>
                <w:b/>
                <w:bCs/>
                <w:lang w:val="es-ES"/>
              </w:rPr>
            </w:pPr>
            <w:r w:rsidRPr="00D90996">
              <w:rPr>
                <w:b/>
                <w:bCs/>
                <w:lang w:val="es-ES"/>
              </w:rPr>
              <w:t>.60</w:t>
            </w:r>
          </w:p>
          <w:p w14:paraId="00BDB47E" w14:textId="77777777" w:rsidR="00890199" w:rsidRPr="00D90996" w:rsidRDefault="00890199" w:rsidP="00D85E63">
            <w:pPr>
              <w:jc w:val="center"/>
              <w:rPr>
                <w:b/>
                <w:bCs/>
                <w:lang w:val="es-ES"/>
              </w:rPr>
            </w:pPr>
          </w:p>
          <w:p w14:paraId="08C205FE" w14:textId="77777777" w:rsidR="00890199" w:rsidRPr="00D90996" w:rsidRDefault="00890199" w:rsidP="00D85E63">
            <w:pPr>
              <w:jc w:val="center"/>
              <w:rPr>
                <w:b/>
                <w:bCs/>
                <w:lang w:val="es-ES"/>
              </w:rPr>
            </w:pPr>
            <w:r w:rsidRPr="00D90996">
              <w:rPr>
                <w:b/>
                <w:bCs/>
                <w:lang w:val="es-ES"/>
              </w:rPr>
              <w:t>.59</w:t>
            </w:r>
          </w:p>
          <w:p w14:paraId="166C87F1" w14:textId="77777777" w:rsidR="00890199" w:rsidRPr="00D90996" w:rsidRDefault="00890199" w:rsidP="00D85E63">
            <w:pPr>
              <w:jc w:val="center"/>
              <w:rPr>
                <w:b/>
                <w:bCs/>
                <w:lang w:val="es-ES"/>
              </w:rPr>
            </w:pPr>
          </w:p>
          <w:p w14:paraId="5CA7DD09" w14:textId="77777777" w:rsidR="00890199" w:rsidRPr="00D90996" w:rsidRDefault="00890199" w:rsidP="00D85E63">
            <w:pPr>
              <w:jc w:val="center"/>
              <w:rPr>
                <w:b/>
                <w:bCs/>
                <w:lang w:val="es-ES"/>
              </w:rPr>
            </w:pPr>
            <w:r w:rsidRPr="00D90996">
              <w:rPr>
                <w:b/>
                <w:bCs/>
                <w:lang w:val="es-ES"/>
              </w:rPr>
              <w:t>.58</w:t>
            </w:r>
          </w:p>
          <w:p w14:paraId="2ED79878" w14:textId="77777777" w:rsidR="00890199" w:rsidRPr="00D90996" w:rsidRDefault="00890199" w:rsidP="00D85E63">
            <w:pPr>
              <w:jc w:val="center"/>
              <w:rPr>
                <w:b/>
                <w:bCs/>
                <w:lang w:val="es-ES"/>
              </w:rPr>
            </w:pPr>
          </w:p>
          <w:p w14:paraId="20010EDC" w14:textId="77777777" w:rsidR="00890199" w:rsidRPr="00D90996" w:rsidRDefault="00890199" w:rsidP="00D85E63">
            <w:pPr>
              <w:jc w:val="center"/>
              <w:rPr>
                <w:b/>
                <w:bCs/>
                <w:lang w:val="es-ES"/>
              </w:rPr>
            </w:pPr>
            <w:r w:rsidRPr="00D90996">
              <w:rPr>
                <w:b/>
                <w:bCs/>
                <w:lang w:val="es-ES"/>
              </w:rPr>
              <w:t>.52</w:t>
            </w:r>
          </w:p>
          <w:p w14:paraId="63A3CA89" w14:textId="77777777" w:rsidR="00890199" w:rsidRPr="00D90996" w:rsidRDefault="00890199" w:rsidP="00D85E63">
            <w:pPr>
              <w:jc w:val="center"/>
              <w:rPr>
                <w:b/>
                <w:bCs/>
                <w:lang w:val="es-ES"/>
              </w:rPr>
            </w:pPr>
            <w:r w:rsidRPr="00D90996">
              <w:rPr>
                <w:b/>
                <w:bCs/>
                <w:lang w:val="es-ES"/>
              </w:rPr>
              <w:t>.48</w:t>
            </w:r>
          </w:p>
          <w:p w14:paraId="1D9DE7F4" w14:textId="77777777" w:rsidR="00890199" w:rsidRPr="00D90996" w:rsidRDefault="00890199" w:rsidP="00D85E63">
            <w:pPr>
              <w:jc w:val="center"/>
              <w:rPr>
                <w:b/>
                <w:bCs/>
                <w:lang w:val="es-ES"/>
              </w:rPr>
            </w:pPr>
          </w:p>
          <w:p w14:paraId="4DD82A9F" w14:textId="77777777" w:rsidR="00890199" w:rsidRPr="00D90996" w:rsidRDefault="00890199" w:rsidP="00D85E63">
            <w:pPr>
              <w:jc w:val="center"/>
              <w:rPr>
                <w:lang w:val="es-ES"/>
              </w:rPr>
            </w:pPr>
            <w:r w:rsidRPr="00D90996">
              <w:rPr>
                <w:b/>
                <w:bCs/>
                <w:lang w:val="es-ES"/>
              </w:rPr>
              <w:t>.47</w:t>
            </w:r>
          </w:p>
        </w:tc>
      </w:tr>
    </w:tbl>
    <w:p w14:paraId="62E287C0" w14:textId="5A2C9AA2" w:rsidR="006437B2" w:rsidRDefault="004413D6" w:rsidP="006A35F1">
      <w:pPr>
        <w:spacing w:line="360" w:lineRule="auto"/>
        <w:rPr>
          <w:b/>
          <w:bCs/>
          <w:lang w:val="es-ES"/>
        </w:rPr>
      </w:pPr>
      <w:r w:rsidRPr="006A35F1">
        <w:rPr>
          <w:i/>
          <w:iCs/>
          <w:lang w:val="es-ES"/>
        </w:rPr>
        <w:lastRenderedPageBreak/>
        <w:t>Nota</w:t>
      </w:r>
      <w:r w:rsidRPr="00C56316">
        <w:rPr>
          <w:lang w:val="es-ES"/>
        </w:rPr>
        <w:t>. N</w:t>
      </w:r>
      <w:r w:rsidR="00BF42D4">
        <w:rPr>
          <w:lang w:val="es-ES"/>
        </w:rPr>
        <w:t xml:space="preserve"> </w:t>
      </w:r>
      <w:r w:rsidRPr="00C56316">
        <w:rPr>
          <w:lang w:val="es-ES"/>
        </w:rPr>
        <w:t>=</w:t>
      </w:r>
      <w:r w:rsidR="00BF42D4">
        <w:rPr>
          <w:lang w:val="es-ES"/>
        </w:rPr>
        <w:t xml:space="preserve"> </w:t>
      </w:r>
      <w:r w:rsidRPr="00C56316">
        <w:rPr>
          <w:lang w:val="es-ES"/>
        </w:rPr>
        <w:t xml:space="preserve">227. El método de </w:t>
      </w:r>
      <w:r w:rsidRPr="00892DD8">
        <w:rPr>
          <w:lang w:val="es-ES"/>
        </w:rPr>
        <w:t>extracción</w:t>
      </w:r>
      <w:r w:rsidRPr="00C56316">
        <w:rPr>
          <w:lang w:val="es-ES"/>
        </w:rPr>
        <w:t xml:space="preserve"> utilizado fue</w:t>
      </w:r>
      <w:r w:rsidRPr="00892DD8">
        <w:rPr>
          <w:rStyle w:val="hgkelc"/>
          <w:lang w:val="es-ES"/>
        </w:rPr>
        <w:t xml:space="preserve"> </w:t>
      </w:r>
      <w:r>
        <w:rPr>
          <w:rStyle w:val="hgkelc"/>
          <w:lang w:val="es-ES"/>
        </w:rPr>
        <w:t>F</w:t>
      </w:r>
      <w:r w:rsidRPr="00892DD8">
        <w:rPr>
          <w:rStyle w:val="hgkelc"/>
          <w:lang w:val="es-ES"/>
        </w:rPr>
        <w:t xml:space="preserve">actorización de ejes principales (FEP) con una rotación ortogonal (rotación </w:t>
      </w:r>
      <w:proofErr w:type="spellStart"/>
      <w:r w:rsidRPr="00892DD8">
        <w:rPr>
          <w:rStyle w:val="hgkelc"/>
          <w:lang w:val="es-ES"/>
        </w:rPr>
        <w:t>Varimax</w:t>
      </w:r>
      <w:proofErr w:type="spellEnd"/>
      <w:r w:rsidRPr="00892DD8">
        <w:rPr>
          <w:rStyle w:val="hgkelc"/>
          <w:lang w:val="es-ES"/>
        </w:rPr>
        <w:t>).</w:t>
      </w:r>
    </w:p>
    <w:p w14:paraId="0FB9D288" w14:textId="4AF63881" w:rsidR="00253B73" w:rsidRPr="00D57780" w:rsidRDefault="00253B73" w:rsidP="00BF42D4">
      <w:pPr>
        <w:spacing w:line="360" w:lineRule="auto"/>
        <w:jc w:val="both"/>
        <w:rPr>
          <w:b/>
          <w:bCs/>
          <w:i/>
          <w:iCs/>
          <w:lang w:val="es-ES"/>
        </w:rPr>
      </w:pPr>
      <w:r w:rsidRPr="00D57780">
        <w:rPr>
          <w:b/>
          <w:bCs/>
          <w:i/>
          <w:iCs/>
          <w:lang w:val="es-ES"/>
        </w:rPr>
        <w:t>Estadísticas descriptivas de la Escala de microagresiones hacia personas ateas (EMPA).</w:t>
      </w:r>
    </w:p>
    <w:p w14:paraId="66CE5FC7" w14:textId="2F5EABA1" w:rsidR="00253B73" w:rsidRDefault="00717D13" w:rsidP="00253B73">
      <w:pPr>
        <w:spacing w:line="360" w:lineRule="auto"/>
        <w:ind w:firstLine="720"/>
        <w:jc w:val="both"/>
        <w:rPr>
          <w:lang w:val="es-ES"/>
        </w:rPr>
      </w:pPr>
      <w:r>
        <w:rPr>
          <w:lang w:val="es-ES"/>
        </w:rPr>
        <w:t>El</w:t>
      </w:r>
      <w:r w:rsidR="00253B73" w:rsidRPr="0044670C">
        <w:rPr>
          <w:lang w:val="es-ES"/>
        </w:rPr>
        <w:t xml:space="preserve"> EMPA</w:t>
      </w:r>
      <w:r w:rsidR="006D7A99">
        <w:rPr>
          <w:lang w:val="es-ES"/>
        </w:rPr>
        <w:t xml:space="preserve"> final</w:t>
      </w:r>
      <w:r w:rsidR="00253B73" w:rsidRPr="0044670C">
        <w:rPr>
          <w:lang w:val="es-ES"/>
        </w:rPr>
        <w:t xml:space="preserve"> cuenta con </w:t>
      </w:r>
      <w:r w:rsidR="00253B73">
        <w:rPr>
          <w:lang w:val="es-ES"/>
        </w:rPr>
        <w:t>48</w:t>
      </w:r>
      <w:r w:rsidR="00253B73" w:rsidRPr="0044670C">
        <w:rPr>
          <w:lang w:val="es-ES"/>
        </w:rPr>
        <w:t xml:space="preserve"> reactivos categorizados en </w:t>
      </w:r>
      <w:r w:rsidR="00253B73">
        <w:rPr>
          <w:lang w:val="es-ES"/>
        </w:rPr>
        <w:t>tres subescalas</w:t>
      </w:r>
      <w:r w:rsidR="00253B73">
        <w:rPr>
          <w:rStyle w:val="hgkelc"/>
          <w:lang w:val="es-ES"/>
        </w:rPr>
        <w:t>: 1) Estereotipar a personas ateas, 2) Degradación de la identidad ateísta</w:t>
      </w:r>
      <w:r w:rsidR="00BF42D4">
        <w:rPr>
          <w:rStyle w:val="hgkelc"/>
          <w:lang w:val="es-ES"/>
        </w:rPr>
        <w:t>,</w:t>
      </w:r>
      <w:r w:rsidR="00253B73">
        <w:rPr>
          <w:rStyle w:val="hgkelc"/>
          <w:lang w:val="es-ES"/>
        </w:rPr>
        <w:t xml:space="preserve"> y</w:t>
      </w:r>
      <w:r w:rsidR="00BF42D4">
        <w:rPr>
          <w:rStyle w:val="hgkelc"/>
          <w:lang w:val="es-ES"/>
        </w:rPr>
        <w:t xml:space="preserve"> </w:t>
      </w:r>
      <w:r w:rsidR="00253B73">
        <w:rPr>
          <w:rStyle w:val="hgkelc"/>
          <w:lang w:val="es-ES"/>
        </w:rPr>
        <w:t xml:space="preserve">3) </w:t>
      </w:r>
      <w:r w:rsidR="00253B73">
        <w:rPr>
          <w:lang w:val="es-ES"/>
        </w:rPr>
        <w:t xml:space="preserve">Negación de la individualidad ateísta. </w:t>
      </w:r>
      <w:r w:rsidR="00253B73" w:rsidRPr="0044670C">
        <w:rPr>
          <w:lang w:val="es-ES"/>
        </w:rPr>
        <w:t xml:space="preserve">A continuación, se presentan datos sobre la media (M) y desviación estándar (DE) de la escala total y sus </w:t>
      </w:r>
      <w:r w:rsidR="00253B73">
        <w:rPr>
          <w:lang w:val="es-ES"/>
        </w:rPr>
        <w:t>respectivas escalas</w:t>
      </w:r>
      <w:r w:rsidR="00253B73" w:rsidRPr="00DB6EAC">
        <w:rPr>
          <w:lang w:val="es-ES"/>
        </w:rPr>
        <w:t xml:space="preserve">. El promedio de la puntuación total </w:t>
      </w:r>
      <w:r w:rsidR="00253B73">
        <w:rPr>
          <w:lang w:val="es-ES"/>
        </w:rPr>
        <w:t>de la escala</w:t>
      </w:r>
      <w:r w:rsidR="00253B73" w:rsidRPr="00DB6EAC">
        <w:rPr>
          <w:lang w:val="es-ES"/>
        </w:rPr>
        <w:t xml:space="preserve"> fue </w:t>
      </w:r>
      <w:r w:rsidR="00253B73" w:rsidRPr="00C56316">
        <w:rPr>
          <w:lang w:val="es-ES"/>
        </w:rPr>
        <w:t>12</w:t>
      </w:r>
      <w:r w:rsidR="00253B73">
        <w:rPr>
          <w:lang w:val="es-ES"/>
        </w:rPr>
        <w:t>1.61</w:t>
      </w:r>
      <w:r w:rsidR="00253B73" w:rsidRPr="00DB6EAC">
        <w:rPr>
          <w:lang w:val="es-ES"/>
        </w:rPr>
        <w:t xml:space="preserve"> (DE= </w:t>
      </w:r>
      <w:r w:rsidR="00253B73">
        <w:rPr>
          <w:lang w:val="es-ES"/>
        </w:rPr>
        <w:t>41.57</w:t>
      </w:r>
      <w:r w:rsidR="00253B73" w:rsidRPr="00DB6EAC">
        <w:rPr>
          <w:lang w:val="es-ES"/>
        </w:rPr>
        <w:t>). Por otra parte</w:t>
      </w:r>
      <w:r>
        <w:rPr>
          <w:lang w:val="es-ES"/>
        </w:rPr>
        <w:t>, el</w:t>
      </w:r>
      <w:r w:rsidR="00253B73" w:rsidRPr="00DB6EAC">
        <w:rPr>
          <w:lang w:val="es-ES"/>
        </w:rPr>
        <w:t xml:space="preserve"> promedio </w:t>
      </w:r>
      <w:r w:rsidR="00253B73">
        <w:rPr>
          <w:lang w:val="es-ES"/>
        </w:rPr>
        <w:t>de la subescala Estereotipar a personas ateas</w:t>
      </w:r>
      <w:r w:rsidR="00253B73" w:rsidRPr="00DB6EAC">
        <w:rPr>
          <w:lang w:val="es-ES"/>
        </w:rPr>
        <w:t xml:space="preserve"> fue </w:t>
      </w:r>
      <w:r w:rsidR="00253B73">
        <w:rPr>
          <w:lang w:val="es-ES"/>
        </w:rPr>
        <w:t>52.72</w:t>
      </w:r>
      <w:r w:rsidR="00253B73" w:rsidRPr="00DB6EAC">
        <w:rPr>
          <w:lang w:val="es-ES"/>
        </w:rPr>
        <w:t xml:space="preserve"> (DE= </w:t>
      </w:r>
      <w:r w:rsidR="00253B73">
        <w:rPr>
          <w:lang w:val="es-ES"/>
        </w:rPr>
        <w:t>22.38</w:t>
      </w:r>
      <w:r w:rsidR="00253B73" w:rsidRPr="00DB6EAC">
        <w:rPr>
          <w:lang w:val="es-ES"/>
        </w:rPr>
        <w:t>)</w:t>
      </w:r>
      <w:r w:rsidR="00253B73">
        <w:rPr>
          <w:lang w:val="es-ES"/>
        </w:rPr>
        <w:t xml:space="preserve">. </w:t>
      </w:r>
      <w:proofErr w:type="spellStart"/>
      <w:r>
        <w:rPr>
          <w:lang w:val="es-ES"/>
        </w:rPr>
        <w:t>Ademá</w:t>
      </w:r>
      <w:proofErr w:type="spellEnd"/>
      <w:r w:rsidR="00253B73">
        <w:rPr>
          <w:lang w:val="es-ES"/>
        </w:rPr>
        <w:t xml:space="preserve"> promedio de la subescala Degradación de la identidad ateísta fue 48.83 (DE= 15.58)</w:t>
      </w:r>
      <w:r w:rsidR="00253B73" w:rsidRPr="00DB6EAC">
        <w:rPr>
          <w:lang w:val="es-ES"/>
        </w:rPr>
        <w:t xml:space="preserve"> y para </w:t>
      </w:r>
      <w:r w:rsidR="00253B73">
        <w:rPr>
          <w:lang w:val="es-ES"/>
        </w:rPr>
        <w:t>la subescala Negación de la individualidad ateísta</w:t>
      </w:r>
      <w:r w:rsidR="00253B73" w:rsidRPr="00DB6EAC">
        <w:rPr>
          <w:lang w:val="es-ES"/>
        </w:rPr>
        <w:t xml:space="preserve"> fue </w:t>
      </w:r>
      <w:r w:rsidR="00253B73">
        <w:rPr>
          <w:lang w:val="es-ES"/>
        </w:rPr>
        <w:t>20</w:t>
      </w:r>
      <w:r w:rsidR="00253B73" w:rsidRPr="00DB6EAC">
        <w:rPr>
          <w:lang w:val="es-ES"/>
        </w:rPr>
        <w:t>.</w:t>
      </w:r>
      <w:r w:rsidR="00253B73">
        <w:rPr>
          <w:lang w:val="es-ES"/>
        </w:rPr>
        <w:t>06</w:t>
      </w:r>
      <w:r w:rsidR="00253B73" w:rsidRPr="00DB6EAC">
        <w:rPr>
          <w:lang w:val="es-ES"/>
        </w:rPr>
        <w:t xml:space="preserve"> (DE= </w:t>
      </w:r>
      <w:r w:rsidR="00253B73">
        <w:rPr>
          <w:lang w:val="es-ES"/>
        </w:rPr>
        <w:t>9.61</w:t>
      </w:r>
      <w:r w:rsidR="00253B73" w:rsidRPr="00DB6EAC">
        <w:rPr>
          <w:lang w:val="es-ES"/>
        </w:rPr>
        <w:t xml:space="preserve">). </w:t>
      </w:r>
      <w:r w:rsidR="00253B73">
        <w:rPr>
          <w:lang w:val="es-ES"/>
        </w:rPr>
        <w:t>Véase</w:t>
      </w:r>
      <w:r w:rsidR="00253B73" w:rsidRPr="0044670C">
        <w:rPr>
          <w:lang w:val="es-ES"/>
        </w:rPr>
        <w:t xml:space="preserve"> la Tabla </w:t>
      </w:r>
      <w:r w:rsidR="00253B73">
        <w:rPr>
          <w:lang w:val="es-ES"/>
        </w:rPr>
        <w:t>3</w:t>
      </w:r>
      <w:r w:rsidR="00253B73" w:rsidRPr="0044670C">
        <w:rPr>
          <w:lang w:val="es-ES"/>
        </w:rPr>
        <w:t>.</w:t>
      </w:r>
    </w:p>
    <w:p w14:paraId="35890F80" w14:textId="1324CC97" w:rsidR="00773680" w:rsidRDefault="00AC1CD6" w:rsidP="00DF7B96">
      <w:pPr>
        <w:spacing w:line="360" w:lineRule="auto"/>
        <w:ind w:firstLine="720"/>
        <w:jc w:val="both"/>
        <w:rPr>
          <w:color w:val="000000" w:themeColor="text1"/>
          <w:lang w:val="es-ES"/>
        </w:rPr>
      </w:pPr>
      <w:r>
        <w:rPr>
          <w:lang w:val="es-ES"/>
        </w:rPr>
        <w:t>Las experiencias de microagresiones que son más frecuentes en un grupo de personas ateas son</w:t>
      </w:r>
      <w:r w:rsidR="00800249">
        <w:rPr>
          <w:lang w:val="es-ES"/>
        </w:rPr>
        <w:t xml:space="preserve"> aquellas relacionadas a la subescala Degradación de la identidad ateísta. Por ejemplo, </w:t>
      </w:r>
      <w:r w:rsidR="00251C9A">
        <w:rPr>
          <w:lang w:val="es-ES"/>
        </w:rPr>
        <w:t xml:space="preserve">entre estas se encontraron: “Luego de alcanzar una meta </w:t>
      </w:r>
      <w:r w:rsidR="00251C9A" w:rsidRPr="00942B9F">
        <w:rPr>
          <w:color w:val="000000" w:themeColor="text1"/>
          <w:lang w:val="es-ES"/>
        </w:rPr>
        <w:t>o superar una situación me han dicho que lo logré gracias a Dios</w:t>
      </w:r>
      <w:r w:rsidR="00251C9A">
        <w:rPr>
          <w:color w:val="000000" w:themeColor="text1"/>
          <w:lang w:val="es-ES"/>
        </w:rPr>
        <w:t>” (M= 3.54, DE= 1.31), “</w:t>
      </w:r>
      <w:r w:rsidR="00251C9A" w:rsidRPr="00942B9F">
        <w:rPr>
          <w:color w:val="000000" w:themeColor="text1"/>
          <w:lang w:val="es-ES"/>
        </w:rPr>
        <w:t>Alguien ha realizado una oración religiosa en un evento social del cual he participado como: una reunión laboral, actividad recreativa o seminario/taller de crecimiento profesional</w:t>
      </w:r>
      <w:r w:rsidR="00251C9A">
        <w:rPr>
          <w:color w:val="000000" w:themeColor="text1"/>
          <w:lang w:val="es-ES"/>
        </w:rPr>
        <w:t>” (M= 3.49, DE= 1.30) y “</w:t>
      </w:r>
      <w:r w:rsidR="00251C9A" w:rsidRPr="00942B9F">
        <w:rPr>
          <w:color w:val="000000" w:themeColor="text1"/>
          <w:lang w:val="es-ES"/>
        </w:rPr>
        <w:t>Me han dicho que Dios obrará por mi y/o me sanará luego de decirles o enterarse que soy ateo/a</w:t>
      </w:r>
      <w:r w:rsidR="00251C9A">
        <w:rPr>
          <w:color w:val="000000" w:themeColor="text1"/>
          <w:lang w:val="es-ES"/>
        </w:rPr>
        <w:t xml:space="preserve"> (M= 3.29, DE= 1.44)</w:t>
      </w:r>
      <w:r w:rsidR="00251C9A" w:rsidRPr="00942B9F">
        <w:rPr>
          <w:color w:val="000000" w:themeColor="text1"/>
          <w:lang w:val="es-ES"/>
        </w:rPr>
        <w:t>.</w:t>
      </w:r>
      <w:r w:rsidR="00251C9A">
        <w:rPr>
          <w:color w:val="000000" w:themeColor="text1"/>
          <w:lang w:val="es-ES"/>
        </w:rPr>
        <w:t xml:space="preserve"> </w:t>
      </w:r>
      <w:r w:rsidR="00E10179">
        <w:rPr>
          <w:color w:val="000000" w:themeColor="text1"/>
          <w:lang w:val="es-ES"/>
        </w:rPr>
        <w:t xml:space="preserve"> </w:t>
      </w:r>
      <w:r w:rsidR="00251C9A">
        <w:rPr>
          <w:color w:val="000000" w:themeColor="text1"/>
          <w:lang w:val="es-ES"/>
        </w:rPr>
        <w:t>Adicionalmente, otras de las experiencias reportadas con mayor frecuencia se relacionan a la subescala Estereotipar a personas ateas. Incluyendo experiencias como: “</w:t>
      </w:r>
      <w:r w:rsidR="00251C9A" w:rsidRPr="00942B9F">
        <w:rPr>
          <w:color w:val="000000" w:themeColor="text1"/>
          <w:lang w:val="es-ES"/>
        </w:rPr>
        <w:t>Alguien me ha dicho que no tengo un propósito en la vida porque no creo en Dios</w:t>
      </w:r>
      <w:r w:rsidR="00251C9A">
        <w:rPr>
          <w:color w:val="000000" w:themeColor="text1"/>
          <w:lang w:val="es-ES"/>
        </w:rPr>
        <w:t>” (</w:t>
      </w:r>
      <w:r w:rsidR="00E10179">
        <w:rPr>
          <w:color w:val="000000" w:themeColor="text1"/>
          <w:lang w:val="es-ES"/>
        </w:rPr>
        <w:t>M= 3.08, DE= 1.51)</w:t>
      </w:r>
      <w:r w:rsidR="00DB7E5C">
        <w:rPr>
          <w:color w:val="000000" w:themeColor="text1"/>
          <w:lang w:val="es-ES"/>
        </w:rPr>
        <w:t xml:space="preserve"> y</w:t>
      </w:r>
      <w:r w:rsidR="00E10179">
        <w:rPr>
          <w:color w:val="000000" w:themeColor="text1"/>
          <w:lang w:val="es-ES"/>
        </w:rPr>
        <w:t xml:space="preserve"> “</w:t>
      </w:r>
      <w:r w:rsidR="00251C9A" w:rsidRPr="00942B9F">
        <w:rPr>
          <w:color w:val="000000" w:themeColor="text1"/>
          <w:lang w:val="es-ES"/>
        </w:rPr>
        <w:t>Alguien me ha dicho que mi vida no tiene un propósito porque soy ateo/a</w:t>
      </w:r>
      <w:r w:rsidR="00E10179">
        <w:rPr>
          <w:color w:val="000000" w:themeColor="text1"/>
          <w:lang w:val="es-ES"/>
        </w:rPr>
        <w:t>” (M= 3.05, DE= 1.46)</w:t>
      </w:r>
      <w:r w:rsidR="00DB7E5C">
        <w:rPr>
          <w:color w:val="000000" w:themeColor="text1"/>
          <w:lang w:val="es-ES"/>
        </w:rPr>
        <w:t>.</w:t>
      </w:r>
    </w:p>
    <w:p w14:paraId="30AA27A1" w14:textId="3736EA33" w:rsidR="00DF7B96" w:rsidRPr="006A35F1" w:rsidRDefault="00E10179" w:rsidP="00DF7B96">
      <w:pPr>
        <w:spacing w:line="360" w:lineRule="auto"/>
        <w:ind w:firstLine="720"/>
        <w:jc w:val="both"/>
        <w:rPr>
          <w:color w:val="000000" w:themeColor="text1"/>
          <w:lang w:val="es-ES"/>
        </w:rPr>
      </w:pPr>
      <w:r>
        <w:rPr>
          <w:color w:val="000000" w:themeColor="text1"/>
          <w:lang w:val="es-ES"/>
        </w:rPr>
        <w:lastRenderedPageBreak/>
        <w:t xml:space="preserve">Por último, </w:t>
      </w:r>
      <w:r w:rsidR="00DF7B96">
        <w:rPr>
          <w:color w:val="000000" w:themeColor="text1"/>
          <w:lang w:val="es-ES"/>
        </w:rPr>
        <w:t>las experiencias más frecuentes relacionadas a la subescala de Negación de la individualidad ateísta fueron: “</w:t>
      </w:r>
      <w:r w:rsidRPr="00942B9F">
        <w:rPr>
          <w:color w:val="000000" w:themeColor="text1"/>
          <w:lang w:val="es-ES"/>
        </w:rPr>
        <w:t>Me han dicho que todos los/as ateos/as pensamos de la misma manera</w:t>
      </w:r>
      <w:r w:rsidR="00DF7B96">
        <w:rPr>
          <w:color w:val="000000" w:themeColor="text1"/>
          <w:lang w:val="es-ES"/>
        </w:rPr>
        <w:t>” (M= 2.29, DE= 1.57)</w:t>
      </w:r>
      <w:r w:rsidR="00DB7E5C">
        <w:rPr>
          <w:color w:val="000000" w:themeColor="text1"/>
          <w:lang w:val="es-ES"/>
        </w:rPr>
        <w:t xml:space="preserve"> y</w:t>
      </w:r>
      <w:r w:rsidR="00DF7B96">
        <w:rPr>
          <w:color w:val="000000" w:themeColor="text1"/>
          <w:lang w:val="es-ES"/>
        </w:rPr>
        <w:t xml:space="preserve"> “</w:t>
      </w:r>
      <w:r w:rsidRPr="00942B9F">
        <w:rPr>
          <w:color w:val="000000" w:themeColor="text1"/>
          <w:lang w:val="es-ES"/>
        </w:rPr>
        <w:t>Me han dicho que todos los/as ateos/as somos iguales</w:t>
      </w:r>
      <w:r w:rsidR="00DF7B96">
        <w:rPr>
          <w:color w:val="000000" w:themeColor="text1"/>
          <w:lang w:val="es-ES"/>
        </w:rPr>
        <w:t xml:space="preserve"> (M=2.23, DE= 1.49)</w:t>
      </w:r>
      <w:r w:rsidR="00DB7E5C">
        <w:rPr>
          <w:color w:val="000000" w:themeColor="text1"/>
          <w:lang w:val="es-ES"/>
        </w:rPr>
        <w:t>.</w:t>
      </w:r>
    </w:p>
    <w:p w14:paraId="062F6874" w14:textId="77777777" w:rsidR="00253B73" w:rsidRPr="0044670C" w:rsidRDefault="00253B73" w:rsidP="00253B73">
      <w:pPr>
        <w:spacing w:line="360" w:lineRule="auto"/>
        <w:jc w:val="both"/>
        <w:rPr>
          <w:b/>
          <w:bCs/>
          <w:lang w:val="es-ES"/>
        </w:rPr>
      </w:pPr>
      <w:r w:rsidRPr="0044670C">
        <w:rPr>
          <w:b/>
          <w:bCs/>
          <w:lang w:val="es-ES"/>
        </w:rPr>
        <w:t>Correlaciones de la EMPA, sus dominios y otras variables</w:t>
      </w:r>
    </w:p>
    <w:p w14:paraId="63C6CBA2" w14:textId="77777777" w:rsidR="00253B73" w:rsidRPr="0044670C" w:rsidRDefault="00253B73" w:rsidP="00253B73">
      <w:pPr>
        <w:spacing w:line="360" w:lineRule="auto"/>
        <w:jc w:val="both"/>
        <w:rPr>
          <w:b/>
          <w:bCs/>
          <w:i/>
          <w:iCs/>
          <w:lang w:val="es-ES"/>
        </w:rPr>
      </w:pPr>
      <w:r w:rsidRPr="0044670C">
        <w:rPr>
          <w:b/>
          <w:bCs/>
          <w:i/>
          <w:iCs/>
          <w:lang w:val="es-ES"/>
        </w:rPr>
        <w:t>La EMPA y sus respectivos dominios</w:t>
      </w:r>
    </w:p>
    <w:p w14:paraId="5C7EE71B" w14:textId="0B666C08" w:rsidR="00253B73" w:rsidRPr="00C56316" w:rsidRDefault="00253B73" w:rsidP="00253B73">
      <w:pPr>
        <w:spacing w:line="360" w:lineRule="auto"/>
        <w:ind w:firstLine="720"/>
        <w:jc w:val="both"/>
        <w:rPr>
          <w:lang w:val="es-ES"/>
        </w:rPr>
      </w:pPr>
      <w:r w:rsidRPr="0044670C">
        <w:rPr>
          <w:lang w:val="es-ES"/>
        </w:rPr>
        <w:t xml:space="preserve">Realizamos </w:t>
      </w:r>
      <w:r>
        <w:rPr>
          <w:lang w:val="es-ES"/>
        </w:rPr>
        <w:t>un</w:t>
      </w:r>
      <w:r w:rsidRPr="0044670C">
        <w:rPr>
          <w:lang w:val="es-ES"/>
        </w:rPr>
        <w:t xml:space="preserve"> análisis de correlación Producto Momento Pearson (</w:t>
      </w:r>
      <w:r w:rsidRPr="006A35F1">
        <w:rPr>
          <w:i/>
          <w:iCs/>
          <w:lang w:val="es-ES"/>
        </w:rPr>
        <w:t>r</w:t>
      </w:r>
      <w:r w:rsidRPr="0044670C">
        <w:rPr>
          <w:lang w:val="es-ES"/>
        </w:rPr>
        <w:t xml:space="preserve">) con el objetivo de evaluar si las puntuaciones de la escala total de la EMPA se relacionan significativamente con </w:t>
      </w:r>
      <w:r>
        <w:rPr>
          <w:lang w:val="es-ES"/>
        </w:rPr>
        <w:t xml:space="preserve">las subescalas </w:t>
      </w:r>
      <w:r w:rsidRPr="0044670C">
        <w:rPr>
          <w:lang w:val="es-ES"/>
        </w:rPr>
        <w:t xml:space="preserve">de </w:t>
      </w:r>
      <w:r>
        <w:rPr>
          <w:lang w:val="es-ES"/>
        </w:rPr>
        <w:t>dicho</w:t>
      </w:r>
      <w:r w:rsidRPr="0044670C">
        <w:rPr>
          <w:lang w:val="es-ES"/>
        </w:rPr>
        <w:t xml:space="preserve"> </w:t>
      </w:r>
      <w:r>
        <w:rPr>
          <w:lang w:val="es-ES"/>
        </w:rPr>
        <w:t>instrumento</w:t>
      </w:r>
      <w:r w:rsidRPr="0044670C">
        <w:rPr>
          <w:lang w:val="es-ES"/>
        </w:rPr>
        <w:t>. Los resultados indican que la relación entre la escala total y sus</w:t>
      </w:r>
      <w:r>
        <w:rPr>
          <w:lang w:val="es-ES"/>
        </w:rPr>
        <w:t xml:space="preserve"> subescalas</w:t>
      </w:r>
      <w:r w:rsidRPr="0044670C">
        <w:rPr>
          <w:lang w:val="es-ES"/>
        </w:rPr>
        <w:t xml:space="preserve"> es positiva y estadísticamente significativa. Para más información, véase la Tabla </w:t>
      </w:r>
      <w:r>
        <w:rPr>
          <w:lang w:val="es-ES"/>
        </w:rPr>
        <w:t>3</w:t>
      </w:r>
      <w:r w:rsidRPr="0044670C">
        <w:rPr>
          <w:lang w:val="es-ES"/>
        </w:rPr>
        <w:t>.</w:t>
      </w:r>
      <w:r>
        <w:rPr>
          <w:lang w:val="es-ES"/>
        </w:rPr>
        <w:t xml:space="preserve"> </w:t>
      </w:r>
    </w:p>
    <w:p w14:paraId="0B74EE2C" w14:textId="6A025D1F" w:rsidR="00253B73" w:rsidRDefault="005F069F" w:rsidP="00253B73">
      <w:pPr>
        <w:spacing w:line="360" w:lineRule="auto"/>
        <w:jc w:val="both"/>
        <w:rPr>
          <w:b/>
          <w:bCs/>
          <w:i/>
          <w:iCs/>
          <w:lang w:val="es-ES"/>
        </w:rPr>
      </w:pPr>
      <w:r>
        <w:rPr>
          <w:b/>
          <w:bCs/>
          <w:i/>
          <w:iCs/>
          <w:lang w:val="es-ES"/>
        </w:rPr>
        <w:t>La EMPA y estadísticas sociodemográficas</w:t>
      </w:r>
    </w:p>
    <w:p w14:paraId="7FA430AE" w14:textId="4135467D" w:rsidR="004A261A" w:rsidRDefault="005F069F" w:rsidP="004A261A">
      <w:pPr>
        <w:spacing w:line="360" w:lineRule="auto"/>
        <w:ind w:firstLine="720"/>
        <w:jc w:val="both"/>
        <w:rPr>
          <w:lang w:val="es-ES"/>
        </w:rPr>
      </w:pPr>
      <w:r>
        <w:rPr>
          <w:lang w:val="es-ES"/>
        </w:rPr>
        <w:t>Encontramos asociaciones</w:t>
      </w:r>
      <w:r w:rsidR="00253B73">
        <w:rPr>
          <w:lang w:val="es-ES"/>
        </w:rPr>
        <w:t xml:space="preserve"> </w:t>
      </w:r>
      <w:r w:rsidR="00253B73" w:rsidRPr="007F51BD">
        <w:rPr>
          <w:lang w:val="es-ES"/>
        </w:rPr>
        <w:t>negativa</w:t>
      </w:r>
      <w:r>
        <w:rPr>
          <w:lang w:val="es-ES"/>
        </w:rPr>
        <w:t>s</w:t>
      </w:r>
      <w:r w:rsidR="00253B73" w:rsidRPr="007F51BD">
        <w:rPr>
          <w:lang w:val="es-ES"/>
        </w:rPr>
        <w:t>, baja</w:t>
      </w:r>
      <w:r>
        <w:rPr>
          <w:lang w:val="es-ES"/>
        </w:rPr>
        <w:t>s</w:t>
      </w:r>
      <w:r w:rsidR="00253B73" w:rsidRPr="007F51BD">
        <w:rPr>
          <w:lang w:val="es-ES"/>
        </w:rPr>
        <w:t xml:space="preserve"> y estadísticamente significativa entre la edad y la puntuación en la escala total</w:t>
      </w:r>
      <w:r w:rsidR="00253B73">
        <w:rPr>
          <w:lang w:val="es-ES"/>
        </w:rPr>
        <w:t xml:space="preserve"> (</w:t>
      </w:r>
      <w:r w:rsidR="00253B73" w:rsidRPr="007F51BD">
        <w:rPr>
          <w:i/>
          <w:iCs/>
          <w:lang w:val="es-ES"/>
        </w:rPr>
        <w:t>r</w:t>
      </w:r>
      <w:r w:rsidR="00253B73" w:rsidRPr="007F51BD">
        <w:rPr>
          <w:lang w:val="es-ES"/>
        </w:rPr>
        <w:t xml:space="preserve"> = -.</w:t>
      </w:r>
      <w:r w:rsidR="00253B73">
        <w:rPr>
          <w:lang w:val="es-ES"/>
        </w:rPr>
        <w:t>156</w:t>
      </w:r>
      <w:r w:rsidR="00253B73" w:rsidRPr="007F51BD">
        <w:rPr>
          <w:lang w:val="es-ES"/>
        </w:rPr>
        <w:t xml:space="preserve">, </w:t>
      </w:r>
      <w:r w:rsidR="00253B73" w:rsidRPr="007F51BD">
        <w:rPr>
          <w:i/>
          <w:iCs/>
          <w:lang w:val="es-ES"/>
        </w:rPr>
        <w:t>p</w:t>
      </w:r>
      <w:r w:rsidR="00253B73" w:rsidRPr="007F51BD">
        <w:rPr>
          <w:lang w:val="es-ES"/>
        </w:rPr>
        <w:t xml:space="preserve"> =</w:t>
      </w:r>
      <w:r w:rsidR="00253B73">
        <w:rPr>
          <w:lang w:val="es-ES"/>
        </w:rPr>
        <w:t xml:space="preserve"> </w:t>
      </w:r>
      <w:r w:rsidR="00253B73" w:rsidRPr="007F51BD">
        <w:rPr>
          <w:lang w:val="es-ES"/>
        </w:rPr>
        <w:t>.0</w:t>
      </w:r>
      <w:r w:rsidR="00253B73">
        <w:rPr>
          <w:lang w:val="es-ES"/>
        </w:rPr>
        <w:t>18)</w:t>
      </w:r>
      <w:r>
        <w:rPr>
          <w:lang w:val="es-ES"/>
        </w:rPr>
        <w:t xml:space="preserve"> y con </w:t>
      </w:r>
      <w:r w:rsidR="00253B73" w:rsidRPr="007F51BD">
        <w:rPr>
          <w:lang w:val="es-ES"/>
        </w:rPr>
        <w:t>la</w:t>
      </w:r>
      <w:r w:rsidR="00253B73">
        <w:rPr>
          <w:lang w:val="es-ES"/>
        </w:rPr>
        <w:t>s</w:t>
      </w:r>
      <w:r w:rsidR="00253B73" w:rsidRPr="007F51BD">
        <w:rPr>
          <w:lang w:val="es-ES"/>
        </w:rPr>
        <w:t xml:space="preserve"> </w:t>
      </w:r>
      <w:r w:rsidR="00253B73">
        <w:rPr>
          <w:lang w:val="es-ES"/>
        </w:rPr>
        <w:t>subescalas</w:t>
      </w:r>
      <w:r>
        <w:rPr>
          <w:lang w:val="es-ES"/>
        </w:rPr>
        <w:t>:</w:t>
      </w:r>
      <w:r w:rsidR="00253B73">
        <w:rPr>
          <w:lang w:val="es-ES"/>
        </w:rPr>
        <w:t xml:space="preserve"> </w:t>
      </w:r>
      <w:r>
        <w:rPr>
          <w:lang w:val="es-ES"/>
        </w:rPr>
        <w:t>e</w:t>
      </w:r>
      <w:r w:rsidR="00253B73">
        <w:rPr>
          <w:lang w:val="es-ES"/>
        </w:rPr>
        <w:t>stereotipar a persona ateas (</w:t>
      </w:r>
      <w:r w:rsidR="00253B73" w:rsidRPr="00C56316">
        <w:rPr>
          <w:i/>
          <w:iCs/>
          <w:lang w:val="es-ES"/>
        </w:rPr>
        <w:t>r</w:t>
      </w:r>
      <w:r w:rsidR="00253B73">
        <w:rPr>
          <w:lang w:val="es-ES"/>
        </w:rPr>
        <w:t xml:space="preserve"> = -.160,</w:t>
      </w:r>
      <w:r w:rsidR="00253B73" w:rsidRPr="00C56316">
        <w:rPr>
          <w:i/>
          <w:iCs/>
          <w:lang w:val="es-ES"/>
        </w:rPr>
        <w:t xml:space="preserve"> p</w:t>
      </w:r>
      <w:r w:rsidR="00253B73">
        <w:rPr>
          <w:lang w:val="es-ES"/>
        </w:rPr>
        <w:t xml:space="preserve"> =.016) y </w:t>
      </w:r>
      <w:r>
        <w:rPr>
          <w:lang w:val="es-ES"/>
        </w:rPr>
        <w:t>n</w:t>
      </w:r>
      <w:r w:rsidR="00253B73">
        <w:rPr>
          <w:lang w:val="es-ES"/>
        </w:rPr>
        <w:t>egación de la individualidad ateísta (</w:t>
      </w:r>
      <w:r w:rsidR="00253B73" w:rsidRPr="00C56316">
        <w:rPr>
          <w:i/>
          <w:iCs/>
          <w:lang w:val="es-ES"/>
        </w:rPr>
        <w:t>r</w:t>
      </w:r>
      <w:r w:rsidR="00253B73">
        <w:rPr>
          <w:lang w:val="es-ES"/>
        </w:rPr>
        <w:t xml:space="preserve"> = -.177, </w:t>
      </w:r>
      <w:r w:rsidR="00253B73" w:rsidRPr="00C56316">
        <w:rPr>
          <w:i/>
          <w:iCs/>
          <w:lang w:val="es-ES"/>
        </w:rPr>
        <w:t>p</w:t>
      </w:r>
      <w:r w:rsidR="00253B73">
        <w:rPr>
          <w:i/>
          <w:iCs/>
          <w:lang w:val="es-ES"/>
        </w:rPr>
        <w:t xml:space="preserve"> </w:t>
      </w:r>
      <w:r w:rsidR="00253B73">
        <w:rPr>
          <w:lang w:val="es-ES"/>
        </w:rPr>
        <w:t>= .007). Para más información, véase la Tabla 3.</w:t>
      </w:r>
      <w:r w:rsidR="004A261A">
        <w:rPr>
          <w:b/>
          <w:bCs/>
          <w:i/>
          <w:iCs/>
          <w:lang w:val="es-ES"/>
        </w:rPr>
        <w:t xml:space="preserve"> </w:t>
      </w:r>
      <w:r w:rsidR="004A261A">
        <w:rPr>
          <w:lang w:val="es-ES"/>
        </w:rPr>
        <w:t>Con respecto a los años de identificación ateístas,</w:t>
      </w:r>
      <w:r w:rsidR="00253B73">
        <w:rPr>
          <w:lang w:val="es-ES"/>
        </w:rPr>
        <w:t xml:space="preserve"> no </w:t>
      </w:r>
      <w:r w:rsidR="004A261A">
        <w:rPr>
          <w:lang w:val="es-ES"/>
        </w:rPr>
        <w:t>hubo</w:t>
      </w:r>
      <w:r w:rsidR="00253B73">
        <w:rPr>
          <w:lang w:val="es-ES"/>
        </w:rPr>
        <w:t xml:space="preserve"> </w:t>
      </w:r>
      <w:r w:rsidR="004A261A">
        <w:rPr>
          <w:lang w:val="es-ES"/>
        </w:rPr>
        <w:t xml:space="preserve">asociaciones </w:t>
      </w:r>
      <w:r w:rsidR="00253B73">
        <w:rPr>
          <w:lang w:val="es-ES"/>
        </w:rPr>
        <w:t>significativa</w:t>
      </w:r>
      <w:r w:rsidR="004A261A">
        <w:rPr>
          <w:lang w:val="es-ES"/>
        </w:rPr>
        <w:t>s</w:t>
      </w:r>
      <w:r w:rsidR="00253B73">
        <w:rPr>
          <w:lang w:val="es-ES"/>
        </w:rPr>
        <w:t xml:space="preserve"> entre con la escala total de la EMPA (</w:t>
      </w:r>
      <w:r w:rsidR="00253B73">
        <w:rPr>
          <w:lang w:val="es-ES"/>
        </w:rPr>
        <w:softHyphen/>
      </w:r>
      <w:r w:rsidR="00253B73" w:rsidRPr="00274557">
        <w:rPr>
          <w:i/>
          <w:iCs/>
          <w:lang w:val="es-ES"/>
        </w:rPr>
        <w:t>r</w:t>
      </w:r>
      <w:r w:rsidR="00253B73">
        <w:rPr>
          <w:lang w:val="es-ES"/>
        </w:rPr>
        <w:t xml:space="preserve">= -.046, </w:t>
      </w:r>
      <w:r w:rsidR="00253B73" w:rsidRPr="00274557">
        <w:rPr>
          <w:i/>
          <w:iCs/>
          <w:lang w:val="es-ES"/>
        </w:rPr>
        <w:t>p</w:t>
      </w:r>
      <w:r w:rsidR="00253B73">
        <w:rPr>
          <w:lang w:val="es-ES"/>
        </w:rPr>
        <w:t xml:space="preserve">=.491). </w:t>
      </w:r>
      <w:r w:rsidR="004A261A">
        <w:rPr>
          <w:lang w:val="es-ES"/>
        </w:rPr>
        <w:t>En términos de la escolaridad</w:t>
      </w:r>
      <w:r w:rsidR="00253B73">
        <w:rPr>
          <w:lang w:val="es-ES"/>
        </w:rPr>
        <w:t xml:space="preserve">, realizamos </w:t>
      </w:r>
      <w:r w:rsidR="00253B73" w:rsidRPr="007F51BD">
        <w:rPr>
          <w:lang w:val="es-ES"/>
        </w:rPr>
        <w:t>un análisis de correlación no paramétric</w:t>
      </w:r>
      <w:r w:rsidR="00253B73">
        <w:rPr>
          <w:lang w:val="es-ES"/>
        </w:rPr>
        <w:t>o</w:t>
      </w:r>
      <w:r w:rsidR="00253B73" w:rsidRPr="00832DB1">
        <w:rPr>
          <w:lang w:val="es-ES"/>
        </w:rPr>
        <w:t xml:space="preserve"> de Kendall-tau (</w:t>
      </w:r>
      <w:proofErr w:type="spellStart"/>
      <w:r w:rsidR="00253B73" w:rsidRPr="00C56316">
        <w:rPr>
          <w:i/>
          <w:iCs/>
          <w:lang w:val="es-ES"/>
        </w:rPr>
        <w:t>rb</w:t>
      </w:r>
      <w:proofErr w:type="spellEnd"/>
      <w:r w:rsidR="00253B73" w:rsidRPr="00832DB1">
        <w:rPr>
          <w:lang w:val="es-ES"/>
        </w:rPr>
        <w:t>)</w:t>
      </w:r>
      <w:r w:rsidR="004A261A">
        <w:rPr>
          <w:lang w:val="es-ES"/>
        </w:rPr>
        <w:t xml:space="preserve"> donde sólo encontramos una relación negativa, baja y estadísticamente significativa con la subescala Estereotipar a personas ateas</w:t>
      </w:r>
      <w:r w:rsidR="004A261A" w:rsidRPr="000700A0">
        <w:rPr>
          <w:lang w:val="es-ES"/>
        </w:rPr>
        <w:t xml:space="preserve"> </w:t>
      </w:r>
      <w:r w:rsidR="004A261A">
        <w:rPr>
          <w:lang w:val="es-ES"/>
        </w:rPr>
        <w:t>(</w:t>
      </w:r>
      <w:proofErr w:type="spellStart"/>
      <w:r w:rsidR="004A261A" w:rsidRPr="00274557">
        <w:rPr>
          <w:i/>
          <w:iCs/>
          <w:lang w:val="es-ES"/>
        </w:rPr>
        <w:t>rb</w:t>
      </w:r>
      <w:proofErr w:type="spellEnd"/>
      <w:r w:rsidR="004A261A">
        <w:rPr>
          <w:lang w:val="es-ES"/>
        </w:rPr>
        <w:t xml:space="preserve"> = -.103, </w:t>
      </w:r>
      <w:r w:rsidR="004A261A" w:rsidRPr="00C56316">
        <w:rPr>
          <w:i/>
          <w:iCs/>
          <w:lang w:val="es-ES"/>
        </w:rPr>
        <w:t>p</w:t>
      </w:r>
      <w:r w:rsidR="004A261A">
        <w:rPr>
          <w:lang w:val="es-ES"/>
        </w:rPr>
        <w:t xml:space="preserve"> = .040)</w:t>
      </w:r>
      <w:r w:rsidR="003925AF">
        <w:rPr>
          <w:lang w:val="es-ES"/>
        </w:rPr>
        <w:t>.</w:t>
      </w:r>
      <w:r w:rsidR="008472E5">
        <w:rPr>
          <w:lang w:val="es-ES"/>
        </w:rPr>
        <w:t xml:space="preserve"> </w:t>
      </w:r>
      <w:r w:rsidR="003925AF">
        <w:rPr>
          <w:lang w:val="es-ES"/>
        </w:rPr>
        <w:t>V</w:t>
      </w:r>
      <w:r w:rsidR="008472E5">
        <w:rPr>
          <w:lang w:val="es-ES"/>
        </w:rPr>
        <w:t>éase la Tabla 3.</w:t>
      </w:r>
    </w:p>
    <w:p w14:paraId="7F985F88" w14:textId="77777777" w:rsidR="008472E5" w:rsidRPr="00D57780" w:rsidRDefault="008472E5" w:rsidP="008472E5">
      <w:pPr>
        <w:spacing w:line="360" w:lineRule="auto"/>
        <w:jc w:val="both"/>
        <w:rPr>
          <w:b/>
          <w:bCs/>
          <w:i/>
          <w:iCs/>
          <w:lang w:val="es-ES"/>
        </w:rPr>
      </w:pPr>
      <w:r w:rsidRPr="00D57780">
        <w:rPr>
          <w:b/>
          <w:bCs/>
          <w:i/>
          <w:iCs/>
          <w:lang w:val="es-ES"/>
        </w:rPr>
        <w:t xml:space="preserve">Coeficiente de consistencia interna </w:t>
      </w:r>
      <w:r>
        <w:rPr>
          <w:b/>
          <w:bCs/>
          <w:i/>
          <w:iCs/>
          <w:lang w:val="es-ES"/>
        </w:rPr>
        <w:t>A</w:t>
      </w:r>
      <w:r w:rsidRPr="00D57780">
        <w:rPr>
          <w:b/>
          <w:bCs/>
          <w:i/>
          <w:iCs/>
          <w:lang w:val="es-ES"/>
        </w:rPr>
        <w:t>lfa de Cronbach de la EMPA</w:t>
      </w:r>
    </w:p>
    <w:p w14:paraId="0415C372" w14:textId="2D2EF2D8" w:rsidR="003925AF" w:rsidRDefault="008472E5" w:rsidP="00717D13">
      <w:pPr>
        <w:spacing w:line="360" w:lineRule="auto"/>
        <w:jc w:val="both"/>
        <w:rPr>
          <w:lang w:val="es-ES"/>
        </w:rPr>
      </w:pPr>
      <w:r w:rsidRPr="0044670C">
        <w:rPr>
          <w:lang w:val="es-ES"/>
        </w:rPr>
        <w:tab/>
        <w:t>Los coeficientes de confiabilidad de la EMPA van de .</w:t>
      </w:r>
      <w:r>
        <w:rPr>
          <w:lang w:val="es-ES"/>
        </w:rPr>
        <w:t>89</w:t>
      </w:r>
      <w:r w:rsidRPr="0044670C">
        <w:rPr>
          <w:lang w:val="es-ES"/>
        </w:rPr>
        <w:t xml:space="preserve"> a .9</w:t>
      </w:r>
      <w:r>
        <w:rPr>
          <w:lang w:val="es-ES"/>
        </w:rPr>
        <w:t>6</w:t>
      </w:r>
      <w:r w:rsidRPr="0044670C">
        <w:rPr>
          <w:lang w:val="es-ES"/>
        </w:rPr>
        <w:t xml:space="preserve">, ubicando la confiabilidad de la escala entre buena a sumamente confiable. A su vez, </w:t>
      </w:r>
      <w:r>
        <w:rPr>
          <w:lang w:val="es-ES"/>
        </w:rPr>
        <w:t>evaluamos</w:t>
      </w:r>
      <w:r w:rsidRPr="0044670C">
        <w:rPr>
          <w:lang w:val="es-ES"/>
        </w:rPr>
        <w:t xml:space="preserve"> el coeficiente de consistencia interna de </w:t>
      </w:r>
      <w:r>
        <w:rPr>
          <w:lang w:val="es-ES"/>
        </w:rPr>
        <w:t>a</w:t>
      </w:r>
      <w:r w:rsidRPr="0044670C">
        <w:rPr>
          <w:lang w:val="es-ES"/>
        </w:rPr>
        <w:t xml:space="preserve">lfa de Cronbach de </w:t>
      </w:r>
      <w:r>
        <w:rPr>
          <w:lang w:val="es-ES"/>
        </w:rPr>
        <w:t>sus</w:t>
      </w:r>
      <w:r w:rsidRPr="0044670C">
        <w:rPr>
          <w:lang w:val="es-ES"/>
        </w:rPr>
        <w:t xml:space="preserve"> respectiv</w:t>
      </w:r>
      <w:r>
        <w:rPr>
          <w:lang w:val="es-ES"/>
        </w:rPr>
        <w:t>as</w:t>
      </w:r>
      <w:r w:rsidRPr="0044670C">
        <w:rPr>
          <w:lang w:val="es-ES"/>
        </w:rPr>
        <w:t xml:space="preserve"> </w:t>
      </w:r>
      <w:r>
        <w:rPr>
          <w:lang w:val="es-ES"/>
        </w:rPr>
        <w:t>subescalas</w:t>
      </w:r>
      <w:r w:rsidRPr="0044670C">
        <w:rPr>
          <w:lang w:val="es-ES"/>
        </w:rPr>
        <w:t xml:space="preserve">. Por lo cual, se observó que el índice de confiabilidad de la subescala </w:t>
      </w:r>
      <w:r>
        <w:rPr>
          <w:lang w:val="es-ES"/>
        </w:rPr>
        <w:t>Estereotipar a personas ateas</w:t>
      </w:r>
      <w:r w:rsidRPr="0044670C">
        <w:rPr>
          <w:lang w:val="es-ES"/>
        </w:rPr>
        <w:t xml:space="preserve"> fue .9</w:t>
      </w:r>
      <w:r>
        <w:rPr>
          <w:lang w:val="es-ES"/>
        </w:rPr>
        <w:t>4</w:t>
      </w:r>
      <w:r w:rsidRPr="0044670C">
        <w:rPr>
          <w:lang w:val="es-ES"/>
        </w:rPr>
        <w:t>, mientras que la confiabilidad de</w:t>
      </w:r>
      <w:r>
        <w:rPr>
          <w:lang w:val="es-ES"/>
        </w:rPr>
        <w:t xml:space="preserve"> la subescala</w:t>
      </w:r>
      <w:r w:rsidRPr="0044670C">
        <w:rPr>
          <w:lang w:val="es-ES"/>
        </w:rPr>
        <w:t xml:space="preserve"> </w:t>
      </w:r>
      <w:r>
        <w:rPr>
          <w:lang w:val="es-ES"/>
        </w:rPr>
        <w:t>Degradación de la identidad ateísta</w:t>
      </w:r>
      <w:r w:rsidRPr="0044670C">
        <w:rPr>
          <w:lang w:val="es-ES"/>
        </w:rPr>
        <w:t xml:space="preserve"> fue .</w:t>
      </w:r>
      <w:r>
        <w:rPr>
          <w:lang w:val="es-ES"/>
        </w:rPr>
        <w:t xml:space="preserve">94 y la confiabilidad de la subescala Negación de la individualidad ateísta fue .89. Véase </w:t>
      </w:r>
      <w:r w:rsidRPr="0044670C">
        <w:rPr>
          <w:lang w:val="es-ES"/>
        </w:rPr>
        <w:t xml:space="preserve">la Tabla </w:t>
      </w:r>
      <w:r>
        <w:rPr>
          <w:lang w:val="es-ES"/>
        </w:rPr>
        <w:t>3</w:t>
      </w:r>
      <w:r w:rsidRPr="0044670C">
        <w:rPr>
          <w:lang w:val="es-ES"/>
        </w:rPr>
        <w:t>.</w:t>
      </w:r>
      <w:r>
        <w:rPr>
          <w:lang w:val="es-ES"/>
        </w:rPr>
        <w:t xml:space="preserve"> </w:t>
      </w:r>
    </w:p>
    <w:p w14:paraId="4608A8BA" w14:textId="77777777" w:rsidR="00253B73" w:rsidRPr="0044670C" w:rsidRDefault="00253B73" w:rsidP="00253B73">
      <w:pPr>
        <w:spacing w:line="360" w:lineRule="auto"/>
        <w:jc w:val="both"/>
        <w:rPr>
          <w:b/>
          <w:bCs/>
          <w:lang w:val="es-ES"/>
        </w:rPr>
      </w:pPr>
      <w:r w:rsidRPr="00441D67">
        <w:rPr>
          <w:b/>
          <w:bCs/>
          <w:lang w:val="es-ES"/>
        </w:rPr>
        <w:t>Tabla 3</w:t>
      </w:r>
    </w:p>
    <w:p w14:paraId="295FEE1E" w14:textId="13A7E45E" w:rsidR="00441D67" w:rsidRPr="00441D67" w:rsidRDefault="00253B73" w:rsidP="00253B73">
      <w:pPr>
        <w:spacing w:line="360" w:lineRule="auto"/>
        <w:jc w:val="both"/>
        <w:rPr>
          <w:i/>
          <w:iCs/>
          <w:lang w:val="es-ES"/>
        </w:rPr>
      </w:pPr>
      <w:r w:rsidRPr="0044670C">
        <w:rPr>
          <w:i/>
          <w:iCs/>
          <w:lang w:val="es-ES"/>
        </w:rPr>
        <w:t xml:space="preserve"> </w:t>
      </w:r>
      <w:r w:rsidRPr="008B5C7C">
        <w:rPr>
          <w:i/>
          <w:iCs/>
          <w:lang w:val="es-ES"/>
        </w:rPr>
        <w:t>Matrix de Correlación Producto Momento Pearson entre variables sociodemográficas, EMPA Total y Subescalas</w:t>
      </w:r>
      <w:r w:rsidR="003925AF" w:rsidRPr="0044670C" w:rsidDel="003925AF">
        <w:rPr>
          <w:i/>
          <w:iCs/>
          <w:lang w:val="es-ES"/>
        </w:rPr>
        <w:t xml:space="preserve"> </w:t>
      </w:r>
    </w:p>
    <w:tbl>
      <w:tblPr>
        <w:tblStyle w:val="TableGrid"/>
        <w:tblW w:w="8725" w:type="dxa"/>
        <w:tblBorders>
          <w:left w:val="single" w:sz="4" w:space="0" w:color="FFFFFF"/>
          <w:right w:val="single" w:sz="4" w:space="0" w:color="FFFFFF"/>
          <w:insideH w:val="none" w:sz="0" w:space="0" w:color="auto"/>
          <w:insideV w:val="single" w:sz="4" w:space="0" w:color="FFFFFF"/>
        </w:tblBorders>
        <w:tblLook w:val="04A0" w:firstRow="1" w:lastRow="0" w:firstColumn="1" w:lastColumn="0" w:noHBand="0" w:noVBand="1"/>
      </w:tblPr>
      <w:tblGrid>
        <w:gridCol w:w="1732"/>
        <w:gridCol w:w="1463"/>
        <w:gridCol w:w="940"/>
        <w:gridCol w:w="900"/>
        <w:gridCol w:w="900"/>
        <w:gridCol w:w="990"/>
        <w:gridCol w:w="900"/>
        <w:gridCol w:w="900"/>
      </w:tblGrid>
      <w:tr w:rsidR="0016459B" w:rsidRPr="003448C6" w14:paraId="639B561E" w14:textId="77777777" w:rsidTr="006A35F1">
        <w:trPr>
          <w:tblHeader/>
        </w:trPr>
        <w:tc>
          <w:tcPr>
            <w:tcW w:w="1732" w:type="dxa"/>
            <w:tcBorders>
              <w:top w:val="single" w:sz="4" w:space="0" w:color="auto"/>
              <w:bottom w:val="single" w:sz="4" w:space="0" w:color="auto"/>
            </w:tcBorders>
          </w:tcPr>
          <w:p w14:paraId="106F57FD" w14:textId="77777777" w:rsidR="0016459B" w:rsidRPr="003448C6" w:rsidRDefault="0016459B" w:rsidP="00441D67">
            <w:pPr>
              <w:rPr>
                <w:lang w:val="es-ES"/>
              </w:rPr>
            </w:pPr>
            <w:r w:rsidRPr="003448C6">
              <w:rPr>
                <w:lang w:val="es-ES"/>
              </w:rPr>
              <w:lastRenderedPageBreak/>
              <w:t>Variable</w:t>
            </w:r>
          </w:p>
        </w:tc>
        <w:tc>
          <w:tcPr>
            <w:tcW w:w="1463" w:type="dxa"/>
            <w:tcBorders>
              <w:top w:val="single" w:sz="4" w:space="0" w:color="auto"/>
              <w:bottom w:val="single" w:sz="4" w:space="0" w:color="auto"/>
            </w:tcBorders>
          </w:tcPr>
          <w:p w14:paraId="1A8F4666" w14:textId="77777777" w:rsidR="0016459B" w:rsidRPr="003448C6" w:rsidRDefault="0016459B" w:rsidP="00441D67">
            <w:pPr>
              <w:jc w:val="center"/>
              <w:rPr>
                <w:lang w:val="es-ES"/>
              </w:rPr>
            </w:pPr>
            <w:r w:rsidRPr="003448C6">
              <w:rPr>
                <w:lang w:val="es-ES"/>
              </w:rPr>
              <w:t>Media (DE)</w:t>
            </w:r>
          </w:p>
        </w:tc>
        <w:tc>
          <w:tcPr>
            <w:tcW w:w="940" w:type="dxa"/>
            <w:tcBorders>
              <w:top w:val="single" w:sz="4" w:space="0" w:color="auto"/>
              <w:bottom w:val="single" w:sz="4" w:space="0" w:color="auto"/>
            </w:tcBorders>
          </w:tcPr>
          <w:p w14:paraId="058C8775" w14:textId="77777777" w:rsidR="0016459B" w:rsidRPr="003448C6" w:rsidRDefault="0016459B" w:rsidP="00441D67">
            <w:pPr>
              <w:jc w:val="center"/>
              <w:rPr>
                <w:lang w:val="es-ES"/>
              </w:rPr>
            </w:pPr>
            <w:r w:rsidRPr="003448C6">
              <w:rPr>
                <w:lang w:val="es-ES"/>
              </w:rPr>
              <w:t>a</w:t>
            </w:r>
          </w:p>
        </w:tc>
        <w:tc>
          <w:tcPr>
            <w:tcW w:w="900" w:type="dxa"/>
            <w:tcBorders>
              <w:top w:val="single" w:sz="4" w:space="0" w:color="auto"/>
              <w:bottom w:val="single" w:sz="4" w:space="0" w:color="auto"/>
            </w:tcBorders>
          </w:tcPr>
          <w:p w14:paraId="455E4373" w14:textId="2AF0B77A" w:rsidR="0016459B" w:rsidRPr="003448C6" w:rsidRDefault="0016459B" w:rsidP="00441D67">
            <w:pPr>
              <w:jc w:val="center"/>
              <w:rPr>
                <w:lang w:val="es-ES"/>
              </w:rPr>
            </w:pPr>
            <w:r>
              <w:rPr>
                <w:lang w:val="es-ES"/>
              </w:rPr>
              <w:t>b</w:t>
            </w:r>
          </w:p>
        </w:tc>
        <w:tc>
          <w:tcPr>
            <w:tcW w:w="900" w:type="dxa"/>
            <w:tcBorders>
              <w:top w:val="single" w:sz="4" w:space="0" w:color="auto"/>
              <w:bottom w:val="single" w:sz="4" w:space="0" w:color="auto"/>
            </w:tcBorders>
          </w:tcPr>
          <w:p w14:paraId="4C4E7E99" w14:textId="77777777" w:rsidR="0016459B" w:rsidRPr="003448C6" w:rsidRDefault="0016459B" w:rsidP="00441D67">
            <w:pPr>
              <w:jc w:val="center"/>
              <w:rPr>
                <w:lang w:val="es-ES"/>
              </w:rPr>
            </w:pPr>
            <w:r w:rsidRPr="003448C6">
              <w:rPr>
                <w:lang w:val="es-ES"/>
              </w:rPr>
              <w:t>1</w:t>
            </w:r>
          </w:p>
        </w:tc>
        <w:tc>
          <w:tcPr>
            <w:tcW w:w="990" w:type="dxa"/>
            <w:tcBorders>
              <w:top w:val="single" w:sz="4" w:space="0" w:color="auto"/>
              <w:bottom w:val="single" w:sz="4" w:space="0" w:color="auto"/>
            </w:tcBorders>
          </w:tcPr>
          <w:p w14:paraId="7A5B9C07" w14:textId="77777777" w:rsidR="0016459B" w:rsidRPr="003448C6" w:rsidRDefault="0016459B" w:rsidP="00441D67">
            <w:pPr>
              <w:jc w:val="center"/>
              <w:rPr>
                <w:lang w:val="es-ES"/>
              </w:rPr>
            </w:pPr>
            <w:r w:rsidRPr="003448C6">
              <w:rPr>
                <w:lang w:val="es-ES"/>
              </w:rPr>
              <w:t>2</w:t>
            </w:r>
          </w:p>
        </w:tc>
        <w:tc>
          <w:tcPr>
            <w:tcW w:w="900" w:type="dxa"/>
            <w:tcBorders>
              <w:top w:val="single" w:sz="4" w:space="0" w:color="auto"/>
              <w:bottom w:val="single" w:sz="4" w:space="0" w:color="auto"/>
            </w:tcBorders>
          </w:tcPr>
          <w:p w14:paraId="277DC0B1" w14:textId="77777777" w:rsidR="0016459B" w:rsidRPr="003448C6" w:rsidRDefault="0016459B" w:rsidP="00441D67">
            <w:pPr>
              <w:jc w:val="center"/>
              <w:rPr>
                <w:lang w:val="es-ES"/>
              </w:rPr>
            </w:pPr>
            <w:r w:rsidRPr="003448C6">
              <w:rPr>
                <w:lang w:val="es-ES"/>
              </w:rPr>
              <w:t>3</w:t>
            </w:r>
          </w:p>
        </w:tc>
        <w:tc>
          <w:tcPr>
            <w:tcW w:w="900" w:type="dxa"/>
            <w:tcBorders>
              <w:top w:val="single" w:sz="4" w:space="0" w:color="auto"/>
              <w:bottom w:val="single" w:sz="4" w:space="0" w:color="auto"/>
            </w:tcBorders>
          </w:tcPr>
          <w:p w14:paraId="1E55FB6D" w14:textId="77777777" w:rsidR="0016459B" w:rsidRPr="003448C6" w:rsidRDefault="0016459B" w:rsidP="00441D67">
            <w:pPr>
              <w:jc w:val="center"/>
              <w:rPr>
                <w:lang w:val="es-ES"/>
              </w:rPr>
            </w:pPr>
            <w:r w:rsidRPr="003448C6">
              <w:rPr>
                <w:lang w:val="es-ES"/>
              </w:rPr>
              <w:t>4</w:t>
            </w:r>
          </w:p>
        </w:tc>
      </w:tr>
      <w:tr w:rsidR="0016459B" w:rsidRPr="003448C6" w14:paraId="553DBF2B" w14:textId="77777777" w:rsidTr="006A35F1">
        <w:trPr>
          <w:tblHeader/>
        </w:trPr>
        <w:tc>
          <w:tcPr>
            <w:tcW w:w="1732" w:type="dxa"/>
            <w:tcBorders>
              <w:top w:val="single" w:sz="4" w:space="0" w:color="auto"/>
              <w:bottom w:val="nil"/>
            </w:tcBorders>
          </w:tcPr>
          <w:p w14:paraId="5943AEB7" w14:textId="77777777" w:rsidR="0016459B" w:rsidRPr="003448C6" w:rsidRDefault="0016459B" w:rsidP="00441D67">
            <w:pPr>
              <w:pStyle w:val="ListParagraph"/>
              <w:numPr>
                <w:ilvl w:val="0"/>
                <w:numId w:val="13"/>
              </w:numPr>
              <w:ind w:left="306" w:hanging="284"/>
              <w:rPr>
                <w:rFonts w:ascii="Times New Roman" w:hAnsi="Times New Roman" w:cs="Times New Roman"/>
                <w:lang w:val="es-ES"/>
              </w:rPr>
            </w:pPr>
            <w:r w:rsidRPr="003448C6">
              <w:rPr>
                <w:rFonts w:ascii="Times New Roman" w:hAnsi="Times New Roman" w:cs="Times New Roman"/>
                <w:lang w:val="es-ES"/>
              </w:rPr>
              <w:t>Edad</w:t>
            </w:r>
          </w:p>
        </w:tc>
        <w:tc>
          <w:tcPr>
            <w:tcW w:w="1463" w:type="dxa"/>
            <w:tcBorders>
              <w:top w:val="single" w:sz="4" w:space="0" w:color="auto"/>
              <w:bottom w:val="nil"/>
            </w:tcBorders>
          </w:tcPr>
          <w:p w14:paraId="149278F3" w14:textId="77777777" w:rsidR="0016459B" w:rsidRPr="003448C6" w:rsidRDefault="0016459B" w:rsidP="00441D67">
            <w:pPr>
              <w:jc w:val="center"/>
              <w:rPr>
                <w:lang w:val="es-ES"/>
              </w:rPr>
            </w:pPr>
            <w:r w:rsidRPr="003448C6">
              <w:rPr>
                <w:lang w:val="es-ES"/>
              </w:rPr>
              <w:t>36.41(10.48)</w:t>
            </w:r>
          </w:p>
        </w:tc>
        <w:tc>
          <w:tcPr>
            <w:tcW w:w="940" w:type="dxa"/>
            <w:tcBorders>
              <w:top w:val="single" w:sz="4" w:space="0" w:color="auto"/>
              <w:bottom w:val="nil"/>
            </w:tcBorders>
          </w:tcPr>
          <w:p w14:paraId="5236CD48" w14:textId="77777777" w:rsidR="0016459B" w:rsidRPr="003448C6" w:rsidRDefault="0016459B" w:rsidP="00441D67">
            <w:pPr>
              <w:jc w:val="center"/>
              <w:rPr>
                <w:lang w:val="es-ES"/>
              </w:rPr>
            </w:pPr>
            <w:r>
              <w:rPr>
                <w:lang w:val="es-ES"/>
              </w:rPr>
              <w:t>1</w:t>
            </w:r>
          </w:p>
        </w:tc>
        <w:tc>
          <w:tcPr>
            <w:tcW w:w="900" w:type="dxa"/>
            <w:tcBorders>
              <w:top w:val="single" w:sz="4" w:space="0" w:color="auto"/>
              <w:bottom w:val="nil"/>
            </w:tcBorders>
          </w:tcPr>
          <w:p w14:paraId="6955A013" w14:textId="77777777" w:rsidR="0016459B" w:rsidRPr="003448C6" w:rsidRDefault="0016459B" w:rsidP="00441D67">
            <w:pPr>
              <w:jc w:val="center"/>
              <w:rPr>
                <w:lang w:val="es-ES"/>
              </w:rPr>
            </w:pPr>
          </w:p>
        </w:tc>
        <w:tc>
          <w:tcPr>
            <w:tcW w:w="900" w:type="dxa"/>
            <w:tcBorders>
              <w:top w:val="single" w:sz="4" w:space="0" w:color="auto"/>
              <w:bottom w:val="nil"/>
            </w:tcBorders>
          </w:tcPr>
          <w:p w14:paraId="14EAF00B" w14:textId="77777777" w:rsidR="0016459B" w:rsidRPr="003448C6" w:rsidRDefault="0016459B" w:rsidP="00441D67">
            <w:pPr>
              <w:jc w:val="center"/>
              <w:rPr>
                <w:lang w:val="es-ES"/>
              </w:rPr>
            </w:pPr>
            <w:r w:rsidRPr="003448C6">
              <w:rPr>
                <w:lang w:val="es-ES"/>
              </w:rPr>
              <w:t>-.156*</w:t>
            </w:r>
          </w:p>
        </w:tc>
        <w:tc>
          <w:tcPr>
            <w:tcW w:w="990" w:type="dxa"/>
            <w:tcBorders>
              <w:top w:val="single" w:sz="4" w:space="0" w:color="auto"/>
              <w:bottom w:val="nil"/>
            </w:tcBorders>
          </w:tcPr>
          <w:p w14:paraId="14078222" w14:textId="77777777" w:rsidR="0016459B" w:rsidRPr="003448C6" w:rsidRDefault="0016459B" w:rsidP="00441D67">
            <w:pPr>
              <w:jc w:val="center"/>
              <w:rPr>
                <w:lang w:val="es-ES"/>
              </w:rPr>
            </w:pPr>
            <w:r w:rsidRPr="003448C6">
              <w:rPr>
                <w:lang w:val="es-ES"/>
              </w:rPr>
              <w:t>-.160*</w:t>
            </w:r>
          </w:p>
        </w:tc>
        <w:tc>
          <w:tcPr>
            <w:tcW w:w="900" w:type="dxa"/>
            <w:tcBorders>
              <w:top w:val="single" w:sz="4" w:space="0" w:color="auto"/>
              <w:bottom w:val="nil"/>
            </w:tcBorders>
          </w:tcPr>
          <w:p w14:paraId="7F18054D" w14:textId="77777777" w:rsidR="0016459B" w:rsidRPr="003448C6" w:rsidRDefault="0016459B" w:rsidP="00441D67">
            <w:pPr>
              <w:jc w:val="center"/>
              <w:rPr>
                <w:lang w:val="es-ES"/>
              </w:rPr>
            </w:pPr>
            <w:r w:rsidRPr="003448C6">
              <w:rPr>
                <w:lang w:val="es-ES"/>
              </w:rPr>
              <w:t>-.079</w:t>
            </w:r>
          </w:p>
        </w:tc>
        <w:tc>
          <w:tcPr>
            <w:tcW w:w="900" w:type="dxa"/>
            <w:tcBorders>
              <w:top w:val="single" w:sz="4" w:space="0" w:color="auto"/>
              <w:bottom w:val="nil"/>
            </w:tcBorders>
          </w:tcPr>
          <w:p w14:paraId="57904897" w14:textId="77777777" w:rsidR="0016459B" w:rsidRPr="003448C6" w:rsidRDefault="0016459B" w:rsidP="00441D67">
            <w:pPr>
              <w:jc w:val="center"/>
              <w:rPr>
                <w:lang w:val="es-ES"/>
              </w:rPr>
            </w:pPr>
            <w:r w:rsidRPr="003448C6">
              <w:rPr>
                <w:lang w:val="es-ES"/>
              </w:rPr>
              <w:t>-.177**</w:t>
            </w:r>
          </w:p>
        </w:tc>
      </w:tr>
      <w:tr w:rsidR="0016459B" w:rsidRPr="003448C6" w14:paraId="1A4E6FF7" w14:textId="77777777" w:rsidTr="006A35F1">
        <w:trPr>
          <w:tblHeader/>
        </w:trPr>
        <w:tc>
          <w:tcPr>
            <w:tcW w:w="1732" w:type="dxa"/>
            <w:tcBorders>
              <w:top w:val="nil"/>
              <w:bottom w:val="nil"/>
            </w:tcBorders>
          </w:tcPr>
          <w:p w14:paraId="6A07E1CB" w14:textId="77777777" w:rsidR="0016459B" w:rsidRPr="003448C6" w:rsidRDefault="0016459B" w:rsidP="00441D67">
            <w:pPr>
              <w:pStyle w:val="ListParagraph"/>
              <w:numPr>
                <w:ilvl w:val="0"/>
                <w:numId w:val="13"/>
              </w:numPr>
              <w:ind w:left="306" w:hanging="284"/>
              <w:rPr>
                <w:rFonts w:ascii="Times New Roman" w:hAnsi="Times New Roman" w:cs="Times New Roman"/>
                <w:lang w:val="es-ES"/>
              </w:rPr>
            </w:pPr>
            <w:r w:rsidRPr="003448C6">
              <w:rPr>
                <w:rFonts w:ascii="Times New Roman" w:hAnsi="Times New Roman" w:cs="Times New Roman"/>
                <w:lang w:val="es-ES"/>
              </w:rPr>
              <w:t>Escolaridad</w:t>
            </w:r>
          </w:p>
        </w:tc>
        <w:tc>
          <w:tcPr>
            <w:tcW w:w="1463" w:type="dxa"/>
            <w:tcBorders>
              <w:top w:val="nil"/>
              <w:bottom w:val="nil"/>
            </w:tcBorders>
          </w:tcPr>
          <w:p w14:paraId="4B6E098E" w14:textId="77777777" w:rsidR="0016459B" w:rsidRPr="003448C6" w:rsidRDefault="0016459B" w:rsidP="00441D67">
            <w:pPr>
              <w:jc w:val="center"/>
              <w:rPr>
                <w:lang w:val="es-ES"/>
              </w:rPr>
            </w:pPr>
            <w:r w:rsidRPr="003448C6">
              <w:rPr>
                <w:lang w:val="es-ES"/>
              </w:rPr>
              <w:t>-</w:t>
            </w:r>
          </w:p>
        </w:tc>
        <w:tc>
          <w:tcPr>
            <w:tcW w:w="940" w:type="dxa"/>
            <w:tcBorders>
              <w:top w:val="nil"/>
              <w:bottom w:val="nil"/>
            </w:tcBorders>
          </w:tcPr>
          <w:p w14:paraId="57715A23" w14:textId="77777777" w:rsidR="0016459B" w:rsidRPr="003448C6" w:rsidRDefault="0016459B" w:rsidP="00441D67">
            <w:pPr>
              <w:jc w:val="center"/>
              <w:rPr>
                <w:lang w:val="es-ES"/>
              </w:rPr>
            </w:pPr>
          </w:p>
        </w:tc>
        <w:tc>
          <w:tcPr>
            <w:tcW w:w="900" w:type="dxa"/>
            <w:tcBorders>
              <w:top w:val="nil"/>
              <w:bottom w:val="nil"/>
            </w:tcBorders>
          </w:tcPr>
          <w:p w14:paraId="1DB39B64" w14:textId="77777777" w:rsidR="0016459B" w:rsidRPr="003448C6" w:rsidRDefault="0016459B" w:rsidP="00441D67">
            <w:pPr>
              <w:jc w:val="center"/>
              <w:rPr>
                <w:lang w:val="es-ES"/>
              </w:rPr>
            </w:pPr>
            <w:r>
              <w:rPr>
                <w:lang w:val="es-ES"/>
              </w:rPr>
              <w:t>1</w:t>
            </w:r>
          </w:p>
        </w:tc>
        <w:tc>
          <w:tcPr>
            <w:tcW w:w="900" w:type="dxa"/>
            <w:tcBorders>
              <w:top w:val="nil"/>
              <w:bottom w:val="nil"/>
            </w:tcBorders>
          </w:tcPr>
          <w:p w14:paraId="0E5D027B" w14:textId="77777777" w:rsidR="0016459B" w:rsidRPr="003448C6" w:rsidRDefault="0016459B" w:rsidP="00441D67">
            <w:pPr>
              <w:jc w:val="center"/>
              <w:rPr>
                <w:lang w:val="es-ES"/>
              </w:rPr>
            </w:pPr>
            <w:r w:rsidRPr="003448C6">
              <w:rPr>
                <w:lang w:val="es-ES"/>
              </w:rPr>
              <w:t>-.050</w:t>
            </w:r>
          </w:p>
        </w:tc>
        <w:tc>
          <w:tcPr>
            <w:tcW w:w="990" w:type="dxa"/>
            <w:tcBorders>
              <w:top w:val="nil"/>
              <w:bottom w:val="nil"/>
            </w:tcBorders>
          </w:tcPr>
          <w:p w14:paraId="2134D02C" w14:textId="77777777" w:rsidR="0016459B" w:rsidRPr="003448C6" w:rsidRDefault="0016459B" w:rsidP="00441D67">
            <w:pPr>
              <w:jc w:val="center"/>
              <w:rPr>
                <w:lang w:val="es-ES"/>
              </w:rPr>
            </w:pPr>
            <w:r w:rsidRPr="003448C6">
              <w:rPr>
                <w:lang w:val="es-ES"/>
              </w:rPr>
              <w:t>-.103*</w:t>
            </w:r>
          </w:p>
        </w:tc>
        <w:tc>
          <w:tcPr>
            <w:tcW w:w="900" w:type="dxa"/>
            <w:tcBorders>
              <w:top w:val="nil"/>
              <w:bottom w:val="nil"/>
            </w:tcBorders>
          </w:tcPr>
          <w:p w14:paraId="0222F743" w14:textId="77777777" w:rsidR="0016459B" w:rsidRPr="003448C6" w:rsidRDefault="0016459B" w:rsidP="00441D67">
            <w:pPr>
              <w:jc w:val="center"/>
              <w:rPr>
                <w:lang w:val="es-ES"/>
              </w:rPr>
            </w:pPr>
            <w:r w:rsidRPr="003448C6">
              <w:rPr>
                <w:lang w:val="es-ES"/>
              </w:rPr>
              <w:t>.014</w:t>
            </w:r>
          </w:p>
        </w:tc>
        <w:tc>
          <w:tcPr>
            <w:tcW w:w="900" w:type="dxa"/>
            <w:tcBorders>
              <w:top w:val="nil"/>
              <w:bottom w:val="nil"/>
            </w:tcBorders>
          </w:tcPr>
          <w:p w14:paraId="12747F90" w14:textId="77777777" w:rsidR="0016459B" w:rsidRPr="003448C6" w:rsidRDefault="0016459B" w:rsidP="00441D67">
            <w:pPr>
              <w:jc w:val="center"/>
              <w:rPr>
                <w:lang w:val="es-ES"/>
              </w:rPr>
            </w:pPr>
            <w:r w:rsidRPr="003448C6">
              <w:rPr>
                <w:lang w:val="es-ES"/>
              </w:rPr>
              <w:t>-.011</w:t>
            </w:r>
          </w:p>
        </w:tc>
      </w:tr>
      <w:tr w:rsidR="0016459B" w:rsidRPr="003448C6" w14:paraId="7588090F" w14:textId="77777777" w:rsidTr="006A35F1">
        <w:trPr>
          <w:trHeight w:val="246"/>
        </w:trPr>
        <w:tc>
          <w:tcPr>
            <w:tcW w:w="1732" w:type="dxa"/>
            <w:tcBorders>
              <w:top w:val="nil"/>
            </w:tcBorders>
          </w:tcPr>
          <w:p w14:paraId="4E2A0722" w14:textId="77777777" w:rsidR="0016459B" w:rsidRPr="00EF0430" w:rsidRDefault="0016459B" w:rsidP="00441D67">
            <w:pPr>
              <w:pStyle w:val="ListParagraph"/>
              <w:numPr>
                <w:ilvl w:val="0"/>
                <w:numId w:val="12"/>
              </w:numPr>
              <w:ind w:left="238" w:hanging="238"/>
              <w:rPr>
                <w:rFonts w:ascii="Times New Roman" w:hAnsi="Times New Roman" w:cs="Times New Roman"/>
                <w:color w:val="000000" w:themeColor="text1"/>
                <w:lang w:val="es-ES"/>
              </w:rPr>
            </w:pPr>
            <w:r w:rsidRPr="00EF0430">
              <w:rPr>
                <w:rFonts w:ascii="Times New Roman" w:hAnsi="Times New Roman" w:cs="Times New Roman"/>
                <w:color w:val="000000" w:themeColor="text1"/>
                <w:lang w:val="es-ES"/>
              </w:rPr>
              <w:t>EMPA Total</w:t>
            </w:r>
          </w:p>
        </w:tc>
        <w:tc>
          <w:tcPr>
            <w:tcW w:w="1463" w:type="dxa"/>
            <w:tcBorders>
              <w:top w:val="nil"/>
            </w:tcBorders>
          </w:tcPr>
          <w:p w14:paraId="3D608A3B" w14:textId="77777777" w:rsidR="0016459B" w:rsidRPr="00EF0430" w:rsidRDefault="0016459B" w:rsidP="00441D67">
            <w:pPr>
              <w:jc w:val="center"/>
              <w:rPr>
                <w:lang w:val="es-ES"/>
              </w:rPr>
            </w:pPr>
            <w:r w:rsidRPr="00EF0430">
              <w:rPr>
                <w:lang w:val="es-ES"/>
              </w:rPr>
              <w:t>121.61(41.57)</w:t>
            </w:r>
          </w:p>
        </w:tc>
        <w:tc>
          <w:tcPr>
            <w:tcW w:w="940" w:type="dxa"/>
            <w:tcBorders>
              <w:top w:val="nil"/>
            </w:tcBorders>
          </w:tcPr>
          <w:p w14:paraId="3BA3BBF8" w14:textId="77777777" w:rsidR="0016459B" w:rsidRPr="00EF0430" w:rsidRDefault="0016459B" w:rsidP="00441D67">
            <w:pPr>
              <w:jc w:val="center"/>
              <w:rPr>
                <w:lang w:val="es-ES"/>
              </w:rPr>
            </w:pPr>
            <w:r w:rsidRPr="00EF0430">
              <w:rPr>
                <w:lang w:val="es-ES"/>
              </w:rPr>
              <w:t>-.156*</w:t>
            </w:r>
          </w:p>
        </w:tc>
        <w:tc>
          <w:tcPr>
            <w:tcW w:w="900" w:type="dxa"/>
            <w:tcBorders>
              <w:top w:val="nil"/>
            </w:tcBorders>
          </w:tcPr>
          <w:p w14:paraId="241F78D7" w14:textId="77777777" w:rsidR="0016459B" w:rsidRPr="00EF0430" w:rsidRDefault="0016459B" w:rsidP="00441D67">
            <w:pPr>
              <w:jc w:val="center"/>
              <w:rPr>
                <w:lang w:val="es-ES"/>
              </w:rPr>
            </w:pPr>
            <w:r w:rsidRPr="00EF0430">
              <w:rPr>
                <w:lang w:val="es-ES"/>
              </w:rPr>
              <w:t>-.050</w:t>
            </w:r>
          </w:p>
        </w:tc>
        <w:tc>
          <w:tcPr>
            <w:tcW w:w="900" w:type="dxa"/>
            <w:tcBorders>
              <w:top w:val="nil"/>
            </w:tcBorders>
          </w:tcPr>
          <w:p w14:paraId="666B9CE8" w14:textId="77777777" w:rsidR="0016459B" w:rsidRPr="00EF0430" w:rsidRDefault="0016459B" w:rsidP="00441D67">
            <w:pPr>
              <w:jc w:val="center"/>
              <w:rPr>
                <w:b/>
                <w:bCs/>
              </w:rPr>
            </w:pPr>
            <w:r w:rsidRPr="00EF0430">
              <w:rPr>
                <w:lang w:val="es-ES"/>
              </w:rPr>
              <w:t>.96</w:t>
            </w:r>
            <w:r w:rsidRPr="00EF0430">
              <w:rPr>
                <w:vertAlign w:val="superscript"/>
              </w:rPr>
              <w:t>α</w:t>
            </w:r>
          </w:p>
        </w:tc>
        <w:tc>
          <w:tcPr>
            <w:tcW w:w="990" w:type="dxa"/>
            <w:tcBorders>
              <w:top w:val="nil"/>
            </w:tcBorders>
          </w:tcPr>
          <w:p w14:paraId="496F5117" w14:textId="77777777" w:rsidR="0016459B" w:rsidRPr="003448C6" w:rsidRDefault="0016459B" w:rsidP="00441D67">
            <w:pPr>
              <w:jc w:val="center"/>
              <w:rPr>
                <w:lang w:val="es-ES"/>
              </w:rPr>
            </w:pPr>
          </w:p>
        </w:tc>
        <w:tc>
          <w:tcPr>
            <w:tcW w:w="900" w:type="dxa"/>
            <w:tcBorders>
              <w:top w:val="nil"/>
            </w:tcBorders>
          </w:tcPr>
          <w:p w14:paraId="4E86ACE8" w14:textId="77777777" w:rsidR="0016459B" w:rsidRPr="003448C6" w:rsidRDefault="0016459B" w:rsidP="00441D67">
            <w:pPr>
              <w:jc w:val="center"/>
              <w:rPr>
                <w:lang w:val="es-ES"/>
              </w:rPr>
            </w:pPr>
          </w:p>
        </w:tc>
        <w:tc>
          <w:tcPr>
            <w:tcW w:w="900" w:type="dxa"/>
            <w:tcBorders>
              <w:top w:val="nil"/>
            </w:tcBorders>
          </w:tcPr>
          <w:p w14:paraId="1FA41A0C" w14:textId="77777777" w:rsidR="0016459B" w:rsidRPr="003448C6" w:rsidRDefault="0016459B" w:rsidP="00441D67">
            <w:pPr>
              <w:jc w:val="center"/>
              <w:rPr>
                <w:lang w:val="es-ES"/>
              </w:rPr>
            </w:pPr>
          </w:p>
        </w:tc>
      </w:tr>
      <w:tr w:rsidR="0016459B" w:rsidRPr="003448C6" w14:paraId="64C540AF" w14:textId="77777777" w:rsidTr="006A35F1">
        <w:tc>
          <w:tcPr>
            <w:tcW w:w="1732" w:type="dxa"/>
          </w:tcPr>
          <w:p w14:paraId="7ED08852" w14:textId="77777777" w:rsidR="0016459B" w:rsidRPr="00EF0430" w:rsidRDefault="0016459B" w:rsidP="00441D67">
            <w:pPr>
              <w:pStyle w:val="ListParagraph"/>
              <w:numPr>
                <w:ilvl w:val="0"/>
                <w:numId w:val="12"/>
              </w:numPr>
              <w:ind w:left="238" w:hanging="238"/>
              <w:rPr>
                <w:rFonts w:ascii="Times New Roman" w:hAnsi="Times New Roman" w:cs="Times New Roman"/>
                <w:color w:val="000000" w:themeColor="text1"/>
                <w:lang w:val="es-ES"/>
              </w:rPr>
            </w:pPr>
            <w:r w:rsidRPr="00EF0430">
              <w:rPr>
                <w:rFonts w:ascii="Times New Roman" w:hAnsi="Times New Roman" w:cs="Times New Roman"/>
                <w:lang w:val="es-ES"/>
              </w:rPr>
              <w:t>Subescala I</w:t>
            </w:r>
            <w:r w:rsidRPr="00EF0430">
              <w:rPr>
                <w:rStyle w:val="FootnoteReference"/>
              </w:rPr>
              <w:t>b</w:t>
            </w:r>
          </w:p>
        </w:tc>
        <w:tc>
          <w:tcPr>
            <w:tcW w:w="1463" w:type="dxa"/>
          </w:tcPr>
          <w:p w14:paraId="210AA601" w14:textId="77777777" w:rsidR="0016459B" w:rsidRPr="00EF0430" w:rsidRDefault="0016459B" w:rsidP="00441D67">
            <w:pPr>
              <w:jc w:val="center"/>
              <w:rPr>
                <w:color w:val="010205"/>
                <w:lang w:val="es-ES"/>
              </w:rPr>
            </w:pPr>
            <w:r w:rsidRPr="00EF0430">
              <w:rPr>
                <w:color w:val="010205"/>
                <w:lang w:val="es-ES"/>
              </w:rPr>
              <w:t>52.72 (22.38)</w:t>
            </w:r>
          </w:p>
        </w:tc>
        <w:tc>
          <w:tcPr>
            <w:tcW w:w="940" w:type="dxa"/>
          </w:tcPr>
          <w:p w14:paraId="308F43B7" w14:textId="77777777" w:rsidR="0016459B" w:rsidRPr="00EF0430" w:rsidRDefault="0016459B" w:rsidP="00441D67">
            <w:pPr>
              <w:jc w:val="center"/>
              <w:rPr>
                <w:color w:val="010205"/>
                <w:lang w:val="es-ES"/>
              </w:rPr>
            </w:pPr>
            <w:r w:rsidRPr="00EF0430">
              <w:rPr>
                <w:color w:val="010205"/>
                <w:lang w:val="es-ES"/>
              </w:rPr>
              <w:t>-.160*</w:t>
            </w:r>
          </w:p>
        </w:tc>
        <w:tc>
          <w:tcPr>
            <w:tcW w:w="900" w:type="dxa"/>
          </w:tcPr>
          <w:p w14:paraId="515F6F02" w14:textId="77777777" w:rsidR="0016459B" w:rsidRPr="00EF0430" w:rsidRDefault="0016459B" w:rsidP="00441D67">
            <w:pPr>
              <w:jc w:val="center"/>
              <w:rPr>
                <w:color w:val="010205"/>
                <w:lang w:val="es-ES"/>
              </w:rPr>
            </w:pPr>
            <w:r w:rsidRPr="00EF0430">
              <w:rPr>
                <w:color w:val="010205"/>
                <w:lang w:val="es-ES"/>
              </w:rPr>
              <w:t>-.103*</w:t>
            </w:r>
          </w:p>
        </w:tc>
        <w:tc>
          <w:tcPr>
            <w:tcW w:w="900" w:type="dxa"/>
          </w:tcPr>
          <w:p w14:paraId="5532863B" w14:textId="77777777" w:rsidR="0016459B" w:rsidRPr="00EF0430" w:rsidRDefault="0016459B" w:rsidP="00441D67">
            <w:pPr>
              <w:jc w:val="center"/>
              <w:rPr>
                <w:color w:val="010205"/>
                <w:lang w:val="es-ES"/>
              </w:rPr>
            </w:pPr>
            <w:r w:rsidRPr="00EF0430">
              <w:rPr>
                <w:color w:val="010205"/>
                <w:lang w:val="es-ES"/>
              </w:rPr>
              <w:t>.932**</w:t>
            </w:r>
          </w:p>
        </w:tc>
        <w:tc>
          <w:tcPr>
            <w:tcW w:w="990" w:type="dxa"/>
          </w:tcPr>
          <w:p w14:paraId="0E54627F" w14:textId="77777777" w:rsidR="0016459B" w:rsidRPr="003448C6" w:rsidRDefault="0016459B" w:rsidP="00441D67">
            <w:pPr>
              <w:jc w:val="center"/>
              <w:rPr>
                <w:color w:val="010205"/>
                <w:lang w:val="es-ES"/>
              </w:rPr>
            </w:pPr>
            <w:r w:rsidRPr="003448C6">
              <w:rPr>
                <w:color w:val="010205"/>
                <w:lang w:val="es-ES"/>
              </w:rPr>
              <w:t>.94</w:t>
            </w:r>
            <w:r w:rsidRPr="0000793E">
              <w:rPr>
                <w:vertAlign w:val="superscript"/>
              </w:rPr>
              <w:t>α</w:t>
            </w:r>
          </w:p>
        </w:tc>
        <w:tc>
          <w:tcPr>
            <w:tcW w:w="900" w:type="dxa"/>
          </w:tcPr>
          <w:p w14:paraId="56536C8A" w14:textId="77777777" w:rsidR="0016459B" w:rsidRPr="003448C6" w:rsidRDefault="0016459B" w:rsidP="00441D67">
            <w:pPr>
              <w:jc w:val="center"/>
              <w:rPr>
                <w:color w:val="010205"/>
                <w:lang w:val="es-ES"/>
              </w:rPr>
            </w:pPr>
          </w:p>
        </w:tc>
        <w:tc>
          <w:tcPr>
            <w:tcW w:w="900" w:type="dxa"/>
          </w:tcPr>
          <w:p w14:paraId="5977D222" w14:textId="77777777" w:rsidR="0016459B" w:rsidRPr="003448C6" w:rsidRDefault="0016459B" w:rsidP="00441D67">
            <w:pPr>
              <w:jc w:val="center"/>
              <w:rPr>
                <w:color w:val="010205"/>
                <w:lang w:val="es-ES"/>
              </w:rPr>
            </w:pPr>
          </w:p>
        </w:tc>
      </w:tr>
      <w:tr w:rsidR="0016459B" w:rsidRPr="003448C6" w14:paraId="1722711F" w14:textId="77777777" w:rsidTr="006A35F1">
        <w:tc>
          <w:tcPr>
            <w:tcW w:w="1732" w:type="dxa"/>
          </w:tcPr>
          <w:p w14:paraId="7E4F6DB6" w14:textId="77777777" w:rsidR="0016459B" w:rsidRPr="00EF0430" w:rsidRDefault="0016459B" w:rsidP="00441D67">
            <w:pPr>
              <w:pStyle w:val="ListParagraph"/>
              <w:numPr>
                <w:ilvl w:val="0"/>
                <w:numId w:val="12"/>
              </w:numPr>
              <w:ind w:left="238" w:hanging="238"/>
              <w:rPr>
                <w:rFonts w:ascii="Times New Roman" w:hAnsi="Times New Roman" w:cs="Times New Roman"/>
                <w:color w:val="000000" w:themeColor="text1"/>
                <w:lang w:val="es-ES"/>
              </w:rPr>
            </w:pPr>
            <w:r w:rsidRPr="00EF0430">
              <w:rPr>
                <w:rFonts w:ascii="Times New Roman" w:hAnsi="Times New Roman" w:cs="Times New Roman"/>
                <w:lang w:val="es-ES"/>
              </w:rPr>
              <w:t xml:space="preserve">Subescala </w:t>
            </w:r>
            <w:proofErr w:type="spellStart"/>
            <w:r w:rsidRPr="00EF0430">
              <w:rPr>
                <w:rFonts w:ascii="Times New Roman" w:hAnsi="Times New Roman" w:cs="Times New Roman"/>
                <w:lang w:val="es-ES"/>
              </w:rPr>
              <w:t>II</w:t>
            </w:r>
            <w:r w:rsidRPr="00EF0430">
              <w:rPr>
                <w:rStyle w:val="FootnoteReference"/>
                <w:lang w:val="es-ES"/>
              </w:rPr>
              <w:t>c</w:t>
            </w:r>
            <w:proofErr w:type="spellEnd"/>
          </w:p>
        </w:tc>
        <w:tc>
          <w:tcPr>
            <w:tcW w:w="1463" w:type="dxa"/>
          </w:tcPr>
          <w:p w14:paraId="4830CDC9" w14:textId="77777777" w:rsidR="0016459B" w:rsidRPr="00EF0430" w:rsidRDefault="0016459B" w:rsidP="00441D67">
            <w:pPr>
              <w:jc w:val="center"/>
              <w:rPr>
                <w:color w:val="010205"/>
                <w:lang w:val="es-ES"/>
              </w:rPr>
            </w:pPr>
            <w:r w:rsidRPr="00EF0430">
              <w:rPr>
                <w:color w:val="010205"/>
                <w:lang w:val="es-ES"/>
              </w:rPr>
              <w:t>48.83 (15.58)</w:t>
            </w:r>
          </w:p>
        </w:tc>
        <w:tc>
          <w:tcPr>
            <w:tcW w:w="940" w:type="dxa"/>
          </w:tcPr>
          <w:p w14:paraId="13537CCD" w14:textId="77777777" w:rsidR="0016459B" w:rsidRPr="00EF0430" w:rsidRDefault="0016459B" w:rsidP="00441D67">
            <w:pPr>
              <w:jc w:val="center"/>
              <w:rPr>
                <w:color w:val="010205"/>
                <w:lang w:val="es-ES"/>
              </w:rPr>
            </w:pPr>
            <w:r w:rsidRPr="00EF0430">
              <w:rPr>
                <w:color w:val="010205"/>
                <w:lang w:val="es-ES"/>
              </w:rPr>
              <w:t>-.079</w:t>
            </w:r>
          </w:p>
        </w:tc>
        <w:tc>
          <w:tcPr>
            <w:tcW w:w="900" w:type="dxa"/>
          </w:tcPr>
          <w:p w14:paraId="40B4C2A5" w14:textId="77777777" w:rsidR="0016459B" w:rsidRPr="00EF0430" w:rsidRDefault="0016459B" w:rsidP="00441D67">
            <w:pPr>
              <w:jc w:val="center"/>
              <w:rPr>
                <w:color w:val="010205"/>
                <w:lang w:val="es-ES"/>
              </w:rPr>
            </w:pPr>
            <w:r w:rsidRPr="00EF0430">
              <w:rPr>
                <w:color w:val="010205"/>
                <w:lang w:val="es-ES"/>
              </w:rPr>
              <w:t>.014</w:t>
            </w:r>
          </w:p>
        </w:tc>
        <w:tc>
          <w:tcPr>
            <w:tcW w:w="900" w:type="dxa"/>
          </w:tcPr>
          <w:p w14:paraId="719C1280" w14:textId="77777777" w:rsidR="0016459B" w:rsidRPr="00EF0430" w:rsidRDefault="0016459B" w:rsidP="00441D67">
            <w:pPr>
              <w:jc w:val="center"/>
              <w:rPr>
                <w:color w:val="010205"/>
                <w:lang w:val="es-ES"/>
              </w:rPr>
            </w:pPr>
            <w:r w:rsidRPr="00EF0430">
              <w:rPr>
                <w:color w:val="010205"/>
                <w:lang w:val="es-ES"/>
              </w:rPr>
              <w:t>.843**</w:t>
            </w:r>
          </w:p>
        </w:tc>
        <w:tc>
          <w:tcPr>
            <w:tcW w:w="990" w:type="dxa"/>
          </w:tcPr>
          <w:p w14:paraId="0B7E9B2F" w14:textId="77777777" w:rsidR="0016459B" w:rsidRPr="003448C6" w:rsidRDefault="0016459B" w:rsidP="00441D67">
            <w:pPr>
              <w:jc w:val="center"/>
              <w:rPr>
                <w:color w:val="010205"/>
                <w:lang w:val="es-ES"/>
              </w:rPr>
            </w:pPr>
            <w:r w:rsidRPr="003448C6">
              <w:rPr>
                <w:color w:val="010205"/>
                <w:lang w:val="es-ES"/>
              </w:rPr>
              <w:t>.642**</w:t>
            </w:r>
          </w:p>
        </w:tc>
        <w:tc>
          <w:tcPr>
            <w:tcW w:w="900" w:type="dxa"/>
          </w:tcPr>
          <w:p w14:paraId="13141618" w14:textId="77777777" w:rsidR="0016459B" w:rsidRPr="003448C6" w:rsidRDefault="0016459B" w:rsidP="00441D67">
            <w:pPr>
              <w:jc w:val="center"/>
              <w:rPr>
                <w:color w:val="010205"/>
                <w:lang w:val="es-ES"/>
              </w:rPr>
            </w:pPr>
            <w:r w:rsidRPr="003448C6">
              <w:rPr>
                <w:color w:val="010205"/>
                <w:lang w:val="es-ES"/>
              </w:rPr>
              <w:t>.94</w:t>
            </w:r>
            <w:r w:rsidRPr="0000793E">
              <w:rPr>
                <w:vertAlign w:val="superscript"/>
              </w:rPr>
              <w:t>α</w:t>
            </w:r>
          </w:p>
        </w:tc>
        <w:tc>
          <w:tcPr>
            <w:tcW w:w="900" w:type="dxa"/>
          </w:tcPr>
          <w:p w14:paraId="04A05D28" w14:textId="77777777" w:rsidR="0016459B" w:rsidRPr="003448C6" w:rsidRDefault="0016459B" w:rsidP="00441D67">
            <w:pPr>
              <w:jc w:val="center"/>
              <w:rPr>
                <w:color w:val="010205"/>
                <w:lang w:val="es-ES"/>
              </w:rPr>
            </w:pPr>
          </w:p>
        </w:tc>
      </w:tr>
      <w:tr w:rsidR="0016459B" w:rsidRPr="003448C6" w14:paraId="10580B17" w14:textId="77777777" w:rsidTr="006A35F1">
        <w:tc>
          <w:tcPr>
            <w:tcW w:w="1732" w:type="dxa"/>
          </w:tcPr>
          <w:p w14:paraId="1F5A5E79" w14:textId="77777777" w:rsidR="0016459B" w:rsidRPr="00EF0430" w:rsidRDefault="0016459B" w:rsidP="00441D67">
            <w:pPr>
              <w:pStyle w:val="ListParagraph"/>
              <w:numPr>
                <w:ilvl w:val="0"/>
                <w:numId w:val="12"/>
              </w:numPr>
              <w:ind w:left="238" w:hanging="238"/>
              <w:rPr>
                <w:rFonts w:ascii="Times New Roman" w:hAnsi="Times New Roman" w:cs="Times New Roman"/>
                <w:lang w:val="es-ES"/>
              </w:rPr>
            </w:pPr>
            <w:r w:rsidRPr="00EF0430">
              <w:rPr>
                <w:rFonts w:ascii="Times New Roman" w:hAnsi="Times New Roman" w:cs="Times New Roman"/>
                <w:lang w:val="es-ES"/>
              </w:rPr>
              <w:t xml:space="preserve">Subescala </w:t>
            </w:r>
            <w:proofErr w:type="spellStart"/>
            <w:r w:rsidRPr="00EF0430">
              <w:rPr>
                <w:rFonts w:ascii="Times New Roman" w:hAnsi="Times New Roman" w:cs="Times New Roman"/>
                <w:lang w:val="es-ES"/>
              </w:rPr>
              <w:t>III</w:t>
            </w:r>
            <w:r w:rsidRPr="00EF0430">
              <w:rPr>
                <w:rStyle w:val="FootnoteReference"/>
                <w:lang w:val="es-ES"/>
              </w:rPr>
              <w:t>d</w:t>
            </w:r>
            <w:proofErr w:type="spellEnd"/>
          </w:p>
        </w:tc>
        <w:tc>
          <w:tcPr>
            <w:tcW w:w="1463" w:type="dxa"/>
          </w:tcPr>
          <w:p w14:paraId="68E701E0" w14:textId="77777777" w:rsidR="0016459B" w:rsidRPr="00EF0430" w:rsidRDefault="0016459B" w:rsidP="00441D67">
            <w:pPr>
              <w:jc w:val="center"/>
              <w:rPr>
                <w:color w:val="010205"/>
                <w:lang w:val="es-ES"/>
              </w:rPr>
            </w:pPr>
            <w:r w:rsidRPr="00EF0430">
              <w:rPr>
                <w:color w:val="010205"/>
                <w:lang w:val="es-ES"/>
              </w:rPr>
              <w:t>20.06 (9.61)</w:t>
            </w:r>
          </w:p>
        </w:tc>
        <w:tc>
          <w:tcPr>
            <w:tcW w:w="940" w:type="dxa"/>
          </w:tcPr>
          <w:p w14:paraId="013FD7E1" w14:textId="77777777" w:rsidR="0016459B" w:rsidRPr="00EF0430" w:rsidRDefault="0016459B" w:rsidP="00441D67">
            <w:pPr>
              <w:jc w:val="center"/>
              <w:rPr>
                <w:color w:val="010205"/>
                <w:lang w:val="es-ES"/>
              </w:rPr>
            </w:pPr>
            <w:r w:rsidRPr="00EF0430">
              <w:rPr>
                <w:color w:val="010205"/>
                <w:lang w:val="es-ES"/>
              </w:rPr>
              <w:t>-.177**</w:t>
            </w:r>
          </w:p>
        </w:tc>
        <w:tc>
          <w:tcPr>
            <w:tcW w:w="900" w:type="dxa"/>
          </w:tcPr>
          <w:p w14:paraId="633ECE35" w14:textId="77777777" w:rsidR="0016459B" w:rsidRPr="00EF0430" w:rsidRDefault="0016459B" w:rsidP="00441D67">
            <w:pPr>
              <w:jc w:val="center"/>
              <w:rPr>
                <w:color w:val="010205"/>
                <w:lang w:val="es-ES"/>
              </w:rPr>
            </w:pPr>
            <w:r w:rsidRPr="00EF0430">
              <w:rPr>
                <w:color w:val="010205"/>
                <w:lang w:val="es-ES"/>
              </w:rPr>
              <w:t>-.011</w:t>
            </w:r>
          </w:p>
        </w:tc>
        <w:tc>
          <w:tcPr>
            <w:tcW w:w="900" w:type="dxa"/>
          </w:tcPr>
          <w:p w14:paraId="7B79A28D" w14:textId="77777777" w:rsidR="0016459B" w:rsidRPr="00EF0430" w:rsidRDefault="0016459B" w:rsidP="00441D67">
            <w:pPr>
              <w:jc w:val="center"/>
              <w:rPr>
                <w:color w:val="010205"/>
                <w:lang w:val="es-ES"/>
              </w:rPr>
            </w:pPr>
            <w:r w:rsidRPr="00EF0430">
              <w:rPr>
                <w:color w:val="010205"/>
                <w:lang w:val="es-ES"/>
              </w:rPr>
              <w:t>.788**</w:t>
            </w:r>
          </w:p>
        </w:tc>
        <w:tc>
          <w:tcPr>
            <w:tcW w:w="990" w:type="dxa"/>
          </w:tcPr>
          <w:p w14:paraId="045DF4E9" w14:textId="77777777" w:rsidR="0016459B" w:rsidRPr="003448C6" w:rsidRDefault="0016459B" w:rsidP="00441D67">
            <w:pPr>
              <w:jc w:val="center"/>
              <w:rPr>
                <w:color w:val="010205"/>
                <w:lang w:val="es-ES"/>
              </w:rPr>
            </w:pPr>
            <w:r w:rsidRPr="003448C6">
              <w:rPr>
                <w:color w:val="010205"/>
                <w:lang w:val="es-ES"/>
              </w:rPr>
              <w:t>.664**</w:t>
            </w:r>
          </w:p>
        </w:tc>
        <w:tc>
          <w:tcPr>
            <w:tcW w:w="900" w:type="dxa"/>
          </w:tcPr>
          <w:p w14:paraId="23894186" w14:textId="77777777" w:rsidR="0016459B" w:rsidRPr="003448C6" w:rsidRDefault="0016459B" w:rsidP="00441D67">
            <w:pPr>
              <w:jc w:val="center"/>
              <w:rPr>
                <w:color w:val="010205"/>
                <w:lang w:val="es-ES"/>
              </w:rPr>
            </w:pPr>
            <w:r w:rsidRPr="003448C6">
              <w:rPr>
                <w:color w:val="010205"/>
                <w:lang w:val="es-ES"/>
              </w:rPr>
              <w:t>.531**</w:t>
            </w:r>
          </w:p>
        </w:tc>
        <w:tc>
          <w:tcPr>
            <w:tcW w:w="900" w:type="dxa"/>
          </w:tcPr>
          <w:p w14:paraId="63A371F7" w14:textId="77777777" w:rsidR="0016459B" w:rsidRPr="003448C6" w:rsidRDefault="0016459B" w:rsidP="00441D67">
            <w:pPr>
              <w:jc w:val="center"/>
              <w:rPr>
                <w:color w:val="010205"/>
                <w:lang w:val="es-ES"/>
              </w:rPr>
            </w:pPr>
            <w:r w:rsidRPr="003448C6">
              <w:rPr>
                <w:color w:val="010205"/>
                <w:lang w:val="es-ES"/>
              </w:rPr>
              <w:t>.89</w:t>
            </w:r>
            <w:r w:rsidRPr="0000793E">
              <w:rPr>
                <w:vertAlign w:val="superscript"/>
              </w:rPr>
              <w:t>α</w:t>
            </w:r>
          </w:p>
        </w:tc>
      </w:tr>
    </w:tbl>
    <w:p w14:paraId="528CB30E" w14:textId="6FBB882D" w:rsidR="00441D67" w:rsidRPr="003448C6" w:rsidRDefault="00441D67" w:rsidP="006A35F1">
      <w:pPr>
        <w:spacing w:line="360" w:lineRule="auto"/>
        <w:rPr>
          <w:lang w:val="es-ES"/>
        </w:rPr>
      </w:pPr>
      <w:r w:rsidRPr="006A35F1">
        <w:rPr>
          <w:i/>
          <w:iCs/>
          <w:lang w:val="es-ES"/>
        </w:rPr>
        <w:t>Nota</w:t>
      </w:r>
      <w:r w:rsidRPr="003448C6">
        <w:rPr>
          <w:lang w:val="es-ES"/>
        </w:rPr>
        <w:t xml:space="preserve">. </w:t>
      </w:r>
      <w:r w:rsidRPr="0000793E">
        <w:rPr>
          <w:vertAlign w:val="superscript"/>
        </w:rPr>
        <w:t>α</w:t>
      </w:r>
      <w:r w:rsidRPr="0000793E">
        <w:rPr>
          <w:lang w:val="es-ES"/>
        </w:rPr>
        <w:t xml:space="preserve">Alfa de </w:t>
      </w:r>
      <w:r w:rsidR="00E45EDC" w:rsidRPr="0000793E">
        <w:rPr>
          <w:lang w:val="es-ES"/>
        </w:rPr>
        <w:t>Cronbach</w:t>
      </w:r>
      <w:r w:rsidRPr="0000793E">
        <w:rPr>
          <w:lang w:val="es-ES"/>
        </w:rPr>
        <w:t xml:space="preserve">. </w:t>
      </w:r>
      <w:proofErr w:type="spellStart"/>
      <w:r w:rsidRPr="0000793E">
        <w:rPr>
          <w:rStyle w:val="FootnoteReference"/>
          <w:lang w:val="es-ES"/>
        </w:rPr>
        <w:t>b</w:t>
      </w:r>
      <w:r w:rsidRPr="0000793E">
        <w:rPr>
          <w:lang w:val="es-ES"/>
        </w:rPr>
        <w:t>Subescala</w:t>
      </w:r>
      <w:proofErr w:type="spellEnd"/>
      <w:r w:rsidRPr="003448C6">
        <w:rPr>
          <w:lang w:val="es-ES"/>
        </w:rPr>
        <w:t xml:space="preserve"> I: Estereotipar a personas ateas. </w:t>
      </w:r>
      <w:proofErr w:type="spellStart"/>
      <w:r w:rsidRPr="003448C6">
        <w:rPr>
          <w:rStyle w:val="FootnoteReference"/>
          <w:lang w:val="es-ES"/>
        </w:rPr>
        <w:t>c</w:t>
      </w:r>
      <w:r w:rsidRPr="003448C6">
        <w:rPr>
          <w:lang w:val="es-ES"/>
        </w:rPr>
        <w:t>Subescala</w:t>
      </w:r>
      <w:proofErr w:type="spellEnd"/>
      <w:r w:rsidRPr="003448C6">
        <w:rPr>
          <w:lang w:val="es-ES"/>
        </w:rPr>
        <w:t xml:space="preserve"> II: Degradación de la identidad ateísta. </w:t>
      </w:r>
      <w:proofErr w:type="spellStart"/>
      <w:r>
        <w:rPr>
          <w:rStyle w:val="FootnoteReference"/>
          <w:lang w:val="es-ES"/>
        </w:rPr>
        <w:t>d</w:t>
      </w:r>
      <w:r w:rsidRPr="003448C6">
        <w:rPr>
          <w:lang w:val="es-ES"/>
        </w:rPr>
        <w:t>Subescala</w:t>
      </w:r>
      <w:proofErr w:type="spellEnd"/>
      <w:r w:rsidRPr="003448C6">
        <w:rPr>
          <w:lang w:val="es-ES"/>
        </w:rPr>
        <w:t xml:space="preserve"> III: Negación de la individualidad ateísta.</w:t>
      </w:r>
      <w:r w:rsidRPr="003448C6">
        <w:rPr>
          <w:rStyle w:val="FootnoteReference"/>
          <w:lang w:val="es-ES"/>
        </w:rPr>
        <w:t xml:space="preserve"> </w:t>
      </w:r>
    </w:p>
    <w:p w14:paraId="22B8867A" w14:textId="2278D34F" w:rsidR="00441D67" w:rsidRPr="002E6774" w:rsidRDefault="00441D67" w:rsidP="003925AF">
      <w:pPr>
        <w:spacing w:line="360" w:lineRule="auto"/>
        <w:rPr>
          <w:b/>
          <w:bCs/>
          <w:lang w:val="es-ES"/>
        </w:rPr>
      </w:pPr>
      <w:r w:rsidRPr="0000793E">
        <w:rPr>
          <w:lang w:val="es-ES"/>
        </w:rPr>
        <w:t>*</w:t>
      </w:r>
      <w:r w:rsidRPr="006A35F1">
        <w:rPr>
          <w:i/>
          <w:iCs/>
          <w:lang w:val="es-ES"/>
        </w:rPr>
        <w:t>p</w:t>
      </w:r>
      <w:r w:rsidRPr="0000793E">
        <w:rPr>
          <w:lang w:val="es-ES"/>
        </w:rPr>
        <w:t xml:space="preserve"> &lt; .05; **</w:t>
      </w:r>
      <w:r w:rsidRPr="006A35F1">
        <w:rPr>
          <w:i/>
          <w:iCs/>
          <w:lang w:val="es-ES"/>
        </w:rPr>
        <w:t>p</w:t>
      </w:r>
      <w:r w:rsidRPr="0000793E">
        <w:rPr>
          <w:lang w:val="es-ES"/>
        </w:rPr>
        <w:t xml:space="preserve"> &lt; .01</w:t>
      </w:r>
    </w:p>
    <w:p w14:paraId="220C813D" w14:textId="625EDFF4" w:rsidR="00CE7D65" w:rsidRPr="006A35F1" w:rsidRDefault="00CE7D65" w:rsidP="006A35F1">
      <w:pPr>
        <w:pStyle w:val="Ttulosinternos"/>
        <w:rPr>
          <w:lang w:val="es-ES"/>
        </w:rPr>
      </w:pPr>
      <w:r w:rsidRPr="006A35F1">
        <w:rPr>
          <w:lang w:val="es-ES"/>
        </w:rPr>
        <w:t>Discusi</w:t>
      </w:r>
      <w:r w:rsidR="00E23C9E" w:rsidRPr="006A35F1">
        <w:rPr>
          <w:lang w:val="es-ES"/>
        </w:rPr>
        <w:t>ó</w:t>
      </w:r>
      <w:r w:rsidRPr="006A35F1">
        <w:rPr>
          <w:lang w:val="es-ES"/>
        </w:rPr>
        <w:t>n</w:t>
      </w:r>
    </w:p>
    <w:p w14:paraId="632D5350" w14:textId="729434DA" w:rsidR="00253B73" w:rsidRDefault="00253B73" w:rsidP="00253B73">
      <w:pPr>
        <w:spacing w:line="360" w:lineRule="auto"/>
        <w:ind w:firstLine="720"/>
        <w:jc w:val="both"/>
        <w:rPr>
          <w:lang w:val="es-ES"/>
        </w:rPr>
      </w:pPr>
      <w:r w:rsidRPr="00C56316">
        <w:rPr>
          <w:lang w:val="es-ES"/>
        </w:rPr>
        <w:t>El objetivo de est</w:t>
      </w:r>
      <w:r>
        <w:rPr>
          <w:lang w:val="es-ES"/>
        </w:rPr>
        <w:t>a investigación</w:t>
      </w:r>
      <w:r w:rsidRPr="00C56316">
        <w:rPr>
          <w:lang w:val="es-ES"/>
        </w:rPr>
        <w:t xml:space="preserve"> </w:t>
      </w:r>
      <w:r>
        <w:rPr>
          <w:lang w:val="es-ES"/>
        </w:rPr>
        <w:t xml:space="preserve">fue desarrollar </w:t>
      </w:r>
      <w:r w:rsidR="003F6ABD">
        <w:rPr>
          <w:lang w:val="es-ES"/>
        </w:rPr>
        <w:t xml:space="preserve">y evaluar las propiedades psicométricas de </w:t>
      </w:r>
      <w:r w:rsidRPr="0044670C">
        <w:rPr>
          <w:lang w:val="es-ES"/>
        </w:rPr>
        <w:t xml:space="preserve">la Escala de Microagresiones hacia Personas Ateas (EMPA) en la población puertorriqueña. </w:t>
      </w:r>
      <w:r w:rsidR="003F6ABD">
        <w:rPr>
          <w:lang w:val="es-ES"/>
        </w:rPr>
        <w:t xml:space="preserve">En una </w:t>
      </w:r>
      <w:r>
        <w:rPr>
          <w:lang w:val="es-ES"/>
        </w:rPr>
        <w:t>primera fase</w:t>
      </w:r>
      <w:r w:rsidR="003F6ABD">
        <w:rPr>
          <w:lang w:val="es-ES"/>
        </w:rPr>
        <w:t xml:space="preserve">, </w:t>
      </w:r>
      <w:r>
        <w:rPr>
          <w:lang w:val="es-ES"/>
        </w:rPr>
        <w:t xml:space="preserve">desarrollamos </w:t>
      </w:r>
      <w:r w:rsidR="003F6ABD">
        <w:rPr>
          <w:lang w:val="es-ES"/>
        </w:rPr>
        <w:t>un banco que</w:t>
      </w:r>
      <w:r>
        <w:rPr>
          <w:lang w:val="es-ES"/>
        </w:rPr>
        <w:t xml:space="preserve"> reactivos </w:t>
      </w:r>
      <w:r w:rsidR="003F6ABD">
        <w:rPr>
          <w:lang w:val="es-ES"/>
        </w:rPr>
        <w:t>que contó con la retroalimentación de un</w:t>
      </w:r>
      <w:r>
        <w:rPr>
          <w:lang w:val="es-ES"/>
        </w:rPr>
        <w:t xml:space="preserve"> de jueces expertos para obtener </w:t>
      </w:r>
      <w:r w:rsidR="003F6ABD">
        <w:rPr>
          <w:lang w:val="es-ES"/>
        </w:rPr>
        <w:t>su</w:t>
      </w:r>
      <w:r>
        <w:rPr>
          <w:lang w:val="es-ES"/>
        </w:rPr>
        <w:t xml:space="preserve"> validez de contenido.</w:t>
      </w:r>
      <w:r w:rsidR="007F6FA0">
        <w:rPr>
          <w:lang w:val="es-ES"/>
        </w:rPr>
        <w:t xml:space="preserve"> </w:t>
      </w:r>
      <w:r w:rsidR="003F6ABD">
        <w:rPr>
          <w:lang w:val="es-ES"/>
        </w:rPr>
        <w:t>En una</w:t>
      </w:r>
      <w:r>
        <w:rPr>
          <w:lang w:val="es-ES"/>
        </w:rPr>
        <w:t xml:space="preserve"> segunda fase</w:t>
      </w:r>
      <w:r w:rsidR="003F6ABD">
        <w:rPr>
          <w:lang w:val="es-ES"/>
        </w:rPr>
        <w:t>,</w:t>
      </w:r>
      <w:r>
        <w:rPr>
          <w:lang w:val="es-ES"/>
        </w:rPr>
        <w:t xml:space="preserve"> </w:t>
      </w:r>
      <w:r w:rsidR="003F6ABD">
        <w:rPr>
          <w:lang w:val="es-ES"/>
        </w:rPr>
        <w:t>hicimos un estudio piloto</w:t>
      </w:r>
      <w:r>
        <w:rPr>
          <w:lang w:val="es-ES"/>
        </w:rPr>
        <w:t xml:space="preserve"> con</w:t>
      </w:r>
      <w:r w:rsidR="003F6ABD">
        <w:rPr>
          <w:lang w:val="es-ES"/>
        </w:rPr>
        <w:t xml:space="preserve"> la versión mejorada del EMPA</w:t>
      </w:r>
      <w:r>
        <w:rPr>
          <w:lang w:val="es-ES"/>
        </w:rPr>
        <w:t xml:space="preserve"> </w:t>
      </w:r>
      <w:r w:rsidR="003F6ABD">
        <w:rPr>
          <w:lang w:val="es-ES"/>
        </w:rPr>
        <w:t>donde exploramos su estructura factorial</w:t>
      </w:r>
      <w:r w:rsidR="000F5253">
        <w:rPr>
          <w:lang w:val="es-ES"/>
        </w:rPr>
        <w:t>,</w:t>
      </w:r>
      <w:r w:rsidR="007401BA">
        <w:rPr>
          <w:lang w:val="es-ES"/>
        </w:rPr>
        <w:t xml:space="preserve"> </w:t>
      </w:r>
      <w:r w:rsidR="003F6ABD">
        <w:rPr>
          <w:lang w:val="es-ES"/>
        </w:rPr>
        <w:t>determinamos asociaciones y</w:t>
      </w:r>
      <w:r>
        <w:rPr>
          <w:lang w:val="es-ES"/>
        </w:rPr>
        <w:t xml:space="preserve"> obtuvimos </w:t>
      </w:r>
      <w:r w:rsidR="003F6ABD">
        <w:rPr>
          <w:lang w:val="es-ES"/>
        </w:rPr>
        <w:t>índices de</w:t>
      </w:r>
      <w:r>
        <w:rPr>
          <w:lang w:val="es-ES"/>
        </w:rPr>
        <w:t xml:space="preserve"> consistencia interna del instrumento.</w:t>
      </w:r>
      <w:r w:rsidR="007401BA">
        <w:rPr>
          <w:lang w:val="es-ES"/>
        </w:rPr>
        <w:t xml:space="preserve"> </w:t>
      </w:r>
    </w:p>
    <w:p w14:paraId="4BFA2116" w14:textId="05AEB1F4" w:rsidR="00273746" w:rsidRPr="006A35F1" w:rsidRDefault="00AC1CD6" w:rsidP="00C41106">
      <w:pPr>
        <w:spacing w:line="360" w:lineRule="auto"/>
        <w:ind w:firstLine="720"/>
        <w:jc w:val="both"/>
      </w:pPr>
      <w:r>
        <w:rPr>
          <w:lang w:val="es-ES"/>
        </w:rPr>
        <w:t xml:space="preserve">El fenómeno de microagresiones a personas ateas </w:t>
      </w:r>
      <w:r w:rsidR="0036555E">
        <w:rPr>
          <w:lang w:val="es-ES"/>
        </w:rPr>
        <w:t>tiene un</w:t>
      </w:r>
      <w:r>
        <w:rPr>
          <w:lang w:val="es-ES"/>
        </w:rPr>
        <w:t xml:space="preserve"> número</w:t>
      </w:r>
      <w:r w:rsidR="0016459B">
        <w:rPr>
          <w:lang w:val="es-ES"/>
        </w:rPr>
        <w:t xml:space="preserve"> limitado</w:t>
      </w:r>
      <w:r>
        <w:rPr>
          <w:lang w:val="es-ES"/>
        </w:rPr>
        <w:t xml:space="preserve"> de investigaciones</w:t>
      </w:r>
      <w:r w:rsidR="00305FC1">
        <w:rPr>
          <w:lang w:val="es-ES"/>
        </w:rPr>
        <w:t xml:space="preserve">, </w:t>
      </w:r>
      <w:r>
        <w:rPr>
          <w:lang w:val="es-ES"/>
        </w:rPr>
        <w:t>a nuestro conocimiento</w:t>
      </w:r>
      <w:r w:rsidR="00305FC1">
        <w:rPr>
          <w:lang w:val="es-ES"/>
        </w:rPr>
        <w:t>,</w:t>
      </w:r>
      <w:r>
        <w:rPr>
          <w:lang w:val="es-ES"/>
        </w:rPr>
        <w:t xml:space="preserve"> solo se han realizado con la población estadounidense (Nadal et al., 2010; Pagano et al., 2012; Pagano, 2015). Las microagresiones hacia personas ateas son frecuentes en Puerto Rico</w:t>
      </w:r>
      <w:r w:rsidR="00305FC1">
        <w:rPr>
          <w:lang w:val="es-ES"/>
        </w:rPr>
        <w:t xml:space="preserve">, principalmente </w:t>
      </w:r>
      <w:r w:rsidR="00B03D23">
        <w:rPr>
          <w:lang w:val="es-ES"/>
        </w:rPr>
        <w:t>aquellas relacionadas a la degradación de la identidad ateísta</w:t>
      </w:r>
      <w:r w:rsidR="0036555E">
        <w:rPr>
          <w:lang w:val="es-ES"/>
        </w:rPr>
        <w:t>.</w:t>
      </w:r>
      <w:r w:rsidR="00B03D23">
        <w:rPr>
          <w:lang w:val="es-ES"/>
        </w:rPr>
        <w:t xml:space="preserve"> </w:t>
      </w:r>
      <w:r w:rsidR="0036555E">
        <w:rPr>
          <w:lang w:val="es-ES"/>
        </w:rPr>
        <w:t>I</w:t>
      </w:r>
      <w:r w:rsidR="00B03D23">
        <w:rPr>
          <w:lang w:val="es-ES"/>
        </w:rPr>
        <w:t>ncluyendo el</w:t>
      </w:r>
      <w:r w:rsidR="00273746">
        <w:rPr>
          <w:lang w:val="es-ES"/>
        </w:rPr>
        <w:t xml:space="preserve"> que personas</w:t>
      </w:r>
      <w:r w:rsidR="00B03D23">
        <w:rPr>
          <w:lang w:val="es-ES"/>
        </w:rPr>
        <w:t xml:space="preserve"> atribu</w:t>
      </w:r>
      <w:r w:rsidR="00273746">
        <w:rPr>
          <w:lang w:val="es-ES"/>
        </w:rPr>
        <w:t>yan a Dios</w:t>
      </w:r>
      <w:r w:rsidR="00B03D23">
        <w:rPr>
          <w:lang w:val="es-ES"/>
        </w:rPr>
        <w:t xml:space="preserve"> </w:t>
      </w:r>
      <w:r w:rsidR="000926AC">
        <w:rPr>
          <w:lang w:val="es-ES"/>
        </w:rPr>
        <w:t>los logros de</w:t>
      </w:r>
      <w:r w:rsidR="00273746">
        <w:rPr>
          <w:lang w:val="es-ES"/>
        </w:rPr>
        <w:t xml:space="preserve"> persona</w:t>
      </w:r>
      <w:r w:rsidR="000926AC">
        <w:rPr>
          <w:lang w:val="es-ES"/>
        </w:rPr>
        <w:t>s</w:t>
      </w:r>
      <w:r w:rsidR="00273746">
        <w:rPr>
          <w:lang w:val="es-ES"/>
        </w:rPr>
        <w:t xml:space="preserve"> atea</w:t>
      </w:r>
      <w:r w:rsidR="000926AC">
        <w:rPr>
          <w:lang w:val="es-ES"/>
        </w:rPr>
        <w:t>s</w:t>
      </w:r>
      <w:r w:rsidR="00D6218A">
        <w:rPr>
          <w:lang w:val="es-ES"/>
        </w:rPr>
        <w:t xml:space="preserve">, </w:t>
      </w:r>
      <w:r w:rsidR="00D6218A">
        <w:t xml:space="preserve">presenciar </w:t>
      </w:r>
      <w:r w:rsidR="007F6FA0">
        <w:t xml:space="preserve">oraciones </w:t>
      </w:r>
      <w:r w:rsidR="00D6218A">
        <w:t>religiosa</w:t>
      </w:r>
      <w:r w:rsidR="007F6FA0">
        <w:t>s</w:t>
      </w:r>
      <w:r w:rsidR="00D6218A">
        <w:t xml:space="preserve"> en eventos sociales, y recibir comentarios sobre la intervención divina después de revelar que se es ateo/a.</w:t>
      </w:r>
      <w:r w:rsidR="001E520D">
        <w:t xml:space="preserve"> </w:t>
      </w:r>
      <w:r w:rsidR="00C41106">
        <w:t xml:space="preserve">Se ha identificado que </w:t>
      </w:r>
      <w:r w:rsidR="00305FC1">
        <w:t>experiencias</w:t>
      </w:r>
      <w:r w:rsidR="00C41106">
        <w:t xml:space="preserve"> similares en la población estadounidense</w:t>
      </w:r>
      <w:r w:rsidR="00305FC1">
        <w:t xml:space="preserve"> suelen estar vinculadas con dificultades interpersonales, encubrimiento de la identidad</w:t>
      </w:r>
      <w:r w:rsidR="00C41106">
        <w:t xml:space="preserve"> ateísta</w:t>
      </w:r>
      <w:r w:rsidR="00305FC1">
        <w:t xml:space="preserve">, </w:t>
      </w:r>
      <w:r w:rsidR="00C41106">
        <w:t xml:space="preserve">mayor </w:t>
      </w:r>
      <w:r w:rsidR="00305FC1">
        <w:t>angustia y menor bienestar psicológico</w:t>
      </w:r>
      <w:r w:rsidR="00370B57">
        <w:t xml:space="preserve"> (Abbott &amp; </w:t>
      </w:r>
      <w:proofErr w:type="spellStart"/>
      <w:r w:rsidR="00370B57">
        <w:t>Mollen</w:t>
      </w:r>
      <w:proofErr w:type="spellEnd"/>
      <w:r w:rsidR="00370B57">
        <w:t xml:space="preserve">, 2018; </w:t>
      </w:r>
      <w:proofErr w:type="spellStart"/>
      <w:r w:rsidR="00370B57">
        <w:t>Sedlar</w:t>
      </w:r>
      <w:proofErr w:type="spellEnd"/>
      <w:r w:rsidR="00370B57">
        <w:t xml:space="preserve"> et al., 2018).</w:t>
      </w:r>
      <w:r w:rsidR="00A5006F">
        <w:t xml:space="preserve"> </w:t>
      </w:r>
      <w:r w:rsidR="00C41106">
        <w:t>E</w:t>
      </w:r>
      <w:r w:rsidR="00A5006F">
        <w:t xml:space="preserve">n Puerto Rico, </w:t>
      </w:r>
      <w:r w:rsidR="00B64D86">
        <w:t>se han recopilado narrativas similares, sin embargo, no se cuenta con datos empíricos relacionados al impacto de estas microagresiones (Martínez-</w:t>
      </w:r>
      <w:proofErr w:type="spellStart"/>
      <w:r w:rsidR="00B64D86">
        <w:t>Taboas</w:t>
      </w:r>
      <w:proofErr w:type="spellEnd"/>
      <w:r w:rsidR="00B64D86">
        <w:t xml:space="preserve">, et al., 2019). Además, las experiencias de los ateos puertorriqueños </w:t>
      </w:r>
      <w:r w:rsidR="00264752">
        <w:t>no se ha</w:t>
      </w:r>
      <w:r w:rsidR="00B64D86">
        <w:t>n</w:t>
      </w:r>
      <w:r w:rsidR="00264752">
        <w:t xml:space="preserve"> asociado significativamente</w:t>
      </w:r>
      <w:r w:rsidR="00A5006F">
        <w:t xml:space="preserve"> con menor bienestar psicológico (González Rivera et al., 2017</w:t>
      </w:r>
      <w:r w:rsidR="00B64D86">
        <w:t>; González-Rivera et al., 2019; Martínez-</w:t>
      </w:r>
      <w:proofErr w:type="spellStart"/>
      <w:r w:rsidR="00B64D86">
        <w:t>Taboas</w:t>
      </w:r>
      <w:proofErr w:type="spellEnd"/>
      <w:r w:rsidR="00B64D86">
        <w:t xml:space="preserve"> &amp; Orellana, 2017</w:t>
      </w:r>
      <w:r w:rsidR="00A5006F">
        <w:t>).</w:t>
      </w:r>
    </w:p>
    <w:p w14:paraId="73D288D5" w14:textId="18DD2866" w:rsidR="00224038" w:rsidRDefault="00253B73" w:rsidP="00253B73">
      <w:pPr>
        <w:spacing w:line="360" w:lineRule="auto"/>
        <w:ind w:firstLine="720"/>
        <w:jc w:val="both"/>
        <w:rPr>
          <w:lang w:val="es-ES"/>
        </w:rPr>
      </w:pPr>
      <w:r>
        <w:rPr>
          <w:lang w:val="es-ES"/>
        </w:rPr>
        <w:t xml:space="preserve">Por otra parte, </w:t>
      </w:r>
      <w:r w:rsidR="00224038">
        <w:rPr>
          <w:lang w:val="es-ES"/>
        </w:rPr>
        <w:t>con</w:t>
      </w:r>
      <w:r w:rsidR="00C87530">
        <w:rPr>
          <w:lang w:val="es-ES"/>
        </w:rPr>
        <w:t xml:space="preserve"> el</w:t>
      </w:r>
      <w:r w:rsidR="00224038">
        <w:rPr>
          <w:lang w:val="es-ES"/>
        </w:rPr>
        <w:t xml:space="preserve"> AFE en </w:t>
      </w:r>
      <w:r>
        <w:rPr>
          <w:lang w:val="es-ES"/>
        </w:rPr>
        <w:t>la segunda fase p</w:t>
      </w:r>
      <w:r w:rsidR="00224038">
        <w:rPr>
          <w:lang w:val="es-ES"/>
        </w:rPr>
        <w:t>udimos</w:t>
      </w:r>
      <w:r>
        <w:rPr>
          <w:lang w:val="es-ES"/>
        </w:rPr>
        <w:t xml:space="preserve"> reducir la matriz de reactivos y ubicarlos en</w:t>
      </w:r>
      <w:r w:rsidR="00147577">
        <w:rPr>
          <w:lang w:val="es-ES"/>
        </w:rPr>
        <w:t xml:space="preserve"> las siguientes</w:t>
      </w:r>
      <w:r>
        <w:rPr>
          <w:lang w:val="es-ES"/>
        </w:rPr>
        <w:t xml:space="preserve"> tres subescalas </w:t>
      </w:r>
      <w:r w:rsidR="00224038">
        <w:rPr>
          <w:lang w:val="es-ES"/>
        </w:rPr>
        <w:t xml:space="preserve">a </w:t>
      </w:r>
      <w:r>
        <w:rPr>
          <w:lang w:val="es-ES"/>
        </w:rPr>
        <w:t xml:space="preserve">base </w:t>
      </w:r>
      <w:r w:rsidR="00147577">
        <w:rPr>
          <w:lang w:val="es-ES"/>
        </w:rPr>
        <w:t>de</w:t>
      </w:r>
      <w:r>
        <w:rPr>
          <w:lang w:val="es-ES"/>
        </w:rPr>
        <w:t xml:space="preserve"> su carga factorial</w:t>
      </w:r>
      <w:r w:rsidR="00BE27F2">
        <w:rPr>
          <w:lang w:val="es-ES"/>
        </w:rPr>
        <w:t xml:space="preserve">: 1) Estereotipar a personas ateas, </w:t>
      </w:r>
      <w:r w:rsidR="00147577">
        <w:rPr>
          <w:lang w:val="es-ES"/>
        </w:rPr>
        <w:t>2) Degradación</w:t>
      </w:r>
      <w:r w:rsidR="00BE27F2">
        <w:rPr>
          <w:lang w:val="es-ES"/>
        </w:rPr>
        <w:t xml:space="preserve"> de la identidad ateísta</w:t>
      </w:r>
      <w:r w:rsidR="003925AF">
        <w:rPr>
          <w:lang w:val="es-ES"/>
        </w:rPr>
        <w:t>,</w:t>
      </w:r>
      <w:r w:rsidR="00BE27F2">
        <w:rPr>
          <w:lang w:val="es-ES"/>
        </w:rPr>
        <w:t xml:space="preserve"> y 3) Negación de la individualidad </w:t>
      </w:r>
      <w:r w:rsidR="009E3092">
        <w:rPr>
          <w:lang w:val="es-ES"/>
        </w:rPr>
        <w:t>ateísta</w:t>
      </w:r>
      <w:r>
        <w:rPr>
          <w:lang w:val="es-ES"/>
        </w:rPr>
        <w:t xml:space="preserve">. </w:t>
      </w:r>
      <w:r w:rsidR="00147577">
        <w:rPr>
          <w:lang w:val="es-ES"/>
        </w:rPr>
        <w:t xml:space="preserve">Estas tres </w:t>
      </w:r>
      <w:r w:rsidR="00147577">
        <w:rPr>
          <w:lang w:val="es-ES"/>
        </w:rPr>
        <w:lastRenderedPageBreak/>
        <w:t xml:space="preserve">escalas recogen de manera más específica las microagresiones religiosas propuesta por Nadal y colaboradores (2010).  </w:t>
      </w:r>
      <w:r w:rsidR="00C87530">
        <w:rPr>
          <w:lang w:val="es-ES"/>
        </w:rPr>
        <w:t>Por ejemplo</w:t>
      </w:r>
      <w:r w:rsidR="00147577">
        <w:rPr>
          <w:lang w:val="es-ES"/>
        </w:rPr>
        <w:t xml:space="preserve">, </w:t>
      </w:r>
      <w:r w:rsidR="00517BA9">
        <w:rPr>
          <w:lang w:val="es-ES"/>
        </w:rPr>
        <w:t>la</w:t>
      </w:r>
      <w:r w:rsidR="00147577">
        <w:rPr>
          <w:lang w:val="es-ES"/>
        </w:rPr>
        <w:t xml:space="preserve"> primera subescala evalúa los estereotipos </w:t>
      </w:r>
      <w:r w:rsidR="00C87530">
        <w:rPr>
          <w:lang w:val="es-ES"/>
        </w:rPr>
        <w:t>hacia</w:t>
      </w:r>
      <w:r w:rsidR="00147577">
        <w:rPr>
          <w:lang w:val="es-ES"/>
        </w:rPr>
        <w:t xml:space="preserve"> una minoría religiosa</w:t>
      </w:r>
      <w:r w:rsidR="0036555E">
        <w:rPr>
          <w:lang w:val="es-ES"/>
        </w:rPr>
        <w:t xml:space="preserve">, </w:t>
      </w:r>
      <w:r w:rsidR="00147577">
        <w:rPr>
          <w:lang w:val="es-ES"/>
        </w:rPr>
        <w:t xml:space="preserve">experiencias de patologización y prejuicios </w:t>
      </w:r>
      <w:r w:rsidR="00C87530">
        <w:rPr>
          <w:lang w:val="es-ES"/>
        </w:rPr>
        <w:t>hacia</w:t>
      </w:r>
      <w:r w:rsidR="00147577">
        <w:rPr>
          <w:lang w:val="es-ES"/>
        </w:rPr>
        <w:t xml:space="preserve"> </w:t>
      </w:r>
      <w:r w:rsidR="0036555E">
        <w:rPr>
          <w:lang w:val="es-ES"/>
        </w:rPr>
        <w:t>ateos</w:t>
      </w:r>
      <w:r w:rsidR="00147577">
        <w:rPr>
          <w:lang w:val="es-ES"/>
        </w:rPr>
        <w:t xml:space="preserve">. </w:t>
      </w:r>
      <w:r w:rsidR="00C87530">
        <w:rPr>
          <w:lang w:val="es-ES"/>
        </w:rPr>
        <w:t>L</w:t>
      </w:r>
      <w:r w:rsidR="00147577">
        <w:rPr>
          <w:lang w:val="es-ES"/>
        </w:rPr>
        <w:t xml:space="preserve">a segunda </w:t>
      </w:r>
      <w:r w:rsidR="00717D13">
        <w:rPr>
          <w:lang w:val="es-ES"/>
        </w:rPr>
        <w:t>sub</w:t>
      </w:r>
      <w:r w:rsidR="00147577">
        <w:rPr>
          <w:lang w:val="es-ES"/>
        </w:rPr>
        <w:t xml:space="preserve">escala reúne experiencias de </w:t>
      </w:r>
      <w:proofErr w:type="spellStart"/>
      <w:r w:rsidR="007F4C2E">
        <w:rPr>
          <w:lang w:val="es-ES"/>
        </w:rPr>
        <w:t>exotización</w:t>
      </w:r>
      <w:proofErr w:type="spellEnd"/>
      <w:r w:rsidR="007F4C2E">
        <w:rPr>
          <w:lang w:val="es-ES"/>
        </w:rPr>
        <w:t xml:space="preserve"> </w:t>
      </w:r>
      <w:r w:rsidR="00147577">
        <w:rPr>
          <w:lang w:val="es-ES"/>
        </w:rPr>
        <w:t xml:space="preserve">y </w:t>
      </w:r>
      <w:r w:rsidR="00517BA9">
        <w:rPr>
          <w:lang w:val="es-ES"/>
        </w:rPr>
        <w:t>suposici</w:t>
      </w:r>
      <w:r w:rsidR="0036555E">
        <w:rPr>
          <w:lang w:val="es-ES"/>
        </w:rPr>
        <w:t>ón</w:t>
      </w:r>
      <w:r w:rsidR="00517BA9">
        <w:rPr>
          <w:lang w:val="es-ES"/>
        </w:rPr>
        <w:t xml:space="preserve"> de la identidad religiosa como normal</w:t>
      </w:r>
      <w:r w:rsidR="00517BA9" w:rsidRPr="00112A40">
        <w:rPr>
          <w:lang w:val="es-ES"/>
        </w:rPr>
        <w:t>.</w:t>
      </w:r>
      <w:r w:rsidR="00112A40" w:rsidRPr="006A35F1">
        <w:rPr>
          <w:rStyle w:val="PageNumber"/>
          <w:rFonts w:eastAsiaTheme="minorHAnsi"/>
          <w:lang w:val="es-ES" w:eastAsia="en-US"/>
        </w:rPr>
        <w:t xml:space="preserve"> </w:t>
      </w:r>
      <w:r w:rsidR="00C87530">
        <w:rPr>
          <w:rStyle w:val="PageNumber"/>
          <w:rFonts w:eastAsiaTheme="minorHAnsi"/>
          <w:lang w:val="es-ES" w:eastAsia="en-US"/>
        </w:rPr>
        <w:t>L</w:t>
      </w:r>
      <w:r w:rsidR="00517BA9">
        <w:rPr>
          <w:lang w:val="es-ES"/>
        </w:rPr>
        <w:t xml:space="preserve">a tercera </w:t>
      </w:r>
      <w:r w:rsidR="00717D13">
        <w:rPr>
          <w:lang w:val="es-ES"/>
        </w:rPr>
        <w:t>sub</w:t>
      </w:r>
      <w:r w:rsidR="00517BA9">
        <w:rPr>
          <w:lang w:val="es-ES"/>
        </w:rPr>
        <w:t xml:space="preserve">escala </w:t>
      </w:r>
      <w:r w:rsidR="007F6FA0">
        <w:rPr>
          <w:lang w:val="es-ES"/>
        </w:rPr>
        <w:t xml:space="preserve">evalúa </w:t>
      </w:r>
      <w:r w:rsidR="00517BA9">
        <w:rPr>
          <w:lang w:val="es-ES"/>
        </w:rPr>
        <w:t>experiencias en las cuales otros asumen no existe individualidad entre esta población.</w:t>
      </w:r>
    </w:p>
    <w:p w14:paraId="18AE0764" w14:textId="2DBBE6E9" w:rsidR="00102058" w:rsidRDefault="00102058" w:rsidP="006A35F1">
      <w:pPr>
        <w:spacing w:line="360" w:lineRule="auto"/>
        <w:ind w:firstLine="720"/>
        <w:jc w:val="both"/>
        <w:rPr>
          <w:lang w:val="es-ES"/>
        </w:rPr>
      </w:pPr>
      <w:r>
        <w:rPr>
          <w:lang w:val="es-ES"/>
        </w:rPr>
        <w:t xml:space="preserve">En términos de la primera hipótesis, </w:t>
      </w:r>
      <w:r w:rsidR="00ED1F3C">
        <w:rPr>
          <w:lang w:val="es-ES"/>
        </w:rPr>
        <w:t xml:space="preserve">esperábamos </w:t>
      </w:r>
      <w:r w:rsidR="00F000E9">
        <w:rPr>
          <w:lang w:val="es-ES"/>
        </w:rPr>
        <w:t xml:space="preserve">que la EMPA </w:t>
      </w:r>
      <w:proofErr w:type="gramStart"/>
      <w:r w:rsidR="00F000E9">
        <w:rPr>
          <w:lang w:val="es-ES"/>
        </w:rPr>
        <w:t>tendría</w:t>
      </w:r>
      <w:proofErr w:type="gramEnd"/>
      <w:r w:rsidR="00F000E9">
        <w:rPr>
          <w:lang w:val="es-ES"/>
        </w:rPr>
        <w:t xml:space="preserve"> una consistencia interna igual o mayor a .89. Los resultados </w:t>
      </w:r>
      <w:r w:rsidR="00C87530">
        <w:rPr>
          <w:lang w:val="es-ES"/>
        </w:rPr>
        <w:t xml:space="preserve">apoyaron esta hipótesis al </w:t>
      </w:r>
      <w:r w:rsidR="00F000E9">
        <w:rPr>
          <w:lang w:val="es-ES"/>
        </w:rPr>
        <w:t>revelar una consistencia interna alta de la escala total y sus tres subescalas. Evidenciando</w:t>
      </w:r>
      <w:r w:rsidR="00F000E9" w:rsidRPr="0044670C">
        <w:rPr>
          <w:lang w:val="es-ES"/>
        </w:rPr>
        <w:t xml:space="preserve"> </w:t>
      </w:r>
      <w:r w:rsidR="00F000E9">
        <w:rPr>
          <w:lang w:val="es-ES"/>
        </w:rPr>
        <w:t>la confiabilidad de utilizar la EMPA en la población atea puertorriqueña y respalda nuestro esfuerzo para validar la escala. De manera similar, las correlaciones entre la escala total y sus respectivas subescalas demuestran que los reactivos de la EMPA son pertinentes para evaluar los tipos de microagresiones que enfrentan las personas ateas puertorriqueñas</w:t>
      </w:r>
      <w:r w:rsidR="00F000E9" w:rsidRPr="0044670C">
        <w:rPr>
          <w:lang w:val="es-ES"/>
        </w:rPr>
        <w:t>.</w:t>
      </w:r>
    </w:p>
    <w:p w14:paraId="378FC9AB" w14:textId="764ACE0C" w:rsidR="002A06E2" w:rsidRDefault="003925AF" w:rsidP="006A35F1">
      <w:pPr>
        <w:spacing w:line="360" w:lineRule="auto"/>
        <w:ind w:firstLine="720"/>
        <w:jc w:val="both"/>
        <w:rPr>
          <w:lang w:val="es-ES"/>
        </w:rPr>
      </w:pPr>
      <w:r>
        <w:rPr>
          <w:lang w:val="es-ES"/>
        </w:rPr>
        <w:t>En relación con</w:t>
      </w:r>
      <w:r w:rsidR="00F000E9">
        <w:rPr>
          <w:lang w:val="es-ES"/>
        </w:rPr>
        <w:t xml:space="preserve"> la segunda hipótesis, suponíamos que a mayor edad </w:t>
      </w:r>
      <w:r w:rsidR="00F45C68">
        <w:rPr>
          <w:lang w:val="es-ES"/>
        </w:rPr>
        <w:t xml:space="preserve">se </w:t>
      </w:r>
      <w:r w:rsidR="00F000E9">
        <w:rPr>
          <w:lang w:val="es-ES"/>
        </w:rPr>
        <w:t>reportarían más experiencias de microagresiones. Sin embargo,</w:t>
      </w:r>
      <w:r w:rsidR="00070462">
        <w:rPr>
          <w:lang w:val="es-ES"/>
        </w:rPr>
        <w:t xml:space="preserve"> </w:t>
      </w:r>
      <w:r w:rsidR="002D4069">
        <w:rPr>
          <w:lang w:val="es-ES"/>
        </w:rPr>
        <w:t>solo s</w:t>
      </w:r>
      <w:r w:rsidR="00070462">
        <w:rPr>
          <w:lang w:val="es-ES"/>
        </w:rPr>
        <w:t>e observó una tendencia leve en la cual, a mayor edad, menor reporte de microagresiones.</w:t>
      </w:r>
      <w:r w:rsidR="00253B73">
        <w:rPr>
          <w:lang w:val="es-ES"/>
        </w:rPr>
        <w:t xml:space="preserve"> </w:t>
      </w:r>
      <w:r w:rsidR="00F000E9">
        <w:rPr>
          <w:lang w:val="es-ES"/>
        </w:rPr>
        <w:t xml:space="preserve">En términos de nuestra tercera hipótesis, esperábamos que a menor edad </w:t>
      </w:r>
      <w:r w:rsidR="000524B8">
        <w:rPr>
          <w:lang w:val="es-ES"/>
        </w:rPr>
        <w:t>de identificación ateísta</w:t>
      </w:r>
      <w:r w:rsidR="00F000E9">
        <w:rPr>
          <w:lang w:val="es-ES"/>
        </w:rPr>
        <w:t xml:space="preserve"> se observaría mayor reporte de microagresiones con molestia moderada a severa</w:t>
      </w:r>
      <w:r w:rsidR="000524B8">
        <w:rPr>
          <w:lang w:val="es-ES"/>
        </w:rPr>
        <w:t>.</w:t>
      </w:r>
      <w:r w:rsidR="00F000E9">
        <w:rPr>
          <w:lang w:val="es-ES"/>
        </w:rPr>
        <w:t xml:space="preserve"> Nuestro </w:t>
      </w:r>
      <w:r w:rsidR="00253B73">
        <w:rPr>
          <w:lang w:val="es-ES"/>
        </w:rPr>
        <w:t xml:space="preserve">análisis reveló que la edad </w:t>
      </w:r>
      <w:r w:rsidR="00F45C68">
        <w:rPr>
          <w:lang w:val="es-ES"/>
        </w:rPr>
        <w:t>de identificación ateísta</w:t>
      </w:r>
      <w:r w:rsidR="00253B73">
        <w:rPr>
          <w:lang w:val="es-ES"/>
        </w:rPr>
        <w:t xml:space="preserve"> no influyó de manera significativa en el reporte de microagresiones</w:t>
      </w:r>
      <w:r w:rsidR="00151488">
        <w:rPr>
          <w:lang w:val="es-ES"/>
        </w:rPr>
        <w:t>.</w:t>
      </w:r>
      <w:r w:rsidR="00253B73">
        <w:rPr>
          <w:lang w:val="es-ES"/>
        </w:rPr>
        <w:t xml:space="preserve"> Esto</w:t>
      </w:r>
      <w:r w:rsidR="00656A64">
        <w:rPr>
          <w:lang w:val="es-ES"/>
        </w:rPr>
        <w:t>s</w:t>
      </w:r>
      <w:r w:rsidR="00253B73">
        <w:rPr>
          <w:lang w:val="es-ES"/>
        </w:rPr>
        <w:t xml:space="preserve"> resultados</w:t>
      </w:r>
      <w:r w:rsidR="002A06E2">
        <w:rPr>
          <w:lang w:val="es-ES"/>
        </w:rPr>
        <w:t xml:space="preserve"> rechazan ambas hipótesis y</w:t>
      </w:r>
      <w:r w:rsidR="00253B73">
        <w:rPr>
          <w:lang w:val="es-ES"/>
        </w:rPr>
        <w:t xml:space="preserve"> podría</w:t>
      </w:r>
      <w:r w:rsidR="002A06E2">
        <w:rPr>
          <w:lang w:val="es-ES"/>
        </w:rPr>
        <w:t>n</w:t>
      </w:r>
      <w:r w:rsidR="00253B73">
        <w:rPr>
          <w:lang w:val="es-ES"/>
        </w:rPr>
        <w:t xml:space="preserve"> estar asociados a la naturaleza exploratoria de esta investigación. </w:t>
      </w:r>
      <w:r w:rsidR="000524B8">
        <w:rPr>
          <w:lang w:val="es-ES"/>
        </w:rPr>
        <w:t>Lo cual podría impactar la validez de constructo</w:t>
      </w:r>
      <w:r w:rsidR="00193A70">
        <w:rPr>
          <w:lang w:val="es-ES"/>
        </w:rPr>
        <w:t xml:space="preserve"> (</w:t>
      </w:r>
      <w:r w:rsidR="00831184">
        <w:rPr>
          <w:lang w:val="es-ES"/>
        </w:rPr>
        <w:t>Hernández-</w:t>
      </w:r>
      <w:r w:rsidR="00193A70">
        <w:rPr>
          <w:lang w:val="es-ES"/>
        </w:rPr>
        <w:t>Sampieri</w:t>
      </w:r>
      <w:r w:rsidR="00831184">
        <w:rPr>
          <w:lang w:val="es-ES"/>
        </w:rPr>
        <w:t xml:space="preserve"> &amp; Mendoza</w:t>
      </w:r>
      <w:r w:rsidR="00193A70">
        <w:rPr>
          <w:lang w:val="es-ES"/>
        </w:rPr>
        <w:t>, 2018)</w:t>
      </w:r>
      <w:r w:rsidR="00F45C68">
        <w:rPr>
          <w:lang w:val="es-ES"/>
        </w:rPr>
        <w:t xml:space="preserve">, </w:t>
      </w:r>
      <w:r w:rsidR="00473BE7">
        <w:rPr>
          <w:lang w:val="es-ES"/>
        </w:rPr>
        <w:t xml:space="preserve">debido al limitado </w:t>
      </w:r>
      <w:r w:rsidR="00F45C68">
        <w:rPr>
          <w:lang w:val="es-ES"/>
        </w:rPr>
        <w:t>conocimiento</w:t>
      </w:r>
      <w:r w:rsidR="00473BE7">
        <w:rPr>
          <w:lang w:val="es-ES"/>
        </w:rPr>
        <w:t xml:space="preserve"> de correlaciones entre las expe</w:t>
      </w:r>
      <w:r w:rsidR="00F45C68">
        <w:rPr>
          <w:lang w:val="es-ES"/>
        </w:rPr>
        <w:t>ri</w:t>
      </w:r>
      <w:r w:rsidR="00473BE7">
        <w:rPr>
          <w:lang w:val="es-ES"/>
        </w:rPr>
        <w:t xml:space="preserve">encias </w:t>
      </w:r>
      <w:r w:rsidR="00F45C68">
        <w:rPr>
          <w:lang w:val="es-ES"/>
        </w:rPr>
        <w:t>representadas en la escala</w:t>
      </w:r>
      <w:r w:rsidR="00473BE7">
        <w:rPr>
          <w:lang w:val="es-ES"/>
        </w:rPr>
        <w:t xml:space="preserve"> y </w:t>
      </w:r>
      <w:r w:rsidR="00F45C68">
        <w:rPr>
          <w:lang w:val="es-ES"/>
        </w:rPr>
        <w:t xml:space="preserve">su interacción con otras </w:t>
      </w:r>
      <w:r w:rsidR="00473BE7">
        <w:rPr>
          <w:lang w:val="es-ES"/>
        </w:rPr>
        <w:t xml:space="preserve">variables </w:t>
      </w:r>
      <w:r w:rsidR="00F45C68">
        <w:rPr>
          <w:lang w:val="es-ES"/>
        </w:rPr>
        <w:t>que fueron</w:t>
      </w:r>
      <w:r w:rsidR="00473BE7">
        <w:rPr>
          <w:lang w:val="es-ES"/>
        </w:rPr>
        <w:t xml:space="preserve"> excluidas</w:t>
      </w:r>
      <w:r w:rsidR="00F45C68">
        <w:rPr>
          <w:lang w:val="es-ES"/>
        </w:rPr>
        <w:t xml:space="preserve"> en nuestro análisis</w:t>
      </w:r>
      <w:r w:rsidR="007F6FA0">
        <w:rPr>
          <w:lang w:val="es-ES"/>
        </w:rPr>
        <w:t xml:space="preserve">. </w:t>
      </w:r>
    </w:p>
    <w:p w14:paraId="40A4E7FE" w14:textId="1B2C38EC" w:rsidR="00A20793" w:rsidRDefault="00C87530" w:rsidP="0062667D">
      <w:pPr>
        <w:spacing w:line="360" w:lineRule="auto"/>
        <w:ind w:firstLine="720"/>
        <w:jc w:val="both"/>
        <w:rPr>
          <w:lang w:val="es-ES"/>
        </w:rPr>
      </w:pPr>
      <w:r>
        <w:rPr>
          <w:lang w:val="es-ES"/>
        </w:rPr>
        <w:t>En términos de</w:t>
      </w:r>
      <w:r w:rsidR="0062667D">
        <w:rPr>
          <w:lang w:val="es-ES"/>
        </w:rPr>
        <w:t xml:space="preserve"> nuestra cuarta hipótesis, los resultados de nuestra investigación sugieren que, al comparar el nivel de escolaridad con los resultados de la escala total, el grado académico no influyó en el reporte de microagresiones. Sin embargo, observamos</w:t>
      </w:r>
      <w:r w:rsidR="00B72A6F">
        <w:rPr>
          <w:lang w:val="es-ES"/>
        </w:rPr>
        <w:t xml:space="preserve"> </w:t>
      </w:r>
      <w:r w:rsidR="0062667D">
        <w:rPr>
          <w:lang w:val="es-ES"/>
        </w:rPr>
        <w:t>una tendencia leve en la cual a mayor nivel de escolaridad hubo menor reporte de experiencias de microagresión relacionadas a la estereotipación. A pesar de su débil correlación, estos resultados podrían estar asociados al fenómeno observado en la teoría de rechazo-identificación</w:t>
      </w:r>
      <w:r w:rsidR="003D12BD">
        <w:rPr>
          <w:lang w:val="es-ES"/>
        </w:rPr>
        <w:t xml:space="preserve">, el cual </w:t>
      </w:r>
      <w:r w:rsidR="003D12BD" w:rsidRPr="00D760EB">
        <w:rPr>
          <w:lang w:val="es-ES"/>
        </w:rPr>
        <w:t>teoriza que la identificación con el grupo marginado debilita los efectos negativos de la discriminación en el bienestar</w:t>
      </w:r>
      <w:r w:rsidR="0062667D">
        <w:rPr>
          <w:lang w:val="es-ES"/>
        </w:rPr>
        <w:t xml:space="preserve"> (</w:t>
      </w:r>
      <w:proofErr w:type="spellStart"/>
      <w:r w:rsidR="0062667D" w:rsidRPr="00337BB2">
        <w:rPr>
          <w:lang w:val="es-ES"/>
        </w:rPr>
        <w:t>Branscombe</w:t>
      </w:r>
      <w:proofErr w:type="spellEnd"/>
      <w:r w:rsidR="0062667D" w:rsidRPr="00337BB2">
        <w:rPr>
          <w:lang w:val="es-ES"/>
        </w:rPr>
        <w:t>,</w:t>
      </w:r>
      <w:r w:rsidR="0062667D">
        <w:rPr>
          <w:lang w:val="es-ES"/>
        </w:rPr>
        <w:t xml:space="preserve"> et al., 1999;</w:t>
      </w:r>
      <w:r w:rsidR="00724366">
        <w:rPr>
          <w:lang w:val="es-ES"/>
        </w:rPr>
        <w:t xml:space="preserve"> Chan, 2022;</w:t>
      </w:r>
      <w:r w:rsidR="0062667D">
        <w:rPr>
          <w:lang w:val="es-ES"/>
        </w:rPr>
        <w:t xml:space="preserve"> </w:t>
      </w:r>
      <w:r w:rsidR="0062667D" w:rsidRPr="00337BB2">
        <w:rPr>
          <w:lang w:val="es-ES"/>
        </w:rPr>
        <w:t>Schmitt</w:t>
      </w:r>
      <w:r w:rsidR="0062667D">
        <w:rPr>
          <w:lang w:val="es-ES"/>
        </w:rPr>
        <w:t xml:space="preserve">, et al., </w:t>
      </w:r>
      <w:r w:rsidR="0062667D" w:rsidRPr="00337BB2">
        <w:rPr>
          <w:lang w:val="es-ES"/>
        </w:rPr>
        <w:t>2002</w:t>
      </w:r>
      <w:r w:rsidR="0062667D">
        <w:rPr>
          <w:lang w:val="es-ES"/>
        </w:rPr>
        <w:t xml:space="preserve">). </w:t>
      </w:r>
    </w:p>
    <w:p w14:paraId="0157476F" w14:textId="434F8C31" w:rsidR="0062667D" w:rsidRDefault="0062667D" w:rsidP="0062667D">
      <w:pPr>
        <w:spacing w:line="360" w:lineRule="auto"/>
        <w:ind w:firstLine="720"/>
        <w:jc w:val="both"/>
        <w:rPr>
          <w:lang w:val="es-ES"/>
        </w:rPr>
      </w:pPr>
      <w:r>
        <w:rPr>
          <w:lang w:val="es-ES"/>
        </w:rPr>
        <w:lastRenderedPageBreak/>
        <w:t>Las experiencias de rechazo a base de la identificación como ateos/as ofrece la oportunidad para desarrollar y mantener relaciones con miembros de esta población. A su vez, fomenta</w:t>
      </w:r>
      <w:r w:rsidRPr="00337BB2">
        <w:rPr>
          <w:lang w:val="es-ES"/>
        </w:rPr>
        <w:t xml:space="preserve"> un</w:t>
      </w:r>
      <w:r>
        <w:rPr>
          <w:lang w:val="es-ES"/>
        </w:rPr>
        <w:t xml:space="preserve"> </w:t>
      </w:r>
      <w:r w:rsidRPr="00337BB2">
        <w:rPr>
          <w:lang w:val="es-ES"/>
        </w:rPr>
        <w:t>sentido</w:t>
      </w:r>
      <w:r>
        <w:rPr>
          <w:lang w:val="es-ES"/>
        </w:rPr>
        <w:t xml:space="preserve"> </w:t>
      </w:r>
      <w:r w:rsidRPr="00337BB2">
        <w:rPr>
          <w:lang w:val="es-ES"/>
        </w:rPr>
        <w:t>de</w:t>
      </w:r>
      <w:r>
        <w:rPr>
          <w:lang w:val="es-ES"/>
        </w:rPr>
        <w:t xml:space="preserve"> </w:t>
      </w:r>
      <w:r w:rsidRPr="00337BB2">
        <w:rPr>
          <w:lang w:val="es-ES"/>
        </w:rPr>
        <w:t>pertenencia</w:t>
      </w:r>
      <w:r>
        <w:rPr>
          <w:lang w:val="es-ES"/>
        </w:rPr>
        <w:t xml:space="preserve"> </w:t>
      </w:r>
      <w:r w:rsidRPr="00337BB2">
        <w:rPr>
          <w:lang w:val="es-ES"/>
        </w:rPr>
        <w:t>y</w:t>
      </w:r>
      <w:r>
        <w:rPr>
          <w:lang w:val="es-ES"/>
        </w:rPr>
        <w:t xml:space="preserve"> </w:t>
      </w:r>
      <w:r w:rsidRPr="00337BB2">
        <w:rPr>
          <w:lang w:val="es-ES"/>
        </w:rPr>
        <w:t xml:space="preserve">aceptación </w:t>
      </w:r>
      <w:r>
        <w:rPr>
          <w:lang w:val="es-ES"/>
        </w:rPr>
        <w:t xml:space="preserve">al </w:t>
      </w:r>
      <w:r w:rsidRPr="00D760EB">
        <w:rPr>
          <w:lang w:val="es-ES"/>
        </w:rPr>
        <w:t>haber encontrado comunidades comprensivas que p</w:t>
      </w:r>
      <w:r w:rsidR="00F14660">
        <w:rPr>
          <w:lang w:val="es-ES"/>
        </w:rPr>
        <w:t>iensan</w:t>
      </w:r>
      <w:r w:rsidRPr="00D760EB">
        <w:rPr>
          <w:lang w:val="es-ES"/>
        </w:rPr>
        <w:t xml:space="preserve"> de manera similar a </w:t>
      </w:r>
      <w:proofErr w:type="gramStart"/>
      <w:r w:rsidRPr="00D760EB">
        <w:rPr>
          <w:lang w:val="es-ES"/>
        </w:rPr>
        <w:t>ellos</w:t>
      </w:r>
      <w:r w:rsidR="001526A4">
        <w:rPr>
          <w:lang w:val="es-ES"/>
        </w:rPr>
        <w:t xml:space="preserve"> </w:t>
      </w:r>
      <w:r>
        <w:rPr>
          <w:lang w:val="es-ES"/>
        </w:rPr>
        <w:t xml:space="preserve"> (</w:t>
      </w:r>
      <w:proofErr w:type="gramEnd"/>
      <w:r w:rsidRPr="00C56316">
        <w:rPr>
          <w:lang w:val="es-ES"/>
        </w:rPr>
        <w:t xml:space="preserve">Abbott &amp; </w:t>
      </w:r>
      <w:proofErr w:type="spellStart"/>
      <w:r w:rsidRPr="00C56316">
        <w:rPr>
          <w:lang w:val="es-ES"/>
        </w:rPr>
        <w:t>Mollen</w:t>
      </w:r>
      <w:proofErr w:type="spellEnd"/>
      <w:r w:rsidRPr="00C56316">
        <w:rPr>
          <w:lang w:val="es-ES"/>
        </w:rPr>
        <w:t xml:space="preserve">, 2018; </w:t>
      </w:r>
      <w:proofErr w:type="spellStart"/>
      <w:r w:rsidRPr="00D760EB">
        <w:rPr>
          <w:lang w:val="es-ES"/>
        </w:rPr>
        <w:t>Doane</w:t>
      </w:r>
      <w:proofErr w:type="spellEnd"/>
      <w:r w:rsidRPr="00D760EB">
        <w:rPr>
          <w:lang w:val="es-ES"/>
        </w:rPr>
        <w:t xml:space="preserve"> &amp; Elliott, 2015</w:t>
      </w:r>
      <w:r>
        <w:rPr>
          <w:lang w:val="es-ES"/>
        </w:rPr>
        <w:t>;</w:t>
      </w:r>
      <w:r w:rsidRPr="00C56316">
        <w:rPr>
          <w:lang w:val="es-ES"/>
        </w:rPr>
        <w:t xml:space="preserve"> </w:t>
      </w:r>
      <w:proofErr w:type="spellStart"/>
      <w:r w:rsidRPr="00C56316">
        <w:rPr>
          <w:lang w:val="es-ES"/>
        </w:rPr>
        <w:t>Galen</w:t>
      </w:r>
      <w:proofErr w:type="spellEnd"/>
      <w:r w:rsidRPr="00C56316">
        <w:rPr>
          <w:lang w:val="es-ES"/>
        </w:rPr>
        <w:t>, 2015;</w:t>
      </w:r>
      <w:r>
        <w:rPr>
          <w:lang w:val="es-ES"/>
        </w:rPr>
        <w:t xml:space="preserve"> González-Rivera et al., 2017; Mann, 2015). </w:t>
      </w:r>
      <w:r w:rsidR="00D67AB8">
        <w:rPr>
          <w:lang w:val="es-ES"/>
        </w:rPr>
        <w:t>A su vez</w:t>
      </w:r>
      <w:r w:rsidR="00F14660">
        <w:rPr>
          <w:lang w:val="es-ES"/>
        </w:rPr>
        <w:t>, se ha identificado que la población atea y no-religiosa tiende a tener niveles altos de educación (</w:t>
      </w:r>
      <w:proofErr w:type="spellStart"/>
      <w:r w:rsidR="00F14660">
        <w:rPr>
          <w:lang w:val="es-ES"/>
        </w:rPr>
        <w:t>Kosmin</w:t>
      </w:r>
      <w:proofErr w:type="spellEnd"/>
      <w:r w:rsidR="00F14660">
        <w:rPr>
          <w:lang w:val="es-ES"/>
        </w:rPr>
        <w:t xml:space="preserve"> &amp; </w:t>
      </w:r>
      <w:proofErr w:type="spellStart"/>
      <w:r w:rsidR="00F14660">
        <w:rPr>
          <w:lang w:val="es-ES"/>
        </w:rPr>
        <w:t>Keysar</w:t>
      </w:r>
      <w:proofErr w:type="spellEnd"/>
      <w:r w:rsidR="00F14660">
        <w:rPr>
          <w:lang w:val="es-ES"/>
        </w:rPr>
        <w:t>, 2006)</w:t>
      </w:r>
      <w:r w:rsidR="00193A70">
        <w:rPr>
          <w:lang w:val="es-ES"/>
        </w:rPr>
        <w:t>. L</w:t>
      </w:r>
      <w:r w:rsidR="00F14660">
        <w:rPr>
          <w:lang w:val="es-ES"/>
        </w:rPr>
        <w:t xml:space="preserve">o cual sugiere que podrían tener mayor oportunidad para el desarrollo de factores protectores para aliviar el fenómeno de rechazo y discriminación al ser una minoría (Johnson-Lawrence et al., 2019). </w:t>
      </w:r>
    </w:p>
    <w:p w14:paraId="2AB7EC50" w14:textId="54AA579F" w:rsidR="00253B73" w:rsidRDefault="00D67AB8" w:rsidP="003F1E9B">
      <w:pPr>
        <w:spacing w:line="360" w:lineRule="auto"/>
        <w:ind w:firstLine="720"/>
        <w:jc w:val="both"/>
        <w:rPr>
          <w:lang w:val="es-ES"/>
        </w:rPr>
      </w:pPr>
      <w:r>
        <w:rPr>
          <w:lang w:val="es-ES"/>
        </w:rPr>
        <w:t>D</w:t>
      </w:r>
      <w:r w:rsidR="000F5253">
        <w:rPr>
          <w:lang w:val="es-ES"/>
        </w:rPr>
        <w:t>ebido</w:t>
      </w:r>
      <w:r w:rsidR="00253B73" w:rsidRPr="000E7776">
        <w:rPr>
          <w:lang w:val="es-ES"/>
        </w:rPr>
        <w:t xml:space="preserve"> a que las microagresiones son sutiles, es posible que la persona atea no se dé cuenta de la microagresión o reconozca su impacto a nivel psicológico </w:t>
      </w:r>
      <w:r w:rsidR="00253B73" w:rsidRPr="00C56316">
        <w:rPr>
          <w:lang w:val="es-ES"/>
        </w:rPr>
        <w:t xml:space="preserve">(Nadal, 2008; Sue, et al., 2007). </w:t>
      </w:r>
      <w:r w:rsidR="004A427F">
        <w:rPr>
          <w:lang w:val="es-ES"/>
        </w:rPr>
        <w:t xml:space="preserve">Se ha identificado que </w:t>
      </w:r>
      <w:r>
        <w:rPr>
          <w:lang w:val="es-ES"/>
        </w:rPr>
        <w:t xml:space="preserve">microagresiones diarias </w:t>
      </w:r>
      <w:r w:rsidR="004A427F">
        <w:rPr>
          <w:lang w:val="es-ES"/>
        </w:rPr>
        <w:t>están asociad</w:t>
      </w:r>
      <w:r w:rsidR="003F1E9B">
        <w:rPr>
          <w:lang w:val="es-ES"/>
        </w:rPr>
        <w:t>a</w:t>
      </w:r>
      <w:r w:rsidR="004A427F">
        <w:rPr>
          <w:lang w:val="es-ES"/>
        </w:rPr>
        <w:t>s a niveles altos de estrés</w:t>
      </w:r>
      <w:r w:rsidR="003F1E9B">
        <w:rPr>
          <w:lang w:val="es-ES"/>
        </w:rPr>
        <w:t xml:space="preserve"> y</w:t>
      </w:r>
      <w:r w:rsidR="004A427F">
        <w:rPr>
          <w:lang w:val="es-ES"/>
        </w:rPr>
        <w:t xml:space="preserve"> un efecto negativo en el bienestar</w:t>
      </w:r>
      <w:r w:rsidR="003F1E9B">
        <w:rPr>
          <w:lang w:val="es-ES"/>
        </w:rPr>
        <w:t xml:space="preserve"> </w:t>
      </w:r>
      <w:r w:rsidR="009E60C4">
        <w:rPr>
          <w:lang w:val="es-ES"/>
        </w:rPr>
        <w:t>psicológico</w:t>
      </w:r>
      <w:r w:rsidR="004A427F">
        <w:rPr>
          <w:lang w:val="es-ES"/>
        </w:rPr>
        <w:t xml:space="preserve"> </w:t>
      </w:r>
      <w:r w:rsidR="003F1E9B">
        <w:rPr>
          <w:lang w:val="es-ES"/>
        </w:rPr>
        <w:t xml:space="preserve">de minorías étnicas (Molina et al., 2012; </w:t>
      </w:r>
      <w:proofErr w:type="spellStart"/>
      <w:r w:rsidR="003F1E9B">
        <w:t>Schoulte</w:t>
      </w:r>
      <w:proofErr w:type="spellEnd"/>
      <w:r w:rsidR="003F1E9B">
        <w:t>, et al., 2011)</w:t>
      </w:r>
      <w:r w:rsidR="003925AF">
        <w:t>.</w:t>
      </w:r>
      <w:r w:rsidR="003F1E9B">
        <w:t xml:space="preserve"> </w:t>
      </w:r>
      <w:r w:rsidR="002D4069">
        <w:rPr>
          <w:lang w:val="es-ES"/>
        </w:rPr>
        <w:t>Al tomar</w:t>
      </w:r>
      <w:r w:rsidR="00253B73" w:rsidRPr="00C56316">
        <w:rPr>
          <w:lang w:val="es-ES"/>
        </w:rPr>
        <w:t xml:space="preserve"> en consideración</w:t>
      </w:r>
      <w:r w:rsidR="00253B73">
        <w:rPr>
          <w:lang w:val="es-ES"/>
        </w:rPr>
        <w:t xml:space="preserve"> cuan normalizadas se encuentran las prácticas y creencias católicas y protestantes en el contexto cultural y sociopolítico d</w:t>
      </w:r>
      <w:r w:rsidR="00F0280D">
        <w:rPr>
          <w:lang w:val="es-ES"/>
        </w:rPr>
        <w:t>e Puerto Rico</w:t>
      </w:r>
      <w:r w:rsidR="00253B73">
        <w:rPr>
          <w:lang w:val="es-ES"/>
        </w:rPr>
        <w:t xml:space="preserve"> </w:t>
      </w:r>
      <w:r w:rsidR="00253B73" w:rsidRPr="0044670C">
        <w:rPr>
          <w:lang w:val="es-ES"/>
        </w:rPr>
        <w:fldChar w:fldCharType="begin" w:fldLock="1"/>
      </w:r>
      <w:r w:rsidR="00253B73" w:rsidRPr="0044670C">
        <w:rPr>
          <w:lang w:val="es-ES"/>
        </w:rPr>
        <w:instrText>ADDIN CSL_CITATION {"citationItems":[{"id":"ITEM-1","itemData":{"author":[{"dropping-particle":"","family":"Silva Gotay","given":"Samuel","non-dropping-particle":"","parse-names":false,"suffix":""}],"id":"ITEM-1","issued":{"date-parts":[["2005"]]},"number-of-pages":"1-471","publisher":"La Editorial Universidad de Puerto Rico","publisher-place":"San Juan, PR","title":"Catolicismo y política en Puerto Rico bajo España y Estados Unidos: Siglos XIX y XX","type":"book"},"uris":["http://www.mendeley.com/documents/?uuid=2be8bec6-a591-4a13-8f4c-819c9568e6b8"]}],"mendeley":{"formattedCitation":"(Silva Gotay, 2005)","manualFormatting":"(Silva-Gotay, 2005)","plainTextFormattedCitation":"(Silva Gotay, 2005)","previouslyFormattedCitation":"(Silva Gotay, 2005)"},"properties":{"noteIndex":0},"schema":"https://github.com/citation-style-language/schema/raw/master/csl-citation.json"}</w:instrText>
      </w:r>
      <w:r w:rsidR="00253B73" w:rsidRPr="0044670C">
        <w:rPr>
          <w:lang w:val="es-ES"/>
        </w:rPr>
        <w:fldChar w:fldCharType="separate"/>
      </w:r>
      <w:r w:rsidR="00253B73" w:rsidRPr="0044670C">
        <w:rPr>
          <w:lang w:val="es-ES"/>
        </w:rPr>
        <w:t>(Silva-Gotay, 2005)</w:t>
      </w:r>
      <w:r w:rsidR="00253B73" w:rsidRPr="0044670C">
        <w:rPr>
          <w:lang w:val="es-ES"/>
        </w:rPr>
        <w:fldChar w:fldCharType="end"/>
      </w:r>
      <w:r w:rsidR="0062667D">
        <w:rPr>
          <w:lang w:val="es-ES"/>
        </w:rPr>
        <w:t>,</w:t>
      </w:r>
      <w:r w:rsidR="00253B73">
        <w:rPr>
          <w:lang w:val="es-ES"/>
        </w:rPr>
        <w:t xml:space="preserve"> </w:t>
      </w:r>
      <w:r w:rsidR="003F1E9B">
        <w:rPr>
          <w:lang w:val="es-ES"/>
        </w:rPr>
        <w:t xml:space="preserve">la exposición frecuente a microagresiones podrían resultar en mayor angustia o estrés psicológico.  </w:t>
      </w:r>
      <w:r w:rsidR="004A427F">
        <w:rPr>
          <w:lang w:val="es-ES"/>
        </w:rPr>
        <w:t xml:space="preserve">  </w:t>
      </w:r>
    </w:p>
    <w:p w14:paraId="06CC2590" w14:textId="496592D8" w:rsidR="00253B73" w:rsidRPr="00C56316" w:rsidRDefault="00253B73" w:rsidP="00253B73">
      <w:pPr>
        <w:spacing w:line="360" w:lineRule="auto"/>
        <w:jc w:val="both"/>
        <w:rPr>
          <w:b/>
          <w:bCs/>
          <w:i/>
          <w:iCs/>
          <w:lang w:val="es-ES"/>
        </w:rPr>
      </w:pPr>
      <w:r w:rsidRPr="00C56316">
        <w:rPr>
          <w:b/>
          <w:bCs/>
          <w:i/>
          <w:iCs/>
          <w:lang w:val="es-ES"/>
        </w:rPr>
        <w:t>Implicaciones clínicas</w:t>
      </w:r>
      <w:r w:rsidR="00641117">
        <w:rPr>
          <w:b/>
          <w:bCs/>
          <w:i/>
          <w:iCs/>
          <w:lang w:val="es-ES"/>
        </w:rPr>
        <w:t xml:space="preserve">, </w:t>
      </w:r>
      <w:r w:rsidR="00483554">
        <w:rPr>
          <w:b/>
          <w:bCs/>
          <w:i/>
          <w:iCs/>
          <w:lang w:val="es-ES"/>
        </w:rPr>
        <w:t>sociales</w:t>
      </w:r>
      <w:r w:rsidR="009D7556">
        <w:rPr>
          <w:b/>
          <w:bCs/>
          <w:i/>
          <w:iCs/>
          <w:lang w:val="es-ES"/>
        </w:rPr>
        <w:t xml:space="preserve"> e investigativas</w:t>
      </w:r>
    </w:p>
    <w:p w14:paraId="60C9CC91" w14:textId="6312D944" w:rsidR="00253B73" w:rsidRPr="00B62BEB" w:rsidRDefault="007B7748" w:rsidP="000F5253">
      <w:pPr>
        <w:spacing w:line="360" w:lineRule="auto"/>
        <w:ind w:firstLine="720"/>
        <w:jc w:val="both"/>
        <w:rPr>
          <w:lang w:val="es-ES"/>
        </w:rPr>
      </w:pPr>
      <w:r>
        <w:rPr>
          <w:lang w:val="es-ES"/>
        </w:rPr>
        <w:t>En el ámbito clínico, el EMPA puede se</w:t>
      </w:r>
      <w:r w:rsidR="00857872">
        <w:rPr>
          <w:lang w:val="es-ES"/>
        </w:rPr>
        <w:t xml:space="preserve">r un instrumento que permitiría discernir las experiencias específicas de microagresiones y nivel de severidad de la molestia que provocan. </w:t>
      </w:r>
      <w:r>
        <w:rPr>
          <w:lang w:val="es-ES"/>
        </w:rPr>
        <w:t xml:space="preserve">A su vez, </w:t>
      </w:r>
      <w:r w:rsidR="00F62422">
        <w:rPr>
          <w:lang w:val="es-ES"/>
        </w:rPr>
        <w:t>ofrecerá</w:t>
      </w:r>
      <w:r w:rsidRPr="00C56316">
        <w:rPr>
          <w:lang w:val="es-ES"/>
        </w:rPr>
        <w:t xml:space="preserve"> evidencia empírica </w:t>
      </w:r>
      <w:r w:rsidR="002D4069">
        <w:rPr>
          <w:lang w:val="es-ES"/>
        </w:rPr>
        <w:t>para identificar</w:t>
      </w:r>
      <w:r w:rsidRPr="00C56316">
        <w:rPr>
          <w:lang w:val="es-ES"/>
        </w:rPr>
        <w:t xml:space="preserve"> estrategias </w:t>
      </w:r>
      <w:r>
        <w:rPr>
          <w:lang w:val="es-ES"/>
        </w:rPr>
        <w:t xml:space="preserve">e </w:t>
      </w:r>
      <w:r w:rsidRPr="00C56316">
        <w:rPr>
          <w:lang w:val="es-ES"/>
        </w:rPr>
        <w:t xml:space="preserve">intervenciones psicológicas </w:t>
      </w:r>
      <w:r>
        <w:rPr>
          <w:lang w:val="es-ES"/>
        </w:rPr>
        <w:t>desde el ámbito multicultural.</w:t>
      </w:r>
      <w:r w:rsidRPr="00C56316">
        <w:rPr>
          <w:lang w:val="es-ES"/>
        </w:rPr>
        <w:t xml:space="preserve"> </w:t>
      </w:r>
      <w:r w:rsidR="00F62422">
        <w:rPr>
          <w:lang w:val="es-ES"/>
        </w:rPr>
        <w:t>A nivel</w:t>
      </w:r>
      <w:r>
        <w:rPr>
          <w:lang w:val="es-ES"/>
        </w:rPr>
        <w:t xml:space="preserve"> </w:t>
      </w:r>
      <w:r w:rsidR="00857872">
        <w:rPr>
          <w:lang w:val="es-ES"/>
        </w:rPr>
        <w:t>social</w:t>
      </w:r>
      <w:r>
        <w:rPr>
          <w:lang w:val="es-ES"/>
        </w:rPr>
        <w:t xml:space="preserve">, </w:t>
      </w:r>
      <w:r w:rsidR="00F62422">
        <w:rPr>
          <w:lang w:val="es-ES"/>
        </w:rPr>
        <w:t>permitiría</w:t>
      </w:r>
      <w:r w:rsidR="00857872" w:rsidRPr="00D56E7F">
        <w:rPr>
          <w:lang w:val="es-ES"/>
        </w:rPr>
        <w:t xml:space="preserve"> visibilizar</w:t>
      </w:r>
      <w:r w:rsidRPr="00D56E7F">
        <w:rPr>
          <w:lang w:val="es-ES"/>
        </w:rPr>
        <w:t xml:space="preserve"> </w:t>
      </w:r>
      <w:r w:rsidR="00857872" w:rsidRPr="00D56E7F">
        <w:rPr>
          <w:lang w:val="es-ES"/>
        </w:rPr>
        <w:t xml:space="preserve">las experiencias de la población atea en países hispanoparlantes, donde hemos identificado </w:t>
      </w:r>
      <w:r w:rsidR="003925AF">
        <w:rPr>
          <w:lang w:val="es-ES"/>
        </w:rPr>
        <w:t xml:space="preserve">un </w:t>
      </w:r>
      <w:r w:rsidR="00F62422">
        <w:rPr>
          <w:lang w:val="es-ES"/>
        </w:rPr>
        <w:t>escas</w:t>
      </w:r>
      <w:r w:rsidR="003925AF">
        <w:rPr>
          <w:lang w:val="es-ES"/>
        </w:rPr>
        <w:t>o</w:t>
      </w:r>
      <w:r w:rsidR="00F62422">
        <w:rPr>
          <w:lang w:val="es-ES"/>
        </w:rPr>
        <w:t xml:space="preserve"> </w:t>
      </w:r>
      <w:r w:rsidR="00857872" w:rsidRPr="00D56E7F">
        <w:rPr>
          <w:lang w:val="es-ES"/>
        </w:rPr>
        <w:t>interés por conocer sus vivencias.</w:t>
      </w:r>
      <w:r w:rsidR="00473BE7" w:rsidRPr="006A35F1">
        <w:rPr>
          <w:lang w:val="es-ES"/>
        </w:rPr>
        <w:t xml:space="preserve"> </w:t>
      </w:r>
      <w:r w:rsidR="009D7556">
        <w:rPr>
          <w:lang w:val="es-ES"/>
        </w:rPr>
        <w:t>A</w:t>
      </w:r>
      <w:r w:rsidR="002D4069">
        <w:rPr>
          <w:lang w:val="es-ES"/>
        </w:rPr>
        <w:t>demás</w:t>
      </w:r>
      <w:r w:rsidR="009D7556">
        <w:rPr>
          <w:lang w:val="es-ES"/>
        </w:rPr>
        <w:t xml:space="preserve">, </w:t>
      </w:r>
      <w:r w:rsidR="00F62422">
        <w:rPr>
          <w:lang w:val="es-ES"/>
        </w:rPr>
        <w:t>fomentaría</w:t>
      </w:r>
      <w:r w:rsidR="00473BE7" w:rsidRPr="006A35F1">
        <w:rPr>
          <w:lang w:val="es-ES"/>
        </w:rPr>
        <w:t xml:space="preserve"> espacios que </w:t>
      </w:r>
      <w:r w:rsidR="00483554" w:rsidRPr="006A35F1">
        <w:rPr>
          <w:lang w:val="es-ES"/>
        </w:rPr>
        <w:t>promuevan</w:t>
      </w:r>
      <w:r w:rsidR="00473BE7" w:rsidRPr="006A35F1">
        <w:rPr>
          <w:lang w:val="es-ES"/>
        </w:rPr>
        <w:t xml:space="preserve"> la validación</w:t>
      </w:r>
      <w:r w:rsidR="00D56E7F" w:rsidRPr="006A35F1">
        <w:rPr>
          <w:lang w:val="es-ES"/>
        </w:rPr>
        <w:t xml:space="preserve"> y comprensión de otros sobre</w:t>
      </w:r>
      <w:r w:rsidR="00483554" w:rsidRPr="006A35F1">
        <w:rPr>
          <w:lang w:val="es-ES"/>
        </w:rPr>
        <w:t xml:space="preserve"> esta población.</w:t>
      </w:r>
      <w:r w:rsidR="009D7556">
        <w:rPr>
          <w:lang w:val="es-ES"/>
        </w:rPr>
        <w:t xml:space="preserve"> </w:t>
      </w:r>
      <w:r w:rsidR="000C4400">
        <w:rPr>
          <w:lang w:val="es-ES"/>
        </w:rPr>
        <w:t xml:space="preserve">A nivel </w:t>
      </w:r>
      <w:r w:rsidRPr="00D56E7F">
        <w:rPr>
          <w:lang w:val="es-ES"/>
        </w:rPr>
        <w:t>investigativo,</w:t>
      </w:r>
      <w:r>
        <w:rPr>
          <w:lang w:val="es-ES"/>
        </w:rPr>
        <w:t xml:space="preserve"> </w:t>
      </w:r>
      <w:r w:rsidR="002D4069">
        <w:rPr>
          <w:lang w:val="es-ES"/>
        </w:rPr>
        <w:t>permitiría</w:t>
      </w:r>
      <w:r w:rsidR="00253B73" w:rsidRPr="00D760EB">
        <w:rPr>
          <w:lang w:val="es-ES"/>
        </w:rPr>
        <w:t xml:space="preserve"> evaluar el impacto de microagresiones </w:t>
      </w:r>
      <w:r w:rsidR="00253B73">
        <w:rPr>
          <w:lang w:val="es-ES"/>
        </w:rPr>
        <w:t>en el</w:t>
      </w:r>
      <w:r w:rsidR="00253B73" w:rsidRPr="00E700F2">
        <w:rPr>
          <w:lang w:val="es-ES"/>
        </w:rPr>
        <w:t xml:space="preserve"> </w:t>
      </w:r>
      <w:r w:rsidR="00253B73" w:rsidRPr="00A42F40">
        <w:rPr>
          <w:lang w:val="es-ES"/>
        </w:rPr>
        <w:t xml:space="preserve">bienestar psicológico de las personas </w:t>
      </w:r>
      <w:r>
        <w:rPr>
          <w:lang w:val="es-ES"/>
        </w:rPr>
        <w:t xml:space="preserve">ateas </w:t>
      </w:r>
      <w:r w:rsidR="00253B73" w:rsidRPr="00A42F40">
        <w:rPr>
          <w:lang w:val="es-ES"/>
        </w:rPr>
        <w:t xml:space="preserve">expuestas a dichas </w:t>
      </w:r>
      <w:r w:rsidR="009D7556">
        <w:rPr>
          <w:lang w:val="es-ES"/>
        </w:rPr>
        <w:t>experiencias</w:t>
      </w:r>
      <w:r w:rsidR="009D7556" w:rsidRPr="00A42F40">
        <w:rPr>
          <w:lang w:val="es-ES"/>
        </w:rPr>
        <w:t xml:space="preserve"> </w:t>
      </w:r>
      <w:r w:rsidR="00253B73" w:rsidRPr="00A42F40">
        <w:rPr>
          <w:lang w:val="es-ES"/>
        </w:rPr>
        <w:t>diariamente</w:t>
      </w:r>
      <w:r w:rsidR="00253B73">
        <w:rPr>
          <w:lang w:val="es-ES"/>
        </w:rPr>
        <w:t xml:space="preserve">. </w:t>
      </w:r>
      <w:r>
        <w:rPr>
          <w:lang w:val="es-ES"/>
        </w:rPr>
        <w:t>En resumen, estas implicaciones son</w:t>
      </w:r>
      <w:r w:rsidR="00253B73" w:rsidRPr="00C56316">
        <w:rPr>
          <w:lang w:val="es-ES"/>
        </w:rPr>
        <w:t xml:space="preserve"> indispensable</w:t>
      </w:r>
      <w:r>
        <w:rPr>
          <w:lang w:val="es-ES"/>
        </w:rPr>
        <w:t>s</w:t>
      </w:r>
      <w:r w:rsidR="00253B73" w:rsidRPr="00C56316">
        <w:rPr>
          <w:lang w:val="es-ES"/>
        </w:rPr>
        <w:t xml:space="preserve"> para ofrecerle a esta población un espacio seguro </w:t>
      </w:r>
      <w:r w:rsidR="00253B73">
        <w:rPr>
          <w:lang w:val="es-ES"/>
        </w:rPr>
        <w:t>en base a</w:t>
      </w:r>
      <w:r w:rsidR="00253B73" w:rsidRPr="00C56316">
        <w:rPr>
          <w:lang w:val="es-ES"/>
        </w:rPr>
        <w:t xml:space="preserve"> terapias psicológicas informadas y relevantes a las necesidades y experiencias </w:t>
      </w:r>
      <w:r w:rsidR="002A06E2">
        <w:rPr>
          <w:lang w:val="es-ES"/>
        </w:rPr>
        <w:t>de</w:t>
      </w:r>
      <w:r w:rsidR="00253B73" w:rsidRPr="00C56316">
        <w:rPr>
          <w:lang w:val="es-ES"/>
        </w:rPr>
        <w:t xml:space="preserve"> personas ateas</w:t>
      </w:r>
      <w:r w:rsidR="00253B73">
        <w:rPr>
          <w:lang w:val="es-ES"/>
        </w:rPr>
        <w:t xml:space="preserve">. </w:t>
      </w:r>
    </w:p>
    <w:p w14:paraId="38B9CCEA" w14:textId="175E4AFC" w:rsidR="00253B73" w:rsidRPr="00C56316" w:rsidRDefault="00253B73" w:rsidP="00253B73">
      <w:pPr>
        <w:spacing w:line="360" w:lineRule="auto"/>
        <w:jc w:val="both"/>
        <w:rPr>
          <w:b/>
          <w:bCs/>
          <w:i/>
          <w:iCs/>
          <w:lang w:val="es-ES"/>
        </w:rPr>
      </w:pPr>
      <w:r w:rsidRPr="00C56316">
        <w:rPr>
          <w:b/>
          <w:bCs/>
          <w:i/>
          <w:iCs/>
          <w:lang w:val="es-ES"/>
        </w:rPr>
        <w:t>Limitaciones</w:t>
      </w:r>
      <w:r w:rsidR="007B7748">
        <w:rPr>
          <w:b/>
          <w:bCs/>
          <w:i/>
          <w:iCs/>
          <w:lang w:val="es-ES"/>
        </w:rPr>
        <w:t xml:space="preserve"> de este estudio</w:t>
      </w:r>
    </w:p>
    <w:p w14:paraId="79BB5B99" w14:textId="65260082" w:rsidR="00F62422" w:rsidRDefault="00070498" w:rsidP="00F62422">
      <w:pPr>
        <w:spacing w:line="360" w:lineRule="auto"/>
        <w:ind w:firstLine="720"/>
        <w:jc w:val="both"/>
        <w:rPr>
          <w:lang w:val="es-ES"/>
        </w:rPr>
      </w:pPr>
      <w:r>
        <w:rPr>
          <w:lang w:val="es-ES"/>
        </w:rPr>
        <w:t>Este estudio consta de varias limitaciones. Primero</w:t>
      </w:r>
      <w:r w:rsidR="00253B73" w:rsidRPr="00D760EB">
        <w:rPr>
          <w:lang w:val="es-ES"/>
        </w:rPr>
        <w:t xml:space="preserve">, al momento no se han logrado identificar estudios </w:t>
      </w:r>
      <w:r w:rsidR="00F62422">
        <w:rPr>
          <w:lang w:val="es-ES"/>
        </w:rPr>
        <w:t xml:space="preserve">sobre </w:t>
      </w:r>
      <w:r w:rsidR="00253B73" w:rsidRPr="00D760EB">
        <w:rPr>
          <w:lang w:val="es-ES"/>
        </w:rPr>
        <w:t xml:space="preserve">el tema de la microagresión </w:t>
      </w:r>
      <w:r w:rsidR="00F62422">
        <w:rPr>
          <w:lang w:val="es-ES"/>
        </w:rPr>
        <w:t>hacia ateos/as</w:t>
      </w:r>
      <w:r w:rsidR="00912875">
        <w:rPr>
          <w:lang w:val="es-ES"/>
        </w:rPr>
        <w:t xml:space="preserve"> hispanoparlantes</w:t>
      </w:r>
      <w:r w:rsidR="00253B73" w:rsidRPr="00D760EB">
        <w:rPr>
          <w:lang w:val="es-ES"/>
        </w:rPr>
        <w:t xml:space="preserve">. </w:t>
      </w:r>
      <w:r w:rsidR="00912875">
        <w:rPr>
          <w:lang w:val="es-ES"/>
        </w:rPr>
        <w:t>Lo cual nos dificultó</w:t>
      </w:r>
      <w:r w:rsidR="00253B73" w:rsidRPr="00D760EB">
        <w:rPr>
          <w:lang w:val="es-ES"/>
        </w:rPr>
        <w:t xml:space="preserve"> identificar literatura sobre las manifestaciones de microagresiones </w:t>
      </w:r>
      <w:r w:rsidR="00253B73">
        <w:rPr>
          <w:lang w:val="es-ES"/>
        </w:rPr>
        <w:t>en América Latina y en Puerto Rico</w:t>
      </w:r>
      <w:r w:rsidR="00F0280D">
        <w:rPr>
          <w:lang w:val="es-ES"/>
        </w:rPr>
        <w:t>. A su vez</w:t>
      </w:r>
      <w:r w:rsidR="002D4069">
        <w:rPr>
          <w:lang w:val="es-ES"/>
        </w:rPr>
        <w:t>,</w:t>
      </w:r>
      <w:r w:rsidR="00F0280D">
        <w:rPr>
          <w:lang w:val="es-ES"/>
        </w:rPr>
        <w:t xml:space="preserve"> limit</w:t>
      </w:r>
      <w:r w:rsidR="00912875">
        <w:rPr>
          <w:lang w:val="es-ES"/>
        </w:rPr>
        <w:t>ó</w:t>
      </w:r>
      <w:r w:rsidR="00070462">
        <w:rPr>
          <w:lang w:val="es-ES"/>
        </w:rPr>
        <w:t xml:space="preserve"> </w:t>
      </w:r>
      <w:r w:rsidR="00F0280D">
        <w:rPr>
          <w:lang w:val="es-ES"/>
        </w:rPr>
        <w:t>el alcance de</w:t>
      </w:r>
      <w:r w:rsidR="00070462">
        <w:rPr>
          <w:lang w:val="es-ES"/>
        </w:rPr>
        <w:t xml:space="preserve"> nuestro</w:t>
      </w:r>
      <w:r w:rsidR="00F0280D">
        <w:rPr>
          <w:lang w:val="es-ES"/>
        </w:rPr>
        <w:t xml:space="preserve"> entendimiento de los</w:t>
      </w:r>
      <w:r w:rsidR="00070462">
        <w:rPr>
          <w:lang w:val="es-ES"/>
        </w:rPr>
        <w:t xml:space="preserve"> resultados </w:t>
      </w:r>
      <w:r w:rsidR="00F0280D">
        <w:rPr>
          <w:lang w:val="es-ES"/>
        </w:rPr>
        <w:t xml:space="preserve">y como </w:t>
      </w:r>
      <w:r w:rsidR="00070462">
        <w:rPr>
          <w:lang w:val="es-ES"/>
        </w:rPr>
        <w:t xml:space="preserve">se </w:t>
      </w:r>
      <w:r w:rsidR="00070462">
        <w:rPr>
          <w:lang w:val="es-ES"/>
        </w:rPr>
        <w:lastRenderedPageBreak/>
        <w:t>relacionan con la población puertorriqueña</w:t>
      </w:r>
      <w:r w:rsidR="00253B73" w:rsidRPr="00D760EB">
        <w:rPr>
          <w:lang w:val="es-ES"/>
        </w:rPr>
        <w:t xml:space="preserve">. </w:t>
      </w:r>
      <w:r>
        <w:rPr>
          <w:lang w:val="es-ES"/>
        </w:rPr>
        <w:t>Segundo</w:t>
      </w:r>
      <w:r w:rsidR="00253B73">
        <w:rPr>
          <w:lang w:val="es-ES"/>
        </w:rPr>
        <w:t>,</w:t>
      </w:r>
      <w:r>
        <w:rPr>
          <w:lang w:val="es-ES"/>
        </w:rPr>
        <w:t xml:space="preserve"> el muestreo de</w:t>
      </w:r>
      <w:r w:rsidR="00B02B4F">
        <w:rPr>
          <w:lang w:val="es-ES"/>
        </w:rPr>
        <w:t xml:space="preserve">l estudio </w:t>
      </w:r>
      <w:r>
        <w:rPr>
          <w:lang w:val="es-ES"/>
        </w:rPr>
        <w:t>no</w:t>
      </w:r>
      <w:r w:rsidR="00763907">
        <w:rPr>
          <w:lang w:val="es-ES"/>
        </w:rPr>
        <w:t xml:space="preserve"> fue</w:t>
      </w:r>
      <w:r>
        <w:rPr>
          <w:lang w:val="es-ES"/>
        </w:rPr>
        <w:t xml:space="preserve"> aleatorio ni representativo</w:t>
      </w:r>
      <w:r w:rsidR="00912875">
        <w:rPr>
          <w:lang w:val="es-ES"/>
        </w:rPr>
        <w:t xml:space="preserve"> d</w:t>
      </w:r>
      <w:r w:rsidR="00253B73">
        <w:rPr>
          <w:lang w:val="es-ES"/>
        </w:rPr>
        <w:t xml:space="preserve">ebido a que </w:t>
      </w:r>
      <w:r>
        <w:rPr>
          <w:lang w:val="es-ES"/>
        </w:rPr>
        <w:t>solo</w:t>
      </w:r>
      <w:r w:rsidR="00253B73">
        <w:rPr>
          <w:lang w:val="es-ES"/>
        </w:rPr>
        <w:t xml:space="preserve"> tenemos </w:t>
      </w:r>
      <w:r w:rsidR="000C4400">
        <w:rPr>
          <w:lang w:val="es-ES"/>
        </w:rPr>
        <w:t xml:space="preserve">un </w:t>
      </w:r>
      <w:r w:rsidR="00253B73">
        <w:rPr>
          <w:lang w:val="es-ES"/>
        </w:rPr>
        <w:t>estimado</w:t>
      </w:r>
      <w:r w:rsidR="00F62422">
        <w:rPr>
          <w:lang w:val="es-ES"/>
        </w:rPr>
        <w:t xml:space="preserve"> de personas ateas en el país</w:t>
      </w:r>
      <w:r w:rsidR="00253B73">
        <w:rPr>
          <w:lang w:val="es-ES"/>
        </w:rPr>
        <w:t xml:space="preserve">. Por </w:t>
      </w:r>
      <w:r w:rsidR="00F62422">
        <w:rPr>
          <w:lang w:val="es-ES"/>
        </w:rPr>
        <w:t>lo tanto</w:t>
      </w:r>
      <w:r w:rsidR="00253B73">
        <w:rPr>
          <w:lang w:val="es-ES"/>
        </w:rPr>
        <w:t xml:space="preserve">, nuestros resultados no pueden ser generalizados a las experiencias de personas ateas en nuestro país. Sin embargo, los resultados </w:t>
      </w:r>
      <w:r w:rsidR="00F62422">
        <w:rPr>
          <w:lang w:val="es-ES"/>
        </w:rPr>
        <w:t>evidencian</w:t>
      </w:r>
      <w:r w:rsidR="00253B73">
        <w:rPr>
          <w:lang w:val="es-ES"/>
        </w:rPr>
        <w:t xml:space="preserve"> que es </w:t>
      </w:r>
      <w:r w:rsidR="001B7EBF">
        <w:rPr>
          <w:lang w:val="es-ES"/>
        </w:rPr>
        <w:t xml:space="preserve">un </w:t>
      </w:r>
      <w:r w:rsidR="00253B73">
        <w:rPr>
          <w:lang w:val="es-ES"/>
        </w:rPr>
        <w:t>instrumento confiable para evaluar las experiencias de microagresiones con esta población.</w:t>
      </w:r>
    </w:p>
    <w:p w14:paraId="4AF6F89C" w14:textId="1A38C3CA" w:rsidR="00253B73" w:rsidRDefault="00F62422" w:rsidP="00F62422">
      <w:pPr>
        <w:spacing w:line="360" w:lineRule="auto"/>
        <w:ind w:firstLine="720"/>
        <w:jc w:val="both"/>
        <w:rPr>
          <w:lang w:val="es-ES"/>
        </w:rPr>
      </w:pPr>
      <w:r>
        <w:rPr>
          <w:lang w:val="es-ES"/>
        </w:rPr>
        <w:t>Cuarto</w:t>
      </w:r>
      <w:r w:rsidR="00253B73">
        <w:rPr>
          <w:lang w:val="es-ES"/>
        </w:rPr>
        <w:t>,</w:t>
      </w:r>
      <w:r w:rsidR="001B7EBF">
        <w:rPr>
          <w:lang w:val="es-ES"/>
        </w:rPr>
        <w:t xml:space="preserve"> </w:t>
      </w:r>
      <w:r w:rsidR="00253B73">
        <w:rPr>
          <w:lang w:val="es-ES"/>
        </w:rPr>
        <w:t xml:space="preserve">debido a que </w:t>
      </w:r>
      <w:r w:rsidR="002D4069">
        <w:rPr>
          <w:lang w:val="es-ES"/>
        </w:rPr>
        <w:t xml:space="preserve">nos limitamos a </w:t>
      </w:r>
      <w:r w:rsidR="00253B73">
        <w:rPr>
          <w:lang w:val="es-ES"/>
        </w:rPr>
        <w:t xml:space="preserve">obtener datos preliminares, restaría llevar a cabo un análisis de los datos cualitativos y poner a prueba la EMPA en una investigación futura dirigida a obtener la validez del instrumento. </w:t>
      </w:r>
      <w:r>
        <w:rPr>
          <w:lang w:val="es-ES"/>
        </w:rPr>
        <w:t>Quinto</w:t>
      </w:r>
      <w:r w:rsidR="00253B73">
        <w:rPr>
          <w:lang w:val="es-ES"/>
        </w:rPr>
        <w:t>,</w:t>
      </w:r>
      <w:r w:rsidR="00070498">
        <w:rPr>
          <w:lang w:val="es-ES"/>
        </w:rPr>
        <w:t xml:space="preserve"> la recogida en línea</w:t>
      </w:r>
      <w:r>
        <w:rPr>
          <w:lang w:val="es-ES"/>
        </w:rPr>
        <w:t xml:space="preserve"> </w:t>
      </w:r>
      <w:r w:rsidR="00253B73">
        <w:rPr>
          <w:lang w:val="es-ES"/>
        </w:rPr>
        <w:t xml:space="preserve">solo </w:t>
      </w:r>
      <w:r>
        <w:rPr>
          <w:lang w:val="es-ES"/>
        </w:rPr>
        <w:t xml:space="preserve">alcanzó </w:t>
      </w:r>
      <w:r w:rsidR="00253B73">
        <w:rPr>
          <w:lang w:val="es-ES"/>
        </w:rPr>
        <w:t xml:space="preserve">aquellas personas que tuvieran acceso a un dispositivo electrónico y conexión a </w:t>
      </w:r>
      <w:r w:rsidR="006A35F1">
        <w:rPr>
          <w:lang w:val="es-ES"/>
        </w:rPr>
        <w:t>internet.</w:t>
      </w:r>
    </w:p>
    <w:p w14:paraId="0494F0E5" w14:textId="78F2FEDE" w:rsidR="00070498" w:rsidRPr="006A35F1" w:rsidRDefault="00070498" w:rsidP="00070498">
      <w:pPr>
        <w:spacing w:line="360" w:lineRule="auto"/>
        <w:jc w:val="both"/>
        <w:rPr>
          <w:b/>
          <w:bCs/>
          <w:lang w:val="es-ES"/>
        </w:rPr>
      </w:pPr>
      <w:r w:rsidRPr="006A35F1">
        <w:rPr>
          <w:b/>
          <w:bCs/>
          <w:lang w:val="es-ES"/>
        </w:rPr>
        <w:t>Recomendaciones para futuros estudios</w:t>
      </w:r>
    </w:p>
    <w:p w14:paraId="13F3C842" w14:textId="33A75686" w:rsidR="00070498" w:rsidRDefault="00070498" w:rsidP="00070498">
      <w:pPr>
        <w:spacing w:line="360" w:lineRule="auto"/>
        <w:jc w:val="both"/>
        <w:rPr>
          <w:lang w:val="es-ES"/>
        </w:rPr>
      </w:pPr>
      <w:r>
        <w:rPr>
          <w:lang w:val="es-ES"/>
        </w:rPr>
        <w:tab/>
        <w:t>Para futuros estudios, tenemos las siguientes recomendaciones. Primero</w:t>
      </w:r>
      <w:r w:rsidR="008C740A">
        <w:rPr>
          <w:lang w:val="es-ES"/>
        </w:rPr>
        <w:t xml:space="preserve">, sería beneficioso llevar a cabo un análisis de los datos cualitativos recopilados a este estudio para incluir nuevos reactivos pertinentes a las experiencias de los/as participantes. Segundo, se debería realizar un segundo estudio con la EMPA que permita obtener la validez del instrumento con el fin de evidenciar que la escala mide de manera precisa las experiencias de microagresión hacia personas ateas. Tercero, sería interesante </w:t>
      </w:r>
      <w:r w:rsidR="00B85E16">
        <w:rPr>
          <w:lang w:val="es-ES"/>
        </w:rPr>
        <w:t xml:space="preserve">realizar estudios dirigidos a </w:t>
      </w:r>
      <w:r w:rsidR="008C740A">
        <w:rPr>
          <w:lang w:val="es-ES"/>
        </w:rPr>
        <w:t xml:space="preserve">conocer la relación entre las experiencias de microagresión y el </w:t>
      </w:r>
      <w:r w:rsidR="00B85E16">
        <w:rPr>
          <w:lang w:val="es-ES"/>
        </w:rPr>
        <w:t>florecimiento psicológico de poblaciones ateas hispanoparlantes. Cuarto, sería importante conocer el rol del fenómeno de rechazo-identificación (</w:t>
      </w:r>
      <w:proofErr w:type="spellStart"/>
      <w:r w:rsidR="00B85E16" w:rsidRPr="00337BB2">
        <w:rPr>
          <w:lang w:val="es-ES"/>
        </w:rPr>
        <w:t>Branscombe</w:t>
      </w:r>
      <w:proofErr w:type="spellEnd"/>
      <w:r w:rsidR="00B85E16">
        <w:rPr>
          <w:lang w:val="es-ES"/>
        </w:rPr>
        <w:t xml:space="preserve"> et al., 1999) en el nivel de molestia producida por las experiencias cumulativas de microagresi</w:t>
      </w:r>
      <w:r w:rsidR="00447285">
        <w:rPr>
          <w:lang w:val="es-ES"/>
        </w:rPr>
        <w:t>ón</w:t>
      </w:r>
      <w:r w:rsidR="00B85E16">
        <w:rPr>
          <w:lang w:val="es-ES"/>
        </w:rPr>
        <w:t xml:space="preserve"> ateíst</w:t>
      </w:r>
      <w:r w:rsidR="00447285">
        <w:rPr>
          <w:lang w:val="es-ES"/>
        </w:rPr>
        <w:t>a</w:t>
      </w:r>
      <w:r w:rsidR="00B85E16">
        <w:rPr>
          <w:lang w:val="es-ES"/>
        </w:rPr>
        <w:t xml:space="preserve">. </w:t>
      </w:r>
    </w:p>
    <w:p w14:paraId="29C47734" w14:textId="62FB8128" w:rsidR="00070498" w:rsidRPr="006A35F1" w:rsidRDefault="00070498" w:rsidP="006A35F1">
      <w:pPr>
        <w:spacing w:line="360" w:lineRule="auto"/>
        <w:jc w:val="both"/>
        <w:rPr>
          <w:b/>
          <w:bCs/>
          <w:lang w:val="es-ES"/>
        </w:rPr>
      </w:pPr>
      <w:r w:rsidRPr="006A35F1">
        <w:rPr>
          <w:b/>
          <w:bCs/>
          <w:lang w:val="es-ES"/>
        </w:rPr>
        <w:t>Conclusión</w:t>
      </w:r>
    </w:p>
    <w:p w14:paraId="3AF871DA" w14:textId="691191AD" w:rsidR="00F40DF1" w:rsidRDefault="00070498" w:rsidP="006A35F1">
      <w:pPr>
        <w:autoSpaceDE w:val="0"/>
        <w:autoSpaceDN w:val="0"/>
        <w:adjustRightInd w:val="0"/>
        <w:spacing w:line="360" w:lineRule="auto"/>
        <w:jc w:val="both"/>
        <w:rPr>
          <w:lang w:val="es-ES"/>
        </w:rPr>
      </w:pPr>
      <w:r>
        <w:rPr>
          <w:lang w:val="es-ES"/>
        </w:rPr>
        <w:tab/>
        <w:t xml:space="preserve">En conclusión, </w:t>
      </w:r>
      <w:r w:rsidR="00F40DF1">
        <w:rPr>
          <w:lang w:val="es-ES"/>
        </w:rPr>
        <w:t>el desarrollo de la</w:t>
      </w:r>
      <w:r w:rsidR="00225020">
        <w:rPr>
          <w:lang w:val="es-ES"/>
        </w:rPr>
        <w:t xml:space="preserve"> Escala de Microagr</w:t>
      </w:r>
      <w:r w:rsidR="00447285">
        <w:rPr>
          <w:lang w:val="es-ES"/>
        </w:rPr>
        <w:t>esión</w:t>
      </w:r>
      <w:r w:rsidR="00225020">
        <w:rPr>
          <w:lang w:val="es-ES"/>
        </w:rPr>
        <w:t xml:space="preserve"> hacia Personas Ateas</w:t>
      </w:r>
      <w:r w:rsidR="00F40DF1">
        <w:rPr>
          <w:lang w:val="es-ES"/>
        </w:rPr>
        <w:t xml:space="preserve"> </w:t>
      </w:r>
    </w:p>
    <w:p w14:paraId="13FA8237" w14:textId="35AF209B" w:rsidR="007E3B8D" w:rsidRPr="002054D5" w:rsidRDefault="00447285" w:rsidP="006A35F1">
      <w:pPr>
        <w:autoSpaceDE w:val="0"/>
        <w:autoSpaceDN w:val="0"/>
        <w:adjustRightInd w:val="0"/>
        <w:spacing w:line="360" w:lineRule="auto"/>
        <w:jc w:val="both"/>
        <w:rPr>
          <w:lang w:val="es-ES"/>
        </w:rPr>
      </w:pPr>
      <w:r>
        <w:rPr>
          <w:lang w:val="es-ES"/>
        </w:rPr>
        <w:t xml:space="preserve">es un primer esfuerzo por entender </w:t>
      </w:r>
      <w:r w:rsidR="00F40DF1">
        <w:rPr>
          <w:lang w:val="es-ES"/>
        </w:rPr>
        <w:t>este fenómeno</w:t>
      </w:r>
      <w:r>
        <w:rPr>
          <w:lang w:val="es-ES"/>
        </w:rPr>
        <w:t xml:space="preserve"> </w:t>
      </w:r>
      <w:r w:rsidR="00F40DF1">
        <w:rPr>
          <w:lang w:val="es-ES"/>
        </w:rPr>
        <w:t>en</w:t>
      </w:r>
      <w:r>
        <w:rPr>
          <w:lang w:val="es-ES"/>
        </w:rPr>
        <w:t xml:space="preserve"> la población atea hispanoparlante. La misma presenta un nivel de confiabilidad </w:t>
      </w:r>
      <w:r w:rsidR="00F40DF1">
        <w:rPr>
          <w:lang w:val="es-ES"/>
        </w:rPr>
        <w:t>adecuado</w:t>
      </w:r>
      <w:r>
        <w:rPr>
          <w:lang w:val="es-ES"/>
        </w:rPr>
        <w:t xml:space="preserve"> que apoya nuestro esfuerzo </w:t>
      </w:r>
      <w:r w:rsidR="00F40DF1">
        <w:rPr>
          <w:lang w:val="es-ES"/>
        </w:rPr>
        <w:t>de</w:t>
      </w:r>
      <w:r w:rsidR="00D56E7F">
        <w:rPr>
          <w:lang w:val="es-ES"/>
        </w:rPr>
        <w:t xml:space="preserve"> presentar la</w:t>
      </w:r>
      <w:r w:rsidR="00F40DF1">
        <w:rPr>
          <w:lang w:val="es-ES"/>
        </w:rPr>
        <w:t xml:space="preserve"> validez </w:t>
      </w:r>
      <w:r w:rsidR="00D56E7F">
        <w:rPr>
          <w:lang w:val="es-ES"/>
        </w:rPr>
        <w:t xml:space="preserve">preliminar del instrumento </w:t>
      </w:r>
      <w:r w:rsidR="00F40DF1">
        <w:rPr>
          <w:lang w:val="es-ES"/>
        </w:rPr>
        <w:t xml:space="preserve">con la población atea de Puerto Rico. El estudio nos permitió identificar factores </w:t>
      </w:r>
      <w:r w:rsidR="00D56E7F">
        <w:rPr>
          <w:lang w:val="es-ES"/>
        </w:rPr>
        <w:t>relacionados a</w:t>
      </w:r>
      <w:r w:rsidR="00F40DF1">
        <w:rPr>
          <w:lang w:val="es-ES"/>
        </w:rPr>
        <w:t xml:space="preserve"> </w:t>
      </w:r>
      <w:r w:rsidR="002726BB">
        <w:rPr>
          <w:lang w:val="es-ES"/>
        </w:rPr>
        <w:t xml:space="preserve">estereotipos, degradaciones y supuestos sobre lo que implica la identificación ateísta para la mayoría religiosa y cómo esto dictamina el tipo de microagresiones que se experimentan diariamente. </w:t>
      </w:r>
      <w:r w:rsidR="000D0575">
        <w:rPr>
          <w:lang w:val="es-ES"/>
        </w:rPr>
        <w:t xml:space="preserve">La validación de este instrumento </w:t>
      </w:r>
      <w:r w:rsidR="00D56E7F">
        <w:rPr>
          <w:lang w:val="es-ES"/>
        </w:rPr>
        <w:t>permitiría</w:t>
      </w:r>
      <w:r w:rsidR="000D0575">
        <w:rPr>
          <w:lang w:val="es-ES"/>
        </w:rPr>
        <w:t xml:space="preserve"> visibilizar las experiencias de esta población y fomentaría estudios para entender el impacto de </w:t>
      </w:r>
      <w:r w:rsidR="00D56E7F">
        <w:rPr>
          <w:lang w:val="es-ES"/>
        </w:rPr>
        <w:t>las microagresiones</w:t>
      </w:r>
      <w:r w:rsidR="000D0575">
        <w:rPr>
          <w:lang w:val="es-ES"/>
        </w:rPr>
        <w:t xml:space="preserve"> desde diferentes lentes a nivel </w:t>
      </w:r>
      <w:r w:rsidR="00D56E7F">
        <w:rPr>
          <w:lang w:val="es-ES"/>
        </w:rPr>
        <w:t>clínico, social e investigativo.</w:t>
      </w:r>
    </w:p>
    <w:p w14:paraId="6D884C79" w14:textId="77777777" w:rsidR="002D4069" w:rsidRPr="008E25A4" w:rsidRDefault="002D4069" w:rsidP="006A35F1">
      <w:pPr>
        <w:spacing w:line="360" w:lineRule="auto"/>
        <w:jc w:val="center"/>
        <w:rPr>
          <w:b/>
          <w:bCs/>
          <w:lang w:val="es-ES"/>
        </w:rPr>
      </w:pPr>
    </w:p>
    <w:p w14:paraId="6CD8B4A8" w14:textId="2ECF9B5F" w:rsidR="006F7E7E" w:rsidRPr="006A35F1" w:rsidRDefault="00CE7D65" w:rsidP="006A35F1">
      <w:pPr>
        <w:spacing w:line="360" w:lineRule="auto"/>
        <w:jc w:val="center"/>
        <w:rPr>
          <w:b/>
          <w:bCs/>
          <w:lang w:val="en-US"/>
        </w:rPr>
      </w:pPr>
      <w:proofErr w:type="spellStart"/>
      <w:r w:rsidRPr="00EB35E0">
        <w:rPr>
          <w:b/>
          <w:bCs/>
          <w:lang w:val="en-US"/>
        </w:rPr>
        <w:lastRenderedPageBreak/>
        <w:t>Referenc</w:t>
      </w:r>
      <w:r w:rsidR="00E23C9E" w:rsidRPr="00EB35E0">
        <w:rPr>
          <w:b/>
          <w:bCs/>
          <w:lang w:val="en-US"/>
        </w:rPr>
        <w:t>ias</w:t>
      </w:r>
      <w:proofErr w:type="spellEnd"/>
    </w:p>
    <w:p w14:paraId="3AF49319" w14:textId="77777777" w:rsidR="000E5BEE" w:rsidRPr="006A35F1" w:rsidRDefault="000E5BEE" w:rsidP="006A35F1">
      <w:pPr>
        <w:spacing w:line="360" w:lineRule="auto"/>
        <w:ind w:left="720" w:hanging="720"/>
        <w:jc w:val="both"/>
        <w:rPr>
          <w:color w:val="000000" w:themeColor="text1"/>
          <w:lang w:val="en-US"/>
        </w:rPr>
      </w:pPr>
      <w:r w:rsidRPr="006A35F1">
        <w:rPr>
          <w:color w:val="000000" w:themeColor="text1"/>
          <w:lang w:val="en-US"/>
        </w:rPr>
        <w:t>Abbott, D. M., &amp; Mollen, D. (2018). Atheism as a concealable stigmatized identity: Outness, anticipated stigma, and well-being</w:t>
      </w:r>
      <w:r w:rsidRPr="006A35F1">
        <w:rPr>
          <w:i/>
          <w:iCs/>
          <w:color w:val="000000" w:themeColor="text1"/>
          <w:lang w:val="en-US"/>
        </w:rPr>
        <w:t>. The Counseling Psychologist, 46</w:t>
      </w:r>
      <w:r w:rsidRPr="006A35F1">
        <w:rPr>
          <w:color w:val="000000" w:themeColor="text1"/>
          <w:lang w:val="en-US"/>
        </w:rPr>
        <w:t>(6), 685–707. https://doi.org/10.1177/0011000018792669</w:t>
      </w:r>
    </w:p>
    <w:p w14:paraId="53BC03E4" w14:textId="22BBEDB0" w:rsidR="000E5BEE" w:rsidRPr="006A35F1" w:rsidRDefault="000E5BEE" w:rsidP="006A35F1">
      <w:pPr>
        <w:spacing w:line="360" w:lineRule="auto"/>
        <w:ind w:left="720" w:hanging="720"/>
        <w:jc w:val="both"/>
        <w:rPr>
          <w:color w:val="000000" w:themeColor="text1"/>
          <w:lang w:val="en-US"/>
        </w:rPr>
      </w:pPr>
      <w:proofErr w:type="spellStart"/>
      <w:r w:rsidRPr="006A35F1">
        <w:rPr>
          <w:color w:val="000000" w:themeColor="text1"/>
          <w:lang w:val="en-US"/>
        </w:rPr>
        <w:t>Branscombe</w:t>
      </w:r>
      <w:proofErr w:type="spellEnd"/>
      <w:r w:rsidRPr="006A35F1">
        <w:rPr>
          <w:color w:val="000000" w:themeColor="text1"/>
          <w:lang w:val="en-US"/>
        </w:rPr>
        <w:t xml:space="preserve">, N. R., Schmitt, M. T., &amp; Harvey, R. D. (1999). Perceiving pervasive discrimination among African Americans: Implications for group identification and well-being. </w:t>
      </w:r>
      <w:r w:rsidRPr="006A35F1">
        <w:rPr>
          <w:rStyle w:val="Emphasis"/>
          <w:color w:val="000000" w:themeColor="text1"/>
          <w:lang w:val="en-US"/>
        </w:rPr>
        <w:t>Journal of Personality and Social Psychology, 77</w:t>
      </w:r>
      <w:r w:rsidRPr="006A35F1">
        <w:rPr>
          <w:color w:val="000000" w:themeColor="text1"/>
          <w:lang w:val="en-US"/>
        </w:rPr>
        <w:t xml:space="preserve">(1), 135–149. </w:t>
      </w:r>
      <w:r w:rsidR="003925AF" w:rsidRPr="006A35F1">
        <w:rPr>
          <w:rFonts w:eastAsiaTheme="minorHAnsi"/>
          <w:lang w:val="en-US"/>
        </w:rPr>
        <w:t>https://doi.org/10.1037/0022-3514.77.1.135</w:t>
      </w:r>
    </w:p>
    <w:p w14:paraId="6EEE2B8D" w14:textId="77777777" w:rsidR="000E5BEE" w:rsidRPr="006A35F1" w:rsidRDefault="000E5BEE" w:rsidP="006A35F1">
      <w:pPr>
        <w:spacing w:line="360" w:lineRule="auto"/>
        <w:ind w:left="720" w:hanging="720"/>
        <w:jc w:val="both"/>
        <w:rPr>
          <w:color w:val="000000" w:themeColor="text1"/>
          <w:lang w:val="en-US"/>
        </w:rPr>
      </w:pPr>
      <w:r w:rsidRPr="006A35F1">
        <w:rPr>
          <w:color w:val="000000" w:themeColor="text1"/>
          <w:lang w:val="en-US"/>
        </w:rPr>
        <w:t xml:space="preserve">Brewster, M. E., Robinson, M. A., </w:t>
      </w:r>
      <w:proofErr w:type="spellStart"/>
      <w:r w:rsidRPr="006A35F1">
        <w:rPr>
          <w:color w:val="000000" w:themeColor="text1"/>
          <w:lang w:val="en-US"/>
        </w:rPr>
        <w:t>Sandil</w:t>
      </w:r>
      <w:proofErr w:type="spellEnd"/>
      <w:r w:rsidRPr="006A35F1">
        <w:rPr>
          <w:color w:val="000000" w:themeColor="text1"/>
          <w:lang w:val="en-US"/>
        </w:rPr>
        <w:t xml:space="preserve">, R., Esposito, J., &amp; Geiger, E. (2014). Arrantly absent: Atheism in psychological science from 2001 to 2012. </w:t>
      </w:r>
      <w:r w:rsidRPr="006A35F1">
        <w:rPr>
          <w:i/>
          <w:iCs/>
          <w:color w:val="000000" w:themeColor="text1"/>
          <w:lang w:val="en-US"/>
        </w:rPr>
        <w:t>The Counseling Psychologist, 42</w:t>
      </w:r>
      <w:r w:rsidRPr="006A35F1">
        <w:rPr>
          <w:color w:val="000000" w:themeColor="text1"/>
          <w:lang w:val="en-US"/>
        </w:rPr>
        <w:t>(5), 628–663. doi:10.1177/0011000014528051</w:t>
      </w:r>
    </w:p>
    <w:p w14:paraId="4209A560" w14:textId="74E4E78C" w:rsidR="000E5BEE" w:rsidRPr="00B50DFC" w:rsidRDefault="000E5BEE" w:rsidP="006A35F1">
      <w:pPr>
        <w:spacing w:line="360" w:lineRule="auto"/>
        <w:ind w:left="720" w:hanging="720"/>
        <w:jc w:val="both"/>
        <w:rPr>
          <w:color w:val="000000" w:themeColor="text1"/>
          <w:lang w:val="es-ES"/>
        </w:rPr>
      </w:pPr>
      <w:r w:rsidRPr="006A35F1">
        <w:rPr>
          <w:color w:val="000000" w:themeColor="text1"/>
          <w:lang w:val="en-US"/>
        </w:rPr>
        <w:t xml:space="preserve">Chan, R. C. H. (2022) Effects of minority stress on group identification and collective action among sexual minorities: A longitudinal test of the rejection-identification model. </w:t>
      </w:r>
      <w:r w:rsidRPr="00B50DFC">
        <w:rPr>
          <w:i/>
          <w:iCs/>
          <w:color w:val="000000" w:themeColor="text1"/>
          <w:lang w:val="es-ES"/>
        </w:rPr>
        <w:t>Sex Roles</w:t>
      </w:r>
      <w:r w:rsidR="003925AF">
        <w:rPr>
          <w:i/>
          <w:iCs/>
          <w:color w:val="000000" w:themeColor="text1"/>
          <w:lang w:val="es-ES"/>
        </w:rPr>
        <w:t>,</w:t>
      </w:r>
      <w:r w:rsidRPr="00B50DFC">
        <w:rPr>
          <w:color w:val="000000" w:themeColor="text1"/>
          <w:lang w:val="es-ES"/>
        </w:rPr>
        <w:t xml:space="preserve"> </w:t>
      </w:r>
      <w:r w:rsidRPr="00B50DFC">
        <w:rPr>
          <w:i/>
          <w:iCs/>
          <w:color w:val="000000" w:themeColor="text1"/>
          <w:lang w:val="es-ES"/>
        </w:rPr>
        <w:t>87</w:t>
      </w:r>
      <w:r w:rsidRPr="00B50DFC">
        <w:rPr>
          <w:color w:val="000000" w:themeColor="text1"/>
          <w:lang w:val="es-ES"/>
        </w:rPr>
        <w:t>, 237–250. https://doi.org/10.1007/s11199-022-01304-2</w:t>
      </w:r>
    </w:p>
    <w:p w14:paraId="071A361C" w14:textId="77777777" w:rsidR="000E5BEE" w:rsidRPr="00DF6C57" w:rsidRDefault="000E5BEE" w:rsidP="006A35F1">
      <w:pPr>
        <w:spacing w:line="360" w:lineRule="auto"/>
        <w:ind w:left="720" w:hanging="720"/>
        <w:jc w:val="both"/>
        <w:rPr>
          <w:color w:val="000000" w:themeColor="text1"/>
          <w:lang w:val="es-ES"/>
        </w:rPr>
      </w:pPr>
      <w:r w:rsidRPr="00DF6C57">
        <w:rPr>
          <w:color w:val="000000" w:themeColor="text1"/>
          <w:lang w:val="es-ES"/>
        </w:rPr>
        <w:t xml:space="preserve">Cotto-Serrano, R. (1999). Protestantismo y política en Puerto Rico, 1898-1930. </w:t>
      </w:r>
      <w:r w:rsidRPr="00DF6C57">
        <w:rPr>
          <w:i/>
          <w:iCs/>
          <w:color w:val="000000" w:themeColor="text1"/>
          <w:lang w:val="es-ES"/>
        </w:rPr>
        <w:t>Revista de Ciencias Sociales, 6</w:t>
      </w:r>
      <w:r w:rsidRPr="00DF6C57">
        <w:rPr>
          <w:color w:val="000000" w:themeColor="text1"/>
          <w:lang w:val="es-ES"/>
        </w:rPr>
        <w:t>, 306-309.</w:t>
      </w:r>
    </w:p>
    <w:p w14:paraId="139A88AC" w14:textId="77777777" w:rsidR="000E5BEE" w:rsidRPr="00DF6C57" w:rsidRDefault="000E5BEE" w:rsidP="006A35F1">
      <w:pPr>
        <w:spacing w:line="360" w:lineRule="auto"/>
        <w:ind w:left="720" w:hanging="720"/>
        <w:jc w:val="both"/>
        <w:rPr>
          <w:color w:val="000000" w:themeColor="text1"/>
          <w:lang w:val="es-ES"/>
        </w:rPr>
      </w:pPr>
      <w:proofErr w:type="spellStart"/>
      <w:r w:rsidRPr="00DF6C57">
        <w:rPr>
          <w:color w:val="000000" w:themeColor="text1"/>
          <w:lang w:val="es-ES"/>
        </w:rPr>
        <w:t>Crego</w:t>
      </w:r>
      <w:proofErr w:type="spellEnd"/>
      <w:r w:rsidRPr="00DF6C57">
        <w:rPr>
          <w:color w:val="000000" w:themeColor="text1"/>
          <w:lang w:val="es-ES"/>
        </w:rPr>
        <w:t>, A., Yela, J. R., Gómez-Martínez, M. A., &amp; Sánchez-</w:t>
      </w:r>
      <w:proofErr w:type="spellStart"/>
      <w:r w:rsidRPr="00DF6C57">
        <w:rPr>
          <w:color w:val="000000" w:themeColor="text1"/>
          <w:lang w:val="es-ES"/>
        </w:rPr>
        <w:t>Zaballos</w:t>
      </w:r>
      <w:proofErr w:type="spellEnd"/>
      <w:r w:rsidRPr="00DF6C57">
        <w:rPr>
          <w:color w:val="000000" w:themeColor="text1"/>
          <w:lang w:val="es-ES"/>
        </w:rPr>
        <w:t xml:space="preserve">, E. (2019). La experiencia de significado en la vida como variable mediadora de la relación entre religiosidad y ajuste psicológico. </w:t>
      </w:r>
      <w:proofErr w:type="spellStart"/>
      <w:r w:rsidRPr="00DF6C57">
        <w:rPr>
          <w:i/>
          <w:iCs/>
          <w:color w:val="000000" w:themeColor="text1"/>
          <w:lang w:val="es-ES"/>
        </w:rPr>
        <w:t>Universitas</w:t>
      </w:r>
      <w:proofErr w:type="spellEnd"/>
      <w:r w:rsidRPr="00DF6C57">
        <w:rPr>
          <w:i/>
          <w:iCs/>
          <w:color w:val="000000" w:themeColor="text1"/>
          <w:lang w:val="es-ES"/>
        </w:rPr>
        <w:t xml:space="preserve"> </w:t>
      </w:r>
      <w:proofErr w:type="spellStart"/>
      <w:r w:rsidRPr="00DF6C57">
        <w:rPr>
          <w:i/>
          <w:iCs/>
          <w:color w:val="000000" w:themeColor="text1"/>
          <w:lang w:val="es-ES"/>
        </w:rPr>
        <w:t>Psychologica</w:t>
      </w:r>
      <w:proofErr w:type="spellEnd"/>
      <w:r w:rsidRPr="00DF6C57">
        <w:rPr>
          <w:i/>
          <w:iCs/>
          <w:color w:val="000000" w:themeColor="text1"/>
          <w:lang w:val="es-ES"/>
        </w:rPr>
        <w:t>, 18</w:t>
      </w:r>
      <w:r w:rsidRPr="00DF6C57">
        <w:rPr>
          <w:color w:val="000000" w:themeColor="text1"/>
          <w:lang w:val="es-ES"/>
        </w:rPr>
        <w:t>(5), 1-16. https://doi.org/10.11144/Javeriana.upsy18-5.esvv</w:t>
      </w:r>
    </w:p>
    <w:p w14:paraId="2A79E050" w14:textId="77777777" w:rsidR="000E5BEE" w:rsidRPr="006A35F1" w:rsidRDefault="000E5BEE" w:rsidP="006A35F1">
      <w:pPr>
        <w:spacing w:line="360" w:lineRule="auto"/>
        <w:ind w:left="720" w:hanging="720"/>
        <w:jc w:val="both"/>
        <w:rPr>
          <w:color w:val="000000" w:themeColor="text1"/>
          <w:lang w:val="en-US"/>
        </w:rPr>
      </w:pPr>
      <w:proofErr w:type="spellStart"/>
      <w:r w:rsidRPr="00DF6C57">
        <w:rPr>
          <w:color w:val="000000" w:themeColor="text1"/>
          <w:lang w:val="es-ES"/>
        </w:rPr>
        <w:t>Doane</w:t>
      </w:r>
      <w:proofErr w:type="spellEnd"/>
      <w:r w:rsidRPr="00DF6C57">
        <w:rPr>
          <w:color w:val="000000" w:themeColor="text1"/>
          <w:lang w:val="es-ES"/>
        </w:rPr>
        <w:t xml:space="preserve">, M. J., &amp; Elliott, M. (2015). </w:t>
      </w:r>
      <w:r w:rsidRPr="006A35F1">
        <w:rPr>
          <w:color w:val="000000" w:themeColor="text1"/>
          <w:lang w:val="en-US"/>
        </w:rPr>
        <w:t xml:space="preserve">Perceptions of discrimination among atheists: Consequences for atheist identification, psychological and physical well-being. </w:t>
      </w:r>
      <w:r w:rsidRPr="006A35F1">
        <w:rPr>
          <w:i/>
          <w:iCs/>
          <w:color w:val="000000" w:themeColor="text1"/>
          <w:lang w:val="en-US"/>
        </w:rPr>
        <w:t>Psychology of Religion and Spirituality, 7</w:t>
      </w:r>
      <w:r w:rsidRPr="006A35F1">
        <w:rPr>
          <w:color w:val="000000" w:themeColor="text1"/>
          <w:lang w:val="en-US"/>
        </w:rPr>
        <w:t xml:space="preserve">(2), 130–141. </w:t>
      </w:r>
      <w:r w:rsidRPr="006A35F1">
        <w:rPr>
          <w:rFonts w:eastAsiaTheme="minorHAnsi"/>
          <w:color w:val="000000" w:themeColor="text1"/>
          <w:lang w:val="en-US"/>
        </w:rPr>
        <w:t>https://doi.org/10.1037/rel0000015</w:t>
      </w:r>
    </w:p>
    <w:p w14:paraId="209F2EE3" w14:textId="77777777" w:rsidR="000E5BEE" w:rsidRPr="00DF6C57" w:rsidRDefault="000E5BEE" w:rsidP="006A35F1">
      <w:pPr>
        <w:spacing w:line="360" w:lineRule="auto"/>
        <w:ind w:left="720" w:hanging="720"/>
        <w:jc w:val="both"/>
        <w:rPr>
          <w:color w:val="000000" w:themeColor="text1"/>
          <w:lang w:val="es-ES"/>
        </w:rPr>
      </w:pPr>
      <w:proofErr w:type="spellStart"/>
      <w:r w:rsidRPr="006A35F1">
        <w:rPr>
          <w:color w:val="000000" w:themeColor="text1"/>
          <w:lang w:val="en-US"/>
        </w:rPr>
        <w:t>Fanjul</w:t>
      </w:r>
      <w:proofErr w:type="spellEnd"/>
      <w:r w:rsidRPr="006A35F1">
        <w:rPr>
          <w:color w:val="000000" w:themeColor="text1"/>
          <w:lang w:val="en-US"/>
        </w:rPr>
        <w:t xml:space="preserve"> de </w:t>
      </w:r>
      <w:proofErr w:type="spellStart"/>
      <w:r w:rsidRPr="006A35F1">
        <w:rPr>
          <w:color w:val="000000" w:themeColor="text1"/>
          <w:lang w:val="en-US"/>
        </w:rPr>
        <w:t>Marsicovetere</w:t>
      </w:r>
      <w:proofErr w:type="spellEnd"/>
      <w:r w:rsidRPr="006A35F1">
        <w:rPr>
          <w:color w:val="000000" w:themeColor="text1"/>
          <w:lang w:val="en-US"/>
        </w:rPr>
        <w:t xml:space="preserve">, R. M., Gibbons, J. L., &amp; Grazioso, M. D. (2014). </w:t>
      </w:r>
      <w:r w:rsidRPr="00DF6C57">
        <w:rPr>
          <w:color w:val="000000" w:themeColor="text1"/>
          <w:lang w:val="es-ES"/>
        </w:rPr>
        <w:t xml:space="preserve">“No hay por qué seguir a todo el mundo”, la cosmovisión de guatemaltecos no creyentes. </w:t>
      </w:r>
      <w:r w:rsidRPr="00DF6C57">
        <w:rPr>
          <w:i/>
          <w:iCs/>
          <w:color w:val="000000" w:themeColor="text1"/>
          <w:lang w:val="es-ES"/>
        </w:rPr>
        <w:t>Revista Interamericana de Psicología/</w:t>
      </w:r>
      <w:proofErr w:type="spellStart"/>
      <w:r w:rsidRPr="00DF6C57">
        <w:rPr>
          <w:i/>
          <w:iCs/>
          <w:color w:val="000000" w:themeColor="text1"/>
          <w:lang w:val="es-ES"/>
        </w:rPr>
        <w:t>Interamerican</w:t>
      </w:r>
      <w:proofErr w:type="spellEnd"/>
      <w:r w:rsidRPr="00DF6C57">
        <w:rPr>
          <w:i/>
          <w:iCs/>
          <w:color w:val="000000" w:themeColor="text1"/>
          <w:lang w:val="es-ES"/>
        </w:rPr>
        <w:t xml:space="preserve"> </w:t>
      </w:r>
      <w:proofErr w:type="spellStart"/>
      <w:r w:rsidRPr="00DF6C57">
        <w:rPr>
          <w:i/>
          <w:iCs/>
          <w:color w:val="000000" w:themeColor="text1"/>
          <w:lang w:val="es-ES"/>
        </w:rPr>
        <w:t>Journal</w:t>
      </w:r>
      <w:proofErr w:type="spellEnd"/>
      <w:r w:rsidRPr="00DF6C57">
        <w:rPr>
          <w:i/>
          <w:iCs/>
          <w:color w:val="000000" w:themeColor="text1"/>
          <w:lang w:val="es-ES"/>
        </w:rPr>
        <w:t xml:space="preserve"> </w:t>
      </w:r>
      <w:proofErr w:type="spellStart"/>
      <w:r w:rsidRPr="00DF6C57">
        <w:rPr>
          <w:i/>
          <w:iCs/>
          <w:color w:val="000000" w:themeColor="text1"/>
          <w:lang w:val="es-ES"/>
        </w:rPr>
        <w:t>of</w:t>
      </w:r>
      <w:proofErr w:type="spellEnd"/>
      <w:r w:rsidRPr="00DF6C57">
        <w:rPr>
          <w:i/>
          <w:iCs/>
          <w:color w:val="000000" w:themeColor="text1"/>
          <w:lang w:val="es-ES"/>
        </w:rPr>
        <w:t xml:space="preserve"> </w:t>
      </w:r>
      <w:proofErr w:type="spellStart"/>
      <w:r w:rsidRPr="00DF6C57">
        <w:rPr>
          <w:i/>
          <w:iCs/>
          <w:color w:val="000000" w:themeColor="text1"/>
          <w:lang w:val="es-ES"/>
        </w:rPr>
        <w:t>Psychology</w:t>
      </w:r>
      <w:proofErr w:type="spellEnd"/>
      <w:r w:rsidRPr="00DF6C57">
        <w:rPr>
          <w:i/>
          <w:iCs/>
          <w:color w:val="000000" w:themeColor="text1"/>
          <w:lang w:val="es-ES"/>
        </w:rPr>
        <w:t>, 48</w:t>
      </w:r>
      <w:r w:rsidRPr="00DF6C57">
        <w:rPr>
          <w:color w:val="000000" w:themeColor="text1"/>
          <w:lang w:val="es-ES"/>
        </w:rPr>
        <w:t xml:space="preserve">(2), 172-182. </w:t>
      </w:r>
    </w:p>
    <w:p w14:paraId="15D67B6E" w14:textId="77777777" w:rsidR="000E5BEE" w:rsidRPr="006A35F1" w:rsidRDefault="000E5BEE" w:rsidP="006A35F1">
      <w:pPr>
        <w:spacing w:line="360" w:lineRule="auto"/>
        <w:ind w:left="720" w:hanging="720"/>
        <w:jc w:val="both"/>
        <w:rPr>
          <w:color w:val="000000" w:themeColor="text1"/>
          <w:lang w:val="en-US"/>
        </w:rPr>
      </w:pPr>
      <w:proofErr w:type="spellStart"/>
      <w:r w:rsidRPr="008E25A4">
        <w:rPr>
          <w:color w:val="000000" w:themeColor="text1"/>
          <w:lang w:val="es-ES"/>
        </w:rPr>
        <w:t>Galen</w:t>
      </w:r>
      <w:proofErr w:type="spellEnd"/>
      <w:r w:rsidRPr="008E25A4">
        <w:rPr>
          <w:color w:val="000000" w:themeColor="text1"/>
          <w:lang w:val="es-ES"/>
        </w:rPr>
        <w:t xml:space="preserve">, L. (2015). </w:t>
      </w:r>
      <w:r w:rsidRPr="006A35F1">
        <w:rPr>
          <w:color w:val="000000" w:themeColor="text1"/>
          <w:lang w:val="en-US"/>
        </w:rPr>
        <w:t xml:space="preserve">Atheism, wellbeing, and the wager: Why not believing in god (with others) is good for you. </w:t>
      </w:r>
      <w:r w:rsidRPr="006A35F1">
        <w:rPr>
          <w:i/>
          <w:iCs/>
          <w:color w:val="000000" w:themeColor="text1"/>
          <w:lang w:val="en-US"/>
        </w:rPr>
        <w:t>Science, Religion and Culture, 2</w:t>
      </w:r>
      <w:r w:rsidRPr="006A35F1">
        <w:rPr>
          <w:color w:val="000000" w:themeColor="text1"/>
          <w:lang w:val="en-US"/>
        </w:rPr>
        <w:t>(3), 54–69. https://doi.org/10.17582/journal.src/2015/2.3.54.69</w:t>
      </w:r>
    </w:p>
    <w:p w14:paraId="6049F0F1" w14:textId="28493AEE" w:rsidR="000E5BEE" w:rsidRPr="006A35F1" w:rsidRDefault="000E5BEE" w:rsidP="006A35F1">
      <w:pPr>
        <w:pStyle w:val="NormalWeb"/>
        <w:spacing w:line="360" w:lineRule="auto"/>
        <w:ind w:left="567" w:hanging="567"/>
        <w:jc w:val="both"/>
        <w:rPr>
          <w:color w:val="000000" w:themeColor="text1"/>
          <w:lang w:val="en-US"/>
        </w:rPr>
      </w:pPr>
      <w:r w:rsidRPr="006A35F1">
        <w:rPr>
          <w:color w:val="000000" w:themeColor="text1"/>
          <w:lang w:val="en-US"/>
        </w:rPr>
        <w:t xml:space="preserve">Gallup International. (2017, April 10). </w:t>
      </w:r>
      <w:r w:rsidRPr="006A35F1">
        <w:rPr>
          <w:i/>
          <w:iCs/>
          <w:color w:val="000000" w:themeColor="text1"/>
          <w:lang w:val="en-US"/>
        </w:rPr>
        <w:t xml:space="preserve">Religion </w:t>
      </w:r>
      <w:r w:rsidR="003925AF" w:rsidRPr="003925AF">
        <w:rPr>
          <w:i/>
          <w:iCs/>
          <w:color w:val="000000" w:themeColor="text1"/>
          <w:lang w:val="en-US"/>
        </w:rPr>
        <w:t>prevails in the wo</w:t>
      </w:r>
      <w:r w:rsidRPr="006A35F1">
        <w:rPr>
          <w:i/>
          <w:iCs/>
          <w:color w:val="000000" w:themeColor="text1"/>
          <w:lang w:val="en-US"/>
        </w:rPr>
        <w:t>rld</w:t>
      </w:r>
      <w:r w:rsidRPr="006A35F1">
        <w:rPr>
          <w:color w:val="000000" w:themeColor="text1"/>
          <w:lang w:val="en-US"/>
        </w:rPr>
        <w:t xml:space="preserve">. Gallup International. https://www.gallup-international.bg/en/36009/religion-prevails-in-the-world/ </w:t>
      </w:r>
    </w:p>
    <w:p w14:paraId="0FAD406B" w14:textId="77777777" w:rsidR="000E5BEE" w:rsidRPr="00DF6C57" w:rsidRDefault="000E5BEE" w:rsidP="006A35F1">
      <w:pPr>
        <w:spacing w:line="360" w:lineRule="auto"/>
        <w:ind w:left="720" w:hanging="720"/>
        <w:jc w:val="both"/>
        <w:rPr>
          <w:color w:val="000000" w:themeColor="text1"/>
          <w:lang w:val="es-ES"/>
        </w:rPr>
      </w:pPr>
      <w:r w:rsidRPr="00DF6C57">
        <w:rPr>
          <w:color w:val="000000" w:themeColor="text1"/>
          <w:lang w:val="es-ES"/>
        </w:rPr>
        <w:lastRenderedPageBreak/>
        <w:t xml:space="preserve">García, E. P. (1974). La Iglesia Protestante y la americanización de Puerto Rico. </w:t>
      </w:r>
      <w:r w:rsidRPr="00DF6C57">
        <w:rPr>
          <w:i/>
          <w:iCs/>
          <w:color w:val="000000" w:themeColor="text1"/>
          <w:lang w:val="es-ES"/>
        </w:rPr>
        <w:t>Revista de Ciencias Sociales, (1-2),</w:t>
      </w:r>
      <w:r w:rsidRPr="00DF6C57">
        <w:rPr>
          <w:color w:val="000000" w:themeColor="text1"/>
          <w:lang w:val="es-ES"/>
        </w:rPr>
        <w:t xml:space="preserve"> 98-122.</w:t>
      </w:r>
    </w:p>
    <w:p w14:paraId="048D0DCF" w14:textId="1E9A31F6" w:rsidR="000E5BEE" w:rsidRPr="00DF6C57" w:rsidRDefault="000E5BEE" w:rsidP="006A35F1">
      <w:pPr>
        <w:spacing w:line="360" w:lineRule="auto"/>
        <w:ind w:left="720" w:hanging="720"/>
        <w:jc w:val="both"/>
        <w:rPr>
          <w:color w:val="000000" w:themeColor="text1"/>
          <w:lang w:val="es-ES"/>
        </w:rPr>
      </w:pPr>
      <w:r w:rsidRPr="00DF6C57">
        <w:rPr>
          <w:color w:val="000000" w:themeColor="text1"/>
          <w:lang w:val="es-ES"/>
        </w:rPr>
        <w:t xml:space="preserve">González-Rivera, J. A., Rosario-Rodríguez, A., Rodríguez-Ramos, E., Hernández-Gato, I., &amp; Torres-Báez, L. (2019). ¿Realmente son los creyentes más felices que los ateos? Medidas de Bienestar en una </w:t>
      </w:r>
      <w:r>
        <w:rPr>
          <w:color w:val="000000" w:themeColor="text1"/>
          <w:lang w:val="es-ES"/>
        </w:rPr>
        <w:t>m</w:t>
      </w:r>
      <w:r w:rsidRPr="00DF6C57">
        <w:rPr>
          <w:color w:val="000000" w:themeColor="text1"/>
          <w:lang w:val="es-ES"/>
        </w:rPr>
        <w:t xml:space="preserve">uestra de </w:t>
      </w:r>
      <w:r>
        <w:rPr>
          <w:color w:val="000000" w:themeColor="text1"/>
          <w:lang w:val="es-ES"/>
        </w:rPr>
        <w:t>a</w:t>
      </w:r>
      <w:r w:rsidRPr="00DF6C57">
        <w:rPr>
          <w:color w:val="000000" w:themeColor="text1"/>
          <w:lang w:val="es-ES"/>
        </w:rPr>
        <w:t xml:space="preserve">teos y </w:t>
      </w:r>
      <w:r>
        <w:rPr>
          <w:color w:val="000000" w:themeColor="text1"/>
          <w:lang w:val="es-ES"/>
        </w:rPr>
        <w:t>c</w:t>
      </w:r>
      <w:r w:rsidRPr="00DF6C57">
        <w:rPr>
          <w:color w:val="000000" w:themeColor="text1"/>
          <w:lang w:val="es-ES"/>
        </w:rPr>
        <w:t xml:space="preserve">reyentes en Puerto Rico. </w:t>
      </w:r>
      <w:r w:rsidRPr="00DF6C57">
        <w:rPr>
          <w:i/>
          <w:iCs/>
          <w:color w:val="000000" w:themeColor="text1"/>
          <w:lang w:val="es-ES"/>
        </w:rPr>
        <w:t>Interacciones</w:t>
      </w:r>
      <w:r w:rsidR="003925AF">
        <w:rPr>
          <w:i/>
          <w:iCs/>
          <w:color w:val="000000" w:themeColor="text1"/>
          <w:lang w:val="es-ES"/>
        </w:rPr>
        <w:t>:</w:t>
      </w:r>
      <w:r w:rsidRPr="00DF6C57">
        <w:rPr>
          <w:i/>
          <w:iCs/>
          <w:color w:val="000000" w:themeColor="text1"/>
          <w:lang w:val="es-ES"/>
        </w:rPr>
        <w:t xml:space="preserve"> Revista de Avances En Psicología, 5</w:t>
      </w:r>
      <w:r w:rsidRPr="00DF6C57">
        <w:rPr>
          <w:color w:val="000000" w:themeColor="text1"/>
          <w:lang w:val="es-ES"/>
        </w:rPr>
        <w:t>(1), 51. https://doi.org/10.24016/2019.v5n1.160</w:t>
      </w:r>
    </w:p>
    <w:p w14:paraId="325775DF" w14:textId="77777777" w:rsidR="000E5BEE" w:rsidRPr="00DF6C57" w:rsidRDefault="000E5BEE" w:rsidP="006A35F1">
      <w:pPr>
        <w:spacing w:line="360" w:lineRule="auto"/>
        <w:ind w:left="720" w:hanging="720"/>
        <w:jc w:val="both"/>
        <w:rPr>
          <w:color w:val="000000" w:themeColor="text1"/>
          <w:lang w:val="es-ES"/>
        </w:rPr>
      </w:pPr>
      <w:r w:rsidRPr="00DF6C57">
        <w:rPr>
          <w:color w:val="000000" w:themeColor="text1"/>
          <w:lang w:val="es-ES"/>
        </w:rPr>
        <w:t xml:space="preserve">González Rivera, J., Pabellón Lebrón, S., &amp; Rosario Rodríguez, A. (2017). El rol mediador de la identificación ateísta en la relación entre discriminación y bienestar psicológico: Un estudio preliminar. </w:t>
      </w:r>
      <w:r w:rsidRPr="00DF6C57">
        <w:rPr>
          <w:i/>
          <w:iCs/>
          <w:color w:val="000000" w:themeColor="text1"/>
          <w:lang w:val="es-ES"/>
        </w:rPr>
        <w:t>Revista Puertorriqueña de Psicología, 28</w:t>
      </w:r>
      <w:r w:rsidRPr="00DF6C57">
        <w:rPr>
          <w:color w:val="000000" w:themeColor="text1"/>
          <w:lang w:val="es-ES"/>
        </w:rPr>
        <w:t>(2), 406–421.</w:t>
      </w:r>
    </w:p>
    <w:p w14:paraId="6051C447" w14:textId="77777777" w:rsidR="000E5BEE" w:rsidRPr="00DF6C57" w:rsidRDefault="000E5BEE" w:rsidP="006A35F1">
      <w:pPr>
        <w:spacing w:line="360" w:lineRule="auto"/>
        <w:ind w:left="720" w:hanging="720"/>
        <w:jc w:val="both"/>
        <w:rPr>
          <w:color w:val="000000" w:themeColor="text1"/>
          <w:lang w:val="es-ES"/>
        </w:rPr>
      </w:pPr>
      <w:proofErr w:type="spellStart"/>
      <w:r w:rsidRPr="00B50DFC">
        <w:rPr>
          <w:color w:val="000000" w:themeColor="text1"/>
          <w:lang w:val="es-ES"/>
        </w:rPr>
        <w:t>Hammer</w:t>
      </w:r>
      <w:proofErr w:type="spellEnd"/>
      <w:r w:rsidRPr="00B50DFC">
        <w:rPr>
          <w:color w:val="000000" w:themeColor="text1"/>
          <w:lang w:val="es-ES"/>
        </w:rPr>
        <w:t xml:space="preserve">, J. H., </w:t>
      </w:r>
      <w:proofErr w:type="spellStart"/>
      <w:r w:rsidRPr="00B50DFC">
        <w:rPr>
          <w:color w:val="000000" w:themeColor="text1"/>
          <w:lang w:val="es-ES"/>
        </w:rPr>
        <w:t>Cragun</w:t>
      </w:r>
      <w:proofErr w:type="spellEnd"/>
      <w:r w:rsidRPr="00B50DFC">
        <w:rPr>
          <w:color w:val="000000" w:themeColor="text1"/>
          <w:lang w:val="es-ES"/>
        </w:rPr>
        <w:t xml:space="preserve">, R. T., Hwang, K., &amp; Smith, J. M. (2012). </w:t>
      </w:r>
      <w:r w:rsidRPr="006A35F1">
        <w:rPr>
          <w:color w:val="000000" w:themeColor="text1"/>
          <w:lang w:val="en-US"/>
        </w:rPr>
        <w:t xml:space="preserve">Forms, frequency, and correlates of perceived anti-atheist discrimination. </w:t>
      </w:r>
      <w:proofErr w:type="spellStart"/>
      <w:r w:rsidRPr="00DF6C57">
        <w:rPr>
          <w:i/>
          <w:iCs/>
          <w:color w:val="000000" w:themeColor="text1"/>
          <w:lang w:val="es-ES"/>
        </w:rPr>
        <w:t>Secularism</w:t>
      </w:r>
      <w:proofErr w:type="spellEnd"/>
      <w:r w:rsidRPr="00DF6C57">
        <w:rPr>
          <w:i/>
          <w:iCs/>
          <w:color w:val="000000" w:themeColor="text1"/>
          <w:lang w:val="es-ES"/>
        </w:rPr>
        <w:t xml:space="preserve"> and </w:t>
      </w:r>
      <w:proofErr w:type="spellStart"/>
      <w:r w:rsidRPr="00DF6C57">
        <w:rPr>
          <w:i/>
          <w:iCs/>
          <w:color w:val="000000" w:themeColor="text1"/>
          <w:lang w:val="es-ES"/>
        </w:rPr>
        <w:t>Nonreligion</w:t>
      </w:r>
      <w:proofErr w:type="spellEnd"/>
      <w:r w:rsidRPr="00DF6C57">
        <w:rPr>
          <w:i/>
          <w:iCs/>
          <w:color w:val="000000" w:themeColor="text1"/>
          <w:lang w:val="es-ES"/>
        </w:rPr>
        <w:t>, 1</w:t>
      </w:r>
      <w:r w:rsidRPr="00DF6C57">
        <w:rPr>
          <w:color w:val="000000" w:themeColor="text1"/>
          <w:lang w:val="es-ES"/>
        </w:rPr>
        <w:t>(2012), 43. https://doi.org/10.5334/snr.ad</w:t>
      </w:r>
    </w:p>
    <w:p w14:paraId="3BE3B095" w14:textId="77777777" w:rsidR="000E5BEE" w:rsidRPr="00DF6C57" w:rsidRDefault="000E5BEE" w:rsidP="006A35F1">
      <w:pPr>
        <w:spacing w:line="360" w:lineRule="auto"/>
        <w:ind w:left="720" w:hanging="720"/>
        <w:jc w:val="both"/>
        <w:rPr>
          <w:color w:val="000000" w:themeColor="text1"/>
          <w:lang w:val="es-ES"/>
        </w:rPr>
      </w:pPr>
      <w:r w:rsidRPr="00DF6C57">
        <w:rPr>
          <w:color w:val="000000" w:themeColor="text1"/>
          <w:lang w:val="es-ES"/>
        </w:rPr>
        <w:t xml:space="preserve">Hernández Aponte, G. A. (2013) </w:t>
      </w:r>
      <w:r w:rsidRPr="00DE2B43">
        <w:rPr>
          <w:i/>
          <w:iCs/>
          <w:color w:val="000000" w:themeColor="text1"/>
          <w:lang w:val="es-ES"/>
        </w:rPr>
        <w:t>La iglesia católica en Puerto Rico ante la invasión de Estados Unidos de América: Lucha sobrevivencia y estabilización</w:t>
      </w:r>
      <w:r w:rsidRPr="00DF6C57">
        <w:rPr>
          <w:color w:val="000000" w:themeColor="text1"/>
          <w:lang w:val="es-ES"/>
        </w:rPr>
        <w:t>. Decanato de estudiantes graduados e investigación DEGI.</w:t>
      </w:r>
    </w:p>
    <w:p w14:paraId="28FA2756" w14:textId="1C7B669D" w:rsidR="000E5BEE" w:rsidRPr="006A35F1" w:rsidRDefault="000E5BEE" w:rsidP="006A35F1">
      <w:pPr>
        <w:spacing w:line="360" w:lineRule="auto"/>
        <w:ind w:left="720" w:hanging="720"/>
        <w:jc w:val="both"/>
        <w:rPr>
          <w:color w:val="000000" w:themeColor="text1"/>
          <w:lang w:val="en-US"/>
        </w:rPr>
      </w:pPr>
      <w:r w:rsidRPr="00DF6C57">
        <w:rPr>
          <w:color w:val="000000" w:themeColor="text1"/>
          <w:lang w:val="es-ES"/>
        </w:rPr>
        <w:t>Hernández-Sampieri, R.</w:t>
      </w:r>
      <w:r w:rsidR="003925AF">
        <w:rPr>
          <w:color w:val="000000" w:themeColor="text1"/>
          <w:lang w:val="es-ES"/>
        </w:rPr>
        <w:t xml:space="preserve">, &amp; </w:t>
      </w:r>
      <w:r w:rsidRPr="00DF6C57">
        <w:rPr>
          <w:color w:val="000000" w:themeColor="text1"/>
          <w:lang w:val="es-ES"/>
        </w:rPr>
        <w:t xml:space="preserve">Mendoza, C. (2018) </w:t>
      </w:r>
      <w:r w:rsidRPr="00DE2B43">
        <w:rPr>
          <w:i/>
          <w:iCs/>
          <w:color w:val="000000" w:themeColor="text1"/>
          <w:lang w:val="es-ES"/>
        </w:rPr>
        <w:t xml:space="preserve">Metodología de la investigación. </w:t>
      </w:r>
      <w:r w:rsidRPr="006A35F1">
        <w:rPr>
          <w:i/>
          <w:iCs/>
          <w:color w:val="000000" w:themeColor="text1"/>
          <w:lang w:val="en-US"/>
        </w:rPr>
        <w:t xml:space="preserve">Las </w:t>
      </w:r>
      <w:proofErr w:type="spellStart"/>
      <w:r w:rsidRPr="006A35F1">
        <w:rPr>
          <w:i/>
          <w:iCs/>
          <w:color w:val="000000" w:themeColor="text1"/>
          <w:lang w:val="en-US"/>
        </w:rPr>
        <w:t>rutas</w:t>
      </w:r>
      <w:proofErr w:type="spellEnd"/>
      <w:r w:rsidRPr="006A35F1">
        <w:rPr>
          <w:i/>
          <w:iCs/>
          <w:color w:val="000000" w:themeColor="text1"/>
          <w:lang w:val="en-US"/>
        </w:rPr>
        <w:t xml:space="preserve"> </w:t>
      </w:r>
      <w:proofErr w:type="spellStart"/>
      <w:r w:rsidRPr="006A35F1">
        <w:rPr>
          <w:i/>
          <w:iCs/>
          <w:color w:val="000000" w:themeColor="text1"/>
          <w:lang w:val="en-US"/>
        </w:rPr>
        <w:t>cuantitativa</w:t>
      </w:r>
      <w:proofErr w:type="spellEnd"/>
      <w:r w:rsidRPr="006A35F1">
        <w:rPr>
          <w:i/>
          <w:iCs/>
          <w:color w:val="000000" w:themeColor="text1"/>
          <w:lang w:val="en-US"/>
        </w:rPr>
        <w:t xml:space="preserve">, </w:t>
      </w:r>
      <w:proofErr w:type="spellStart"/>
      <w:r w:rsidRPr="006A35F1">
        <w:rPr>
          <w:i/>
          <w:iCs/>
          <w:color w:val="000000" w:themeColor="text1"/>
          <w:lang w:val="en-US"/>
        </w:rPr>
        <w:t>cualitativa</w:t>
      </w:r>
      <w:proofErr w:type="spellEnd"/>
      <w:r w:rsidRPr="006A35F1">
        <w:rPr>
          <w:i/>
          <w:iCs/>
          <w:color w:val="000000" w:themeColor="text1"/>
          <w:lang w:val="en-US"/>
        </w:rPr>
        <w:t xml:space="preserve"> y </w:t>
      </w:r>
      <w:proofErr w:type="spellStart"/>
      <w:r w:rsidRPr="006A35F1">
        <w:rPr>
          <w:i/>
          <w:iCs/>
          <w:color w:val="000000" w:themeColor="text1"/>
          <w:lang w:val="en-US"/>
        </w:rPr>
        <w:t>mixta</w:t>
      </w:r>
      <w:proofErr w:type="spellEnd"/>
      <w:r w:rsidRPr="006A35F1">
        <w:rPr>
          <w:i/>
          <w:iCs/>
          <w:color w:val="000000" w:themeColor="text1"/>
          <w:lang w:val="en-US"/>
        </w:rPr>
        <w:t>.</w:t>
      </w:r>
      <w:r w:rsidRPr="006A35F1">
        <w:rPr>
          <w:color w:val="000000" w:themeColor="text1"/>
          <w:lang w:val="en-US"/>
        </w:rPr>
        <w:t xml:space="preserve"> McGraw Hill.</w:t>
      </w:r>
    </w:p>
    <w:p w14:paraId="1FC3D49A" w14:textId="695018AC" w:rsidR="000E5BEE" w:rsidRPr="006A35F1" w:rsidRDefault="000E5BEE" w:rsidP="006A35F1">
      <w:pPr>
        <w:spacing w:line="360" w:lineRule="auto"/>
        <w:ind w:left="720" w:hanging="720"/>
        <w:jc w:val="both"/>
        <w:rPr>
          <w:b/>
          <w:bCs/>
          <w:color w:val="000000" w:themeColor="text1"/>
          <w:lang w:val="en-US"/>
        </w:rPr>
      </w:pPr>
      <w:r w:rsidRPr="006A35F1">
        <w:rPr>
          <w:color w:val="000000" w:themeColor="text1"/>
          <w:lang w:val="en-US"/>
        </w:rPr>
        <w:t xml:space="preserve">Johnson-Lawrence, V., Scott, J. B., &amp; James, S. A. (2020). Education, perceived discrimination and risk for depression in a southern black cohort. </w:t>
      </w:r>
      <w:r w:rsidRPr="006A35F1">
        <w:rPr>
          <w:i/>
          <w:iCs/>
          <w:color w:val="000000" w:themeColor="text1"/>
          <w:lang w:val="en-US"/>
        </w:rPr>
        <w:t xml:space="preserve">Aging &amp; </w:t>
      </w:r>
      <w:r w:rsidR="003925AF">
        <w:rPr>
          <w:i/>
          <w:iCs/>
          <w:color w:val="000000" w:themeColor="text1"/>
          <w:lang w:val="en-US"/>
        </w:rPr>
        <w:t>M</w:t>
      </w:r>
      <w:r w:rsidRPr="006A35F1">
        <w:rPr>
          <w:i/>
          <w:iCs/>
          <w:color w:val="000000" w:themeColor="text1"/>
          <w:lang w:val="en-US"/>
        </w:rPr>
        <w:t xml:space="preserve">ental </w:t>
      </w:r>
      <w:r w:rsidR="003925AF">
        <w:rPr>
          <w:i/>
          <w:iCs/>
          <w:color w:val="000000" w:themeColor="text1"/>
          <w:lang w:val="en-US"/>
        </w:rPr>
        <w:t>H</w:t>
      </w:r>
      <w:r w:rsidRPr="006A35F1">
        <w:rPr>
          <w:i/>
          <w:iCs/>
          <w:color w:val="000000" w:themeColor="text1"/>
          <w:lang w:val="en-US"/>
        </w:rPr>
        <w:t>ealth</w:t>
      </w:r>
      <w:r w:rsidRPr="006A35F1">
        <w:rPr>
          <w:color w:val="000000" w:themeColor="text1"/>
          <w:lang w:val="en-US"/>
        </w:rPr>
        <w:t xml:space="preserve">, </w:t>
      </w:r>
      <w:r w:rsidRPr="006A35F1">
        <w:rPr>
          <w:i/>
          <w:iCs/>
          <w:color w:val="000000" w:themeColor="text1"/>
          <w:lang w:val="en-US"/>
        </w:rPr>
        <w:t>24</w:t>
      </w:r>
      <w:r w:rsidRPr="006A35F1">
        <w:rPr>
          <w:color w:val="000000" w:themeColor="text1"/>
          <w:lang w:val="en-US"/>
        </w:rPr>
        <w:t>(11), 1872–1878. https://doi.org/10.1080/13607863.2019.1647131</w:t>
      </w:r>
    </w:p>
    <w:p w14:paraId="36BFE0ED" w14:textId="77777777" w:rsidR="000E5BEE" w:rsidRPr="006A35F1" w:rsidRDefault="000E5BEE" w:rsidP="006A35F1">
      <w:pPr>
        <w:spacing w:line="360" w:lineRule="auto"/>
        <w:ind w:left="720" w:hanging="720"/>
        <w:jc w:val="both"/>
        <w:rPr>
          <w:color w:val="000000" w:themeColor="text1"/>
          <w:lang w:val="en-US"/>
        </w:rPr>
      </w:pPr>
      <w:r w:rsidRPr="006A35F1">
        <w:rPr>
          <w:color w:val="000000" w:themeColor="text1"/>
          <w:lang w:val="en-US"/>
        </w:rPr>
        <w:t xml:space="preserve">Kosmin, B. A., &amp; </w:t>
      </w:r>
      <w:proofErr w:type="spellStart"/>
      <w:r w:rsidRPr="006A35F1">
        <w:rPr>
          <w:color w:val="000000" w:themeColor="text1"/>
          <w:lang w:val="en-US"/>
        </w:rPr>
        <w:t>Keysar</w:t>
      </w:r>
      <w:proofErr w:type="spellEnd"/>
      <w:r w:rsidRPr="006A35F1">
        <w:rPr>
          <w:color w:val="000000" w:themeColor="text1"/>
          <w:lang w:val="en-US"/>
        </w:rPr>
        <w:t xml:space="preserve">, A. (2006). </w:t>
      </w:r>
      <w:r w:rsidRPr="006A35F1">
        <w:rPr>
          <w:i/>
          <w:iCs/>
          <w:color w:val="000000" w:themeColor="text1"/>
          <w:lang w:val="en-US"/>
        </w:rPr>
        <w:t>Religion in a free market: Religious and non-religious Americans, who, what, why, where</w:t>
      </w:r>
      <w:r w:rsidRPr="006A35F1">
        <w:rPr>
          <w:color w:val="000000" w:themeColor="text1"/>
          <w:lang w:val="en-US"/>
        </w:rPr>
        <w:t>. Paramount Market Publishing, Inc.</w:t>
      </w:r>
    </w:p>
    <w:p w14:paraId="7A24BAC9" w14:textId="77777777" w:rsidR="000E5BEE" w:rsidRPr="006A35F1" w:rsidRDefault="000E5BEE" w:rsidP="006A35F1">
      <w:pPr>
        <w:spacing w:line="360" w:lineRule="auto"/>
        <w:ind w:left="720" w:hanging="720"/>
        <w:jc w:val="both"/>
        <w:rPr>
          <w:color w:val="000000" w:themeColor="text1"/>
          <w:lang w:val="en-US"/>
        </w:rPr>
      </w:pPr>
      <w:proofErr w:type="spellStart"/>
      <w:r w:rsidRPr="006A35F1">
        <w:rPr>
          <w:color w:val="000000" w:themeColor="text1"/>
          <w:lang w:val="en-US"/>
        </w:rPr>
        <w:t>Lawshe</w:t>
      </w:r>
      <w:proofErr w:type="spellEnd"/>
      <w:r w:rsidRPr="006A35F1">
        <w:rPr>
          <w:color w:val="000000" w:themeColor="text1"/>
          <w:lang w:val="en-US"/>
        </w:rPr>
        <w:t xml:space="preserve">, C.H. (1975). A Quantitative Approach to Content Validity. </w:t>
      </w:r>
      <w:r w:rsidRPr="006A35F1">
        <w:rPr>
          <w:i/>
          <w:iCs/>
          <w:color w:val="000000" w:themeColor="text1"/>
          <w:lang w:val="en-US"/>
        </w:rPr>
        <w:t>Personnel Psychology, 28,</w:t>
      </w:r>
      <w:r w:rsidRPr="006A35F1">
        <w:rPr>
          <w:color w:val="000000" w:themeColor="text1"/>
          <w:lang w:val="en-US"/>
        </w:rPr>
        <w:t xml:space="preserve"> 563-575.</w:t>
      </w:r>
    </w:p>
    <w:p w14:paraId="6E1EB74A" w14:textId="40CF788B" w:rsidR="000E5BEE" w:rsidRPr="006A35F1" w:rsidRDefault="000E5BEE" w:rsidP="006A35F1">
      <w:pPr>
        <w:spacing w:line="360" w:lineRule="auto"/>
        <w:ind w:left="720" w:hanging="720"/>
        <w:jc w:val="both"/>
        <w:rPr>
          <w:color w:val="000000" w:themeColor="text1"/>
          <w:lang w:val="en-US"/>
        </w:rPr>
      </w:pPr>
      <w:r w:rsidRPr="006A35F1">
        <w:rPr>
          <w:color w:val="000000" w:themeColor="text1"/>
          <w:lang w:val="en-US"/>
        </w:rPr>
        <w:t xml:space="preserve">Mann, M. (2015). Triangle Atheists: Stigma, </w:t>
      </w:r>
      <w:r w:rsidR="003925AF" w:rsidRPr="003925AF">
        <w:rPr>
          <w:color w:val="000000" w:themeColor="text1"/>
          <w:lang w:val="en-US"/>
        </w:rPr>
        <w:t>identity, and community among</w:t>
      </w:r>
      <w:r w:rsidRPr="006A35F1">
        <w:rPr>
          <w:color w:val="000000" w:themeColor="text1"/>
          <w:lang w:val="en-US"/>
        </w:rPr>
        <w:t xml:space="preserve"> Atheists in North Carolina’s Triangle Region. </w:t>
      </w:r>
      <w:r w:rsidRPr="006A35F1">
        <w:rPr>
          <w:i/>
          <w:iCs/>
          <w:color w:val="000000" w:themeColor="text1"/>
          <w:lang w:val="en-US"/>
        </w:rPr>
        <w:t>Secularism and Nonreligion, 4</w:t>
      </w:r>
      <w:r w:rsidRPr="006A35F1">
        <w:rPr>
          <w:color w:val="000000" w:themeColor="text1"/>
          <w:lang w:val="en-US"/>
        </w:rPr>
        <w:t xml:space="preserve">, 1–12. </w:t>
      </w:r>
      <w:r w:rsidR="003925AF" w:rsidRPr="006A35F1">
        <w:rPr>
          <w:rFonts w:eastAsiaTheme="minorHAnsi"/>
          <w:lang w:val="en-US"/>
        </w:rPr>
        <w:t>https://doi.org/10.5334/snr.bd</w:t>
      </w:r>
    </w:p>
    <w:p w14:paraId="2B6A7EE8" w14:textId="77777777" w:rsidR="000E5BEE" w:rsidRPr="00DF6C57" w:rsidRDefault="000E5BEE" w:rsidP="006A35F1">
      <w:pPr>
        <w:spacing w:line="360" w:lineRule="auto"/>
        <w:ind w:left="720" w:hanging="720"/>
        <w:jc w:val="both"/>
        <w:rPr>
          <w:color w:val="000000" w:themeColor="text1"/>
          <w:lang w:val="es-ES"/>
        </w:rPr>
      </w:pPr>
      <w:r w:rsidRPr="006A35F1">
        <w:rPr>
          <w:color w:val="000000" w:themeColor="text1"/>
          <w:lang w:val="en-US"/>
        </w:rPr>
        <w:t>Martínez-</w:t>
      </w:r>
      <w:proofErr w:type="spellStart"/>
      <w:r w:rsidRPr="006A35F1">
        <w:rPr>
          <w:color w:val="000000" w:themeColor="text1"/>
          <w:lang w:val="en-US"/>
        </w:rPr>
        <w:t>Taboas</w:t>
      </w:r>
      <w:proofErr w:type="spellEnd"/>
      <w:r w:rsidRPr="006A35F1">
        <w:rPr>
          <w:color w:val="000000" w:themeColor="text1"/>
          <w:lang w:val="en-US"/>
        </w:rPr>
        <w:t xml:space="preserve">, A., &amp; Orellana, E. (2017). </w:t>
      </w:r>
      <w:r w:rsidRPr="00DF6C57">
        <w:rPr>
          <w:color w:val="000000" w:themeColor="text1"/>
          <w:lang w:val="es-ES"/>
        </w:rPr>
        <w:t>Satisfacción con la vida, florecimiento y bienestar psicológico en personas ateas/agnósticas y personas teístas/deístas. In J. Rodríguez-Gómez (Ed</w:t>
      </w:r>
      <w:r w:rsidRPr="00DE2B43">
        <w:rPr>
          <w:color w:val="000000" w:themeColor="text1"/>
          <w:lang w:val="es-ES"/>
        </w:rPr>
        <w:t xml:space="preserve">.), </w:t>
      </w:r>
      <w:r w:rsidRPr="00DE2B43">
        <w:rPr>
          <w:i/>
          <w:iCs/>
          <w:color w:val="000000" w:themeColor="text1"/>
          <w:lang w:val="es-ES"/>
        </w:rPr>
        <w:t>La relevancia de las categorías de la espiritualidad y la religiosidad en la psicología contemporánea: Investigaciones puertorriqueñas</w:t>
      </w:r>
      <w:r w:rsidRPr="00DF6C57">
        <w:rPr>
          <w:color w:val="000000" w:themeColor="text1"/>
          <w:lang w:val="es-ES"/>
        </w:rPr>
        <w:t xml:space="preserve"> (pp. 259–279). Publicaciones Gaviota.</w:t>
      </w:r>
    </w:p>
    <w:p w14:paraId="2F9348D9" w14:textId="72504236" w:rsidR="000E5BEE" w:rsidRPr="00DF6C57" w:rsidRDefault="000E5BEE" w:rsidP="006A35F1">
      <w:pPr>
        <w:spacing w:line="360" w:lineRule="auto"/>
        <w:ind w:left="720" w:hanging="720"/>
        <w:jc w:val="both"/>
        <w:rPr>
          <w:color w:val="000000" w:themeColor="text1"/>
          <w:lang w:val="es-ES"/>
        </w:rPr>
      </w:pPr>
      <w:proofErr w:type="spellStart"/>
      <w:r w:rsidRPr="00DF6C57">
        <w:rPr>
          <w:color w:val="000000" w:themeColor="text1"/>
          <w:lang w:val="es-ES"/>
        </w:rPr>
        <w:lastRenderedPageBreak/>
        <w:t>Martínez-Taboas</w:t>
      </w:r>
      <w:proofErr w:type="spellEnd"/>
      <w:r w:rsidRPr="00DF6C57">
        <w:rPr>
          <w:color w:val="000000" w:themeColor="text1"/>
          <w:lang w:val="es-ES"/>
        </w:rPr>
        <w:t xml:space="preserve">, A., </w:t>
      </w:r>
      <w:proofErr w:type="spellStart"/>
      <w:r w:rsidRPr="00DF6C57">
        <w:rPr>
          <w:color w:val="000000" w:themeColor="text1"/>
          <w:lang w:val="es-ES"/>
        </w:rPr>
        <w:t>Pérez-Pedrogo</w:t>
      </w:r>
      <w:proofErr w:type="spellEnd"/>
      <w:r w:rsidRPr="00DF6C57">
        <w:rPr>
          <w:color w:val="000000" w:themeColor="text1"/>
          <w:lang w:val="es-ES"/>
        </w:rPr>
        <w:t xml:space="preserve">, C., </w:t>
      </w:r>
      <w:proofErr w:type="spellStart"/>
      <w:r w:rsidRPr="00DF6C57">
        <w:rPr>
          <w:color w:val="000000" w:themeColor="text1"/>
          <w:lang w:val="es-ES"/>
        </w:rPr>
        <w:t>Francia-Martínez</w:t>
      </w:r>
      <w:proofErr w:type="spellEnd"/>
      <w:r w:rsidRPr="00DF6C57">
        <w:rPr>
          <w:color w:val="000000" w:themeColor="text1"/>
          <w:lang w:val="es-ES"/>
        </w:rPr>
        <w:t>, M.</w:t>
      </w:r>
      <w:proofErr w:type="gramStart"/>
      <w:r w:rsidRPr="00DF6C57">
        <w:rPr>
          <w:color w:val="000000" w:themeColor="text1"/>
          <w:lang w:val="es-ES"/>
        </w:rPr>
        <w:t>,  &amp;</w:t>
      </w:r>
      <w:proofErr w:type="gramEnd"/>
      <w:r w:rsidRPr="00DF6C57">
        <w:rPr>
          <w:color w:val="000000" w:themeColor="text1"/>
          <w:lang w:val="es-ES"/>
        </w:rPr>
        <w:t xml:space="preserve"> </w:t>
      </w:r>
      <w:proofErr w:type="spellStart"/>
      <w:r w:rsidRPr="00DF6C57">
        <w:rPr>
          <w:color w:val="000000" w:themeColor="text1"/>
          <w:lang w:val="es-ES"/>
        </w:rPr>
        <w:t>Fernández-Ortiz</w:t>
      </w:r>
      <w:proofErr w:type="spellEnd"/>
      <w:r w:rsidRPr="00DF6C57">
        <w:rPr>
          <w:color w:val="000000" w:themeColor="text1"/>
          <w:lang w:val="es-ES"/>
        </w:rPr>
        <w:t xml:space="preserve">, N.-J., (2019). </w:t>
      </w:r>
      <w:r w:rsidRPr="00DE2B43">
        <w:rPr>
          <w:i/>
          <w:iCs/>
          <w:color w:val="000000" w:themeColor="text1"/>
          <w:lang w:val="es-ES"/>
        </w:rPr>
        <w:t xml:space="preserve">Ateos y </w:t>
      </w:r>
      <w:proofErr w:type="spellStart"/>
      <w:r w:rsidRPr="00DE2B43">
        <w:rPr>
          <w:i/>
          <w:iCs/>
          <w:color w:val="000000" w:themeColor="text1"/>
          <w:lang w:val="es-ES"/>
        </w:rPr>
        <w:t>agnósticos</w:t>
      </w:r>
      <w:proofErr w:type="spellEnd"/>
      <w:r w:rsidRPr="00DE2B43">
        <w:rPr>
          <w:i/>
          <w:iCs/>
          <w:color w:val="000000" w:themeColor="text1"/>
          <w:lang w:val="es-ES"/>
        </w:rPr>
        <w:t xml:space="preserve"> en Puerto Rico: Visibilizando sus creencias y experiencias</w:t>
      </w:r>
      <w:r>
        <w:rPr>
          <w:i/>
          <w:iCs/>
          <w:color w:val="000000" w:themeColor="text1"/>
          <w:lang w:val="es-ES"/>
        </w:rPr>
        <w:t xml:space="preserve"> </w:t>
      </w:r>
      <w:r w:rsidRPr="00DE2B43">
        <w:rPr>
          <w:color w:val="000000" w:themeColor="text1"/>
          <w:lang w:val="es-ES"/>
        </w:rPr>
        <w:t>(pp. 259-279).</w:t>
      </w:r>
      <w:r w:rsidRPr="00DF6C57">
        <w:rPr>
          <w:color w:val="000000" w:themeColor="text1"/>
          <w:lang w:val="es-ES"/>
        </w:rPr>
        <w:t xml:space="preserve"> Publicaciones Puertorriqueñas.</w:t>
      </w:r>
    </w:p>
    <w:p w14:paraId="405E7A02" w14:textId="77777777" w:rsidR="000E5BEE" w:rsidRPr="006A35F1" w:rsidRDefault="000E5BEE" w:rsidP="006A35F1">
      <w:pPr>
        <w:spacing w:line="360" w:lineRule="auto"/>
        <w:ind w:left="720" w:hanging="720"/>
        <w:jc w:val="both"/>
        <w:rPr>
          <w:color w:val="000000" w:themeColor="text1"/>
          <w:lang w:val="en-US"/>
        </w:rPr>
      </w:pPr>
      <w:r w:rsidRPr="00DF6C57">
        <w:rPr>
          <w:color w:val="000000" w:themeColor="text1"/>
          <w:lang w:val="es-ES"/>
        </w:rPr>
        <w:t>Martínez-</w:t>
      </w:r>
      <w:proofErr w:type="spellStart"/>
      <w:r w:rsidRPr="00DF6C57">
        <w:rPr>
          <w:color w:val="000000" w:themeColor="text1"/>
          <w:lang w:val="es-ES"/>
        </w:rPr>
        <w:t>Taboas</w:t>
      </w:r>
      <w:proofErr w:type="spellEnd"/>
      <w:r w:rsidRPr="00DF6C57">
        <w:rPr>
          <w:color w:val="000000" w:themeColor="text1"/>
          <w:lang w:val="es-ES"/>
        </w:rPr>
        <w:t xml:space="preserve">, A., Varas-Díaz, N., López-Garay, D., &amp; Hernández-Pereira, L. (2011). Lo que todo practicante de la psicología debe saber sobre las personas ateas y el ateísmo. </w:t>
      </w:r>
      <w:r w:rsidRPr="006A35F1">
        <w:rPr>
          <w:i/>
          <w:iCs/>
          <w:color w:val="000000" w:themeColor="text1"/>
          <w:lang w:val="en-US"/>
        </w:rPr>
        <w:t>Interamerican Journal of Psychology, 45</w:t>
      </w:r>
      <w:r w:rsidRPr="006A35F1">
        <w:rPr>
          <w:color w:val="000000" w:themeColor="text1"/>
          <w:lang w:val="en-US"/>
        </w:rPr>
        <w:t>(2), 203–210.</w:t>
      </w:r>
    </w:p>
    <w:p w14:paraId="037B7C04" w14:textId="77777777" w:rsidR="000E5BEE" w:rsidRPr="006A35F1" w:rsidRDefault="000E5BEE" w:rsidP="006A35F1">
      <w:pPr>
        <w:spacing w:line="360" w:lineRule="auto"/>
        <w:ind w:left="720" w:hanging="720"/>
        <w:jc w:val="both"/>
        <w:rPr>
          <w:color w:val="000000" w:themeColor="text1"/>
          <w:lang w:val="en-US"/>
        </w:rPr>
      </w:pPr>
      <w:r w:rsidRPr="006A35F1">
        <w:rPr>
          <w:color w:val="000000" w:themeColor="text1"/>
          <w:lang w:val="en-US"/>
        </w:rPr>
        <w:t xml:space="preserve">Molina, K. M., </w:t>
      </w:r>
      <w:proofErr w:type="spellStart"/>
      <w:r w:rsidRPr="006A35F1">
        <w:rPr>
          <w:color w:val="000000" w:themeColor="text1"/>
          <w:lang w:val="en-US"/>
        </w:rPr>
        <w:t>Alegría</w:t>
      </w:r>
      <w:proofErr w:type="spellEnd"/>
      <w:r w:rsidRPr="006A35F1">
        <w:rPr>
          <w:color w:val="000000" w:themeColor="text1"/>
          <w:lang w:val="en-US"/>
        </w:rPr>
        <w:t>, M., &amp; Mahalingam, R. (2013). A multiple-group path analysis of the role of everyday discrimination on self-rated physical health among Latina/</w:t>
      </w:r>
      <w:proofErr w:type="spellStart"/>
      <w:r w:rsidRPr="006A35F1">
        <w:rPr>
          <w:color w:val="000000" w:themeColor="text1"/>
          <w:lang w:val="en-US"/>
        </w:rPr>
        <w:t>os</w:t>
      </w:r>
      <w:proofErr w:type="spellEnd"/>
      <w:r w:rsidRPr="006A35F1">
        <w:rPr>
          <w:color w:val="000000" w:themeColor="text1"/>
          <w:lang w:val="en-US"/>
        </w:rPr>
        <w:t xml:space="preserve"> in the USA. </w:t>
      </w:r>
      <w:r w:rsidRPr="006A35F1">
        <w:rPr>
          <w:i/>
          <w:iCs/>
          <w:color w:val="000000" w:themeColor="text1"/>
          <w:lang w:val="en-US"/>
        </w:rPr>
        <w:t>Annals of Behavioral Medicine, 45</w:t>
      </w:r>
      <w:r w:rsidRPr="006A35F1">
        <w:rPr>
          <w:color w:val="000000" w:themeColor="text1"/>
          <w:lang w:val="en-US"/>
        </w:rPr>
        <w:t>(1), 33–44. https://doi.org/10.1007/s12160-012-9421-2</w:t>
      </w:r>
    </w:p>
    <w:p w14:paraId="33515E66" w14:textId="77777777" w:rsidR="000E5BEE" w:rsidRPr="006A35F1" w:rsidRDefault="000E5BEE" w:rsidP="006A35F1">
      <w:pPr>
        <w:spacing w:line="360" w:lineRule="auto"/>
        <w:ind w:left="720" w:hanging="720"/>
        <w:jc w:val="both"/>
        <w:rPr>
          <w:color w:val="000000" w:themeColor="text1"/>
          <w:lang w:val="en-US"/>
        </w:rPr>
      </w:pPr>
      <w:r w:rsidRPr="006A35F1">
        <w:rPr>
          <w:color w:val="000000" w:themeColor="text1"/>
          <w:lang w:val="en-US"/>
        </w:rPr>
        <w:t xml:space="preserve">Nadal, K. L. (2008). Preventing racial, ethnic, gender, sexual minority, disability, and religious microaggressions: Recommendations for promoting positive mental health. </w:t>
      </w:r>
      <w:r w:rsidRPr="006A35F1">
        <w:rPr>
          <w:i/>
          <w:iCs/>
          <w:color w:val="000000" w:themeColor="text1"/>
          <w:lang w:val="en-US"/>
        </w:rPr>
        <w:t>Prevention in Counseling Psychology: Theory, Research, Practice and Training, 2</w:t>
      </w:r>
      <w:r w:rsidRPr="006A35F1">
        <w:rPr>
          <w:color w:val="000000" w:themeColor="text1"/>
          <w:lang w:val="en-US"/>
        </w:rPr>
        <w:t>(1), 22–27.</w:t>
      </w:r>
    </w:p>
    <w:p w14:paraId="539F4AB1" w14:textId="0C090A08" w:rsidR="000E5BEE" w:rsidRPr="006A35F1" w:rsidRDefault="000E5BEE" w:rsidP="006A35F1">
      <w:pPr>
        <w:spacing w:line="360" w:lineRule="auto"/>
        <w:ind w:left="720" w:hanging="720"/>
        <w:jc w:val="both"/>
        <w:rPr>
          <w:color w:val="000000" w:themeColor="text1"/>
          <w:lang w:val="en-US"/>
        </w:rPr>
      </w:pPr>
      <w:r w:rsidRPr="006A35F1">
        <w:rPr>
          <w:color w:val="000000" w:themeColor="text1"/>
          <w:lang w:val="en-US"/>
        </w:rPr>
        <w:t>Nadal, K. L., Issa, M.-A., Griffin, K. E., Hamit, S., &amp; Lyons, O. B. (2010). Religious microaggressions in the United States: Mental health implications for religious minority groups. In D</w:t>
      </w:r>
      <w:r w:rsidR="003925AF">
        <w:rPr>
          <w:color w:val="000000" w:themeColor="text1"/>
          <w:lang w:val="en-US"/>
        </w:rPr>
        <w:t>.</w:t>
      </w:r>
      <w:r w:rsidRPr="006A35F1">
        <w:rPr>
          <w:color w:val="000000" w:themeColor="text1"/>
          <w:lang w:val="en-US"/>
        </w:rPr>
        <w:t xml:space="preserve"> Wing Sue (Ed.), </w:t>
      </w:r>
      <w:r w:rsidRPr="006A35F1">
        <w:rPr>
          <w:i/>
          <w:iCs/>
          <w:color w:val="000000" w:themeColor="text1"/>
          <w:lang w:val="en-US"/>
        </w:rPr>
        <w:t>Microaggressions and marginality: Manifestation, dynamics, and impact</w:t>
      </w:r>
      <w:r w:rsidRPr="006A35F1">
        <w:rPr>
          <w:color w:val="000000" w:themeColor="text1"/>
          <w:lang w:val="en-US"/>
        </w:rPr>
        <w:t>. John Wiley &amp; Sons, Inc.</w:t>
      </w:r>
    </w:p>
    <w:p w14:paraId="210147C3" w14:textId="77777777" w:rsidR="000E5BEE" w:rsidRPr="006A35F1" w:rsidRDefault="000E5BEE" w:rsidP="006A35F1">
      <w:pPr>
        <w:spacing w:line="360" w:lineRule="auto"/>
        <w:ind w:left="720" w:hanging="720"/>
        <w:jc w:val="both"/>
        <w:rPr>
          <w:color w:val="000000" w:themeColor="text1"/>
          <w:lang w:val="en-US"/>
        </w:rPr>
      </w:pPr>
      <w:r w:rsidRPr="006A35F1">
        <w:rPr>
          <w:color w:val="000000" w:themeColor="text1"/>
          <w:lang w:val="en-US"/>
        </w:rPr>
        <w:t xml:space="preserve">Nichols, R., &amp; Wright, J. (2014). The social cost of atheism: How perceived religiosity influences moral appraisal. </w:t>
      </w:r>
      <w:r w:rsidRPr="006A35F1">
        <w:rPr>
          <w:i/>
          <w:iCs/>
          <w:color w:val="000000" w:themeColor="text1"/>
          <w:lang w:val="en-US"/>
        </w:rPr>
        <w:t>Journal of Cognition and Culture, 14</w:t>
      </w:r>
      <w:r w:rsidRPr="006A35F1">
        <w:rPr>
          <w:color w:val="000000" w:themeColor="text1"/>
          <w:lang w:val="en-US"/>
        </w:rPr>
        <w:t>(1–2), 93–115. https://doi.org/10.1163/15685373-12342112</w:t>
      </w:r>
    </w:p>
    <w:p w14:paraId="492AC70D" w14:textId="51D2847C" w:rsidR="000E5BEE" w:rsidRPr="006A35F1" w:rsidRDefault="000E5BEE" w:rsidP="006A35F1">
      <w:pPr>
        <w:spacing w:line="360" w:lineRule="auto"/>
        <w:ind w:left="720" w:hanging="720"/>
        <w:jc w:val="both"/>
        <w:rPr>
          <w:color w:val="000000" w:themeColor="text1"/>
          <w:lang w:val="en-US"/>
        </w:rPr>
      </w:pPr>
      <w:r w:rsidRPr="006A35F1">
        <w:rPr>
          <w:color w:val="000000" w:themeColor="text1"/>
          <w:lang w:val="en-US"/>
        </w:rPr>
        <w:t>Pagano, L. A. (2015). Development and validation of the Scale of Atheist Microaggressions (SAM)</w:t>
      </w:r>
      <w:r w:rsidR="003925AF">
        <w:rPr>
          <w:color w:val="000000" w:themeColor="text1"/>
          <w:lang w:val="en-US"/>
        </w:rPr>
        <w:t xml:space="preserve">. [Doctoral dissertation, </w:t>
      </w:r>
      <w:r w:rsidRPr="006A35F1">
        <w:rPr>
          <w:color w:val="000000" w:themeColor="text1"/>
          <w:lang w:val="en-US"/>
        </w:rPr>
        <w:t>University of North Dakota</w:t>
      </w:r>
      <w:r w:rsidR="003925AF">
        <w:rPr>
          <w:color w:val="000000" w:themeColor="text1"/>
          <w:lang w:val="en-US"/>
        </w:rPr>
        <w:t>]</w:t>
      </w:r>
      <w:r w:rsidRPr="006A35F1">
        <w:rPr>
          <w:color w:val="000000" w:themeColor="text1"/>
          <w:lang w:val="en-US"/>
        </w:rPr>
        <w:t>.</w:t>
      </w:r>
      <w:r w:rsidR="003925AF">
        <w:rPr>
          <w:color w:val="000000" w:themeColor="text1"/>
          <w:lang w:val="en-US"/>
        </w:rPr>
        <w:t xml:space="preserve"> </w:t>
      </w:r>
      <w:r w:rsidR="003925AF" w:rsidRPr="006A35F1">
        <w:rPr>
          <w:lang w:val="en-US"/>
        </w:rPr>
        <w:t>https://commons.und.edu/theses/1691</w:t>
      </w:r>
      <w:r w:rsidR="003925AF">
        <w:rPr>
          <w:lang w:val="en-US"/>
        </w:rPr>
        <w:t xml:space="preserve"> </w:t>
      </w:r>
    </w:p>
    <w:p w14:paraId="092314F1" w14:textId="14317000" w:rsidR="000E5BEE" w:rsidRPr="006A35F1" w:rsidRDefault="000E5BEE" w:rsidP="006A35F1">
      <w:pPr>
        <w:spacing w:line="360" w:lineRule="auto"/>
        <w:ind w:left="720" w:hanging="720"/>
        <w:jc w:val="both"/>
        <w:rPr>
          <w:color w:val="000000" w:themeColor="text1"/>
          <w:lang w:val="en-US"/>
        </w:rPr>
      </w:pPr>
      <w:r w:rsidRPr="006A35F1">
        <w:rPr>
          <w:color w:val="000000" w:themeColor="text1"/>
          <w:lang w:val="en-US"/>
        </w:rPr>
        <w:t>Pagano, L.A., McCullagh, J.A., Austin, A., Fuller, L.</w:t>
      </w:r>
      <w:r w:rsidR="003925AF">
        <w:rPr>
          <w:color w:val="000000" w:themeColor="text1"/>
          <w:lang w:val="en-US"/>
        </w:rPr>
        <w:t>,</w:t>
      </w:r>
      <w:r w:rsidRPr="006A35F1">
        <w:rPr>
          <w:color w:val="000000" w:themeColor="text1"/>
          <w:lang w:val="en-US"/>
        </w:rPr>
        <w:t xml:space="preserve"> &amp; Williams, D.G. (2012). </w:t>
      </w:r>
      <w:r w:rsidRPr="006A35F1">
        <w:rPr>
          <w:i/>
          <w:iCs/>
          <w:color w:val="000000" w:themeColor="text1"/>
          <w:lang w:val="en-US"/>
        </w:rPr>
        <w:t>Initial development and validation of the scale of atheist microaggressions</w:t>
      </w:r>
      <w:r w:rsidRPr="006A35F1">
        <w:rPr>
          <w:color w:val="000000" w:themeColor="text1"/>
          <w:lang w:val="en-US"/>
        </w:rPr>
        <w:t>.</w:t>
      </w:r>
      <w:r w:rsidR="003925AF">
        <w:rPr>
          <w:color w:val="000000" w:themeColor="text1"/>
          <w:lang w:val="en-US"/>
        </w:rPr>
        <w:t xml:space="preserve"> [</w:t>
      </w:r>
      <w:r w:rsidRPr="006A35F1">
        <w:rPr>
          <w:color w:val="000000" w:themeColor="text1"/>
          <w:lang w:val="en-US"/>
        </w:rPr>
        <w:t>Unpublished Manuscript</w:t>
      </w:r>
      <w:r w:rsidR="003925AF">
        <w:rPr>
          <w:color w:val="000000" w:themeColor="text1"/>
          <w:lang w:val="en-US"/>
        </w:rPr>
        <w:t>]</w:t>
      </w:r>
      <w:r w:rsidRPr="006A35F1">
        <w:rPr>
          <w:color w:val="000000" w:themeColor="text1"/>
          <w:lang w:val="en-US"/>
        </w:rPr>
        <w:t>. University of North Dakota.</w:t>
      </w:r>
    </w:p>
    <w:p w14:paraId="21E72583" w14:textId="47A27981" w:rsidR="000E5BEE" w:rsidRPr="006A35F1" w:rsidRDefault="000E5BEE" w:rsidP="006A35F1">
      <w:pPr>
        <w:spacing w:line="360" w:lineRule="auto"/>
        <w:ind w:left="720" w:hanging="720"/>
        <w:jc w:val="both"/>
        <w:rPr>
          <w:color w:val="000000" w:themeColor="text1"/>
          <w:lang w:val="en-US"/>
        </w:rPr>
      </w:pPr>
      <w:r w:rsidRPr="006A35F1">
        <w:rPr>
          <w:color w:val="000000" w:themeColor="text1"/>
          <w:lang w:val="en-US"/>
        </w:rPr>
        <w:t>Pew Research Center. (2014</w:t>
      </w:r>
      <w:r w:rsidR="003925AF">
        <w:rPr>
          <w:color w:val="000000" w:themeColor="text1"/>
          <w:lang w:val="en-US"/>
        </w:rPr>
        <w:t>, November 13</w:t>
      </w:r>
      <w:r w:rsidRPr="006A35F1">
        <w:rPr>
          <w:color w:val="000000" w:themeColor="text1"/>
          <w:lang w:val="en-US"/>
        </w:rPr>
        <w:t xml:space="preserve">). </w:t>
      </w:r>
      <w:r w:rsidRPr="006A35F1">
        <w:rPr>
          <w:i/>
          <w:iCs/>
          <w:color w:val="000000" w:themeColor="text1"/>
          <w:lang w:val="en-US"/>
        </w:rPr>
        <w:t>Religion in Latin America</w:t>
      </w:r>
      <w:r w:rsidRPr="006A35F1">
        <w:rPr>
          <w:color w:val="000000" w:themeColor="text1"/>
          <w:lang w:val="en-US"/>
        </w:rPr>
        <w:t>. https://www.pewresearch.org/religion/2014/11/13/religion-in-latin-america-3/</w:t>
      </w:r>
    </w:p>
    <w:p w14:paraId="3B96E2C4" w14:textId="36A95585" w:rsidR="000E5BEE" w:rsidRPr="006A35F1" w:rsidRDefault="000E5BEE" w:rsidP="006A35F1">
      <w:pPr>
        <w:spacing w:line="360" w:lineRule="auto"/>
        <w:ind w:left="720" w:hanging="720"/>
        <w:jc w:val="both"/>
        <w:rPr>
          <w:color w:val="000000" w:themeColor="text1"/>
          <w:lang w:val="en-US"/>
        </w:rPr>
      </w:pPr>
      <w:r w:rsidRPr="006A35F1">
        <w:rPr>
          <w:color w:val="000000" w:themeColor="text1"/>
          <w:lang w:val="en-US"/>
        </w:rPr>
        <w:t>Pew Research Center. (2019</w:t>
      </w:r>
      <w:r w:rsidR="003925AF">
        <w:rPr>
          <w:color w:val="000000" w:themeColor="text1"/>
          <w:lang w:val="en-US"/>
        </w:rPr>
        <w:t>, October 17</w:t>
      </w:r>
      <w:r w:rsidRPr="006A35F1">
        <w:rPr>
          <w:color w:val="000000" w:themeColor="text1"/>
          <w:lang w:val="en-US"/>
        </w:rPr>
        <w:t xml:space="preserve">). </w:t>
      </w:r>
      <w:r w:rsidRPr="006A35F1">
        <w:rPr>
          <w:i/>
          <w:iCs/>
          <w:color w:val="000000" w:themeColor="text1"/>
          <w:lang w:val="en-US"/>
        </w:rPr>
        <w:t xml:space="preserve">In U.S., decline of </w:t>
      </w:r>
      <w:proofErr w:type="spellStart"/>
      <w:r w:rsidRPr="006A35F1">
        <w:rPr>
          <w:i/>
          <w:iCs/>
          <w:color w:val="000000" w:themeColor="text1"/>
          <w:lang w:val="en-US"/>
        </w:rPr>
        <w:t>christianity</w:t>
      </w:r>
      <w:proofErr w:type="spellEnd"/>
      <w:r w:rsidRPr="006A35F1">
        <w:rPr>
          <w:i/>
          <w:iCs/>
          <w:color w:val="000000" w:themeColor="text1"/>
          <w:lang w:val="en-US"/>
        </w:rPr>
        <w:t xml:space="preserve"> continues at rapid pace: </w:t>
      </w:r>
      <w:r w:rsidR="003925AF">
        <w:rPr>
          <w:i/>
          <w:iCs/>
          <w:color w:val="000000" w:themeColor="text1"/>
          <w:lang w:val="en-US"/>
        </w:rPr>
        <w:t>A</w:t>
      </w:r>
      <w:r w:rsidRPr="006A35F1">
        <w:rPr>
          <w:i/>
          <w:iCs/>
          <w:color w:val="000000" w:themeColor="text1"/>
          <w:lang w:val="en-US"/>
        </w:rPr>
        <w:t>n update on America's changing religious landscape</w:t>
      </w:r>
      <w:r w:rsidRPr="006A35F1">
        <w:rPr>
          <w:color w:val="000000" w:themeColor="text1"/>
          <w:lang w:val="en-US"/>
        </w:rPr>
        <w:t>. https://www.pewforum.org/2019/10/17/in-u-s-decline-of-christianity-continues-at-rapid-pace/</w:t>
      </w:r>
    </w:p>
    <w:p w14:paraId="26863A51" w14:textId="77777777" w:rsidR="000E5BEE" w:rsidRPr="006A35F1" w:rsidRDefault="000E5BEE" w:rsidP="006A35F1">
      <w:pPr>
        <w:spacing w:line="360" w:lineRule="auto"/>
        <w:ind w:left="720" w:hanging="720"/>
        <w:jc w:val="both"/>
        <w:rPr>
          <w:color w:val="000000" w:themeColor="text1"/>
          <w:lang w:val="en-US"/>
        </w:rPr>
      </w:pPr>
      <w:r w:rsidRPr="006A35F1">
        <w:rPr>
          <w:color w:val="000000" w:themeColor="text1"/>
          <w:lang w:val="en-US"/>
        </w:rPr>
        <w:lastRenderedPageBreak/>
        <w:t xml:space="preserve">Pierce, C. (1995). Stress analogs of racism and sexism: Terrorism, torture, and disaster. In &amp; B. B. Willie, C., </w:t>
      </w:r>
      <w:proofErr w:type="spellStart"/>
      <w:r w:rsidRPr="006A35F1">
        <w:rPr>
          <w:color w:val="000000" w:themeColor="text1"/>
          <w:lang w:val="en-US"/>
        </w:rPr>
        <w:t>Rieker</w:t>
      </w:r>
      <w:proofErr w:type="spellEnd"/>
      <w:r w:rsidRPr="006A35F1">
        <w:rPr>
          <w:color w:val="000000" w:themeColor="text1"/>
          <w:lang w:val="en-US"/>
        </w:rPr>
        <w:t xml:space="preserve"> P., Kramer B. (Ed.), </w:t>
      </w:r>
      <w:r w:rsidRPr="006A35F1">
        <w:rPr>
          <w:i/>
          <w:iCs/>
          <w:color w:val="000000" w:themeColor="text1"/>
          <w:lang w:val="en-US"/>
        </w:rPr>
        <w:t>Mental health, racism and sexism.</w:t>
      </w:r>
      <w:r w:rsidRPr="006A35F1">
        <w:rPr>
          <w:color w:val="000000" w:themeColor="text1"/>
          <w:lang w:val="en-US"/>
        </w:rPr>
        <w:t xml:space="preserve"> University of Pittsburg Press.</w:t>
      </w:r>
    </w:p>
    <w:p w14:paraId="06780959" w14:textId="19429899" w:rsidR="000E5BEE" w:rsidRPr="00DF6C57" w:rsidRDefault="000E5BEE" w:rsidP="006A35F1">
      <w:pPr>
        <w:spacing w:line="360" w:lineRule="auto"/>
        <w:ind w:left="720" w:hanging="720"/>
        <w:jc w:val="both"/>
        <w:rPr>
          <w:color w:val="000000" w:themeColor="text1"/>
          <w:lang w:val="es-ES"/>
        </w:rPr>
      </w:pPr>
      <w:r w:rsidRPr="006A35F1">
        <w:rPr>
          <w:color w:val="000000" w:themeColor="text1"/>
          <w:lang w:val="en-US"/>
        </w:rPr>
        <w:t xml:space="preserve">Santamaría Cusco, E., </w:t>
      </w:r>
      <w:r w:rsidR="003925AF" w:rsidRPr="006A35F1">
        <w:rPr>
          <w:color w:val="000000" w:themeColor="text1"/>
          <w:lang w:val="en-US"/>
        </w:rPr>
        <w:t xml:space="preserve">&amp; </w:t>
      </w:r>
      <w:r w:rsidRPr="006A35F1">
        <w:rPr>
          <w:color w:val="000000" w:themeColor="text1"/>
          <w:lang w:val="en-US"/>
        </w:rPr>
        <w:t xml:space="preserve">Trujillo Andrade, K. (2022). </w:t>
      </w:r>
      <w:r w:rsidRPr="00DF6C57">
        <w:rPr>
          <w:color w:val="000000" w:themeColor="text1"/>
          <w:lang w:val="es-ES"/>
        </w:rPr>
        <w:t>Creencias religiosas y bienestar psicológico subjetivo en adultos de la ciudad de Ambato [Tesis de pregrado, Universidad Tecnológica Indoamérica]. https://repositorio.uti.edu.ec//handle/123456789/4518</w:t>
      </w:r>
    </w:p>
    <w:p w14:paraId="460B5F97" w14:textId="77777777" w:rsidR="000E5BEE" w:rsidRPr="006A35F1" w:rsidRDefault="000E5BEE" w:rsidP="006A35F1">
      <w:pPr>
        <w:spacing w:line="360" w:lineRule="auto"/>
        <w:ind w:left="720" w:hanging="720"/>
        <w:jc w:val="both"/>
        <w:rPr>
          <w:color w:val="000000" w:themeColor="text1"/>
          <w:lang w:val="en-US"/>
        </w:rPr>
      </w:pPr>
      <w:r w:rsidRPr="006A35F1">
        <w:rPr>
          <w:color w:val="000000" w:themeColor="text1"/>
          <w:lang w:val="en-US"/>
        </w:rPr>
        <w:t xml:space="preserve">Schmitt, M. T., Spears, R., &amp; </w:t>
      </w:r>
      <w:proofErr w:type="spellStart"/>
      <w:r w:rsidRPr="006A35F1">
        <w:rPr>
          <w:color w:val="000000" w:themeColor="text1"/>
          <w:lang w:val="en-US"/>
        </w:rPr>
        <w:t>Branscombe</w:t>
      </w:r>
      <w:proofErr w:type="spellEnd"/>
      <w:r w:rsidRPr="006A35F1">
        <w:rPr>
          <w:color w:val="000000" w:themeColor="text1"/>
          <w:lang w:val="en-US"/>
        </w:rPr>
        <w:t xml:space="preserve">, N. R. (2003). Constructing a minority group identity out of shared rejection: The case of international students. </w:t>
      </w:r>
      <w:r w:rsidRPr="006A35F1">
        <w:rPr>
          <w:i/>
          <w:iCs/>
          <w:color w:val="000000" w:themeColor="text1"/>
          <w:lang w:val="en-US"/>
        </w:rPr>
        <w:t>European Journal of Social Psychology</w:t>
      </w:r>
      <w:r w:rsidRPr="006A35F1">
        <w:rPr>
          <w:color w:val="000000" w:themeColor="text1"/>
          <w:lang w:val="en-US"/>
        </w:rPr>
        <w:t xml:space="preserve">, </w:t>
      </w:r>
      <w:r w:rsidRPr="006A35F1">
        <w:rPr>
          <w:i/>
          <w:iCs/>
          <w:color w:val="000000" w:themeColor="text1"/>
          <w:lang w:val="en-US"/>
        </w:rPr>
        <w:t>33</w:t>
      </w:r>
      <w:r w:rsidRPr="006A35F1">
        <w:rPr>
          <w:color w:val="000000" w:themeColor="text1"/>
          <w:lang w:val="en-US"/>
        </w:rPr>
        <w:t>(1), 1-12</w:t>
      </w:r>
    </w:p>
    <w:p w14:paraId="3D5F0FE7" w14:textId="77777777" w:rsidR="000E5BEE" w:rsidRPr="006A35F1" w:rsidRDefault="000E5BEE" w:rsidP="006A35F1">
      <w:pPr>
        <w:spacing w:line="360" w:lineRule="auto"/>
        <w:ind w:left="720" w:hanging="720"/>
        <w:jc w:val="both"/>
        <w:rPr>
          <w:color w:val="000000" w:themeColor="text1"/>
          <w:lang w:val="en-US"/>
        </w:rPr>
      </w:pPr>
      <w:proofErr w:type="spellStart"/>
      <w:r w:rsidRPr="006A35F1">
        <w:rPr>
          <w:color w:val="000000" w:themeColor="text1"/>
          <w:lang w:val="en-US"/>
        </w:rPr>
        <w:t>Schoulte</w:t>
      </w:r>
      <w:proofErr w:type="spellEnd"/>
      <w:r w:rsidRPr="006A35F1">
        <w:rPr>
          <w:color w:val="000000" w:themeColor="text1"/>
          <w:lang w:val="en-US"/>
        </w:rPr>
        <w:t xml:space="preserve">, J. C., Schultz, J. M., &amp; Altmaier, E. M. (2011). Forgiveness in response to cultural microaggressions. </w:t>
      </w:r>
      <w:r w:rsidRPr="006A35F1">
        <w:rPr>
          <w:i/>
          <w:iCs/>
          <w:color w:val="000000" w:themeColor="text1"/>
          <w:lang w:val="en-US"/>
        </w:rPr>
        <w:t>Counselling Psychology Quarterly, 24</w:t>
      </w:r>
      <w:r w:rsidRPr="006A35F1">
        <w:rPr>
          <w:color w:val="000000" w:themeColor="text1"/>
          <w:lang w:val="en-US"/>
        </w:rPr>
        <w:t>(4), 291–300. https://doi.org/10.1080/09515070.2011.634266</w:t>
      </w:r>
    </w:p>
    <w:p w14:paraId="02F1E7EA" w14:textId="77777777" w:rsidR="000E5BEE" w:rsidRPr="00DF6C57" w:rsidRDefault="000E5BEE" w:rsidP="006A35F1">
      <w:pPr>
        <w:spacing w:line="360" w:lineRule="auto"/>
        <w:ind w:left="720" w:hanging="720"/>
        <w:jc w:val="both"/>
        <w:rPr>
          <w:color w:val="000000" w:themeColor="text1"/>
          <w:lang w:val="es-ES"/>
        </w:rPr>
      </w:pPr>
      <w:proofErr w:type="spellStart"/>
      <w:r w:rsidRPr="006A35F1">
        <w:rPr>
          <w:color w:val="000000" w:themeColor="text1"/>
          <w:lang w:val="en-US"/>
        </w:rPr>
        <w:t>Sedlar</w:t>
      </w:r>
      <w:proofErr w:type="spellEnd"/>
      <w:r w:rsidRPr="006A35F1">
        <w:rPr>
          <w:color w:val="000000" w:themeColor="text1"/>
          <w:lang w:val="en-US"/>
        </w:rPr>
        <w:t xml:space="preserve">, A. E., </w:t>
      </w:r>
      <w:proofErr w:type="spellStart"/>
      <w:r w:rsidRPr="006A35F1">
        <w:rPr>
          <w:color w:val="000000" w:themeColor="text1"/>
          <w:lang w:val="en-US"/>
        </w:rPr>
        <w:t>Stauner</w:t>
      </w:r>
      <w:proofErr w:type="spellEnd"/>
      <w:r w:rsidRPr="006A35F1">
        <w:rPr>
          <w:color w:val="000000" w:themeColor="text1"/>
          <w:lang w:val="en-US"/>
        </w:rPr>
        <w:t xml:space="preserve">, N., Pargament, K. I., Exline, J. J., Grubbs, J. B., &amp; Bradley, D. F. (2018). Spiritual struggles among atheists: Links to psychological distress and well-being. </w:t>
      </w:r>
      <w:proofErr w:type="spellStart"/>
      <w:r w:rsidRPr="00DF6C57">
        <w:rPr>
          <w:i/>
          <w:iCs/>
          <w:color w:val="000000" w:themeColor="text1"/>
          <w:lang w:val="es-ES"/>
        </w:rPr>
        <w:t>Religions</w:t>
      </w:r>
      <w:proofErr w:type="spellEnd"/>
      <w:r w:rsidRPr="00DF6C57">
        <w:rPr>
          <w:i/>
          <w:iCs/>
          <w:color w:val="000000" w:themeColor="text1"/>
          <w:lang w:val="es-ES"/>
        </w:rPr>
        <w:t>, 9</w:t>
      </w:r>
      <w:r w:rsidRPr="00DF6C57">
        <w:rPr>
          <w:color w:val="000000" w:themeColor="text1"/>
          <w:lang w:val="es-ES"/>
        </w:rPr>
        <w:t>(8), 1–21. https://doi.org/10.3390/rel9080242</w:t>
      </w:r>
    </w:p>
    <w:p w14:paraId="155AAB11" w14:textId="77777777" w:rsidR="000E5BEE" w:rsidRPr="00DF6C57" w:rsidRDefault="000E5BEE" w:rsidP="006A35F1">
      <w:pPr>
        <w:spacing w:line="360" w:lineRule="auto"/>
        <w:ind w:left="720" w:hanging="720"/>
        <w:jc w:val="both"/>
        <w:rPr>
          <w:color w:val="000000" w:themeColor="text1"/>
          <w:lang w:val="es-ES"/>
        </w:rPr>
      </w:pPr>
      <w:r w:rsidRPr="00DF6C57">
        <w:rPr>
          <w:color w:val="000000" w:themeColor="text1"/>
          <w:lang w:val="es-ES"/>
        </w:rPr>
        <w:t xml:space="preserve">Silva Gotay, S. (2005). </w:t>
      </w:r>
      <w:r w:rsidRPr="00DE2B43">
        <w:rPr>
          <w:i/>
          <w:iCs/>
          <w:color w:val="000000" w:themeColor="text1"/>
          <w:lang w:val="es-ES"/>
        </w:rPr>
        <w:t>Catolicismo y política en Puerto Rico bajo España y Estados Unidos: Siglos XIX y XX</w:t>
      </w:r>
      <w:r w:rsidRPr="00DF6C57">
        <w:rPr>
          <w:color w:val="000000" w:themeColor="text1"/>
          <w:lang w:val="es-ES"/>
        </w:rPr>
        <w:t>. La Editorial Universidad de Puerto Rico.</w:t>
      </w:r>
    </w:p>
    <w:p w14:paraId="5261615A" w14:textId="77777777" w:rsidR="000E5BEE" w:rsidRPr="006A35F1" w:rsidRDefault="000E5BEE" w:rsidP="006A35F1">
      <w:pPr>
        <w:spacing w:line="360" w:lineRule="auto"/>
        <w:ind w:left="720" w:hanging="720"/>
        <w:jc w:val="both"/>
        <w:rPr>
          <w:color w:val="000000" w:themeColor="text1"/>
          <w:lang w:val="en-US"/>
        </w:rPr>
      </w:pPr>
      <w:r w:rsidRPr="00DF6C57">
        <w:rPr>
          <w:color w:val="000000" w:themeColor="text1"/>
          <w:lang w:val="es-ES"/>
        </w:rPr>
        <w:t xml:space="preserve">Sue, D. W., </w:t>
      </w:r>
      <w:proofErr w:type="spellStart"/>
      <w:r w:rsidRPr="00DF6C57">
        <w:rPr>
          <w:color w:val="000000" w:themeColor="text1"/>
          <w:lang w:val="es-ES"/>
        </w:rPr>
        <w:t>Capodilupo</w:t>
      </w:r>
      <w:proofErr w:type="spellEnd"/>
      <w:r w:rsidRPr="00DF6C57">
        <w:rPr>
          <w:color w:val="000000" w:themeColor="text1"/>
          <w:lang w:val="es-ES"/>
        </w:rPr>
        <w:t xml:space="preserve">, C. M., Torino, G. C., </w:t>
      </w:r>
      <w:proofErr w:type="spellStart"/>
      <w:r w:rsidRPr="00DF6C57">
        <w:rPr>
          <w:color w:val="000000" w:themeColor="text1"/>
          <w:lang w:val="es-ES"/>
        </w:rPr>
        <w:t>Bucceri</w:t>
      </w:r>
      <w:proofErr w:type="spellEnd"/>
      <w:r w:rsidRPr="00DF6C57">
        <w:rPr>
          <w:color w:val="000000" w:themeColor="text1"/>
          <w:lang w:val="es-ES"/>
        </w:rPr>
        <w:t xml:space="preserve">, J. M., </w:t>
      </w:r>
      <w:proofErr w:type="spellStart"/>
      <w:r w:rsidRPr="00DF6C57">
        <w:rPr>
          <w:color w:val="000000" w:themeColor="text1"/>
          <w:lang w:val="es-ES"/>
        </w:rPr>
        <w:t>Holder</w:t>
      </w:r>
      <w:proofErr w:type="spellEnd"/>
      <w:r w:rsidRPr="00DF6C57">
        <w:rPr>
          <w:color w:val="000000" w:themeColor="text1"/>
          <w:lang w:val="es-ES"/>
        </w:rPr>
        <w:t xml:space="preserve">, A. M. B., Nadal, K. L., &amp; </w:t>
      </w:r>
      <w:proofErr w:type="spellStart"/>
      <w:r w:rsidRPr="00DF6C57">
        <w:rPr>
          <w:color w:val="000000" w:themeColor="text1"/>
          <w:lang w:val="es-ES"/>
        </w:rPr>
        <w:t>Esquilin</w:t>
      </w:r>
      <w:proofErr w:type="spellEnd"/>
      <w:r w:rsidRPr="00DF6C57">
        <w:rPr>
          <w:color w:val="000000" w:themeColor="text1"/>
          <w:lang w:val="es-ES"/>
        </w:rPr>
        <w:t xml:space="preserve">, M. (2007). </w:t>
      </w:r>
      <w:r w:rsidRPr="006A35F1">
        <w:rPr>
          <w:color w:val="000000" w:themeColor="text1"/>
          <w:lang w:val="en-US"/>
        </w:rPr>
        <w:t xml:space="preserve">Racial microaggressions in everyday life: Implications for clinical practice. </w:t>
      </w:r>
      <w:r w:rsidRPr="006A35F1">
        <w:rPr>
          <w:i/>
          <w:iCs/>
          <w:color w:val="000000" w:themeColor="text1"/>
          <w:lang w:val="en-US"/>
        </w:rPr>
        <w:t>American Psychologist, 62</w:t>
      </w:r>
      <w:r w:rsidRPr="006A35F1">
        <w:rPr>
          <w:color w:val="000000" w:themeColor="text1"/>
          <w:lang w:val="en-US"/>
        </w:rPr>
        <w:t>(4), 271–286.</w:t>
      </w:r>
    </w:p>
    <w:p w14:paraId="7CE090AF" w14:textId="77777777" w:rsidR="000E5BEE" w:rsidRPr="006A35F1" w:rsidRDefault="000E5BEE" w:rsidP="006A35F1">
      <w:pPr>
        <w:spacing w:line="360" w:lineRule="auto"/>
        <w:ind w:left="720" w:hanging="720"/>
        <w:jc w:val="both"/>
        <w:rPr>
          <w:color w:val="000000" w:themeColor="text1"/>
          <w:lang w:val="en-US"/>
        </w:rPr>
      </w:pPr>
      <w:r w:rsidRPr="006A35F1">
        <w:rPr>
          <w:color w:val="000000" w:themeColor="text1"/>
          <w:lang w:val="en-US"/>
        </w:rPr>
        <w:t xml:space="preserve">Sue, </w:t>
      </w:r>
      <w:proofErr w:type="spellStart"/>
      <w:r w:rsidRPr="006A35F1">
        <w:rPr>
          <w:color w:val="000000" w:themeColor="text1"/>
          <w:lang w:val="en-US"/>
        </w:rPr>
        <w:t>Derald</w:t>
      </w:r>
      <w:proofErr w:type="spellEnd"/>
      <w:r w:rsidRPr="006A35F1">
        <w:rPr>
          <w:color w:val="000000" w:themeColor="text1"/>
          <w:lang w:val="en-US"/>
        </w:rPr>
        <w:t xml:space="preserve"> Wing (Ed.). (2010). </w:t>
      </w:r>
      <w:r w:rsidRPr="006A35F1">
        <w:rPr>
          <w:i/>
          <w:iCs/>
          <w:color w:val="000000" w:themeColor="text1"/>
          <w:lang w:val="en-US"/>
        </w:rPr>
        <w:t>Microaggressions and marginality: Manifestation, dynamics and impact</w:t>
      </w:r>
      <w:r w:rsidRPr="006A35F1">
        <w:rPr>
          <w:color w:val="000000" w:themeColor="text1"/>
          <w:lang w:val="en-US"/>
        </w:rPr>
        <w:t>. John Wiley &amp; Sons, Inc.</w:t>
      </w:r>
    </w:p>
    <w:p w14:paraId="4E1B855B" w14:textId="77777777" w:rsidR="000E5BEE" w:rsidRPr="006A35F1" w:rsidRDefault="000E5BEE" w:rsidP="006A35F1">
      <w:pPr>
        <w:spacing w:line="360" w:lineRule="auto"/>
        <w:ind w:left="720" w:hanging="720"/>
        <w:jc w:val="both"/>
        <w:rPr>
          <w:color w:val="000000" w:themeColor="text1"/>
          <w:lang w:val="en-US"/>
        </w:rPr>
      </w:pPr>
      <w:r w:rsidRPr="006A35F1">
        <w:rPr>
          <w:color w:val="000000" w:themeColor="text1"/>
          <w:lang w:val="en-US"/>
        </w:rPr>
        <w:t xml:space="preserve">Torino, G. C., Rivera, D. P., </w:t>
      </w:r>
      <w:proofErr w:type="spellStart"/>
      <w:r w:rsidRPr="006A35F1">
        <w:rPr>
          <w:color w:val="000000" w:themeColor="text1"/>
          <w:lang w:val="en-US"/>
        </w:rPr>
        <w:t>Capodilupo</w:t>
      </w:r>
      <w:proofErr w:type="spellEnd"/>
      <w:r w:rsidRPr="006A35F1">
        <w:rPr>
          <w:color w:val="000000" w:themeColor="text1"/>
          <w:lang w:val="en-US"/>
        </w:rPr>
        <w:t xml:space="preserve">, C. M., Nadal, K. L., &amp; Sue, D. W. (Ed.). (2019). </w:t>
      </w:r>
      <w:r w:rsidRPr="006A35F1">
        <w:rPr>
          <w:i/>
          <w:iCs/>
          <w:color w:val="000000" w:themeColor="text1"/>
          <w:lang w:val="en-US"/>
        </w:rPr>
        <w:t>Microaggression theory: Influence and implication</w:t>
      </w:r>
      <w:r w:rsidRPr="006A35F1">
        <w:rPr>
          <w:color w:val="000000" w:themeColor="text1"/>
          <w:lang w:val="en-US"/>
        </w:rPr>
        <w:t>. John Wiley &amp; Sons, Inc.</w:t>
      </w:r>
    </w:p>
    <w:p w14:paraId="10D7D099" w14:textId="77777777" w:rsidR="000E5BEE" w:rsidRPr="006A35F1" w:rsidRDefault="000E5BEE" w:rsidP="006A35F1">
      <w:pPr>
        <w:spacing w:line="360" w:lineRule="auto"/>
        <w:ind w:left="720" w:hanging="720"/>
        <w:jc w:val="both"/>
        <w:rPr>
          <w:color w:val="000000" w:themeColor="text1"/>
          <w:lang w:val="en-US"/>
        </w:rPr>
      </w:pPr>
      <w:proofErr w:type="spellStart"/>
      <w:r w:rsidRPr="006A35F1">
        <w:rPr>
          <w:color w:val="000000" w:themeColor="text1"/>
          <w:lang w:val="en-US"/>
        </w:rPr>
        <w:t>Tristán</w:t>
      </w:r>
      <w:proofErr w:type="spellEnd"/>
      <w:r w:rsidRPr="006A35F1">
        <w:rPr>
          <w:color w:val="000000" w:themeColor="text1"/>
          <w:lang w:val="en-US"/>
        </w:rPr>
        <w:t xml:space="preserve">-López, A. (2008). </w:t>
      </w:r>
      <w:r w:rsidRPr="00DF6C57">
        <w:rPr>
          <w:color w:val="000000" w:themeColor="text1"/>
          <w:lang w:val="es-ES"/>
        </w:rPr>
        <w:t xml:space="preserve">Modificación al modelo de </w:t>
      </w:r>
      <w:proofErr w:type="spellStart"/>
      <w:r w:rsidRPr="00DF6C57">
        <w:rPr>
          <w:color w:val="000000" w:themeColor="text1"/>
          <w:lang w:val="es-ES"/>
        </w:rPr>
        <w:t>Lawshe</w:t>
      </w:r>
      <w:proofErr w:type="spellEnd"/>
      <w:r w:rsidRPr="00DF6C57">
        <w:rPr>
          <w:color w:val="000000" w:themeColor="text1"/>
          <w:lang w:val="es-ES"/>
        </w:rPr>
        <w:t xml:space="preserve"> para el dictamen cuantitativo de la validez de contenido de un instrumento objetivo. </w:t>
      </w:r>
      <w:proofErr w:type="spellStart"/>
      <w:r w:rsidRPr="006A35F1">
        <w:rPr>
          <w:i/>
          <w:iCs/>
          <w:color w:val="000000" w:themeColor="text1"/>
          <w:lang w:val="en-US"/>
        </w:rPr>
        <w:t>Avances</w:t>
      </w:r>
      <w:proofErr w:type="spellEnd"/>
      <w:r w:rsidRPr="006A35F1">
        <w:rPr>
          <w:i/>
          <w:iCs/>
          <w:color w:val="000000" w:themeColor="text1"/>
          <w:lang w:val="en-US"/>
        </w:rPr>
        <w:t xml:space="preserve"> </w:t>
      </w:r>
      <w:proofErr w:type="spellStart"/>
      <w:r w:rsidRPr="006A35F1">
        <w:rPr>
          <w:i/>
          <w:iCs/>
          <w:color w:val="000000" w:themeColor="text1"/>
          <w:lang w:val="en-US"/>
        </w:rPr>
        <w:t>en</w:t>
      </w:r>
      <w:proofErr w:type="spellEnd"/>
      <w:r w:rsidRPr="006A35F1">
        <w:rPr>
          <w:i/>
          <w:iCs/>
          <w:color w:val="000000" w:themeColor="text1"/>
          <w:lang w:val="en-US"/>
        </w:rPr>
        <w:t xml:space="preserve"> </w:t>
      </w:r>
      <w:proofErr w:type="spellStart"/>
      <w:r w:rsidRPr="006A35F1">
        <w:rPr>
          <w:i/>
          <w:iCs/>
          <w:color w:val="000000" w:themeColor="text1"/>
          <w:lang w:val="en-US"/>
        </w:rPr>
        <w:t>Medición</w:t>
      </w:r>
      <w:proofErr w:type="spellEnd"/>
      <w:r w:rsidRPr="006A35F1">
        <w:rPr>
          <w:i/>
          <w:iCs/>
          <w:color w:val="000000" w:themeColor="text1"/>
          <w:lang w:val="en-US"/>
        </w:rPr>
        <w:t>, 6</w:t>
      </w:r>
      <w:r w:rsidRPr="006A35F1">
        <w:rPr>
          <w:color w:val="000000" w:themeColor="text1"/>
          <w:lang w:val="en-US"/>
        </w:rPr>
        <w:t>, 37-48.</w:t>
      </w:r>
    </w:p>
    <w:p w14:paraId="426A3D92" w14:textId="77777777" w:rsidR="000E5BEE" w:rsidRPr="006A35F1" w:rsidRDefault="000E5BEE" w:rsidP="006A35F1">
      <w:pPr>
        <w:spacing w:line="360" w:lineRule="auto"/>
        <w:ind w:left="720" w:hanging="720"/>
        <w:jc w:val="both"/>
        <w:rPr>
          <w:color w:val="000000" w:themeColor="text1"/>
          <w:lang w:val="en-US"/>
        </w:rPr>
      </w:pPr>
      <w:r w:rsidRPr="006A35F1">
        <w:rPr>
          <w:color w:val="000000" w:themeColor="text1"/>
          <w:lang w:val="en-US"/>
        </w:rPr>
        <w:t xml:space="preserve">Zhou, Y. (2019) A mixed methods model of scale development and validation analysis. </w:t>
      </w:r>
      <w:r w:rsidRPr="006A35F1">
        <w:rPr>
          <w:i/>
          <w:iCs/>
          <w:color w:val="000000" w:themeColor="text1"/>
          <w:lang w:val="en-US"/>
        </w:rPr>
        <w:t>Measurement:</w:t>
      </w:r>
      <w:r w:rsidRPr="006A35F1">
        <w:rPr>
          <w:color w:val="000000" w:themeColor="text1"/>
          <w:lang w:val="en-US"/>
        </w:rPr>
        <w:t xml:space="preserve"> </w:t>
      </w:r>
      <w:r w:rsidRPr="006A35F1">
        <w:rPr>
          <w:i/>
          <w:iCs/>
          <w:color w:val="000000" w:themeColor="text1"/>
          <w:lang w:val="en-US"/>
        </w:rPr>
        <w:t>Interdisciplinary Research and Perspectives, 17</w:t>
      </w:r>
      <w:r w:rsidRPr="006A35F1">
        <w:rPr>
          <w:color w:val="000000" w:themeColor="text1"/>
          <w:lang w:val="en-US"/>
        </w:rPr>
        <w:t>(1), 38-47. https://doi.org/10.1080/15366367.2018.1479088</w:t>
      </w:r>
    </w:p>
    <w:p w14:paraId="62D031D7" w14:textId="77777777" w:rsidR="000C4400" w:rsidRPr="00E25900" w:rsidRDefault="000C4400" w:rsidP="006A35F1">
      <w:pPr>
        <w:spacing w:line="360" w:lineRule="auto"/>
        <w:ind w:left="720" w:hanging="720"/>
        <w:jc w:val="both"/>
        <w:rPr>
          <w:lang w:val="en-US"/>
        </w:rPr>
      </w:pPr>
    </w:p>
    <w:p w14:paraId="2B09FC6A" w14:textId="3284DECE" w:rsidR="00594317" w:rsidRPr="00E417C5" w:rsidRDefault="00594317" w:rsidP="000C4400">
      <w:pPr>
        <w:shd w:val="clear" w:color="auto" w:fill="FFFFFF"/>
        <w:jc w:val="right"/>
        <w:rPr>
          <w:i/>
          <w:iCs/>
          <w:sz w:val="20"/>
          <w:szCs w:val="20"/>
          <w:lang w:val="en-US"/>
        </w:rPr>
      </w:pPr>
      <w:r w:rsidRPr="00E417C5">
        <w:rPr>
          <w:i/>
          <w:iCs/>
          <w:sz w:val="20"/>
          <w:szCs w:val="20"/>
          <w:lang w:val="en-US"/>
        </w:rPr>
        <w:t>Received</w:t>
      </w:r>
      <w:r w:rsidRPr="00E25900">
        <w:rPr>
          <w:i/>
          <w:iCs/>
          <w:sz w:val="20"/>
          <w:szCs w:val="20"/>
          <w:lang w:val="pt-BR"/>
        </w:rPr>
        <w:t xml:space="preserve">: </w:t>
      </w:r>
    </w:p>
    <w:p w14:paraId="781863B5" w14:textId="7F8F323E" w:rsidR="00594317" w:rsidRPr="002A06E2" w:rsidRDefault="00594317" w:rsidP="006A35F1">
      <w:pPr>
        <w:shd w:val="clear" w:color="auto" w:fill="FFFFFF"/>
        <w:jc w:val="right"/>
        <w:rPr>
          <w:i/>
          <w:sz w:val="28"/>
          <w:szCs w:val="28"/>
          <w:lang w:val="pt-BR"/>
        </w:rPr>
      </w:pPr>
      <w:r w:rsidRPr="00E417C5">
        <w:rPr>
          <w:i/>
          <w:iCs/>
          <w:sz w:val="20"/>
          <w:szCs w:val="20"/>
          <w:lang w:val="en-US"/>
        </w:rPr>
        <w:t>Accept</w:t>
      </w:r>
      <w:r w:rsidR="00977C26">
        <w:rPr>
          <w:i/>
          <w:iCs/>
          <w:sz w:val="20"/>
          <w:szCs w:val="20"/>
          <w:lang w:val="en-US"/>
        </w:rPr>
        <w:t>ed:</w:t>
      </w:r>
    </w:p>
    <w:sectPr w:rsidR="00594317" w:rsidRPr="002A06E2" w:rsidSect="00B864D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03B64" w14:textId="77777777" w:rsidR="00CD6AC5" w:rsidRDefault="00CD6AC5" w:rsidP="00C413D4">
      <w:r>
        <w:separator/>
      </w:r>
    </w:p>
  </w:endnote>
  <w:endnote w:type="continuationSeparator" w:id="0">
    <w:p w14:paraId="0ECB8854" w14:textId="77777777" w:rsidR="00CD6AC5" w:rsidRDefault="00CD6AC5"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altName w:val="Times New Roman"/>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Body CS)">
    <w:altName w:val="Times New Roman"/>
    <w:panose1 w:val="020B0604020202020204"/>
    <w:charset w:val="00"/>
    <w:family w:val="roman"/>
    <w:pitch w:val="default"/>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w:hAnsi="Times"/>
        <w:sz w:val="16"/>
        <w:szCs w:val="16"/>
      </w:rPr>
      <w:id w:val="1406568728"/>
      <w:docPartObj>
        <w:docPartGallery w:val="Page Numbers (Bottom of Page)"/>
        <w:docPartUnique/>
      </w:docPartObj>
    </w:sdtPr>
    <w:sdtEndPr>
      <w:rPr>
        <w:rStyle w:val="PageNumber"/>
        <w:rFonts w:asciiTheme="minorHAnsi" w:hAnsiTheme="minorHAnsi"/>
        <w:sz w:val="24"/>
        <w:szCs w:val="24"/>
      </w:rPr>
    </w:sdtEndPr>
    <w:sdtContent>
      <w:p w14:paraId="4EBE6B2B" w14:textId="77777777" w:rsidR="007C3C14" w:rsidRDefault="007C3C14" w:rsidP="0059034C">
        <w:pPr>
          <w:pStyle w:val="Footer"/>
          <w:ind w:left="3960" w:firstLine="3960"/>
          <w:rPr>
            <w:rStyle w:val="PageNumber"/>
          </w:rPr>
        </w:pPr>
        <w:r w:rsidRPr="007F5913">
          <w:rPr>
            <w:rFonts w:ascii="Times" w:hAnsi="Times" w:cs="Times"/>
            <w:sz w:val="16"/>
            <w:szCs w:val="16"/>
          </w:rPr>
          <w:t xml:space="preserve">ARTICLE | </w:t>
        </w:r>
        <w:r w:rsidRPr="007F5913">
          <w:rPr>
            <w:rStyle w:val="PageNumber"/>
            <w:rFonts w:ascii="Times" w:hAnsi="Times"/>
            <w:sz w:val="16"/>
            <w:szCs w:val="16"/>
          </w:rPr>
          <w:fldChar w:fldCharType="begin"/>
        </w:r>
        <w:r w:rsidRPr="007F5913">
          <w:rPr>
            <w:rStyle w:val="PageNumber"/>
            <w:rFonts w:ascii="Times" w:hAnsi="Times"/>
            <w:sz w:val="16"/>
            <w:szCs w:val="16"/>
          </w:rPr>
          <w:instrText xml:space="preserve"> PAGE </w:instrText>
        </w:r>
        <w:r w:rsidRPr="007F5913">
          <w:rPr>
            <w:rStyle w:val="PageNumber"/>
            <w:rFonts w:ascii="Times" w:hAnsi="Times"/>
            <w:sz w:val="16"/>
            <w:szCs w:val="16"/>
          </w:rPr>
          <w:fldChar w:fldCharType="separate"/>
        </w:r>
        <w:r>
          <w:rPr>
            <w:rStyle w:val="PageNumber"/>
            <w:rFonts w:ascii="Times" w:hAnsi="Times"/>
            <w:noProof/>
            <w:sz w:val="16"/>
            <w:szCs w:val="16"/>
          </w:rPr>
          <w:t>14</w:t>
        </w:r>
        <w:r w:rsidRPr="007F5913">
          <w:rPr>
            <w:rStyle w:val="PageNumber"/>
            <w:rFonts w:ascii="Times" w:hAnsi="Times"/>
            <w:sz w:val="16"/>
            <w:szCs w:val="16"/>
          </w:rPr>
          <w:fldChar w:fldCharType="end"/>
        </w:r>
      </w:p>
    </w:sdtContent>
  </w:sdt>
  <w:p w14:paraId="7A222F7A" w14:textId="77777777" w:rsidR="007C3C14" w:rsidRDefault="007C3C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w:hAnsi="Times"/>
        <w:sz w:val="16"/>
        <w:szCs w:val="16"/>
      </w:rPr>
      <w:id w:val="1722862390"/>
      <w:docPartObj>
        <w:docPartGallery w:val="Page Numbers (Bottom of Page)"/>
        <w:docPartUnique/>
      </w:docPartObj>
    </w:sdtPr>
    <w:sdtEndPr>
      <w:rPr>
        <w:rStyle w:val="PageNumber"/>
        <w:rFonts w:asciiTheme="minorHAnsi" w:hAnsiTheme="minorHAnsi"/>
        <w:sz w:val="24"/>
        <w:szCs w:val="24"/>
      </w:rPr>
    </w:sdtEndPr>
    <w:sdtContent>
      <w:p w14:paraId="4C78B845" w14:textId="77777777" w:rsidR="007C3C14" w:rsidRDefault="007C3C14" w:rsidP="00C413D4">
        <w:pPr>
          <w:pStyle w:val="Footer"/>
          <w:rPr>
            <w:rStyle w:val="PageNumber"/>
          </w:rPr>
        </w:pPr>
        <w:r w:rsidRPr="007F5913">
          <w:rPr>
            <w:rFonts w:ascii="Times" w:hAnsi="Times" w:cs="Times"/>
            <w:sz w:val="16"/>
            <w:szCs w:val="16"/>
          </w:rPr>
          <w:t xml:space="preserve">ARTICLE | </w:t>
        </w:r>
        <w:r w:rsidRPr="007F5913">
          <w:rPr>
            <w:rStyle w:val="PageNumber"/>
            <w:rFonts w:ascii="Times" w:hAnsi="Times"/>
            <w:sz w:val="16"/>
            <w:szCs w:val="16"/>
          </w:rPr>
          <w:fldChar w:fldCharType="begin"/>
        </w:r>
        <w:r w:rsidRPr="007F5913">
          <w:rPr>
            <w:rStyle w:val="PageNumber"/>
            <w:rFonts w:ascii="Times" w:hAnsi="Times"/>
            <w:sz w:val="16"/>
            <w:szCs w:val="16"/>
          </w:rPr>
          <w:instrText xml:space="preserve"> PAGE </w:instrText>
        </w:r>
        <w:r w:rsidRPr="007F5913">
          <w:rPr>
            <w:rStyle w:val="PageNumber"/>
            <w:rFonts w:ascii="Times" w:hAnsi="Times"/>
            <w:sz w:val="16"/>
            <w:szCs w:val="16"/>
          </w:rPr>
          <w:fldChar w:fldCharType="separate"/>
        </w:r>
        <w:r>
          <w:rPr>
            <w:rStyle w:val="PageNumber"/>
            <w:rFonts w:ascii="Times" w:hAnsi="Times"/>
            <w:noProof/>
            <w:sz w:val="16"/>
            <w:szCs w:val="16"/>
          </w:rPr>
          <w:t>15</w:t>
        </w:r>
        <w:r w:rsidRPr="007F5913">
          <w:rPr>
            <w:rStyle w:val="PageNumber"/>
            <w:rFonts w:ascii="Times" w:hAnsi="Times"/>
            <w:sz w:val="16"/>
            <w:szCs w:val="16"/>
          </w:rPr>
          <w:fldChar w:fldCharType="end"/>
        </w:r>
      </w:p>
    </w:sdtContent>
  </w:sdt>
  <w:p w14:paraId="4E421D5C" w14:textId="77777777" w:rsidR="007C3C14" w:rsidRDefault="007C3C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85827" w14:textId="77777777" w:rsidR="003C3ACD" w:rsidRDefault="003C3A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6D0F5" w14:textId="77777777" w:rsidR="00CD6AC5" w:rsidRDefault="00CD6AC5" w:rsidP="00C413D4">
      <w:r>
        <w:separator/>
      </w:r>
    </w:p>
  </w:footnote>
  <w:footnote w:type="continuationSeparator" w:id="0">
    <w:p w14:paraId="5B5EBE8D" w14:textId="77777777" w:rsidR="00CD6AC5" w:rsidRDefault="00CD6AC5" w:rsidP="00C413D4">
      <w:r>
        <w:continuationSeparator/>
      </w:r>
    </w:p>
  </w:footnote>
  <w:footnote w:id="1">
    <w:p w14:paraId="0C36695A" w14:textId="5E923E4E" w:rsidR="000255D7" w:rsidRPr="006A35F1" w:rsidRDefault="000255D7">
      <w:pPr>
        <w:pStyle w:val="FootnoteText"/>
        <w:rPr>
          <w:sz w:val="16"/>
          <w:szCs w:val="16"/>
          <w:lang w:val="en-US"/>
        </w:rPr>
      </w:pPr>
      <w:r>
        <w:rPr>
          <w:rStyle w:val="FootnoteReference"/>
        </w:rPr>
        <w:footnoteRef/>
      </w:r>
      <w:r w:rsidRPr="006A35F1">
        <w:rPr>
          <w:lang w:val="en-US"/>
        </w:rPr>
        <w:t xml:space="preserve"> </w:t>
      </w:r>
      <w:r w:rsidRPr="006A35F1">
        <w:rPr>
          <w:sz w:val="16"/>
          <w:szCs w:val="16"/>
          <w:lang w:val="en-US"/>
        </w:rPr>
        <w:t xml:space="preserve">Correspondence about this article should be addressed to </w:t>
      </w:r>
      <w:r w:rsidRPr="006A35F1">
        <w:rPr>
          <w:b/>
          <w:bCs/>
          <w:sz w:val="16"/>
          <w:szCs w:val="16"/>
          <w:lang w:val="en-US"/>
        </w:rPr>
        <w:t>Janeliz Santos López</w:t>
      </w:r>
      <w:r w:rsidRPr="006A35F1">
        <w:rPr>
          <w:sz w:val="16"/>
          <w:szCs w:val="16"/>
          <w:lang w:val="en-US"/>
        </w:rPr>
        <w:t xml:space="preserve">: </w:t>
      </w:r>
      <w:r w:rsidR="000B770D">
        <w:rPr>
          <w:sz w:val="16"/>
          <w:szCs w:val="16"/>
          <w:lang w:val="en-US"/>
        </w:rPr>
        <w:t>janeliz.santos@outlook.com</w:t>
      </w:r>
    </w:p>
  </w:footnote>
  <w:footnote w:id="2">
    <w:p w14:paraId="03490ABD" w14:textId="77777777" w:rsidR="000B770D" w:rsidRPr="00E64AC3" w:rsidRDefault="000B770D" w:rsidP="000B770D">
      <w:pPr>
        <w:pStyle w:val="FootnoteText"/>
        <w:rPr>
          <w:lang w:val="en-US"/>
        </w:rPr>
      </w:pPr>
      <w:r>
        <w:rPr>
          <w:rStyle w:val="FootnoteReference"/>
        </w:rPr>
        <w:footnoteRef/>
      </w:r>
      <w:r w:rsidRPr="00E64AC3">
        <w:rPr>
          <w:lang w:val="en-US"/>
        </w:rPr>
        <w:t xml:space="preserve"> </w:t>
      </w:r>
      <w:r w:rsidRPr="00E64AC3">
        <w:rPr>
          <w:b/>
          <w:bCs/>
          <w:i/>
          <w:iCs/>
          <w:sz w:val="16"/>
          <w:szCs w:val="16"/>
          <w:lang w:val="en-US"/>
        </w:rPr>
        <w:t>Conflicts of Interest:</w:t>
      </w:r>
      <w:r>
        <w:rPr>
          <w:b/>
          <w:bCs/>
          <w:i/>
          <w:iCs/>
          <w:sz w:val="16"/>
          <w:szCs w:val="16"/>
          <w:lang w:val="en-US"/>
        </w:rPr>
        <w:t xml:space="preserve"> </w:t>
      </w:r>
      <w:r w:rsidRPr="00E64AC3">
        <w:rPr>
          <w:sz w:val="16"/>
          <w:szCs w:val="16"/>
          <w:lang w:val="en-US"/>
        </w:rPr>
        <w:t>The authors declare that the research was conducted in the absence of any commercial or financial relationships that could be construed as a potential conflict of interest.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20193" w14:textId="13FFC029" w:rsidR="007C3C14" w:rsidRPr="003C3ACD" w:rsidRDefault="003C3ACD" w:rsidP="0059034C">
    <w:pPr>
      <w:pStyle w:val="Header"/>
      <w:jc w:val="center"/>
      <w:rPr>
        <w:rFonts w:ascii="Times" w:hAnsi="Times" w:cs="Times New Roman (Body CS)"/>
        <w:b/>
        <w:bCs/>
        <w:smallCaps/>
        <w:sz w:val="20"/>
        <w:szCs w:val="20"/>
        <w:lang w:val="es-AR"/>
      </w:rPr>
    </w:pPr>
    <w:r w:rsidRPr="003C3ACD">
      <w:rPr>
        <w:rFonts w:ascii="Times" w:hAnsi="Times" w:cs="Times New Roman (Body CS)"/>
        <w:b/>
        <w:bCs/>
        <w:smallCaps/>
        <w:sz w:val="20"/>
        <w:szCs w:val="20"/>
        <w:lang w:val="es-ES"/>
      </w:rPr>
      <w:t>Santos López, Cruz Román, &amp; Rodríguez</w:t>
    </w:r>
    <w:r>
      <w:rPr>
        <w:rFonts w:ascii="Times" w:hAnsi="Times" w:cs="Times New Roman (Body CS)"/>
        <w:b/>
        <w:bCs/>
        <w:smallCaps/>
        <w:sz w:val="20"/>
        <w:szCs w:val="20"/>
        <w:lang w:val="es-ES"/>
      </w:rPr>
      <w:t>-</w:t>
    </w:r>
    <w:r w:rsidRPr="003C3ACD">
      <w:rPr>
        <w:rFonts w:ascii="Times" w:hAnsi="Times" w:cs="Times New Roman (Body CS)"/>
        <w:b/>
        <w:bCs/>
        <w:smallCaps/>
        <w:sz w:val="20"/>
        <w:szCs w:val="20"/>
        <w:lang w:val="es-ES"/>
      </w:rPr>
      <w:t>Soto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90CEF" w14:textId="2BDE3CB7" w:rsidR="007C3C14" w:rsidRDefault="007C3C14" w:rsidP="00C413D4">
    <w:pPr>
      <w:pStyle w:val="Header"/>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w:t>
    </w:r>
    <w:proofErr w:type="spellStart"/>
    <w:r>
      <w:rPr>
        <w:rFonts w:ascii="Times" w:hAnsi="Times"/>
        <w:b/>
        <w:i/>
        <w:sz w:val="18"/>
        <w:szCs w:val="18"/>
        <w:lang w:val="es-ES"/>
      </w:rPr>
      <w:t>of</w:t>
    </w:r>
    <w:proofErr w:type="spellEnd"/>
    <w:r>
      <w:rPr>
        <w:rFonts w:ascii="Times" w:hAnsi="Times"/>
        <w:b/>
        <w:i/>
        <w:sz w:val="18"/>
        <w:szCs w:val="18"/>
        <w:lang w:val="es-ES"/>
      </w:rPr>
      <w:t xml:space="preserve"> </w:t>
    </w:r>
    <w:proofErr w:type="spellStart"/>
    <w:r>
      <w:rPr>
        <w:rFonts w:ascii="Times" w:hAnsi="Times"/>
        <w:b/>
        <w:i/>
        <w:sz w:val="18"/>
        <w:szCs w:val="18"/>
        <w:lang w:val="es-ES"/>
      </w:rPr>
      <w:t>Psychology</w:t>
    </w:r>
    <w:proofErr w:type="spellEnd"/>
  </w:p>
  <w:p w14:paraId="4669E1FB" w14:textId="64E673DE" w:rsidR="007C3C14" w:rsidRPr="0027261B" w:rsidRDefault="0027261B" w:rsidP="00977250">
    <w:pPr>
      <w:pStyle w:val="Header"/>
      <w:jc w:val="right"/>
      <w:rPr>
        <w:lang w:val="es-AR"/>
      </w:rPr>
    </w:pPr>
    <w:r>
      <w:rPr>
        <w:rFonts w:ascii="Times" w:hAnsi="Times"/>
        <w:i/>
        <w:sz w:val="18"/>
        <w:szCs w:val="18"/>
        <w:lang w:val="es-ES"/>
      </w:rPr>
      <w:t>Modelo de Envío de Manuscrito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5C273" w14:textId="77777777" w:rsidR="003C3ACD" w:rsidRDefault="003C3A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9406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2205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127B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0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28B1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9CF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88D9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3E46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2AF8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B0E9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3E576D"/>
    <w:multiLevelType w:val="hybridMultilevel"/>
    <w:tmpl w:val="08C6EF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F1799B"/>
    <w:multiLevelType w:val="hybridMultilevel"/>
    <w:tmpl w:val="FC52639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2" w15:restartNumberingAfterBreak="0">
    <w:nsid w:val="7DF4409B"/>
    <w:multiLevelType w:val="hybridMultilevel"/>
    <w:tmpl w:val="7C7E54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37198948">
    <w:abstractNumId w:val="11"/>
  </w:num>
  <w:num w:numId="2" w16cid:durableId="964821637">
    <w:abstractNumId w:val="4"/>
  </w:num>
  <w:num w:numId="3" w16cid:durableId="1666737175">
    <w:abstractNumId w:val="5"/>
  </w:num>
  <w:num w:numId="4" w16cid:durableId="1345010483">
    <w:abstractNumId w:val="6"/>
  </w:num>
  <w:num w:numId="5" w16cid:durableId="1224368972">
    <w:abstractNumId w:val="7"/>
  </w:num>
  <w:num w:numId="6" w16cid:durableId="2006397536">
    <w:abstractNumId w:val="9"/>
  </w:num>
  <w:num w:numId="7" w16cid:durableId="225185450">
    <w:abstractNumId w:val="0"/>
  </w:num>
  <w:num w:numId="8" w16cid:durableId="1458910468">
    <w:abstractNumId w:val="1"/>
  </w:num>
  <w:num w:numId="9" w16cid:durableId="450055503">
    <w:abstractNumId w:val="2"/>
  </w:num>
  <w:num w:numId="10" w16cid:durableId="115103153">
    <w:abstractNumId w:val="3"/>
  </w:num>
  <w:num w:numId="11" w16cid:durableId="830947265">
    <w:abstractNumId w:val="8"/>
  </w:num>
  <w:num w:numId="12" w16cid:durableId="1204321638">
    <w:abstractNumId w:val="12"/>
  </w:num>
  <w:num w:numId="13" w16cid:durableId="19678496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13F38"/>
    <w:rsid w:val="000255D7"/>
    <w:rsid w:val="00033EDF"/>
    <w:rsid w:val="000365CA"/>
    <w:rsid w:val="000501B8"/>
    <w:rsid w:val="000524B8"/>
    <w:rsid w:val="00054A4C"/>
    <w:rsid w:val="000650B8"/>
    <w:rsid w:val="00070462"/>
    <w:rsid w:val="00070498"/>
    <w:rsid w:val="00076F0A"/>
    <w:rsid w:val="00086E5F"/>
    <w:rsid w:val="000926AC"/>
    <w:rsid w:val="000A350B"/>
    <w:rsid w:val="000B57CC"/>
    <w:rsid w:val="000B5C65"/>
    <w:rsid w:val="000B770D"/>
    <w:rsid w:val="000C08E9"/>
    <w:rsid w:val="000C4400"/>
    <w:rsid w:val="000C6C8F"/>
    <w:rsid w:val="000D0575"/>
    <w:rsid w:val="000D15B0"/>
    <w:rsid w:val="000D35CD"/>
    <w:rsid w:val="000E3B16"/>
    <w:rsid w:val="000E4B80"/>
    <w:rsid w:val="000E5BEE"/>
    <w:rsid w:val="000F5253"/>
    <w:rsid w:val="00100EBB"/>
    <w:rsid w:val="00102058"/>
    <w:rsid w:val="00107993"/>
    <w:rsid w:val="00112A40"/>
    <w:rsid w:val="00115DF8"/>
    <w:rsid w:val="001253E7"/>
    <w:rsid w:val="00127870"/>
    <w:rsid w:val="001278BC"/>
    <w:rsid w:val="0013416E"/>
    <w:rsid w:val="00147577"/>
    <w:rsid w:val="00151488"/>
    <w:rsid w:val="001516ED"/>
    <w:rsid w:val="001526A4"/>
    <w:rsid w:val="00153DC5"/>
    <w:rsid w:val="001566F6"/>
    <w:rsid w:val="0016459B"/>
    <w:rsid w:val="00181990"/>
    <w:rsid w:val="00193A70"/>
    <w:rsid w:val="001B7EBF"/>
    <w:rsid w:val="001C0469"/>
    <w:rsid w:val="001C657A"/>
    <w:rsid w:val="001C7FFD"/>
    <w:rsid w:val="001D0B83"/>
    <w:rsid w:val="001D38BC"/>
    <w:rsid w:val="001D3E7E"/>
    <w:rsid w:val="001D6399"/>
    <w:rsid w:val="001E520D"/>
    <w:rsid w:val="001E6CE8"/>
    <w:rsid w:val="001F7509"/>
    <w:rsid w:val="00200ECC"/>
    <w:rsid w:val="002054D5"/>
    <w:rsid w:val="002107C4"/>
    <w:rsid w:val="00213EC3"/>
    <w:rsid w:val="00216AFF"/>
    <w:rsid w:val="00224038"/>
    <w:rsid w:val="00225020"/>
    <w:rsid w:val="00234E5C"/>
    <w:rsid w:val="002409F4"/>
    <w:rsid w:val="002427D5"/>
    <w:rsid w:val="00246D04"/>
    <w:rsid w:val="00251C9A"/>
    <w:rsid w:val="00253B73"/>
    <w:rsid w:val="002624E0"/>
    <w:rsid w:val="002641C1"/>
    <w:rsid w:val="00264752"/>
    <w:rsid w:val="00271502"/>
    <w:rsid w:val="0027261B"/>
    <w:rsid w:val="002726BB"/>
    <w:rsid w:val="00273746"/>
    <w:rsid w:val="0027680F"/>
    <w:rsid w:val="00281ADC"/>
    <w:rsid w:val="002820DF"/>
    <w:rsid w:val="00286403"/>
    <w:rsid w:val="00294547"/>
    <w:rsid w:val="00297AFB"/>
    <w:rsid w:val="002A06E2"/>
    <w:rsid w:val="002B2297"/>
    <w:rsid w:val="002B65D2"/>
    <w:rsid w:val="002C009C"/>
    <w:rsid w:val="002C049D"/>
    <w:rsid w:val="002C1EB1"/>
    <w:rsid w:val="002C2F3E"/>
    <w:rsid w:val="002C3A8D"/>
    <w:rsid w:val="002C7C6D"/>
    <w:rsid w:val="002C7DF0"/>
    <w:rsid w:val="002D1053"/>
    <w:rsid w:val="002D3839"/>
    <w:rsid w:val="002D4069"/>
    <w:rsid w:val="002D46D3"/>
    <w:rsid w:val="002D737F"/>
    <w:rsid w:val="002E0320"/>
    <w:rsid w:val="002E6774"/>
    <w:rsid w:val="002E7CBF"/>
    <w:rsid w:val="002F070D"/>
    <w:rsid w:val="002F09F6"/>
    <w:rsid w:val="002F257B"/>
    <w:rsid w:val="002F35E0"/>
    <w:rsid w:val="002F38C8"/>
    <w:rsid w:val="002F3A72"/>
    <w:rsid w:val="00302C5C"/>
    <w:rsid w:val="00305FC1"/>
    <w:rsid w:val="00314146"/>
    <w:rsid w:val="00330788"/>
    <w:rsid w:val="00331399"/>
    <w:rsid w:val="00356106"/>
    <w:rsid w:val="0036555E"/>
    <w:rsid w:val="00370B57"/>
    <w:rsid w:val="0037199B"/>
    <w:rsid w:val="003775B9"/>
    <w:rsid w:val="00387FA8"/>
    <w:rsid w:val="003909A7"/>
    <w:rsid w:val="003925AF"/>
    <w:rsid w:val="0039453C"/>
    <w:rsid w:val="003B446B"/>
    <w:rsid w:val="003C3ACD"/>
    <w:rsid w:val="003C4AA4"/>
    <w:rsid w:val="003C5368"/>
    <w:rsid w:val="003D000D"/>
    <w:rsid w:val="003D12BD"/>
    <w:rsid w:val="003D21B8"/>
    <w:rsid w:val="003E438F"/>
    <w:rsid w:val="003E4B06"/>
    <w:rsid w:val="003F1E9B"/>
    <w:rsid w:val="003F6ABD"/>
    <w:rsid w:val="0041389B"/>
    <w:rsid w:val="00416B1A"/>
    <w:rsid w:val="0042142D"/>
    <w:rsid w:val="00430392"/>
    <w:rsid w:val="00430C97"/>
    <w:rsid w:val="004413D6"/>
    <w:rsid w:val="00441D67"/>
    <w:rsid w:val="00444D7B"/>
    <w:rsid w:val="00444D92"/>
    <w:rsid w:val="00447285"/>
    <w:rsid w:val="00447E89"/>
    <w:rsid w:val="0045268C"/>
    <w:rsid w:val="004661DA"/>
    <w:rsid w:val="004666B4"/>
    <w:rsid w:val="00473BE7"/>
    <w:rsid w:val="00475FC0"/>
    <w:rsid w:val="004808A6"/>
    <w:rsid w:val="00483554"/>
    <w:rsid w:val="00483D6B"/>
    <w:rsid w:val="00485FAC"/>
    <w:rsid w:val="0048651A"/>
    <w:rsid w:val="004876DD"/>
    <w:rsid w:val="00497A57"/>
    <w:rsid w:val="004A22DE"/>
    <w:rsid w:val="004A261A"/>
    <w:rsid w:val="004A427F"/>
    <w:rsid w:val="004C0823"/>
    <w:rsid w:val="004D508A"/>
    <w:rsid w:val="004D5719"/>
    <w:rsid w:val="004E3345"/>
    <w:rsid w:val="004E3DCC"/>
    <w:rsid w:val="004F2992"/>
    <w:rsid w:val="004F32B1"/>
    <w:rsid w:val="004F6E41"/>
    <w:rsid w:val="005005E8"/>
    <w:rsid w:val="00510E52"/>
    <w:rsid w:val="00514665"/>
    <w:rsid w:val="00517BA9"/>
    <w:rsid w:val="00523071"/>
    <w:rsid w:val="00530BF6"/>
    <w:rsid w:val="0053115D"/>
    <w:rsid w:val="005346EA"/>
    <w:rsid w:val="005374B2"/>
    <w:rsid w:val="00542090"/>
    <w:rsid w:val="00546AFE"/>
    <w:rsid w:val="00550241"/>
    <w:rsid w:val="00554A5C"/>
    <w:rsid w:val="00566AA0"/>
    <w:rsid w:val="00576317"/>
    <w:rsid w:val="00576894"/>
    <w:rsid w:val="00581040"/>
    <w:rsid w:val="0058358F"/>
    <w:rsid w:val="00583903"/>
    <w:rsid w:val="0058695D"/>
    <w:rsid w:val="00586EA1"/>
    <w:rsid w:val="0059034C"/>
    <w:rsid w:val="00594317"/>
    <w:rsid w:val="005A5B25"/>
    <w:rsid w:val="005A6A31"/>
    <w:rsid w:val="005B0DF0"/>
    <w:rsid w:val="005B24FF"/>
    <w:rsid w:val="005B37A9"/>
    <w:rsid w:val="005B3CFF"/>
    <w:rsid w:val="005B5614"/>
    <w:rsid w:val="005C6CA9"/>
    <w:rsid w:val="005C7885"/>
    <w:rsid w:val="005F069F"/>
    <w:rsid w:val="00605D3F"/>
    <w:rsid w:val="0061199D"/>
    <w:rsid w:val="0062667D"/>
    <w:rsid w:val="00641117"/>
    <w:rsid w:val="006437B2"/>
    <w:rsid w:val="00646AFC"/>
    <w:rsid w:val="0065386D"/>
    <w:rsid w:val="00654C84"/>
    <w:rsid w:val="00656A64"/>
    <w:rsid w:val="00685309"/>
    <w:rsid w:val="006937D3"/>
    <w:rsid w:val="00696CDC"/>
    <w:rsid w:val="00697B36"/>
    <w:rsid w:val="006A1BA2"/>
    <w:rsid w:val="006A35F1"/>
    <w:rsid w:val="006B0812"/>
    <w:rsid w:val="006B088F"/>
    <w:rsid w:val="006B294A"/>
    <w:rsid w:val="006C21BC"/>
    <w:rsid w:val="006D4321"/>
    <w:rsid w:val="006D7A99"/>
    <w:rsid w:val="006E03F7"/>
    <w:rsid w:val="006E2853"/>
    <w:rsid w:val="006F601C"/>
    <w:rsid w:val="006F6924"/>
    <w:rsid w:val="006F7641"/>
    <w:rsid w:val="006F7E7E"/>
    <w:rsid w:val="00700667"/>
    <w:rsid w:val="00700F77"/>
    <w:rsid w:val="00704ECD"/>
    <w:rsid w:val="00717D13"/>
    <w:rsid w:val="00724366"/>
    <w:rsid w:val="00724584"/>
    <w:rsid w:val="00724F5C"/>
    <w:rsid w:val="00727BDE"/>
    <w:rsid w:val="00730960"/>
    <w:rsid w:val="00735BBE"/>
    <w:rsid w:val="007401BA"/>
    <w:rsid w:val="00742E4A"/>
    <w:rsid w:val="007443E0"/>
    <w:rsid w:val="007545CB"/>
    <w:rsid w:val="0075622B"/>
    <w:rsid w:val="00763907"/>
    <w:rsid w:val="00766DA1"/>
    <w:rsid w:val="00770AE4"/>
    <w:rsid w:val="00770F06"/>
    <w:rsid w:val="00773680"/>
    <w:rsid w:val="007757C0"/>
    <w:rsid w:val="00775A07"/>
    <w:rsid w:val="00780362"/>
    <w:rsid w:val="00795D57"/>
    <w:rsid w:val="007A7C7C"/>
    <w:rsid w:val="007A7CDC"/>
    <w:rsid w:val="007B13E1"/>
    <w:rsid w:val="007B198E"/>
    <w:rsid w:val="007B3AA6"/>
    <w:rsid w:val="007B6692"/>
    <w:rsid w:val="007B7748"/>
    <w:rsid w:val="007C3C14"/>
    <w:rsid w:val="007C3C20"/>
    <w:rsid w:val="007D0535"/>
    <w:rsid w:val="007D4F74"/>
    <w:rsid w:val="007E34D6"/>
    <w:rsid w:val="007E3B8D"/>
    <w:rsid w:val="007E752A"/>
    <w:rsid w:val="007F4C2E"/>
    <w:rsid w:val="007F6FA0"/>
    <w:rsid w:val="00800249"/>
    <w:rsid w:val="008114AC"/>
    <w:rsid w:val="008151AB"/>
    <w:rsid w:val="00816268"/>
    <w:rsid w:val="00816288"/>
    <w:rsid w:val="00824D3A"/>
    <w:rsid w:val="00831184"/>
    <w:rsid w:val="0083612E"/>
    <w:rsid w:val="00842C80"/>
    <w:rsid w:val="00846648"/>
    <w:rsid w:val="008472E5"/>
    <w:rsid w:val="00857872"/>
    <w:rsid w:val="00863414"/>
    <w:rsid w:val="0087062C"/>
    <w:rsid w:val="00872EFD"/>
    <w:rsid w:val="00875687"/>
    <w:rsid w:val="00880120"/>
    <w:rsid w:val="00880CC8"/>
    <w:rsid w:val="00890199"/>
    <w:rsid w:val="00895543"/>
    <w:rsid w:val="008B0F10"/>
    <w:rsid w:val="008B5161"/>
    <w:rsid w:val="008B5589"/>
    <w:rsid w:val="008B67E9"/>
    <w:rsid w:val="008B7348"/>
    <w:rsid w:val="008C409A"/>
    <w:rsid w:val="008C740A"/>
    <w:rsid w:val="008C775E"/>
    <w:rsid w:val="008D1E7A"/>
    <w:rsid w:val="008D509E"/>
    <w:rsid w:val="008E25A4"/>
    <w:rsid w:val="00901E70"/>
    <w:rsid w:val="009032D5"/>
    <w:rsid w:val="00903DEB"/>
    <w:rsid w:val="00912875"/>
    <w:rsid w:val="009232A3"/>
    <w:rsid w:val="00932033"/>
    <w:rsid w:val="00940B72"/>
    <w:rsid w:val="00942B85"/>
    <w:rsid w:val="00971A4B"/>
    <w:rsid w:val="00974AD3"/>
    <w:rsid w:val="00977250"/>
    <w:rsid w:val="00977C26"/>
    <w:rsid w:val="0098101A"/>
    <w:rsid w:val="009917EC"/>
    <w:rsid w:val="00993241"/>
    <w:rsid w:val="009A583F"/>
    <w:rsid w:val="009B3EF3"/>
    <w:rsid w:val="009C2451"/>
    <w:rsid w:val="009C397B"/>
    <w:rsid w:val="009D0633"/>
    <w:rsid w:val="009D0979"/>
    <w:rsid w:val="009D2551"/>
    <w:rsid w:val="009D7556"/>
    <w:rsid w:val="009E3092"/>
    <w:rsid w:val="009E5EBB"/>
    <w:rsid w:val="009E60C4"/>
    <w:rsid w:val="009E70FD"/>
    <w:rsid w:val="009F5D81"/>
    <w:rsid w:val="009F753D"/>
    <w:rsid w:val="00A11B64"/>
    <w:rsid w:val="00A20793"/>
    <w:rsid w:val="00A2747F"/>
    <w:rsid w:val="00A30790"/>
    <w:rsid w:val="00A42741"/>
    <w:rsid w:val="00A44FDF"/>
    <w:rsid w:val="00A457D0"/>
    <w:rsid w:val="00A5006F"/>
    <w:rsid w:val="00A5077D"/>
    <w:rsid w:val="00A516C7"/>
    <w:rsid w:val="00A601FF"/>
    <w:rsid w:val="00A610B7"/>
    <w:rsid w:val="00A62218"/>
    <w:rsid w:val="00A66B2C"/>
    <w:rsid w:val="00A741BB"/>
    <w:rsid w:val="00A871FB"/>
    <w:rsid w:val="00AA30BB"/>
    <w:rsid w:val="00AC0FD7"/>
    <w:rsid w:val="00AC1CD6"/>
    <w:rsid w:val="00AC2D3F"/>
    <w:rsid w:val="00AC41F1"/>
    <w:rsid w:val="00AD3238"/>
    <w:rsid w:val="00AD61AA"/>
    <w:rsid w:val="00AD78BD"/>
    <w:rsid w:val="00AE17A5"/>
    <w:rsid w:val="00AE3424"/>
    <w:rsid w:val="00AE48D4"/>
    <w:rsid w:val="00AE5AA9"/>
    <w:rsid w:val="00AF1C41"/>
    <w:rsid w:val="00AF7170"/>
    <w:rsid w:val="00B02133"/>
    <w:rsid w:val="00B02B4F"/>
    <w:rsid w:val="00B03D23"/>
    <w:rsid w:val="00B0532A"/>
    <w:rsid w:val="00B06283"/>
    <w:rsid w:val="00B06EF2"/>
    <w:rsid w:val="00B07577"/>
    <w:rsid w:val="00B16B69"/>
    <w:rsid w:val="00B20E32"/>
    <w:rsid w:val="00B22C0B"/>
    <w:rsid w:val="00B3161A"/>
    <w:rsid w:val="00B35B61"/>
    <w:rsid w:val="00B41B4C"/>
    <w:rsid w:val="00B42F2B"/>
    <w:rsid w:val="00B511FB"/>
    <w:rsid w:val="00B60E75"/>
    <w:rsid w:val="00B64D86"/>
    <w:rsid w:val="00B6522A"/>
    <w:rsid w:val="00B72A6F"/>
    <w:rsid w:val="00B74D71"/>
    <w:rsid w:val="00B811EE"/>
    <w:rsid w:val="00B83A6E"/>
    <w:rsid w:val="00B845A1"/>
    <w:rsid w:val="00B85E16"/>
    <w:rsid w:val="00B85EBA"/>
    <w:rsid w:val="00B864D9"/>
    <w:rsid w:val="00B91CD8"/>
    <w:rsid w:val="00B9678D"/>
    <w:rsid w:val="00BA48F1"/>
    <w:rsid w:val="00BB1914"/>
    <w:rsid w:val="00BB450C"/>
    <w:rsid w:val="00BC2AFB"/>
    <w:rsid w:val="00BD26F5"/>
    <w:rsid w:val="00BE27F2"/>
    <w:rsid w:val="00BE3A50"/>
    <w:rsid w:val="00BF42D4"/>
    <w:rsid w:val="00BF59E7"/>
    <w:rsid w:val="00BF5F17"/>
    <w:rsid w:val="00C01CA9"/>
    <w:rsid w:val="00C054F1"/>
    <w:rsid w:val="00C066DF"/>
    <w:rsid w:val="00C34742"/>
    <w:rsid w:val="00C41106"/>
    <w:rsid w:val="00C413D4"/>
    <w:rsid w:val="00C43335"/>
    <w:rsid w:val="00C50BD7"/>
    <w:rsid w:val="00C64ECF"/>
    <w:rsid w:val="00C71862"/>
    <w:rsid w:val="00C7510F"/>
    <w:rsid w:val="00C84812"/>
    <w:rsid w:val="00C87530"/>
    <w:rsid w:val="00C9115C"/>
    <w:rsid w:val="00CA1D17"/>
    <w:rsid w:val="00CA2A9D"/>
    <w:rsid w:val="00CA3BFF"/>
    <w:rsid w:val="00CA3C92"/>
    <w:rsid w:val="00CB1783"/>
    <w:rsid w:val="00CB559A"/>
    <w:rsid w:val="00CC1872"/>
    <w:rsid w:val="00CC2B69"/>
    <w:rsid w:val="00CD6AC5"/>
    <w:rsid w:val="00CE2AE3"/>
    <w:rsid w:val="00CE7D65"/>
    <w:rsid w:val="00CF4E1F"/>
    <w:rsid w:val="00CF5D21"/>
    <w:rsid w:val="00CF691D"/>
    <w:rsid w:val="00D15BA6"/>
    <w:rsid w:val="00D17686"/>
    <w:rsid w:val="00D20923"/>
    <w:rsid w:val="00D21CD8"/>
    <w:rsid w:val="00D232DE"/>
    <w:rsid w:val="00D478A5"/>
    <w:rsid w:val="00D53D40"/>
    <w:rsid w:val="00D56E7F"/>
    <w:rsid w:val="00D57780"/>
    <w:rsid w:val="00D609BB"/>
    <w:rsid w:val="00D6218A"/>
    <w:rsid w:val="00D629F0"/>
    <w:rsid w:val="00D67AB8"/>
    <w:rsid w:val="00D70C81"/>
    <w:rsid w:val="00D762A9"/>
    <w:rsid w:val="00D857AC"/>
    <w:rsid w:val="00D94A3F"/>
    <w:rsid w:val="00DB33E1"/>
    <w:rsid w:val="00DB4A71"/>
    <w:rsid w:val="00DB5FEB"/>
    <w:rsid w:val="00DB6400"/>
    <w:rsid w:val="00DB7784"/>
    <w:rsid w:val="00DB7E5C"/>
    <w:rsid w:val="00DD25A4"/>
    <w:rsid w:val="00DD2CF0"/>
    <w:rsid w:val="00DE1119"/>
    <w:rsid w:val="00DE7EB8"/>
    <w:rsid w:val="00DF7B96"/>
    <w:rsid w:val="00E02152"/>
    <w:rsid w:val="00E10179"/>
    <w:rsid w:val="00E2045C"/>
    <w:rsid w:val="00E21F5F"/>
    <w:rsid w:val="00E23C9E"/>
    <w:rsid w:val="00E250C7"/>
    <w:rsid w:val="00E25900"/>
    <w:rsid w:val="00E26883"/>
    <w:rsid w:val="00E27281"/>
    <w:rsid w:val="00E3671F"/>
    <w:rsid w:val="00E416F6"/>
    <w:rsid w:val="00E417C5"/>
    <w:rsid w:val="00E449A9"/>
    <w:rsid w:val="00E45EDC"/>
    <w:rsid w:val="00E55124"/>
    <w:rsid w:val="00E665BC"/>
    <w:rsid w:val="00E70F11"/>
    <w:rsid w:val="00E9374C"/>
    <w:rsid w:val="00E97D42"/>
    <w:rsid w:val="00EA6646"/>
    <w:rsid w:val="00EB213C"/>
    <w:rsid w:val="00EB25F5"/>
    <w:rsid w:val="00EB35E0"/>
    <w:rsid w:val="00ED1F3C"/>
    <w:rsid w:val="00ED2663"/>
    <w:rsid w:val="00ED2AE9"/>
    <w:rsid w:val="00ED55C7"/>
    <w:rsid w:val="00EE20A9"/>
    <w:rsid w:val="00EE72A8"/>
    <w:rsid w:val="00EF2F66"/>
    <w:rsid w:val="00EF5DE9"/>
    <w:rsid w:val="00F000E9"/>
    <w:rsid w:val="00F0280D"/>
    <w:rsid w:val="00F13D44"/>
    <w:rsid w:val="00F14660"/>
    <w:rsid w:val="00F21272"/>
    <w:rsid w:val="00F27A73"/>
    <w:rsid w:val="00F40DF1"/>
    <w:rsid w:val="00F42F36"/>
    <w:rsid w:val="00F45C68"/>
    <w:rsid w:val="00F51D2F"/>
    <w:rsid w:val="00F520AA"/>
    <w:rsid w:val="00F60BA3"/>
    <w:rsid w:val="00F62422"/>
    <w:rsid w:val="00F64F87"/>
    <w:rsid w:val="00F75B05"/>
    <w:rsid w:val="00F92F1A"/>
    <w:rsid w:val="00FB0419"/>
    <w:rsid w:val="00FC5C57"/>
    <w:rsid w:val="00FD2D27"/>
    <w:rsid w:val="00FD34FD"/>
    <w:rsid w:val="00FD4949"/>
    <w:rsid w:val="00FE2595"/>
    <w:rsid w:val="00FE51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20D"/>
    <w:rPr>
      <w:rFonts w:ascii="Times New Roman" w:eastAsia="Times New Roman" w:hAnsi="Times New Roman" w:cs="Times New Roman"/>
      <w:lang w:val="es-ES_tradnl" w:eastAsia="es-ES_tradnl"/>
    </w:rPr>
  </w:style>
  <w:style w:type="paragraph" w:styleId="Heading1">
    <w:name w:val="heading 1"/>
    <w:basedOn w:val="Normal"/>
    <w:next w:val="Normal"/>
    <w:link w:val="Heading1Char"/>
    <w:uiPriority w:val="9"/>
    <w:qFormat/>
    <w:rsid w:val="001E520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9F5D81"/>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HeaderChar">
    <w:name w:val="Header Char"/>
    <w:basedOn w:val="DefaultParagraphFont"/>
    <w:link w:val="Header"/>
    <w:uiPriority w:val="99"/>
    <w:rsid w:val="00C413D4"/>
  </w:style>
  <w:style w:type="paragraph" w:styleId="Footer">
    <w:name w:val="footer"/>
    <w:basedOn w:val="Normal"/>
    <w:link w:val="Footer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FooterChar">
    <w:name w:val="Footer Char"/>
    <w:basedOn w:val="DefaultParagraphFont"/>
    <w:link w:val="Footer"/>
    <w:uiPriority w:val="99"/>
    <w:rsid w:val="00C413D4"/>
  </w:style>
  <w:style w:type="character" w:customStyle="1" w:styleId="label3">
    <w:name w:val="label3"/>
    <w:basedOn w:val="DefaultParagraphFont"/>
    <w:rsid w:val="00C413D4"/>
  </w:style>
  <w:style w:type="paragraph" w:styleId="FootnoteText">
    <w:name w:val="footnote text"/>
    <w:basedOn w:val="Normal"/>
    <w:link w:val="FootnoteTextChar"/>
    <w:uiPriority w:val="99"/>
    <w:semiHidden/>
    <w:unhideWhenUsed/>
    <w:rsid w:val="00C413D4"/>
    <w:rPr>
      <w:sz w:val="20"/>
      <w:szCs w:val="20"/>
    </w:rPr>
  </w:style>
  <w:style w:type="character" w:customStyle="1" w:styleId="FootnoteTextChar">
    <w:name w:val="Footnote Text Char"/>
    <w:basedOn w:val="DefaultParagraphFont"/>
    <w:link w:val="FootnoteText"/>
    <w:uiPriority w:val="99"/>
    <w:semiHidden/>
    <w:rsid w:val="00C413D4"/>
    <w:rPr>
      <w:rFonts w:ascii="Times New Roman" w:eastAsia="Times New Roman" w:hAnsi="Times New Roman" w:cs="Times New Roman"/>
      <w:sz w:val="20"/>
      <w:szCs w:val="20"/>
      <w:lang w:val="es-ES_tradnl" w:eastAsia="es-ES_tradnl"/>
    </w:rPr>
  </w:style>
  <w:style w:type="character" w:styleId="FootnoteReference">
    <w:name w:val="footnote reference"/>
    <w:basedOn w:val="DefaultParagraphFont"/>
    <w:uiPriority w:val="99"/>
    <w:semiHidden/>
    <w:unhideWhenUsed/>
    <w:rsid w:val="00C413D4"/>
    <w:rPr>
      <w:vertAlign w:val="superscript"/>
    </w:rPr>
  </w:style>
  <w:style w:type="character" w:styleId="PageNumber">
    <w:name w:val="page number"/>
    <w:basedOn w:val="DefaultParagraphFont"/>
    <w:uiPriority w:val="99"/>
    <w:semiHidden/>
    <w:unhideWhenUsed/>
    <w:rsid w:val="00C413D4"/>
  </w:style>
  <w:style w:type="paragraph" w:styleId="BodyText">
    <w:name w:val="Body Text"/>
    <w:basedOn w:val="Normal"/>
    <w:link w:val="BodyTextChar"/>
    <w:rsid w:val="006F7E7E"/>
    <w:pPr>
      <w:spacing w:line="480" w:lineRule="auto"/>
      <w:ind w:firstLine="540"/>
    </w:pPr>
    <w:rPr>
      <w:szCs w:val="20"/>
      <w:lang w:val="en-US" w:eastAsia="en-US"/>
    </w:rPr>
  </w:style>
  <w:style w:type="character" w:customStyle="1" w:styleId="BodyTextChar">
    <w:name w:val="Body Text Char"/>
    <w:basedOn w:val="DefaultParagraphFont"/>
    <w:link w:val="BodyText"/>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EndnoteText">
    <w:name w:val="endnote text"/>
    <w:basedOn w:val="Normal"/>
    <w:link w:val="EndnoteTextChar"/>
    <w:uiPriority w:val="99"/>
    <w:semiHidden/>
    <w:unhideWhenUsed/>
    <w:rsid w:val="007A7C7C"/>
    <w:rPr>
      <w:sz w:val="20"/>
      <w:szCs w:val="20"/>
    </w:rPr>
  </w:style>
  <w:style w:type="character" w:customStyle="1" w:styleId="EndnoteTextChar">
    <w:name w:val="Endnote Text Char"/>
    <w:basedOn w:val="DefaultParagraphFont"/>
    <w:link w:val="EndnoteText"/>
    <w:uiPriority w:val="99"/>
    <w:semiHidden/>
    <w:rsid w:val="007A7C7C"/>
    <w:rPr>
      <w:rFonts w:ascii="Times New Roman" w:eastAsia="Times New Roman" w:hAnsi="Times New Roman" w:cs="Times New Roman"/>
      <w:sz w:val="20"/>
      <w:szCs w:val="20"/>
      <w:lang w:val="es-ES_tradnl" w:eastAsia="es-ES_tradnl"/>
    </w:rPr>
  </w:style>
  <w:style w:type="character" w:styleId="EndnoteReference">
    <w:name w:val="endnote reference"/>
    <w:basedOn w:val="DefaultParagraphFont"/>
    <w:uiPriority w:val="99"/>
    <w:semiHidden/>
    <w:unhideWhenUsed/>
    <w:rsid w:val="007A7C7C"/>
    <w:rPr>
      <w:vertAlign w:val="superscript"/>
    </w:rPr>
  </w:style>
  <w:style w:type="character" w:styleId="Hyperlink">
    <w:name w:val="Hyperlink"/>
    <w:basedOn w:val="DefaultParagraphFont"/>
    <w:uiPriority w:val="99"/>
    <w:unhideWhenUsed/>
    <w:rsid w:val="00B6522A"/>
    <w:rPr>
      <w:color w:val="0000FF"/>
      <w:u w:val="single"/>
    </w:rPr>
  </w:style>
  <w:style w:type="paragraph" w:styleId="BalloonText">
    <w:name w:val="Balloon Text"/>
    <w:basedOn w:val="Normal"/>
    <w:link w:val="BalloonTextChar"/>
    <w:uiPriority w:val="99"/>
    <w:semiHidden/>
    <w:unhideWhenUsed/>
    <w:rsid w:val="00FB0419"/>
    <w:rPr>
      <w:sz w:val="18"/>
      <w:szCs w:val="18"/>
    </w:rPr>
  </w:style>
  <w:style w:type="character" w:customStyle="1" w:styleId="BalloonTextChar">
    <w:name w:val="Balloon Text Char"/>
    <w:basedOn w:val="DefaultParagraphFont"/>
    <w:link w:val="BalloonText"/>
    <w:uiPriority w:val="99"/>
    <w:semiHidden/>
    <w:rsid w:val="00FB0419"/>
    <w:rPr>
      <w:rFonts w:ascii="Times New Roman" w:eastAsia="Times New Roman" w:hAnsi="Times New Roman" w:cs="Times New Roman"/>
      <w:sz w:val="18"/>
      <w:szCs w:val="18"/>
      <w:lang w:val="es-ES_tradnl" w:eastAsia="es-ES_tradnl"/>
    </w:rPr>
  </w:style>
  <w:style w:type="table" w:styleId="TableGrid">
    <w:name w:val="Table Grid"/>
    <w:basedOn w:val="Table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BF42D4"/>
    <w:pPr>
      <w:spacing w:line="360" w:lineRule="auto"/>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0255D7"/>
    <w:pPr>
      <w:spacing w:line="360" w:lineRule="auto"/>
      <w:jc w:val="center"/>
      <w:outlineLvl w:val="0"/>
    </w:pPr>
    <w:rPr>
      <w:noProof/>
      <w:lang w:val="en-US"/>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DefaultParagraphFont"/>
    <w:link w:val="Ttulosinternos"/>
    <w:rsid w:val="00BF42D4"/>
    <w:rPr>
      <w:rFonts w:ascii="Times New Roman" w:eastAsia="Times New Roman" w:hAnsi="Times New Roman" w:cs="Times New Roman"/>
      <w:b/>
    </w:rPr>
  </w:style>
  <w:style w:type="character" w:customStyle="1" w:styleId="Heading2Char">
    <w:name w:val="Heading 2 Char"/>
    <w:basedOn w:val="DefaultParagraphFont"/>
    <w:link w:val="Heading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DefaultParagraphFont"/>
    <w:link w:val="Titulodeartculo"/>
    <w:rsid w:val="000255D7"/>
    <w:rPr>
      <w:rFonts w:ascii="Times New Roman" w:eastAsia="Times New Roman" w:hAnsi="Times New Roman" w:cs="Times New Roman"/>
      <w:noProof/>
      <w:lang w:eastAsia="es-ES_tradnl"/>
    </w:rPr>
  </w:style>
  <w:style w:type="character" w:customStyle="1" w:styleId="TtuloprincipiodeartculoCar">
    <w:name w:val="Título principio de artículo Car"/>
    <w:basedOn w:val="DefaultParagraphFont"/>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DefaultParagraphFont"/>
    <w:link w:val="TtuloResumen"/>
    <w:rsid w:val="00C43335"/>
    <w:rPr>
      <w:rFonts w:ascii="Times New Roman" w:eastAsia="Times New Roman" w:hAnsi="Times New Roman" w:cs="Times New Roman"/>
      <w:b/>
      <w:smallCaps/>
      <w:sz w:val="20"/>
      <w:szCs w:val="20"/>
      <w:lang w:val="pt-BR" w:eastAsia="es-ES_tradnl"/>
    </w:rPr>
  </w:style>
  <w:style w:type="character" w:styleId="UnresolvedMention">
    <w:name w:val="Unresolved Mention"/>
    <w:basedOn w:val="DefaultParagraphFont"/>
    <w:uiPriority w:val="99"/>
    <w:semiHidden/>
    <w:unhideWhenUsed/>
    <w:rsid w:val="00EB213C"/>
    <w:rPr>
      <w:color w:val="605E5C"/>
      <w:shd w:val="clear" w:color="auto" w:fill="E1DFDD"/>
    </w:rPr>
  </w:style>
  <w:style w:type="paragraph" w:styleId="NormalWeb">
    <w:name w:val="Normal (Web)"/>
    <w:basedOn w:val="Normal"/>
    <w:uiPriority w:val="99"/>
    <w:unhideWhenUsed/>
    <w:rsid w:val="0048651A"/>
  </w:style>
  <w:style w:type="table" w:styleId="PlainTable2">
    <w:name w:val="Plain Table 2"/>
    <w:basedOn w:val="TableNormal"/>
    <w:uiPriority w:val="99"/>
    <w:rsid w:val="00E23C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6Colorful-Accent3">
    <w:name w:val="List Table 6 Colorful Accent 3"/>
    <w:basedOn w:val="TableNormal"/>
    <w:uiPriority w:val="51"/>
    <w:rsid w:val="00E23C9E"/>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1Light">
    <w:name w:val="Grid Table 1 Light"/>
    <w:basedOn w:val="TableNormal"/>
    <w:uiPriority w:val="99"/>
    <w:rsid w:val="00E23C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4">
    <w:name w:val="Plain Table 4"/>
    <w:basedOn w:val="TableNormal"/>
    <w:uiPriority w:val="99"/>
    <w:rsid w:val="00E23C9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99"/>
    <w:rsid w:val="00E23C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1">
    <w:name w:val="Table Normal1"/>
    <w:rsid w:val="00F92F1A"/>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val="0"/>
      <w:lang w:val="es-AR" w:eastAsia="en-US"/>
    </w:rPr>
  </w:style>
  <w:style w:type="character" w:customStyle="1" w:styleId="SubtituloInterno1Car">
    <w:name w:val="Subtitulo Interno 1 Car"/>
    <w:basedOn w:val="DefaultParagraphFont"/>
    <w:link w:val="SubtituloInterno1"/>
    <w:rsid w:val="00DE7EB8"/>
    <w:rPr>
      <w:rFonts w:ascii="Times New Roman" w:eastAsia="Times New Roman" w:hAnsi="Times New Roman" w:cs="Times New Roman"/>
      <w:i/>
      <w:lang w:val="es-AR"/>
    </w:rPr>
  </w:style>
  <w:style w:type="character" w:styleId="CommentReference">
    <w:name w:val="annotation reference"/>
    <w:basedOn w:val="DefaultParagraphFont"/>
    <w:uiPriority w:val="99"/>
    <w:semiHidden/>
    <w:unhideWhenUsed/>
    <w:rsid w:val="002054D5"/>
    <w:rPr>
      <w:sz w:val="16"/>
      <w:szCs w:val="16"/>
    </w:rPr>
  </w:style>
  <w:style w:type="character" w:customStyle="1" w:styleId="Heading5Char">
    <w:name w:val="Heading 5 Char"/>
    <w:basedOn w:val="DefaultParagraphFont"/>
    <w:link w:val="Heading5"/>
    <w:uiPriority w:val="9"/>
    <w:rsid w:val="009F5D81"/>
    <w:rPr>
      <w:rFonts w:asciiTheme="majorHAnsi" w:eastAsiaTheme="majorEastAsia" w:hAnsiTheme="majorHAnsi" w:cstheme="majorBidi"/>
      <w:color w:val="2F5496" w:themeColor="accent1" w:themeShade="BF"/>
      <w:lang w:val="es-ES_tradnl" w:eastAsia="es-ES_tradnl"/>
    </w:rPr>
  </w:style>
  <w:style w:type="character" w:customStyle="1" w:styleId="hgkelc">
    <w:name w:val="hgkelc"/>
    <w:basedOn w:val="DefaultParagraphFont"/>
    <w:rsid w:val="00727BDE"/>
  </w:style>
  <w:style w:type="paragraph" w:styleId="ListParagraph">
    <w:name w:val="List Paragraph"/>
    <w:basedOn w:val="Normal"/>
    <w:uiPriority w:val="34"/>
    <w:qFormat/>
    <w:rsid w:val="00441D67"/>
    <w:pPr>
      <w:autoSpaceDE w:val="0"/>
      <w:autoSpaceDN w:val="0"/>
      <w:adjustRightInd w:val="0"/>
      <w:ind w:left="720"/>
      <w:contextualSpacing/>
    </w:pPr>
    <w:rPr>
      <w:rFonts w:asciiTheme="minorHAnsi" w:eastAsiaTheme="minorHAnsi" w:hAnsiTheme="minorHAnsi" w:cstheme="minorBidi"/>
      <w:color w:val="000000"/>
      <w:lang w:val="en-US" w:eastAsia="en-US"/>
    </w:rPr>
  </w:style>
  <w:style w:type="character" w:styleId="Emphasis">
    <w:name w:val="Emphasis"/>
    <w:basedOn w:val="DefaultParagraphFont"/>
    <w:uiPriority w:val="20"/>
    <w:qFormat/>
    <w:rsid w:val="00FE2595"/>
    <w:rPr>
      <w:i/>
      <w:iC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s-ES_tradnl" w:eastAsia="es-ES_tradnl"/>
    </w:rPr>
  </w:style>
  <w:style w:type="paragraph" w:styleId="Revision">
    <w:name w:val="Revision"/>
    <w:hidden/>
    <w:uiPriority w:val="99"/>
    <w:semiHidden/>
    <w:rsid w:val="00E417C5"/>
    <w:rPr>
      <w:rFonts w:ascii="Times New Roman" w:eastAsia="Times New Roman" w:hAnsi="Times New Roman" w:cs="Times New Roman"/>
      <w:lang w:val="es-ES_tradnl" w:eastAsia="es-ES_tradnl"/>
    </w:rPr>
  </w:style>
  <w:style w:type="paragraph" w:styleId="CommentSubject">
    <w:name w:val="annotation subject"/>
    <w:basedOn w:val="CommentText"/>
    <w:next w:val="CommentText"/>
    <w:link w:val="CommentSubjectChar"/>
    <w:uiPriority w:val="99"/>
    <w:semiHidden/>
    <w:unhideWhenUsed/>
    <w:rsid w:val="00AC41F1"/>
    <w:rPr>
      <w:b/>
      <w:bCs/>
    </w:rPr>
  </w:style>
  <w:style w:type="character" w:customStyle="1" w:styleId="CommentSubjectChar">
    <w:name w:val="Comment Subject Char"/>
    <w:basedOn w:val="CommentTextChar"/>
    <w:link w:val="CommentSubject"/>
    <w:uiPriority w:val="99"/>
    <w:semiHidden/>
    <w:rsid w:val="00AC41F1"/>
    <w:rPr>
      <w:rFonts w:ascii="Times New Roman" w:eastAsia="Times New Roman" w:hAnsi="Times New Roman" w:cs="Times New Roman"/>
      <w:b/>
      <w:bCs/>
      <w:sz w:val="20"/>
      <w:szCs w:val="20"/>
      <w:lang w:val="es-ES_tradnl" w:eastAsia="es-ES_tradnl"/>
    </w:rPr>
  </w:style>
  <w:style w:type="table" w:customStyle="1" w:styleId="TableGrid1">
    <w:name w:val="Table Grid1"/>
    <w:basedOn w:val="TableNormal"/>
    <w:next w:val="TableGrid"/>
    <w:uiPriority w:val="39"/>
    <w:rsid w:val="00890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E520D"/>
    <w:rPr>
      <w:rFonts w:asciiTheme="majorHAnsi" w:eastAsiaTheme="majorEastAsia" w:hAnsiTheme="majorHAnsi" w:cstheme="majorBidi"/>
      <w:color w:val="2F5496" w:themeColor="accent1" w:themeShade="BF"/>
      <w:sz w:val="32"/>
      <w:szCs w:val="32"/>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85856614">
      <w:bodyDiv w:val="1"/>
      <w:marLeft w:val="0"/>
      <w:marRight w:val="0"/>
      <w:marTop w:val="0"/>
      <w:marBottom w:val="0"/>
      <w:divBdr>
        <w:top w:val="none" w:sz="0" w:space="0" w:color="auto"/>
        <w:left w:val="none" w:sz="0" w:space="0" w:color="auto"/>
        <w:bottom w:val="none" w:sz="0" w:space="0" w:color="auto"/>
        <w:right w:val="none" w:sz="0" w:space="0" w:color="auto"/>
      </w:divBdr>
      <w:divsChild>
        <w:div w:id="617492720">
          <w:marLeft w:val="0"/>
          <w:marRight w:val="0"/>
          <w:marTop w:val="0"/>
          <w:marBottom w:val="0"/>
          <w:divBdr>
            <w:top w:val="none" w:sz="0" w:space="0" w:color="auto"/>
            <w:left w:val="none" w:sz="0" w:space="0" w:color="auto"/>
            <w:bottom w:val="none" w:sz="0" w:space="0" w:color="auto"/>
            <w:right w:val="none" w:sz="0" w:space="0" w:color="auto"/>
          </w:divBdr>
          <w:divsChild>
            <w:div w:id="816919476">
              <w:marLeft w:val="0"/>
              <w:marRight w:val="0"/>
              <w:marTop w:val="0"/>
              <w:marBottom w:val="0"/>
              <w:divBdr>
                <w:top w:val="none" w:sz="0" w:space="0" w:color="auto"/>
                <w:left w:val="none" w:sz="0" w:space="0" w:color="auto"/>
                <w:bottom w:val="none" w:sz="0" w:space="0" w:color="auto"/>
                <w:right w:val="none" w:sz="0" w:space="0" w:color="auto"/>
              </w:divBdr>
              <w:divsChild>
                <w:div w:id="206302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07025">
      <w:bodyDiv w:val="1"/>
      <w:marLeft w:val="0"/>
      <w:marRight w:val="0"/>
      <w:marTop w:val="0"/>
      <w:marBottom w:val="0"/>
      <w:divBdr>
        <w:top w:val="none" w:sz="0" w:space="0" w:color="auto"/>
        <w:left w:val="none" w:sz="0" w:space="0" w:color="auto"/>
        <w:bottom w:val="none" w:sz="0" w:space="0" w:color="auto"/>
        <w:right w:val="none" w:sz="0" w:space="0" w:color="auto"/>
      </w:divBdr>
      <w:divsChild>
        <w:div w:id="1539314589">
          <w:marLeft w:val="0"/>
          <w:marRight w:val="0"/>
          <w:marTop w:val="0"/>
          <w:marBottom w:val="0"/>
          <w:divBdr>
            <w:top w:val="none" w:sz="0" w:space="0" w:color="auto"/>
            <w:left w:val="none" w:sz="0" w:space="0" w:color="auto"/>
            <w:bottom w:val="none" w:sz="0" w:space="0" w:color="auto"/>
            <w:right w:val="none" w:sz="0" w:space="0" w:color="auto"/>
          </w:divBdr>
          <w:divsChild>
            <w:div w:id="1884900653">
              <w:marLeft w:val="0"/>
              <w:marRight w:val="0"/>
              <w:marTop w:val="0"/>
              <w:marBottom w:val="0"/>
              <w:divBdr>
                <w:top w:val="none" w:sz="0" w:space="0" w:color="auto"/>
                <w:left w:val="none" w:sz="0" w:space="0" w:color="auto"/>
                <w:bottom w:val="none" w:sz="0" w:space="0" w:color="auto"/>
                <w:right w:val="none" w:sz="0" w:space="0" w:color="auto"/>
              </w:divBdr>
              <w:divsChild>
                <w:div w:id="50339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291205866">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537595148">
      <w:bodyDiv w:val="1"/>
      <w:marLeft w:val="0"/>
      <w:marRight w:val="0"/>
      <w:marTop w:val="0"/>
      <w:marBottom w:val="0"/>
      <w:divBdr>
        <w:top w:val="none" w:sz="0" w:space="0" w:color="auto"/>
        <w:left w:val="none" w:sz="0" w:space="0" w:color="auto"/>
        <w:bottom w:val="none" w:sz="0" w:space="0" w:color="auto"/>
        <w:right w:val="none" w:sz="0" w:space="0" w:color="auto"/>
      </w:divBdr>
      <w:divsChild>
        <w:div w:id="481774872">
          <w:marLeft w:val="0"/>
          <w:marRight w:val="0"/>
          <w:marTop w:val="0"/>
          <w:marBottom w:val="0"/>
          <w:divBdr>
            <w:top w:val="none" w:sz="0" w:space="0" w:color="auto"/>
            <w:left w:val="none" w:sz="0" w:space="0" w:color="auto"/>
            <w:bottom w:val="none" w:sz="0" w:space="0" w:color="auto"/>
            <w:right w:val="none" w:sz="0" w:space="0" w:color="auto"/>
          </w:divBdr>
        </w:div>
      </w:divsChild>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395850">
      <w:bodyDiv w:val="1"/>
      <w:marLeft w:val="0"/>
      <w:marRight w:val="0"/>
      <w:marTop w:val="0"/>
      <w:marBottom w:val="0"/>
      <w:divBdr>
        <w:top w:val="none" w:sz="0" w:space="0" w:color="auto"/>
        <w:left w:val="none" w:sz="0" w:space="0" w:color="auto"/>
        <w:bottom w:val="none" w:sz="0" w:space="0" w:color="auto"/>
        <w:right w:val="none" w:sz="0" w:space="0" w:color="auto"/>
      </w:divBdr>
      <w:divsChild>
        <w:div w:id="1503816796">
          <w:marLeft w:val="0"/>
          <w:marRight w:val="0"/>
          <w:marTop w:val="0"/>
          <w:marBottom w:val="0"/>
          <w:divBdr>
            <w:top w:val="none" w:sz="0" w:space="0" w:color="auto"/>
            <w:left w:val="none" w:sz="0" w:space="0" w:color="auto"/>
            <w:bottom w:val="none" w:sz="0" w:space="0" w:color="auto"/>
            <w:right w:val="none" w:sz="0" w:space="0" w:color="auto"/>
          </w:divBdr>
        </w:div>
      </w:divsChild>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642006847">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14178275">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983896630">
      <w:bodyDiv w:val="1"/>
      <w:marLeft w:val="0"/>
      <w:marRight w:val="0"/>
      <w:marTop w:val="0"/>
      <w:marBottom w:val="0"/>
      <w:divBdr>
        <w:top w:val="none" w:sz="0" w:space="0" w:color="auto"/>
        <w:left w:val="none" w:sz="0" w:space="0" w:color="auto"/>
        <w:bottom w:val="none" w:sz="0" w:space="0" w:color="auto"/>
        <w:right w:val="none" w:sz="0" w:space="0" w:color="auto"/>
      </w:divBdr>
      <w:divsChild>
        <w:div w:id="32850313">
          <w:marLeft w:val="0"/>
          <w:marRight w:val="0"/>
          <w:marTop w:val="0"/>
          <w:marBottom w:val="0"/>
          <w:divBdr>
            <w:top w:val="none" w:sz="0" w:space="0" w:color="auto"/>
            <w:left w:val="none" w:sz="0" w:space="0" w:color="auto"/>
            <w:bottom w:val="none" w:sz="0" w:space="0" w:color="auto"/>
            <w:right w:val="none" w:sz="0" w:space="0" w:color="auto"/>
          </w:divBdr>
          <w:divsChild>
            <w:div w:id="2121531842">
              <w:marLeft w:val="0"/>
              <w:marRight w:val="0"/>
              <w:marTop w:val="0"/>
              <w:marBottom w:val="0"/>
              <w:divBdr>
                <w:top w:val="none" w:sz="0" w:space="0" w:color="auto"/>
                <w:left w:val="none" w:sz="0" w:space="0" w:color="auto"/>
                <w:bottom w:val="none" w:sz="0" w:space="0" w:color="auto"/>
                <w:right w:val="none" w:sz="0" w:space="0" w:color="auto"/>
              </w:divBdr>
              <w:divsChild>
                <w:div w:id="8649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33132652">
      <w:bodyDiv w:val="1"/>
      <w:marLeft w:val="0"/>
      <w:marRight w:val="0"/>
      <w:marTop w:val="0"/>
      <w:marBottom w:val="0"/>
      <w:divBdr>
        <w:top w:val="none" w:sz="0" w:space="0" w:color="auto"/>
        <w:left w:val="none" w:sz="0" w:space="0" w:color="auto"/>
        <w:bottom w:val="none" w:sz="0" w:space="0" w:color="auto"/>
        <w:right w:val="none" w:sz="0" w:space="0" w:color="auto"/>
      </w:divBdr>
      <w:divsChild>
        <w:div w:id="1799834381">
          <w:marLeft w:val="0"/>
          <w:marRight w:val="0"/>
          <w:marTop w:val="0"/>
          <w:marBottom w:val="0"/>
          <w:divBdr>
            <w:top w:val="none" w:sz="0" w:space="0" w:color="auto"/>
            <w:left w:val="none" w:sz="0" w:space="0" w:color="auto"/>
            <w:bottom w:val="none" w:sz="0" w:space="0" w:color="auto"/>
            <w:right w:val="none" w:sz="0" w:space="0" w:color="auto"/>
          </w:divBdr>
        </w:div>
      </w:divsChild>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65125519">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265655613">
      <w:bodyDiv w:val="1"/>
      <w:marLeft w:val="0"/>
      <w:marRight w:val="0"/>
      <w:marTop w:val="0"/>
      <w:marBottom w:val="0"/>
      <w:divBdr>
        <w:top w:val="none" w:sz="0" w:space="0" w:color="auto"/>
        <w:left w:val="none" w:sz="0" w:space="0" w:color="auto"/>
        <w:bottom w:val="none" w:sz="0" w:space="0" w:color="auto"/>
        <w:right w:val="none" w:sz="0" w:space="0" w:color="auto"/>
      </w:divBdr>
    </w:div>
    <w:div w:id="1310020690">
      <w:bodyDiv w:val="1"/>
      <w:marLeft w:val="0"/>
      <w:marRight w:val="0"/>
      <w:marTop w:val="0"/>
      <w:marBottom w:val="0"/>
      <w:divBdr>
        <w:top w:val="none" w:sz="0" w:space="0" w:color="auto"/>
        <w:left w:val="none" w:sz="0" w:space="0" w:color="auto"/>
        <w:bottom w:val="none" w:sz="0" w:space="0" w:color="auto"/>
        <w:right w:val="none" w:sz="0" w:space="0" w:color="auto"/>
      </w:divBdr>
    </w:div>
    <w:div w:id="1322461065">
      <w:bodyDiv w:val="1"/>
      <w:marLeft w:val="0"/>
      <w:marRight w:val="0"/>
      <w:marTop w:val="0"/>
      <w:marBottom w:val="0"/>
      <w:divBdr>
        <w:top w:val="none" w:sz="0" w:space="0" w:color="auto"/>
        <w:left w:val="none" w:sz="0" w:space="0" w:color="auto"/>
        <w:bottom w:val="none" w:sz="0" w:space="0" w:color="auto"/>
        <w:right w:val="none" w:sz="0" w:space="0" w:color="auto"/>
      </w:divBdr>
      <w:divsChild>
        <w:div w:id="2070303512">
          <w:marLeft w:val="0"/>
          <w:marRight w:val="0"/>
          <w:marTop w:val="0"/>
          <w:marBottom w:val="0"/>
          <w:divBdr>
            <w:top w:val="none" w:sz="0" w:space="0" w:color="auto"/>
            <w:left w:val="none" w:sz="0" w:space="0" w:color="auto"/>
            <w:bottom w:val="none" w:sz="0" w:space="0" w:color="auto"/>
            <w:right w:val="none" w:sz="0" w:space="0" w:color="auto"/>
          </w:divBdr>
          <w:divsChild>
            <w:div w:id="156691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981918">
      <w:bodyDiv w:val="1"/>
      <w:marLeft w:val="0"/>
      <w:marRight w:val="0"/>
      <w:marTop w:val="0"/>
      <w:marBottom w:val="0"/>
      <w:divBdr>
        <w:top w:val="none" w:sz="0" w:space="0" w:color="auto"/>
        <w:left w:val="none" w:sz="0" w:space="0" w:color="auto"/>
        <w:bottom w:val="none" w:sz="0" w:space="0" w:color="auto"/>
        <w:right w:val="none" w:sz="0" w:space="0" w:color="auto"/>
      </w:divBdr>
      <w:divsChild>
        <w:div w:id="854928963">
          <w:marLeft w:val="0"/>
          <w:marRight w:val="0"/>
          <w:marTop w:val="0"/>
          <w:marBottom w:val="0"/>
          <w:divBdr>
            <w:top w:val="none" w:sz="0" w:space="0" w:color="auto"/>
            <w:left w:val="none" w:sz="0" w:space="0" w:color="auto"/>
            <w:bottom w:val="none" w:sz="0" w:space="0" w:color="auto"/>
            <w:right w:val="none" w:sz="0" w:space="0" w:color="auto"/>
          </w:divBdr>
        </w:div>
      </w:divsChild>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524593999">
      <w:bodyDiv w:val="1"/>
      <w:marLeft w:val="0"/>
      <w:marRight w:val="0"/>
      <w:marTop w:val="0"/>
      <w:marBottom w:val="0"/>
      <w:divBdr>
        <w:top w:val="none" w:sz="0" w:space="0" w:color="auto"/>
        <w:left w:val="none" w:sz="0" w:space="0" w:color="auto"/>
        <w:bottom w:val="none" w:sz="0" w:space="0" w:color="auto"/>
        <w:right w:val="none" w:sz="0" w:space="0" w:color="auto"/>
      </w:divBdr>
      <w:divsChild>
        <w:div w:id="608854449">
          <w:marLeft w:val="0"/>
          <w:marRight w:val="0"/>
          <w:marTop w:val="0"/>
          <w:marBottom w:val="0"/>
          <w:divBdr>
            <w:top w:val="none" w:sz="0" w:space="0" w:color="auto"/>
            <w:left w:val="none" w:sz="0" w:space="0" w:color="auto"/>
            <w:bottom w:val="none" w:sz="0" w:space="0" w:color="auto"/>
            <w:right w:val="none" w:sz="0" w:space="0" w:color="auto"/>
          </w:divBdr>
          <w:divsChild>
            <w:div w:id="1182476642">
              <w:marLeft w:val="0"/>
              <w:marRight w:val="0"/>
              <w:marTop w:val="0"/>
              <w:marBottom w:val="0"/>
              <w:divBdr>
                <w:top w:val="none" w:sz="0" w:space="0" w:color="auto"/>
                <w:left w:val="none" w:sz="0" w:space="0" w:color="auto"/>
                <w:bottom w:val="none" w:sz="0" w:space="0" w:color="auto"/>
                <w:right w:val="none" w:sz="0" w:space="0" w:color="auto"/>
              </w:divBdr>
              <w:divsChild>
                <w:div w:id="99001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62021507">
      <w:bodyDiv w:val="1"/>
      <w:marLeft w:val="0"/>
      <w:marRight w:val="0"/>
      <w:marTop w:val="0"/>
      <w:marBottom w:val="0"/>
      <w:divBdr>
        <w:top w:val="none" w:sz="0" w:space="0" w:color="auto"/>
        <w:left w:val="none" w:sz="0" w:space="0" w:color="auto"/>
        <w:bottom w:val="none" w:sz="0" w:space="0" w:color="auto"/>
        <w:right w:val="none" w:sz="0" w:space="0" w:color="auto"/>
      </w:divBdr>
      <w:divsChild>
        <w:div w:id="737554565">
          <w:marLeft w:val="0"/>
          <w:marRight w:val="0"/>
          <w:marTop w:val="0"/>
          <w:marBottom w:val="0"/>
          <w:divBdr>
            <w:top w:val="none" w:sz="0" w:space="0" w:color="auto"/>
            <w:left w:val="none" w:sz="0" w:space="0" w:color="auto"/>
            <w:bottom w:val="none" w:sz="0" w:space="0" w:color="auto"/>
            <w:right w:val="none" w:sz="0" w:space="0" w:color="auto"/>
          </w:divBdr>
          <w:divsChild>
            <w:div w:id="644509334">
              <w:marLeft w:val="0"/>
              <w:marRight w:val="0"/>
              <w:marTop w:val="0"/>
              <w:marBottom w:val="0"/>
              <w:divBdr>
                <w:top w:val="none" w:sz="0" w:space="0" w:color="auto"/>
                <w:left w:val="none" w:sz="0" w:space="0" w:color="auto"/>
                <w:bottom w:val="none" w:sz="0" w:space="0" w:color="auto"/>
                <w:right w:val="none" w:sz="0" w:space="0" w:color="auto"/>
              </w:divBdr>
              <w:divsChild>
                <w:div w:id="172093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142027">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73956493">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22643332">
      <w:bodyDiv w:val="1"/>
      <w:marLeft w:val="0"/>
      <w:marRight w:val="0"/>
      <w:marTop w:val="0"/>
      <w:marBottom w:val="0"/>
      <w:divBdr>
        <w:top w:val="none" w:sz="0" w:space="0" w:color="auto"/>
        <w:left w:val="none" w:sz="0" w:space="0" w:color="auto"/>
        <w:bottom w:val="none" w:sz="0" w:space="0" w:color="auto"/>
        <w:right w:val="none" w:sz="0" w:space="0" w:color="auto"/>
      </w:divBdr>
      <w:divsChild>
        <w:div w:id="1375037690">
          <w:marLeft w:val="0"/>
          <w:marRight w:val="0"/>
          <w:marTop w:val="0"/>
          <w:marBottom w:val="0"/>
          <w:divBdr>
            <w:top w:val="none" w:sz="0" w:space="0" w:color="auto"/>
            <w:left w:val="none" w:sz="0" w:space="0" w:color="auto"/>
            <w:bottom w:val="none" w:sz="0" w:space="0" w:color="auto"/>
            <w:right w:val="none" w:sz="0" w:space="0" w:color="auto"/>
          </w:divBdr>
        </w:div>
      </w:divsChild>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196137933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sych.or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sv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D33B0-915B-054D-B36D-9219832A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20</Pages>
  <Words>10414</Words>
  <Characters>59363</Characters>
  <Application>Microsoft Office Word</Application>
  <DocSecurity>0</DocSecurity>
  <Lines>494</Lines>
  <Paragraphs>139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Santos Lopez             , Janeliz</cp:lastModifiedBy>
  <cp:revision>10</cp:revision>
  <cp:lastPrinted>2020-04-16T16:22:00Z</cp:lastPrinted>
  <dcterms:created xsi:type="dcterms:W3CDTF">2024-06-19T23:01:00Z</dcterms:created>
  <dcterms:modified xsi:type="dcterms:W3CDTF">2024-06-21T00:08:00Z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623a7f-4aec-4980-abf7-42194908fdf7_Enabled">
    <vt:lpwstr>true</vt:lpwstr>
  </property>
  <property fmtid="{D5CDD505-2E9C-101B-9397-08002B2CF9AE}" pid="3" name="MSIP_Label_e8623a7f-4aec-4980-abf7-42194908fdf7_SetDate">
    <vt:lpwstr>2024-06-19T22:39:45Z</vt:lpwstr>
  </property>
  <property fmtid="{D5CDD505-2E9C-101B-9397-08002B2CF9AE}" pid="4" name="MSIP_Label_e8623a7f-4aec-4980-abf7-42194908fdf7_Method">
    <vt:lpwstr>Privileged</vt:lpwstr>
  </property>
  <property fmtid="{D5CDD505-2E9C-101B-9397-08002B2CF9AE}" pid="5" name="MSIP_Label_e8623a7f-4aec-4980-abf7-42194908fdf7_Name">
    <vt:lpwstr>e8623a7f-4aec-4980-abf7-42194908fdf7</vt:lpwstr>
  </property>
  <property fmtid="{D5CDD505-2E9C-101B-9397-08002B2CF9AE}" pid="6" name="MSIP_Label_e8623a7f-4aec-4980-abf7-42194908fdf7_SiteId">
    <vt:lpwstr>c82f2d55-67d0-4a4a-8820-2f84a18c1cdd</vt:lpwstr>
  </property>
  <property fmtid="{D5CDD505-2E9C-101B-9397-08002B2CF9AE}" pid="7" name="MSIP_Label_e8623a7f-4aec-4980-abf7-42194908fdf7_ActionId">
    <vt:lpwstr>4d6a6d65-62ec-4391-b628-24314b45c29a</vt:lpwstr>
  </property>
  <property fmtid="{D5CDD505-2E9C-101B-9397-08002B2CF9AE}" pid="8" name="MSIP_Label_e8623a7f-4aec-4980-abf7-42194908fdf7_ContentBits">
    <vt:lpwstr>0</vt:lpwstr>
  </property>
</Properties>
</file>