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9971A" w14:textId="77777777" w:rsidR="00742997" w:rsidRDefault="00382D75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Political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connections: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exploring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affective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polarization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its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influence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political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identity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dominance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09697ED" w14:textId="77777777" w:rsidR="00742997" w:rsidRDefault="00382D7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14:paraId="4C4F283A" w14:textId="77777777" w:rsidR="00742997" w:rsidRDefault="00382D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landscape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beyond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electoral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characterized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extreme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divergent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fostered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distancing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groups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Consequently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emotionally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position.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 total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Multidimensional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Feeling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Thermometer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(ANES).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hypotheses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suggest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Brazilian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z w:val="24"/>
          <w:szCs w:val="24"/>
        </w:rPr>
        <w:t>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(SDO)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prove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C71DB4" w14:textId="77777777" w:rsidR="00742997" w:rsidRDefault="00382D7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Keywords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belonging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psychology</w:t>
      </w:r>
      <w:proofErr w:type="spellEnd"/>
    </w:p>
    <w:p w14:paraId="58CB33B1" w14:textId="77777777" w:rsidR="00742997" w:rsidRDefault="0074299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8AFB13" w14:textId="77777777" w:rsidR="00742997" w:rsidRDefault="00382D75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Conexões políti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cas: explorando a polarização afetiva e sua influência na identidade política e dominância social</w:t>
      </w:r>
    </w:p>
    <w:p w14:paraId="1CCEBF5A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428FA30E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No cenário político atual, a polarização está presente para muito além de períodos eleitorais. Essa polarização, caracterizada por linhas divergentes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extremas, tem desenvolvido um afastamento social entre os grupos. Sendo assim, indivíduos que compartilham uma orientação política se sentem afetivamente distantes daqueles que não compartilham a mesma posição. Desse mod</w:t>
      </w:r>
      <w:r>
        <w:rPr>
          <w:rFonts w:ascii="Times New Roman" w:eastAsia="Times New Roman" w:hAnsi="Times New Roman" w:cs="Times New Roman"/>
          <w:sz w:val="24"/>
          <w:szCs w:val="24"/>
        </w:rPr>
        <w:t>o, o objetivo da presente pesquisa f</w:t>
      </w:r>
      <w:r>
        <w:rPr>
          <w:rFonts w:ascii="Times New Roman" w:eastAsia="Times New Roman" w:hAnsi="Times New Roman" w:cs="Times New Roman"/>
          <w:sz w:val="24"/>
          <w:szCs w:val="24"/>
        </w:rPr>
        <w:t>oi avaliar o impacto da polarização política afetiva na identidade política dos indivíduos. 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articiparam desta pesquisa 120 pessoas, que responderam um questionário online com três medidas: Escala Multidimensional de Identificação, </w:t>
      </w:r>
      <w:r>
        <w:rPr>
          <w:rFonts w:ascii="Times New Roman" w:eastAsia="Times New Roman" w:hAnsi="Times New Roman" w:cs="Times New Roman"/>
          <w:sz w:val="24"/>
          <w:szCs w:val="24"/>
        </w:rPr>
        <w:t>Escala de Orientação à D</w:t>
      </w:r>
      <w:r>
        <w:rPr>
          <w:rFonts w:ascii="Times New Roman" w:eastAsia="Times New Roman" w:hAnsi="Times New Roman" w:cs="Times New Roman"/>
          <w:sz w:val="24"/>
          <w:szCs w:val="24"/>
        </w:rPr>
        <w:t>ominância Social e o Termômetro de Sentimentos. Em tese, das hipóteses formuladas, a orientação política dos indivíduos mostrou um aspecto significativo na manifestação da polarização afetiva no atual cenário brasileiro, assim como houve interferência da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ominância Social (SDO) na manifestação da polarização. Os dados obtidos em relação à identidade social política, entretanto, não demonstraram ser significativos para essa relação. </w:t>
      </w:r>
    </w:p>
    <w:p w14:paraId="1B6F353E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Polarização; orientação política; pertença grupal; psicolog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política </w:t>
      </w:r>
    </w:p>
    <w:p w14:paraId="547483D9" w14:textId="7A72E62E" w:rsidR="00742997" w:rsidRDefault="00742997" w:rsidP="00416DD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FE532" w14:textId="77777777" w:rsidR="00416DD4" w:rsidRDefault="00416D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4F2ECE8" w14:textId="24F57756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partir do final da década de 1970 e início da década de 1980, nascia os precursores que se debruçaram para abrir novos caminhos para a disciplina de Psicologia Política e iniciaram suas atividades de pesquisa em Psicologia e Comportamento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Político (Veiga, 2017). Após esse período, inúmeros estudos foram desenvolvidos e termos como identificação social, orientação política e, o consequente desenvolvimento da polarização, se tornaram temas bastante debatidos na área. Diante desse cenário, é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essencial o entendimento de que, mesmo que muitas vezes esses fenômenos sejam tratados como correlatos, eles muito se diferem. Sendo assim, o objetivo deste artigo foi investigar a relação entre identificação social, orientação política e polarização. </w:t>
      </w:r>
    </w:p>
    <w:p w14:paraId="4677484A" w14:textId="77777777" w:rsidR="00742997" w:rsidRDefault="00742997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91D07B6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entificação Social e Política</w:t>
      </w:r>
    </w:p>
    <w:p w14:paraId="19BDC03D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posicionamento político de um indivíduo decorre dos processos de construção de uma identidade, podendo ser explicados a partir da Teoria da Identidade Social (TIS,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Turner, 1969). Ao organizar seu espaço, o indivíduo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formula um esquema classificatório, ou seja, começa a separar objetos e/ou pessoas com base em uma ou mais características comuns (Del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2003). Nessa perspectiva, o indivíduo também busca construir sua própria identidade social, que ser</w:t>
      </w:r>
      <w:r>
        <w:rPr>
          <w:rFonts w:ascii="Times New Roman" w:eastAsia="Times New Roman" w:hAnsi="Times New Roman" w:cs="Times New Roman"/>
          <w:sz w:val="24"/>
          <w:szCs w:val="24"/>
        </w:rPr>
        <w:t>ia uma forma de perceber similaridades com membros de um grupo (i.e. pessoas alinhadas a uma orientação política) ou categorias (i.e. posicionamento político)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2022). Esse processo é importante porque existe uma carga afetiva que o sentiment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de pertença ao grupo pode trazer para o indivíduo (Torres et al, 2023), dessa forma, a identidade social contribui para uma autoimagem positiva. </w:t>
      </w:r>
    </w:p>
    <w:p w14:paraId="1F84A5F3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(1969), uma vez que as pessoas passam a avaliar a si próprias em termos de suas identidades, </w:t>
      </w:r>
      <w:r>
        <w:rPr>
          <w:rFonts w:ascii="Times New Roman" w:eastAsia="Times New Roman" w:hAnsi="Times New Roman" w:cs="Times New Roman"/>
          <w:sz w:val="24"/>
          <w:szCs w:val="24"/>
        </w:rPr>
        <w:t>existe um processo de comparação social. Dependendo do contexto social, indivíduos tenderiam a diferenciar o seu grupo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endogrupo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de outros grupos (exogrupo) de maneira mais favorável. A Teoria da Identidade Social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Turner, 1986) defende que os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ndivíduos, nas suas posições e comportamentos, interpretam as informações de forma a não pôr em perigo o sistema de valores e de crenças em que eles se encontram, mesmo que isso signifique se comportar conforme o grupo, ao invés de se comportarem conforme </w:t>
      </w:r>
      <w:r>
        <w:rPr>
          <w:rFonts w:ascii="Times New Roman" w:eastAsia="Times New Roman" w:hAnsi="Times New Roman" w:cs="Times New Roman"/>
          <w:sz w:val="24"/>
          <w:szCs w:val="24"/>
        </w:rPr>
        <w:t>queiram, para se sentirem pertencentes (Torres et al, 2023). Assim, existiria uma tendência a proteger o sentimento referente à uma superioridade do seu próprio grupo em comparação a outros grupos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1969), seja supervalorizando o seu próprio grupo o</w:t>
      </w:r>
      <w:r>
        <w:rPr>
          <w:rFonts w:ascii="Times New Roman" w:eastAsia="Times New Roman" w:hAnsi="Times New Roman" w:cs="Times New Roman"/>
          <w:sz w:val="24"/>
          <w:szCs w:val="24"/>
        </w:rPr>
        <w:t>u menosprezando outros grupos sociais. No entanto, é importante salientar que essas identidades emergem em contextos que há disputas por poder entre grupos. Vale ressaltar que:</w:t>
      </w:r>
    </w:p>
    <w:p w14:paraId="3EDF2130" w14:textId="77777777" w:rsidR="00742997" w:rsidRDefault="00382D75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“os processos psicológicos que acontecem com e no indivíduo se dariam a partir </w:t>
      </w:r>
      <w:r>
        <w:rPr>
          <w:rFonts w:ascii="Times New Roman" w:eastAsia="Times New Roman" w:hAnsi="Times New Roman" w:cs="Times New Roman"/>
          <w:sz w:val="24"/>
          <w:szCs w:val="24"/>
        </w:rPr>
        <w:t>do jogo das relações de poder entre os grupos que formam uma determinada sociedade, em um determinado momento histórico” (Torres et al, 2023, p.350)</w:t>
      </w:r>
    </w:p>
    <w:p w14:paraId="1108F3F9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Nesse sentido, quando pensamos sobre o contexto político brasileiro, as identidades sociais podem ser compr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eendidas como relações de poder organizadas de acordo com princípios democráticos (Prado, 2002). Esse fenômeno compartilha parte da explicação da rivalidade entre partidos políticos. 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Mouffe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(2003), no campo da política, se presume que o “outro” não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seja visto como um inimigo a ser destruído ou algo constantemente comparado, mas como um “adversário”. Ou seja, segue a concepção de que um indivíduo possa possuir ideias diferentes, cujo direito de defender tais ideias não pode ser questionado.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Mouffe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eastAsia="Times New Roman" w:hAnsi="Times New Roman" w:cs="Times New Roman"/>
          <w:sz w:val="24"/>
          <w:szCs w:val="24"/>
        </w:rPr>
        <w:t>003), para esclarecer as bases da sua visão, explica ainda uma distinção entre o político e a política. O político se refere a grandeza do antagonismo, característico de todas as sociedades humanas, podendo assumir formas muito diferentes e aparecer em rel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ações sociais diversas. A política, de outro modo, se refere ao conjunto das práticas e discursos que visam ajustar um certo critério e organizar a convivência humana por se encontrarem constantemente em situações conflituosas provocadas pela amplitude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político.  </w:t>
      </w:r>
    </w:p>
    <w:p w14:paraId="1F846084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Seguindo esse raciocínio, uma vez que identidades políticas ficam cada vez mais fortes, levam indivíduos que compartilham uma identidade política a enxergarem seus adversários e sua ideologia como uma ameaça à sua própria existência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(Nunes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aumann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2023)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Acolher a perspectiva do adversário implica em passar por uma transformação significativa na identidade política. Desse modo, o ato de alguém 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alinhar  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esquerda ou à direita, por exemplo, pode levar a um atrito em relação ao grupo oposto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Iyengar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2012;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Iyegnar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2019).</w:t>
      </w:r>
    </w:p>
    <w:p w14:paraId="34775F40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intuito de padronizar e estabelecer novos critérios para avaliar a identificação com grupos, Leach (2008) examinou várias escalas de identificação social e desenvolveu uma medida de duas dimensões: autodefin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ição, que seria a percepção do grau de semelhança entre os indivíduos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endogrupo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auto-investimento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que caracteriza o investimento pessoal depositado num grupo ao qual o indivíduo pertence. A pesquisa inicial enfocou o fato de que a afiliação a um g</w:t>
      </w:r>
      <w:r>
        <w:rPr>
          <w:rFonts w:ascii="Times New Roman" w:eastAsia="Times New Roman" w:hAnsi="Times New Roman" w:cs="Times New Roman"/>
          <w:sz w:val="24"/>
          <w:szCs w:val="24"/>
        </w:rPr>
        <w:t>rupo possui interpretações distintas para diferentes pessoas. Dessa forma, é fundamental levar em conta os vínculos que as pessoas estabelecem com os demais integrantes do grupo. Essas conexões proporcionam um sentimento de pertencimento e fortalecem laços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emocionais (Cameron, 2004). </w:t>
      </w:r>
    </w:p>
    <w:p w14:paraId="628DF609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o que foi apresentado, a Orientação à Dominância Social (SDO) pode ser um importante preditor da orientação política. A Teoria da Dominância Social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al, 1994) sustenta a ideia que existem indivíduos que demonstram um maior apoio a sistemas hierárquicos baseado em grupos, nesse sentido as camadas superiores da sociedade são valorizadas de forma mais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significativa,controlando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recursos materiais e símbolo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pelos quais as pessoas geralmente buscam (Vilanova et al., 2022). No nível individual, a mensuração se dá por meio da “Orientação à Dominância Social”, que diferencia a criação e a manutenção de estruturas hierárquicas na sociedade, também prediz formas </w:t>
      </w:r>
      <w:r>
        <w:rPr>
          <w:rFonts w:ascii="Times New Roman" w:eastAsia="Times New Roman" w:hAnsi="Times New Roman" w:cs="Times New Roman"/>
          <w:sz w:val="24"/>
          <w:szCs w:val="24"/>
        </w:rPr>
        <w:t>de preconceito contra diversos grupos socialmente vistos como ‘marginalizados’, e assim, contribui para perpetuação da superioridade econômica e social dos grupos dominantes em relação aos grupos subjugados.</w:t>
      </w:r>
    </w:p>
    <w:p w14:paraId="7B24A4A9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 adaptar essas questões ao cenário brasileiro,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renascimento dessas identidades políticas provocou divergências ideológicas conflitantes e conseguiu mobilizar a população em torno de demandas opostas nas últimas três eleições presidenciais (2014, 2018 e 2022). Enquanto a esquerda se opunha a um proje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neoliberal, a direita construía uma narrativa de combate à corrupção em relação a um partido adversário, com discursos que demonstram o sentimento de pertença aos seus devidos grupos (Filho &amp; Modesto, 2023). </w:t>
      </w:r>
    </w:p>
    <w:p w14:paraId="47CDEF17" w14:textId="77777777" w:rsidR="00742997" w:rsidRDefault="00742997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25A1D65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Orientação política e polarização política</w:t>
      </w:r>
    </w:p>
    <w:p w14:paraId="162695F1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debate cotidiano sobre política, há diversas nomenclaturas com traços ideológicos que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moldam amplamente as opiniões e grupos. Silva (2014) nomeia essas terminologias como: </w:t>
      </w:r>
      <w:r>
        <w:rPr>
          <w:rFonts w:ascii="Times New Roman" w:eastAsia="Times New Roman" w:hAnsi="Times New Roman" w:cs="Times New Roman"/>
          <w:sz w:val="24"/>
          <w:szCs w:val="24"/>
        </w:rPr>
        <w:t>“liberal” e “socialista”, quando essa representação destaca mais os aspectos econ</w:t>
      </w:r>
      <w:r>
        <w:rPr>
          <w:rFonts w:ascii="Times New Roman" w:eastAsia="Times New Roman" w:hAnsi="Times New Roman" w:cs="Times New Roman"/>
          <w:sz w:val="24"/>
          <w:szCs w:val="24"/>
        </w:rPr>
        <w:t>ômicos da ação política; “conservador” e “liberal”, que enfatiza valores morais da ação política; e “direita” e “esquerda”, como uma nomenclatura mais abrangente. No Brasil, os indivíduos, os meios de comunicação e os políticos, predominantemente, utilizam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essa terminologia associada à uma polarização, de direita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versus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esquerda.  </w:t>
      </w:r>
    </w:p>
    <w:p w14:paraId="615307C1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Inicialmente, o uso das categorias “esquerda” e “direita” para indicar preferências políticas surgiu durante a Revolução Francesa, na qual delegados identificados com os princípios de igualitarismo e reforma social se sentavam à esquerda do rei e delegados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identificados com a aristocracia e conservadorismo, à direita (Tarouco &amp; Madeira, 2013). Segundo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Bobbio (1995), a partir daí,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ideia de direita e esquerda se tornou um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recipiente no qual foram colocadas informações abrangentes, e, assim, deixaram de ser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conceitos para se tornar palavras vulneráveis a adotar múltiplas interpretações de acordo com cada caso. </w:t>
      </w:r>
    </w:p>
    <w:p w14:paraId="495D62B6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Por outro lado, Silva (2014) estabelece que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ponto-chave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para a compreensão do que é esquerda e direita é conseguir discriminar o que qualifica um mo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vimento social de cada tipo, ou seja, qual é sua essência. Movimentos sociais podem ter como propósito, por exemplo, influenciar a formação do corpo político no governo e suas decisões, ou podem ter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uma natureza econômica ou relacionadas aos valores da soc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iedade. Mesmo assim, podem ser intrinsecamente políticos. São exatamente essas pautas que podem determinar a orientação do movimento social, classificando-o como direita ou esquerda.</w:t>
      </w:r>
    </w:p>
    <w:p w14:paraId="1EA0B3AA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É de se esperar, portanto, que quando falamos em direita e esquerda, muit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se questione sobre o que é ser de direita e o que é ser de esquerda. Cabrera (2020) compreende e analisa os princípios da esquerda como uma visão que reconhece as desigualdades e injustiças presentes nas sociedades. Aqueles que se identificam com a esque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rda enxergam o mundo como uma trajetória histórica e cultural voltada para um futuro mais igualitário, contando com as mudanças que possam ocorrer com o desenvolvimento dos indivíduos. Eles acreditam em um Estado forte, responsável pela distribuição justa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 equitativa dos recursos, impedindo a perpetuação de privilégios e um mercado com alguma intervenção do Estado. Além disso, a esquerda adota políticas de preservação do meio ambiente e das espécies animais, se opondo à exploração puramente mercantil deste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 recursos e não se baseia unicamente em busca de lucro. </w:t>
      </w:r>
    </w:p>
    <w:p w14:paraId="1619488B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 que diz respeito à direita, a vida humana não se orienta apenas para o futuro, mas está fundamentada em tradições e estilos de vida do passado, que se acumularam ao longo do tempo e servem como 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rientação para nossas vidas atuais. O Estado não deve se tornar uma entidade excessivamente poderosa, capaz de controlar as vidas humanas de forma autoritária, mas deve se limitar a gerenciar as atividades das pessoas dentro das sociedades civis. O mercado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deve ser mais livre e ter menos intervenção estatal. Além disso, a dimensão religiosa é um fator importante, que delimita um espaço sagrado, que não deve ser profanado por ações imediatas ou influenciado por ideologias seculares. Por esses e outros argume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ntos, os lados pensam de formas distintas e dificilmente podem concordar para valores em comum (Cabrera, 2020).</w:t>
      </w:r>
    </w:p>
    <w:p w14:paraId="6300B06B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contexto brasileiro, a separação entre esquerda e direita desempenha um papel significativo no processo político-eleitoral, pois essa dicotom</w:t>
      </w:r>
      <w:r>
        <w:rPr>
          <w:rFonts w:ascii="Times New Roman" w:eastAsia="Times New Roman" w:hAnsi="Times New Roman" w:cs="Times New Roman"/>
          <w:sz w:val="24"/>
          <w:szCs w:val="24"/>
        </w:rPr>
        <w:t>ia pode ser muito mais ideológica do que geralmente se acredita. Segundo Medeiros (2018),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ideologias são conjuntos de convicções compartilhadas por coletivos, com o propósito de avançar seus interesses e direcionar suas ações sociais e políticas. Desse mod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o, as diferenças de preferências políticas entre partidos, em termos ideológicos, vêm sendo utilizadas como a essência que define a orientação política do indivíduo (Tarouco &amp; Madeira, 2013). </w:t>
      </w:r>
    </w:p>
    <w:p w14:paraId="2C7CF45B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 literatura, a conexão entre sistema econômico, orientação po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lítica e ideologia parece estar bem estabelecida. Segundo Tarouco e Madeira (2013), a atribuição das identidades e orientações dos partidos com base na díade esquerda - direita está associada 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uma concepção teórica específica da competição partidária. Con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tudo, a posição adotada por cada partido pode oscilar de acordo com as preferências esperadas do eleitor mediano, cujo voto é o alvo desses partidos, significando que eles ajustam sua posição na escala para conquistar eleitores. </w:t>
      </w:r>
    </w:p>
    <w:p w14:paraId="50B707B9" w14:textId="77777777" w:rsidR="00742997" w:rsidRDefault="00742997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8B014AF" w14:textId="77777777" w:rsidR="00742997" w:rsidRDefault="00382D7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O fenômeno da polarização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política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ab/>
      </w:r>
    </w:p>
    <w:p w14:paraId="36163433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um sentido geral, um conte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xto de polarização é caracterizado por dois extremos em confronto, levando ao desaparecimento do centro. A polarização é ilustrada por uma distribuição entre duas modalidades. Do ponto de vista estatístico, a polariz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ação requer uma diferença significativa entre as médias dos dois grupos em análise (Costa, 2020).</w:t>
      </w:r>
    </w:p>
    <w:p w14:paraId="0CDD4BF7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Para além dessa diferenciação, tem crescido um interesse para se entender a polarização política. Isto é, existem duas formas de polarização política: a ideol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ógica e a afetiva. A polarização política ideológica atravessa dois enfoques analíticos. O primeiro a considera como divergência na ideologia política entre os membros da sociedade e o segundo, como a separação ou divisão de grupos claramente definidos (Hi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ll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Tausanovitch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2015 citado por Borba et al., 2024). Já a polarização afetiva é um fenômeno onde as diferenças políticas se transformam em emoções intensas e negativas entre grupos opostos (Fuks &amp; Marques, 2022).</w:t>
      </w:r>
    </w:p>
    <w:p w14:paraId="20B8087E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Iyengar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et al. (2012) propõem uma descri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ção da polarização política com base na Teoria da Identidade Social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Turner, 1969)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Segundo a teoria, a identificação com um determinado grupo é capaz de gerar sentimentos positivos em relação a esse grupo e sentimentos negativos em relação 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grupos diferentes e opostos. Sousa (2019) comenta que é habitual tirar o foco da polarização ideológica e direcionar a atenção para algo mais básico: os sentimentos de afinidade e repulsa a grupos, numa avaliação da polarização afetiva. Essa abordagem ser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ia mais eficaz para lidar com o problema, visto que é mais simples, para o cidadão comum, expressar sentimentos do que opiniões em relação à política.</w:t>
      </w:r>
    </w:p>
    <w:p w14:paraId="4F2A815F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polarização na política brasileira segue a tendência internacional, no sentido de que os indivíduos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mais ativos e ligados a partidos políticos tendem a ser os mais extremistas, tanto em termos ideológicos quanto afetivos (Fuks &amp; Marques, 2022).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Costa (2023) come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nta que no Brasil, as lideranças competem com os partidos como elementos principais da polariz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ação, e nesse ponto, é onde se diferenciam da polarização americana. No cenário nacional, o PT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i.e.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 Partido dos Trabalhadores) é o centro dessa polaridade e desenvolve dois grupos opostos que surgem dos sentimentos partidários favoráveis e desfavoráveis: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apoiadores do PT e críticos do PT. Dessa forma, para compreender a pluralidade das forças sociais e 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desenvolvimento da polarização política no Brasil, é interessante comentar o marco inicial do processo histórico das manifestações em nosso país, que for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am as manifestações ocorridas em junho de 2013 no Brasil.</w:t>
      </w:r>
    </w:p>
    <w:p w14:paraId="2CB1EACF" w14:textId="77777777" w:rsidR="00742997" w:rsidRDefault="00382D75">
      <w:pPr>
        <w:shd w:val="clear" w:color="auto" w:fill="FFFFFF"/>
        <w:spacing w:line="360" w:lineRule="auto"/>
        <w:ind w:right="-45"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 manifestações de junho de 2013, também conhecidas como Jornadas de Junho, tiveram início com os protestos organizados pelo Movimento Passe Livre. Apesar de ter sido um movimento inicialmente apar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tidário (Silva 2020), funcionou como um terremoto social que chacoalhou a cena política brasileira, com reflexos na questão dos grupos partidários na atualidade. Entre as diversas contradições que surgiram posteriormente, houve o surgimento da chamada 'nov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direita', acompanhada de estratégias que visavam desvirtuar o caráter do movimento popular espontâneo que ocorreu em 2013 (Silva, 2020). Nesse cenário, a divisão de direita e esquerda no Brasil começou a tomar maiores proporções. </w:t>
      </w:r>
    </w:p>
    <w:p w14:paraId="4089E41C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 tendências conservad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oras teriam começado a se evidenciar em 2015 durante as manifestações que apoiavam o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impeachment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ex-presidente Dilma Rousseff, culminando por volta de 2018, com o apoio a um candidato de extrema-direita, Jair Bolsonaro, nas eleições presidenciais (Perez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2021). Nesse momento, a questão partidária começou a ser mais alimentada pelo significado popular de esquerda e direita, e essas divisões começaram a ser mais fortemente associadas a figuras políticas. Esses resultados ainda pulsam na atual realidade e 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romovem mudanças sobre ela. A população que antes estava desinteressada em se envolver e contribuir com os assuntos políticos do Brasil, agora demonstrava maior engajamento e adotava posturas mais extremas em relação aos diversos grupos. Assim, desde 2013,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direita se polarizou muito mais do que a esquerda, pois, enquanto a esquerda se fortalecia, a direita se radicalizava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Chaia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Brugnago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2014). </w:t>
      </w:r>
    </w:p>
    <w:p w14:paraId="0500E902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 protestos daquele ano resultaram em uma intensificação da polarização, onde a população brasileira demons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trou desinteresse e desconfiança em relação à política e suas estruturas, resultando em um profundo sentimento de ressentimento. Desse modo, esse sentimento abriu espaço para o surgimento de líderes políticos, como Bolsonaro, que adotaram discursos autorit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ários, oportunistas e populistas (Campos &amp; Simões, 2023).</w:t>
      </w:r>
    </w:p>
    <w:p w14:paraId="0EF7953F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Assim, com a candidatura de Jair Bolsonaro nas eleições de 2018, uma parcela da população, que havia se concentrado no centro, se afastou desse “meio” político e começou a se direcionar para as extr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emidades do espectro político. Assim, a identificação das pessoas com a direita reapareceu mais forte. Bolsonaro distribuiu discursos de ódio, e a população que o acompanhava fez do radicalismo conservador algo rotineiro. Por um lado, para a direita, exist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ia o “nós”, que se caracterizavam como “cidadãos de bem”, e o “eles”, que eram caracterizados pelo apoio à bandidagem, imoralidade e corrupção (Albernaz, 2019),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associados à esquerda. Seguindo esse raciocínio, os posicionamentos de Bolsonaro aumentaram os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comportamentos conservadores e vieram acompanhados de uma retórica contrária aos partidos que apoiam causas de grupos minoritários (Nicolau, 2020). </w:t>
      </w:r>
    </w:p>
    <w:p w14:paraId="4B25491C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Na sequência, as eleições de 2022 vieram como continuidade desse cenário e como um destaque no contexto 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polarização. A candidatura do presidente Lula, representante de uma oposição à direita, foi motivo de grande movimentação no país, e essa eleição presidencial foi considerada a mais polarizada das últimas décadas (Nagy, 2022). Por um lado, havia uma parcel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 do povo que atrelava aos casos de corrupção acontecidos em mandatos passados do presidente Lula como a cerne de todo o problema, e por outro, grande a parcela insatisfeita com os descasos de direitos sociais e má administração no período do mandato do ex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-presidente Bolsonaro (Campos &amp; Simões, 2023).  </w:t>
      </w:r>
    </w:p>
    <w:p w14:paraId="70728BFD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Contudo, fatores contextuais desempenham um papel crucial na compreensão da essência, do funcionamento, da intensidade e do principal padrão da polarização (Fuks &amp; Marques, 2022) no país. Nesse sentido, a ci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rcunstância de tais identificações serem frequentemente baseadas em relações, ou seja, originadas de comparações como, por exemplo, superior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versus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inferior, facilita a compreensão da distância entre os distintos grupos. Especialmente quando eles veem seus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adversários como inferiores, como acontece na polarização afetiva (Filho &amp; Modesto, 2023). </w:t>
      </w:r>
    </w:p>
    <w:p w14:paraId="75715A6C" w14:textId="77777777" w:rsidR="00742997" w:rsidRDefault="00382D75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Sob esse formato polarizado, a participação da população brasileira na política vem se intensificando nos últimos anos, em específico, nas últimas duas eleições pr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esidenciais (2018 e 2022), e tem trazido à tona um leque maior de discussões, tanto de questões sociais, quanto psicológicas.</w:t>
      </w:r>
    </w:p>
    <w:p w14:paraId="18A6E8A2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tese, a identificação social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indica que as pessoas buscam preservar uma visão favorável de si mesmas e, por extensão, do grupo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ao qual pertencem, motivadas a garantir uma identidade social positiva (Carvalho, 2019). Desse modo,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endogrupos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em suas respectivas orientações políticas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i.e.: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direita-esquerda) tendem a ter esse tipo de comportamento pelas identificações uns com os outro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 e desenvolvem a percepção que são grupos oponentes, muitas vezes vendo o outro como inferiores (Filho &amp; Modesto, 2023). Esses comportamentos podem colaborar para entendermos como ocorre o desenvolvimento da polarização política afetiva.</w:t>
      </w:r>
    </w:p>
    <w:p w14:paraId="56374B05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Diante disso, ca</w:t>
      </w:r>
      <w:r>
        <w:rPr>
          <w:rFonts w:ascii="Times New Roman" w:eastAsia="Times New Roman" w:hAnsi="Times New Roman" w:cs="Times New Roman"/>
          <w:sz w:val="24"/>
          <w:szCs w:val="24"/>
        </w:rPr>
        <w:t>be questionar qual é a relação entre identificação social e orientação política no desenvolvimento da polarização afetiva no Brasil. O objetivo da presente pesquisa foi avaliar o impacto da polarização política afetiva na identidade política dos indivíduos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Foram formuladas três hipóteses: (H1) que a polarização afetiva seria mais acentuada em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relação à direita do que à esquerda; (H2) que pessoas com maiores níveis de pertença grupal apresentariam maiores níveis de polarização, independente do posicionament</w:t>
      </w:r>
      <w:r>
        <w:rPr>
          <w:rFonts w:ascii="Times New Roman" w:eastAsia="Times New Roman" w:hAnsi="Times New Roman" w:cs="Times New Roman"/>
          <w:sz w:val="24"/>
          <w:szCs w:val="24"/>
        </w:rPr>
        <w:t>o político; (H3) e que maiores níveis de orientação à dominância social se relacionariam com maiores níveis de polarização política.</w:t>
      </w:r>
    </w:p>
    <w:p w14:paraId="2245D330" w14:textId="77777777" w:rsidR="00742997" w:rsidRDefault="00742997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BC3A024" w14:textId="77777777" w:rsidR="00742997" w:rsidRDefault="00382D75">
      <w:pPr>
        <w:spacing w:line="36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Método</w:t>
      </w:r>
    </w:p>
    <w:p w14:paraId="4AE37EC3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Participantes</w:t>
      </w:r>
    </w:p>
    <w:p w14:paraId="1482D815" w14:textId="77777777" w:rsidR="00742997" w:rsidRDefault="0074299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A85DEA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Participaram deste estudo 120 pessoas, sendo 50% mulheres e 50% homens. Quanto à idade, os </w:t>
      </w:r>
      <w:r>
        <w:rPr>
          <w:rFonts w:ascii="Times New Roman" w:eastAsia="Times New Roman" w:hAnsi="Times New Roman" w:cs="Times New Roman"/>
          <w:sz w:val="24"/>
          <w:szCs w:val="24"/>
        </w:rPr>
        <w:t>participantes variaram de 18 a 57 anos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24,64;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DP </w:t>
      </w:r>
      <w:r>
        <w:rPr>
          <w:rFonts w:ascii="Times New Roman" w:eastAsia="Times New Roman" w:hAnsi="Times New Roman" w:cs="Times New Roman"/>
          <w:sz w:val="24"/>
          <w:szCs w:val="24"/>
        </w:rPr>
        <w:t>= 7,94). Predominantemente, 57,5% se consideram brancos, 28,3% pardos, 12,5% negros e 1,7% amarelas. Em relação ao nível de escolaridade 51,7% se encontram com ensino superior incompleto, 20% com ensino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médio completo, 15% possuem pós-graduação e 13,3% possuem graduação. A renda mensal de seis (R$ 7.920,00) salários mínimos predominou na amostra, com 30,8%. Quanto à identidade política, 45 participantes se identificaram como esquerda, variando de extrema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-esquerda (5%), esquerda (14,1%) e centro-esquerda (18,3%); 27 participantes (22,5%) como centro e 48 participantes se identificaram como direita, variando de centro-direita (25,8%), direita (9,1%) e extrema-direita (5%). </w:t>
      </w:r>
    </w:p>
    <w:p w14:paraId="2827D45E" w14:textId="77777777" w:rsidR="00742997" w:rsidRDefault="0074299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AE574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Instrumentos </w:t>
      </w:r>
    </w:p>
    <w:p w14:paraId="0C115BAD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Medida de identida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 social política</w:t>
      </w:r>
    </w:p>
    <w:p w14:paraId="10F6A8BC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Foi utilizada a Escala Multidimensional de Identificação (Leach et al., 2008), traduzida e adaptada para o contexto brasileiro (Ramos &amp; Alves, 2011), para analisar a pertença política grupal. A medida é composta por 14 itens, respondidas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um intervalo de 1 - discordo totalmente a 7 - concordo totalmente. Essa medida apresentou um índice satisfatório de confiabilidade de 0,91.</w:t>
      </w:r>
    </w:p>
    <w:p w14:paraId="61B3E034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Medida de dominância social </w:t>
      </w:r>
    </w:p>
    <w:p w14:paraId="4CAD15AA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Foi utilizada a versão reduzida da Escala de Orientação à Dominância Social 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Pratto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et al., 1994)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traduzida e adaptada para o contexto brasileiro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Vilanova et al., 2022)</w:t>
      </w:r>
      <w:r>
        <w:rPr>
          <w:rFonts w:ascii="Times New Roman" w:eastAsia="Times New Roman" w:hAnsi="Times New Roman" w:cs="Times New Roman"/>
          <w:sz w:val="24"/>
          <w:szCs w:val="24"/>
        </w:rPr>
        <w:t>. A escala é composta por oito itens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“Alguns grupos têm, simplesmente, mais valor do que outros”; “Nenhum grupo deveria ser dominante na sociedade”; “Nós não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everíamos promover a igualdade entre os grupos”) que devem ser respondidos em um intervalo de discordo totalmente (1) a concordo totalmente (7). O nível de confiabilidade desta escala no presente estudo foi satisfatório, de 0,83. </w:t>
      </w:r>
    </w:p>
    <w:p w14:paraId="2724EE61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Medida de polarização afe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tiva e orientação política</w:t>
      </w:r>
    </w:p>
    <w:p w14:paraId="4ED9CDFD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Foi utilizado o Termômetro de Sentimentos (ANES,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]) para verificar a polarização política em relação à direita e à esquerda. Os itens eram compostos por opções de zero a dez, sendo: 0 - totalmente frio e distante; 1 - muito f</w:t>
      </w:r>
      <w:r>
        <w:rPr>
          <w:rFonts w:ascii="Times New Roman" w:eastAsia="Times New Roman" w:hAnsi="Times New Roman" w:cs="Times New Roman"/>
          <w:sz w:val="24"/>
          <w:szCs w:val="24"/>
        </w:rPr>
        <w:t>rio e distante; 2 - bastante frio e distante; 3 - frio e distante; 4 - pouco frio e distante; 5 - indiferente; 6 - pouco caloroso e receptivo; 7 - caloroso e receptivo; 8 - bastante caloroso e receptivo; 9 - muito caloroso e receptivo; 10 - totalmente calo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roso e receptivo. </w:t>
      </w:r>
    </w:p>
    <w:p w14:paraId="14C03915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Questionário Sociodemográfico</w:t>
      </w:r>
    </w:p>
    <w:p w14:paraId="2D5A89C3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fim, foi utilizado um único item para analisar onde os participantes se enxergavam em sua orientação política, sendo extrema esquerda (1) e extrema direita (7). Essa medida foi seguida de itens que menci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onavam dados sociodemográficos como idade, nível de escolaridade, sexo, identidade racial e a renda familiar. </w:t>
      </w:r>
    </w:p>
    <w:p w14:paraId="0563BAFC" w14:textId="77777777" w:rsidR="00742997" w:rsidRDefault="00742997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E09116A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Procedimento de coleta de dados </w:t>
      </w:r>
    </w:p>
    <w:p w14:paraId="1CEDEE5F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pesquisa foi realizada de forma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z w:val="24"/>
          <w:szCs w:val="24"/>
        </w:rPr>
        <w:t>, no qual os participantes respondiam em sequência: Termo de Consentime</w:t>
      </w:r>
      <w:r>
        <w:rPr>
          <w:rFonts w:ascii="Times New Roman" w:eastAsia="Times New Roman" w:hAnsi="Times New Roman" w:cs="Times New Roman"/>
          <w:sz w:val="24"/>
          <w:szCs w:val="24"/>
        </w:rPr>
        <w:t>nto Livre Esclarecido (TCLE), a escala de Identidade Social Política (Leach et al., 2008), escala de Orientação de Dominância Social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SDO,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et al., 1994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o termômetro de sentimentos, e por fim, dados sociodemográficos. Todos os procedimentos éticos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foram cumpridos para a realização da pesquisa e a busca por participantes se deu por publicações em redes sociais como grupos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teve como critério de exclusão a participação de indivíduos menores de 18 anos de idade. </w:t>
      </w:r>
    </w:p>
    <w:p w14:paraId="6EDE6456" w14:textId="77777777" w:rsidR="00742997" w:rsidRDefault="00742997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4BC2F6D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cedimento de análise de dados</w:t>
      </w:r>
    </w:p>
    <w:p w14:paraId="22744FED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maneira inicial, optou-se por fazer uma correlação com todas as variáveis da pesquisa. Primeiro, foi realizado um teste exploratório para verificar a normalidade dos dados, por meio dos testes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Kolmogorov-Smirnov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Shapir</w:t>
      </w:r>
      <w:r>
        <w:rPr>
          <w:rFonts w:ascii="Times New Roman" w:eastAsia="Times New Roman" w:hAnsi="Times New Roman" w:cs="Times New Roman"/>
          <w:sz w:val="24"/>
          <w:szCs w:val="24"/>
        </w:rPr>
        <w:t>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Após essa análise preliminar, decidiu-se pela aplicação do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bootstrapping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com 1000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reamostragens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intervalo de confiança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(Bias-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Accelerated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de 95%, para garantir a robustez dos resultados e fornecer estimativas mais confiáveis.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fim, foi realizado um teste 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medidas independentes para verificar a diferença de média entre os grupos políticos e uma regressão linear para investigar o quanto a SDO explica a polarização política.</w:t>
      </w:r>
    </w:p>
    <w:p w14:paraId="632AFD14" w14:textId="77777777" w:rsidR="00742997" w:rsidRDefault="0074299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3BDB22" w14:textId="77777777" w:rsidR="00742997" w:rsidRDefault="00382D7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 </w:t>
      </w:r>
    </w:p>
    <w:p w14:paraId="2A526C4A" w14:textId="07ACA0DD" w:rsidR="00DB5AC6" w:rsidRDefault="00382D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Para a presente pesquisa,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foram elaboradas três hipóteses, sendo elas: (H1) que a polarização afetiva seria mais acentuada em relação à direita do que à esquerda; (H2) que pessoas com maiores níveis de pertença grupal apresentariam maiores níveis de polarização, independente do po</w:t>
      </w:r>
      <w:r>
        <w:rPr>
          <w:rFonts w:ascii="Times New Roman" w:eastAsia="Times New Roman" w:hAnsi="Times New Roman" w:cs="Times New Roman"/>
          <w:sz w:val="24"/>
          <w:szCs w:val="24"/>
        </w:rPr>
        <w:t>sicionamento político; (H3) e que maiores níveis de orientação à dominância social se relacionaram com maiores níveis de polarização política.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 primeiro lugar, buscou-se identificar padrões de relacionamento entre as variáveis por meio de testes de Corre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lação de Pearson, que podem ser visualizados na Tabela 1. </w:t>
      </w:r>
    </w:p>
    <w:p w14:paraId="790D20B4" w14:textId="22D47C9D" w:rsidR="00742997" w:rsidRDefault="00DB5AC6" w:rsidP="00DB5A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7110A8F" w14:textId="77777777" w:rsidR="00742997" w:rsidRDefault="00382D75">
      <w:pPr>
        <w:shd w:val="clear" w:color="auto" w:fill="FFFFFF"/>
        <w:spacing w:line="36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Tabela 1.</w:t>
      </w:r>
    </w:p>
    <w:p w14:paraId="23CED8DB" w14:textId="77777777" w:rsidR="00742997" w:rsidRDefault="00382D75">
      <w:pPr>
        <w:shd w:val="clear" w:color="auto" w:fill="FFFFFF"/>
        <w:spacing w:line="36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Correlação de Pearson entre as variáveis principais do estudo</w:t>
      </w:r>
    </w:p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641"/>
        <w:gridCol w:w="514"/>
        <w:gridCol w:w="82"/>
        <w:gridCol w:w="1584"/>
        <w:gridCol w:w="1154"/>
        <w:gridCol w:w="1345"/>
        <w:gridCol w:w="909"/>
        <w:gridCol w:w="991"/>
        <w:gridCol w:w="853"/>
      </w:tblGrid>
      <w:tr w:rsidR="00742997" w14:paraId="0E9F39F0" w14:textId="77777777" w:rsidTr="00416DD4">
        <w:trPr>
          <w:trHeight w:val="420"/>
        </w:trPr>
        <w:tc>
          <w:tcPr>
            <w:tcW w:w="1233" w:type="pct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bottom"/>
          </w:tcPr>
          <w:p w14:paraId="51621948" w14:textId="77777777" w:rsidR="00742997" w:rsidRPr="00DB5AC6" w:rsidRDefault="00742997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70C330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Parâmetros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FFCCEB8" w14:textId="77777777" w:rsidR="00742997" w:rsidRPr="00DB5AC6" w:rsidRDefault="00742997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F599C3F" w14:textId="77777777" w:rsid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Amostra</w:t>
            </w:r>
          </w:p>
          <w:p w14:paraId="50935138" w14:textId="4428E15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B5A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proofErr w:type="gramEnd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=  120)</w:t>
            </w:r>
          </w:p>
        </w:tc>
        <w:tc>
          <w:tcPr>
            <w:tcW w:w="225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E9FAC3B" w14:textId="77777777" w:rsidR="00742997" w:rsidRPr="00DB5AC6" w:rsidRDefault="00382D75" w:rsidP="00DB5AC6">
            <w:pPr>
              <w:widowControl w:val="0"/>
              <w:spacing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Amostra com </w:t>
            </w: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Bootstrap</w:t>
            </w:r>
            <w:proofErr w:type="spellEnd"/>
          </w:p>
        </w:tc>
      </w:tr>
      <w:tr w:rsidR="00742997" w14:paraId="1250A628" w14:textId="77777777" w:rsidTr="00416DD4">
        <w:trPr>
          <w:trHeight w:val="420"/>
        </w:trPr>
        <w:tc>
          <w:tcPr>
            <w:tcW w:w="123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bottom"/>
          </w:tcPr>
          <w:p w14:paraId="0D7E7240" w14:textId="77777777" w:rsidR="00742997" w:rsidRPr="00DB5AC6" w:rsidRDefault="00742997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6F1AE5B" w14:textId="77777777" w:rsidR="00742997" w:rsidRPr="00DB5AC6" w:rsidRDefault="00742997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0BAC03C" w14:textId="77777777" w:rsidR="00742997" w:rsidRPr="00DB5AC6" w:rsidRDefault="00742997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76D9C35" w14:textId="77777777" w:rsidR="00742997" w:rsidRPr="00DB5AC6" w:rsidRDefault="00742997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30E7200" w14:textId="77777777" w:rsidR="00742997" w:rsidRPr="00DB5AC6" w:rsidRDefault="00742997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C382E2E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95% IC</w:t>
            </w:r>
          </w:p>
        </w:tc>
      </w:tr>
      <w:tr w:rsidR="00742997" w14:paraId="3EEACB8E" w14:textId="77777777" w:rsidTr="00416DD4">
        <w:trPr>
          <w:trHeight w:val="420"/>
        </w:trPr>
        <w:tc>
          <w:tcPr>
            <w:tcW w:w="1233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bottom"/>
          </w:tcPr>
          <w:p w14:paraId="3B03015B" w14:textId="77777777" w:rsidR="00742997" w:rsidRPr="00DB5AC6" w:rsidRDefault="00742997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D57DC11" w14:textId="77777777" w:rsidR="00742997" w:rsidRPr="00DB5AC6" w:rsidRDefault="00742997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EA27A7A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Pearson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A416F5E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Viés corrigido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B5A22D8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Erro Padrão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BF78D1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Limite inferior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2EB7B6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Limite superior</w:t>
            </w:r>
          </w:p>
        </w:tc>
      </w:tr>
      <w:tr w:rsidR="00742997" w14:paraId="563133DB" w14:textId="77777777" w:rsidTr="00416DD4">
        <w:trPr>
          <w:trHeight w:val="420"/>
        </w:trPr>
        <w:tc>
          <w:tcPr>
            <w:tcW w:w="9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08FE0F3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TS_direita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AB5A65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5BC20B0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TS_esquerda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D3EF725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-0,381**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39C4644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-0,003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D409A69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0,097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27083CA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-0,564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17CA775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-0,188</w:t>
            </w:r>
          </w:p>
        </w:tc>
      </w:tr>
      <w:tr w:rsidR="00742997" w14:paraId="28738ACE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89F383E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TS_direita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F3D7AA3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496B06F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Pertença Grupal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3FB5769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C551CC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83CE822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0,098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3A26042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-0,130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75379C7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0,254</w:t>
            </w:r>
          </w:p>
        </w:tc>
      </w:tr>
      <w:tr w:rsidR="00742997" w14:paraId="73D52FAA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3A0CD8F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TS_direita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AFAE726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68294EB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SDO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A97B57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0,422**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918812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C1E70A2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0,080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6D3BFB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0,246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46D6555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0,569</w:t>
            </w:r>
          </w:p>
        </w:tc>
      </w:tr>
      <w:tr w:rsidR="00742997" w14:paraId="797A4BB9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4927907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TS_direita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239ED85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359B0FA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Posic</w:t>
            </w:r>
            <w:proofErr w:type="spellEnd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. Político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2E7405C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0,637**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C9CE595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A206F0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94F462B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0,498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1439A1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0,748</w:t>
            </w:r>
          </w:p>
        </w:tc>
      </w:tr>
      <w:tr w:rsidR="00742997" w14:paraId="6F9A0A81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3B7F855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TS_direita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3BEC619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8C2722A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Idade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6A2A13C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-0,046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8102475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E53760C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0,097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2E46029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-0,222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E49C867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0,161</w:t>
            </w:r>
          </w:p>
        </w:tc>
      </w:tr>
      <w:tr w:rsidR="00742997" w14:paraId="14462B0B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391F712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TS_direita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1C018E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188F618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Renda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E55C0D3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0,074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AD32AC7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21D031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0,085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E0D3BD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-0,097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CBC70F4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0,237</w:t>
            </w:r>
          </w:p>
        </w:tc>
      </w:tr>
      <w:tr w:rsidR="00742997" w14:paraId="0B5ACFCE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2EDF5C6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TS_direita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DFA9048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07E14D0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Escolaridade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FF156AA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8968F33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3007065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0,087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2E4968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-0,168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66E9519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0,167</w:t>
            </w:r>
          </w:p>
        </w:tc>
      </w:tr>
      <w:tr w:rsidR="00742997" w14:paraId="11055D88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5E2BEB8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TS_esquerda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6BB6B1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F09224E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Pertença Grupal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C760452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0,021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6908C89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0,822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26C604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-0,107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2B73F78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-0,200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B0A9BBC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0,221</w:t>
            </w:r>
          </w:p>
        </w:tc>
      </w:tr>
      <w:tr w:rsidR="00742997" w14:paraId="1B1CBD77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5E1E2FB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TS_esquerda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5CD6FFB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54DBDE3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SDO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27A6ECE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-0,501**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DF9974B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B2E1CDE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3165DF8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-0,632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C1FCD88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-0,347</w:t>
            </w:r>
          </w:p>
        </w:tc>
      </w:tr>
      <w:tr w:rsidR="00742997" w14:paraId="49540FCA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89D36CD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TS_esquerda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24C35A3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0B2558D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Posic</w:t>
            </w:r>
            <w:proofErr w:type="spellEnd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. Político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488E9EE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-0,560**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383028F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4062382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0,065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A8CF9DB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-0,680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D5A3946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-0,430</w:t>
            </w:r>
          </w:p>
        </w:tc>
      </w:tr>
      <w:tr w:rsidR="00742997" w14:paraId="1082D4B7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8EE9EA9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TS_esquerda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54990E9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2491A7A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Idade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989A06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-0,181*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FDA457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3A8923F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0,092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4FF3974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-0,337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E4BE452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0,018</w:t>
            </w:r>
          </w:p>
        </w:tc>
      </w:tr>
      <w:tr w:rsidR="00742997" w14:paraId="70A9A0BF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627296E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TS_esquerda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76D163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EFADB42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Gênero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8BA3631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-,0085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ABDA6A8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8AF3EFE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0,091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6106673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-0,270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E370AE5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0,090</w:t>
            </w:r>
          </w:p>
        </w:tc>
      </w:tr>
      <w:tr w:rsidR="00742997" w14:paraId="6CABF91B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688AA03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TS_esquerda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3EEFAD9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&lt;-</w:t>
            </w: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21A34CA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Renda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268210A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-0,079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FC87FFC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9E2AA0E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0,081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7A2CE2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-0,220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BCC6E2F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0,097</w:t>
            </w:r>
          </w:p>
        </w:tc>
      </w:tr>
      <w:tr w:rsidR="00742997" w14:paraId="56A6CECE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C8080B7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TS_esquerda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8D6A25C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D1F478A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Escolaridade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40841BE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0,148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BCEC9DF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7236486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0,081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3D453E7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3A39C1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0,306</w:t>
            </w:r>
          </w:p>
        </w:tc>
      </w:tr>
      <w:tr w:rsidR="00742997" w14:paraId="3BB55A64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8588921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Pertença Grupal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7919E17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86AAFCD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SDO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FE6FDF9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BAA23A1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925C02A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0,101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849DB95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-0,199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479B22E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0,202</w:t>
            </w:r>
          </w:p>
        </w:tc>
      </w:tr>
      <w:tr w:rsidR="00742997" w14:paraId="27B56694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7597357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Pertença Grupal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DAA8F3E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3463809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Posicionamento Político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7E06426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0,104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66EC618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2B25AB7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0,093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F4EE9B6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-0,082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168ACAF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0,282</w:t>
            </w:r>
          </w:p>
        </w:tc>
      </w:tr>
      <w:tr w:rsidR="00742997" w14:paraId="5A7C8C42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52D0DA9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Pertença Grupal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C72063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D64565A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Idade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D51784A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0,023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9806E33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F1060A9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0,138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2590DD5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-0,243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D74876F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0,288</w:t>
            </w:r>
          </w:p>
        </w:tc>
      </w:tr>
      <w:tr w:rsidR="00742997" w14:paraId="56F254AA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71D9F22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Pertença Grupal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66ECF6A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417FD49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Escolaridade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75CA2F3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-0,034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7E41E6A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56FB60E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0,091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9A7FFF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-0,215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D1482FF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0,143</w:t>
            </w:r>
          </w:p>
        </w:tc>
      </w:tr>
      <w:tr w:rsidR="00742997" w14:paraId="4427C2E7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9A6EA68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SDO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37B59CC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E309B90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Posicionamento Político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9CC9C7C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0,582**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99C0B3A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267832A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0,065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81FCCF4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0,444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7069FA8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0,697</w:t>
            </w:r>
          </w:p>
        </w:tc>
      </w:tr>
      <w:tr w:rsidR="00742997" w14:paraId="4CB0568D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46CEDB6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SDO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1E83822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4BE4219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Idade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1FA9970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5DD4E28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60C20B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0,091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A509BB9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-0,184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172D05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0,170</w:t>
            </w:r>
          </w:p>
        </w:tc>
      </w:tr>
      <w:tr w:rsidR="00742997" w14:paraId="565F070C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3F5461A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SDO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38F15FC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34B2369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Escolaridade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49A5C32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0,059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0CFB71D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BB0C247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0,085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71A0977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-0,103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CE9F4BF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0,229</w:t>
            </w:r>
          </w:p>
        </w:tc>
      </w:tr>
      <w:tr w:rsidR="00742997" w14:paraId="7B61FD6B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69E3207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Posic</w:t>
            </w:r>
            <w:proofErr w:type="spellEnd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. Político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DF1E1C7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36F61B7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Idade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3047BD3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0,190*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E0F3F66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9FFD556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0,138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6A847AA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-0,243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0D235AC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0,288</w:t>
            </w:r>
          </w:p>
        </w:tc>
      </w:tr>
      <w:tr w:rsidR="00742997" w14:paraId="02ECE5C4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943EE53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Posic</w:t>
            </w:r>
            <w:proofErr w:type="spellEnd"/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. Político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E1ADB1E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754D635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Renda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CAA6D97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-0,236**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13B3EDB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8E71AEB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0,093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5008E86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-0,407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1688CC2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-0,042</w:t>
            </w:r>
          </w:p>
        </w:tc>
      </w:tr>
      <w:tr w:rsidR="00742997" w14:paraId="3A36928F" w14:textId="77777777" w:rsidTr="00416DD4">
        <w:trPr>
          <w:trHeight w:val="420"/>
        </w:trPr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5374A46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Idade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5293081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&lt;-&gt; 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836A3DF" w14:textId="77777777" w:rsidR="00742997" w:rsidRPr="00DB5AC6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Renda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3398824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-0,073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12896A9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-0,005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D28931B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0,081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8A0581C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-0,232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A611A31" w14:textId="77777777" w:rsidR="00742997" w:rsidRPr="00DB5AC6" w:rsidRDefault="00382D75" w:rsidP="00DB5A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AC6">
              <w:rPr>
                <w:rFonts w:ascii="Times New Roman" w:eastAsia="Times New Roman" w:hAnsi="Times New Roman" w:cs="Times New Roman"/>
                <w:sz w:val="20"/>
                <w:szCs w:val="20"/>
              </w:rPr>
              <w:t>0,086</w:t>
            </w:r>
          </w:p>
        </w:tc>
      </w:tr>
    </w:tbl>
    <w:p w14:paraId="1605CFB4" w14:textId="77777777" w:rsidR="00742997" w:rsidRPr="00DB5AC6" w:rsidRDefault="00382D75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B5AC6">
        <w:rPr>
          <w:rFonts w:ascii="Times New Roman" w:eastAsia="Times New Roman" w:hAnsi="Times New Roman" w:cs="Times New Roman"/>
          <w:i/>
          <w:sz w:val="20"/>
          <w:szCs w:val="20"/>
        </w:rPr>
        <w:t xml:space="preserve">**. Correlação é significativa no nível 0.01 </w:t>
      </w:r>
      <w:r w:rsidRPr="00DB5AC6">
        <w:rPr>
          <w:rFonts w:ascii="Times New Roman" w:eastAsia="Times New Roman" w:hAnsi="Times New Roman" w:cs="Times New Roman"/>
          <w:i/>
          <w:sz w:val="20"/>
          <w:szCs w:val="20"/>
        </w:rPr>
        <w:t>(bicaudal).</w:t>
      </w:r>
    </w:p>
    <w:p w14:paraId="77FDF9B7" w14:textId="77777777" w:rsidR="00742997" w:rsidRPr="00DB5AC6" w:rsidRDefault="00382D75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B5AC6">
        <w:rPr>
          <w:rFonts w:ascii="Times New Roman" w:eastAsia="Times New Roman" w:hAnsi="Times New Roman" w:cs="Times New Roman"/>
          <w:i/>
          <w:sz w:val="20"/>
          <w:szCs w:val="20"/>
        </w:rPr>
        <w:t>*. Correlação é significativa no nível 0.05 (bicaudal).</w:t>
      </w:r>
    </w:p>
    <w:p w14:paraId="6561CCB3" w14:textId="77777777" w:rsidR="00742997" w:rsidRDefault="0074299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F6EC88" w14:textId="10BEA02A" w:rsidR="00742997" w:rsidRDefault="00382D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Conforme pode ser visualizado na Tabela 1, a medida de identidade social política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i.e.: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pertença grupal) não se relacionou com nenhuma das variáveis analisadas.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polarização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política </w:t>
      </w:r>
      <w:r>
        <w:rPr>
          <w:rFonts w:ascii="Times New Roman" w:eastAsia="Times New Roman" w:hAnsi="Times New Roman" w:cs="Times New Roman"/>
          <w:sz w:val="24"/>
          <w:szCs w:val="24"/>
        </w:rPr>
        <w:t>afetiva, por sua vez, presente nas demais hipóteses, apresentou correlações significativas para todas as outras variáveis.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Pode-se observar que quanto mais à direita, mais o indivíduo está polarizado em relação à esquerda e menos polarizado em relação à di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reita, e vice versa. Apesar de uma inclinação geral para a polarização, acentuou-se mais o efeito nas pessoas de direita em comparação com as pessoas de esquerda, ou seja, os resultados sugerem que pessoas de direita se sentem mais distantes e afetivamente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frias das pessoas de esquerda, o que corrobora a H1.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Além disso, chama a atenção também, a comprovação da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H3 sobre o efeito da escala de Orientação de Dominância Social (SDO) em que,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quanto mais à direita, maiores os índices de SDO, menores os índices de </w:t>
      </w:r>
      <w:r>
        <w:rPr>
          <w:rFonts w:ascii="Times New Roman" w:eastAsia="Times New Roman" w:hAnsi="Times New Roman" w:cs="Times New Roman"/>
          <w:sz w:val="24"/>
          <w:szCs w:val="24"/>
        </w:rPr>
        <w:t>polarização em relação à direita e maiores os índices de polarização em relação à esquerda. Por fim, a H2 não foi corroborada, tendo em vista que a pertença grupal não apresentou significância estatística para o termômetro de sentimentos.</w:t>
      </w:r>
    </w:p>
    <w:p w14:paraId="62DD00C2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a se</w:t>
      </w:r>
      <w:r>
        <w:rPr>
          <w:rFonts w:ascii="Times New Roman" w:eastAsia="Times New Roman" w:hAnsi="Times New Roman" w:cs="Times New Roman"/>
          <w:sz w:val="24"/>
          <w:szCs w:val="24"/>
        </w:rPr>
        <w:t>gunda hipótese formulada, que maiores níveis de pertença grupal apresentariam maiores níveis de polarização, independente do posicionamento político, apesar de não ter sido corroborada, optou-se por avaliar a polarização em função de posições políticas. 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realizado um teste 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amostras independentes com o objetivo de investigar em que medida a polarização é diferente para pessoas de direita e pessoas de esquerda. Os resultados são apresentados na Tabela 2.</w:t>
      </w:r>
    </w:p>
    <w:p w14:paraId="53730D48" w14:textId="77777777" w:rsidR="00742997" w:rsidRDefault="00742997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FD17831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Tabela 2.</w:t>
      </w:r>
    </w:p>
    <w:p w14:paraId="21FCE55E" w14:textId="77777777" w:rsidR="00742997" w:rsidRDefault="00382D75">
      <w:pPr>
        <w:pStyle w:val="Ttulo1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6iwkpdvxek2s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Diferença dos índices 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polarização política de acordo com o posicionamento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94"/>
        <w:gridCol w:w="897"/>
        <w:gridCol w:w="545"/>
        <w:gridCol w:w="846"/>
        <w:gridCol w:w="855"/>
        <w:gridCol w:w="986"/>
        <w:gridCol w:w="1303"/>
        <w:gridCol w:w="1140"/>
        <w:gridCol w:w="1207"/>
      </w:tblGrid>
      <w:tr w:rsidR="00742997" w14:paraId="33A30190" w14:textId="77777777" w:rsidTr="00416DD4">
        <w:trPr>
          <w:trHeight w:val="551"/>
        </w:trPr>
        <w:tc>
          <w:tcPr>
            <w:tcW w:w="710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DF7FA79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0DE0F" w14:textId="77777777" w:rsidR="00742997" w:rsidRDefault="007429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263A0B8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bottom"/>
          </w:tcPr>
          <w:p w14:paraId="13198053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Escores 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bottom"/>
          </w:tcPr>
          <w:p w14:paraId="545C9C95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FF550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Amostra com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Bootstrapping</w:t>
            </w:r>
            <w:proofErr w:type="spellEnd"/>
          </w:p>
        </w:tc>
      </w:tr>
      <w:tr w:rsidR="00DB5AC6" w14:paraId="0E49BA61" w14:textId="77777777" w:rsidTr="00416DD4">
        <w:trPr>
          <w:trHeight w:val="551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F7FC2C3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35F7753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07185BD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E2494A7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DP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C67A135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EA06696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A8C7DE8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AC6F8F6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95% IC</w:t>
            </w:r>
          </w:p>
        </w:tc>
      </w:tr>
      <w:tr w:rsidR="00DB5AC6" w14:paraId="6676527C" w14:textId="77777777" w:rsidTr="00416DD4">
        <w:trPr>
          <w:trHeight w:val="551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D7FD9E1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CD660E1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74F9743" w14:textId="77777777" w:rsidR="00742997" w:rsidRDefault="007429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36AEB89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7DACCE5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FF35D23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648C993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Diferenças das médias 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169FFA4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Limite inferior</w:t>
            </w:r>
          </w:p>
        </w:tc>
        <w:tc>
          <w:tcPr>
            <w:tcW w:w="66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A811E5B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Limite superior</w:t>
            </w:r>
          </w:p>
        </w:tc>
      </w:tr>
      <w:tr w:rsidR="00DB5AC6" w14:paraId="5CB508D3" w14:textId="77777777" w:rsidTr="00416DD4">
        <w:trPr>
          <w:trHeight w:val="278"/>
        </w:trPr>
        <w:tc>
          <w:tcPr>
            <w:tcW w:w="7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4475F8C" w14:textId="77777777" w:rsidR="00742997" w:rsidRDefault="00382D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TS_Direita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1296B68" w14:textId="77777777" w:rsidR="00742997" w:rsidRDefault="00382D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Esquerda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D0A3DB0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CED58AA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2,218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86F2F6C" w14:textId="29E380E0" w:rsidR="00742997" w:rsidRDefault="00382D75" w:rsidP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8,983**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C7B2EE2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CC2561D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-4,27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66E715A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-0,5114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5FF42DD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-3,301</w:t>
            </w:r>
          </w:p>
        </w:tc>
      </w:tr>
      <w:tr w:rsidR="00DB5AC6" w14:paraId="0640247D" w14:textId="77777777" w:rsidTr="00416DD4">
        <w:trPr>
          <w:trHeight w:val="278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8208043" w14:textId="05E3A086" w:rsidR="00742997" w:rsidRDefault="00DB5A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1E55C9D" w14:textId="77777777" w:rsidR="00742997" w:rsidRDefault="00382D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Direita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71EB772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0706409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2,896</w:t>
            </w:r>
          </w:p>
        </w:tc>
        <w:tc>
          <w:tcPr>
            <w:tcW w:w="4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2BA9307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AA71A48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7A8127B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5D9A664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9D11C87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AC6" w14:paraId="6A43D69A" w14:textId="77777777" w:rsidTr="00416DD4">
        <w:trPr>
          <w:trHeight w:val="278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5C480C9" w14:textId="77777777" w:rsidR="00742997" w:rsidRDefault="00382D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TS_Esquerda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E8D93C2" w14:textId="77777777" w:rsidR="00742997" w:rsidRDefault="00382D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Esquerda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586A532A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2055C5C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2,334</w:t>
            </w: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2B4F0B1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8,236**</w:t>
            </w:r>
          </w:p>
        </w:tc>
        <w:tc>
          <w:tcPr>
            <w:tcW w:w="54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28283C8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82,774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4065318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3,957</w:t>
            </w:r>
          </w:p>
        </w:tc>
        <w:tc>
          <w:tcPr>
            <w:tcW w:w="62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1AE8579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3,001</w:t>
            </w:r>
          </w:p>
        </w:tc>
        <w:tc>
          <w:tcPr>
            <w:tcW w:w="66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F437748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4,913</w:t>
            </w:r>
          </w:p>
        </w:tc>
      </w:tr>
      <w:tr w:rsidR="00DB5AC6" w14:paraId="6916F4BD" w14:textId="77777777" w:rsidTr="00416DD4">
        <w:trPr>
          <w:trHeight w:val="225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78CBCCB" w14:textId="77777777" w:rsidR="00742997" w:rsidRDefault="007429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7D339255" w14:textId="77777777" w:rsidR="00742997" w:rsidRDefault="00382D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Direita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E81B7DF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177BC8F" w14:textId="77777777" w:rsidR="00742997" w:rsidRDefault="00382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2,986</w:t>
            </w:r>
          </w:p>
        </w:tc>
        <w:tc>
          <w:tcPr>
            <w:tcW w:w="47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3989658F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709EDD9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2F681F1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5E3A170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8B529F2" w14:textId="77777777" w:rsidR="00742997" w:rsidRDefault="007429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B7EFF8" w14:textId="77777777" w:rsidR="00742997" w:rsidRDefault="00382D7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** Correlação é significativa no nível de 0.01</w:t>
      </w:r>
    </w:p>
    <w:p w14:paraId="1B7DD9DC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resultados do teste 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amostras independentes indicaram uma diferença significativa entre os grupos em relação ao Termômetro de sentimentos em relação à direita (t(91) = -8,983,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z w:val="24"/>
          <w:szCs w:val="24"/>
        </w:rPr>
        <w:t>&lt; 0,001), assumindo igualdade de variâncias. Além disso, o tamanho do efeito da diferença foi a</w:t>
      </w:r>
      <w:r>
        <w:rPr>
          <w:rFonts w:ascii="Times New Roman" w:eastAsia="Times New Roman" w:hAnsi="Times New Roman" w:cs="Times New Roman"/>
          <w:sz w:val="24"/>
          <w:szCs w:val="24"/>
        </w:rPr>
        <w:t>lto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Cohen = 1,66). Para o Termômetro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Sentimentos em relação à esquerda, uma diferença significativa também foi encontrada (t (82,774) = 8,236,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z w:val="24"/>
          <w:szCs w:val="24"/>
        </w:rPr>
        <w:t>&lt; 0,001), não assumindo igualdade de variâncias, conforme indicado pelo teste de Levene para igualdade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variâncias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10,234,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z w:val="24"/>
          <w:szCs w:val="24"/>
        </w:rPr>
        <w:t>&lt; 0,001) e o tamanho do efeito da diferença foi alto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Cohen = 1,35). </w:t>
      </w:r>
    </w:p>
    <w:p w14:paraId="461B7B74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fim, por meio de uma regressão linear, verificou-se que quanto maior a orientação à dominância social, maiores níveis de polarização política em re</w:t>
      </w:r>
      <w:r>
        <w:rPr>
          <w:rFonts w:ascii="Times New Roman" w:eastAsia="Times New Roman" w:hAnsi="Times New Roman" w:cs="Times New Roman"/>
          <w:sz w:val="24"/>
          <w:szCs w:val="24"/>
        </w:rPr>
        <w:t>lação à direita 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1, 118)= 25,633,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z w:val="24"/>
          <w:szCs w:val="24"/>
        </w:rPr>
        <w:t>&lt;0,001; R² ajustado = 0,171). O coeficiente de regressão B (β = 0,923, 95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%[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IC= 0,546 — 1,242]) indicou que, em média, o aumento de um ponto nos níveis de SDO ressoa no aumento de 0,923 nos níveis de polarização polític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em relação à direita. O mesmo padrão de análise foi realizado em relação a SDO e polarização em relação à esquerda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1, 118)= 39,540,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&lt;0,001. </w:t>
      </w:r>
    </w:p>
    <w:p w14:paraId="275BE344" w14:textId="77777777" w:rsidR="00742997" w:rsidRDefault="00742997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B2A5E2E" w14:textId="77777777" w:rsidR="00742997" w:rsidRDefault="00382D7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Discussão</w:t>
      </w:r>
    </w:p>
    <w:p w14:paraId="736BC035" w14:textId="05ED9432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presente pesquisa teve como objetivo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avaliar o impacto da polarização política afetiva na identidade política dos indivíduos.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relação à primeira h</w:t>
      </w:r>
      <w:r w:rsidR="009D2215">
        <w:rPr>
          <w:rFonts w:ascii="Times New Roman" w:eastAsia="Times New Roman" w:hAnsi="Times New Roman" w:cs="Times New Roman"/>
          <w:sz w:val="24"/>
          <w:szCs w:val="24"/>
        </w:rPr>
        <w:t xml:space="preserve">ipótese (H1), pensava-se que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polarização afetiva seria mais acentuada em relação à direita do que à esquerda, o que foi corroborado.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Estudos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realizados anteriormente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Chaia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Brugnago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2014; Filho &amp; Modesto, 2023), citam que a partir das Jornadas de Junho e da sequente eleições de 2014, o extremismo conservador da direita incorporou discursos de ódio em relação àqueles que se distanciavam mini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mamente das ideias que eles defendiam. Por isso, mesmo que ambos os lados (direita-esquerda) tenham grupos que engajaram mais e se fortificaram em relação à política, as forças não tiveram a mesma intensidade no ponto de radicalização, sendo a polarização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um fenômeno assimétrico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Benkler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et al., 2018; Miguel, 2019; Soares, 2020; Fuks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&amp; Marques, 2022). Outro estudo realizado é o de Filho &amp; Modesto (2023), no qual dialogam que houve um crescente número de relatos ligados à inquietação e ansiedade associadas à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esfera política. Dessa forma, a angústia, o medo, a raiva, e a tristeza citadas por pessoas de esquerda nas eleições de 2018 e 2022, pode ser um indicador do impacto dos discursos da direita e da violência apoiada por eles. </w:t>
      </w:r>
    </w:p>
    <w:p w14:paraId="07B9A59F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Assim, as ideias se estabelece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ram no “é ou não é”, ou é de direita ou é “apoiador do comunismo”, demonstra que se estabeleceu posições antagônicas distanciado aqueles que pensam de maneira distinta. Desse modo, os acontecimentos das Jornadas de Junho (Silva, 2020), reativação da direit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 no brasil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Chaia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Brugnago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2014) e a eleição do ex-presidente Jair Bolsonaro (Albernaz, 2019) ajudam a compreender esses maiores níveis de polarização para participantes de direita, identificados na presente pesquisa. </w:t>
      </w:r>
    </w:p>
    <w:p w14:paraId="78137BAE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>Em relação à segunda hipótese (H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2), foi pensado que pessoas com maiores níveis de pertença grupal apresentariam maiores níveis de polarização, independente do posicionamento político.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hipótese não foi corroborada tendo em vista que tanto para a esquerda quanto para a direita os níveis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 polarização não se relacionaram a pertença grupal. Apesar disso,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resultados apresentaram uma diferença estatisticamente significativa em relação ao termômetro de sentimentos para os dois grupos. Entretanto, o grupo de direita apresentou diferença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média maior comparado aos grupos de esquerda.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 acordo com a literatura, as evidências indicam uma ligação entre a reestruturação da direita brasileira e os indícios fortes de polarização nas eleições de 2018, assumindo um formato assimétrico entre os gru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pos (Fuks &amp; Marques, 2022;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Benkler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et al., 2018; Miguel, 2019; Soares, 2020;). Importante salientar que nem todos os grupos compartilham a mesma capacidade de identificação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Berlatto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2009). Frequentemente, é a posição no sistema de relações que os une. </w:t>
      </w:r>
    </w:p>
    <w:p w14:paraId="1E7CC7E3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fim, em relação à última hipótese (H3), foi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hipotetizado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maiores níveis de orientação à dominância social se relacionaram com maiores níveis de polarização política. Essa hipótese foi confirmada e demonstrou que há maiores índices de SDO e polariza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ção para pessoas de direita em relação à esquerda, ou seja, indivíduos de direita tendem 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sustentar a ideia de sistemas hierárquicos entre grupos, prezando a manutenção de estruturas hierárquicas na sociedade e tendem a manifestar tipos de preconceitos em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relação à grupos minoritários (Vilanova et al., 2022). De certo, isso se dá pelos ideais já bem estabelecidos que movem o espectro político da direita, como a tendência à segregação e hierarquização, mas também, o foco no individualismo, a priorização da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propriedade privada, a valoração da ordem e da tradição, o elogio do heroísmo, a resistência à diversidade étnica, cultural e sexual, o crescimento econômico em detrimento da preservação ambiental e a constante identificação com as classes mais altas da so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ciedade (Bobbio, 1995). </w:t>
      </w:r>
    </w:p>
    <w:p w14:paraId="340D04BD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Por fim, uma limitação do estudo que pode ser considerada, é o fato de que apesar da amostra ter sido equilibrada em relação aos posicionamentos políticos, a quantidade de pessoas que se concentraram em cada categoria (extrema-esqu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erda a extrema-direita) é relativamente pequena, o que impede a realização de uma análise comparativa em relação aos demais grupos </w:t>
      </w:r>
      <w:r>
        <w:rPr>
          <w:rFonts w:ascii="Times New Roman" w:eastAsia="Times New Roman" w:hAnsi="Times New Roman" w:cs="Times New Roman"/>
          <w:sz w:val="24"/>
          <w:szCs w:val="24"/>
        </w:rPr>
        <w:t>políticos. Além disso, su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gere-se para pesquisas futuras a realização de estudo em um período de eleições. Isto é, realizar 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coleta de dados em um ano de eleição poderia fornecer mais percepções acerca da temática, uma vez que durante esses períodos, os níveis de engajamento político e as emoções associadas às polarizações tendem a estar mais acentuados. Dessa forma, a comparaçã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 dos resultados poderia revelar variações mais marcantes nos comportamentos e atitudes dos participantes em relação à polarização afetiva. </w:t>
      </w:r>
    </w:p>
    <w:p w14:paraId="727BA61E" w14:textId="77777777" w:rsidR="00742997" w:rsidRDefault="00382D7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Apesar das limitações, o presente artigo é extremamente relevante para os estudos no campo da Psicologia Social e 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olítica. Esta pesquisa oferece uma valiosa contribuição para a compreensão do cenário atual do Brasil em termos de polarização afetiva e suas influências na sociedade, promovendo um debate acerca desses fenômenos. </w:t>
      </w:r>
    </w:p>
    <w:p w14:paraId="0CA0B67A" w14:textId="77777777" w:rsidR="00742997" w:rsidRDefault="00742997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C851741" w14:textId="77777777" w:rsidR="00742997" w:rsidRDefault="0074299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D9BD2D" w14:textId="77777777" w:rsidR="00742997" w:rsidRDefault="00382D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43B59C4" w14:textId="77777777" w:rsidR="00742997" w:rsidRDefault="0074299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F75B0" w14:textId="77777777" w:rsidR="00742997" w:rsidRDefault="00382D75" w:rsidP="00416D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 Bibliográficas</w:t>
      </w:r>
    </w:p>
    <w:p w14:paraId="4482D7B3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Albernaz,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V. (2019). Análise das Características do Discurso Populista de Jair Bolsonaro nas Eleições Brasileiras de 2018.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Revista Portuguesa de Ciência Política /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Portuguese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Political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Science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131–146.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https://doi.org/10.33167/2184-2078.rpcp2019.12/pp.131-146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6A99C41E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Benkler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Y.,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R., &amp; Roberts, H. (2018).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Network propaganda: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Manipulation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disinformation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radicalization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in American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politics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Oxford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Press. </w:t>
      </w:r>
    </w:p>
    <w:p w14:paraId="2805A7CA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shd w:val="clear" w:color="auto" w:fill="FEF1C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Berlatto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O. (2009). A construção da identidade social.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Revista Do Curso De Direito Da FSG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(5). Recuperado de 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https://ojs.fsg.edu.br/index.php/direito/article/view/242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7C02B1A4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Bobbio,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(1995).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Direita e esquerda: razões e significados de uma distinção política.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Editora da Universidade Estadual Paulista.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São Paulo. </w:t>
      </w:r>
    </w:p>
    <w:p w14:paraId="0E65E8CD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Borba, J., Ferreira, M. G. M., Silva, G. U. L. da, &amp; Amorim, L. de C. de. (2024). Polarização ideológica entre deputados f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ederais no Brasil (2005-2021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Estudos Históricos (Rio de Janeiro)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37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e20240111. 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https://doi.org/10.1590/S2178-149420240111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76A0BCA3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Cabrera, J. (2020). A Filosofia no fogo cruzado de direita e esqu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erda. Argumentos -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Revista  de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Filosofia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25, 57–81. 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https://doi.org/10.36517/argumentos.25.3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F71B3F3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Cameron, J.E. (2004).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three-factor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model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identity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Self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Identity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3, 239-262. </w:t>
      </w:r>
    </w:p>
    <w:p w14:paraId="18113923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Campos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J, V, 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&amp;  Simões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M, C., D. (2023). A Dimensão Subjetiva do Período Pré-eleitoral de 2022: um Estudo a Partir da Psicologia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Sócio-Histórica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//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Subjective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Dimension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Pre-Election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Period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Socio-Historical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Psychology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Revis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ta de Psicologia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(1), 1. 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https://dialnet.unirioja.es/servlet/articulo?codigo=8800766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67C9AE9B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Carvalho, R. A. M. (2019). Quem fala e o que diz: o impacto da imagem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endogrupo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 identificação social dos seus membros.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Repositorio-Aberto.up.pt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https://repositorio-aberto.up.pt/handle/10216/124000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3F3C67AB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Chaia, V. L. M.,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Brugnago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F. (2014). A nova polarização política nas eleições de 2014: Radicalização ideológica da direita no mundo contemporâneo do Facebook.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Aurora. Revista de Arte, Mídia E Política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(21), 99–129. 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https://revistas.pucsp.br/index.php/aurora/article/view/22032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B61F287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Costa, A. B. S. R. (2020). Origem, causas e consequências da polarização política.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Icts.unb.br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http://icts.unb.</w:t>
        </w:r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br/jspui/handle/10482/37008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47A1CBA2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Costa, A. B. S. R. (2023). Polarização política dinâmica: evidências do Brasil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,.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Opinião Pública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42–68. 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https://doi.org/10.1590/1807-0191202329142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250DCE3C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Filho,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C. G., &amp; Modesto, J. G. N. (2023). Polarização política afetiva e bem-estar subjetivo no contexto político brasileiro.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Psico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54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(1). </w:t>
      </w:r>
      <w:hyperlink r:id="rId15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https://doi.org/10.15448/1980-8623.2023.1.39825</w:t>
        </w:r>
      </w:hyperlink>
    </w:p>
    <w:p w14:paraId="1DAD991C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Fuks,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M., &amp; Marques, P. H. (2022). Polarização e contexto: medindo e explicando a polarização política no Brasil.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Opinião Pública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(3), 560–593. </w:t>
      </w:r>
      <w:hyperlink r:id="rId16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https://doi.org/10.1590/1807-01912022283560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27D77B53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Iyengar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G.,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Lelkes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Y. (2012).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Affect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Ideology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A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Identity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Perspective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Polarization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Public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Opinion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Quarterly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76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(3), 405–431. </w:t>
      </w:r>
      <w:hyperlink r:id="rId17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https://doi.org/10.1093/poq/nfs038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10A2E2D1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Iyengar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Lelkes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Y.,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Levendusky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Malhotra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N., &amp; Westwood, S. J. (2019).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Origins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Consequences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Affective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Polarization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United States.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Annual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Review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Political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Science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(1), 129–146. </w:t>
      </w:r>
    </w:p>
    <w:p w14:paraId="53E4203A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Medeiros, P. M. (2018) Influência da ideologia partidária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na formalização de orçamentos participativos no Brasil. Tese de doutorado em Ciência Política. Instituto Universitário de Lisboa. </w:t>
      </w:r>
    </w:p>
    <w:p w14:paraId="71B522AA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Miguel, L. F. (2019) “Jornalismo, polarização política e a querela 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”, 1º de novembro de 2019, 2019–1984.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hyperlink r:id="rId18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https://doi.org/10.5007/1984-6924.2019v16n2p46</w:t>
        </w:r>
      </w:hyperlink>
    </w:p>
    <w:p w14:paraId="4CFFCC8B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Mouffe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 (1995)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Democratic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question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Rajchman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J. The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identity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question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New York: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Routledge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56C2D9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Nagy, A. (2022).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Geografia das eleições de 2022: o Brasil cortado em quatro.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Confins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57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hyperlink r:id="rId19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https://doi.org/10.4000/confins.49477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777DA3D8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Nicolau, J. (2020). O Brasil dobrou à direita: Uma radiografia da eleição de Bolsonaro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em 2018. In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Google Books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Zahar.</w:t>
      </w:r>
    </w:p>
    <w:p w14:paraId="2A038B55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Nunes, F.,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Traumann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T. (2023).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Biografia do abismo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HARLEQUIN. </w:t>
      </w:r>
    </w:p>
    <w:p w14:paraId="65050B14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Prado, M. A. M. (2002). Da mobilidade social à constituição da identidade política: reflexões em torno dos aspectos psicossociais das ações coletivas. P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sicologia em Revista, Belo Horizonte, v. 8, n. 11, p. 59-71 </w:t>
      </w:r>
      <w:hyperlink r:id="rId20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https://www.academia.edu/10697128/Da_mobilidade_social_%C3%A0_constitui</w:t>
        </w:r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%C3%A7%C3%A3o_da_identidade_pol%C3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0D86D7E2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Perez, O. C. (2021). Sistematização crítica das interpretações acadêmicas brasileiras sobre as Jornadas de Junho de 2013.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Revista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Izquierdas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53. </w:t>
      </w:r>
      <w:hyperlink r:id="rId21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https://dialnet.unirioja.es/servlet/articulo?codigo=8135314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914B5DF" w14:textId="77777777" w:rsidR="00742997" w:rsidRDefault="00382D75" w:rsidP="00DB5AC6">
      <w:pPr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Ramos, M. R., &amp; Alves, H. (2011). Adaptação de uma Escala Multidimensional de Identificação para Português.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PSICOLOGIA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(2), 23–38. </w:t>
      </w:r>
      <w:hyperlink r:id="rId22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https://doi.org/10.17575/rpsicol.v25i2.286</w:t>
        </w:r>
      </w:hyperlink>
    </w:p>
    <w:p w14:paraId="7A91EB66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Silva, G. J. (2014). Conceituações teóricas: esquerda e direita.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Humanidades Em Diálogo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6, 149–162. </w:t>
      </w:r>
      <w:hyperlink r:id="rId23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https://doi.org/10.11606/is</w:t>
        </w:r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sn.1982-7547.hd.2014.106265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4B009B85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Silva, M. P. (2020). As jornadas de junho.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Repositorio.unitau.br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hyperlink r:id="rId24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http://repositorio.unitau.br/jspui/handle/20.500.11874/5304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715B13B5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Soares, F. B. (2020)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“Polarização, fragmentação, desinformação e intolerância: dinâmicas problemáticas para a esfera pública nas discussões políticas no Twitter”. </w:t>
      </w:r>
      <w:hyperlink r:id="rId25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https://lume.ufrgs.br/handle/10183/2174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61 </w:t>
      </w:r>
    </w:p>
    <w:p w14:paraId="4E0FF127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L, H. (1969)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Cognitive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prejudice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Issues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25, 79-97. </w:t>
      </w:r>
    </w:p>
    <w:p w14:paraId="54A33C4F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L, H., &amp; Turner, J. C. (1986) The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behavior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Worchel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W. G. Austin (Eds.),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Psychology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intergroup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relations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(pp. 7-84)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Chicago: Nelson-Hall. </w:t>
      </w:r>
    </w:p>
    <w:p w14:paraId="154D860F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Tarouco, 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S., &amp; Madeira, R. M. (2013). Partidos, programas e o debate sobre esquerda e direita no Brasil.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Revista de Sociologia E Política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149–165. </w:t>
      </w:r>
      <w:hyperlink r:id="rId26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</w:t>
        </w:r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//doi.org/10.1590/S0104-44782013000100011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5A1C9B61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Techio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E. M.., Gondim, S. M. G., Batista, J.S. &amp; Hessel, B. (2023). Emoções. In A. R. R. Torres, M. E. O. Lima, E.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Techio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&amp; 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Camino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(Eds.), Psicologia social: temas e teorias (Capítulo 5). Editora Edgard Bl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ücher Ltda. </w:t>
      </w:r>
    </w:p>
    <w:p w14:paraId="1681BF58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Torres, A. R.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Camino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L. &amp; Silva, K.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(2023). GRUPO SOCIAL, RELAÇÕES INTERGRUPAIS E IDENTIDADE SOCIAL. In A. R. R. Torres, M. E. O. Lima, E.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Techio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&amp; 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Camino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(Eds.), Psicologia social: temas e teorias (Capítulo 10). Editora Edgard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Blücher Ltda. </w:t>
      </w:r>
    </w:p>
    <w:p w14:paraId="0A96440D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Veiga, M, A, C, M. (2017) Do comportamento político à psicologia política no Brasil: a história da psicologia política vista pelos participantes da Associação Brasileira de Psicologia Política. Dissertação de Mestrado em Psicologia Social, PUC São Paulo. </w:t>
      </w:r>
    </w:p>
    <w:p w14:paraId="41BD5939" w14:textId="77777777" w:rsidR="00742997" w:rsidRDefault="00382D75" w:rsidP="00DB5AC6">
      <w:pPr>
        <w:shd w:val="clear" w:color="auto" w:fill="FFFFFF"/>
        <w:spacing w:line="360" w:lineRule="auto"/>
        <w:ind w:left="680" w:hanging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Vilanova, F., Almeida-Segundo, D. S. de, Duarte, M. de Q., &amp; Costa, Â. B. (2022). Evidências de Validade da Escala de Orientação à Dominância Social no Brasil.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Psico-USF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(3), 437–449. </w:t>
      </w:r>
      <w:hyperlink r:id="rId27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</w:t>
        </w:r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//doi.org/10.1590/1413-82712024270303</w:t>
        </w:r>
      </w:hyperlink>
    </w:p>
    <w:p w14:paraId="1814C9E2" w14:textId="77777777" w:rsidR="00742997" w:rsidRDefault="00742997" w:rsidP="00DB5AC6">
      <w:pPr>
        <w:shd w:val="clear" w:color="auto" w:fill="FFFFFF"/>
        <w:spacing w:line="360" w:lineRule="auto"/>
        <w:ind w:left="680" w:hanging="680"/>
        <w:rPr>
          <w:sz w:val="24"/>
          <w:szCs w:val="24"/>
        </w:rPr>
      </w:pPr>
    </w:p>
    <w:sectPr w:rsidR="00742997" w:rsidSect="00416DD4">
      <w:footerReference w:type="default" r:id="rId28"/>
      <w:headerReference w:type="first" r:id="rId29"/>
      <w:footerReference w:type="first" r:id="rId30"/>
      <w:pgSz w:w="11909" w:h="16834"/>
      <w:pgMar w:top="1418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6BA9B" w14:textId="77777777" w:rsidR="00382D75" w:rsidRDefault="00382D75">
      <w:pPr>
        <w:spacing w:line="240" w:lineRule="auto"/>
      </w:pPr>
      <w:r>
        <w:separator/>
      </w:r>
    </w:p>
  </w:endnote>
  <w:endnote w:type="continuationSeparator" w:id="0">
    <w:p w14:paraId="6F00A4DF" w14:textId="77777777" w:rsidR="00382D75" w:rsidRDefault="00382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CC185" w14:textId="77777777" w:rsidR="00742997" w:rsidRDefault="00382D75">
    <w:pPr>
      <w:jc w:val="right"/>
    </w:pPr>
    <w:r>
      <w:fldChar w:fldCharType="begin"/>
    </w:r>
    <w:r>
      <w:instrText>PAGE</w:instrText>
    </w:r>
    <w:r>
      <w:fldChar w:fldCharType="separate"/>
    </w:r>
    <w:r w:rsidR="009D2215">
      <w:rPr>
        <w:noProof/>
      </w:rPr>
      <w:t>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8B5AF" w14:textId="77777777" w:rsidR="00742997" w:rsidRDefault="00382D75">
    <w:pPr>
      <w:jc w:val="right"/>
    </w:pPr>
    <w:r>
      <w:fldChar w:fldCharType="begin"/>
    </w:r>
    <w:r>
      <w:instrText>PAGE</w:instrText>
    </w:r>
    <w:r>
      <w:fldChar w:fldCharType="separate"/>
    </w:r>
    <w:r w:rsidR="009D22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13BFF" w14:textId="77777777" w:rsidR="00382D75" w:rsidRDefault="00382D75">
      <w:pPr>
        <w:spacing w:line="240" w:lineRule="auto"/>
      </w:pPr>
      <w:r>
        <w:separator/>
      </w:r>
    </w:p>
  </w:footnote>
  <w:footnote w:type="continuationSeparator" w:id="0">
    <w:p w14:paraId="38BFC4B2" w14:textId="77777777" w:rsidR="00382D75" w:rsidRDefault="00382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DF2B8" w14:textId="77777777" w:rsidR="00742997" w:rsidRDefault="00742997">
    <w:pPr>
      <w:spacing w:after="160" w:line="360" w:lineRule="auto"/>
      <w:ind w:left="2560"/>
      <w:jc w:val="right"/>
    </w:pPr>
  </w:p>
  <w:p w14:paraId="66A55508" w14:textId="77777777" w:rsidR="00742997" w:rsidRDefault="007429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97"/>
    <w:rsid w:val="00382D75"/>
    <w:rsid w:val="00416DD4"/>
    <w:rsid w:val="004B5B8E"/>
    <w:rsid w:val="00742997"/>
    <w:rsid w:val="009D2215"/>
    <w:rsid w:val="00B90CA3"/>
    <w:rsid w:val="00DB5AC6"/>
    <w:rsid w:val="00E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7C36"/>
  <w15:docId w15:val="{C231E1E6-5717-4957-BE5A-C7D21293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S2178-149420240111" TargetMode="External"/><Relationship Id="rId13" Type="http://schemas.openxmlformats.org/officeDocument/2006/relationships/hyperlink" Target="http://icts.unb.br/jspui/handle/10482/37008" TargetMode="External"/><Relationship Id="rId18" Type="http://schemas.openxmlformats.org/officeDocument/2006/relationships/hyperlink" Target="https://doi.org/10.5007/1984-6924.2019v16n2p46" TargetMode="External"/><Relationship Id="rId26" Type="http://schemas.openxmlformats.org/officeDocument/2006/relationships/hyperlink" Target="https://doi.org/10.1590/S0104-44782013000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alnet.unirioja.es/servlet/articulo?codigo=8135314" TargetMode="External"/><Relationship Id="rId7" Type="http://schemas.openxmlformats.org/officeDocument/2006/relationships/hyperlink" Target="https://ojs.fsg.edu.br/index.php/direito/article/view/242" TargetMode="External"/><Relationship Id="rId12" Type="http://schemas.openxmlformats.org/officeDocument/2006/relationships/hyperlink" Target="https://revistas.pucsp.br/index.php/aurora/article/view/22032" TargetMode="External"/><Relationship Id="rId17" Type="http://schemas.openxmlformats.org/officeDocument/2006/relationships/hyperlink" Target="https://doi.org/10.1093/poq/nfs038" TargetMode="External"/><Relationship Id="rId25" Type="http://schemas.openxmlformats.org/officeDocument/2006/relationships/hyperlink" Target="https://lume.ufrgs.br/handle/10183/2174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590/1807-01912022283560" TargetMode="External"/><Relationship Id="rId20" Type="http://schemas.openxmlformats.org/officeDocument/2006/relationships/hyperlink" Target="https://www.academia.edu/10697128/Da_mobilidade_social_%C3%A0_constitui%C3%A7%C3%A3o_da_identidade_pol%C3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i.org/10.33167/2184-2078.rpcp2019.12/pp.131-146" TargetMode="External"/><Relationship Id="rId11" Type="http://schemas.openxmlformats.org/officeDocument/2006/relationships/hyperlink" Target="https://repositorio-aberto.up.pt/handle/10216/124000" TargetMode="External"/><Relationship Id="rId24" Type="http://schemas.openxmlformats.org/officeDocument/2006/relationships/hyperlink" Target="http://repositorio.unitau.br/jspui/handle/20.500.11874/530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i.org/10.15448/1980-8623.2023.1.39825" TargetMode="External"/><Relationship Id="rId23" Type="http://schemas.openxmlformats.org/officeDocument/2006/relationships/hyperlink" Target="https://doi.org/10.11606/issn.1982-7547.hd.2014.106265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ialnet.unirioja.es/servlet/articulo?codigo=8800766" TargetMode="External"/><Relationship Id="rId19" Type="http://schemas.openxmlformats.org/officeDocument/2006/relationships/hyperlink" Target="https://doi.org/10.4000/confins.49477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36517/argumentos.25.3" TargetMode="External"/><Relationship Id="rId14" Type="http://schemas.openxmlformats.org/officeDocument/2006/relationships/hyperlink" Target="https://doi.org/10.1590/1807-0191202329142" TargetMode="External"/><Relationship Id="rId22" Type="http://schemas.openxmlformats.org/officeDocument/2006/relationships/hyperlink" Target="https://doi.org/10.17575/rpsicol.v25i2.286" TargetMode="External"/><Relationship Id="rId27" Type="http://schemas.openxmlformats.org/officeDocument/2006/relationships/hyperlink" Target="https://doi.org/10.1590/1413-82712024270303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7137</Words>
  <Characters>38546</Characters>
  <Application>Microsoft Office Word</Application>
  <DocSecurity>0</DocSecurity>
  <Lines>321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Thaís Albuquerque</cp:lastModifiedBy>
  <cp:revision>2</cp:revision>
  <dcterms:created xsi:type="dcterms:W3CDTF">2024-06-25T12:57:00Z</dcterms:created>
  <dcterms:modified xsi:type="dcterms:W3CDTF">2024-06-25T13:23:00Z</dcterms:modified>
</cp:coreProperties>
</file>