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B596A" w14:textId="0D8382F3" w:rsidR="007A3933" w:rsidRDefault="00E06010" w:rsidP="00E06010">
      <w:pPr>
        <w:pStyle w:val="Heading1"/>
        <w:jc w:val="center"/>
        <w:rPr>
          <w:rFonts w:ascii="Times New Roman" w:hAnsi="Times New Roman" w:cs="Times New Roman"/>
          <w:b/>
          <w:bCs/>
          <w:color w:val="auto"/>
          <w:sz w:val="28"/>
          <w:szCs w:val="28"/>
          <w:shd w:val="clear" w:color="auto" w:fill="FFFFFF"/>
        </w:rPr>
      </w:pPr>
      <w:r w:rsidRPr="00E06010">
        <w:rPr>
          <w:rFonts w:ascii="Times New Roman" w:hAnsi="Times New Roman" w:cs="Times New Roman"/>
          <w:b/>
          <w:bCs/>
          <w:color w:val="auto"/>
          <w:sz w:val="28"/>
          <w:szCs w:val="28"/>
          <w:shd w:val="clear" w:color="auto" w:fill="FFFFFF"/>
        </w:rPr>
        <w:t>The relation among attachment, trauma, and mentalization within the framework of Intimate Partner Violence</w:t>
      </w:r>
    </w:p>
    <w:p w14:paraId="7A50E459" w14:textId="77777777" w:rsidR="00C6200F" w:rsidRPr="003B6708" w:rsidRDefault="00C6200F" w:rsidP="00E06010">
      <w:pPr>
        <w:rPr>
          <w:lang w:val="en-US"/>
        </w:rPr>
      </w:pPr>
    </w:p>
    <w:p w14:paraId="75253FDA" w14:textId="62ECB95D" w:rsidR="00A56A50" w:rsidRPr="00A56A50" w:rsidRDefault="00A56A50" w:rsidP="00A56A50">
      <w:pPr>
        <w:pStyle w:val="Heading1"/>
        <w:rPr>
          <w:rFonts w:ascii="Times New Roman" w:hAnsi="Times New Roman" w:cs="Times New Roman"/>
          <w:b/>
          <w:bCs/>
          <w:color w:val="auto"/>
          <w:sz w:val="28"/>
          <w:szCs w:val="28"/>
        </w:rPr>
      </w:pPr>
      <w:r w:rsidRPr="00A56A50">
        <w:rPr>
          <w:rFonts w:ascii="Times New Roman" w:hAnsi="Times New Roman" w:cs="Times New Roman"/>
          <w:b/>
          <w:bCs/>
          <w:color w:val="auto"/>
          <w:sz w:val="28"/>
          <w:szCs w:val="28"/>
        </w:rPr>
        <w:t>Abstract</w:t>
      </w:r>
    </w:p>
    <w:p w14:paraId="422C4454" w14:textId="2B22CFDE" w:rsidR="00A56A50" w:rsidRPr="00A56A50" w:rsidRDefault="00A56A50" w:rsidP="00A56A50">
      <w:pPr>
        <w:spacing w:after="0" w:line="360" w:lineRule="auto"/>
        <w:jc w:val="both"/>
        <w:rPr>
          <w:rFonts w:ascii="Times New Roman" w:hAnsi="Times New Roman" w:cs="Times New Roman"/>
          <w:sz w:val="24"/>
          <w:szCs w:val="24"/>
          <w:lang w:val="en-US"/>
        </w:rPr>
      </w:pPr>
      <w:r w:rsidRPr="00A56A50">
        <w:rPr>
          <w:rFonts w:ascii="Times New Roman" w:hAnsi="Times New Roman" w:cs="Times New Roman"/>
          <w:sz w:val="24"/>
          <w:szCs w:val="24"/>
        </w:rPr>
        <w:t xml:space="preserve">Intimate Partner Violence (IPV) is a byproduct of complex social power dynamics, characterized by actions that result in harm stemming from gender disparities. This study aims to explore the phenomenon of IPV by delving into its primary features, prevalence, and the intricate relationship between IPV, attachment styles, trauma experiences, and mentalization processes in females impacted by IPV. A comparative analysis of data was conducted across a wide spectrum encompassing Albania, the Western Balkans, and the European Union market, based on secondary data. Then, an in-depth analysis to comprehend the features of IPV, the role of attachment, </w:t>
      </w:r>
      <w:r>
        <w:rPr>
          <w:rFonts w:ascii="Times New Roman" w:hAnsi="Times New Roman" w:cs="Times New Roman"/>
          <w:sz w:val="24"/>
          <w:szCs w:val="24"/>
        </w:rPr>
        <w:t>trauma</w:t>
      </w:r>
      <w:r w:rsidR="00514FE2">
        <w:rPr>
          <w:rFonts w:ascii="Times New Roman" w:hAnsi="Times New Roman" w:cs="Times New Roman"/>
          <w:sz w:val="24"/>
          <w:szCs w:val="24"/>
        </w:rPr>
        <w:t>,</w:t>
      </w:r>
      <w:r>
        <w:rPr>
          <w:rFonts w:ascii="Times New Roman" w:hAnsi="Times New Roman" w:cs="Times New Roman"/>
          <w:sz w:val="24"/>
          <w:szCs w:val="24"/>
        </w:rPr>
        <w:t xml:space="preserve"> </w:t>
      </w:r>
      <w:r w:rsidRPr="00A56A50">
        <w:rPr>
          <w:rFonts w:ascii="Times New Roman" w:hAnsi="Times New Roman" w:cs="Times New Roman"/>
          <w:sz w:val="24"/>
          <w:szCs w:val="24"/>
        </w:rPr>
        <w:t xml:space="preserve">and mentalization was conducted with a sample of 30 IPV victims in Domestic Violence centers in Albania.  The results suggest a notable prevalence of insecure attachment within this demographic, which plays a role in shaping their interpersonal connections. Within the analyzed sample, maternal and paternal neglect, rejection, and over-involvement of the mother emerge as the most prevalent forms of traumatic experiences, supporting the data derived from the Adult Attachment Interview and experience scales. The findings underscore the importance of developing a sense of closeness and establishing a strong therapeutic connection with the subject to help them find a way toward well-being. There is also a </w:t>
      </w:r>
      <w:r w:rsidRPr="00A56A50">
        <w:rPr>
          <w:rFonts w:ascii="Times New Roman" w:hAnsi="Times New Roman" w:cs="Times New Roman"/>
          <w:sz w:val="24"/>
          <w:szCs w:val="24"/>
          <w:lang w:val="en-US"/>
        </w:rPr>
        <w:t>need for more rigorous studies to generate outcomes that can foster a shared knowledge base and competencies for devising comprehensive intervention protocols in service providers and policymakers in the area.</w:t>
      </w:r>
    </w:p>
    <w:p w14:paraId="4EEF7332" w14:textId="5B7A9797" w:rsidR="00E06010" w:rsidRPr="00A56A50" w:rsidRDefault="00A56A50" w:rsidP="00A56A50">
      <w:pPr>
        <w:spacing w:after="0"/>
        <w:jc w:val="both"/>
        <w:rPr>
          <w:rFonts w:ascii="Times New Roman" w:hAnsi="Times New Roman" w:cs="Times New Roman"/>
          <w:i/>
          <w:iCs/>
          <w:sz w:val="24"/>
          <w:szCs w:val="24"/>
          <w:lang w:val="en-US"/>
        </w:rPr>
      </w:pPr>
      <w:r w:rsidRPr="00A56A50">
        <w:rPr>
          <w:rFonts w:ascii="Times New Roman" w:hAnsi="Times New Roman" w:cs="Times New Roman"/>
          <w:b/>
          <w:bCs/>
          <w:i/>
          <w:iCs/>
          <w:sz w:val="24"/>
          <w:szCs w:val="24"/>
          <w:lang w:val="en-US"/>
        </w:rPr>
        <w:t>Keywords:</w:t>
      </w:r>
      <w:r>
        <w:rPr>
          <w:rFonts w:ascii="Times New Roman" w:hAnsi="Times New Roman" w:cs="Times New Roman"/>
          <w:sz w:val="24"/>
          <w:szCs w:val="24"/>
          <w:lang w:val="en-US"/>
        </w:rPr>
        <w:t xml:space="preserve"> </w:t>
      </w:r>
      <w:r w:rsidRPr="00A56A50">
        <w:rPr>
          <w:rFonts w:ascii="Times New Roman" w:hAnsi="Times New Roman" w:cs="Times New Roman"/>
          <w:i/>
          <w:iCs/>
          <w:sz w:val="24"/>
          <w:szCs w:val="24"/>
          <w:lang w:val="en-US"/>
        </w:rPr>
        <w:t>Intimate Partner Violence, Attachment, Trauma, Mentalization, Gender-based treatment</w:t>
      </w:r>
    </w:p>
    <w:p w14:paraId="118B8E06" w14:textId="56439A87" w:rsidR="007A3933" w:rsidRPr="009707F7" w:rsidRDefault="007A3933" w:rsidP="00454FD8">
      <w:pPr>
        <w:pStyle w:val="Heading1"/>
        <w:rPr>
          <w:rFonts w:ascii="Times New Roman" w:hAnsi="Times New Roman" w:cs="Times New Roman"/>
          <w:color w:val="auto"/>
          <w:sz w:val="28"/>
          <w:szCs w:val="28"/>
          <w:shd w:val="clear" w:color="auto" w:fill="FFFFFF"/>
          <w:lang w:val="en-US"/>
        </w:rPr>
      </w:pPr>
      <w:r w:rsidRPr="009707F7">
        <w:rPr>
          <w:rFonts w:ascii="Times New Roman" w:hAnsi="Times New Roman" w:cs="Times New Roman"/>
          <w:color w:val="auto"/>
          <w:sz w:val="28"/>
          <w:szCs w:val="28"/>
          <w:shd w:val="clear" w:color="auto" w:fill="FFFFFF"/>
          <w:lang w:val="en-US"/>
        </w:rPr>
        <w:t>Introduction</w:t>
      </w:r>
    </w:p>
    <w:p w14:paraId="4DA62655" w14:textId="3D42911D" w:rsidR="006F3E2D" w:rsidRPr="0059328C" w:rsidRDefault="00BE66FB" w:rsidP="0059328C">
      <w:pPr>
        <w:spacing w:after="0" w:line="360" w:lineRule="auto"/>
        <w:jc w:val="both"/>
        <w:rPr>
          <w:rFonts w:ascii="Times New Roman" w:eastAsia="Times New Roman" w:hAnsi="Times New Roman" w:cs="Times New Roman"/>
          <w:kern w:val="0"/>
          <w:sz w:val="24"/>
          <w:szCs w:val="24"/>
          <w:lang w:val="en-US" w:eastAsia="it-IT"/>
          <w14:ligatures w14:val="none"/>
        </w:rPr>
      </w:pPr>
      <w:r w:rsidRPr="0059328C">
        <w:rPr>
          <w:rFonts w:ascii="Times New Roman" w:hAnsi="Times New Roman" w:cs="Times New Roman"/>
          <w:color w:val="000000"/>
          <w:sz w:val="24"/>
          <w:szCs w:val="24"/>
          <w:shd w:val="clear" w:color="auto" w:fill="FFFFFF"/>
          <w:lang w:val="en-US"/>
        </w:rPr>
        <w:t xml:space="preserve">Research on each specific type of violence, abuse, and mistreatment has evolved independently, leading to the creation of distinct theories, empirical evidence, and strategies for intervention and </w:t>
      </w:r>
      <w:r w:rsidR="00DE2A52" w:rsidRPr="0059328C">
        <w:rPr>
          <w:rFonts w:ascii="Times New Roman" w:hAnsi="Times New Roman" w:cs="Times New Roman"/>
          <w:color w:val="000000"/>
          <w:sz w:val="24"/>
          <w:szCs w:val="24"/>
          <w:shd w:val="clear" w:color="auto" w:fill="FFFFFF"/>
          <w:lang w:val="en-US"/>
        </w:rPr>
        <w:t>prevention (</w:t>
      </w:r>
      <w:r w:rsidR="00B53F5E" w:rsidRPr="0059328C">
        <w:rPr>
          <w:rFonts w:ascii="Times New Roman" w:hAnsi="Times New Roman" w:cs="Times New Roman"/>
          <w:color w:val="000000"/>
          <w:sz w:val="24"/>
          <w:szCs w:val="24"/>
          <w:shd w:val="clear" w:color="auto" w:fill="FFFFFF"/>
          <w:lang w:val="en-US"/>
        </w:rPr>
        <w:t>Bagwell-Gray et al.,2015</w:t>
      </w:r>
      <w:r w:rsidRPr="0059328C">
        <w:rPr>
          <w:rFonts w:ascii="Times New Roman" w:hAnsi="Times New Roman" w:cs="Times New Roman"/>
          <w:color w:val="000000"/>
          <w:sz w:val="24"/>
          <w:szCs w:val="24"/>
          <w:shd w:val="clear" w:color="auto" w:fill="FFFFFF"/>
          <w:lang w:val="en-US"/>
        </w:rPr>
        <w:t>). Research on the co-occurrence of victimization and perpetration suggests that the majority, if not all, types of interpersonal violence are interconnected (Hamby &amp; Grych, 201</w:t>
      </w:r>
      <w:r w:rsidR="00537850" w:rsidRPr="0059328C">
        <w:rPr>
          <w:rFonts w:ascii="Times New Roman" w:hAnsi="Times New Roman" w:cs="Times New Roman"/>
          <w:color w:val="000000"/>
          <w:sz w:val="24"/>
          <w:szCs w:val="24"/>
          <w:shd w:val="clear" w:color="auto" w:fill="FFFFFF"/>
          <w:lang w:val="en-US"/>
        </w:rPr>
        <w:t>4; Kelly et al.,2008; Jewkens,2002</w:t>
      </w:r>
      <w:r w:rsidRPr="0059328C">
        <w:rPr>
          <w:rFonts w:ascii="Times New Roman" w:hAnsi="Times New Roman" w:cs="Times New Roman"/>
          <w:color w:val="000000"/>
          <w:sz w:val="24"/>
          <w:szCs w:val="24"/>
          <w:shd w:val="clear" w:color="auto" w:fill="FFFFFF"/>
          <w:lang w:val="en-US"/>
        </w:rPr>
        <w:t>). Exposure to abuse and violence in childhood significantly heightens the likelihood of both perpetration and victimization in various contexts</w:t>
      </w:r>
      <w:r w:rsidR="00DC71B1" w:rsidRPr="0059328C">
        <w:rPr>
          <w:rFonts w:ascii="Times New Roman" w:hAnsi="Times New Roman" w:cs="Times New Roman"/>
          <w:color w:val="000000"/>
          <w:sz w:val="24"/>
          <w:szCs w:val="24"/>
          <w:shd w:val="clear" w:color="auto" w:fill="FFFFFF"/>
          <w:lang w:val="en-US"/>
        </w:rPr>
        <w:t xml:space="preserve"> </w:t>
      </w:r>
      <w:r w:rsidRPr="0059328C">
        <w:rPr>
          <w:rFonts w:ascii="Times New Roman" w:hAnsi="Times New Roman" w:cs="Times New Roman"/>
          <w:color w:val="000000"/>
          <w:sz w:val="24"/>
          <w:szCs w:val="24"/>
          <w:shd w:val="clear" w:color="auto" w:fill="FFFFFF"/>
          <w:lang w:val="en-US"/>
        </w:rPr>
        <w:t>when individuals who encounter violence in one setting often experience it in at least one other (</w:t>
      </w:r>
      <w:r w:rsidR="00DC71B1" w:rsidRPr="0059328C">
        <w:rPr>
          <w:rFonts w:ascii="Times New Roman" w:hAnsi="Times New Roman" w:cs="Times New Roman"/>
          <w:color w:val="000000"/>
          <w:sz w:val="24"/>
          <w:szCs w:val="24"/>
          <w:shd w:val="clear" w:color="auto" w:fill="FFFFFF"/>
          <w:lang w:val="en-US"/>
        </w:rPr>
        <w:t>Plouffe et al.,2020</w:t>
      </w:r>
      <w:r w:rsidRPr="0059328C">
        <w:rPr>
          <w:rFonts w:ascii="Times New Roman" w:hAnsi="Times New Roman" w:cs="Times New Roman"/>
          <w:color w:val="000000"/>
          <w:sz w:val="24"/>
          <w:szCs w:val="24"/>
          <w:shd w:val="clear" w:color="auto" w:fill="FFFFFF"/>
          <w:lang w:val="en-US"/>
        </w:rPr>
        <w:t xml:space="preserve">). Acknowledging the </w:t>
      </w:r>
      <w:r w:rsidR="00DC71B1" w:rsidRPr="0059328C">
        <w:rPr>
          <w:rFonts w:ascii="Times New Roman" w:hAnsi="Times New Roman" w:cs="Times New Roman"/>
          <w:color w:val="000000"/>
          <w:sz w:val="24"/>
          <w:szCs w:val="24"/>
          <w:shd w:val="clear" w:color="auto" w:fill="FFFFFF"/>
          <w:lang w:val="en-US"/>
        </w:rPr>
        <w:t xml:space="preserve">relations </w:t>
      </w:r>
      <w:r w:rsidRPr="0059328C">
        <w:rPr>
          <w:rFonts w:ascii="Times New Roman" w:hAnsi="Times New Roman" w:cs="Times New Roman"/>
          <w:color w:val="000000"/>
          <w:sz w:val="24"/>
          <w:szCs w:val="24"/>
          <w:shd w:val="clear" w:color="auto" w:fill="FFFFFF"/>
          <w:lang w:val="en-US"/>
        </w:rPr>
        <w:t xml:space="preserve">between different forms of violence carries important implications for both research and practical applications. While the specialization within </w:t>
      </w:r>
      <w:r w:rsidRPr="0059328C">
        <w:rPr>
          <w:rFonts w:ascii="Times New Roman" w:hAnsi="Times New Roman" w:cs="Times New Roman"/>
          <w:color w:val="000000"/>
          <w:sz w:val="24"/>
          <w:szCs w:val="24"/>
          <w:shd w:val="clear" w:color="auto" w:fill="FFFFFF"/>
          <w:lang w:val="en-US"/>
        </w:rPr>
        <w:lastRenderedPageBreak/>
        <w:t>the violence field has played a role in drawing attention to crucial issues related to public health and personal well-being, it is essential to note that a comprehensive consideration of various factors, in conjunction with individuals' personal histories, is imperative to understand the cyclical nature of different manifestations of violence.</w:t>
      </w:r>
      <w:r w:rsidR="00273211" w:rsidRPr="0059328C">
        <w:rPr>
          <w:rFonts w:ascii="Times New Roman" w:hAnsi="Times New Roman" w:cs="Times New Roman"/>
          <w:color w:val="000000"/>
          <w:sz w:val="24"/>
          <w:szCs w:val="24"/>
          <w:shd w:val="clear" w:color="auto" w:fill="FFFFFF"/>
          <w:lang w:val="en-US"/>
        </w:rPr>
        <w:t xml:space="preserve"> </w:t>
      </w:r>
      <w:r w:rsidR="00F822B8" w:rsidRPr="0059328C">
        <w:rPr>
          <w:rFonts w:ascii="Times New Roman" w:hAnsi="Times New Roman" w:cs="Times New Roman"/>
          <w:sz w:val="24"/>
          <w:szCs w:val="24"/>
          <w:lang w:val="en-US"/>
        </w:rPr>
        <w:t xml:space="preserve">In Europe, violence against women, including Intimate Partner Violence, is one of the most serious forms of gender-based human rights violations and is defined as </w:t>
      </w:r>
      <w:r w:rsidR="00C339F6" w:rsidRPr="0059328C">
        <w:rPr>
          <w:rFonts w:ascii="Times New Roman" w:hAnsi="Times New Roman" w:cs="Times New Roman"/>
          <w:sz w:val="24"/>
          <w:szCs w:val="24"/>
          <w:lang w:val="en-US"/>
        </w:rPr>
        <w:t>“</w:t>
      </w:r>
      <w:r w:rsidR="00F822B8" w:rsidRPr="0059328C">
        <w:rPr>
          <w:rFonts w:ascii="Times New Roman" w:hAnsi="Times New Roman" w:cs="Times New Roman"/>
          <w:i/>
          <w:iCs/>
          <w:sz w:val="24"/>
          <w:szCs w:val="24"/>
          <w:lang w:val="en-US"/>
        </w:rPr>
        <w:t>a manifestation of the historically unequal power relations between the sexes, which have led to domination over women and discrimination against them by men and prevented their full emancipation</w:t>
      </w:r>
      <w:r w:rsidR="00C339F6" w:rsidRPr="0059328C">
        <w:rPr>
          <w:rFonts w:ascii="Times New Roman" w:hAnsi="Times New Roman" w:cs="Times New Roman"/>
          <w:i/>
          <w:iCs/>
          <w:sz w:val="24"/>
          <w:szCs w:val="24"/>
          <w:lang w:val="en-US"/>
        </w:rPr>
        <w:t>”</w:t>
      </w:r>
      <w:r w:rsidR="00F822B8" w:rsidRPr="0059328C">
        <w:rPr>
          <w:rFonts w:ascii="Times New Roman" w:hAnsi="Times New Roman" w:cs="Times New Roman"/>
          <w:sz w:val="24"/>
          <w:szCs w:val="24"/>
          <w:lang w:val="en-US"/>
        </w:rPr>
        <w:t xml:space="preserve">. These words open the explanatory </w:t>
      </w:r>
      <w:r w:rsidR="00514FE2" w:rsidRPr="0059328C">
        <w:rPr>
          <w:rFonts w:ascii="Times New Roman" w:hAnsi="Times New Roman" w:cs="Times New Roman"/>
          <w:sz w:val="24"/>
          <w:szCs w:val="24"/>
          <w:lang w:val="en-US"/>
        </w:rPr>
        <w:t>R</w:t>
      </w:r>
      <w:r w:rsidR="00F822B8" w:rsidRPr="0059328C">
        <w:rPr>
          <w:rFonts w:ascii="Times New Roman" w:hAnsi="Times New Roman" w:cs="Times New Roman"/>
          <w:sz w:val="24"/>
          <w:szCs w:val="24"/>
          <w:lang w:val="en-US"/>
        </w:rPr>
        <w:t xml:space="preserve">eport of the Council of Europe Convention on preventing and combating violence against women and domestic violence (2011), which entered into force on 1 August 2014 and </w:t>
      </w:r>
      <w:r w:rsidR="00273211" w:rsidRPr="0059328C">
        <w:rPr>
          <w:rFonts w:ascii="Times New Roman" w:hAnsi="Times New Roman" w:cs="Times New Roman"/>
          <w:sz w:val="24"/>
          <w:szCs w:val="24"/>
          <w:lang w:val="en-US"/>
        </w:rPr>
        <w:t xml:space="preserve">is </w:t>
      </w:r>
      <w:r w:rsidR="00F822B8" w:rsidRPr="0059328C">
        <w:rPr>
          <w:rFonts w:ascii="Times New Roman" w:hAnsi="Times New Roman" w:cs="Times New Roman"/>
          <w:sz w:val="24"/>
          <w:szCs w:val="24"/>
          <w:lang w:val="en-US"/>
        </w:rPr>
        <w:t xml:space="preserve">known more briefly as the Istanbul Convention. In its gravity, the need to guarantee women effective protection of fundamental rights has long been the subject of attention by international law. The Istanbul Convention represents an important moment of political and legal awareness of both the deep cultural roots of gender violence, including Intimate Partner Violence (IPV), and the transcultural character of a phenomenon that is widespread across many countries. It defines an integrated model for combating violence against women and violence in intimate relationships, which requires states to adopt legal reforms and political measures aimed at promoting profound changes in the mentality and customs of men and women </w:t>
      </w:r>
      <w:r w:rsidR="00DE2A52" w:rsidRPr="0059328C">
        <w:rPr>
          <w:rFonts w:ascii="Times New Roman" w:hAnsi="Times New Roman" w:cs="Times New Roman"/>
          <w:sz w:val="24"/>
          <w:szCs w:val="24"/>
          <w:lang w:val="en-US"/>
        </w:rPr>
        <w:t>themselves (</w:t>
      </w:r>
      <w:r w:rsidR="004C481D" w:rsidRPr="0059328C">
        <w:rPr>
          <w:rFonts w:ascii="Times New Roman" w:hAnsi="Times New Roman" w:cs="Times New Roman"/>
          <w:sz w:val="24"/>
          <w:szCs w:val="24"/>
          <w:lang w:val="en-US"/>
        </w:rPr>
        <w:t>see</w:t>
      </w:r>
      <w:r w:rsidR="006F4E7A" w:rsidRPr="0059328C">
        <w:rPr>
          <w:rFonts w:ascii="Times New Roman" w:hAnsi="Times New Roman" w:cs="Times New Roman"/>
          <w:sz w:val="24"/>
          <w:szCs w:val="24"/>
          <w:lang w:val="en-US"/>
        </w:rPr>
        <w:t xml:space="preserve"> for more</w:t>
      </w:r>
      <w:r w:rsidR="004C481D" w:rsidRPr="0059328C">
        <w:rPr>
          <w:rFonts w:ascii="Times New Roman" w:hAnsi="Times New Roman" w:cs="Times New Roman"/>
          <w:sz w:val="24"/>
          <w:szCs w:val="24"/>
          <w:lang w:val="en-US"/>
        </w:rPr>
        <w:t xml:space="preserve"> Article 12 para.1 of the Istanbul Convention). This Convention presents a holistic strategy to tackle violence against women and within intimate partnerships, calling upon nations to enact legal reforms and initiatives for raising awareness. Education assumes a critical role in the prevention of violence by questioning societal conventions that sustain gender </w:t>
      </w:r>
      <w:r w:rsidR="00DE2A52" w:rsidRPr="0059328C">
        <w:rPr>
          <w:rFonts w:ascii="Times New Roman" w:hAnsi="Times New Roman" w:cs="Times New Roman"/>
          <w:sz w:val="24"/>
          <w:szCs w:val="24"/>
          <w:lang w:val="en-US"/>
        </w:rPr>
        <w:t>disparities (</w:t>
      </w:r>
      <w:r w:rsidR="00514FE2" w:rsidRPr="0059328C">
        <w:rPr>
          <w:rFonts w:ascii="Times New Roman" w:hAnsi="Times New Roman" w:cs="Times New Roman"/>
          <w:sz w:val="24"/>
          <w:szCs w:val="24"/>
          <w:lang w:val="en-US"/>
        </w:rPr>
        <w:t xml:space="preserve">Chege,2013; </w:t>
      </w:r>
      <w:r w:rsidR="00514FE2" w:rsidRPr="0059328C">
        <w:rPr>
          <w:rFonts w:ascii="Times New Roman" w:eastAsia="Times New Roman" w:hAnsi="Times New Roman" w:cs="Times New Roman"/>
          <w:kern w:val="0"/>
          <w:sz w:val="24"/>
          <w:szCs w:val="24"/>
          <w:lang w:val="en-US" w:eastAsia="it-IT"/>
          <w14:ligatures w14:val="none"/>
        </w:rPr>
        <w:t>Meyersfeld, 2012)</w:t>
      </w:r>
      <w:r w:rsidR="004C481D" w:rsidRPr="0059328C">
        <w:rPr>
          <w:rFonts w:ascii="Times New Roman" w:hAnsi="Times New Roman" w:cs="Times New Roman"/>
          <w:sz w:val="24"/>
          <w:szCs w:val="24"/>
          <w:lang w:val="en-US"/>
        </w:rPr>
        <w:t>.</w:t>
      </w:r>
      <w:r w:rsidR="00273211" w:rsidRPr="0059328C">
        <w:rPr>
          <w:rFonts w:ascii="Times New Roman" w:hAnsi="Times New Roman" w:cs="Times New Roman"/>
          <w:sz w:val="24"/>
          <w:szCs w:val="24"/>
          <w:lang w:val="en-US"/>
        </w:rPr>
        <w:t xml:space="preserve"> </w:t>
      </w:r>
      <w:r w:rsidR="004C481D" w:rsidRPr="0059328C">
        <w:rPr>
          <w:rFonts w:ascii="Times New Roman" w:hAnsi="Times New Roman" w:cs="Times New Roman"/>
          <w:sz w:val="24"/>
          <w:szCs w:val="24"/>
          <w:lang w:val="en-US"/>
        </w:rPr>
        <w:t xml:space="preserve">Various efforts, encompassing awareness campaigns </w:t>
      </w:r>
      <w:r w:rsidR="00DE2A52" w:rsidRPr="0059328C">
        <w:rPr>
          <w:rFonts w:ascii="Times New Roman" w:hAnsi="Times New Roman" w:cs="Times New Roman"/>
          <w:sz w:val="24"/>
          <w:szCs w:val="24"/>
          <w:lang w:val="en-US"/>
        </w:rPr>
        <w:t>(Articles</w:t>
      </w:r>
      <w:r w:rsidR="004C481D" w:rsidRPr="0059328C">
        <w:rPr>
          <w:rFonts w:ascii="Times New Roman" w:hAnsi="Times New Roman" w:cs="Times New Roman"/>
          <w:sz w:val="24"/>
          <w:szCs w:val="24"/>
          <w:lang w:val="en-US"/>
        </w:rPr>
        <w:t xml:space="preserve"> 11 and 13), educational schemes, and professional development, strive to foster gender parity and provide support to </w:t>
      </w:r>
      <w:r w:rsidR="00DE2A52" w:rsidRPr="0059328C">
        <w:rPr>
          <w:rFonts w:ascii="Times New Roman" w:hAnsi="Times New Roman" w:cs="Times New Roman"/>
          <w:sz w:val="24"/>
          <w:szCs w:val="24"/>
          <w:lang w:val="en-US"/>
        </w:rPr>
        <w:t>victims (</w:t>
      </w:r>
      <w:r w:rsidR="006F4E7A" w:rsidRPr="0059328C">
        <w:rPr>
          <w:rFonts w:ascii="Times New Roman" w:hAnsi="Times New Roman" w:cs="Times New Roman"/>
          <w:sz w:val="24"/>
          <w:szCs w:val="24"/>
          <w:lang w:val="en-US"/>
        </w:rPr>
        <w:t xml:space="preserve">Articles </w:t>
      </w:r>
      <w:r w:rsidR="004C481D" w:rsidRPr="0059328C">
        <w:rPr>
          <w:rFonts w:ascii="Times New Roman" w:hAnsi="Times New Roman" w:cs="Times New Roman"/>
          <w:sz w:val="24"/>
          <w:szCs w:val="24"/>
          <w:lang w:val="en-US"/>
        </w:rPr>
        <w:t xml:space="preserve">14,15 and 17 of the Convention). Despite encountering obstacles like scarce resources and financial restrictions, facilities and services dedicated to combating violence persist in aiding women impacted by Intimate Partner Violence in seeking assistance and </w:t>
      </w:r>
      <w:r w:rsidR="00DE2A52" w:rsidRPr="0059328C">
        <w:rPr>
          <w:rFonts w:ascii="Times New Roman" w:hAnsi="Times New Roman" w:cs="Times New Roman"/>
          <w:sz w:val="24"/>
          <w:szCs w:val="24"/>
          <w:lang w:val="en-US"/>
        </w:rPr>
        <w:t>counsel (</w:t>
      </w:r>
      <w:r w:rsidR="0059328C" w:rsidRPr="0059328C">
        <w:rPr>
          <w:rFonts w:ascii="Times New Roman" w:hAnsi="Times New Roman" w:cs="Times New Roman"/>
          <w:sz w:val="24"/>
          <w:szCs w:val="24"/>
          <w:lang w:val="en-US"/>
        </w:rPr>
        <w:t>Meyersfeld,2012)</w:t>
      </w:r>
      <w:r w:rsidR="004C481D" w:rsidRPr="0059328C">
        <w:rPr>
          <w:rFonts w:ascii="Times New Roman" w:hAnsi="Times New Roman" w:cs="Times New Roman"/>
          <w:sz w:val="24"/>
          <w:szCs w:val="24"/>
          <w:lang w:val="en-US"/>
        </w:rPr>
        <w:t>.</w:t>
      </w:r>
      <w:r w:rsidR="00FA38E0" w:rsidRPr="0059328C">
        <w:rPr>
          <w:rFonts w:ascii="Times New Roman" w:hAnsi="Times New Roman" w:cs="Times New Roman"/>
          <w:sz w:val="24"/>
          <w:szCs w:val="24"/>
          <w:lang w:val="en-US"/>
        </w:rPr>
        <w:t xml:space="preserve"> When discussing IPV and potential interventions, various definitions and classifications that have evolved depending on cultural influences, linguistic contexts, or underlying theoretical frameworks are </w:t>
      </w:r>
      <w:r w:rsidR="00DE2A52" w:rsidRPr="0059328C">
        <w:rPr>
          <w:rFonts w:ascii="Times New Roman" w:hAnsi="Times New Roman" w:cs="Times New Roman"/>
          <w:sz w:val="24"/>
          <w:szCs w:val="24"/>
          <w:lang w:val="en-US"/>
        </w:rPr>
        <w:t>encountered (Kelly</w:t>
      </w:r>
      <w:r w:rsidR="0059328C" w:rsidRPr="0059328C">
        <w:rPr>
          <w:rFonts w:ascii="Times New Roman" w:hAnsi="Times New Roman" w:cs="Times New Roman"/>
          <w:sz w:val="24"/>
          <w:szCs w:val="24"/>
          <w:lang w:val="en-US"/>
        </w:rPr>
        <w:t xml:space="preserve"> et al.,2008)</w:t>
      </w:r>
      <w:r w:rsidR="00FA38E0" w:rsidRPr="0059328C">
        <w:rPr>
          <w:rFonts w:ascii="Times New Roman" w:hAnsi="Times New Roman" w:cs="Times New Roman"/>
          <w:sz w:val="24"/>
          <w:szCs w:val="24"/>
          <w:lang w:val="en-US"/>
        </w:rPr>
        <w:t>. Most intervention approaches and global policies primarily target women, children, and subsequently the perpetrators of violence. Currently, shelters and anti-violence facilities remain the cornerstone of addressing this issue (</w:t>
      </w:r>
      <w:r w:rsidR="0059328C" w:rsidRPr="0059328C">
        <w:rPr>
          <w:rFonts w:ascii="Times New Roman" w:eastAsia="Times New Roman" w:hAnsi="Times New Roman" w:cs="Times New Roman"/>
          <w:kern w:val="0"/>
          <w:sz w:val="24"/>
          <w:szCs w:val="24"/>
          <w:lang w:val="en-US" w:eastAsia="it-IT"/>
          <w14:ligatures w14:val="none"/>
        </w:rPr>
        <w:t>Fernández‐González et al., 2018; Clevenger et al.,2009</w:t>
      </w:r>
      <w:r w:rsidR="00FA38E0" w:rsidRPr="0059328C">
        <w:rPr>
          <w:rFonts w:ascii="Times New Roman" w:hAnsi="Times New Roman" w:cs="Times New Roman"/>
          <w:sz w:val="24"/>
          <w:szCs w:val="24"/>
          <w:lang w:val="en-US"/>
        </w:rPr>
        <w:t>).</w:t>
      </w:r>
      <w:r w:rsidR="006F3E2D" w:rsidRPr="0059328C">
        <w:rPr>
          <w:rFonts w:ascii="Times New Roman" w:hAnsi="Times New Roman" w:cs="Times New Roman"/>
          <w:color w:val="000000"/>
          <w:sz w:val="24"/>
          <w:szCs w:val="24"/>
          <w:shd w:val="clear" w:color="auto" w:fill="FFFFFF"/>
          <w:lang w:val="en-US"/>
        </w:rPr>
        <w:t xml:space="preserve"> </w:t>
      </w:r>
      <w:r w:rsidR="006F3E2D" w:rsidRPr="0059328C">
        <w:rPr>
          <w:rFonts w:ascii="Times New Roman" w:hAnsi="Times New Roman" w:cs="Times New Roman"/>
          <w:sz w:val="24"/>
          <w:szCs w:val="24"/>
          <w:lang w:val="en-US"/>
        </w:rPr>
        <w:t>By conducting thorough on-site investigations, this study aims to explore Intimate Partner Violence by delving into its primary features, and prevalence</w:t>
      </w:r>
      <w:r w:rsidR="006F4E7A" w:rsidRPr="0059328C">
        <w:rPr>
          <w:rFonts w:ascii="Times New Roman" w:hAnsi="Times New Roman" w:cs="Times New Roman"/>
          <w:sz w:val="24"/>
          <w:szCs w:val="24"/>
          <w:lang w:val="en-US"/>
        </w:rPr>
        <w:t>,</w:t>
      </w:r>
      <w:r w:rsidR="006F3E2D" w:rsidRPr="0059328C">
        <w:rPr>
          <w:rFonts w:ascii="Times New Roman" w:hAnsi="Times New Roman" w:cs="Times New Roman"/>
          <w:sz w:val="24"/>
          <w:szCs w:val="24"/>
          <w:lang w:val="en-US"/>
        </w:rPr>
        <w:t xml:space="preserve"> and the intricate relationship between IPV, attachment styles, trauma experiences, and mentalization processes</w:t>
      </w:r>
      <w:r w:rsidR="006F4E7A" w:rsidRPr="0059328C">
        <w:rPr>
          <w:rFonts w:ascii="Times New Roman" w:hAnsi="Times New Roman" w:cs="Times New Roman"/>
          <w:sz w:val="24"/>
          <w:szCs w:val="24"/>
          <w:lang w:val="en-US"/>
        </w:rPr>
        <w:t xml:space="preserve"> in IPV victims</w:t>
      </w:r>
      <w:r w:rsidR="006F3E2D" w:rsidRPr="0059328C">
        <w:rPr>
          <w:rFonts w:ascii="Times New Roman" w:hAnsi="Times New Roman" w:cs="Times New Roman"/>
          <w:sz w:val="24"/>
          <w:szCs w:val="24"/>
          <w:lang w:val="en-US"/>
        </w:rPr>
        <w:t>.</w:t>
      </w:r>
    </w:p>
    <w:p w14:paraId="6ECA3570" w14:textId="158D0C03" w:rsidR="006F129A" w:rsidRPr="00AA5DEF" w:rsidRDefault="006F129A" w:rsidP="00AA5DEF">
      <w:pPr>
        <w:pStyle w:val="Heading2"/>
        <w:rPr>
          <w:rFonts w:ascii="Times New Roman" w:hAnsi="Times New Roman" w:cs="Times New Roman"/>
          <w:b/>
          <w:bCs/>
          <w:color w:val="auto"/>
          <w:sz w:val="28"/>
          <w:szCs w:val="28"/>
          <w:lang w:val="en-US"/>
        </w:rPr>
      </w:pPr>
      <w:r w:rsidRPr="00AA5DEF">
        <w:rPr>
          <w:rFonts w:ascii="Times New Roman" w:hAnsi="Times New Roman" w:cs="Times New Roman"/>
          <w:b/>
          <w:bCs/>
          <w:color w:val="auto"/>
          <w:sz w:val="28"/>
          <w:szCs w:val="28"/>
          <w:lang w:val="en-US"/>
        </w:rPr>
        <w:t>Literature review</w:t>
      </w:r>
    </w:p>
    <w:p w14:paraId="6389AD75" w14:textId="5595BF22" w:rsidR="006F129A" w:rsidRPr="00CA662B" w:rsidRDefault="006F129A" w:rsidP="006A7218">
      <w:pPr>
        <w:spacing w:after="0" w:line="360" w:lineRule="auto"/>
        <w:jc w:val="both"/>
        <w:rPr>
          <w:b/>
          <w:bCs/>
          <w:i/>
          <w:iCs/>
          <w:lang w:val="en-US"/>
        </w:rPr>
      </w:pPr>
      <w:r w:rsidRPr="00CA662B">
        <w:rPr>
          <w:b/>
          <w:bCs/>
          <w:i/>
          <w:iCs/>
          <w:lang w:val="en-US"/>
        </w:rPr>
        <w:t>The phenomenology and consequences of Intimate Partner Violence</w:t>
      </w:r>
    </w:p>
    <w:p w14:paraId="7182C0D5" w14:textId="4155D3E1" w:rsidR="004B47FB" w:rsidRPr="004B47FB" w:rsidRDefault="00EF2511" w:rsidP="004B47FB">
      <w:pPr>
        <w:rPr>
          <w:rFonts w:ascii="Times New Roman" w:eastAsia="Times New Roman" w:hAnsi="Times New Roman" w:cs="Times New Roman"/>
          <w:kern w:val="0"/>
          <w:sz w:val="24"/>
          <w:szCs w:val="24"/>
          <w:lang w:val="en-US" w:eastAsia="it-IT"/>
          <w14:ligatures w14:val="none"/>
        </w:rPr>
      </w:pPr>
      <w:r w:rsidRPr="006A7218">
        <w:rPr>
          <w:rFonts w:ascii="Times New Roman" w:hAnsi="Times New Roman" w:cs="Times New Roman"/>
          <w:sz w:val="24"/>
          <w:szCs w:val="24"/>
          <w:lang w:val="en-US"/>
        </w:rPr>
        <w:t xml:space="preserve">Violence against women and/or men represents a widespread public health issue with profound societal and economic implications, impacting the individual societal </w:t>
      </w:r>
      <w:r w:rsidR="00DE2A52" w:rsidRPr="006A7218">
        <w:rPr>
          <w:rFonts w:ascii="Times New Roman" w:hAnsi="Times New Roman" w:cs="Times New Roman"/>
          <w:sz w:val="24"/>
          <w:szCs w:val="24"/>
          <w:lang w:val="en-US"/>
        </w:rPr>
        <w:t>standing (</w:t>
      </w:r>
      <w:r w:rsidR="004B47FB" w:rsidRPr="004B47FB">
        <w:rPr>
          <w:rFonts w:ascii="Times New Roman" w:eastAsia="Times New Roman" w:hAnsi="Times New Roman" w:cs="Times New Roman"/>
          <w:kern w:val="0"/>
          <w:sz w:val="24"/>
          <w:szCs w:val="24"/>
          <w:lang w:val="en-US" w:eastAsia="it-IT"/>
          <w14:ligatures w14:val="none"/>
        </w:rPr>
        <w:t xml:space="preserve">Öhman et al., </w:t>
      </w:r>
      <w:r w:rsidR="00DE2A52" w:rsidRPr="004B47FB">
        <w:rPr>
          <w:rFonts w:ascii="Times New Roman" w:eastAsia="Times New Roman" w:hAnsi="Times New Roman" w:cs="Times New Roman"/>
          <w:kern w:val="0"/>
          <w:sz w:val="24"/>
          <w:szCs w:val="24"/>
          <w:lang w:val="en-US" w:eastAsia="it-IT"/>
          <w14:ligatures w14:val="none"/>
        </w:rPr>
        <w:t>2020</w:t>
      </w:r>
      <w:r w:rsidR="00DE2A52">
        <w:rPr>
          <w:rFonts w:ascii="Times New Roman" w:eastAsia="Times New Roman" w:hAnsi="Times New Roman" w:cs="Times New Roman"/>
          <w:kern w:val="0"/>
          <w:sz w:val="24"/>
          <w:szCs w:val="24"/>
          <w:lang w:val="en-US" w:eastAsia="it-IT"/>
          <w14:ligatures w14:val="none"/>
        </w:rPr>
        <w:t>.</w:t>
      </w:r>
    </w:p>
    <w:p w14:paraId="7E77C387" w14:textId="4B2D70FD" w:rsidR="00683070" w:rsidRPr="006A7218" w:rsidRDefault="004B47FB" w:rsidP="006A721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Chrisler &amp; Fergusson, 2006</w:t>
      </w:r>
      <w:r w:rsidR="00EF2511" w:rsidRPr="006A7218">
        <w:rPr>
          <w:rFonts w:ascii="Times New Roman" w:hAnsi="Times New Roman" w:cs="Times New Roman"/>
          <w:sz w:val="24"/>
          <w:szCs w:val="24"/>
          <w:lang w:val="en-US"/>
        </w:rPr>
        <w:t xml:space="preserve">). This phenomenon transgresses fundamental human rights and erodes the standing of women and men in terms of equality, safety, and overall welfare, thereby resulting in substantial societal costs. The global community has acknowledged the necessity of addressing this predicament on an international level since 1993, with </w:t>
      </w:r>
      <w:r w:rsidR="00DE2A52" w:rsidRPr="006A7218">
        <w:rPr>
          <w:rFonts w:ascii="Times New Roman" w:hAnsi="Times New Roman" w:cs="Times New Roman"/>
          <w:sz w:val="24"/>
          <w:szCs w:val="24"/>
          <w:lang w:val="en-US"/>
        </w:rPr>
        <w:t>a focus</w:t>
      </w:r>
      <w:r w:rsidR="00EF2511" w:rsidRPr="006A7218">
        <w:rPr>
          <w:rFonts w:ascii="Times New Roman" w:hAnsi="Times New Roman" w:cs="Times New Roman"/>
          <w:sz w:val="24"/>
          <w:szCs w:val="24"/>
          <w:lang w:val="en-US"/>
        </w:rPr>
        <w:t xml:space="preserve"> on women's </w:t>
      </w:r>
      <w:r w:rsidR="00DE2A52" w:rsidRPr="006A7218">
        <w:rPr>
          <w:rFonts w:ascii="Times New Roman" w:hAnsi="Times New Roman" w:cs="Times New Roman"/>
          <w:sz w:val="24"/>
          <w:szCs w:val="24"/>
          <w:lang w:val="en-US"/>
        </w:rPr>
        <w:t>violence, yet</w:t>
      </w:r>
      <w:r w:rsidR="00EF2511" w:rsidRPr="006A7218">
        <w:rPr>
          <w:rFonts w:ascii="Times New Roman" w:hAnsi="Times New Roman" w:cs="Times New Roman"/>
          <w:sz w:val="24"/>
          <w:szCs w:val="24"/>
          <w:lang w:val="en-US"/>
        </w:rPr>
        <w:t xml:space="preserve"> the task of accurately documenting its magnitude and advancements persists as a formidable challenge. </w:t>
      </w:r>
      <w:r w:rsidR="00683070" w:rsidRPr="006A7218">
        <w:rPr>
          <w:rFonts w:ascii="Times New Roman" w:hAnsi="Times New Roman" w:cs="Times New Roman"/>
          <w:sz w:val="24"/>
          <w:szCs w:val="24"/>
          <w:lang w:val="en-US"/>
        </w:rPr>
        <w:t>Gender-based violence has significant effects on the physical and psychological well-being of women over both immediate and prolonged periods</w:t>
      </w:r>
      <w:r w:rsidR="000453AE">
        <w:rPr>
          <w:rFonts w:ascii="Times New Roman" w:hAnsi="Times New Roman" w:cs="Times New Roman"/>
          <w:sz w:val="24"/>
          <w:szCs w:val="24"/>
          <w:lang w:val="en-US"/>
        </w:rPr>
        <w:t xml:space="preserve"> (Ellsberg et al.,2008; Garcia-Moreno et al.,2006; Campbell,2002)</w:t>
      </w:r>
      <w:r w:rsidR="00683070" w:rsidRPr="006A7218">
        <w:rPr>
          <w:rFonts w:ascii="Times New Roman" w:hAnsi="Times New Roman" w:cs="Times New Roman"/>
          <w:sz w:val="24"/>
          <w:szCs w:val="24"/>
          <w:lang w:val="en-US"/>
        </w:rPr>
        <w:t xml:space="preserve">. Even though men can also be subjected to violence, the scope of this </w:t>
      </w:r>
      <w:r w:rsidR="007204B5" w:rsidRPr="006A7218">
        <w:rPr>
          <w:rFonts w:ascii="Times New Roman" w:hAnsi="Times New Roman" w:cs="Times New Roman"/>
          <w:sz w:val="24"/>
          <w:szCs w:val="24"/>
          <w:lang w:val="en-US"/>
        </w:rPr>
        <w:t xml:space="preserve">article </w:t>
      </w:r>
      <w:r w:rsidR="00683070" w:rsidRPr="006A7218">
        <w:rPr>
          <w:rFonts w:ascii="Times New Roman" w:hAnsi="Times New Roman" w:cs="Times New Roman"/>
          <w:sz w:val="24"/>
          <w:szCs w:val="24"/>
          <w:lang w:val="en-US"/>
        </w:rPr>
        <w:t>is concentrated on instances of abuse against women, encompassing a variety of</w:t>
      </w:r>
      <w:r w:rsidR="007204B5" w:rsidRPr="006A7218">
        <w:rPr>
          <w:rFonts w:ascii="Times New Roman" w:hAnsi="Times New Roman" w:cs="Times New Roman"/>
          <w:sz w:val="24"/>
          <w:szCs w:val="24"/>
          <w:lang w:val="en-US"/>
        </w:rPr>
        <w:t xml:space="preserve"> elements starting from attachment to mentalization</w:t>
      </w:r>
      <w:r w:rsidR="000453AE">
        <w:rPr>
          <w:rFonts w:ascii="Times New Roman" w:hAnsi="Times New Roman" w:cs="Times New Roman"/>
          <w:sz w:val="24"/>
          <w:szCs w:val="24"/>
          <w:lang w:val="en-US"/>
        </w:rPr>
        <w:t xml:space="preserve"> (Bates et al.,2018)</w:t>
      </w:r>
      <w:r w:rsidR="00683070" w:rsidRPr="006A7218">
        <w:rPr>
          <w:rFonts w:ascii="Times New Roman" w:hAnsi="Times New Roman" w:cs="Times New Roman"/>
          <w:sz w:val="24"/>
          <w:szCs w:val="24"/>
          <w:lang w:val="en-US"/>
        </w:rPr>
        <w:t>.</w:t>
      </w:r>
      <w:r w:rsidR="00F67F22" w:rsidRPr="006A7218">
        <w:rPr>
          <w:rFonts w:ascii="Times New Roman" w:hAnsi="Times New Roman" w:cs="Times New Roman"/>
          <w:sz w:val="24"/>
          <w:szCs w:val="24"/>
          <w:lang w:val="en-US"/>
        </w:rPr>
        <w:t xml:space="preserve"> The terms "</w:t>
      </w:r>
      <w:r w:rsidR="00F67F22" w:rsidRPr="006A7218">
        <w:rPr>
          <w:rFonts w:ascii="Times New Roman" w:hAnsi="Times New Roman" w:cs="Times New Roman"/>
          <w:b/>
          <w:bCs/>
          <w:i/>
          <w:iCs/>
          <w:sz w:val="24"/>
          <w:szCs w:val="24"/>
          <w:lang w:val="en-US"/>
        </w:rPr>
        <w:t>gender-based violence</w:t>
      </w:r>
      <w:r w:rsidR="00F67F22" w:rsidRPr="006A7218">
        <w:rPr>
          <w:rFonts w:ascii="Times New Roman" w:hAnsi="Times New Roman" w:cs="Times New Roman"/>
          <w:sz w:val="24"/>
          <w:szCs w:val="24"/>
          <w:lang w:val="en-US"/>
        </w:rPr>
        <w:t>"(GBV) and “</w:t>
      </w:r>
      <w:r w:rsidR="00F67F22" w:rsidRPr="006A7218">
        <w:rPr>
          <w:rFonts w:ascii="Times New Roman" w:hAnsi="Times New Roman" w:cs="Times New Roman"/>
          <w:b/>
          <w:bCs/>
          <w:sz w:val="24"/>
          <w:szCs w:val="24"/>
          <w:lang w:val="en-US"/>
        </w:rPr>
        <w:t>intimate partner violence</w:t>
      </w:r>
      <w:r w:rsidR="00F67F22" w:rsidRPr="006A7218">
        <w:rPr>
          <w:rFonts w:ascii="Times New Roman" w:hAnsi="Times New Roman" w:cs="Times New Roman"/>
          <w:sz w:val="24"/>
          <w:szCs w:val="24"/>
          <w:lang w:val="en-US"/>
        </w:rPr>
        <w:t xml:space="preserve">” (IPV) are often used interchangeably and refer to violence (mainly)against women. The IPV encompasses </w:t>
      </w:r>
      <w:r w:rsidR="00DE2A52" w:rsidRPr="006A7218">
        <w:rPr>
          <w:rFonts w:ascii="Times New Roman" w:hAnsi="Times New Roman" w:cs="Times New Roman"/>
          <w:sz w:val="24"/>
          <w:szCs w:val="24"/>
          <w:lang w:val="en-US"/>
        </w:rPr>
        <w:t>manifestations</w:t>
      </w:r>
      <w:r w:rsidR="00F67F22" w:rsidRPr="006A7218">
        <w:rPr>
          <w:rFonts w:ascii="Times New Roman" w:hAnsi="Times New Roman" w:cs="Times New Roman"/>
          <w:sz w:val="24"/>
          <w:szCs w:val="24"/>
          <w:lang w:val="en-US"/>
        </w:rPr>
        <w:t xml:space="preserve"> of mistreatment such as female genital mutilation, dowry deaths, acid attacks, and crimes of honor. Individuals who commit these acts include spouses, relatives, and figures of authority, utilizing their power to exert control and cause harm to others either physically, psychologically, or financially (</w:t>
      </w:r>
      <w:r w:rsidR="00816B60">
        <w:rPr>
          <w:rFonts w:ascii="Times New Roman" w:hAnsi="Times New Roman" w:cs="Times New Roman"/>
          <w:sz w:val="24"/>
          <w:szCs w:val="24"/>
          <w:lang w:val="en-US"/>
        </w:rPr>
        <w:t xml:space="preserve">Gibbs et al.,2018; Cuhna et al.,2013; </w:t>
      </w:r>
      <w:r w:rsidR="00492305">
        <w:rPr>
          <w:rFonts w:ascii="Times New Roman" w:hAnsi="Times New Roman" w:cs="Times New Roman"/>
          <w:sz w:val="24"/>
          <w:szCs w:val="24"/>
          <w:lang w:val="en-US"/>
        </w:rPr>
        <w:t>Coker et al.,2002</w:t>
      </w:r>
      <w:r w:rsidR="00F67F22" w:rsidRPr="006A7218">
        <w:rPr>
          <w:rFonts w:ascii="Times New Roman" w:hAnsi="Times New Roman" w:cs="Times New Roman"/>
          <w:sz w:val="24"/>
          <w:szCs w:val="24"/>
          <w:lang w:val="en-US"/>
        </w:rPr>
        <w:t xml:space="preserve">). Scientific research conducted in the past twenty years has brought to light the extent of violence against women, often underestimated due to its sensitive </w:t>
      </w:r>
      <w:r w:rsidR="00DE2A52" w:rsidRPr="006A7218">
        <w:rPr>
          <w:rFonts w:ascii="Times New Roman" w:hAnsi="Times New Roman" w:cs="Times New Roman"/>
          <w:sz w:val="24"/>
          <w:szCs w:val="24"/>
          <w:lang w:val="en-US"/>
        </w:rPr>
        <w:t>nature (</w:t>
      </w:r>
      <w:r w:rsidR="00816B60">
        <w:rPr>
          <w:rFonts w:ascii="Times New Roman" w:hAnsi="Times New Roman" w:cs="Times New Roman"/>
          <w:sz w:val="24"/>
          <w:szCs w:val="24"/>
          <w:lang w:val="en-US"/>
        </w:rPr>
        <w:t>Capaldi,2012; Ellsberg et al.,</w:t>
      </w:r>
      <w:r w:rsidR="00DE2A52">
        <w:rPr>
          <w:rFonts w:ascii="Times New Roman" w:hAnsi="Times New Roman" w:cs="Times New Roman"/>
          <w:sz w:val="24"/>
          <w:szCs w:val="24"/>
          <w:lang w:val="en-US"/>
        </w:rPr>
        <w:t>2008; Garcia</w:t>
      </w:r>
      <w:r w:rsidR="00816B60">
        <w:rPr>
          <w:rFonts w:ascii="Times New Roman" w:hAnsi="Times New Roman" w:cs="Times New Roman"/>
          <w:sz w:val="24"/>
          <w:szCs w:val="24"/>
          <w:lang w:val="en-US"/>
        </w:rPr>
        <w:t>-Moreno et al.,2006; Archer,2004</w:t>
      </w:r>
      <w:r w:rsidR="00F67F22" w:rsidRPr="006A7218">
        <w:rPr>
          <w:rFonts w:ascii="Times New Roman" w:hAnsi="Times New Roman" w:cs="Times New Roman"/>
          <w:sz w:val="24"/>
          <w:szCs w:val="24"/>
          <w:lang w:val="en-US"/>
        </w:rPr>
        <w:t xml:space="preserve">). </w:t>
      </w:r>
      <w:r w:rsidR="006A7218" w:rsidRPr="006A7218">
        <w:rPr>
          <w:rFonts w:ascii="Times New Roman" w:hAnsi="Times New Roman" w:cs="Times New Roman"/>
          <w:sz w:val="24"/>
          <w:szCs w:val="24"/>
          <w:lang w:val="en-US"/>
        </w:rPr>
        <w:t>From a comprehensive perspective of the current stance, factors, and consequences of IPV, a comparative analysis of data was conducted across a wide spectrum encompassing the Western Balkans, the European Union market, and Ukraine based on secondary data. The rationale behind selecting these specific regions stems from Albania's geographical location within the Western Balkans and its placement in a transitional path between Eastern and Western influences. Thus, observing the phenomenon through a broader lens, in contrast to neighboring countries with whom we share common cultural values, alongside EU nations we aspire to align with, and Ukraine which grapples with inter-generational violence, will furnish the article with robust evidence regarding IPV across diverse countries and contexts.</w:t>
      </w:r>
      <w:r w:rsidR="00BA707E">
        <w:rPr>
          <w:rFonts w:ascii="Times New Roman" w:hAnsi="Times New Roman" w:cs="Times New Roman"/>
          <w:sz w:val="24"/>
          <w:szCs w:val="24"/>
          <w:lang w:val="en-US"/>
        </w:rPr>
        <w:t xml:space="preserve"> A summary of these findings </w:t>
      </w:r>
      <w:r w:rsidR="00B53F5E">
        <w:rPr>
          <w:rFonts w:ascii="Times New Roman" w:hAnsi="Times New Roman" w:cs="Times New Roman"/>
          <w:sz w:val="24"/>
          <w:szCs w:val="24"/>
          <w:lang w:val="en-US"/>
        </w:rPr>
        <w:t>is</w:t>
      </w:r>
      <w:r w:rsidR="00BA707E">
        <w:rPr>
          <w:rFonts w:ascii="Times New Roman" w:hAnsi="Times New Roman" w:cs="Times New Roman"/>
          <w:sz w:val="24"/>
          <w:szCs w:val="24"/>
          <w:lang w:val="en-US"/>
        </w:rPr>
        <w:t xml:space="preserve"> given in the following tables. </w:t>
      </w:r>
    </w:p>
    <w:p w14:paraId="0C8A1DF0" w14:textId="77777777" w:rsidR="00816B60" w:rsidRPr="00DE5A23" w:rsidRDefault="00816B60">
      <w:pPr>
        <w:rPr>
          <w:lang w:val="en-US"/>
        </w:rPr>
      </w:pPr>
    </w:p>
    <w:p w14:paraId="33A5F1C5" w14:textId="5B4929BF" w:rsidR="00F8249F" w:rsidRDefault="00F8249F">
      <w:r w:rsidRPr="00453FB1">
        <w:rPr>
          <w:rFonts w:ascii="Times New Roman" w:hAnsi="Times New Roman" w:cs="Times New Roman"/>
        </w:rPr>
        <w:t>T</w:t>
      </w:r>
      <w:r w:rsidRPr="00453FB1">
        <w:rPr>
          <w:rFonts w:ascii="Times New Roman" w:hAnsi="Times New Roman" w:cs="Times New Roman"/>
          <w:sz w:val="20"/>
          <w:szCs w:val="20"/>
        </w:rPr>
        <w:t>able</w:t>
      </w:r>
      <w:r w:rsidR="00816B60">
        <w:rPr>
          <w:rFonts w:ascii="Times New Roman" w:hAnsi="Times New Roman" w:cs="Times New Roman"/>
          <w:sz w:val="20"/>
          <w:szCs w:val="20"/>
        </w:rPr>
        <w:t xml:space="preserve"> 1. </w:t>
      </w:r>
      <w:r w:rsidRPr="00453FB1">
        <w:rPr>
          <w:rFonts w:ascii="Times New Roman" w:hAnsi="Times New Roman" w:cs="Times New Roman"/>
          <w:sz w:val="20"/>
          <w:szCs w:val="20"/>
        </w:rPr>
        <w:t>Intimate Partner Violence in the WB and Regions 05/26/2022</w:t>
      </w:r>
    </w:p>
    <w:tbl>
      <w:tblPr>
        <w:tblStyle w:val="PlainTable2"/>
        <w:tblW w:w="0" w:type="auto"/>
        <w:tblLook w:val="04A0" w:firstRow="1" w:lastRow="0" w:firstColumn="1" w:lastColumn="0" w:noHBand="0" w:noVBand="1"/>
      </w:tblPr>
      <w:tblGrid>
        <w:gridCol w:w="4399"/>
        <w:gridCol w:w="4591"/>
      </w:tblGrid>
      <w:tr w:rsidR="00DE5A23" w14:paraId="1DBF0132" w14:textId="77777777" w:rsidTr="00E25006">
        <w:trPr>
          <w:cnfStyle w:val="100000000000" w:firstRow="1" w:lastRow="0" w:firstColumn="0" w:lastColumn="0" w:oddVBand="0" w:evenVBand="0" w:oddHBand="0"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4399" w:type="dxa"/>
          </w:tcPr>
          <w:p w14:paraId="4C2851EB" w14:textId="77777777" w:rsidR="00DE5A23" w:rsidRPr="009C029A" w:rsidRDefault="00DE5A23" w:rsidP="006F129A">
            <w:pPr>
              <w:jc w:val="center"/>
              <w:rPr>
                <w:rFonts w:ascii="Times New Roman" w:hAnsi="Times New Roman" w:cs="Times New Roman"/>
                <w:i/>
                <w:iCs/>
                <w:sz w:val="20"/>
                <w:szCs w:val="20"/>
              </w:rPr>
            </w:pPr>
            <w:r w:rsidRPr="009C029A">
              <w:rPr>
                <w:rFonts w:ascii="Times New Roman" w:hAnsi="Times New Roman" w:cs="Times New Roman"/>
                <w:i/>
                <w:iCs/>
                <w:sz w:val="20"/>
                <w:szCs w:val="20"/>
              </w:rPr>
              <w:t>Country</w:t>
            </w:r>
          </w:p>
        </w:tc>
        <w:tc>
          <w:tcPr>
            <w:tcW w:w="4591" w:type="dxa"/>
          </w:tcPr>
          <w:p w14:paraId="41DB8661" w14:textId="67263080" w:rsidR="00DE5A23" w:rsidRPr="009C029A" w:rsidRDefault="00816B60" w:rsidP="006F12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The proportion</w:t>
            </w:r>
            <w:r w:rsidR="00DE5A23" w:rsidRPr="009C029A">
              <w:rPr>
                <w:rFonts w:ascii="Times New Roman" w:hAnsi="Times New Roman" w:cs="Times New Roman"/>
                <w:i/>
                <w:iCs/>
                <w:sz w:val="20"/>
                <w:szCs w:val="20"/>
              </w:rPr>
              <w:t xml:space="preserve"> of ever-partnered women and girls aged 15-49 years subjected to physical and/or sexual assault by a current or a former partner</w:t>
            </w:r>
          </w:p>
        </w:tc>
      </w:tr>
      <w:tr w:rsidR="00DE5A23" w14:paraId="7889C600"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99" w:type="dxa"/>
          </w:tcPr>
          <w:p w14:paraId="439D995B"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Albania</w:t>
            </w:r>
          </w:p>
        </w:tc>
        <w:tc>
          <w:tcPr>
            <w:tcW w:w="4591" w:type="dxa"/>
          </w:tcPr>
          <w:p w14:paraId="101108C2" w14:textId="77777777" w:rsidR="00DE5A23" w:rsidRPr="009C029A" w:rsidRDefault="00DE5A23" w:rsidP="006F12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13% [9-17]</w:t>
            </w:r>
          </w:p>
        </w:tc>
      </w:tr>
      <w:tr w:rsidR="00DE5A23" w14:paraId="3393B253"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4399" w:type="dxa"/>
          </w:tcPr>
          <w:p w14:paraId="587DF1CC"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Bosnia and Herzegovina</w:t>
            </w:r>
          </w:p>
        </w:tc>
        <w:tc>
          <w:tcPr>
            <w:tcW w:w="4591" w:type="dxa"/>
          </w:tcPr>
          <w:p w14:paraId="72B20C6D" w14:textId="77777777" w:rsidR="00DE5A23" w:rsidRPr="009C029A" w:rsidRDefault="00DE5A23" w:rsidP="006F12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12% [7-18]</w:t>
            </w:r>
          </w:p>
        </w:tc>
      </w:tr>
      <w:tr w:rsidR="00DE5A23" w14:paraId="5691E1CE"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99" w:type="dxa"/>
          </w:tcPr>
          <w:p w14:paraId="442CF664"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France</w:t>
            </w:r>
          </w:p>
        </w:tc>
        <w:tc>
          <w:tcPr>
            <w:tcW w:w="4591" w:type="dxa"/>
          </w:tcPr>
          <w:p w14:paraId="0BF524CF" w14:textId="77777777" w:rsidR="00DE5A23" w:rsidRPr="009C029A" w:rsidRDefault="00DE5A23" w:rsidP="006F12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22% [13-36]</w:t>
            </w:r>
          </w:p>
        </w:tc>
      </w:tr>
      <w:tr w:rsidR="00DE5A23" w14:paraId="5F94BC28"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4399" w:type="dxa"/>
          </w:tcPr>
          <w:p w14:paraId="3590760D"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Germany</w:t>
            </w:r>
          </w:p>
        </w:tc>
        <w:tc>
          <w:tcPr>
            <w:tcW w:w="4591" w:type="dxa"/>
          </w:tcPr>
          <w:p w14:paraId="020D9EE1" w14:textId="77777777" w:rsidR="00DE5A23" w:rsidRPr="009C029A" w:rsidRDefault="00DE5A23" w:rsidP="006F12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21% [13-32]</w:t>
            </w:r>
          </w:p>
        </w:tc>
      </w:tr>
      <w:tr w:rsidR="00DE5A23" w14:paraId="608BB8FE"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99" w:type="dxa"/>
          </w:tcPr>
          <w:p w14:paraId="680340FE"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Italy</w:t>
            </w:r>
          </w:p>
        </w:tc>
        <w:tc>
          <w:tcPr>
            <w:tcW w:w="4591" w:type="dxa"/>
          </w:tcPr>
          <w:p w14:paraId="5FE147C8" w14:textId="77777777" w:rsidR="00DE5A23" w:rsidRPr="009C029A" w:rsidRDefault="00DE5A23" w:rsidP="006F12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16% [10-24]</w:t>
            </w:r>
          </w:p>
        </w:tc>
      </w:tr>
      <w:tr w:rsidR="00DE5A23" w14:paraId="4A06817F"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4399" w:type="dxa"/>
          </w:tcPr>
          <w:p w14:paraId="6B44D358"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Montenegro</w:t>
            </w:r>
          </w:p>
        </w:tc>
        <w:tc>
          <w:tcPr>
            <w:tcW w:w="4591" w:type="dxa"/>
          </w:tcPr>
          <w:p w14:paraId="4A6CC676" w14:textId="77777777" w:rsidR="00DE5A23" w:rsidRPr="009C029A" w:rsidRDefault="00DE5A23" w:rsidP="006F12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16% [10-25]</w:t>
            </w:r>
          </w:p>
        </w:tc>
      </w:tr>
      <w:tr w:rsidR="00DE5A23" w14:paraId="0327126A"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4399" w:type="dxa"/>
          </w:tcPr>
          <w:p w14:paraId="76A2BCCD"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North Macedonia</w:t>
            </w:r>
          </w:p>
        </w:tc>
        <w:tc>
          <w:tcPr>
            <w:tcW w:w="4591" w:type="dxa"/>
          </w:tcPr>
          <w:p w14:paraId="5C31F23E" w14:textId="77777777" w:rsidR="00DE5A23" w:rsidRPr="009C029A" w:rsidRDefault="00DE5A23" w:rsidP="006F12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13% [8-22]</w:t>
            </w:r>
          </w:p>
        </w:tc>
      </w:tr>
      <w:tr w:rsidR="00DE5A23" w14:paraId="4DE92D5C"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4399" w:type="dxa"/>
          </w:tcPr>
          <w:p w14:paraId="0CFA107A"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Serbia</w:t>
            </w:r>
          </w:p>
        </w:tc>
        <w:tc>
          <w:tcPr>
            <w:tcW w:w="4591" w:type="dxa"/>
          </w:tcPr>
          <w:p w14:paraId="7056D2FD" w14:textId="77777777" w:rsidR="00DE5A23" w:rsidRPr="009C029A" w:rsidRDefault="00DE5A23" w:rsidP="006F12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17% [10-26]</w:t>
            </w:r>
          </w:p>
        </w:tc>
      </w:tr>
      <w:tr w:rsidR="00DE5A23" w14:paraId="28072E13" w14:textId="77777777" w:rsidTr="00E25006">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399" w:type="dxa"/>
          </w:tcPr>
          <w:p w14:paraId="057DFDEA" w14:textId="77777777" w:rsidR="00DE5A23" w:rsidRPr="009C029A" w:rsidRDefault="00DE5A23" w:rsidP="006F129A">
            <w:pPr>
              <w:jc w:val="center"/>
              <w:rPr>
                <w:rFonts w:ascii="Times New Roman" w:hAnsi="Times New Roman" w:cs="Times New Roman"/>
                <w:sz w:val="20"/>
                <w:szCs w:val="20"/>
              </w:rPr>
            </w:pPr>
            <w:r w:rsidRPr="009C029A">
              <w:rPr>
                <w:rFonts w:ascii="Times New Roman" w:hAnsi="Times New Roman" w:cs="Times New Roman"/>
                <w:sz w:val="20"/>
                <w:szCs w:val="20"/>
              </w:rPr>
              <w:t>Ukraine</w:t>
            </w:r>
          </w:p>
        </w:tc>
        <w:tc>
          <w:tcPr>
            <w:tcW w:w="4591" w:type="dxa"/>
          </w:tcPr>
          <w:p w14:paraId="4D82A52A" w14:textId="77777777" w:rsidR="00DE5A23" w:rsidRPr="009C029A" w:rsidRDefault="00DE5A23" w:rsidP="006F12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C029A">
              <w:rPr>
                <w:rFonts w:ascii="Times New Roman" w:hAnsi="Times New Roman" w:cs="Times New Roman"/>
                <w:sz w:val="20"/>
                <w:szCs w:val="20"/>
              </w:rPr>
              <w:t>18% [12-25]</w:t>
            </w:r>
          </w:p>
        </w:tc>
      </w:tr>
    </w:tbl>
    <w:p w14:paraId="333AECBA" w14:textId="568F80E7" w:rsidR="00F8249F" w:rsidRPr="00453FB1" w:rsidRDefault="00453FB1">
      <w:pPr>
        <w:rPr>
          <w:rFonts w:ascii="Times New Roman" w:hAnsi="Times New Roman" w:cs="Times New Roman"/>
          <w:sz w:val="20"/>
          <w:szCs w:val="20"/>
        </w:rPr>
      </w:pPr>
      <w:r w:rsidRPr="00453FB1">
        <w:rPr>
          <w:rFonts w:ascii="Times New Roman" w:hAnsi="Times New Roman" w:cs="Times New Roman"/>
          <w:i/>
          <w:iCs/>
          <w:sz w:val="20"/>
          <w:szCs w:val="20"/>
        </w:rPr>
        <w:t>Source</w:t>
      </w:r>
      <w:r w:rsidRPr="00453FB1">
        <w:rPr>
          <w:rFonts w:ascii="Times New Roman" w:hAnsi="Times New Roman" w:cs="Times New Roman"/>
          <w:sz w:val="20"/>
          <w:szCs w:val="20"/>
        </w:rPr>
        <w:t>:</w:t>
      </w:r>
      <w:r>
        <w:rPr>
          <w:rFonts w:ascii="Times New Roman" w:hAnsi="Times New Roman" w:cs="Times New Roman"/>
          <w:sz w:val="20"/>
          <w:szCs w:val="20"/>
        </w:rPr>
        <w:t xml:space="preserve"> </w:t>
      </w:r>
      <w:r w:rsidRPr="00453FB1">
        <w:rPr>
          <w:rFonts w:ascii="Times New Roman" w:hAnsi="Times New Roman" w:cs="Times New Roman"/>
          <w:sz w:val="20"/>
          <w:szCs w:val="20"/>
        </w:rPr>
        <w:t>Author elaboration on the WHO data</w:t>
      </w:r>
    </w:p>
    <w:p w14:paraId="2145754D" w14:textId="77777777" w:rsidR="00F8249F" w:rsidRDefault="00F8249F"/>
    <w:p w14:paraId="3A79535E" w14:textId="4D17E223" w:rsidR="00DE581A" w:rsidRPr="00F8249F" w:rsidRDefault="00DE2A52">
      <w:r w:rsidRPr="00453FB1">
        <w:rPr>
          <w:rFonts w:ascii="Times New Roman" w:hAnsi="Times New Roman" w:cs="Times New Roman"/>
          <w:sz w:val="20"/>
          <w:szCs w:val="20"/>
        </w:rPr>
        <w:t xml:space="preserve">Table </w:t>
      </w:r>
      <w:r>
        <w:rPr>
          <w:rFonts w:ascii="Times New Roman" w:hAnsi="Times New Roman" w:cs="Times New Roman"/>
          <w:sz w:val="20"/>
          <w:szCs w:val="20"/>
        </w:rPr>
        <w:t>2</w:t>
      </w:r>
      <w:r w:rsidR="00BE2E2C">
        <w:rPr>
          <w:rFonts w:ascii="Times New Roman" w:hAnsi="Times New Roman" w:cs="Times New Roman"/>
          <w:sz w:val="20"/>
          <w:szCs w:val="20"/>
        </w:rPr>
        <w:t xml:space="preserve">. </w:t>
      </w:r>
      <w:r w:rsidR="00DE581A" w:rsidRPr="00453FB1">
        <w:rPr>
          <w:rFonts w:ascii="Times New Roman" w:hAnsi="Times New Roman" w:cs="Times New Roman"/>
          <w:sz w:val="20"/>
          <w:szCs w:val="20"/>
        </w:rPr>
        <w:t>IPV by Type of Violence (2021</w:t>
      </w:r>
      <w:r w:rsidR="00DE581A">
        <w:t>)</w:t>
      </w:r>
    </w:p>
    <w:p w14:paraId="428FEC09" w14:textId="77777777" w:rsidR="00F8249F" w:rsidRPr="00F8249F" w:rsidRDefault="00F8249F"/>
    <w:tbl>
      <w:tblPr>
        <w:tblStyle w:val="PlainTable2"/>
        <w:tblW w:w="0" w:type="auto"/>
        <w:tblLook w:val="04A0" w:firstRow="1" w:lastRow="0" w:firstColumn="1" w:lastColumn="0" w:noHBand="0" w:noVBand="1"/>
      </w:tblPr>
      <w:tblGrid>
        <w:gridCol w:w="2368"/>
        <w:gridCol w:w="1755"/>
        <w:gridCol w:w="1736"/>
        <w:gridCol w:w="1732"/>
        <w:gridCol w:w="1759"/>
      </w:tblGrid>
      <w:tr w:rsidR="00453FB1" w:rsidRPr="00BE2E2C" w14:paraId="53DF7418" w14:textId="77777777" w:rsidTr="00E25006">
        <w:trPr>
          <w:cnfStyle w:val="100000000000" w:firstRow="1" w:lastRow="0" w:firstColumn="0" w:lastColumn="0" w:oddVBand="0" w:evenVBand="0" w:oddHBand="0"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9350" w:type="dxa"/>
            <w:gridSpan w:val="5"/>
          </w:tcPr>
          <w:p w14:paraId="1D154407"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 xml:space="preserve">Type of IPV </w:t>
            </w:r>
          </w:p>
        </w:tc>
      </w:tr>
      <w:tr w:rsidR="00453FB1" w:rsidRPr="00BE2E2C" w14:paraId="28972CE4" w14:textId="77777777" w:rsidTr="00E25006">
        <w:trPr>
          <w:cnfStyle w:val="000000100000" w:firstRow="0" w:lastRow="0" w:firstColumn="0" w:lastColumn="0" w:oddVBand="0" w:evenVBand="0" w:oddHBand="1"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2368" w:type="dxa"/>
          </w:tcPr>
          <w:p w14:paraId="3E75955C"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Country</w:t>
            </w:r>
          </w:p>
        </w:tc>
        <w:tc>
          <w:tcPr>
            <w:tcW w:w="1755" w:type="dxa"/>
          </w:tcPr>
          <w:p w14:paraId="3FEFBFB1"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Psychological</w:t>
            </w:r>
          </w:p>
        </w:tc>
        <w:tc>
          <w:tcPr>
            <w:tcW w:w="1736" w:type="dxa"/>
          </w:tcPr>
          <w:p w14:paraId="6B99B7E6"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Physical (including threats and nonsexual)</w:t>
            </w:r>
          </w:p>
        </w:tc>
        <w:tc>
          <w:tcPr>
            <w:tcW w:w="1732" w:type="dxa"/>
          </w:tcPr>
          <w:p w14:paraId="0330E127"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Physical (including threats) or sexual</w:t>
            </w:r>
          </w:p>
        </w:tc>
        <w:tc>
          <w:tcPr>
            <w:tcW w:w="1759" w:type="dxa"/>
          </w:tcPr>
          <w:p w14:paraId="053A4C8B"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Psychological, Physical, or Sexual (including threats)</w:t>
            </w:r>
          </w:p>
        </w:tc>
      </w:tr>
      <w:tr w:rsidR="00453FB1" w:rsidRPr="00BE2E2C" w14:paraId="0B9594AE"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368" w:type="dxa"/>
          </w:tcPr>
          <w:p w14:paraId="4AA200BB"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Albania</w:t>
            </w:r>
          </w:p>
        </w:tc>
        <w:tc>
          <w:tcPr>
            <w:tcW w:w="1755" w:type="dxa"/>
          </w:tcPr>
          <w:p w14:paraId="4402F5B0"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6" w:type="dxa"/>
          </w:tcPr>
          <w:p w14:paraId="40984ABD"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2" w:type="dxa"/>
          </w:tcPr>
          <w:p w14:paraId="2D77FA6B"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59" w:type="dxa"/>
          </w:tcPr>
          <w:p w14:paraId="6ECEB8D4"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r>
      <w:tr w:rsidR="00453FB1" w:rsidRPr="00BE2E2C" w14:paraId="246D9404"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368" w:type="dxa"/>
          </w:tcPr>
          <w:p w14:paraId="04758DD6"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Bosnia and Herzegovina</w:t>
            </w:r>
          </w:p>
        </w:tc>
        <w:tc>
          <w:tcPr>
            <w:tcW w:w="1755" w:type="dxa"/>
          </w:tcPr>
          <w:p w14:paraId="2CCF0E2E"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6" w:type="dxa"/>
          </w:tcPr>
          <w:p w14:paraId="1E5FC079"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2" w:type="dxa"/>
          </w:tcPr>
          <w:p w14:paraId="5A67998D"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59" w:type="dxa"/>
          </w:tcPr>
          <w:p w14:paraId="537AADE2"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r>
      <w:tr w:rsidR="00453FB1" w:rsidRPr="00BE2E2C" w14:paraId="4FD1C61D"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368" w:type="dxa"/>
          </w:tcPr>
          <w:p w14:paraId="1AD419EC"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Kosovo</w:t>
            </w:r>
          </w:p>
        </w:tc>
        <w:tc>
          <w:tcPr>
            <w:tcW w:w="1755" w:type="dxa"/>
          </w:tcPr>
          <w:p w14:paraId="55F33C9D"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25.5</w:t>
            </w:r>
          </w:p>
        </w:tc>
        <w:tc>
          <w:tcPr>
            <w:tcW w:w="1736" w:type="dxa"/>
          </w:tcPr>
          <w:p w14:paraId="6F69309E"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5.5</w:t>
            </w:r>
          </w:p>
        </w:tc>
        <w:tc>
          <w:tcPr>
            <w:tcW w:w="1732" w:type="dxa"/>
          </w:tcPr>
          <w:p w14:paraId="317B1895"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6.3</w:t>
            </w:r>
          </w:p>
        </w:tc>
        <w:tc>
          <w:tcPr>
            <w:tcW w:w="1759" w:type="dxa"/>
          </w:tcPr>
          <w:p w14:paraId="5A6AD748"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25.6</w:t>
            </w:r>
          </w:p>
        </w:tc>
      </w:tr>
      <w:tr w:rsidR="00453FB1" w:rsidRPr="00BE2E2C" w14:paraId="7DAC2DE5"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368" w:type="dxa"/>
          </w:tcPr>
          <w:p w14:paraId="3DAA2206"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France</w:t>
            </w:r>
          </w:p>
        </w:tc>
        <w:tc>
          <w:tcPr>
            <w:tcW w:w="1755" w:type="dxa"/>
          </w:tcPr>
          <w:p w14:paraId="42E811B4"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27.9</w:t>
            </w:r>
          </w:p>
        </w:tc>
        <w:tc>
          <w:tcPr>
            <w:tcW w:w="1736" w:type="dxa"/>
          </w:tcPr>
          <w:p w14:paraId="5BFBF1D8"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8.8</w:t>
            </w:r>
          </w:p>
        </w:tc>
        <w:tc>
          <w:tcPr>
            <w:tcW w:w="1732" w:type="dxa"/>
          </w:tcPr>
          <w:p w14:paraId="6B79C1EF"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17.7</w:t>
            </w:r>
          </w:p>
        </w:tc>
        <w:tc>
          <w:tcPr>
            <w:tcW w:w="1759" w:type="dxa"/>
          </w:tcPr>
          <w:p w14:paraId="3911DF31"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30.2</w:t>
            </w:r>
          </w:p>
        </w:tc>
      </w:tr>
      <w:tr w:rsidR="00453FB1" w:rsidRPr="00BE2E2C" w14:paraId="2051DE5D"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368" w:type="dxa"/>
          </w:tcPr>
          <w:p w14:paraId="516994E3"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Germany</w:t>
            </w:r>
          </w:p>
        </w:tc>
        <w:tc>
          <w:tcPr>
            <w:tcW w:w="1755" w:type="dxa"/>
          </w:tcPr>
          <w:p w14:paraId="5A81BB7A"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6" w:type="dxa"/>
          </w:tcPr>
          <w:p w14:paraId="3E02308E"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2" w:type="dxa"/>
          </w:tcPr>
          <w:p w14:paraId="750D8D60"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59" w:type="dxa"/>
          </w:tcPr>
          <w:p w14:paraId="23F59B41"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r>
      <w:tr w:rsidR="00453FB1" w:rsidRPr="00BE2E2C" w14:paraId="1FE00919"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368" w:type="dxa"/>
          </w:tcPr>
          <w:p w14:paraId="7FCC4FC7"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Italy</w:t>
            </w:r>
          </w:p>
        </w:tc>
        <w:tc>
          <w:tcPr>
            <w:tcW w:w="1755" w:type="dxa"/>
          </w:tcPr>
          <w:p w14:paraId="5C1D75C2"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6" w:type="dxa"/>
          </w:tcPr>
          <w:p w14:paraId="713B860A"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2" w:type="dxa"/>
          </w:tcPr>
          <w:p w14:paraId="1392236C"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59" w:type="dxa"/>
          </w:tcPr>
          <w:p w14:paraId="6865AE63"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r>
      <w:tr w:rsidR="00453FB1" w:rsidRPr="00BE2E2C" w14:paraId="329B791E"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368" w:type="dxa"/>
          </w:tcPr>
          <w:p w14:paraId="70C9C498"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Montenegro</w:t>
            </w:r>
          </w:p>
        </w:tc>
        <w:tc>
          <w:tcPr>
            <w:tcW w:w="1755" w:type="dxa"/>
          </w:tcPr>
          <w:p w14:paraId="0787E41F"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19.7</w:t>
            </w:r>
          </w:p>
        </w:tc>
        <w:tc>
          <w:tcPr>
            <w:tcW w:w="1736" w:type="dxa"/>
          </w:tcPr>
          <w:p w14:paraId="03473821"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6.1</w:t>
            </w:r>
          </w:p>
        </w:tc>
        <w:tc>
          <w:tcPr>
            <w:tcW w:w="1732" w:type="dxa"/>
          </w:tcPr>
          <w:p w14:paraId="5E410CAC"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7.3</w:t>
            </w:r>
          </w:p>
        </w:tc>
        <w:tc>
          <w:tcPr>
            <w:tcW w:w="1759" w:type="dxa"/>
          </w:tcPr>
          <w:p w14:paraId="009015A8"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20.2</w:t>
            </w:r>
          </w:p>
        </w:tc>
      </w:tr>
      <w:tr w:rsidR="00453FB1" w:rsidRPr="00BE2E2C" w14:paraId="40002AD6"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368" w:type="dxa"/>
          </w:tcPr>
          <w:p w14:paraId="11823863"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North Macedonia</w:t>
            </w:r>
          </w:p>
        </w:tc>
        <w:tc>
          <w:tcPr>
            <w:tcW w:w="1755" w:type="dxa"/>
          </w:tcPr>
          <w:p w14:paraId="4BB9EDB1"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6" w:type="dxa"/>
          </w:tcPr>
          <w:p w14:paraId="36E07894"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2" w:type="dxa"/>
          </w:tcPr>
          <w:p w14:paraId="5C7E9CAE"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59" w:type="dxa"/>
          </w:tcPr>
          <w:p w14:paraId="004DB407"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r>
      <w:tr w:rsidR="00453FB1" w:rsidRPr="00BE2E2C" w14:paraId="74B571B5"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368" w:type="dxa"/>
          </w:tcPr>
          <w:p w14:paraId="617839B8"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Serbia</w:t>
            </w:r>
          </w:p>
        </w:tc>
        <w:tc>
          <w:tcPr>
            <w:tcW w:w="1755" w:type="dxa"/>
          </w:tcPr>
          <w:p w14:paraId="5C4B383C"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21.2</w:t>
            </w:r>
          </w:p>
        </w:tc>
        <w:tc>
          <w:tcPr>
            <w:tcW w:w="1736" w:type="dxa"/>
          </w:tcPr>
          <w:p w14:paraId="4CB94152"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8.3</w:t>
            </w:r>
          </w:p>
        </w:tc>
        <w:tc>
          <w:tcPr>
            <w:tcW w:w="1732" w:type="dxa"/>
          </w:tcPr>
          <w:p w14:paraId="7A0BB35D"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10.0</w:t>
            </w:r>
          </w:p>
        </w:tc>
        <w:tc>
          <w:tcPr>
            <w:tcW w:w="1759" w:type="dxa"/>
          </w:tcPr>
          <w:p w14:paraId="2DECE90D" w14:textId="77777777" w:rsidR="00453FB1" w:rsidRPr="00BE2E2C" w:rsidRDefault="00453FB1"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21.6</w:t>
            </w:r>
          </w:p>
        </w:tc>
      </w:tr>
      <w:tr w:rsidR="00453FB1" w:rsidRPr="00BE2E2C" w14:paraId="3715EFE5" w14:textId="77777777" w:rsidTr="00E25006">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368" w:type="dxa"/>
          </w:tcPr>
          <w:p w14:paraId="6FD832B9" w14:textId="77777777" w:rsidR="00453FB1" w:rsidRPr="00BE2E2C" w:rsidRDefault="00453FB1" w:rsidP="00E25006">
            <w:pPr>
              <w:jc w:val="center"/>
              <w:rPr>
                <w:rFonts w:ascii="Times New Roman" w:hAnsi="Times New Roman" w:cs="Times New Roman"/>
                <w:sz w:val="20"/>
                <w:szCs w:val="20"/>
              </w:rPr>
            </w:pPr>
            <w:r w:rsidRPr="00BE2E2C">
              <w:rPr>
                <w:rFonts w:ascii="Times New Roman" w:hAnsi="Times New Roman" w:cs="Times New Roman"/>
                <w:sz w:val="20"/>
                <w:szCs w:val="20"/>
              </w:rPr>
              <w:t>Ukraine</w:t>
            </w:r>
          </w:p>
        </w:tc>
        <w:tc>
          <w:tcPr>
            <w:tcW w:w="1755" w:type="dxa"/>
          </w:tcPr>
          <w:p w14:paraId="541EDAB7"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6" w:type="dxa"/>
          </w:tcPr>
          <w:p w14:paraId="3EB993E5"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32" w:type="dxa"/>
          </w:tcPr>
          <w:p w14:paraId="706B83DE"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c>
          <w:tcPr>
            <w:tcW w:w="1759" w:type="dxa"/>
          </w:tcPr>
          <w:p w14:paraId="67AEC705" w14:textId="77777777" w:rsidR="00453FB1" w:rsidRPr="00BE2E2C" w:rsidRDefault="00453FB1"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2E2C">
              <w:rPr>
                <w:rFonts w:ascii="Times New Roman" w:hAnsi="Times New Roman" w:cs="Times New Roman"/>
                <w:sz w:val="20"/>
                <w:szCs w:val="20"/>
              </w:rPr>
              <w:t>N/A</w:t>
            </w:r>
          </w:p>
        </w:tc>
      </w:tr>
    </w:tbl>
    <w:p w14:paraId="108CF6FC" w14:textId="5C6AC133" w:rsidR="00BE2E2C" w:rsidRPr="008A0607" w:rsidRDefault="000013D7">
      <w:pPr>
        <w:rPr>
          <w:rFonts w:ascii="Times New Roman" w:hAnsi="Times New Roman" w:cs="Times New Roman"/>
          <w:sz w:val="20"/>
          <w:szCs w:val="20"/>
        </w:rPr>
      </w:pPr>
      <w:r w:rsidRPr="00453FB1">
        <w:rPr>
          <w:rFonts w:ascii="Times New Roman" w:hAnsi="Times New Roman" w:cs="Times New Roman"/>
          <w:i/>
          <w:iCs/>
          <w:sz w:val="20"/>
          <w:szCs w:val="20"/>
        </w:rPr>
        <w:t>Source</w:t>
      </w:r>
      <w:r w:rsidRPr="00453FB1">
        <w:rPr>
          <w:rFonts w:ascii="Times New Roman" w:hAnsi="Times New Roman" w:cs="Times New Roman"/>
          <w:sz w:val="20"/>
          <w:szCs w:val="20"/>
        </w:rPr>
        <w:t>:</w:t>
      </w:r>
      <w:r w:rsidR="00453FB1" w:rsidRPr="00453FB1">
        <w:rPr>
          <w:rFonts w:ascii="Times New Roman" w:hAnsi="Times New Roman" w:cs="Times New Roman"/>
          <w:sz w:val="20"/>
          <w:szCs w:val="20"/>
        </w:rPr>
        <w:t xml:space="preserve"> Author elaboration </w:t>
      </w:r>
      <w:r w:rsidR="00DE2A52" w:rsidRPr="00453FB1">
        <w:rPr>
          <w:rFonts w:ascii="Times New Roman" w:hAnsi="Times New Roman" w:cs="Times New Roman"/>
          <w:sz w:val="20"/>
          <w:szCs w:val="20"/>
        </w:rPr>
        <w:t>on Eurostat</w:t>
      </w:r>
      <w:r w:rsidR="00453FB1" w:rsidRPr="00453FB1">
        <w:rPr>
          <w:rFonts w:ascii="Times New Roman" w:hAnsi="Times New Roman" w:cs="Times New Roman"/>
          <w:sz w:val="20"/>
          <w:szCs w:val="20"/>
        </w:rPr>
        <w:t xml:space="preserve"> data</w:t>
      </w:r>
      <w:r w:rsidRPr="00453FB1">
        <w:rPr>
          <w:rFonts w:ascii="Times New Roman" w:hAnsi="Times New Roman" w:cs="Times New Roman"/>
          <w:sz w:val="20"/>
          <w:szCs w:val="20"/>
        </w:rPr>
        <w:t>, 2023</w:t>
      </w:r>
    </w:p>
    <w:p w14:paraId="18012EB2" w14:textId="77777777" w:rsidR="00BE2E2C" w:rsidRPr="00F8249F" w:rsidRDefault="00BE2E2C"/>
    <w:p w14:paraId="3D53C3EB" w14:textId="3EC8FBCC" w:rsidR="00431AC3" w:rsidRPr="009613EC" w:rsidRDefault="00431AC3" w:rsidP="00431AC3">
      <w:pPr>
        <w:rPr>
          <w:rFonts w:ascii="Times New Roman" w:hAnsi="Times New Roman" w:cs="Times New Roman"/>
          <w:sz w:val="20"/>
          <w:szCs w:val="20"/>
        </w:rPr>
      </w:pPr>
      <w:r w:rsidRPr="009613EC">
        <w:rPr>
          <w:rFonts w:ascii="Times New Roman" w:hAnsi="Times New Roman" w:cs="Times New Roman"/>
          <w:sz w:val="20"/>
          <w:szCs w:val="20"/>
        </w:rPr>
        <w:t xml:space="preserve">Table </w:t>
      </w:r>
      <w:r w:rsidR="00BE2E2C">
        <w:rPr>
          <w:rFonts w:ascii="Times New Roman" w:hAnsi="Times New Roman" w:cs="Times New Roman"/>
          <w:sz w:val="20"/>
          <w:szCs w:val="20"/>
        </w:rPr>
        <w:t xml:space="preserve">3. </w:t>
      </w:r>
      <w:r w:rsidRPr="009613EC">
        <w:rPr>
          <w:rFonts w:ascii="Times New Roman" w:hAnsi="Times New Roman" w:cs="Times New Roman"/>
          <w:sz w:val="20"/>
          <w:szCs w:val="20"/>
        </w:rPr>
        <w:t>IPV by AgeGroup (2021)</w:t>
      </w:r>
    </w:p>
    <w:p w14:paraId="6D50AA3F" w14:textId="77777777" w:rsidR="00431AC3" w:rsidRPr="00F8249F" w:rsidRDefault="00431AC3" w:rsidP="00431AC3"/>
    <w:tbl>
      <w:tblPr>
        <w:tblStyle w:val="PlainTable2"/>
        <w:tblW w:w="0" w:type="auto"/>
        <w:tblLook w:val="04A0" w:firstRow="1" w:lastRow="0" w:firstColumn="1" w:lastColumn="0" w:noHBand="0" w:noVBand="1"/>
      </w:tblPr>
      <w:tblGrid>
        <w:gridCol w:w="2406"/>
        <w:gridCol w:w="1736"/>
        <w:gridCol w:w="1736"/>
        <w:gridCol w:w="1736"/>
        <w:gridCol w:w="1736"/>
      </w:tblGrid>
      <w:tr w:rsidR="009613EC" w:rsidRPr="00C975D9" w14:paraId="5FC2BEB7" w14:textId="77777777" w:rsidTr="00E25006">
        <w:trPr>
          <w:cnfStyle w:val="100000000000" w:firstRow="1" w:lastRow="0" w:firstColumn="0" w:lastColumn="0" w:oddVBand="0" w:evenVBand="0" w:oddHBand="0"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2406" w:type="dxa"/>
          </w:tcPr>
          <w:p w14:paraId="3C5EE523"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Country</w:t>
            </w:r>
          </w:p>
        </w:tc>
        <w:tc>
          <w:tcPr>
            <w:tcW w:w="1736" w:type="dxa"/>
          </w:tcPr>
          <w:p w14:paraId="1F8943B6" w14:textId="77777777" w:rsidR="009613EC" w:rsidRPr="00C975D9" w:rsidRDefault="009613EC"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From 18-29 y.o.</w:t>
            </w:r>
          </w:p>
        </w:tc>
        <w:tc>
          <w:tcPr>
            <w:tcW w:w="1736" w:type="dxa"/>
          </w:tcPr>
          <w:p w14:paraId="6FF76858" w14:textId="77777777" w:rsidR="009613EC" w:rsidRPr="00C975D9" w:rsidRDefault="009613EC"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From 30-44 y.o.</w:t>
            </w:r>
          </w:p>
        </w:tc>
        <w:tc>
          <w:tcPr>
            <w:tcW w:w="1736" w:type="dxa"/>
          </w:tcPr>
          <w:p w14:paraId="016ADFE6" w14:textId="77777777" w:rsidR="009613EC" w:rsidRPr="00C975D9" w:rsidRDefault="009613EC"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From 45-64 y.o.</w:t>
            </w:r>
          </w:p>
        </w:tc>
        <w:tc>
          <w:tcPr>
            <w:tcW w:w="1736" w:type="dxa"/>
          </w:tcPr>
          <w:p w14:paraId="7C1C2BA1" w14:textId="77777777" w:rsidR="009613EC" w:rsidRPr="00C975D9" w:rsidRDefault="009613EC"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From 65-74 y.o.</w:t>
            </w:r>
          </w:p>
        </w:tc>
      </w:tr>
      <w:tr w:rsidR="009613EC" w:rsidRPr="00C975D9" w14:paraId="32030E1E"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406" w:type="dxa"/>
          </w:tcPr>
          <w:p w14:paraId="4D1B6831"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Albania</w:t>
            </w:r>
          </w:p>
        </w:tc>
        <w:tc>
          <w:tcPr>
            <w:tcW w:w="1736" w:type="dxa"/>
          </w:tcPr>
          <w:p w14:paraId="2F79075A"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N/A</w:t>
            </w:r>
          </w:p>
        </w:tc>
        <w:tc>
          <w:tcPr>
            <w:tcW w:w="1736" w:type="dxa"/>
          </w:tcPr>
          <w:p w14:paraId="511BE295"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N/A</w:t>
            </w:r>
          </w:p>
        </w:tc>
        <w:tc>
          <w:tcPr>
            <w:tcW w:w="1736" w:type="dxa"/>
          </w:tcPr>
          <w:p w14:paraId="35D054A2"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N/A</w:t>
            </w:r>
          </w:p>
        </w:tc>
        <w:tc>
          <w:tcPr>
            <w:tcW w:w="1736" w:type="dxa"/>
          </w:tcPr>
          <w:p w14:paraId="144B90EA"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N/A</w:t>
            </w:r>
          </w:p>
        </w:tc>
      </w:tr>
      <w:tr w:rsidR="009613EC" w:rsidRPr="00C975D9" w14:paraId="13936545"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406" w:type="dxa"/>
          </w:tcPr>
          <w:p w14:paraId="3A4155B6"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Bosnia and Herzegovina</w:t>
            </w:r>
          </w:p>
        </w:tc>
        <w:tc>
          <w:tcPr>
            <w:tcW w:w="1736" w:type="dxa"/>
          </w:tcPr>
          <w:p w14:paraId="77820586"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c>
          <w:tcPr>
            <w:tcW w:w="1736" w:type="dxa"/>
          </w:tcPr>
          <w:p w14:paraId="521AE0C9"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c>
          <w:tcPr>
            <w:tcW w:w="1736" w:type="dxa"/>
          </w:tcPr>
          <w:p w14:paraId="6C2E69A4"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c>
          <w:tcPr>
            <w:tcW w:w="1736" w:type="dxa"/>
          </w:tcPr>
          <w:p w14:paraId="4B97A4A0"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r>
      <w:tr w:rsidR="009613EC" w:rsidRPr="00C975D9" w14:paraId="6218D9CE"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406" w:type="dxa"/>
          </w:tcPr>
          <w:p w14:paraId="18A0C510"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Kosovo</w:t>
            </w:r>
          </w:p>
        </w:tc>
        <w:tc>
          <w:tcPr>
            <w:tcW w:w="1736" w:type="dxa"/>
          </w:tcPr>
          <w:p w14:paraId="6AB4A4BE"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26.0</w:t>
            </w:r>
          </w:p>
        </w:tc>
        <w:tc>
          <w:tcPr>
            <w:tcW w:w="1736" w:type="dxa"/>
          </w:tcPr>
          <w:p w14:paraId="2F20F420"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23.3</w:t>
            </w:r>
          </w:p>
        </w:tc>
        <w:tc>
          <w:tcPr>
            <w:tcW w:w="1736" w:type="dxa"/>
          </w:tcPr>
          <w:p w14:paraId="1E424712"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25.2</w:t>
            </w:r>
          </w:p>
        </w:tc>
        <w:tc>
          <w:tcPr>
            <w:tcW w:w="1736" w:type="dxa"/>
          </w:tcPr>
          <w:p w14:paraId="6FAD300A"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34.0</w:t>
            </w:r>
          </w:p>
        </w:tc>
      </w:tr>
      <w:tr w:rsidR="009613EC" w:rsidRPr="00C975D9" w14:paraId="13DFE9A5"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406" w:type="dxa"/>
          </w:tcPr>
          <w:p w14:paraId="6E689C82"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France</w:t>
            </w:r>
          </w:p>
        </w:tc>
        <w:tc>
          <w:tcPr>
            <w:tcW w:w="1736" w:type="dxa"/>
          </w:tcPr>
          <w:p w14:paraId="3E491DEA"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41.6</w:t>
            </w:r>
          </w:p>
        </w:tc>
        <w:tc>
          <w:tcPr>
            <w:tcW w:w="1736" w:type="dxa"/>
          </w:tcPr>
          <w:p w14:paraId="160D690F"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33.6</w:t>
            </w:r>
          </w:p>
        </w:tc>
        <w:tc>
          <w:tcPr>
            <w:tcW w:w="1736" w:type="dxa"/>
          </w:tcPr>
          <w:p w14:paraId="1B843021"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28.3</w:t>
            </w:r>
          </w:p>
        </w:tc>
        <w:tc>
          <w:tcPr>
            <w:tcW w:w="1736" w:type="dxa"/>
          </w:tcPr>
          <w:p w14:paraId="393726FF"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19.4</w:t>
            </w:r>
          </w:p>
        </w:tc>
      </w:tr>
      <w:tr w:rsidR="009613EC" w:rsidRPr="00C975D9" w14:paraId="71E8B92C"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406" w:type="dxa"/>
          </w:tcPr>
          <w:p w14:paraId="10130CBA"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Montenegro</w:t>
            </w:r>
          </w:p>
        </w:tc>
        <w:tc>
          <w:tcPr>
            <w:tcW w:w="1736" w:type="dxa"/>
          </w:tcPr>
          <w:p w14:paraId="45DBEE5F"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17.8</w:t>
            </w:r>
          </w:p>
        </w:tc>
        <w:tc>
          <w:tcPr>
            <w:tcW w:w="1736" w:type="dxa"/>
          </w:tcPr>
          <w:p w14:paraId="21549233"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18.8</w:t>
            </w:r>
          </w:p>
        </w:tc>
        <w:tc>
          <w:tcPr>
            <w:tcW w:w="1736" w:type="dxa"/>
          </w:tcPr>
          <w:p w14:paraId="44796048"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21.9</w:t>
            </w:r>
          </w:p>
        </w:tc>
        <w:tc>
          <w:tcPr>
            <w:tcW w:w="1736" w:type="dxa"/>
          </w:tcPr>
          <w:p w14:paraId="7F6F7502"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21.3</w:t>
            </w:r>
          </w:p>
        </w:tc>
      </w:tr>
      <w:tr w:rsidR="009613EC" w:rsidRPr="00C975D9" w14:paraId="017FF6E4" w14:textId="77777777" w:rsidTr="00E25006">
        <w:trPr>
          <w:trHeight w:val="327"/>
        </w:trPr>
        <w:tc>
          <w:tcPr>
            <w:cnfStyle w:val="001000000000" w:firstRow="0" w:lastRow="0" w:firstColumn="1" w:lastColumn="0" w:oddVBand="0" w:evenVBand="0" w:oddHBand="0" w:evenHBand="0" w:firstRowFirstColumn="0" w:firstRowLastColumn="0" w:lastRowFirstColumn="0" w:lastRowLastColumn="0"/>
            <w:tcW w:w="2406" w:type="dxa"/>
          </w:tcPr>
          <w:p w14:paraId="0814B91C"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North Macedonia</w:t>
            </w:r>
          </w:p>
        </w:tc>
        <w:tc>
          <w:tcPr>
            <w:tcW w:w="1736" w:type="dxa"/>
          </w:tcPr>
          <w:p w14:paraId="1E0E1ED9"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tcPr>
          <w:p w14:paraId="1EC21CBD"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tcPr>
          <w:p w14:paraId="17D53117"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36" w:type="dxa"/>
          </w:tcPr>
          <w:p w14:paraId="68C8FC32" w14:textId="77777777" w:rsidR="009613EC" w:rsidRPr="00C975D9" w:rsidRDefault="009613EC"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13EC" w:rsidRPr="00C975D9" w14:paraId="5DC9AA45" w14:textId="77777777" w:rsidTr="00E25006">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406" w:type="dxa"/>
          </w:tcPr>
          <w:p w14:paraId="252F2B72" w14:textId="77777777" w:rsidR="009613EC" w:rsidRPr="00C975D9" w:rsidRDefault="009613EC" w:rsidP="00E25006">
            <w:pPr>
              <w:jc w:val="center"/>
              <w:rPr>
                <w:rFonts w:ascii="Times New Roman" w:hAnsi="Times New Roman" w:cs="Times New Roman"/>
                <w:sz w:val="20"/>
                <w:szCs w:val="20"/>
              </w:rPr>
            </w:pPr>
            <w:r w:rsidRPr="00C975D9">
              <w:rPr>
                <w:rFonts w:ascii="Times New Roman" w:hAnsi="Times New Roman" w:cs="Times New Roman"/>
                <w:sz w:val="20"/>
                <w:szCs w:val="20"/>
              </w:rPr>
              <w:t>Serbia</w:t>
            </w:r>
          </w:p>
        </w:tc>
        <w:tc>
          <w:tcPr>
            <w:tcW w:w="1736" w:type="dxa"/>
          </w:tcPr>
          <w:p w14:paraId="1DA28B1C"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18.4</w:t>
            </w:r>
          </w:p>
        </w:tc>
        <w:tc>
          <w:tcPr>
            <w:tcW w:w="1736" w:type="dxa"/>
          </w:tcPr>
          <w:p w14:paraId="7FBF7637"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22.4</w:t>
            </w:r>
          </w:p>
        </w:tc>
        <w:tc>
          <w:tcPr>
            <w:tcW w:w="1736" w:type="dxa"/>
          </w:tcPr>
          <w:p w14:paraId="6F2717A6"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21.8</w:t>
            </w:r>
          </w:p>
        </w:tc>
        <w:tc>
          <w:tcPr>
            <w:tcW w:w="1736" w:type="dxa"/>
          </w:tcPr>
          <w:p w14:paraId="49C320AF" w14:textId="77777777" w:rsidR="009613EC" w:rsidRPr="00C975D9" w:rsidRDefault="009613EC"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75D9">
              <w:rPr>
                <w:rFonts w:ascii="Times New Roman" w:hAnsi="Times New Roman" w:cs="Times New Roman"/>
                <w:sz w:val="20"/>
                <w:szCs w:val="20"/>
              </w:rPr>
              <w:t>22.8</w:t>
            </w:r>
          </w:p>
        </w:tc>
      </w:tr>
    </w:tbl>
    <w:p w14:paraId="25F41EF7" w14:textId="02367EA1" w:rsidR="00F8249F" w:rsidRDefault="00BE2E2C">
      <w:pPr>
        <w:rPr>
          <w:rFonts w:ascii="Times New Roman" w:hAnsi="Times New Roman" w:cs="Times New Roman"/>
          <w:sz w:val="20"/>
          <w:szCs w:val="20"/>
        </w:rPr>
      </w:pPr>
      <w:r w:rsidRPr="00453FB1">
        <w:rPr>
          <w:rFonts w:ascii="Times New Roman" w:hAnsi="Times New Roman" w:cs="Times New Roman"/>
          <w:i/>
          <w:iCs/>
          <w:sz w:val="20"/>
          <w:szCs w:val="20"/>
        </w:rPr>
        <w:t>Source</w:t>
      </w:r>
      <w:r w:rsidRPr="00453FB1">
        <w:rPr>
          <w:rFonts w:ascii="Times New Roman" w:hAnsi="Times New Roman" w:cs="Times New Roman"/>
          <w:sz w:val="20"/>
          <w:szCs w:val="20"/>
        </w:rPr>
        <w:t xml:space="preserve">: Author elaboration </w:t>
      </w:r>
      <w:r w:rsidR="00DE2A52" w:rsidRPr="00453FB1">
        <w:rPr>
          <w:rFonts w:ascii="Times New Roman" w:hAnsi="Times New Roman" w:cs="Times New Roman"/>
          <w:sz w:val="20"/>
          <w:szCs w:val="20"/>
        </w:rPr>
        <w:t>on Eurostat</w:t>
      </w:r>
      <w:r w:rsidRPr="00453FB1">
        <w:rPr>
          <w:rFonts w:ascii="Times New Roman" w:hAnsi="Times New Roman" w:cs="Times New Roman"/>
          <w:sz w:val="20"/>
          <w:szCs w:val="20"/>
        </w:rPr>
        <w:t xml:space="preserve"> data, 2023</w:t>
      </w:r>
    </w:p>
    <w:p w14:paraId="3A848B34" w14:textId="77777777" w:rsidR="00BE2E2C" w:rsidRPr="00BE2E2C" w:rsidRDefault="00BE2E2C">
      <w:pPr>
        <w:rPr>
          <w:rFonts w:ascii="Times New Roman" w:hAnsi="Times New Roman" w:cs="Times New Roman"/>
          <w:sz w:val="20"/>
          <w:szCs w:val="20"/>
        </w:rPr>
      </w:pPr>
    </w:p>
    <w:p w14:paraId="381F14FE" w14:textId="684CF3EB" w:rsidR="00431AC3" w:rsidRPr="00BE2E2C" w:rsidRDefault="00431AC3" w:rsidP="00431AC3">
      <w:pPr>
        <w:rPr>
          <w:rFonts w:ascii="Times New Roman" w:hAnsi="Times New Roman" w:cs="Times New Roman"/>
          <w:sz w:val="20"/>
          <w:szCs w:val="20"/>
        </w:rPr>
      </w:pPr>
      <w:r w:rsidRPr="00BE2E2C">
        <w:rPr>
          <w:rFonts w:ascii="Times New Roman" w:hAnsi="Times New Roman" w:cs="Times New Roman"/>
          <w:sz w:val="20"/>
          <w:szCs w:val="20"/>
        </w:rPr>
        <w:t xml:space="preserve">Table </w:t>
      </w:r>
      <w:r w:rsidR="00BE2E2C" w:rsidRPr="00BE2E2C">
        <w:rPr>
          <w:rFonts w:ascii="Times New Roman" w:hAnsi="Times New Roman" w:cs="Times New Roman"/>
          <w:sz w:val="20"/>
          <w:szCs w:val="20"/>
        </w:rPr>
        <w:t xml:space="preserve">4. </w:t>
      </w:r>
      <w:r w:rsidRPr="00BE2E2C">
        <w:rPr>
          <w:rFonts w:ascii="Times New Roman" w:hAnsi="Times New Roman" w:cs="Times New Roman"/>
          <w:sz w:val="20"/>
          <w:szCs w:val="20"/>
        </w:rPr>
        <w:t>IPV by felt consequences (2021)</w:t>
      </w:r>
    </w:p>
    <w:tbl>
      <w:tblPr>
        <w:tblStyle w:val="PlainTable2"/>
        <w:tblW w:w="0" w:type="auto"/>
        <w:tblLook w:val="04A0" w:firstRow="1" w:lastRow="0" w:firstColumn="1" w:lastColumn="0" w:noHBand="0" w:noVBand="1"/>
      </w:tblPr>
      <w:tblGrid>
        <w:gridCol w:w="3735"/>
        <w:gridCol w:w="2715"/>
        <w:gridCol w:w="2715"/>
      </w:tblGrid>
      <w:tr w:rsidR="006645B8" w:rsidRPr="002E0C89" w14:paraId="7CEAE135" w14:textId="77777777" w:rsidTr="00E25006">
        <w:trPr>
          <w:cnfStyle w:val="100000000000" w:firstRow="1" w:lastRow="0" w:firstColumn="0" w:lastColumn="0" w:oddVBand="0" w:evenVBand="0" w:oddHBand="0"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3735" w:type="dxa"/>
          </w:tcPr>
          <w:p w14:paraId="555EB606"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Country</w:t>
            </w:r>
          </w:p>
        </w:tc>
        <w:tc>
          <w:tcPr>
            <w:tcW w:w="2715" w:type="dxa"/>
          </w:tcPr>
          <w:p w14:paraId="2D79EAC2" w14:textId="77777777" w:rsidR="006645B8" w:rsidRPr="002E0C89" w:rsidRDefault="006645B8"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Physical Inquiry</w:t>
            </w:r>
          </w:p>
        </w:tc>
        <w:tc>
          <w:tcPr>
            <w:tcW w:w="2715" w:type="dxa"/>
          </w:tcPr>
          <w:p w14:paraId="392FE181" w14:textId="77777777" w:rsidR="006645B8" w:rsidRPr="002E0C89" w:rsidRDefault="006645B8"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Felt that their life was in danger</w:t>
            </w:r>
          </w:p>
        </w:tc>
      </w:tr>
      <w:tr w:rsidR="006645B8" w:rsidRPr="002E0C89" w14:paraId="0E0B34ED" w14:textId="77777777" w:rsidTr="00E2500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735" w:type="dxa"/>
          </w:tcPr>
          <w:p w14:paraId="59CEBC2B"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Albania</w:t>
            </w:r>
          </w:p>
        </w:tc>
        <w:tc>
          <w:tcPr>
            <w:tcW w:w="2715" w:type="dxa"/>
          </w:tcPr>
          <w:p w14:paraId="6B1598A8"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N/A</w:t>
            </w:r>
          </w:p>
        </w:tc>
        <w:tc>
          <w:tcPr>
            <w:tcW w:w="2715" w:type="dxa"/>
          </w:tcPr>
          <w:p w14:paraId="368E5979"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N/A</w:t>
            </w:r>
          </w:p>
        </w:tc>
      </w:tr>
      <w:tr w:rsidR="006645B8" w:rsidRPr="002E0C89" w14:paraId="22DA63FB" w14:textId="77777777" w:rsidTr="00E25006">
        <w:trPr>
          <w:trHeight w:val="317"/>
        </w:trPr>
        <w:tc>
          <w:tcPr>
            <w:cnfStyle w:val="001000000000" w:firstRow="0" w:lastRow="0" w:firstColumn="1" w:lastColumn="0" w:oddVBand="0" w:evenVBand="0" w:oddHBand="0" w:evenHBand="0" w:firstRowFirstColumn="0" w:firstRowLastColumn="0" w:lastRowFirstColumn="0" w:lastRowLastColumn="0"/>
            <w:tcW w:w="3735" w:type="dxa"/>
          </w:tcPr>
          <w:p w14:paraId="5EFA23E4"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Bosnia and Herzegovina</w:t>
            </w:r>
          </w:p>
        </w:tc>
        <w:tc>
          <w:tcPr>
            <w:tcW w:w="2715" w:type="dxa"/>
          </w:tcPr>
          <w:p w14:paraId="3D3FB9B8" w14:textId="77777777" w:rsidR="006645B8" w:rsidRPr="002E0C89" w:rsidRDefault="006645B8"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N/A</w:t>
            </w:r>
          </w:p>
        </w:tc>
        <w:tc>
          <w:tcPr>
            <w:tcW w:w="2715" w:type="dxa"/>
          </w:tcPr>
          <w:p w14:paraId="50C4A428" w14:textId="77777777" w:rsidR="006645B8" w:rsidRPr="002E0C89" w:rsidRDefault="006645B8"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N/A</w:t>
            </w:r>
          </w:p>
        </w:tc>
      </w:tr>
      <w:tr w:rsidR="006645B8" w:rsidRPr="002E0C89" w14:paraId="3342C7EE" w14:textId="77777777" w:rsidTr="00E2500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735" w:type="dxa"/>
          </w:tcPr>
          <w:p w14:paraId="2F3A58AB"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Kosovo</w:t>
            </w:r>
          </w:p>
        </w:tc>
        <w:tc>
          <w:tcPr>
            <w:tcW w:w="2715" w:type="dxa"/>
          </w:tcPr>
          <w:p w14:paraId="6C6872B5"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1.7</w:t>
            </w:r>
          </w:p>
        </w:tc>
        <w:tc>
          <w:tcPr>
            <w:tcW w:w="2715" w:type="dxa"/>
          </w:tcPr>
          <w:p w14:paraId="7E057ABE"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1.3</w:t>
            </w:r>
          </w:p>
        </w:tc>
      </w:tr>
      <w:tr w:rsidR="006645B8" w:rsidRPr="002E0C89" w14:paraId="2D87DB05" w14:textId="77777777" w:rsidTr="00E25006">
        <w:trPr>
          <w:trHeight w:val="317"/>
        </w:trPr>
        <w:tc>
          <w:tcPr>
            <w:cnfStyle w:val="001000000000" w:firstRow="0" w:lastRow="0" w:firstColumn="1" w:lastColumn="0" w:oddVBand="0" w:evenVBand="0" w:oddHBand="0" w:evenHBand="0" w:firstRowFirstColumn="0" w:firstRowLastColumn="0" w:lastRowFirstColumn="0" w:lastRowLastColumn="0"/>
            <w:tcW w:w="3735" w:type="dxa"/>
          </w:tcPr>
          <w:p w14:paraId="23FCC782"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France</w:t>
            </w:r>
          </w:p>
        </w:tc>
        <w:tc>
          <w:tcPr>
            <w:tcW w:w="2715" w:type="dxa"/>
          </w:tcPr>
          <w:p w14:paraId="337E9C18" w14:textId="77777777" w:rsidR="006645B8" w:rsidRPr="002E0C89" w:rsidRDefault="006645B8"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8.8</w:t>
            </w:r>
          </w:p>
        </w:tc>
        <w:tc>
          <w:tcPr>
            <w:tcW w:w="2715" w:type="dxa"/>
          </w:tcPr>
          <w:p w14:paraId="1B3724B4" w14:textId="77777777" w:rsidR="006645B8" w:rsidRPr="002E0C89" w:rsidRDefault="006645B8"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6.8</w:t>
            </w:r>
          </w:p>
        </w:tc>
      </w:tr>
      <w:tr w:rsidR="006645B8" w:rsidRPr="002E0C89" w14:paraId="4EC7B1B8" w14:textId="77777777" w:rsidTr="00E2500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735" w:type="dxa"/>
          </w:tcPr>
          <w:p w14:paraId="4FEA092F"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Montenegro</w:t>
            </w:r>
          </w:p>
        </w:tc>
        <w:tc>
          <w:tcPr>
            <w:tcW w:w="2715" w:type="dxa"/>
          </w:tcPr>
          <w:p w14:paraId="606F3D05"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3.1</w:t>
            </w:r>
          </w:p>
        </w:tc>
        <w:tc>
          <w:tcPr>
            <w:tcW w:w="2715" w:type="dxa"/>
          </w:tcPr>
          <w:p w14:paraId="2684C6B4"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i/>
                <w:iCs/>
                <w:sz w:val="20"/>
                <w:szCs w:val="20"/>
              </w:rPr>
              <w:t>u *</w:t>
            </w:r>
          </w:p>
        </w:tc>
      </w:tr>
      <w:tr w:rsidR="006645B8" w:rsidRPr="002E0C89" w14:paraId="40F9A77C" w14:textId="77777777" w:rsidTr="00E25006">
        <w:trPr>
          <w:trHeight w:val="317"/>
        </w:trPr>
        <w:tc>
          <w:tcPr>
            <w:cnfStyle w:val="001000000000" w:firstRow="0" w:lastRow="0" w:firstColumn="1" w:lastColumn="0" w:oddVBand="0" w:evenVBand="0" w:oddHBand="0" w:evenHBand="0" w:firstRowFirstColumn="0" w:firstRowLastColumn="0" w:lastRowFirstColumn="0" w:lastRowLastColumn="0"/>
            <w:tcW w:w="3735" w:type="dxa"/>
          </w:tcPr>
          <w:p w14:paraId="5DF9C0E0"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North Macedonia</w:t>
            </w:r>
          </w:p>
        </w:tc>
        <w:tc>
          <w:tcPr>
            <w:tcW w:w="2715" w:type="dxa"/>
          </w:tcPr>
          <w:p w14:paraId="516933D4" w14:textId="77777777" w:rsidR="006645B8" w:rsidRPr="002E0C89" w:rsidRDefault="006645B8"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N/A</w:t>
            </w:r>
          </w:p>
        </w:tc>
        <w:tc>
          <w:tcPr>
            <w:tcW w:w="2715" w:type="dxa"/>
          </w:tcPr>
          <w:p w14:paraId="4BF63FC8" w14:textId="77777777" w:rsidR="006645B8" w:rsidRPr="002E0C89" w:rsidRDefault="006645B8" w:rsidP="00E25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N/A</w:t>
            </w:r>
          </w:p>
        </w:tc>
      </w:tr>
      <w:tr w:rsidR="006645B8" w:rsidRPr="002E0C89" w14:paraId="241A4262" w14:textId="77777777" w:rsidTr="00E25006">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735" w:type="dxa"/>
          </w:tcPr>
          <w:p w14:paraId="449B12FE" w14:textId="77777777" w:rsidR="006645B8" w:rsidRPr="002E0C89" w:rsidRDefault="006645B8" w:rsidP="00E25006">
            <w:pPr>
              <w:jc w:val="center"/>
              <w:rPr>
                <w:rFonts w:ascii="Times New Roman" w:hAnsi="Times New Roman" w:cs="Times New Roman"/>
                <w:sz w:val="20"/>
                <w:szCs w:val="20"/>
              </w:rPr>
            </w:pPr>
            <w:r w:rsidRPr="002E0C89">
              <w:rPr>
                <w:rFonts w:ascii="Times New Roman" w:hAnsi="Times New Roman" w:cs="Times New Roman"/>
                <w:sz w:val="20"/>
                <w:szCs w:val="20"/>
              </w:rPr>
              <w:t>Serbia</w:t>
            </w:r>
          </w:p>
        </w:tc>
        <w:tc>
          <w:tcPr>
            <w:tcW w:w="2715" w:type="dxa"/>
          </w:tcPr>
          <w:p w14:paraId="0C34770A"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4.8</w:t>
            </w:r>
          </w:p>
        </w:tc>
        <w:tc>
          <w:tcPr>
            <w:tcW w:w="2715" w:type="dxa"/>
          </w:tcPr>
          <w:p w14:paraId="53C7692A" w14:textId="77777777" w:rsidR="006645B8" w:rsidRPr="002E0C89" w:rsidRDefault="006645B8" w:rsidP="00E250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E0C89">
              <w:rPr>
                <w:rFonts w:ascii="Times New Roman" w:hAnsi="Times New Roman" w:cs="Times New Roman"/>
                <w:sz w:val="20"/>
                <w:szCs w:val="20"/>
              </w:rPr>
              <w:t>4.6</w:t>
            </w:r>
          </w:p>
        </w:tc>
      </w:tr>
    </w:tbl>
    <w:p w14:paraId="68F247DA" w14:textId="46825650" w:rsidR="00BE2E2C" w:rsidRPr="00453FB1" w:rsidRDefault="00BE2E2C" w:rsidP="00BE2E2C">
      <w:pPr>
        <w:rPr>
          <w:rFonts w:ascii="Times New Roman" w:hAnsi="Times New Roman" w:cs="Times New Roman"/>
          <w:sz w:val="20"/>
          <w:szCs w:val="20"/>
        </w:rPr>
      </w:pPr>
      <w:r w:rsidRPr="00453FB1">
        <w:rPr>
          <w:rFonts w:ascii="Times New Roman" w:hAnsi="Times New Roman" w:cs="Times New Roman"/>
          <w:i/>
          <w:iCs/>
          <w:sz w:val="20"/>
          <w:szCs w:val="20"/>
        </w:rPr>
        <w:t>Source</w:t>
      </w:r>
      <w:r w:rsidRPr="00453FB1">
        <w:rPr>
          <w:rFonts w:ascii="Times New Roman" w:hAnsi="Times New Roman" w:cs="Times New Roman"/>
          <w:sz w:val="20"/>
          <w:szCs w:val="20"/>
        </w:rPr>
        <w:t xml:space="preserve">: Author elaboration </w:t>
      </w:r>
      <w:r w:rsidR="00DE2A52" w:rsidRPr="00453FB1">
        <w:rPr>
          <w:rFonts w:ascii="Times New Roman" w:hAnsi="Times New Roman" w:cs="Times New Roman"/>
          <w:sz w:val="20"/>
          <w:szCs w:val="20"/>
        </w:rPr>
        <w:t>on Eurostat</w:t>
      </w:r>
      <w:r w:rsidRPr="00453FB1">
        <w:rPr>
          <w:rFonts w:ascii="Times New Roman" w:hAnsi="Times New Roman" w:cs="Times New Roman"/>
          <w:sz w:val="20"/>
          <w:szCs w:val="20"/>
        </w:rPr>
        <w:t xml:space="preserve"> data, 2023</w:t>
      </w:r>
    </w:p>
    <w:p w14:paraId="078E74F7" w14:textId="77777777" w:rsidR="00B53F5E" w:rsidRPr="00BE2E2C" w:rsidRDefault="00B53F5E"/>
    <w:p w14:paraId="526AB111" w14:textId="450A808D" w:rsidR="007A16B1" w:rsidRDefault="008A530F" w:rsidP="00137B3A">
      <w:pPr>
        <w:spacing w:after="0" w:line="360" w:lineRule="auto"/>
        <w:jc w:val="both"/>
        <w:rPr>
          <w:rFonts w:ascii="Times New Roman" w:hAnsi="Times New Roman" w:cs="Times New Roman"/>
          <w:sz w:val="24"/>
          <w:szCs w:val="24"/>
        </w:rPr>
      </w:pPr>
      <w:r w:rsidRPr="008A530F">
        <w:rPr>
          <w:rFonts w:ascii="Times New Roman" w:hAnsi="Times New Roman" w:cs="Times New Roman"/>
          <w:sz w:val="24"/>
          <w:szCs w:val="24"/>
        </w:rPr>
        <w:t xml:space="preserve">The examination of the </w:t>
      </w:r>
      <w:r>
        <w:rPr>
          <w:rFonts w:ascii="Times New Roman" w:hAnsi="Times New Roman" w:cs="Times New Roman"/>
          <w:sz w:val="24"/>
          <w:szCs w:val="24"/>
        </w:rPr>
        <w:t xml:space="preserve">above </w:t>
      </w:r>
      <w:r w:rsidRPr="008A530F">
        <w:rPr>
          <w:rFonts w:ascii="Times New Roman" w:hAnsi="Times New Roman" w:cs="Times New Roman"/>
          <w:sz w:val="24"/>
          <w:szCs w:val="24"/>
        </w:rPr>
        <w:t>tables demonstrates notable deficiencies in the documentation</w:t>
      </w:r>
      <w:r>
        <w:rPr>
          <w:rFonts w:ascii="Times New Roman" w:hAnsi="Times New Roman" w:cs="Times New Roman"/>
          <w:sz w:val="24"/>
          <w:szCs w:val="24"/>
        </w:rPr>
        <w:t xml:space="preserve"> and reports </w:t>
      </w:r>
      <w:r w:rsidRPr="008A530F">
        <w:rPr>
          <w:rFonts w:ascii="Times New Roman" w:hAnsi="Times New Roman" w:cs="Times New Roman"/>
          <w:sz w:val="24"/>
          <w:szCs w:val="24"/>
        </w:rPr>
        <w:t>of Domestic and Intimate Partner Violence within</w:t>
      </w:r>
      <w:r>
        <w:rPr>
          <w:rFonts w:ascii="Times New Roman" w:hAnsi="Times New Roman" w:cs="Times New Roman"/>
          <w:sz w:val="24"/>
          <w:szCs w:val="24"/>
        </w:rPr>
        <w:t xml:space="preserve"> Albania and </w:t>
      </w:r>
      <w:r w:rsidRPr="008A530F">
        <w:rPr>
          <w:rFonts w:ascii="Times New Roman" w:hAnsi="Times New Roman" w:cs="Times New Roman"/>
          <w:sz w:val="24"/>
          <w:szCs w:val="24"/>
        </w:rPr>
        <w:t>the Western Balkans, attributable to historical cultural influences and the nuanced interpretation of "</w:t>
      </w:r>
      <w:r w:rsidRPr="008A530F">
        <w:rPr>
          <w:rFonts w:ascii="Times New Roman" w:hAnsi="Times New Roman" w:cs="Times New Roman"/>
          <w:i/>
          <w:iCs/>
          <w:sz w:val="24"/>
          <w:szCs w:val="24"/>
        </w:rPr>
        <w:t>intimate partner violence</w:t>
      </w:r>
      <w:r w:rsidRPr="008A530F">
        <w:rPr>
          <w:rFonts w:ascii="Times New Roman" w:hAnsi="Times New Roman" w:cs="Times New Roman"/>
          <w:sz w:val="24"/>
          <w:szCs w:val="24"/>
        </w:rPr>
        <w:t>" in former Yugoslavian territories. Despite concerted efforts by non-governmental organizations</w:t>
      </w:r>
      <w:r>
        <w:rPr>
          <w:rFonts w:ascii="Times New Roman" w:hAnsi="Times New Roman" w:cs="Times New Roman"/>
          <w:sz w:val="24"/>
          <w:szCs w:val="24"/>
        </w:rPr>
        <w:t xml:space="preserve">, civil society, </w:t>
      </w:r>
      <w:r w:rsidRPr="008A530F">
        <w:rPr>
          <w:rFonts w:ascii="Times New Roman" w:hAnsi="Times New Roman" w:cs="Times New Roman"/>
          <w:sz w:val="24"/>
          <w:szCs w:val="24"/>
        </w:rPr>
        <w:t xml:space="preserve">and gender-focused </w:t>
      </w:r>
      <w:r>
        <w:rPr>
          <w:rFonts w:ascii="Times New Roman" w:hAnsi="Times New Roman" w:cs="Times New Roman"/>
          <w:sz w:val="24"/>
          <w:szCs w:val="24"/>
        </w:rPr>
        <w:t>bodies</w:t>
      </w:r>
      <w:r w:rsidRPr="008A530F">
        <w:rPr>
          <w:rFonts w:ascii="Times New Roman" w:hAnsi="Times New Roman" w:cs="Times New Roman"/>
          <w:sz w:val="24"/>
          <w:szCs w:val="24"/>
        </w:rPr>
        <w:t xml:space="preserve">, there remains a substantial imperative for governmental action to promote women's recognition of IPV. A plausible approach could involve integrating </w:t>
      </w:r>
      <w:r>
        <w:rPr>
          <w:rFonts w:ascii="Times New Roman" w:hAnsi="Times New Roman" w:cs="Times New Roman"/>
          <w:sz w:val="24"/>
          <w:szCs w:val="24"/>
        </w:rPr>
        <w:t xml:space="preserve">classes </w:t>
      </w:r>
      <w:r w:rsidRPr="008A530F">
        <w:rPr>
          <w:rFonts w:ascii="Times New Roman" w:hAnsi="Times New Roman" w:cs="Times New Roman"/>
          <w:sz w:val="24"/>
          <w:szCs w:val="24"/>
        </w:rPr>
        <w:t>on "</w:t>
      </w:r>
      <w:r w:rsidRPr="008A530F">
        <w:rPr>
          <w:rFonts w:ascii="Times New Roman" w:hAnsi="Times New Roman" w:cs="Times New Roman"/>
          <w:i/>
          <w:iCs/>
          <w:sz w:val="24"/>
          <w:szCs w:val="24"/>
        </w:rPr>
        <w:t>gender roles</w:t>
      </w:r>
      <w:r w:rsidRPr="008A530F">
        <w:rPr>
          <w:rFonts w:ascii="Times New Roman" w:hAnsi="Times New Roman" w:cs="Times New Roman"/>
          <w:sz w:val="24"/>
          <w:szCs w:val="24"/>
        </w:rPr>
        <w:t>" and "</w:t>
      </w:r>
      <w:r w:rsidRPr="008A530F">
        <w:rPr>
          <w:rFonts w:ascii="Times New Roman" w:hAnsi="Times New Roman" w:cs="Times New Roman"/>
          <w:i/>
          <w:iCs/>
          <w:sz w:val="24"/>
          <w:szCs w:val="24"/>
        </w:rPr>
        <w:t>gender-based violence</w:t>
      </w:r>
      <w:r w:rsidRPr="008A530F">
        <w:rPr>
          <w:rFonts w:ascii="Times New Roman" w:hAnsi="Times New Roman" w:cs="Times New Roman"/>
          <w:sz w:val="24"/>
          <w:szCs w:val="24"/>
        </w:rPr>
        <w:t xml:space="preserve">" into </w:t>
      </w:r>
      <w:r>
        <w:rPr>
          <w:rFonts w:ascii="Times New Roman" w:hAnsi="Times New Roman" w:cs="Times New Roman"/>
          <w:sz w:val="24"/>
          <w:szCs w:val="24"/>
        </w:rPr>
        <w:t xml:space="preserve">school </w:t>
      </w:r>
      <w:r w:rsidRPr="008A530F">
        <w:rPr>
          <w:rFonts w:ascii="Times New Roman" w:hAnsi="Times New Roman" w:cs="Times New Roman"/>
          <w:sz w:val="24"/>
          <w:szCs w:val="24"/>
        </w:rPr>
        <w:t>curricula, notwithstanding the absence of compelling evidence in support of this suggestion.</w:t>
      </w:r>
      <w:r w:rsidR="00137B3A">
        <w:rPr>
          <w:rFonts w:ascii="Times New Roman" w:hAnsi="Times New Roman" w:cs="Times New Roman"/>
          <w:sz w:val="24"/>
          <w:szCs w:val="24"/>
        </w:rPr>
        <w:t xml:space="preserve"> </w:t>
      </w:r>
      <w:r w:rsidR="00890ED3" w:rsidRPr="00890ED3">
        <w:rPr>
          <w:rFonts w:ascii="Times New Roman" w:hAnsi="Times New Roman" w:cs="Times New Roman"/>
          <w:sz w:val="24"/>
          <w:szCs w:val="24"/>
        </w:rPr>
        <w:t xml:space="preserve">IPV involves physical, sexual, and psychological violence from a current or former partner. </w:t>
      </w:r>
      <w:r w:rsidR="006D2850" w:rsidRPr="00890ED3">
        <w:rPr>
          <w:rFonts w:ascii="Times New Roman" w:hAnsi="Times New Roman" w:cs="Times New Roman"/>
          <w:sz w:val="24"/>
          <w:szCs w:val="24"/>
        </w:rPr>
        <w:t>Diverse types</w:t>
      </w:r>
      <w:r w:rsidR="00890ED3" w:rsidRPr="00890ED3">
        <w:rPr>
          <w:rFonts w:ascii="Times New Roman" w:hAnsi="Times New Roman" w:cs="Times New Roman"/>
          <w:sz w:val="24"/>
          <w:szCs w:val="24"/>
        </w:rPr>
        <w:t xml:space="preserve"> of abuse can overlap in these relationships</w:t>
      </w:r>
      <w:r w:rsidR="00BE2E2C">
        <w:rPr>
          <w:rFonts w:ascii="Times New Roman" w:hAnsi="Times New Roman" w:cs="Times New Roman"/>
          <w:sz w:val="24"/>
          <w:szCs w:val="24"/>
        </w:rPr>
        <w:t xml:space="preserve"> (Lansford et al.,2002)</w:t>
      </w:r>
      <w:r w:rsidR="00890ED3" w:rsidRPr="00890ED3">
        <w:rPr>
          <w:rFonts w:ascii="Times New Roman" w:hAnsi="Times New Roman" w:cs="Times New Roman"/>
          <w:sz w:val="24"/>
          <w:szCs w:val="24"/>
        </w:rPr>
        <w:t xml:space="preserve">. </w:t>
      </w:r>
      <w:r w:rsidR="005507E2">
        <w:rPr>
          <w:rFonts w:ascii="Times New Roman" w:hAnsi="Times New Roman" w:cs="Times New Roman"/>
          <w:sz w:val="24"/>
          <w:szCs w:val="24"/>
        </w:rPr>
        <w:t>S</w:t>
      </w:r>
      <w:r w:rsidR="00890ED3" w:rsidRPr="00890ED3">
        <w:rPr>
          <w:rFonts w:ascii="Times New Roman" w:hAnsi="Times New Roman" w:cs="Times New Roman"/>
          <w:sz w:val="24"/>
          <w:szCs w:val="24"/>
        </w:rPr>
        <w:t>ome victims experience both physical and sexual violence</w:t>
      </w:r>
      <w:r w:rsidR="005507E2">
        <w:rPr>
          <w:rFonts w:ascii="Times New Roman" w:hAnsi="Times New Roman" w:cs="Times New Roman"/>
          <w:sz w:val="24"/>
          <w:szCs w:val="24"/>
        </w:rPr>
        <w:t xml:space="preserve"> (Itzin et al.,2008)</w:t>
      </w:r>
      <w:r w:rsidR="00890ED3" w:rsidRPr="00890ED3">
        <w:rPr>
          <w:rFonts w:ascii="Times New Roman" w:hAnsi="Times New Roman" w:cs="Times New Roman"/>
          <w:sz w:val="24"/>
          <w:szCs w:val="24"/>
        </w:rPr>
        <w:t xml:space="preserve">. Other forms of abuse, like psychological violence, may also coexist. Recent research challenges the simplistic view of IPV as solely male-on-female violence, revealing its complex </w:t>
      </w:r>
      <w:r w:rsidR="00DE2A52" w:rsidRPr="00890ED3">
        <w:rPr>
          <w:rFonts w:ascii="Times New Roman" w:hAnsi="Times New Roman" w:cs="Times New Roman"/>
          <w:sz w:val="24"/>
          <w:szCs w:val="24"/>
        </w:rPr>
        <w:t>nature</w:t>
      </w:r>
      <w:r w:rsidR="00DE2A52">
        <w:rPr>
          <w:rFonts w:ascii="Times New Roman" w:hAnsi="Times New Roman" w:cs="Times New Roman"/>
          <w:sz w:val="24"/>
          <w:szCs w:val="24"/>
          <w:lang w:val="en-US"/>
        </w:rPr>
        <w:t xml:space="preserve"> (</w:t>
      </w:r>
      <w:r w:rsidR="00BE2E2C">
        <w:rPr>
          <w:rFonts w:ascii="Times New Roman" w:hAnsi="Times New Roman" w:cs="Times New Roman"/>
          <w:sz w:val="24"/>
          <w:szCs w:val="24"/>
          <w:lang w:val="en-US"/>
        </w:rPr>
        <w:t>Cho et al.,2020).</w:t>
      </w:r>
    </w:p>
    <w:p w14:paraId="2D519399" w14:textId="77777777" w:rsidR="00B53F5E" w:rsidRPr="00890ED3" w:rsidRDefault="00B53F5E" w:rsidP="00137B3A">
      <w:pPr>
        <w:spacing w:after="0" w:line="360" w:lineRule="auto"/>
        <w:jc w:val="both"/>
        <w:rPr>
          <w:rFonts w:ascii="Times New Roman" w:hAnsi="Times New Roman" w:cs="Times New Roman"/>
          <w:sz w:val="24"/>
          <w:szCs w:val="24"/>
        </w:rPr>
      </w:pPr>
    </w:p>
    <w:p w14:paraId="232800E4" w14:textId="5FFEA3BC" w:rsidR="007A16B1" w:rsidRPr="00862C94" w:rsidRDefault="007A16B1" w:rsidP="00137B3A">
      <w:pPr>
        <w:spacing w:line="360" w:lineRule="auto"/>
        <w:rPr>
          <w:rFonts w:ascii="Times New Roman" w:hAnsi="Times New Roman" w:cs="Times New Roman"/>
          <w:sz w:val="20"/>
          <w:szCs w:val="20"/>
          <w:lang w:val="en-US"/>
        </w:rPr>
      </w:pPr>
      <w:r w:rsidRPr="00862C94">
        <w:rPr>
          <w:rFonts w:ascii="Times New Roman" w:hAnsi="Times New Roman" w:cs="Times New Roman"/>
          <w:sz w:val="20"/>
          <w:szCs w:val="20"/>
          <w:lang w:val="en-US"/>
        </w:rPr>
        <w:t xml:space="preserve">Table </w:t>
      </w:r>
      <w:r w:rsidR="00BE2E2C">
        <w:rPr>
          <w:rFonts w:ascii="Times New Roman" w:hAnsi="Times New Roman" w:cs="Times New Roman"/>
          <w:sz w:val="20"/>
          <w:szCs w:val="20"/>
          <w:lang w:val="en-US"/>
        </w:rPr>
        <w:t xml:space="preserve">5. </w:t>
      </w:r>
      <w:r w:rsidRPr="00862C94">
        <w:rPr>
          <w:rFonts w:ascii="Times New Roman" w:hAnsi="Times New Roman" w:cs="Times New Roman"/>
          <w:sz w:val="20"/>
          <w:szCs w:val="20"/>
          <w:lang w:val="en-US"/>
        </w:rPr>
        <w:t xml:space="preserve"> The </w:t>
      </w:r>
      <w:r w:rsidR="008A0607" w:rsidRPr="00862C94">
        <w:rPr>
          <w:rFonts w:ascii="Times New Roman" w:hAnsi="Times New Roman" w:cs="Times New Roman"/>
          <w:sz w:val="20"/>
          <w:szCs w:val="20"/>
          <w:lang w:val="en-US"/>
        </w:rPr>
        <w:t>several types</w:t>
      </w:r>
      <w:r w:rsidRPr="00862C94">
        <w:rPr>
          <w:rFonts w:ascii="Times New Roman" w:hAnsi="Times New Roman" w:cs="Times New Roman"/>
          <w:sz w:val="20"/>
          <w:szCs w:val="20"/>
          <w:lang w:val="en-US"/>
        </w:rPr>
        <w:t xml:space="preserve"> of Intimate Partner Violence</w:t>
      </w:r>
    </w:p>
    <w:tbl>
      <w:tblPr>
        <w:tblStyle w:val="TableGrid"/>
        <w:tblW w:w="0" w:type="auto"/>
        <w:tblLook w:val="04A0" w:firstRow="1" w:lastRow="0" w:firstColumn="1" w:lastColumn="0" w:noHBand="0" w:noVBand="1"/>
      </w:tblPr>
      <w:tblGrid>
        <w:gridCol w:w="1901"/>
        <w:gridCol w:w="1604"/>
        <w:gridCol w:w="1739"/>
        <w:gridCol w:w="1830"/>
        <w:gridCol w:w="2554"/>
      </w:tblGrid>
      <w:tr w:rsidR="00862C94" w14:paraId="606D10BE" w14:textId="77777777" w:rsidTr="00E25006">
        <w:tc>
          <w:tcPr>
            <w:tcW w:w="2318" w:type="dxa"/>
          </w:tcPr>
          <w:p w14:paraId="3163D6FE" w14:textId="77777777" w:rsidR="00862C94" w:rsidRPr="0046075A" w:rsidRDefault="00862C94" w:rsidP="00137B3A">
            <w:pPr>
              <w:spacing w:line="360" w:lineRule="auto"/>
              <w:jc w:val="center"/>
              <w:rPr>
                <w:rFonts w:ascii="Times New Roman" w:hAnsi="Times New Roman" w:cs="Times New Roman"/>
                <w:b/>
                <w:bCs/>
                <w:sz w:val="20"/>
                <w:szCs w:val="20"/>
              </w:rPr>
            </w:pPr>
            <w:r w:rsidRPr="0046075A">
              <w:rPr>
                <w:rFonts w:ascii="Times New Roman" w:hAnsi="Times New Roman" w:cs="Times New Roman"/>
                <w:b/>
                <w:bCs/>
                <w:sz w:val="20"/>
                <w:szCs w:val="20"/>
              </w:rPr>
              <w:t>Physical violence</w:t>
            </w:r>
          </w:p>
        </w:tc>
        <w:tc>
          <w:tcPr>
            <w:tcW w:w="1822" w:type="dxa"/>
          </w:tcPr>
          <w:p w14:paraId="5E3BA830" w14:textId="77777777" w:rsidR="00862C94" w:rsidRPr="0046075A" w:rsidRDefault="00862C94" w:rsidP="00137B3A">
            <w:pPr>
              <w:spacing w:line="360" w:lineRule="auto"/>
              <w:jc w:val="center"/>
              <w:rPr>
                <w:rFonts w:ascii="Times New Roman" w:hAnsi="Times New Roman" w:cs="Times New Roman"/>
                <w:b/>
                <w:bCs/>
                <w:sz w:val="20"/>
                <w:szCs w:val="20"/>
              </w:rPr>
            </w:pPr>
            <w:r w:rsidRPr="0046075A">
              <w:rPr>
                <w:rFonts w:ascii="Times New Roman" w:hAnsi="Times New Roman" w:cs="Times New Roman"/>
                <w:b/>
                <w:bCs/>
                <w:sz w:val="20"/>
                <w:szCs w:val="20"/>
              </w:rPr>
              <w:t>Sexual violence</w:t>
            </w:r>
          </w:p>
        </w:tc>
        <w:tc>
          <w:tcPr>
            <w:tcW w:w="1980" w:type="dxa"/>
          </w:tcPr>
          <w:p w14:paraId="31B01214" w14:textId="77777777" w:rsidR="00862C94" w:rsidRPr="0046075A" w:rsidRDefault="00862C94" w:rsidP="00137B3A">
            <w:pPr>
              <w:spacing w:line="360" w:lineRule="auto"/>
              <w:jc w:val="center"/>
              <w:rPr>
                <w:rFonts w:ascii="Times New Roman" w:hAnsi="Times New Roman" w:cs="Times New Roman"/>
                <w:b/>
                <w:bCs/>
                <w:sz w:val="20"/>
                <w:szCs w:val="20"/>
              </w:rPr>
            </w:pPr>
            <w:r w:rsidRPr="0046075A">
              <w:rPr>
                <w:rFonts w:ascii="Times New Roman" w:hAnsi="Times New Roman" w:cs="Times New Roman"/>
                <w:b/>
                <w:bCs/>
                <w:sz w:val="20"/>
                <w:szCs w:val="20"/>
              </w:rPr>
              <w:t>Psychological violence</w:t>
            </w:r>
          </w:p>
        </w:tc>
        <w:tc>
          <w:tcPr>
            <w:tcW w:w="2160" w:type="dxa"/>
          </w:tcPr>
          <w:p w14:paraId="4AB25E89" w14:textId="77777777" w:rsidR="00862C94" w:rsidRPr="0046075A" w:rsidRDefault="00862C94" w:rsidP="00137B3A">
            <w:pPr>
              <w:spacing w:line="360" w:lineRule="auto"/>
              <w:jc w:val="center"/>
              <w:rPr>
                <w:rFonts w:ascii="Times New Roman" w:hAnsi="Times New Roman" w:cs="Times New Roman"/>
                <w:b/>
                <w:bCs/>
                <w:sz w:val="20"/>
                <w:szCs w:val="20"/>
              </w:rPr>
            </w:pPr>
            <w:r w:rsidRPr="0046075A">
              <w:rPr>
                <w:rFonts w:ascii="Times New Roman" w:hAnsi="Times New Roman" w:cs="Times New Roman"/>
                <w:b/>
                <w:bCs/>
                <w:sz w:val="20"/>
                <w:szCs w:val="20"/>
              </w:rPr>
              <w:t>Economic violence</w:t>
            </w:r>
          </w:p>
        </w:tc>
        <w:tc>
          <w:tcPr>
            <w:tcW w:w="3420" w:type="dxa"/>
          </w:tcPr>
          <w:p w14:paraId="37E17C5F" w14:textId="77777777" w:rsidR="00862C94" w:rsidRPr="0046075A" w:rsidRDefault="00862C94" w:rsidP="00137B3A">
            <w:pPr>
              <w:spacing w:line="360" w:lineRule="auto"/>
              <w:jc w:val="center"/>
              <w:rPr>
                <w:rFonts w:ascii="Times New Roman" w:hAnsi="Times New Roman" w:cs="Times New Roman"/>
                <w:b/>
                <w:bCs/>
                <w:sz w:val="20"/>
                <w:szCs w:val="20"/>
              </w:rPr>
            </w:pPr>
            <w:r w:rsidRPr="0046075A">
              <w:rPr>
                <w:rFonts w:ascii="Times New Roman" w:hAnsi="Times New Roman" w:cs="Times New Roman"/>
                <w:b/>
                <w:bCs/>
                <w:sz w:val="20"/>
                <w:szCs w:val="20"/>
              </w:rPr>
              <w:t>Stalking</w:t>
            </w:r>
          </w:p>
        </w:tc>
      </w:tr>
      <w:tr w:rsidR="00862C94" w14:paraId="2BAFE73B" w14:textId="77777777" w:rsidTr="00E25006">
        <w:tc>
          <w:tcPr>
            <w:tcW w:w="2318" w:type="dxa"/>
          </w:tcPr>
          <w:p w14:paraId="4663C33B" w14:textId="15191F53" w:rsidR="00862C94" w:rsidRPr="0046075A" w:rsidRDefault="00890ED3" w:rsidP="00137B3A">
            <w:pPr>
              <w:spacing w:line="360" w:lineRule="auto"/>
              <w:jc w:val="both"/>
              <w:rPr>
                <w:rFonts w:ascii="Times New Roman" w:eastAsia="Times New Roman" w:hAnsi="Times New Roman" w:cs="Times New Roman"/>
                <w:kern w:val="0"/>
                <w:sz w:val="20"/>
                <w:szCs w:val="20"/>
                <w:lang w:val="en-US"/>
                <w14:ligatures w14:val="none"/>
              </w:rPr>
            </w:pPr>
            <w:r w:rsidRPr="00890ED3">
              <w:rPr>
                <w:rFonts w:ascii="Times New Roman" w:eastAsia="Times New Roman" w:hAnsi="Times New Roman" w:cs="Times New Roman"/>
                <w:kern w:val="0"/>
                <w:sz w:val="20"/>
                <w:szCs w:val="20"/>
                <w:lang w:val="en-US"/>
                <w14:ligatures w14:val="none"/>
              </w:rPr>
              <w:t>Physical violence encompasses threatening, frightening acts like aggression needing immediate medical attention, controlling contact, slapping, punching, kicking, burning, choking, and firearm threats. Neglect, such as withholding food or medical care, also counts.</w:t>
            </w:r>
            <w:r w:rsidR="00862C94">
              <w:rPr>
                <w:rFonts w:ascii="Times New Roman" w:eastAsia="Times New Roman" w:hAnsi="Times New Roman" w:cs="Times New Roman"/>
                <w:kern w:val="0"/>
                <w:sz w:val="20"/>
                <w:szCs w:val="20"/>
                <w:lang w:val="en-US"/>
                <w14:ligatures w14:val="none"/>
              </w:rPr>
              <w:t xml:space="preserve"> </w:t>
            </w:r>
            <w:r w:rsidR="00862C94" w:rsidRPr="0046075A">
              <w:rPr>
                <w:rFonts w:ascii="Times New Roman" w:hAnsi="Times New Roman" w:cs="Times New Roman"/>
                <w:sz w:val="20"/>
                <w:szCs w:val="20"/>
                <w:lang w:val="en-US"/>
              </w:rPr>
              <w:t>(Breiding et al., 2015).</w:t>
            </w:r>
          </w:p>
        </w:tc>
        <w:tc>
          <w:tcPr>
            <w:tcW w:w="1822" w:type="dxa"/>
          </w:tcPr>
          <w:p w14:paraId="571A1EBC" w14:textId="57B32387" w:rsidR="00862C94" w:rsidRPr="0046075A" w:rsidRDefault="00890ED3" w:rsidP="00137B3A">
            <w:pPr>
              <w:spacing w:line="360" w:lineRule="auto"/>
              <w:jc w:val="both"/>
              <w:rPr>
                <w:rFonts w:ascii="Times New Roman" w:eastAsia="Times New Roman" w:hAnsi="Times New Roman" w:cs="Times New Roman"/>
                <w:kern w:val="0"/>
                <w:sz w:val="24"/>
                <w:szCs w:val="24"/>
                <w:lang w:val="en-US"/>
                <w14:ligatures w14:val="none"/>
              </w:rPr>
            </w:pPr>
            <w:r w:rsidRPr="00890ED3">
              <w:rPr>
                <w:rFonts w:ascii="Times New Roman" w:eastAsia="Times New Roman" w:hAnsi="Times New Roman" w:cs="Times New Roman"/>
                <w:kern w:val="0"/>
                <w:sz w:val="20"/>
                <w:szCs w:val="20"/>
                <w:lang w:val="en-US"/>
                <w14:ligatures w14:val="none"/>
              </w:rPr>
              <w:t>Sexual abuse uses manipulation like humiliation. Forced activity lacks penetration. Coercion uses control for unwanted intercourse. Assault is violent, seeking intercourse without consent.</w:t>
            </w:r>
            <w:r w:rsidR="00862C94">
              <w:rPr>
                <w:rFonts w:ascii="Times New Roman" w:eastAsia="Times New Roman" w:hAnsi="Times New Roman" w:cs="Times New Roman"/>
                <w:kern w:val="0"/>
                <w:sz w:val="20"/>
                <w:szCs w:val="20"/>
                <w:lang w:val="en-US"/>
                <w14:ligatures w14:val="none"/>
              </w:rPr>
              <w:t xml:space="preserve"> </w:t>
            </w:r>
            <w:r w:rsidR="00862C94" w:rsidRPr="0046075A">
              <w:rPr>
                <w:rFonts w:ascii="Times New Roman" w:hAnsi="Times New Roman" w:cs="Times New Roman"/>
                <w:sz w:val="20"/>
                <w:szCs w:val="20"/>
                <w:lang w:val="en-US"/>
              </w:rPr>
              <w:t>(Bagwell-Gray et al., 2015)</w:t>
            </w:r>
            <w:r w:rsidR="00862C94">
              <w:rPr>
                <w:rFonts w:ascii="Times New Roman" w:hAnsi="Times New Roman" w:cs="Times New Roman"/>
                <w:sz w:val="20"/>
                <w:szCs w:val="20"/>
                <w:lang w:val="en-US"/>
              </w:rPr>
              <w:t>.</w:t>
            </w:r>
          </w:p>
        </w:tc>
        <w:tc>
          <w:tcPr>
            <w:tcW w:w="1980" w:type="dxa"/>
          </w:tcPr>
          <w:p w14:paraId="201A07DD" w14:textId="202BEA6D" w:rsidR="00862C94" w:rsidRPr="0046075A" w:rsidRDefault="00890ED3" w:rsidP="00137B3A">
            <w:pPr>
              <w:spacing w:line="360" w:lineRule="auto"/>
              <w:jc w:val="both"/>
              <w:rPr>
                <w:rFonts w:ascii="Times New Roman" w:eastAsia="Times New Roman" w:hAnsi="Times New Roman" w:cs="Times New Roman"/>
                <w:kern w:val="0"/>
                <w:sz w:val="20"/>
                <w:szCs w:val="20"/>
                <w:lang w:val="en-US"/>
                <w14:ligatures w14:val="none"/>
              </w:rPr>
            </w:pPr>
            <w:r w:rsidRPr="00890ED3">
              <w:rPr>
                <w:rFonts w:ascii="Times New Roman" w:hAnsi="Times New Roman" w:cs="Times New Roman"/>
                <w:sz w:val="20"/>
                <w:szCs w:val="20"/>
                <w:lang w:val="en-US"/>
              </w:rPr>
              <w:t>Psychological violence includes verbal and non-verbal actions to hurt or control someone, such as aggression like humiliation and coercion, threats of physical or sexual assault, lack of reproductive health rights, vulnerability manipulation, and information manipulation</w:t>
            </w:r>
            <w:r w:rsidRPr="00DE5A23">
              <w:rPr>
                <w:lang w:val="en-US"/>
              </w:rPr>
              <w:t xml:space="preserve"> </w:t>
            </w:r>
            <w:r w:rsidR="00862C94" w:rsidRPr="00DE5A23">
              <w:rPr>
                <w:lang w:val="en-US"/>
              </w:rPr>
              <w:t>(</w:t>
            </w:r>
            <w:r w:rsidR="00862C94" w:rsidRPr="0046075A">
              <w:rPr>
                <w:rFonts w:ascii="Times New Roman" w:hAnsi="Times New Roman" w:cs="Times New Roman"/>
                <w:sz w:val="20"/>
                <w:szCs w:val="20"/>
                <w:lang w:val="en-US"/>
              </w:rPr>
              <w:t>Breiding et al., 2015)</w:t>
            </w:r>
          </w:p>
        </w:tc>
        <w:tc>
          <w:tcPr>
            <w:tcW w:w="2160" w:type="dxa"/>
          </w:tcPr>
          <w:p w14:paraId="35D772F4" w14:textId="084828F9" w:rsidR="00862C94" w:rsidRPr="00890ED3" w:rsidRDefault="00890ED3" w:rsidP="00137B3A">
            <w:pPr>
              <w:spacing w:line="360" w:lineRule="auto"/>
              <w:jc w:val="both"/>
              <w:rPr>
                <w:rFonts w:ascii="Times New Roman" w:hAnsi="Times New Roman" w:cs="Times New Roman"/>
                <w:sz w:val="20"/>
                <w:szCs w:val="20"/>
                <w:lang w:val="en-US"/>
              </w:rPr>
            </w:pPr>
            <w:r w:rsidRPr="00890ED3">
              <w:rPr>
                <w:rFonts w:ascii="Times New Roman" w:hAnsi="Times New Roman" w:cs="Times New Roman"/>
                <w:sz w:val="20"/>
                <w:szCs w:val="20"/>
                <w:lang w:val="en-US"/>
              </w:rPr>
              <w:t>Economic abuse limits women's resources, jeopardizing security and autonomy in abusive relationships. Few studies have delved into its psychological impact. Perpetrators employ tactics like employment interference and financial control. Research on its consequences is limited.</w:t>
            </w:r>
          </w:p>
        </w:tc>
        <w:tc>
          <w:tcPr>
            <w:tcW w:w="3420" w:type="dxa"/>
          </w:tcPr>
          <w:p w14:paraId="30F11498" w14:textId="0D557488" w:rsidR="00862C94" w:rsidRPr="0046075A" w:rsidRDefault="00890ED3" w:rsidP="00137B3A">
            <w:pPr>
              <w:spacing w:line="360" w:lineRule="auto"/>
              <w:jc w:val="both"/>
              <w:rPr>
                <w:rFonts w:ascii="Times New Roman" w:eastAsia="Times New Roman" w:hAnsi="Times New Roman" w:cs="Times New Roman"/>
                <w:kern w:val="0"/>
                <w:sz w:val="20"/>
                <w:szCs w:val="20"/>
                <w:lang w:val="en-US"/>
                <w14:ligatures w14:val="none"/>
              </w:rPr>
            </w:pPr>
            <w:r w:rsidRPr="00890ED3">
              <w:rPr>
                <w:rFonts w:ascii="Times New Roman" w:hAnsi="Times New Roman" w:cs="Times New Roman"/>
                <w:sz w:val="20"/>
                <w:szCs w:val="20"/>
                <w:lang w:val="en-US"/>
              </w:rPr>
              <w:t xml:space="preserve">Stalking is persistent unwanted behavior, </w:t>
            </w:r>
            <w:r w:rsidR="008A0607">
              <w:rPr>
                <w:rFonts w:ascii="Times New Roman" w:hAnsi="Times New Roman" w:cs="Times New Roman"/>
                <w:sz w:val="20"/>
                <w:szCs w:val="20"/>
                <w:lang w:val="en-US"/>
              </w:rPr>
              <w:t>that</w:t>
            </w:r>
            <w:r w:rsidR="00BC29E9">
              <w:rPr>
                <w:rFonts w:ascii="Times New Roman" w:hAnsi="Times New Roman" w:cs="Times New Roman"/>
                <w:sz w:val="20"/>
                <w:szCs w:val="20"/>
                <w:lang w:val="en-US"/>
              </w:rPr>
              <w:t xml:space="preserve"> </w:t>
            </w:r>
            <w:r w:rsidR="005313EF">
              <w:rPr>
                <w:rFonts w:ascii="Times New Roman" w:hAnsi="Times New Roman" w:cs="Times New Roman"/>
                <w:sz w:val="20"/>
                <w:szCs w:val="20"/>
                <w:lang w:val="en-US"/>
              </w:rPr>
              <w:t>causes</w:t>
            </w:r>
            <w:r w:rsidRPr="00890ED3">
              <w:rPr>
                <w:rFonts w:ascii="Times New Roman" w:hAnsi="Times New Roman" w:cs="Times New Roman"/>
                <w:sz w:val="20"/>
                <w:szCs w:val="20"/>
                <w:lang w:val="en-US"/>
              </w:rPr>
              <w:t xml:space="preserve"> fear through repeated attention, contact, gifts, surveillance, stealthy entry, damage, and physical harm</w:t>
            </w:r>
            <w:r w:rsidRPr="0046075A">
              <w:rPr>
                <w:rFonts w:ascii="Times New Roman" w:hAnsi="Times New Roman" w:cs="Times New Roman"/>
                <w:sz w:val="20"/>
                <w:szCs w:val="20"/>
                <w:lang w:val="en-US"/>
              </w:rPr>
              <w:t xml:space="preserve"> </w:t>
            </w:r>
            <w:r w:rsidR="00862C94" w:rsidRPr="0046075A">
              <w:rPr>
                <w:rFonts w:ascii="Times New Roman" w:hAnsi="Times New Roman" w:cs="Times New Roman"/>
                <w:sz w:val="20"/>
                <w:szCs w:val="20"/>
                <w:lang w:val="en-US"/>
              </w:rPr>
              <w:t>(Breiding et al., 2015</w:t>
            </w:r>
            <w:r w:rsidR="00862C94">
              <w:rPr>
                <w:rFonts w:ascii="Times New Roman" w:hAnsi="Times New Roman" w:cs="Times New Roman"/>
                <w:sz w:val="20"/>
                <w:szCs w:val="20"/>
                <w:lang w:val="en-US"/>
              </w:rPr>
              <w:t>).</w:t>
            </w:r>
          </w:p>
        </w:tc>
      </w:tr>
    </w:tbl>
    <w:p w14:paraId="043EF69B" w14:textId="681C543E" w:rsidR="00862C94" w:rsidRPr="00862C94" w:rsidRDefault="00862C94" w:rsidP="00137B3A">
      <w:pPr>
        <w:spacing w:line="360" w:lineRule="auto"/>
        <w:rPr>
          <w:rFonts w:ascii="Times New Roman" w:hAnsi="Times New Roman" w:cs="Times New Roman"/>
          <w:sz w:val="20"/>
          <w:szCs w:val="20"/>
          <w:lang w:val="en-US"/>
        </w:rPr>
      </w:pPr>
      <w:r w:rsidRPr="00862C94">
        <w:rPr>
          <w:rFonts w:ascii="Times New Roman" w:hAnsi="Times New Roman" w:cs="Times New Roman"/>
          <w:i/>
          <w:iCs/>
          <w:sz w:val="20"/>
          <w:szCs w:val="20"/>
          <w:lang w:val="en-US"/>
        </w:rPr>
        <w:t>Source:</w:t>
      </w:r>
      <w:r w:rsidRPr="00862C94">
        <w:rPr>
          <w:rFonts w:ascii="Times New Roman" w:hAnsi="Times New Roman" w:cs="Times New Roman"/>
          <w:sz w:val="20"/>
          <w:szCs w:val="20"/>
          <w:lang w:val="en-US"/>
        </w:rPr>
        <w:t xml:space="preserve"> Author elaboration on literature data * </w:t>
      </w:r>
      <w:r w:rsidR="00890ED3">
        <w:rPr>
          <w:rFonts w:ascii="Times New Roman" w:hAnsi="Times New Roman" w:cs="Times New Roman"/>
          <w:sz w:val="20"/>
          <w:szCs w:val="20"/>
          <w:lang w:val="en-US"/>
        </w:rPr>
        <w:t>Bagwell</w:t>
      </w:r>
      <w:r w:rsidRPr="00862C94">
        <w:rPr>
          <w:rFonts w:ascii="Times New Roman" w:hAnsi="Times New Roman" w:cs="Times New Roman"/>
          <w:sz w:val="20"/>
          <w:szCs w:val="20"/>
          <w:lang w:val="en-US"/>
        </w:rPr>
        <w:t>-Gray et al.,2015</w:t>
      </w:r>
    </w:p>
    <w:p w14:paraId="7E882EA7" w14:textId="6A386DEC" w:rsidR="009B080E" w:rsidRPr="00B823FB" w:rsidRDefault="009B080E" w:rsidP="00B823FB">
      <w:pPr>
        <w:spacing w:line="360" w:lineRule="auto"/>
        <w:jc w:val="both"/>
      </w:pPr>
      <w:r w:rsidRPr="00AB7527">
        <w:rPr>
          <w:rFonts w:ascii="Times New Roman" w:hAnsi="Times New Roman" w:cs="Times New Roman"/>
          <w:sz w:val="24"/>
          <w:szCs w:val="24"/>
        </w:rPr>
        <w:t xml:space="preserve">In their article </w:t>
      </w:r>
      <w:r w:rsidRPr="00AB7527">
        <w:rPr>
          <w:rFonts w:ascii="Times New Roman" w:hAnsi="Times New Roman" w:cs="Times New Roman"/>
          <w:i/>
          <w:iCs/>
          <w:sz w:val="24"/>
          <w:szCs w:val="24"/>
        </w:rPr>
        <w:t>“Experiences of Domestic Violence and Mental Disorders: A Systematic Review and Meta-Analysis</w:t>
      </w:r>
      <w:r w:rsidRPr="00AB7527">
        <w:rPr>
          <w:rFonts w:ascii="Times New Roman" w:hAnsi="Times New Roman" w:cs="Times New Roman"/>
          <w:sz w:val="24"/>
          <w:szCs w:val="24"/>
        </w:rPr>
        <w:t>”, Trevillion et al. (2012) found consistent evidence that both men and women with all types of mental disorders report a high prevalence and increased odds of domestic violence compared to people without mental disorder, with women more likely to experience abuse than men. All pooled odds ratio estimates indicated that women with mental disorders have an increased likelihood of experiencing partner violence compared to women without mental disorders</w:t>
      </w:r>
      <w:r w:rsidRPr="00AB7527">
        <w:t>.</w:t>
      </w:r>
      <w:r w:rsidR="00AB7527">
        <w:t xml:space="preserve"> </w:t>
      </w:r>
      <w:r w:rsidR="00295E3F" w:rsidRPr="00295E3F">
        <w:rPr>
          <w:rFonts w:ascii="Times New Roman" w:hAnsi="Times New Roman" w:cs="Times New Roman"/>
          <w:sz w:val="24"/>
          <w:szCs w:val="24"/>
        </w:rPr>
        <w:t xml:space="preserve">Women who are victims of </w:t>
      </w:r>
      <w:r w:rsidR="00DE2A52" w:rsidRPr="00295E3F">
        <w:rPr>
          <w:rFonts w:ascii="Times New Roman" w:hAnsi="Times New Roman" w:cs="Times New Roman"/>
          <w:sz w:val="24"/>
          <w:szCs w:val="24"/>
        </w:rPr>
        <w:t>IPV tend</w:t>
      </w:r>
      <w:r w:rsidR="00295E3F" w:rsidRPr="00295E3F">
        <w:rPr>
          <w:rFonts w:ascii="Times New Roman" w:hAnsi="Times New Roman" w:cs="Times New Roman"/>
          <w:sz w:val="24"/>
          <w:szCs w:val="24"/>
        </w:rPr>
        <w:t xml:space="preserve"> to report a higher prevalence of both physical and mental health issues compared to their counterparts who do not disclose experiences of abuse within intimate </w:t>
      </w:r>
      <w:r w:rsidR="00DE2A52" w:rsidRPr="00295E3F">
        <w:rPr>
          <w:rFonts w:ascii="Times New Roman" w:hAnsi="Times New Roman" w:cs="Times New Roman"/>
          <w:sz w:val="24"/>
          <w:szCs w:val="24"/>
        </w:rPr>
        <w:t>relationships</w:t>
      </w:r>
      <w:r w:rsidR="00DE2A52">
        <w:rPr>
          <w:rFonts w:ascii="Times New Roman" w:hAnsi="Times New Roman" w:cs="Times New Roman"/>
          <w:sz w:val="24"/>
          <w:szCs w:val="24"/>
        </w:rPr>
        <w:t xml:space="preserve"> (</w:t>
      </w:r>
      <w:r w:rsidR="005507E2">
        <w:rPr>
          <w:rFonts w:ascii="Times New Roman" w:hAnsi="Times New Roman" w:cs="Times New Roman"/>
          <w:sz w:val="24"/>
          <w:szCs w:val="24"/>
        </w:rPr>
        <w:t>Almis et al.,2020)</w:t>
      </w:r>
      <w:r w:rsidR="00295E3F" w:rsidRPr="00295E3F">
        <w:rPr>
          <w:rFonts w:ascii="Times New Roman" w:hAnsi="Times New Roman" w:cs="Times New Roman"/>
          <w:sz w:val="24"/>
          <w:szCs w:val="24"/>
        </w:rPr>
        <w:t xml:space="preserve">. Women exhibit an increased utilization of healthcare services, along with a heightened risk of sustaining injuries and fatalities resulting from incidents of physical and sexual aggression. This includes exposure to sexually transmitted infections, notably HIV, pelvic inflammatory conditions, and negative reproductive consequences like unintended pregnancies or pregnancy terminations, as well as adverse birth complications. Additionally, they may also manifest urogenital symptoms such as infections in the bladder or kidneys, and episodes of vaginal </w:t>
      </w:r>
      <w:r w:rsidR="00DE2A52" w:rsidRPr="00295E3F">
        <w:rPr>
          <w:rFonts w:ascii="Times New Roman" w:hAnsi="Times New Roman" w:cs="Times New Roman"/>
          <w:sz w:val="24"/>
          <w:szCs w:val="24"/>
        </w:rPr>
        <w:t>bleeding (</w:t>
      </w:r>
      <w:r w:rsidR="005507E2">
        <w:rPr>
          <w:rFonts w:ascii="Times New Roman" w:hAnsi="Times New Roman" w:cs="Times New Roman"/>
          <w:sz w:val="24"/>
          <w:szCs w:val="24"/>
        </w:rPr>
        <w:t>Alvarado et al.,2018</w:t>
      </w:r>
      <w:r w:rsidR="00295E3F" w:rsidRPr="00295E3F">
        <w:rPr>
          <w:rFonts w:ascii="Times New Roman" w:hAnsi="Times New Roman" w:cs="Times New Roman"/>
          <w:sz w:val="24"/>
          <w:szCs w:val="24"/>
        </w:rPr>
        <w:t>). The impact of IPV on the well-being of these individuals encompasses a spectrum of psychopathological manifestations associated with affective dysregulation</w:t>
      </w:r>
      <w:r w:rsidR="00295E3F" w:rsidRPr="00295E3F">
        <w:rPr>
          <w:rFonts w:ascii="Times New Roman" w:hAnsi="Times New Roman" w:cs="Times New Roman"/>
          <w:sz w:val="24"/>
          <w:szCs w:val="24"/>
          <w:lang w:val="en-US"/>
        </w:rPr>
        <w:t>(</w:t>
      </w:r>
      <w:r w:rsidR="004A33FF">
        <w:rPr>
          <w:rFonts w:ascii="Times New Roman" w:hAnsi="Times New Roman" w:cs="Times New Roman"/>
          <w:sz w:val="24"/>
          <w:szCs w:val="24"/>
          <w:lang w:val="en-US"/>
        </w:rPr>
        <w:t>Almis et al.,2020</w:t>
      </w:r>
      <w:r w:rsidR="00295E3F" w:rsidRPr="00295E3F">
        <w:rPr>
          <w:rFonts w:ascii="Times New Roman" w:hAnsi="Times New Roman" w:cs="Times New Roman"/>
          <w:sz w:val="24"/>
          <w:szCs w:val="24"/>
          <w:lang w:val="en-US"/>
        </w:rPr>
        <w:t xml:space="preserve">), </w:t>
      </w:r>
      <w:r w:rsidR="00295E3F" w:rsidRPr="00295E3F">
        <w:rPr>
          <w:rFonts w:ascii="Times New Roman" w:hAnsi="Times New Roman" w:cs="Times New Roman"/>
          <w:sz w:val="24"/>
          <w:szCs w:val="24"/>
        </w:rPr>
        <w:t>gastrointestinal irregularities</w:t>
      </w:r>
      <w:r w:rsidR="00295E3F" w:rsidRPr="00295E3F">
        <w:rPr>
          <w:rFonts w:ascii="Times New Roman" w:hAnsi="Times New Roman" w:cs="Times New Roman"/>
          <w:sz w:val="24"/>
          <w:szCs w:val="24"/>
          <w:lang w:val="en-US"/>
        </w:rPr>
        <w:t xml:space="preserve"> (Laserman &amp; Drossman, 2007)</w:t>
      </w:r>
      <w:r w:rsidR="00295E3F" w:rsidRPr="00295E3F">
        <w:rPr>
          <w:rFonts w:ascii="Times New Roman" w:hAnsi="Times New Roman" w:cs="Times New Roman"/>
          <w:sz w:val="24"/>
          <w:szCs w:val="24"/>
        </w:rPr>
        <w:t>, major depressive episodes(</w:t>
      </w:r>
      <w:r w:rsidR="00295E3F" w:rsidRPr="00295E3F">
        <w:rPr>
          <w:rFonts w:ascii="Times New Roman" w:hAnsi="Times New Roman" w:cs="Times New Roman"/>
          <w:sz w:val="24"/>
          <w:szCs w:val="24"/>
          <w:lang w:val="en-US"/>
        </w:rPr>
        <w:t xml:space="preserve"> Iverson et al., 2011)</w:t>
      </w:r>
      <w:r w:rsidR="00295E3F" w:rsidRPr="00295E3F">
        <w:rPr>
          <w:rFonts w:ascii="Times New Roman" w:hAnsi="Times New Roman" w:cs="Times New Roman"/>
          <w:sz w:val="24"/>
          <w:szCs w:val="24"/>
        </w:rPr>
        <w:t>, escalated substance use</w:t>
      </w:r>
      <w:r w:rsidR="00295E3F" w:rsidRPr="00295E3F">
        <w:rPr>
          <w:rFonts w:ascii="Times New Roman" w:hAnsi="Times New Roman" w:cs="Times New Roman"/>
          <w:sz w:val="24"/>
          <w:szCs w:val="24"/>
          <w:lang w:val="en-US"/>
        </w:rPr>
        <w:t xml:space="preserve"> (Lemon et al., 2004)</w:t>
      </w:r>
      <w:r w:rsidR="00295E3F" w:rsidRPr="00295E3F">
        <w:rPr>
          <w:rFonts w:ascii="Times New Roman" w:hAnsi="Times New Roman" w:cs="Times New Roman"/>
          <w:sz w:val="24"/>
          <w:szCs w:val="24"/>
        </w:rPr>
        <w:t>, chronic pain, psychological anguish, neurocognitive impairments, migraines, and other physical incapacities, alongside the development of post-traumatic stress disorder, sleep disturbances, anxiety-related conditions, substance misuse, tendencies towards self-harm, and suicidal ideation(</w:t>
      </w:r>
      <w:r w:rsidR="00295E3F" w:rsidRPr="00295E3F">
        <w:rPr>
          <w:rFonts w:ascii="Times New Roman" w:hAnsi="Times New Roman" w:cs="Times New Roman"/>
          <w:sz w:val="24"/>
          <w:szCs w:val="24"/>
          <w:lang w:val="en-US"/>
        </w:rPr>
        <w:t xml:space="preserve"> Black, 2011;</w:t>
      </w:r>
      <w:r w:rsidR="00D23A98">
        <w:rPr>
          <w:rFonts w:ascii="Times New Roman" w:hAnsi="Times New Roman" w:cs="Times New Roman"/>
          <w:sz w:val="24"/>
          <w:szCs w:val="24"/>
          <w:lang w:val="en-US"/>
        </w:rPr>
        <w:t xml:space="preserve"> </w:t>
      </w:r>
      <w:r w:rsidR="004A33FF">
        <w:rPr>
          <w:rFonts w:ascii="Times New Roman" w:hAnsi="Times New Roman" w:cs="Times New Roman"/>
          <w:sz w:val="24"/>
          <w:szCs w:val="24"/>
          <w:lang w:val="en-US"/>
        </w:rPr>
        <w:t>Howard et al.,2013</w:t>
      </w:r>
      <w:r w:rsidR="00295E3F" w:rsidRPr="00295E3F">
        <w:rPr>
          <w:rFonts w:ascii="Times New Roman" w:hAnsi="Times New Roman" w:cs="Times New Roman"/>
          <w:sz w:val="24"/>
          <w:szCs w:val="24"/>
          <w:lang w:val="en-US"/>
        </w:rPr>
        <w:t>)</w:t>
      </w:r>
      <w:r w:rsidR="00295E3F" w:rsidRPr="00295E3F">
        <w:rPr>
          <w:rFonts w:ascii="Times New Roman" w:hAnsi="Times New Roman" w:cs="Times New Roman"/>
          <w:sz w:val="24"/>
          <w:szCs w:val="24"/>
        </w:rPr>
        <w:t>. Numerous studies have delved into the potential correlation between instances of sexual and physical abuse and the development of eating disorders (</w:t>
      </w:r>
      <w:r w:rsidR="00D23A98">
        <w:rPr>
          <w:rFonts w:ascii="Times New Roman" w:hAnsi="Times New Roman" w:cs="Times New Roman"/>
          <w:sz w:val="24"/>
          <w:szCs w:val="24"/>
        </w:rPr>
        <w:t>Mattar et al.,2021</w:t>
      </w:r>
      <w:r w:rsidR="00295E3F" w:rsidRPr="00295E3F">
        <w:rPr>
          <w:rFonts w:ascii="Times New Roman" w:hAnsi="Times New Roman" w:cs="Times New Roman"/>
          <w:sz w:val="24"/>
          <w:szCs w:val="24"/>
        </w:rPr>
        <w:t>). Research also indicates that intimate partner violence, particularly sexual violence, may be linked to an elevated likelihood of cervical cancer occurrence (</w:t>
      </w:r>
      <w:r w:rsidR="00D23A98">
        <w:rPr>
          <w:rFonts w:ascii="Times New Roman" w:hAnsi="Times New Roman" w:cs="Times New Roman"/>
          <w:sz w:val="24"/>
          <w:szCs w:val="24"/>
        </w:rPr>
        <w:t>Massetti et al.,2018</w:t>
      </w:r>
      <w:r w:rsidR="00295E3F" w:rsidRPr="00295E3F">
        <w:rPr>
          <w:rFonts w:ascii="Times New Roman" w:hAnsi="Times New Roman" w:cs="Times New Roman"/>
          <w:sz w:val="24"/>
          <w:szCs w:val="24"/>
        </w:rPr>
        <w:t xml:space="preserve">). Furthermore, encounters with violence and maltreatment have been associated with more mental health conditions such as sexual abuse accompanied by PTSD which constitutes a risk factor for cardiovascular </w:t>
      </w:r>
      <w:r w:rsidR="00DE2A52" w:rsidRPr="00295E3F">
        <w:rPr>
          <w:rFonts w:ascii="Times New Roman" w:hAnsi="Times New Roman" w:cs="Times New Roman"/>
          <w:sz w:val="24"/>
          <w:szCs w:val="24"/>
        </w:rPr>
        <w:t>diseases (</w:t>
      </w:r>
      <w:r w:rsidR="00137B3A">
        <w:rPr>
          <w:rFonts w:ascii="Times New Roman" w:hAnsi="Times New Roman" w:cs="Times New Roman"/>
          <w:sz w:val="24"/>
          <w:szCs w:val="24"/>
        </w:rPr>
        <w:t>Cortina et al.,2006</w:t>
      </w:r>
      <w:r w:rsidR="00295E3F" w:rsidRPr="00295E3F">
        <w:rPr>
          <w:rFonts w:ascii="Times New Roman" w:hAnsi="Times New Roman" w:cs="Times New Roman"/>
          <w:sz w:val="24"/>
          <w:szCs w:val="24"/>
        </w:rPr>
        <w:t>).</w:t>
      </w:r>
    </w:p>
    <w:p w14:paraId="4EA84CA8" w14:textId="2187C057" w:rsidR="009B080E" w:rsidRPr="00B823FB" w:rsidRDefault="00562EEF" w:rsidP="00B823FB">
      <w:pPr>
        <w:pStyle w:val="Heading2"/>
        <w:rPr>
          <w:rFonts w:ascii="Times New Roman" w:hAnsi="Times New Roman" w:cs="Times New Roman"/>
          <w:b/>
          <w:bCs/>
          <w:color w:val="auto"/>
          <w:sz w:val="24"/>
          <w:szCs w:val="24"/>
          <w:lang w:val="en-US"/>
        </w:rPr>
      </w:pPr>
      <w:r w:rsidRPr="00B823FB">
        <w:rPr>
          <w:rFonts w:ascii="Times New Roman" w:hAnsi="Times New Roman" w:cs="Times New Roman"/>
          <w:b/>
          <w:bCs/>
          <w:color w:val="auto"/>
          <w:sz w:val="24"/>
          <w:szCs w:val="24"/>
          <w:lang w:val="en-US"/>
        </w:rPr>
        <w:t>Attachment and IPV</w:t>
      </w:r>
    </w:p>
    <w:p w14:paraId="0352524A" w14:textId="04562E01" w:rsidR="00C14243" w:rsidRPr="00B26C91" w:rsidRDefault="00B04E11" w:rsidP="00B26C91">
      <w:pPr>
        <w:spacing w:after="0" w:line="360" w:lineRule="auto"/>
        <w:jc w:val="both"/>
        <w:rPr>
          <w:rFonts w:ascii="Times New Roman" w:hAnsi="Times New Roman" w:cs="Times New Roman"/>
          <w:sz w:val="24"/>
          <w:szCs w:val="24"/>
          <w:lang w:val="en-US"/>
        </w:rPr>
      </w:pPr>
      <w:r w:rsidRPr="00EA0EF8">
        <w:rPr>
          <w:rFonts w:ascii="Times New Roman" w:hAnsi="Times New Roman" w:cs="Times New Roman"/>
          <w:sz w:val="24"/>
          <w:szCs w:val="24"/>
          <w:lang w:val="en-US"/>
        </w:rPr>
        <w:t xml:space="preserve">Regarding attachment relationships and their connection to the </w:t>
      </w:r>
      <w:r w:rsidR="00DE2A52" w:rsidRPr="00EA0EF8">
        <w:rPr>
          <w:rFonts w:ascii="Times New Roman" w:hAnsi="Times New Roman" w:cs="Times New Roman"/>
          <w:sz w:val="24"/>
          <w:szCs w:val="24"/>
          <w:lang w:val="en-US"/>
        </w:rPr>
        <w:t>later IPV</w:t>
      </w:r>
      <w:r w:rsidRPr="00EA0EF8">
        <w:rPr>
          <w:rFonts w:ascii="Times New Roman" w:hAnsi="Times New Roman" w:cs="Times New Roman"/>
          <w:sz w:val="24"/>
          <w:szCs w:val="24"/>
          <w:lang w:val="en-US"/>
        </w:rPr>
        <w:t xml:space="preserve"> profile, research was focused on exploring this relationship, especially in terms of socio-cognitive, affective, and behavioral dynamics in love </w:t>
      </w:r>
      <w:r w:rsidR="00DE2A52" w:rsidRPr="00EA0EF8">
        <w:rPr>
          <w:rFonts w:ascii="Times New Roman" w:hAnsi="Times New Roman" w:cs="Times New Roman"/>
          <w:sz w:val="24"/>
          <w:szCs w:val="24"/>
          <w:lang w:val="en-US"/>
        </w:rPr>
        <w:t>relationships (</w:t>
      </w:r>
      <w:r w:rsidR="00F63B31" w:rsidRPr="00EA0EF8">
        <w:rPr>
          <w:rFonts w:ascii="Times New Roman" w:hAnsi="Times New Roman" w:cs="Times New Roman"/>
          <w:sz w:val="24"/>
          <w:szCs w:val="24"/>
          <w:lang w:val="en-US"/>
        </w:rPr>
        <w:t>Harding et al.,2013</w:t>
      </w:r>
      <w:r w:rsidRPr="00EA0EF8">
        <w:rPr>
          <w:rFonts w:ascii="Times New Roman" w:hAnsi="Times New Roman" w:cs="Times New Roman"/>
          <w:sz w:val="24"/>
          <w:szCs w:val="24"/>
          <w:lang w:val="en-US"/>
        </w:rPr>
        <w:t>). Theory and research concerning attachment in women impacted by IPV emphasize two crucial aspects: 1) a strong correlation between insecure attachments and IPV victimization, frequently originating from childhood maltreatment events  (Kuijpers et al, 201</w:t>
      </w:r>
      <w:r w:rsidR="00F63B31" w:rsidRPr="00EA0EF8">
        <w:rPr>
          <w:rFonts w:ascii="Times New Roman" w:hAnsi="Times New Roman" w:cs="Times New Roman"/>
          <w:sz w:val="24"/>
          <w:szCs w:val="24"/>
          <w:lang w:val="en-US"/>
        </w:rPr>
        <w:t>1</w:t>
      </w:r>
      <w:r w:rsidRPr="00EA0EF8">
        <w:rPr>
          <w:rFonts w:ascii="Times New Roman" w:hAnsi="Times New Roman" w:cs="Times New Roman"/>
          <w:sz w:val="24"/>
          <w:szCs w:val="24"/>
          <w:lang w:val="en-US"/>
        </w:rPr>
        <w:t>) and 2) women who are securely attached might experience a shift towards insecurity following IPV or may confront abuse for the initial time, thereby modifying their perceptions of relationships</w:t>
      </w:r>
      <w:r w:rsidR="00F63B31" w:rsidRPr="00EA0EF8">
        <w:rPr>
          <w:rFonts w:ascii="Times New Roman" w:hAnsi="Times New Roman" w:cs="Times New Roman"/>
          <w:sz w:val="24"/>
          <w:szCs w:val="24"/>
          <w:lang w:val="en-US"/>
        </w:rPr>
        <w:t>(Magorokosho et a.,2020</w:t>
      </w:r>
      <w:r w:rsidRPr="00EA0EF8">
        <w:rPr>
          <w:rFonts w:ascii="Times New Roman" w:hAnsi="Times New Roman" w:cs="Times New Roman"/>
          <w:sz w:val="24"/>
          <w:szCs w:val="24"/>
          <w:lang w:val="en-US"/>
        </w:rPr>
        <w:t xml:space="preserve">). Individuals with insecure attachments from their early years may encounter difficulties related to self-concept and trust in their partners. These challenges can have an impact on the selection of partners and impede their ability to resolve relationship </w:t>
      </w:r>
      <w:r w:rsidR="00DE2A52" w:rsidRPr="00EA0EF8">
        <w:rPr>
          <w:rFonts w:ascii="Times New Roman" w:hAnsi="Times New Roman" w:cs="Times New Roman"/>
          <w:sz w:val="24"/>
          <w:szCs w:val="24"/>
          <w:lang w:val="en-US"/>
        </w:rPr>
        <w:t>issues (</w:t>
      </w:r>
      <w:r w:rsidR="00F63B31" w:rsidRPr="00EA0EF8">
        <w:rPr>
          <w:rFonts w:ascii="Times New Roman" w:hAnsi="Times New Roman" w:cs="Times New Roman"/>
          <w:sz w:val="24"/>
          <w:szCs w:val="24"/>
          <w:lang w:val="en-US"/>
        </w:rPr>
        <w:t xml:space="preserve">Jones </w:t>
      </w:r>
      <w:r w:rsidR="00DE2A52" w:rsidRPr="00EA0EF8">
        <w:rPr>
          <w:rFonts w:ascii="Times New Roman" w:hAnsi="Times New Roman" w:cs="Times New Roman"/>
          <w:sz w:val="24"/>
          <w:szCs w:val="24"/>
          <w:lang w:val="en-US"/>
        </w:rPr>
        <w:t>&amp; Bowlby</w:t>
      </w:r>
      <w:r w:rsidRPr="00EA0EF8">
        <w:rPr>
          <w:rFonts w:ascii="Times New Roman" w:hAnsi="Times New Roman" w:cs="Times New Roman"/>
          <w:sz w:val="24"/>
          <w:szCs w:val="24"/>
          <w:lang w:val="en-US"/>
        </w:rPr>
        <w:t>, 197</w:t>
      </w:r>
      <w:r w:rsidR="00F63B31" w:rsidRPr="00EA0EF8">
        <w:rPr>
          <w:rFonts w:ascii="Times New Roman" w:hAnsi="Times New Roman" w:cs="Times New Roman"/>
          <w:sz w:val="24"/>
          <w:szCs w:val="24"/>
          <w:lang w:val="en-US"/>
        </w:rPr>
        <w:t>0</w:t>
      </w:r>
      <w:r w:rsidRPr="00EA0EF8">
        <w:rPr>
          <w:rFonts w:ascii="Times New Roman" w:hAnsi="Times New Roman" w:cs="Times New Roman"/>
          <w:sz w:val="24"/>
          <w:szCs w:val="24"/>
          <w:lang w:val="en-US"/>
        </w:rPr>
        <w:t>).</w:t>
      </w:r>
      <w:r w:rsidR="00BE3B76" w:rsidRPr="00EA0EF8">
        <w:rPr>
          <w:sz w:val="24"/>
          <w:szCs w:val="24"/>
        </w:rPr>
        <w:t xml:space="preserve"> </w:t>
      </w:r>
      <w:r w:rsidR="00BE3B76" w:rsidRPr="00EA0EF8">
        <w:rPr>
          <w:rFonts w:ascii="Times New Roman" w:hAnsi="Times New Roman" w:cs="Times New Roman"/>
          <w:sz w:val="24"/>
          <w:szCs w:val="24"/>
          <w:lang w:val="en-US"/>
        </w:rPr>
        <w:t>Women with histories of parental mistreatment may expect to be victims and are more likely to experience intimate partner violence (IPV) as confirmation of these expectations. Psychologically, insecure attachments, a significant predictor of IPV, were found through self-report questionnaires by Dutton and White (2012)</w:t>
      </w:r>
      <w:r w:rsidR="00767A37" w:rsidRPr="00EA0EF8">
        <w:rPr>
          <w:rFonts w:ascii="Times New Roman" w:hAnsi="Times New Roman" w:cs="Times New Roman"/>
          <w:sz w:val="24"/>
          <w:szCs w:val="24"/>
          <w:lang w:val="en-US"/>
        </w:rPr>
        <w:t xml:space="preserve"> in social psychology research</w:t>
      </w:r>
      <w:r w:rsidR="00BE3B76" w:rsidRPr="00EA0EF8">
        <w:rPr>
          <w:rFonts w:ascii="Times New Roman" w:hAnsi="Times New Roman" w:cs="Times New Roman"/>
          <w:sz w:val="24"/>
          <w:szCs w:val="24"/>
          <w:lang w:val="en-US"/>
        </w:rPr>
        <w:t xml:space="preserve">. </w:t>
      </w:r>
      <w:r w:rsidR="00767A37" w:rsidRPr="00EA0EF8">
        <w:rPr>
          <w:rFonts w:ascii="Times New Roman" w:hAnsi="Times New Roman" w:cs="Times New Roman"/>
          <w:sz w:val="24"/>
          <w:szCs w:val="24"/>
          <w:lang w:val="en-US"/>
        </w:rPr>
        <w:t>The same findings for female IPV victims are supported by the studies of Kuijpers et al. (201</w:t>
      </w:r>
      <w:r w:rsidR="00F63B31" w:rsidRPr="00EA0EF8">
        <w:rPr>
          <w:rFonts w:ascii="Times New Roman" w:hAnsi="Times New Roman" w:cs="Times New Roman"/>
          <w:sz w:val="24"/>
          <w:szCs w:val="24"/>
          <w:lang w:val="en-US"/>
        </w:rPr>
        <w:t>1</w:t>
      </w:r>
      <w:r w:rsidR="00767A37" w:rsidRPr="00EA0EF8">
        <w:rPr>
          <w:rFonts w:ascii="Times New Roman" w:hAnsi="Times New Roman" w:cs="Times New Roman"/>
          <w:sz w:val="24"/>
          <w:szCs w:val="24"/>
          <w:lang w:val="en-US"/>
        </w:rPr>
        <w:t xml:space="preserve">) and </w:t>
      </w:r>
      <w:r w:rsidR="00BE3B76" w:rsidRPr="00EA0EF8">
        <w:rPr>
          <w:rFonts w:ascii="Times New Roman" w:hAnsi="Times New Roman" w:cs="Times New Roman"/>
          <w:sz w:val="24"/>
          <w:szCs w:val="24"/>
          <w:lang w:val="en-US"/>
        </w:rPr>
        <w:t xml:space="preserve">Henderson et al. (2005). Disorganized attachment in children, often stemming from frightening parental behaviors, can lead to momentary confusion or apprehension. </w:t>
      </w:r>
      <w:r w:rsidR="00EA0EF8" w:rsidRPr="00EA0EF8">
        <w:rPr>
          <w:rFonts w:ascii="Times New Roman" w:hAnsi="Times New Roman" w:cs="Times New Roman"/>
          <w:sz w:val="24"/>
          <w:szCs w:val="24"/>
          <w:lang w:val="en-US"/>
        </w:rPr>
        <w:t>Parents'</w:t>
      </w:r>
      <w:r w:rsidR="00BE3B76" w:rsidRPr="00EA0EF8">
        <w:rPr>
          <w:rFonts w:ascii="Times New Roman" w:hAnsi="Times New Roman" w:cs="Times New Roman"/>
          <w:sz w:val="24"/>
          <w:szCs w:val="24"/>
          <w:lang w:val="en-US"/>
        </w:rPr>
        <w:t xml:space="preserve"> behaviors</w:t>
      </w:r>
      <w:r w:rsidR="00EA0EF8" w:rsidRPr="00EA0EF8">
        <w:rPr>
          <w:rFonts w:ascii="Times New Roman" w:hAnsi="Times New Roman" w:cs="Times New Roman"/>
          <w:sz w:val="24"/>
          <w:szCs w:val="24"/>
          <w:lang w:val="en-US"/>
        </w:rPr>
        <w:t xml:space="preserve"> that</w:t>
      </w:r>
      <w:r w:rsidR="00BE3B76" w:rsidRPr="00EA0EF8">
        <w:rPr>
          <w:rFonts w:ascii="Times New Roman" w:hAnsi="Times New Roman" w:cs="Times New Roman"/>
          <w:sz w:val="24"/>
          <w:szCs w:val="24"/>
          <w:lang w:val="en-US"/>
        </w:rPr>
        <w:t xml:space="preserve"> </w:t>
      </w:r>
      <w:r w:rsidR="00EA0EF8" w:rsidRPr="00EA0EF8">
        <w:rPr>
          <w:rFonts w:ascii="Times New Roman" w:hAnsi="Times New Roman" w:cs="Times New Roman"/>
          <w:sz w:val="24"/>
          <w:szCs w:val="24"/>
          <w:lang w:val="en-US"/>
        </w:rPr>
        <w:t>are driven</w:t>
      </w:r>
      <w:r w:rsidR="00BE3B76" w:rsidRPr="00EA0EF8">
        <w:rPr>
          <w:rFonts w:ascii="Times New Roman" w:hAnsi="Times New Roman" w:cs="Times New Roman"/>
          <w:sz w:val="24"/>
          <w:szCs w:val="24"/>
          <w:lang w:val="en-US"/>
        </w:rPr>
        <w:t xml:space="preserve"> by fear, like attack, escape, and freezing, can trigger alarm responses in children (</w:t>
      </w:r>
      <w:r w:rsidR="00EA0EF8" w:rsidRPr="00EA0EF8">
        <w:rPr>
          <w:rFonts w:ascii="Times New Roman" w:hAnsi="Times New Roman" w:cs="Times New Roman"/>
          <w:sz w:val="24"/>
          <w:szCs w:val="24"/>
          <w:lang w:val="en-US"/>
        </w:rPr>
        <w:t>Valentino et al.,2010</w:t>
      </w:r>
      <w:r w:rsidR="00BE3B76" w:rsidRPr="00EA0EF8">
        <w:rPr>
          <w:rFonts w:ascii="Times New Roman" w:hAnsi="Times New Roman" w:cs="Times New Roman"/>
          <w:sz w:val="24"/>
          <w:szCs w:val="24"/>
          <w:lang w:val="en-US"/>
        </w:rPr>
        <w:t xml:space="preserve">). Abusive mothers exhibit more aversive behaviors, while neglectful mothers struggle with inconsistency in setting limits. </w:t>
      </w:r>
      <w:r w:rsidR="00E61A6A" w:rsidRPr="00EA0EF8">
        <w:rPr>
          <w:rFonts w:ascii="Times New Roman" w:hAnsi="Times New Roman" w:cs="Times New Roman"/>
          <w:sz w:val="24"/>
          <w:szCs w:val="24"/>
          <w:lang w:val="en-US"/>
        </w:rPr>
        <w:t>Lyons-Ruth et al. (1999) proposed in this regard the "</w:t>
      </w:r>
      <w:r w:rsidR="00E61A6A" w:rsidRPr="00EA0EF8">
        <w:rPr>
          <w:rFonts w:ascii="Times New Roman" w:hAnsi="Times New Roman" w:cs="Times New Roman"/>
          <w:i/>
          <w:iCs/>
          <w:sz w:val="24"/>
          <w:szCs w:val="24"/>
          <w:lang w:val="en-US"/>
        </w:rPr>
        <w:t>relational diathesis</w:t>
      </w:r>
      <w:r w:rsidR="00E61A6A" w:rsidRPr="00EA0EF8">
        <w:rPr>
          <w:rFonts w:ascii="Times New Roman" w:hAnsi="Times New Roman" w:cs="Times New Roman"/>
          <w:sz w:val="24"/>
          <w:szCs w:val="24"/>
          <w:lang w:val="en-US"/>
        </w:rPr>
        <w:t xml:space="preserve">" framework, which posits that parents who have unresolved traumas may encounter difficulties in responding to their child's distress, potentially eliciting their unresolved affective </w:t>
      </w:r>
      <w:r w:rsidR="00DE2A52" w:rsidRPr="00EA0EF8">
        <w:rPr>
          <w:rFonts w:ascii="Times New Roman" w:hAnsi="Times New Roman" w:cs="Times New Roman"/>
          <w:sz w:val="24"/>
          <w:szCs w:val="24"/>
          <w:lang w:val="en-US"/>
        </w:rPr>
        <w:t>states (</w:t>
      </w:r>
      <w:r w:rsidR="00EA0EF8" w:rsidRPr="00EA0EF8">
        <w:rPr>
          <w:rFonts w:ascii="Times New Roman" w:hAnsi="Times New Roman" w:cs="Times New Roman"/>
          <w:sz w:val="24"/>
          <w:szCs w:val="24"/>
          <w:lang w:val="en-US"/>
        </w:rPr>
        <w:t>Lyons-Ruth et al.,1999</w:t>
      </w:r>
      <w:r w:rsidR="00E61A6A" w:rsidRPr="00EA0EF8">
        <w:rPr>
          <w:rFonts w:ascii="Times New Roman" w:hAnsi="Times New Roman" w:cs="Times New Roman"/>
          <w:sz w:val="24"/>
          <w:szCs w:val="24"/>
          <w:lang w:val="en-US"/>
        </w:rPr>
        <w:t xml:space="preserve">). Main and Solomon (1990) associated disorganized behaviors in children with deficits in coping mechanisms, akin to unresolved attachment patterns observed in older individuals </w:t>
      </w:r>
      <w:r w:rsidR="00DE2A52" w:rsidRPr="00EA0EF8">
        <w:rPr>
          <w:rFonts w:ascii="Times New Roman" w:hAnsi="Times New Roman" w:cs="Times New Roman"/>
          <w:sz w:val="24"/>
          <w:szCs w:val="24"/>
          <w:lang w:val="en-US"/>
        </w:rPr>
        <w:t>(see</w:t>
      </w:r>
      <w:r w:rsidR="00EA0EF8" w:rsidRPr="00EA0EF8">
        <w:rPr>
          <w:rFonts w:ascii="Times New Roman" w:hAnsi="Times New Roman" w:cs="Times New Roman"/>
          <w:sz w:val="24"/>
          <w:szCs w:val="24"/>
          <w:lang w:val="en-US"/>
        </w:rPr>
        <w:t xml:space="preserve"> Lyons-Ruth&amp; Spielman,2004</w:t>
      </w:r>
      <w:r w:rsidR="00E61A6A" w:rsidRPr="00EA0EF8">
        <w:rPr>
          <w:rFonts w:ascii="Times New Roman" w:hAnsi="Times New Roman" w:cs="Times New Roman"/>
          <w:sz w:val="24"/>
          <w:szCs w:val="24"/>
          <w:lang w:val="en-US"/>
        </w:rPr>
        <w:t xml:space="preserve">). Main et al. (2003) characterized unresolved traumas (CC) as a </w:t>
      </w:r>
      <w:r w:rsidR="00754BE8" w:rsidRPr="00EA0EF8">
        <w:rPr>
          <w:rFonts w:ascii="Times New Roman" w:hAnsi="Times New Roman" w:cs="Times New Roman"/>
          <w:sz w:val="24"/>
          <w:szCs w:val="24"/>
          <w:lang w:val="en-US"/>
        </w:rPr>
        <w:t>prelude</w:t>
      </w:r>
      <w:r w:rsidR="00EA0EF8" w:rsidRPr="00EA0EF8">
        <w:rPr>
          <w:rFonts w:ascii="Times New Roman" w:hAnsi="Times New Roman" w:cs="Times New Roman"/>
          <w:sz w:val="24"/>
          <w:szCs w:val="24"/>
          <w:lang w:val="en-US"/>
        </w:rPr>
        <w:t xml:space="preserve"> to</w:t>
      </w:r>
      <w:r w:rsidR="00E61A6A" w:rsidRPr="00EA0EF8">
        <w:rPr>
          <w:rFonts w:ascii="Times New Roman" w:hAnsi="Times New Roman" w:cs="Times New Roman"/>
          <w:sz w:val="24"/>
          <w:szCs w:val="24"/>
          <w:lang w:val="en-US"/>
        </w:rPr>
        <w:t xml:space="preserve"> disorganized attachment in later adulthood. </w:t>
      </w:r>
      <w:r w:rsidR="001F4C9C" w:rsidRPr="00EA0EF8">
        <w:rPr>
          <w:rFonts w:ascii="Times New Roman" w:hAnsi="Times New Roman" w:cs="Times New Roman"/>
          <w:sz w:val="24"/>
          <w:szCs w:val="24"/>
          <w:lang w:val="en-US"/>
        </w:rPr>
        <w:t xml:space="preserve">Research suggests that IPV and childhood abuse are linked to disorganized attachment, with unresolved issues continuing into </w:t>
      </w:r>
      <w:r w:rsidR="00DE2A52" w:rsidRPr="00EA0EF8">
        <w:rPr>
          <w:rFonts w:ascii="Times New Roman" w:hAnsi="Times New Roman" w:cs="Times New Roman"/>
          <w:sz w:val="24"/>
          <w:szCs w:val="24"/>
          <w:lang w:val="en-US"/>
        </w:rPr>
        <w:t>adulthood (</w:t>
      </w:r>
      <w:r w:rsidR="00EA0EF8" w:rsidRPr="00EA0EF8">
        <w:rPr>
          <w:sz w:val="24"/>
          <w:szCs w:val="24"/>
          <w:lang w:val="en-US"/>
        </w:rPr>
        <w:t>Lyons-Ruth &amp; Spielman,2004</w:t>
      </w:r>
      <w:r w:rsidR="001F4C9C" w:rsidRPr="00EA0EF8">
        <w:rPr>
          <w:sz w:val="24"/>
          <w:szCs w:val="24"/>
          <w:lang w:val="en-US"/>
        </w:rPr>
        <w:t>)</w:t>
      </w:r>
      <w:r w:rsidR="001F4C9C" w:rsidRPr="00EA0EF8">
        <w:rPr>
          <w:rFonts w:ascii="Times New Roman" w:hAnsi="Times New Roman" w:cs="Times New Roman"/>
          <w:sz w:val="24"/>
          <w:szCs w:val="24"/>
          <w:lang w:val="en-US"/>
        </w:rPr>
        <w:t xml:space="preserve">. Women with unresolved/disorganized attachment tend to have more abusive relationships in adulthood, often stemming from experiences of sexual abuse and witnessing violence in childhood. Witnessing IPV in childhood or being a victim of abuse increases the likelihood of experiencing IPV in adulthood, as several studies have </w:t>
      </w:r>
      <w:r w:rsidR="00DE2A52" w:rsidRPr="00EA0EF8">
        <w:rPr>
          <w:rFonts w:ascii="Times New Roman" w:hAnsi="Times New Roman" w:cs="Times New Roman"/>
          <w:sz w:val="24"/>
          <w:szCs w:val="24"/>
          <w:lang w:val="en-US"/>
        </w:rPr>
        <w:t>shown (</w:t>
      </w:r>
      <w:r w:rsidR="00EA0EF8" w:rsidRPr="00EA0EF8">
        <w:rPr>
          <w:rFonts w:ascii="Times New Roman" w:hAnsi="Times New Roman" w:cs="Times New Roman"/>
          <w:sz w:val="24"/>
          <w:szCs w:val="24"/>
          <w:lang w:val="en-US"/>
        </w:rPr>
        <w:t>Weberman et al.,2004</w:t>
      </w:r>
      <w:r w:rsidR="002B2428" w:rsidRPr="00EA0EF8">
        <w:rPr>
          <w:rFonts w:ascii="Times New Roman" w:hAnsi="Times New Roman" w:cs="Times New Roman"/>
          <w:sz w:val="24"/>
          <w:szCs w:val="24"/>
          <w:lang w:val="en-US"/>
        </w:rPr>
        <w:t>).</w:t>
      </w:r>
      <w:r w:rsidR="002B2428" w:rsidRPr="00EA0EF8">
        <w:rPr>
          <w:sz w:val="24"/>
          <w:szCs w:val="24"/>
          <w:lang w:val="en-US"/>
        </w:rPr>
        <w:t xml:space="preserve"> </w:t>
      </w:r>
    </w:p>
    <w:p w14:paraId="31557839" w14:textId="4151DA72" w:rsidR="00754BE8" w:rsidRPr="00754BE8" w:rsidRDefault="00754BE8">
      <w:pPr>
        <w:rPr>
          <w:b/>
          <w:bCs/>
          <w:lang w:val="en-US"/>
        </w:rPr>
      </w:pPr>
      <w:r w:rsidRPr="00754BE8">
        <w:rPr>
          <w:b/>
          <w:bCs/>
          <w:lang w:val="en-US"/>
        </w:rPr>
        <w:t>The connection between trauma and IPV</w:t>
      </w:r>
    </w:p>
    <w:p w14:paraId="1324816D" w14:textId="5D47C190" w:rsidR="00150A31" w:rsidRPr="000208C5" w:rsidRDefault="00754BE8" w:rsidP="000208C5">
      <w:pPr>
        <w:spacing w:after="0" w:line="360" w:lineRule="auto"/>
        <w:jc w:val="both"/>
        <w:rPr>
          <w:rFonts w:ascii="Times New Roman" w:hAnsi="Times New Roman" w:cs="Times New Roman"/>
          <w:sz w:val="24"/>
          <w:szCs w:val="24"/>
          <w:lang w:val="en-US"/>
        </w:rPr>
      </w:pPr>
      <w:r w:rsidRPr="00044667">
        <w:rPr>
          <w:rFonts w:ascii="Times New Roman" w:hAnsi="Times New Roman" w:cs="Times New Roman"/>
          <w:sz w:val="24"/>
          <w:szCs w:val="24"/>
          <w:lang w:val="en-US"/>
        </w:rPr>
        <w:t>International literature links childhood maltreatment types (e.g., physical, psychological, sexual abuse) to negative adult outcomes, often occurring wi</w:t>
      </w:r>
      <w:r w:rsidR="000022FF">
        <w:rPr>
          <w:rFonts w:ascii="Times New Roman" w:hAnsi="Times New Roman" w:cs="Times New Roman"/>
          <w:sz w:val="24"/>
          <w:szCs w:val="24"/>
          <w:lang w:val="en-US"/>
        </w:rPr>
        <w:t xml:space="preserve">th </w:t>
      </w:r>
      <w:r w:rsidRPr="00044667">
        <w:rPr>
          <w:rFonts w:ascii="Times New Roman" w:hAnsi="Times New Roman" w:cs="Times New Roman"/>
          <w:sz w:val="24"/>
          <w:szCs w:val="24"/>
          <w:lang w:val="en-US"/>
        </w:rPr>
        <w:t xml:space="preserve">attachment </w:t>
      </w:r>
      <w:r w:rsidR="00DE2A52" w:rsidRPr="00044667">
        <w:rPr>
          <w:rFonts w:ascii="Times New Roman" w:hAnsi="Times New Roman" w:cs="Times New Roman"/>
          <w:sz w:val="24"/>
          <w:szCs w:val="24"/>
          <w:lang w:val="en-US"/>
        </w:rPr>
        <w:t>relationships</w:t>
      </w:r>
      <w:r w:rsidR="00DE2A52">
        <w:rPr>
          <w:rFonts w:ascii="Times New Roman" w:hAnsi="Times New Roman" w:cs="Times New Roman"/>
          <w:sz w:val="24"/>
          <w:szCs w:val="24"/>
          <w:lang w:val="en-US"/>
        </w:rPr>
        <w:t xml:space="preserve"> (</w:t>
      </w:r>
      <w:r w:rsidR="000F15E4">
        <w:rPr>
          <w:rFonts w:ascii="Times New Roman" w:hAnsi="Times New Roman" w:cs="Times New Roman"/>
          <w:sz w:val="24"/>
          <w:szCs w:val="24"/>
          <w:lang w:val="en-US"/>
        </w:rPr>
        <w:t>Yilmaz et al.2022</w:t>
      </w:r>
      <w:r w:rsidRPr="00044667">
        <w:rPr>
          <w:rFonts w:ascii="Times New Roman" w:hAnsi="Times New Roman" w:cs="Times New Roman"/>
          <w:sz w:val="24"/>
          <w:szCs w:val="24"/>
          <w:lang w:val="en-US"/>
        </w:rPr>
        <w:t>). Research revealed</w:t>
      </w:r>
      <w:r w:rsidR="00B26C91">
        <w:rPr>
          <w:rFonts w:ascii="Times New Roman" w:hAnsi="Times New Roman" w:cs="Times New Roman"/>
          <w:sz w:val="24"/>
          <w:szCs w:val="24"/>
          <w:lang w:val="en-US"/>
        </w:rPr>
        <w:t xml:space="preserve"> </w:t>
      </w:r>
      <w:r w:rsidRPr="00044667">
        <w:rPr>
          <w:rFonts w:ascii="Times New Roman" w:hAnsi="Times New Roman" w:cs="Times New Roman"/>
          <w:sz w:val="24"/>
          <w:szCs w:val="24"/>
          <w:lang w:val="en-US"/>
        </w:rPr>
        <w:t>that family trauma has lasting effects on individuals and future generations, highlighting the intergenerational transmission of unresolved trauma</w:t>
      </w:r>
      <w:r w:rsidR="00150A31">
        <w:rPr>
          <w:rFonts w:ascii="Times New Roman" w:hAnsi="Times New Roman" w:cs="Times New Roman"/>
          <w:sz w:val="24"/>
          <w:szCs w:val="24"/>
          <w:lang w:val="en-US"/>
        </w:rPr>
        <w:t xml:space="preserve"> (Iyengar et al.,2014</w:t>
      </w:r>
      <w:r w:rsidRPr="00044667">
        <w:rPr>
          <w:rFonts w:ascii="Times New Roman" w:hAnsi="Times New Roman" w:cs="Times New Roman"/>
          <w:sz w:val="24"/>
          <w:szCs w:val="24"/>
          <w:lang w:val="en-US"/>
        </w:rPr>
        <w:t>).</w:t>
      </w:r>
      <w:r w:rsidR="009170D0" w:rsidRPr="00044667">
        <w:rPr>
          <w:rFonts w:ascii="Times New Roman" w:hAnsi="Times New Roman" w:cs="Times New Roman"/>
          <w:sz w:val="24"/>
          <w:szCs w:val="24"/>
        </w:rPr>
        <w:t xml:space="preserve"> </w:t>
      </w:r>
      <w:r w:rsidR="009170D0" w:rsidRPr="00044667">
        <w:rPr>
          <w:rFonts w:ascii="Times New Roman" w:hAnsi="Times New Roman" w:cs="Times New Roman"/>
          <w:sz w:val="24"/>
          <w:szCs w:val="24"/>
          <w:lang w:val="en-US"/>
        </w:rPr>
        <w:t>In the meta-analysis conducted by Stoltenborgh et al. (2015) regarding the global prevalence of this phenomenon, it was revealed that the prevalence rates were 7.6% for sexual abuse among boys and 18.0% among girls. Moreover, boys and girls experienced physical neglect at rates of 16.3% and 18.4% respectively, alongside emotional neglect while a significant percentage 22.6%, reported instances of physical abuse and 36.3% reported experiencing emotional abuse.</w:t>
      </w:r>
      <w:r w:rsidR="00351CD9" w:rsidRPr="00044667">
        <w:rPr>
          <w:rFonts w:ascii="Times New Roman" w:hAnsi="Times New Roman" w:cs="Times New Roman"/>
          <w:sz w:val="24"/>
          <w:szCs w:val="24"/>
          <w:lang w:val="en-US"/>
        </w:rPr>
        <w:t xml:space="preserve"> </w:t>
      </w:r>
      <w:r w:rsidR="00C14243" w:rsidRPr="00044667">
        <w:rPr>
          <w:rFonts w:ascii="Times New Roman" w:hAnsi="Times New Roman" w:cs="Times New Roman"/>
          <w:sz w:val="24"/>
          <w:szCs w:val="24"/>
          <w:lang w:val="en-US"/>
        </w:rPr>
        <w:t>Higher rates of suicidal ideation and suicide attempts have also been found among women (</w:t>
      </w:r>
      <w:r w:rsidR="00150A31">
        <w:rPr>
          <w:rFonts w:ascii="Times New Roman" w:hAnsi="Times New Roman" w:cs="Times New Roman"/>
          <w:sz w:val="24"/>
          <w:szCs w:val="24"/>
          <w:lang w:val="en-US"/>
        </w:rPr>
        <w:t>Matias et al.,2020</w:t>
      </w:r>
      <w:r w:rsidR="00C14243" w:rsidRPr="00044667">
        <w:rPr>
          <w:rFonts w:ascii="Times New Roman" w:hAnsi="Times New Roman" w:cs="Times New Roman"/>
          <w:sz w:val="24"/>
          <w:szCs w:val="24"/>
          <w:lang w:val="en-US"/>
        </w:rPr>
        <w:t xml:space="preserve">). </w:t>
      </w:r>
      <w:r w:rsidR="00351CD9" w:rsidRPr="00044667">
        <w:rPr>
          <w:rFonts w:ascii="Times New Roman" w:hAnsi="Times New Roman" w:cs="Times New Roman"/>
          <w:sz w:val="24"/>
          <w:szCs w:val="24"/>
          <w:lang w:val="en-US"/>
        </w:rPr>
        <w:t>When examining child abuse and maltreatment,</w:t>
      </w:r>
      <w:r w:rsidR="00986CF8">
        <w:rPr>
          <w:rFonts w:ascii="Times New Roman" w:hAnsi="Times New Roman" w:cs="Times New Roman"/>
          <w:sz w:val="24"/>
          <w:szCs w:val="24"/>
          <w:lang w:val="en-US"/>
        </w:rPr>
        <w:t xml:space="preserve"> the </w:t>
      </w:r>
      <w:r w:rsidR="00351CD9" w:rsidRPr="00044667">
        <w:rPr>
          <w:rFonts w:ascii="Times New Roman" w:hAnsi="Times New Roman" w:cs="Times New Roman"/>
          <w:sz w:val="24"/>
          <w:szCs w:val="24"/>
          <w:lang w:val="en-US"/>
        </w:rPr>
        <w:t>literature reveals a shift in focus from singular risk factors to a complex understanding of early traumatic experiences. Terms like 'cumulative trauma,' '</w:t>
      </w:r>
      <w:r w:rsidR="00986CF8">
        <w:rPr>
          <w:rFonts w:ascii="Times New Roman" w:hAnsi="Times New Roman" w:cs="Times New Roman"/>
          <w:sz w:val="24"/>
          <w:szCs w:val="24"/>
          <w:lang w:val="en-US"/>
        </w:rPr>
        <w:t>poly victimization</w:t>
      </w:r>
      <w:r w:rsidR="00351CD9" w:rsidRPr="00044667">
        <w:rPr>
          <w:rFonts w:ascii="Times New Roman" w:hAnsi="Times New Roman" w:cs="Times New Roman"/>
          <w:sz w:val="24"/>
          <w:szCs w:val="24"/>
          <w:lang w:val="en-US"/>
        </w:rPr>
        <w:t>,' and 'developmental trauma' capture the multifaceted nature of maltreatment (Finkelhor, et al., 2007). These concepts culminate in the encompassing definition of 'co</w:t>
      </w:r>
      <w:r w:rsidR="00351CD9" w:rsidRPr="00150A31">
        <w:rPr>
          <w:rFonts w:ascii="Times New Roman" w:hAnsi="Times New Roman" w:cs="Times New Roman"/>
          <w:i/>
          <w:iCs/>
          <w:sz w:val="24"/>
          <w:szCs w:val="24"/>
          <w:lang w:val="en-US"/>
        </w:rPr>
        <w:t>mplex traum</w:t>
      </w:r>
      <w:r w:rsidR="00351CD9" w:rsidRPr="00044667">
        <w:rPr>
          <w:rFonts w:ascii="Times New Roman" w:hAnsi="Times New Roman" w:cs="Times New Roman"/>
          <w:sz w:val="24"/>
          <w:szCs w:val="24"/>
          <w:lang w:val="en-US"/>
        </w:rPr>
        <w:t>a,' encompassing multiple, long-lasting interpersonal traumas often seen in primary care settings.</w:t>
      </w:r>
    </w:p>
    <w:p w14:paraId="13DDB38D" w14:textId="03D81996" w:rsidR="00912096" w:rsidRPr="000208C5" w:rsidRDefault="00912096">
      <w:pPr>
        <w:rPr>
          <w:rFonts w:ascii="Times New Roman" w:hAnsi="Times New Roman" w:cs="Times New Roman"/>
          <w:sz w:val="20"/>
          <w:szCs w:val="20"/>
          <w:lang w:val="en-US"/>
        </w:rPr>
      </w:pPr>
      <w:r w:rsidRPr="000208C5">
        <w:rPr>
          <w:rFonts w:ascii="Times New Roman" w:hAnsi="Times New Roman" w:cs="Times New Roman"/>
          <w:sz w:val="20"/>
          <w:szCs w:val="20"/>
          <w:lang w:val="en-US"/>
        </w:rPr>
        <w:t>Table</w:t>
      </w:r>
      <w:r w:rsidR="000208C5" w:rsidRPr="000208C5">
        <w:rPr>
          <w:rFonts w:ascii="Times New Roman" w:hAnsi="Times New Roman" w:cs="Times New Roman"/>
          <w:sz w:val="20"/>
          <w:szCs w:val="20"/>
          <w:lang w:val="en-US"/>
        </w:rPr>
        <w:t xml:space="preserve"> 6. </w:t>
      </w:r>
      <w:r w:rsidRPr="000208C5">
        <w:rPr>
          <w:rFonts w:ascii="Times New Roman" w:hAnsi="Times New Roman" w:cs="Times New Roman"/>
          <w:sz w:val="20"/>
          <w:szCs w:val="20"/>
          <w:lang w:val="en-US"/>
        </w:rPr>
        <w:t xml:space="preserve"> Forms of abuse and maltreatment in childhood </w:t>
      </w:r>
    </w:p>
    <w:p w14:paraId="69C762C4" w14:textId="77777777" w:rsidR="00912096" w:rsidRPr="00DE5A23" w:rsidRDefault="00912096">
      <w:pPr>
        <w:rPr>
          <w:lang w:val="en-US"/>
        </w:rPr>
      </w:pPr>
    </w:p>
    <w:tbl>
      <w:tblPr>
        <w:tblStyle w:val="PlainTable2"/>
        <w:tblW w:w="0" w:type="auto"/>
        <w:tblLook w:val="04A0" w:firstRow="1" w:lastRow="0" w:firstColumn="1" w:lastColumn="0" w:noHBand="0" w:noVBand="1"/>
      </w:tblPr>
      <w:tblGrid>
        <w:gridCol w:w="4814"/>
        <w:gridCol w:w="4814"/>
      </w:tblGrid>
      <w:tr w:rsidR="0015507E" w:rsidRPr="00293C8A" w14:paraId="51B74D7C" w14:textId="77777777" w:rsidTr="008B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3B04163" w14:textId="64DDF6F9" w:rsidR="0015507E" w:rsidRPr="008B0BC7" w:rsidRDefault="0015507E">
            <w:pPr>
              <w:rPr>
                <w:rFonts w:ascii="Times New Roman" w:hAnsi="Times New Roman" w:cs="Times New Roman"/>
                <w:sz w:val="20"/>
                <w:szCs w:val="20"/>
                <w:lang w:val="it-IT"/>
              </w:rPr>
            </w:pPr>
            <w:r w:rsidRPr="008B0BC7">
              <w:rPr>
                <w:rFonts w:ascii="Times New Roman" w:hAnsi="Times New Roman" w:cs="Times New Roman"/>
                <w:sz w:val="20"/>
                <w:szCs w:val="20"/>
              </w:rPr>
              <w:t>Mistreatment</w:t>
            </w:r>
          </w:p>
        </w:tc>
        <w:tc>
          <w:tcPr>
            <w:tcW w:w="4814" w:type="dxa"/>
          </w:tcPr>
          <w:p w14:paraId="5BC939B2" w14:textId="53E83D02" w:rsidR="0015507E" w:rsidRPr="000208C5" w:rsidRDefault="008B0BC7" w:rsidP="008B0BC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08C5">
              <w:rPr>
                <w:rFonts w:ascii="Times New Roman" w:hAnsi="Times New Roman" w:cs="Times New Roman"/>
                <w:b w:val="0"/>
                <w:bCs w:val="0"/>
                <w:i/>
                <w:iCs/>
                <w:sz w:val="20"/>
                <w:szCs w:val="20"/>
              </w:rPr>
              <w:t>Physical abuse</w:t>
            </w:r>
            <w:r w:rsidRPr="000208C5">
              <w:rPr>
                <w:rFonts w:ascii="Times New Roman" w:hAnsi="Times New Roman" w:cs="Times New Roman"/>
                <w:b w:val="0"/>
                <w:bCs w:val="0"/>
                <w:sz w:val="20"/>
                <w:szCs w:val="20"/>
              </w:rPr>
              <w:t xml:space="preserve"> involves adults causing serious physical harm that exceeds cultural norms. It may stem from punishment for unwanted behavior or excessive parental control limiting the child's autonomy. </w:t>
            </w:r>
            <w:r w:rsidRPr="000208C5">
              <w:rPr>
                <w:rFonts w:ascii="Times New Roman" w:hAnsi="Times New Roman" w:cs="Times New Roman"/>
                <w:b w:val="0"/>
                <w:bCs w:val="0"/>
                <w:i/>
                <w:iCs/>
                <w:sz w:val="20"/>
                <w:szCs w:val="20"/>
              </w:rPr>
              <w:t>Psychological abuse</w:t>
            </w:r>
            <w:r w:rsidRPr="000208C5">
              <w:rPr>
                <w:rFonts w:ascii="Times New Roman" w:hAnsi="Times New Roman" w:cs="Times New Roman"/>
                <w:b w:val="0"/>
                <w:bCs w:val="0"/>
                <w:sz w:val="20"/>
                <w:szCs w:val="20"/>
              </w:rPr>
              <w:t xml:space="preserve"> consists of parental actions devaluing, isolating, and criticizing the child repeatedly.</w:t>
            </w:r>
          </w:p>
        </w:tc>
      </w:tr>
      <w:tr w:rsidR="0015507E" w:rsidRPr="00293C8A" w14:paraId="441C5DC9" w14:textId="77777777" w:rsidTr="008B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0247680" w14:textId="3A7243FA" w:rsidR="0015507E" w:rsidRPr="008B0BC7" w:rsidRDefault="0015507E">
            <w:pPr>
              <w:rPr>
                <w:rFonts w:ascii="Times New Roman" w:hAnsi="Times New Roman" w:cs="Times New Roman"/>
                <w:sz w:val="20"/>
                <w:szCs w:val="20"/>
                <w:lang w:val="it-IT"/>
              </w:rPr>
            </w:pPr>
            <w:r w:rsidRPr="008B0BC7">
              <w:rPr>
                <w:rFonts w:ascii="Times New Roman" w:hAnsi="Times New Roman" w:cs="Times New Roman"/>
                <w:sz w:val="20"/>
                <w:szCs w:val="20"/>
              </w:rPr>
              <w:t>Sexual abuse</w:t>
            </w:r>
          </w:p>
        </w:tc>
        <w:tc>
          <w:tcPr>
            <w:tcW w:w="4814" w:type="dxa"/>
          </w:tcPr>
          <w:p w14:paraId="11E2C7EC" w14:textId="35DF6EB5" w:rsidR="0015507E" w:rsidRPr="008B0BC7" w:rsidRDefault="008B0BC7" w:rsidP="008B0BC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0BC7">
              <w:rPr>
                <w:rFonts w:ascii="Times New Roman" w:hAnsi="Times New Roman" w:cs="Times New Roman"/>
                <w:sz w:val="20"/>
                <w:szCs w:val="20"/>
              </w:rPr>
              <w:t>The concern involves sexual practices with minors, including physical acts like inappropriate touching, as well as non-contact activities such as voyeurism and exposure to explicit language, escalating to violence.</w:t>
            </w:r>
          </w:p>
        </w:tc>
      </w:tr>
      <w:tr w:rsidR="0015507E" w:rsidRPr="00293C8A" w14:paraId="39C8556A" w14:textId="77777777" w:rsidTr="008B0BC7">
        <w:tc>
          <w:tcPr>
            <w:cnfStyle w:val="001000000000" w:firstRow="0" w:lastRow="0" w:firstColumn="1" w:lastColumn="0" w:oddVBand="0" w:evenVBand="0" w:oddHBand="0" w:evenHBand="0" w:firstRowFirstColumn="0" w:firstRowLastColumn="0" w:lastRowFirstColumn="0" w:lastRowLastColumn="0"/>
            <w:tcW w:w="4814" w:type="dxa"/>
          </w:tcPr>
          <w:p w14:paraId="0F46C0F2" w14:textId="65AA1446" w:rsidR="0015507E" w:rsidRPr="008B0BC7" w:rsidRDefault="0015507E">
            <w:pPr>
              <w:rPr>
                <w:rFonts w:ascii="Times New Roman" w:hAnsi="Times New Roman" w:cs="Times New Roman"/>
                <w:sz w:val="20"/>
                <w:szCs w:val="20"/>
                <w:lang w:val="it-IT"/>
              </w:rPr>
            </w:pPr>
            <w:r w:rsidRPr="008B0BC7">
              <w:rPr>
                <w:rFonts w:ascii="Times New Roman" w:hAnsi="Times New Roman" w:cs="Times New Roman"/>
                <w:sz w:val="20"/>
                <w:szCs w:val="20"/>
              </w:rPr>
              <w:t>Treatment pathologies</w:t>
            </w:r>
          </w:p>
        </w:tc>
        <w:tc>
          <w:tcPr>
            <w:tcW w:w="4814" w:type="dxa"/>
          </w:tcPr>
          <w:p w14:paraId="2864B033" w14:textId="14001CD8" w:rsidR="0015507E" w:rsidRPr="008B0BC7" w:rsidRDefault="008B0BC7" w:rsidP="008B0BC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B0BC7">
              <w:rPr>
                <w:rFonts w:ascii="Times New Roman" w:hAnsi="Times New Roman" w:cs="Times New Roman"/>
                <w:b/>
                <w:bCs/>
                <w:i/>
                <w:iCs/>
                <w:sz w:val="20"/>
                <w:szCs w:val="20"/>
              </w:rPr>
              <w:t>Neglect</w:t>
            </w:r>
            <w:r w:rsidRPr="008B0BC7">
              <w:rPr>
                <w:rFonts w:ascii="Times New Roman" w:hAnsi="Times New Roman" w:cs="Times New Roman"/>
                <w:sz w:val="20"/>
                <w:szCs w:val="20"/>
              </w:rPr>
              <w:t xml:space="preserve"> happens when caregivers fail to meet the child's age-appropriate needs, impacting physical, emotional, and psychological well-being. </w:t>
            </w:r>
            <w:r w:rsidRPr="008B0BC7">
              <w:rPr>
                <w:rFonts w:ascii="Times New Roman" w:hAnsi="Times New Roman" w:cs="Times New Roman"/>
                <w:b/>
                <w:bCs/>
                <w:i/>
                <w:iCs/>
                <w:sz w:val="20"/>
                <w:szCs w:val="20"/>
              </w:rPr>
              <w:t>Discuria</w:t>
            </w:r>
            <w:r w:rsidRPr="008B0BC7">
              <w:rPr>
                <w:rFonts w:ascii="Times New Roman" w:hAnsi="Times New Roman" w:cs="Times New Roman"/>
                <w:sz w:val="20"/>
                <w:szCs w:val="20"/>
              </w:rPr>
              <w:t xml:space="preserve"> involves inappropriate care services, such as imposing unrealistic expectations or premature demands. </w:t>
            </w:r>
            <w:r w:rsidRPr="008B0BC7">
              <w:rPr>
                <w:rFonts w:ascii="Times New Roman" w:hAnsi="Times New Roman" w:cs="Times New Roman"/>
                <w:b/>
                <w:bCs/>
                <w:i/>
                <w:iCs/>
                <w:sz w:val="20"/>
                <w:szCs w:val="20"/>
              </w:rPr>
              <w:t>Hypercare</w:t>
            </w:r>
            <w:r w:rsidRPr="008B0BC7">
              <w:rPr>
                <w:rFonts w:ascii="Times New Roman" w:hAnsi="Times New Roman" w:cs="Times New Roman"/>
                <w:sz w:val="20"/>
                <w:szCs w:val="20"/>
              </w:rPr>
              <w:t xml:space="preserve"> indicates excessive caregiving, encompassing conditions like Münchausen syndrome by proxy and medical shopping.</w:t>
            </w:r>
          </w:p>
        </w:tc>
      </w:tr>
      <w:tr w:rsidR="0015507E" w:rsidRPr="00293C8A" w14:paraId="22867FEB" w14:textId="77777777" w:rsidTr="008B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5AE51DF" w14:textId="77777777" w:rsidR="0015507E" w:rsidRPr="008B0BC7" w:rsidRDefault="0015507E">
            <w:pPr>
              <w:rPr>
                <w:rFonts w:ascii="Times New Roman" w:hAnsi="Times New Roman" w:cs="Times New Roman"/>
                <w:sz w:val="20"/>
                <w:szCs w:val="20"/>
                <w:lang w:val="it-IT"/>
              </w:rPr>
            </w:pPr>
            <w:r w:rsidRPr="008B0BC7">
              <w:rPr>
                <w:rFonts w:ascii="Times New Roman" w:hAnsi="Times New Roman" w:cs="Times New Roman"/>
                <w:sz w:val="20"/>
                <w:szCs w:val="20"/>
                <w:lang w:val="it-IT"/>
              </w:rPr>
              <w:t>Witnessed violence</w:t>
            </w:r>
          </w:p>
          <w:p w14:paraId="5581A8E3" w14:textId="4E21EF8B" w:rsidR="008B0BC7" w:rsidRPr="008B0BC7" w:rsidRDefault="008B0BC7">
            <w:pPr>
              <w:rPr>
                <w:rFonts w:ascii="Times New Roman" w:hAnsi="Times New Roman" w:cs="Times New Roman"/>
                <w:sz w:val="20"/>
                <w:szCs w:val="20"/>
              </w:rPr>
            </w:pPr>
          </w:p>
        </w:tc>
        <w:tc>
          <w:tcPr>
            <w:tcW w:w="4814" w:type="dxa"/>
          </w:tcPr>
          <w:p w14:paraId="6A38DD16" w14:textId="7060B6F3" w:rsidR="0015507E" w:rsidRPr="008B0BC7" w:rsidRDefault="008B0BC7" w:rsidP="008B0BC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B0BC7">
              <w:rPr>
                <w:rFonts w:ascii="Times New Roman" w:hAnsi="Times New Roman" w:cs="Times New Roman"/>
                <w:sz w:val="20"/>
                <w:szCs w:val="20"/>
              </w:rPr>
              <w:t>Domestic violence towards children,</w:t>
            </w:r>
            <w:r w:rsidR="000208C5">
              <w:rPr>
                <w:rFonts w:ascii="Times New Roman" w:hAnsi="Times New Roman" w:cs="Times New Roman"/>
                <w:sz w:val="20"/>
                <w:szCs w:val="20"/>
              </w:rPr>
              <w:t xml:space="preserve"> </w:t>
            </w:r>
            <w:r w:rsidRPr="008B0BC7">
              <w:rPr>
                <w:rFonts w:ascii="Times New Roman" w:hAnsi="Times New Roman" w:cs="Times New Roman"/>
                <w:sz w:val="20"/>
                <w:szCs w:val="20"/>
              </w:rPr>
              <w:t xml:space="preserve">formerly classified as psychological </w:t>
            </w:r>
            <w:r w:rsidR="00DE2A52" w:rsidRPr="008B0BC7">
              <w:rPr>
                <w:rFonts w:ascii="Times New Roman" w:hAnsi="Times New Roman" w:cs="Times New Roman"/>
                <w:sz w:val="20"/>
                <w:szCs w:val="20"/>
              </w:rPr>
              <w:t>abuse, is</w:t>
            </w:r>
            <w:r w:rsidRPr="008B0BC7">
              <w:rPr>
                <w:rFonts w:ascii="Times New Roman" w:hAnsi="Times New Roman" w:cs="Times New Roman"/>
                <w:sz w:val="20"/>
                <w:szCs w:val="20"/>
              </w:rPr>
              <w:t xml:space="preserve"> now acknowledged separately,</w:t>
            </w:r>
            <w:r w:rsidR="000208C5">
              <w:rPr>
                <w:rFonts w:ascii="Times New Roman" w:hAnsi="Times New Roman" w:cs="Times New Roman"/>
                <w:sz w:val="20"/>
                <w:szCs w:val="20"/>
              </w:rPr>
              <w:t xml:space="preserve"> </w:t>
            </w:r>
            <w:r w:rsidRPr="008B0BC7">
              <w:rPr>
                <w:rFonts w:ascii="Times New Roman" w:hAnsi="Times New Roman" w:cs="Times New Roman"/>
                <w:sz w:val="20"/>
                <w:szCs w:val="20"/>
              </w:rPr>
              <w:t>leading to developmental issues and psychological problems like those experienced by abused or neglected children. The child may witness various forms of abuse within the family.</w:t>
            </w:r>
          </w:p>
        </w:tc>
      </w:tr>
    </w:tbl>
    <w:p w14:paraId="5004DE34" w14:textId="77777777" w:rsidR="00AA4BD5" w:rsidRDefault="00AA4BD5">
      <w:pPr>
        <w:rPr>
          <w:lang w:val="en-US"/>
        </w:rPr>
      </w:pPr>
    </w:p>
    <w:p w14:paraId="3E484AF3" w14:textId="7C88B854" w:rsidR="00AA4BD5" w:rsidRDefault="00AA4BD5" w:rsidP="004C6D12">
      <w:pPr>
        <w:spacing w:after="0" w:line="360" w:lineRule="auto"/>
        <w:jc w:val="both"/>
        <w:rPr>
          <w:rFonts w:ascii="Times New Roman" w:hAnsi="Times New Roman" w:cs="Times New Roman"/>
          <w:sz w:val="24"/>
          <w:szCs w:val="24"/>
          <w:lang w:val="en-US"/>
        </w:rPr>
      </w:pPr>
      <w:r w:rsidRPr="00044667">
        <w:rPr>
          <w:rFonts w:ascii="Times New Roman" w:hAnsi="Times New Roman" w:cs="Times New Roman"/>
          <w:sz w:val="24"/>
          <w:szCs w:val="24"/>
          <w:lang w:val="en-US"/>
        </w:rPr>
        <w:t>Childhood maltreatment leads to long-lasting effects including increased risk of interpersonal victimization in adolescence and adulthood. Research links childhood abuse to adult mental health issues and substance abuse</w:t>
      </w:r>
      <w:r w:rsidR="00EA0021">
        <w:rPr>
          <w:rFonts w:ascii="Times New Roman" w:hAnsi="Times New Roman" w:cs="Times New Roman"/>
          <w:sz w:val="24"/>
          <w:szCs w:val="24"/>
          <w:lang w:val="en-US"/>
        </w:rPr>
        <w:t xml:space="preserve"> (Mehta et al.,2021)</w:t>
      </w:r>
      <w:r w:rsidRPr="00044667">
        <w:rPr>
          <w:rFonts w:ascii="Times New Roman" w:hAnsi="Times New Roman" w:cs="Times New Roman"/>
          <w:sz w:val="24"/>
          <w:szCs w:val="24"/>
          <w:lang w:val="en-US"/>
        </w:rPr>
        <w:t xml:space="preserve">. Childhood experiences of abuse are associated with higher chances of facing violence in intimate relationships later in </w:t>
      </w:r>
      <w:r w:rsidR="00DE2A52" w:rsidRPr="00044667">
        <w:rPr>
          <w:rFonts w:ascii="Times New Roman" w:hAnsi="Times New Roman" w:cs="Times New Roman"/>
          <w:sz w:val="24"/>
          <w:szCs w:val="24"/>
          <w:lang w:val="en-US"/>
        </w:rPr>
        <w:t>life (Godbout</w:t>
      </w:r>
      <w:r w:rsidRPr="00044667">
        <w:rPr>
          <w:rFonts w:ascii="Times New Roman" w:hAnsi="Times New Roman" w:cs="Times New Roman"/>
          <w:sz w:val="24"/>
          <w:szCs w:val="24"/>
          <w:lang w:val="en-US"/>
        </w:rPr>
        <w:t xml:space="preserve"> et al., 2017). Studies show survivors of childhood maltreatment are more vulnerable to adult victimization. Specifically, childhood physical and sexual abuse </w:t>
      </w:r>
      <w:r w:rsidR="00EA0021">
        <w:rPr>
          <w:rFonts w:ascii="Times New Roman" w:hAnsi="Times New Roman" w:cs="Times New Roman"/>
          <w:sz w:val="24"/>
          <w:szCs w:val="24"/>
          <w:lang w:val="en-US"/>
        </w:rPr>
        <w:t>increases</w:t>
      </w:r>
      <w:r w:rsidRPr="00044667">
        <w:rPr>
          <w:rFonts w:ascii="Times New Roman" w:hAnsi="Times New Roman" w:cs="Times New Roman"/>
          <w:sz w:val="24"/>
          <w:szCs w:val="24"/>
          <w:lang w:val="en-US"/>
        </w:rPr>
        <w:t xml:space="preserve"> the risk of intimate partner </w:t>
      </w:r>
      <w:r w:rsidR="00DE2A52" w:rsidRPr="00044667">
        <w:rPr>
          <w:rFonts w:ascii="Times New Roman" w:hAnsi="Times New Roman" w:cs="Times New Roman"/>
          <w:sz w:val="24"/>
          <w:szCs w:val="24"/>
          <w:lang w:val="en-US"/>
        </w:rPr>
        <w:t>violence (</w:t>
      </w:r>
      <w:r w:rsidR="00EA0021">
        <w:rPr>
          <w:rFonts w:ascii="Times New Roman" w:hAnsi="Times New Roman" w:cs="Times New Roman"/>
          <w:sz w:val="24"/>
          <w:szCs w:val="24"/>
          <w:lang w:val="en-US"/>
        </w:rPr>
        <w:t>Godbout et al.,2017</w:t>
      </w:r>
      <w:r w:rsidRPr="00044667">
        <w:rPr>
          <w:rFonts w:ascii="Times New Roman" w:hAnsi="Times New Roman" w:cs="Times New Roman"/>
          <w:sz w:val="24"/>
          <w:szCs w:val="24"/>
          <w:lang w:val="en-US"/>
        </w:rPr>
        <w:t>). Overall, early adverse experiences are linked to a greater likelihood of facing revictimization in adulthood.</w:t>
      </w:r>
      <w:r w:rsidR="00044667" w:rsidRPr="00044667">
        <w:rPr>
          <w:rFonts w:ascii="Times New Roman" w:hAnsi="Times New Roman" w:cs="Times New Roman"/>
          <w:sz w:val="24"/>
          <w:szCs w:val="24"/>
        </w:rPr>
        <w:t xml:space="preserve"> </w:t>
      </w:r>
      <w:r w:rsidR="00044667" w:rsidRPr="00044667">
        <w:rPr>
          <w:rFonts w:ascii="Times New Roman" w:hAnsi="Times New Roman" w:cs="Times New Roman"/>
          <w:sz w:val="24"/>
          <w:szCs w:val="24"/>
          <w:lang w:val="en-US"/>
        </w:rPr>
        <w:t xml:space="preserve">Recent research indicates childhood maltreatment's influence on intimate partner violence (IPV) is not solely linked to specific forms of abuse but rather to cumulative childhood trauma </w:t>
      </w:r>
      <w:r w:rsidR="00DE2A52" w:rsidRPr="00044667">
        <w:rPr>
          <w:rFonts w:ascii="Times New Roman" w:hAnsi="Times New Roman" w:cs="Times New Roman"/>
          <w:sz w:val="24"/>
          <w:szCs w:val="24"/>
          <w:lang w:val="en-US"/>
        </w:rPr>
        <w:t>experiences (</w:t>
      </w:r>
      <w:r w:rsidR="00044667" w:rsidRPr="00044667">
        <w:rPr>
          <w:rFonts w:ascii="Times New Roman" w:hAnsi="Times New Roman" w:cs="Times New Roman"/>
          <w:sz w:val="24"/>
          <w:szCs w:val="24"/>
          <w:lang w:val="en-US"/>
        </w:rPr>
        <w:t>Widom et al., 2014). However, understanding this relationship is limited due to various factors: a) studies typically focus on individual adverse childhood experiences without considering simultaneous exposure during childhood; b) the long-term impact of physical, sexual, and witnessed violence on adult relationships is well-documented, but the effects of psychological abuse are often overlooked in international literature.</w:t>
      </w:r>
      <w:r w:rsidR="00050511">
        <w:rPr>
          <w:rFonts w:ascii="Times New Roman" w:hAnsi="Times New Roman" w:cs="Times New Roman"/>
          <w:sz w:val="24"/>
          <w:szCs w:val="24"/>
          <w:lang w:val="en-US"/>
        </w:rPr>
        <w:t xml:space="preserve"> </w:t>
      </w:r>
      <w:r w:rsidR="00050511" w:rsidRPr="00050511">
        <w:rPr>
          <w:rFonts w:ascii="Times New Roman" w:hAnsi="Times New Roman" w:cs="Times New Roman"/>
          <w:sz w:val="24"/>
          <w:szCs w:val="24"/>
          <w:lang w:val="en-US"/>
        </w:rPr>
        <w:t>Childhood maltreatment can harm social-cognitive skills in undiagnosed individuals, leading to poor affect regulation, which may contribute to later psychopathology and peer rejection. Trauma is overwhelming for children, causing feelings of abandonment and isolation, carrying forward through generations amid violent actions</w:t>
      </w:r>
      <w:r w:rsidR="00050511" w:rsidRPr="00050511">
        <w:rPr>
          <w:lang w:val="en-US"/>
        </w:rPr>
        <w:t xml:space="preserve"> </w:t>
      </w:r>
      <w:r w:rsidR="00050511">
        <w:rPr>
          <w:lang w:val="en-US"/>
        </w:rPr>
        <w:t>(</w:t>
      </w:r>
      <w:r w:rsidR="00050511" w:rsidRPr="00050511">
        <w:rPr>
          <w:rFonts w:ascii="Times New Roman" w:hAnsi="Times New Roman" w:cs="Times New Roman"/>
          <w:sz w:val="24"/>
          <w:szCs w:val="24"/>
          <w:lang w:val="en-US"/>
        </w:rPr>
        <w:t>Asen &amp; Fonagy, 2017).</w:t>
      </w:r>
      <w:r w:rsidR="006D6A96" w:rsidRPr="006D6A96">
        <w:t xml:space="preserve"> </w:t>
      </w:r>
      <w:r w:rsidR="006D6A96" w:rsidRPr="006D6A96">
        <w:rPr>
          <w:rFonts w:ascii="Times New Roman" w:hAnsi="Times New Roman" w:cs="Times New Roman"/>
          <w:sz w:val="24"/>
          <w:szCs w:val="24"/>
          <w:lang w:val="en-US"/>
        </w:rPr>
        <w:t xml:space="preserve">The cycle of parental emotional unavailability causing distress in children can escalate, leading to violent responses. Maltreated children struggle with emotional understanding, </w:t>
      </w:r>
      <w:r w:rsidR="00EA0021">
        <w:rPr>
          <w:rFonts w:ascii="Times New Roman" w:hAnsi="Times New Roman" w:cs="Times New Roman"/>
          <w:sz w:val="24"/>
          <w:szCs w:val="24"/>
          <w:lang w:val="en-US"/>
        </w:rPr>
        <w:t xml:space="preserve">and </w:t>
      </w:r>
      <w:r w:rsidR="006D6A96" w:rsidRPr="006D6A96">
        <w:rPr>
          <w:rFonts w:ascii="Times New Roman" w:hAnsi="Times New Roman" w:cs="Times New Roman"/>
          <w:sz w:val="24"/>
          <w:szCs w:val="24"/>
          <w:lang w:val="en-US"/>
        </w:rPr>
        <w:t xml:space="preserve">language deficits, and </w:t>
      </w:r>
      <w:r w:rsidR="00EA0021">
        <w:rPr>
          <w:rFonts w:ascii="Times New Roman" w:hAnsi="Times New Roman" w:cs="Times New Roman"/>
          <w:sz w:val="24"/>
          <w:szCs w:val="24"/>
          <w:lang w:val="en-US"/>
        </w:rPr>
        <w:t>exhibit</w:t>
      </w:r>
      <w:r w:rsidR="006D6A96" w:rsidRPr="006D6A96">
        <w:rPr>
          <w:rFonts w:ascii="Times New Roman" w:hAnsi="Times New Roman" w:cs="Times New Roman"/>
          <w:sz w:val="24"/>
          <w:szCs w:val="24"/>
          <w:lang w:val="en-US"/>
        </w:rPr>
        <w:t xml:space="preserve"> withdrawn behavior. This can impact their ability to express complex feelings verbally, relying more on physical cues. Such experiences may lead them to seek closeness with potential abusers. Caregiving experiences have been linked to brain structure and function changes (van Harmelen et al., 2014).</w:t>
      </w:r>
      <w:r w:rsidR="0081080F" w:rsidRPr="0081080F">
        <w:t xml:space="preserve"> </w:t>
      </w:r>
      <w:r w:rsidR="0081080F" w:rsidRPr="0081080F">
        <w:rPr>
          <w:rFonts w:ascii="Times New Roman" w:hAnsi="Times New Roman" w:cs="Times New Roman"/>
          <w:sz w:val="24"/>
          <w:szCs w:val="24"/>
          <w:lang w:val="en-US"/>
        </w:rPr>
        <w:t xml:space="preserve">Abusive </w:t>
      </w:r>
      <w:r w:rsidR="0081080F">
        <w:rPr>
          <w:rFonts w:ascii="Times New Roman" w:hAnsi="Times New Roman" w:cs="Times New Roman"/>
          <w:sz w:val="24"/>
          <w:szCs w:val="24"/>
          <w:lang w:val="en-US"/>
        </w:rPr>
        <w:t xml:space="preserve">families </w:t>
      </w:r>
      <w:r w:rsidR="0081080F" w:rsidRPr="0081080F">
        <w:rPr>
          <w:rFonts w:ascii="Times New Roman" w:hAnsi="Times New Roman" w:cs="Times New Roman"/>
          <w:sz w:val="24"/>
          <w:szCs w:val="24"/>
          <w:lang w:val="en-US"/>
        </w:rPr>
        <w:t>often segregate public life from home life, where a caregiver's cruel actions hinder understanding mental states, hindering self-development. Children may struggle with processing different experiences, as intentional states may be distorted in abusive settings. Abuse restricts evaluating and adjusting mental state representations, making them inflexible and potentially abandoned. Abused children might construct their caregiver's mental model based on self-</w:t>
      </w:r>
      <w:r w:rsidR="00DE2A52" w:rsidRPr="0081080F">
        <w:rPr>
          <w:rFonts w:ascii="Times New Roman" w:hAnsi="Times New Roman" w:cs="Times New Roman"/>
          <w:sz w:val="24"/>
          <w:szCs w:val="24"/>
          <w:lang w:val="en-US"/>
        </w:rPr>
        <w:t>perceptions</w:t>
      </w:r>
      <w:r w:rsidR="00DE2A52">
        <w:rPr>
          <w:rFonts w:ascii="Times New Roman" w:hAnsi="Times New Roman" w:cs="Times New Roman"/>
          <w:sz w:val="24"/>
          <w:szCs w:val="24"/>
          <w:lang w:val="en-US"/>
        </w:rPr>
        <w:t xml:space="preserve"> (</w:t>
      </w:r>
      <w:r w:rsidR="0081080F">
        <w:rPr>
          <w:rFonts w:ascii="Times New Roman" w:hAnsi="Times New Roman" w:cs="Times New Roman"/>
          <w:sz w:val="24"/>
          <w:szCs w:val="24"/>
          <w:lang w:val="en-US"/>
        </w:rPr>
        <w:t>Fonagy &amp; Target,2001)</w:t>
      </w:r>
      <w:r w:rsidR="0081080F" w:rsidRPr="0081080F">
        <w:rPr>
          <w:rFonts w:ascii="Times New Roman" w:hAnsi="Times New Roman" w:cs="Times New Roman"/>
          <w:sz w:val="24"/>
          <w:szCs w:val="24"/>
          <w:lang w:val="en-US"/>
        </w:rPr>
        <w:t>. Violence can disrupt attachment regulation, affecting mentalization. Disrupted attachments from caregiver neglect impact mentalizing. High family arousal can impede mentalization, crucial for social learning.</w:t>
      </w:r>
    </w:p>
    <w:p w14:paraId="669CD834" w14:textId="08CBB0D1" w:rsidR="00A00196" w:rsidRPr="00A00196" w:rsidRDefault="00A00196" w:rsidP="00050511">
      <w:pPr>
        <w:jc w:val="both"/>
        <w:rPr>
          <w:rFonts w:ascii="Times New Roman" w:hAnsi="Times New Roman" w:cs="Times New Roman"/>
          <w:b/>
          <w:bCs/>
          <w:sz w:val="24"/>
          <w:szCs w:val="24"/>
          <w:lang w:val="en-US"/>
        </w:rPr>
      </w:pPr>
      <w:r w:rsidRPr="00A00196">
        <w:rPr>
          <w:rFonts w:ascii="Times New Roman" w:hAnsi="Times New Roman" w:cs="Times New Roman"/>
          <w:b/>
          <w:bCs/>
          <w:sz w:val="24"/>
          <w:szCs w:val="24"/>
          <w:lang w:val="en-US"/>
        </w:rPr>
        <w:t>Mentalization and IPV</w:t>
      </w:r>
    </w:p>
    <w:p w14:paraId="3FCDBFB3" w14:textId="2648912D" w:rsidR="005D038B" w:rsidRPr="00DE78C7" w:rsidRDefault="00A00196" w:rsidP="008720F5">
      <w:pPr>
        <w:spacing w:after="0" w:line="360" w:lineRule="auto"/>
        <w:jc w:val="both"/>
        <w:rPr>
          <w:rFonts w:ascii="Times New Roman" w:hAnsi="Times New Roman" w:cs="Times New Roman"/>
          <w:sz w:val="24"/>
          <w:szCs w:val="24"/>
          <w:lang w:val="en-US"/>
        </w:rPr>
      </w:pPr>
      <w:r w:rsidRPr="00F42C18">
        <w:rPr>
          <w:rFonts w:ascii="Times New Roman" w:hAnsi="Times New Roman" w:cs="Times New Roman"/>
          <w:sz w:val="24"/>
          <w:szCs w:val="24"/>
          <w:lang w:val="en-US"/>
        </w:rPr>
        <w:t xml:space="preserve">Children exposed to early adversity may normalize violence, leading to intergenerational transmission. Understanding others' mental states is vital for social skills development across all </w:t>
      </w:r>
      <w:r w:rsidR="00DE2A52" w:rsidRPr="00F42C18">
        <w:rPr>
          <w:rFonts w:ascii="Times New Roman" w:hAnsi="Times New Roman" w:cs="Times New Roman"/>
          <w:sz w:val="24"/>
          <w:szCs w:val="24"/>
          <w:lang w:val="en-US"/>
        </w:rPr>
        <w:t>ages (</w:t>
      </w:r>
      <w:r w:rsidRPr="00F42C18">
        <w:rPr>
          <w:rFonts w:ascii="Times New Roman" w:hAnsi="Times New Roman" w:cs="Times New Roman"/>
          <w:sz w:val="24"/>
          <w:szCs w:val="24"/>
          <w:lang w:val="en-US"/>
        </w:rPr>
        <w:t>Loeber et al.,2002). Research identifies four neural dimensions of mentalization, encompassing self- vs. other-directed mentalizing (Fonagy</w:t>
      </w:r>
      <w:r w:rsidR="00D365F0">
        <w:rPr>
          <w:rFonts w:ascii="Times New Roman" w:hAnsi="Times New Roman" w:cs="Times New Roman"/>
          <w:sz w:val="24"/>
          <w:szCs w:val="24"/>
          <w:lang w:val="en-US"/>
        </w:rPr>
        <w:t xml:space="preserve"> et al</w:t>
      </w:r>
      <w:r w:rsidRPr="00F42C18">
        <w:rPr>
          <w:rFonts w:ascii="Times New Roman" w:hAnsi="Times New Roman" w:cs="Times New Roman"/>
          <w:sz w:val="24"/>
          <w:szCs w:val="24"/>
          <w:lang w:val="en-US"/>
        </w:rPr>
        <w:t>, 20</w:t>
      </w:r>
      <w:r w:rsidR="00D365F0">
        <w:rPr>
          <w:rFonts w:ascii="Times New Roman" w:hAnsi="Times New Roman" w:cs="Times New Roman"/>
          <w:sz w:val="24"/>
          <w:szCs w:val="24"/>
          <w:lang w:val="en-US"/>
        </w:rPr>
        <w:t>11</w:t>
      </w:r>
      <w:r w:rsidRPr="00F42C18">
        <w:rPr>
          <w:rFonts w:ascii="Times New Roman" w:hAnsi="Times New Roman" w:cs="Times New Roman"/>
          <w:sz w:val="24"/>
          <w:szCs w:val="24"/>
          <w:lang w:val="en-US"/>
        </w:rPr>
        <w:t xml:space="preserve">): 1) Mentalizing can be directed towards Self or others in relationships, with </w:t>
      </w:r>
      <w:r w:rsidRPr="00D365F0">
        <w:rPr>
          <w:rFonts w:ascii="Times New Roman" w:hAnsi="Times New Roman" w:cs="Times New Roman"/>
          <w:i/>
          <w:iCs/>
          <w:sz w:val="24"/>
          <w:szCs w:val="24"/>
          <w:lang w:val="en-US"/>
        </w:rPr>
        <w:t>self-reflection and understanding</w:t>
      </w:r>
      <w:r w:rsidRPr="00F42C18">
        <w:rPr>
          <w:rFonts w:ascii="Times New Roman" w:hAnsi="Times New Roman" w:cs="Times New Roman"/>
          <w:sz w:val="24"/>
          <w:szCs w:val="24"/>
          <w:lang w:val="en-US"/>
        </w:rPr>
        <w:t xml:space="preserve"> of others developing within attachment connections, thereby sharing underlying neural substrates; 2) </w:t>
      </w:r>
      <w:r w:rsidR="000C396F" w:rsidRPr="00F42C18">
        <w:rPr>
          <w:rFonts w:ascii="Times New Roman" w:hAnsi="Times New Roman" w:cs="Times New Roman"/>
          <w:i/>
          <w:iCs/>
          <w:sz w:val="24"/>
          <w:szCs w:val="24"/>
          <w:lang w:val="en-US"/>
        </w:rPr>
        <w:t>Cognitive mentalization</w:t>
      </w:r>
      <w:r w:rsidR="000C396F" w:rsidRPr="00F42C18">
        <w:rPr>
          <w:rFonts w:ascii="Times New Roman" w:hAnsi="Times New Roman" w:cs="Times New Roman"/>
          <w:sz w:val="24"/>
          <w:szCs w:val="24"/>
          <w:lang w:val="en-US"/>
        </w:rPr>
        <w:t xml:space="preserve"> involves understanding thoughts' representational nature; </w:t>
      </w:r>
      <w:r w:rsidR="000C396F" w:rsidRPr="00F42C18">
        <w:rPr>
          <w:rFonts w:ascii="Times New Roman" w:hAnsi="Times New Roman" w:cs="Times New Roman"/>
          <w:i/>
          <w:iCs/>
          <w:sz w:val="24"/>
          <w:szCs w:val="24"/>
          <w:lang w:val="en-US"/>
        </w:rPr>
        <w:t>affective mentalization</w:t>
      </w:r>
      <w:r w:rsidR="000C396F" w:rsidRPr="00F42C18">
        <w:rPr>
          <w:rFonts w:ascii="Times New Roman" w:hAnsi="Times New Roman" w:cs="Times New Roman"/>
          <w:sz w:val="24"/>
          <w:szCs w:val="24"/>
          <w:lang w:val="en-US"/>
        </w:rPr>
        <w:t xml:space="preserve"> focuses on emotional regulation through identification, processing, and expression of feelings. </w:t>
      </w:r>
      <w:r w:rsidR="000C396F" w:rsidRPr="00F42C18">
        <w:rPr>
          <w:rFonts w:ascii="Times New Roman" w:hAnsi="Times New Roman" w:cs="Times New Roman"/>
          <w:i/>
          <w:iCs/>
          <w:sz w:val="24"/>
          <w:szCs w:val="24"/>
          <w:lang w:val="en-US"/>
        </w:rPr>
        <w:t>Good mentalization</w:t>
      </w:r>
      <w:r w:rsidR="000C396F" w:rsidRPr="00F42C18">
        <w:rPr>
          <w:rFonts w:ascii="Times New Roman" w:hAnsi="Times New Roman" w:cs="Times New Roman"/>
          <w:sz w:val="24"/>
          <w:szCs w:val="24"/>
          <w:lang w:val="en-US"/>
        </w:rPr>
        <w:t xml:space="preserve"> integrates cognition and affect; 3) </w:t>
      </w:r>
      <w:r w:rsidR="000C396F" w:rsidRPr="00F42C18">
        <w:rPr>
          <w:rFonts w:ascii="Times New Roman" w:hAnsi="Times New Roman" w:cs="Times New Roman"/>
          <w:i/>
          <w:iCs/>
          <w:sz w:val="24"/>
          <w:szCs w:val="24"/>
          <w:lang w:val="en-US"/>
        </w:rPr>
        <w:t>Implicit and explicit mentalization</w:t>
      </w:r>
      <w:r w:rsidR="000C396F" w:rsidRPr="00F42C18">
        <w:rPr>
          <w:rFonts w:ascii="Times New Roman" w:hAnsi="Times New Roman" w:cs="Times New Roman"/>
          <w:sz w:val="24"/>
          <w:szCs w:val="24"/>
          <w:lang w:val="en-US"/>
        </w:rPr>
        <w:t xml:space="preserve"> differ in reflecting declarative and procedural memory. Explicit mentalizing is a deliberate, verbal process demanding attention and effort, while implicit mentalization involves understanding others' minds without explicit declaration, especially in close relationships and emotional states; 4)</w:t>
      </w:r>
      <w:r w:rsidR="000C396F" w:rsidRPr="00F42C18">
        <w:rPr>
          <w:rFonts w:ascii="Times New Roman" w:hAnsi="Times New Roman" w:cs="Times New Roman"/>
          <w:sz w:val="24"/>
          <w:szCs w:val="24"/>
        </w:rPr>
        <w:t xml:space="preserve"> </w:t>
      </w:r>
      <w:r w:rsidR="000C396F" w:rsidRPr="00F42C18">
        <w:rPr>
          <w:rFonts w:ascii="Times New Roman" w:hAnsi="Times New Roman" w:cs="Times New Roman"/>
          <w:i/>
          <w:iCs/>
          <w:sz w:val="24"/>
          <w:szCs w:val="24"/>
          <w:lang w:val="en-US"/>
        </w:rPr>
        <w:t>The internal versus external polarity</w:t>
      </w:r>
      <w:r w:rsidR="000C396F" w:rsidRPr="00F42C18">
        <w:rPr>
          <w:rFonts w:ascii="Times New Roman" w:hAnsi="Times New Roman" w:cs="Times New Roman"/>
          <w:sz w:val="24"/>
          <w:szCs w:val="24"/>
          <w:lang w:val="en-US"/>
        </w:rPr>
        <w:t xml:space="preserve"> in mentalizing involves focusing on either internal factors like feelings, desires, and beliefs or external factors such as facial expressions (</w:t>
      </w:r>
      <w:r w:rsidR="00D365F0">
        <w:rPr>
          <w:rFonts w:ascii="Times New Roman" w:hAnsi="Times New Roman" w:cs="Times New Roman"/>
          <w:sz w:val="24"/>
          <w:szCs w:val="24"/>
          <w:lang w:val="en-US"/>
        </w:rPr>
        <w:t>Tanzilli et al.,2021</w:t>
      </w:r>
      <w:r w:rsidR="000C396F" w:rsidRPr="00F42C18">
        <w:rPr>
          <w:rFonts w:ascii="Times New Roman" w:hAnsi="Times New Roman" w:cs="Times New Roman"/>
          <w:sz w:val="24"/>
          <w:szCs w:val="24"/>
          <w:lang w:val="en-US"/>
        </w:rPr>
        <w:t xml:space="preserve">). Balance between these is key to effective mentalization to prevent psychopathological issues due to mental state imbalances. </w:t>
      </w:r>
      <w:r w:rsidR="00D365F0">
        <w:rPr>
          <w:rFonts w:ascii="Times New Roman" w:hAnsi="Times New Roman" w:cs="Times New Roman"/>
          <w:sz w:val="24"/>
          <w:szCs w:val="24"/>
          <w:lang w:val="en-US"/>
        </w:rPr>
        <w:t>Relationships</w:t>
      </w:r>
      <w:r w:rsidR="000C396F" w:rsidRPr="00F42C18">
        <w:rPr>
          <w:rFonts w:ascii="Times New Roman" w:hAnsi="Times New Roman" w:cs="Times New Roman"/>
          <w:sz w:val="24"/>
          <w:szCs w:val="24"/>
          <w:lang w:val="en-US"/>
        </w:rPr>
        <w:t xml:space="preserve"> between attachment, physical aggression, and mentalization collapse </w:t>
      </w:r>
      <w:r w:rsidR="00D365F0">
        <w:rPr>
          <w:rFonts w:ascii="Times New Roman" w:hAnsi="Times New Roman" w:cs="Times New Roman"/>
          <w:sz w:val="24"/>
          <w:szCs w:val="24"/>
          <w:lang w:val="en-US"/>
        </w:rPr>
        <w:t>exist</w:t>
      </w:r>
      <w:r w:rsidR="000C396F" w:rsidRPr="00F42C18">
        <w:rPr>
          <w:rFonts w:ascii="Times New Roman" w:hAnsi="Times New Roman" w:cs="Times New Roman"/>
          <w:sz w:val="24"/>
          <w:szCs w:val="24"/>
          <w:lang w:val="en-US"/>
        </w:rPr>
        <w:t>. Some studies suggest that certain types of family violence stem from moral disengagement due to insufficient mentalization, with limited psychological attention leading to aggressive responses from parents (</w:t>
      </w:r>
      <w:r w:rsidR="00D365F0">
        <w:rPr>
          <w:rFonts w:ascii="Times New Roman" w:hAnsi="Times New Roman" w:cs="Times New Roman"/>
          <w:sz w:val="24"/>
          <w:szCs w:val="24"/>
          <w:lang w:val="en-US"/>
        </w:rPr>
        <w:t>Tanzilli et al.,2021</w:t>
      </w:r>
      <w:r w:rsidR="000C396F" w:rsidRPr="00F42C18">
        <w:rPr>
          <w:rFonts w:ascii="Times New Roman" w:hAnsi="Times New Roman" w:cs="Times New Roman"/>
          <w:sz w:val="24"/>
          <w:szCs w:val="24"/>
          <w:lang w:val="en-US"/>
        </w:rPr>
        <w:t>). According to Allen and Fonagy (</w:t>
      </w:r>
      <w:r w:rsidR="008D2E62">
        <w:rPr>
          <w:rFonts w:ascii="Times New Roman" w:hAnsi="Times New Roman" w:cs="Times New Roman"/>
          <w:sz w:val="24"/>
          <w:szCs w:val="24"/>
          <w:lang w:val="en-US"/>
        </w:rPr>
        <w:t>2008</w:t>
      </w:r>
      <w:r w:rsidR="000C396F" w:rsidRPr="00F42C18">
        <w:rPr>
          <w:rFonts w:ascii="Times New Roman" w:hAnsi="Times New Roman" w:cs="Times New Roman"/>
          <w:sz w:val="24"/>
          <w:szCs w:val="24"/>
          <w:lang w:val="en-US"/>
        </w:rPr>
        <w:t>), when families lack mentalizing abilities due to fear and hyperactivated attachments, violence can be passed down through generations. This happens when individuals cannot view things from different perspectives. As a result, they may struggle to understand their own and others' thoughts and emotions. This can lead to concrete thinking patterns and a disconnect from reality as they struggle to mentalize effectively (</w:t>
      </w:r>
      <w:r w:rsidR="00312CD0">
        <w:rPr>
          <w:rFonts w:ascii="Times New Roman" w:hAnsi="Times New Roman" w:cs="Times New Roman"/>
          <w:sz w:val="24"/>
          <w:szCs w:val="24"/>
          <w:lang w:val="en-US"/>
        </w:rPr>
        <w:t>Allen &amp; Fonagy,2008</w:t>
      </w:r>
      <w:r w:rsidR="000C396F" w:rsidRPr="00F42C18">
        <w:rPr>
          <w:rFonts w:ascii="Times New Roman" w:hAnsi="Times New Roman" w:cs="Times New Roman"/>
          <w:sz w:val="24"/>
          <w:szCs w:val="24"/>
          <w:lang w:val="en-US"/>
        </w:rPr>
        <w:t>).</w:t>
      </w:r>
      <w:r w:rsidR="005D038B" w:rsidRPr="00F42C18">
        <w:rPr>
          <w:rFonts w:ascii="Times New Roman" w:hAnsi="Times New Roman" w:cs="Times New Roman"/>
          <w:sz w:val="24"/>
          <w:szCs w:val="24"/>
        </w:rPr>
        <w:t xml:space="preserve"> </w:t>
      </w:r>
      <w:r w:rsidR="005D038B" w:rsidRPr="00F42C18">
        <w:rPr>
          <w:rFonts w:ascii="Times New Roman" w:hAnsi="Times New Roman" w:cs="Times New Roman"/>
          <w:sz w:val="24"/>
          <w:szCs w:val="24"/>
          <w:lang w:val="en-US"/>
        </w:rPr>
        <w:t xml:space="preserve">Deficits in mentalizing modes can hinder collaboration, leading to power struggles based on coercion and humiliation. This inadequate mentalization can contribute to </w:t>
      </w:r>
      <w:r w:rsidR="00312CD0">
        <w:rPr>
          <w:rFonts w:ascii="Times New Roman" w:hAnsi="Times New Roman" w:cs="Times New Roman"/>
          <w:sz w:val="24"/>
          <w:szCs w:val="24"/>
          <w:lang w:val="en-US"/>
        </w:rPr>
        <w:t xml:space="preserve">severe personality traits such as </w:t>
      </w:r>
      <w:r w:rsidR="005D038B" w:rsidRPr="00F42C18">
        <w:rPr>
          <w:rFonts w:ascii="Times New Roman" w:hAnsi="Times New Roman" w:cs="Times New Roman"/>
          <w:sz w:val="24"/>
          <w:szCs w:val="24"/>
          <w:lang w:val="en-US"/>
        </w:rPr>
        <w:t xml:space="preserve">psychopathic and aggression, highlighting the importance of prioritizing others' mental states to prevent harmful </w:t>
      </w:r>
      <w:r w:rsidR="00DE2A52" w:rsidRPr="00F42C18">
        <w:rPr>
          <w:rFonts w:ascii="Times New Roman" w:hAnsi="Times New Roman" w:cs="Times New Roman"/>
          <w:sz w:val="24"/>
          <w:szCs w:val="24"/>
          <w:lang w:val="en-US"/>
        </w:rPr>
        <w:t>behavior (</w:t>
      </w:r>
      <w:r w:rsidR="0015507E" w:rsidRPr="00F42C18">
        <w:rPr>
          <w:rFonts w:ascii="Times New Roman" w:hAnsi="Times New Roman" w:cs="Times New Roman"/>
          <w:sz w:val="24"/>
          <w:szCs w:val="24"/>
          <w:lang w:val="en-US"/>
        </w:rPr>
        <w:t xml:space="preserve">Asen &amp; Fonagy, 2017). </w:t>
      </w:r>
      <w:r w:rsidR="00F42C18" w:rsidRPr="00F42C18">
        <w:rPr>
          <w:rFonts w:ascii="Times New Roman" w:hAnsi="Times New Roman" w:cs="Times New Roman"/>
          <w:sz w:val="24"/>
          <w:szCs w:val="24"/>
          <w:lang w:val="en-US"/>
        </w:rPr>
        <w:t>V</w:t>
      </w:r>
      <w:r w:rsidR="005D038B" w:rsidRPr="00F42C18">
        <w:rPr>
          <w:rFonts w:ascii="Times New Roman" w:hAnsi="Times New Roman" w:cs="Times New Roman"/>
          <w:sz w:val="24"/>
          <w:szCs w:val="24"/>
          <w:lang w:val="en-US"/>
        </w:rPr>
        <w:t xml:space="preserve">iolent men escalate natural aggression due to deficits in socio-cognitive functioning. </w:t>
      </w:r>
      <w:r w:rsidR="002D2BBE">
        <w:rPr>
          <w:rFonts w:ascii="Times New Roman" w:hAnsi="Times New Roman" w:cs="Times New Roman"/>
          <w:sz w:val="24"/>
          <w:szCs w:val="24"/>
          <w:lang w:val="en-US"/>
        </w:rPr>
        <w:t xml:space="preserve">Stein (2006) </w:t>
      </w:r>
      <w:r w:rsidR="005D038B" w:rsidRPr="00F42C18">
        <w:rPr>
          <w:rFonts w:ascii="Times New Roman" w:hAnsi="Times New Roman" w:cs="Times New Roman"/>
          <w:sz w:val="24"/>
          <w:szCs w:val="24"/>
          <w:lang w:val="en-US"/>
        </w:rPr>
        <w:t>indicate</w:t>
      </w:r>
      <w:r w:rsidR="002D2BBE">
        <w:rPr>
          <w:rFonts w:ascii="Times New Roman" w:hAnsi="Times New Roman" w:cs="Times New Roman"/>
          <w:sz w:val="24"/>
          <w:szCs w:val="24"/>
          <w:lang w:val="en-US"/>
        </w:rPr>
        <w:t xml:space="preserve">s that </w:t>
      </w:r>
      <w:r w:rsidR="005D038B" w:rsidRPr="00F42C18">
        <w:rPr>
          <w:rFonts w:ascii="Times New Roman" w:hAnsi="Times New Roman" w:cs="Times New Roman"/>
          <w:sz w:val="24"/>
          <w:szCs w:val="24"/>
          <w:lang w:val="en-US"/>
        </w:rPr>
        <w:t xml:space="preserve">mentalizing </w:t>
      </w:r>
      <w:r w:rsidR="002D2BBE">
        <w:rPr>
          <w:rFonts w:ascii="Times New Roman" w:hAnsi="Times New Roman" w:cs="Times New Roman"/>
          <w:sz w:val="24"/>
          <w:szCs w:val="24"/>
          <w:lang w:val="en-US"/>
        </w:rPr>
        <w:t xml:space="preserve">can serve </w:t>
      </w:r>
      <w:r w:rsidR="005D038B" w:rsidRPr="00F42C18">
        <w:rPr>
          <w:rFonts w:ascii="Times New Roman" w:hAnsi="Times New Roman" w:cs="Times New Roman"/>
          <w:sz w:val="24"/>
          <w:szCs w:val="24"/>
          <w:lang w:val="en-US"/>
        </w:rPr>
        <w:t>as a protective factor against psychopathology in adults who experienced childhood abuse or neglect. Developing flexible mentalization in secure attachments may promote resilience and mediate trauma effects in childhood attachments and personality disorders</w:t>
      </w:r>
      <w:r w:rsidR="00B4170D">
        <w:rPr>
          <w:rFonts w:ascii="Times New Roman" w:hAnsi="Times New Roman" w:cs="Times New Roman"/>
          <w:sz w:val="24"/>
          <w:szCs w:val="24"/>
          <w:lang w:val="en-US"/>
        </w:rPr>
        <w:t xml:space="preserve"> (Fonagy et al.,2011)</w:t>
      </w:r>
      <w:r w:rsidR="005D038B" w:rsidRPr="00F42C18">
        <w:rPr>
          <w:rFonts w:ascii="Times New Roman" w:hAnsi="Times New Roman" w:cs="Times New Roman"/>
          <w:sz w:val="24"/>
          <w:szCs w:val="24"/>
          <w:lang w:val="en-US"/>
        </w:rPr>
        <w:t xml:space="preserve">. Mentalizing is dynamic and may change with arousal levels. People with heightened arousal may struggle with mentalizing changes. Research has </w:t>
      </w:r>
      <w:r w:rsidR="00DE2A52" w:rsidRPr="00F42C18">
        <w:rPr>
          <w:rFonts w:ascii="Times New Roman" w:hAnsi="Times New Roman" w:cs="Times New Roman"/>
          <w:sz w:val="24"/>
          <w:szCs w:val="24"/>
          <w:lang w:val="en-US"/>
        </w:rPr>
        <w:t>focused</w:t>
      </w:r>
      <w:r w:rsidR="005D038B" w:rsidRPr="00F42C18">
        <w:rPr>
          <w:rFonts w:ascii="Times New Roman" w:hAnsi="Times New Roman" w:cs="Times New Roman"/>
          <w:sz w:val="24"/>
          <w:szCs w:val="24"/>
          <w:lang w:val="en-US"/>
        </w:rPr>
        <w:t xml:space="preserve"> on violent perpetrators and reflective functions; less is known about victims of intimate partner violence and mentalizing.</w:t>
      </w:r>
    </w:p>
    <w:p w14:paraId="1AC60E5D" w14:textId="77777777" w:rsidR="00293C8A" w:rsidRPr="00DE5A23" w:rsidRDefault="00293C8A">
      <w:pPr>
        <w:rPr>
          <w:lang w:val="en-US"/>
        </w:rPr>
      </w:pPr>
    </w:p>
    <w:p w14:paraId="2A8F2035" w14:textId="093B7CC8" w:rsidR="003C57EA" w:rsidRPr="00B820EB" w:rsidRDefault="00293C8A">
      <w:pPr>
        <w:rPr>
          <w:rFonts w:ascii="Times New Roman" w:hAnsi="Times New Roman" w:cs="Times New Roman"/>
          <w:b/>
          <w:bCs/>
          <w:sz w:val="28"/>
          <w:szCs w:val="28"/>
          <w:lang w:val="en-US"/>
        </w:rPr>
      </w:pPr>
      <w:r w:rsidRPr="00B4170D">
        <w:rPr>
          <w:rFonts w:ascii="Times New Roman" w:hAnsi="Times New Roman" w:cs="Times New Roman"/>
          <w:b/>
          <w:bCs/>
          <w:sz w:val="28"/>
          <w:szCs w:val="28"/>
          <w:lang w:val="en-US"/>
        </w:rPr>
        <w:t>Methodology</w:t>
      </w:r>
    </w:p>
    <w:p w14:paraId="1F7C2768" w14:textId="77777777" w:rsidR="003C57EA" w:rsidRDefault="003C57EA">
      <w:pPr>
        <w:rPr>
          <w:b/>
          <w:bCs/>
          <w:i/>
          <w:iCs/>
          <w:lang w:val="en-US"/>
        </w:rPr>
      </w:pPr>
      <w:r w:rsidRPr="0051320B">
        <w:rPr>
          <w:b/>
          <w:bCs/>
          <w:i/>
          <w:iCs/>
          <w:lang w:val="en-US"/>
        </w:rPr>
        <w:t>Objectives and hypotheses</w:t>
      </w:r>
    </w:p>
    <w:p w14:paraId="5272EC34" w14:textId="4ECEA5BF" w:rsidR="00EF75CE" w:rsidRPr="008720F5" w:rsidRDefault="00B4170D" w:rsidP="00B4170D">
      <w:pPr>
        <w:rPr>
          <w:rFonts w:ascii="Times New Roman" w:hAnsi="Times New Roman" w:cs="Times New Roman"/>
          <w:sz w:val="24"/>
          <w:szCs w:val="24"/>
          <w:lang w:val="en-US"/>
        </w:rPr>
      </w:pPr>
      <w:r w:rsidRPr="008720F5">
        <w:rPr>
          <w:rFonts w:ascii="Times New Roman" w:hAnsi="Times New Roman" w:cs="Times New Roman"/>
          <w:sz w:val="24"/>
          <w:szCs w:val="24"/>
          <w:lang w:val="en-US"/>
        </w:rPr>
        <w:t>S</w:t>
      </w:r>
      <w:r w:rsidR="008720F5" w:rsidRPr="008720F5">
        <w:rPr>
          <w:rFonts w:ascii="Times New Roman" w:hAnsi="Times New Roman" w:cs="Times New Roman"/>
          <w:sz w:val="24"/>
          <w:szCs w:val="24"/>
        </w:rPr>
        <w:t>everal</w:t>
      </w:r>
      <w:r w:rsidRPr="008720F5">
        <w:rPr>
          <w:rFonts w:ascii="Times New Roman" w:hAnsi="Times New Roman" w:cs="Times New Roman"/>
          <w:sz w:val="24"/>
          <w:szCs w:val="24"/>
        </w:rPr>
        <w:t xml:space="preserve"> objectives were raised to examine the research area relevant to this study</w:t>
      </w:r>
      <w:r w:rsidRPr="008720F5">
        <w:rPr>
          <w:b/>
          <w:bCs/>
          <w:i/>
          <w:iCs/>
          <w:sz w:val="24"/>
          <w:szCs w:val="24"/>
          <w:lang w:val="en-US"/>
        </w:rPr>
        <w:t xml:space="preserve"> </w:t>
      </w:r>
      <w:r w:rsidRPr="008720F5">
        <w:rPr>
          <w:rFonts w:ascii="Times New Roman" w:hAnsi="Times New Roman" w:cs="Times New Roman"/>
          <w:sz w:val="24"/>
          <w:szCs w:val="24"/>
          <w:lang w:val="en-US"/>
        </w:rPr>
        <w:t>as follows</w:t>
      </w:r>
      <w:r w:rsidR="00EF75CE" w:rsidRPr="008720F5">
        <w:rPr>
          <w:rFonts w:ascii="Times New Roman" w:hAnsi="Times New Roman" w:cs="Times New Roman"/>
          <w:sz w:val="24"/>
          <w:szCs w:val="24"/>
          <w:lang w:val="en-US"/>
        </w:rPr>
        <w:t xml:space="preserve">: </w:t>
      </w:r>
    </w:p>
    <w:p w14:paraId="70CDB33C" w14:textId="41902E72"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sz w:val="24"/>
          <w:szCs w:val="24"/>
          <w:lang w:val="en-US"/>
        </w:rPr>
        <w:t xml:space="preserve">1)  explore the adult attachment's connection to </w:t>
      </w:r>
      <w:r w:rsidR="00DE2A52" w:rsidRPr="008720F5">
        <w:rPr>
          <w:rFonts w:ascii="Times New Roman" w:hAnsi="Times New Roman" w:cs="Times New Roman"/>
          <w:sz w:val="24"/>
          <w:szCs w:val="24"/>
          <w:lang w:val="en-US"/>
        </w:rPr>
        <w:t>IPV.</w:t>
      </w:r>
    </w:p>
    <w:p w14:paraId="1256E64C" w14:textId="2677AAD2"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sz w:val="24"/>
          <w:szCs w:val="24"/>
          <w:lang w:val="en-US"/>
        </w:rPr>
        <w:t xml:space="preserve">2) childhood trauma's impact on adult victimization, focusing on trauma </w:t>
      </w:r>
      <w:r w:rsidR="00DE2A52" w:rsidRPr="008720F5">
        <w:rPr>
          <w:rFonts w:ascii="Times New Roman" w:hAnsi="Times New Roman" w:cs="Times New Roman"/>
          <w:sz w:val="24"/>
          <w:szCs w:val="24"/>
          <w:lang w:val="en-US"/>
        </w:rPr>
        <w:t>type.</w:t>
      </w:r>
    </w:p>
    <w:p w14:paraId="3031786C" w14:textId="6BF43F87"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sz w:val="24"/>
          <w:szCs w:val="24"/>
          <w:lang w:val="en-US"/>
        </w:rPr>
        <w:t xml:space="preserve">3) mentalization variations to identify victim </w:t>
      </w:r>
      <w:r w:rsidR="00DE2A52" w:rsidRPr="008720F5">
        <w:rPr>
          <w:rFonts w:ascii="Times New Roman" w:hAnsi="Times New Roman" w:cs="Times New Roman"/>
          <w:sz w:val="24"/>
          <w:szCs w:val="24"/>
          <w:lang w:val="en-US"/>
        </w:rPr>
        <w:t>profiles.</w:t>
      </w:r>
    </w:p>
    <w:p w14:paraId="2D80481A" w14:textId="77777777" w:rsidR="00F646C1" w:rsidRPr="008720F5" w:rsidRDefault="00F646C1" w:rsidP="00EF75CE">
      <w:pPr>
        <w:spacing w:after="0"/>
        <w:jc w:val="both"/>
        <w:rPr>
          <w:rFonts w:ascii="Times New Roman" w:hAnsi="Times New Roman" w:cs="Times New Roman"/>
          <w:sz w:val="24"/>
          <w:szCs w:val="24"/>
          <w:lang w:val="en-US"/>
        </w:rPr>
      </w:pPr>
    </w:p>
    <w:p w14:paraId="0F401D0C" w14:textId="77777777" w:rsidR="00F646C1" w:rsidRPr="008720F5" w:rsidRDefault="00F646C1" w:rsidP="00EF75CE">
      <w:pPr>
        <w:spacing w:after="0"/>
        <w:jc w:val="both"/>
        <w:rPr>
          <w:rFonts w:ascii="Times New Roman" w:hAnsi="Times New Roman" w:cs="Times New Roman"/>
          <w:sz w:val="24"/>
          <w:szCs w:val="24"/>
          <w:lang w:val="en-US"/>
        </w:rPr>
      </w:pPr>
    </w:p>
    <w:p w14:paraId="1380EAD7" w14:textId="3BA8050A"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sz w:val="24"/>
          <w:szCs w:val="24"/>
          <w:lang w:val="en-US"/>
        </w:rPr>
        <w:t xml:space="preserve">In line with the research objectives, the following </w:t>
      </w:r>
      <w:r w:rsidR="000A79B1" w:rsidRPr="008720F5">
        <w:rPr>
          <w:rFonts w:ascii="Times New Roman" w:hAnsi="Times New Roman" w:cs="Times New Roman"/>
          <w:sz w:val="24"/>
          <w:szCs w:val="24"/>
          <w:lang w:val="en-US"/>
        </w:rPr>
        <w:t>hypotheses</w:t>
      </w:r>
      <w:r w:rsidR="00B4170D" w:rsidRPr="008720F5">
        <w:rPr>
          <w:rFonts w:ascii="Times New Roman" w:hAnsi="Times New Roman" w:cs="Times New Roman"/>
          <w:sz w:val="24"/>
          <w:szCs w:val="24"/>
          <w:lang w:val="en-US"/>
        </w:rPr>
        <w:t xml:space="preserve"> were raised</w:t>
      </w:r>
      <w:r w:rsidRPr="008720F5">
        <w:rPr>
          <w:rFonts w:ascii="Times New Roman" w:hAnsi="Times New Roman" w:cs="Times New Roman"/>
          <w:sz w:val="24"/>
          <w:szCs w:val="24"/>
          <w:lang w:val="en-US"/>
        </w:rPr>
        <w:t>:</w:t>
      </w:r>
    </w:p>
    <w:p w14:paraId="6E235A2A" w14:textId="2F2811B7"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b/>
          <w:bCs/>
          <w:sz w:val="24"/>
          <w:szCs w:val="24"/>
          <w:lang w:val="en-US"/>
        </w:rPr>
        <w:t>H</w:t>
      </w:r>
      <w:r w:rsidRPr="008720F5">
        <w:rPr>
          <w:rFonts w:ascii="Times New Roman" w:hAnsi="Times New Roman" w:cs="Times New Roman"/>
          <w:b/>
          <w:bCs/>
          <w:sz w:val="24"/>
          <w:szCs w:val="24"/>
          <w:vertAlign w:val="subscript"/>
          <w:lang w:val="en-US"/>
        </w:rPr>
        <w:t>1</w:t>
      </w:r>
      <w:r w:rsidRPr="008720F5">
        <w:rPr>
          <w:rFonts w:ascii="Times New Roman" w:hAnsi="Times New Roman" w:cs="Times New Roman"/>
          <w:sz w:val="24"/>
          <w:szCs w:val="24"/>
          <w:lang w:val="en-US"/>
        </w:rPr>
        <w:t xml:space="preserve">= </w:t>
      </w:r>
      <w:r w:rsidR="00B4170D" w:rsidRPr="008720F5">
        <w:rPr>
          <w:rFonts w:ascii="Times New Roman" w:hAnsi="Times New Roman" w:cs="Times New Roman"/>
          <w:sz w:val="24"/>
          <w:szCs w:val="24"/>
          <w:lang w:val="en-US"/>
        </w:rPr>
        <w:t>P</w:t>
      </w:r>
      <w:r w:rsidRPr="008720F5">
        <w:rPr>
          <w:rFonts w:ascii="Times New Roman" w:hAnsi="Times New Roman" w:cs="Times New Roman"/>
          <w:sz w:val="24"/>
          <w:szCs w:val="24"/>
          <w:lang w:val="en-US"/>
        </w:rPr>
        <w:t xml:space="preserve">atterns of insecure and disorganized attachment are more frequent in female victims of IPV </w:t>
      </w:r>
    </w:p>
    <w:p w14:paraId="08D41E00" w14:textId="77B810B9"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b/>
          <w:bCs/>
          <w:sz w:val="24"/>
          <w:szCs w:val="24"/>
          <w:lang w:val="en-US"/>
        </w:rPr>
        <w:t>H</w:t>
      </w:r>
      <w:r w:rsidRPr="008720F5">
        <w:rPr>
          <w:rFonts w:ascii="Times New Roman" w:hAnsi="Times New Roman" w:cs="Times New Roman"/>
          <w:b/>
          <w:bCs/>
          <w:sz w:val="24"/>
          <w:szCs w:val="24"/>
          <w:vertAlign w:val="subscript"/>
          <w:lang w:val="en-US"/>
        </w:rPr>
        <w:t>2</w:t>
      </w:r>
      <w:r w:rsidRPr="008720F5">
        <w:rPr>
          <w:rFonts w:ascii="Times New Roman" w:hAnsi="Times New Roman" w:cs="Times New Roman"/>
          <w:sz w:val="24"/>
          <w:szCs w:val="24"/>
          <w:lang w:val="en-US"/>
        </w:rPr>
        <w:t>=</w:t>
      </w:r>
      <w:r w:rsidR="00B4170D" w:rsidRPr="008720F5">
        <w:rPr>
          <w:rFonts w:ascii="Times New Roman" w:hAnsi="Times New Roman" w:cs="Times New Roman"/>
          <w:sz w:val="24"/>
          <w:szCs w:val="24"/>
          <w:lang w:val="en-US"/>
        </w:rPr>
        <w:t>T</w:t>
      </w:r>
      <w:r w:rsidRPr="008720F5">
        <w:rPr>
          <w:rFonts w:ascii="Times New Roman" w:hAnsi="Times New Roman" w:cs="Times New Roman"/>
          <w:sz w:val="24"/>
          <w:szCs w:val="24"/>
          <w:lang w:val="en-US"/>
        </w:rPr>
        <w:t xml:space="preserve">here is </w:t>
      </w:r>
      <w:r w:rsidR="00DE2A52" w:rsidRPr="008720F5">
        <w:rPr>
          <w:rFonts w:ascii="Times New Roman" w:hAnsi="Times New Roman" w:cs="Times New Roman"/>
          <w:sz w:val="24"/>
          <w:szCs w:val="24"/>
          <w:lang w:val="en-US"/>
        </w:rPr>
        <w:t>a high</w:t>
      </w:r>
      <w:r w:rsidRPr="008720F5">
        <w:rPr>
          <w:rFonts w:ascii="Times New Roman" w:hAnsi="Times New Roman" w:cs="Times New Roman"/>
          <w:sz w:val="24"/>
          <w:szCs w:val="24"/>
          <w:lang w:val="en-US"/>
        </w:rPr>
        <w:t xml:space="preserve"> prevalence of childhood trauma with no difference in trauma type in the women who are subject to IPV</w:t>
      </w:r>
    </w:p>
    <w:p w14:paraId="4644BB36" w14:textId="080B7425" w:rsidR="00EF75CE" w:rsidRPr="008720F5" w:rsidRDefault="00EF75CE" w:rsidP="00EF75CE">
      <w:pPr>
        <w:spacing w:after="0"/>
        <w:jc w:val="both"/>
        <w:rPr>
          <w:rFonts w:ascii="Times New Roman" w:hAnsi="Times New Roman" w:cs="Times New Roman"/>
          <w:sz w:val="24"/>
          <w:szCs w:val="24"/>
          <w:lang w:val="en-US"/>
        </w:rPr>
      </w:pPr>
      <w:r w:rsidRPr="008720F5">
        <w:rPr>
          <w:rFonts w:ascii="Times New Roman" w:hAnsi="Times New Roman" w:cs="Times New Roman"/>
          <w:b/>
          <w:bCs/>
          <w:sz w:val="24"/>
          <w:szCs w:val="24"/>
          <w:lang w:val="en-US"/>
        </w:rPr>
        <w:t>H</w:t>
      </w:r>
      <w:r w:rsidRPr="008720F5">
        <w:rPr>
          <w:rFonts w:ascii="Times New Roman" w:hAnsi="Times New Roman" w:cs="Times New Roman"/>
          <w:b/>
          <w:bCs/>
          <w:sz w:val="24"/>
          <w:szCs w:val="24"/>
          <w:vertAlign w:val="subscript"/>
          <w:lang w:val="en-US"/>
        </w:rPr>
        <w:t>3</w:t>
      </w:r>
      <w:r w:rsidRPr="008720F5">
        <w:rPr>
          <w:rFonts w:ascii="Times New Roman" w:hAnsi="Times New Roman" w:cs="Times New Roman"/>
          <w:sz w:val="24"/>
          <w:szCs w:val="24"/>
          <w:lang w:val="en-US"/>
        </w:rPr>
        <w:t xml:space="preserve">= </w:t>
      </w:r>
      <w:r w:rsidR="00B4170D" w:rsidRPr="008720F5">
        <w:rPr>
          <w:rFonts w:ascii="Times New Roman" w:hAnsi="Times New Roman" w:cs="Times New Roman"/>
          <w:sz w:val="24"/>
          <w:szCs w:val="24"/>
          <w:lang w:val="en-US"/>
        </w:rPr>
        <w:t>There</w:t>
      </w:r>
      <w:r w:rsidRPr="008720F5">
        <w:rPr>
          <w:rFonts w:ascii="Times New Roman" w:hAnsi="Times New Roman" w:cs="Times New Roman"/>
          <w:sz w:val="24"/>
          <w:szCs w:val="24"/>
          <w:lang w:val="en-US"/>
        </w:rPr>
        <w:t xml:space="preserve"> is an overactivation of automatic and affective mentalization aspects and low self-efficacy in women with insecure attachments leading to staying in risky situations</w:t>
      </w:r>
    </w:p>
    <w:p w14:paraId="021757D0" w14:textId="77777777" w:rsidR="00F646C1" w:rsidRPr="008720F5" w:rsidRDefault="00F646C1">
      <w:pPr>
        <w:rPr>
          <w:rFonts w:ascii="Times New Roman" w:hAnsi="Times New Roman" w:cs="Times New Roman"/>
          <w:b/>
          <w:bCs/>
          <w:sz w:val="24"/>
          <w:szCs w:val="24"/>
          <w:lang w:val="en-US"/>
        </w:rPr>
      </w:pPr>
    </w:p>
    <w:p w14:paraId="5FA434BC" w14:textId="58AD0EA3" w:rsidR="00064E9F" w:rsidRDefault="00064E9F">
      <w:pPr>
        <w:rPr>
          <w:lang w:val="en-US"/>
        </w:rPr>
      </w:pPr>
      <w:r w:rsidRPr="00064E9F">
        <w:rPr>
          <w:b/>
          <w:bCs/>
          <w:i/>
          <w:iCs/>
          <w:lang w:val="en-US"/>
        </w:rPr>
        <w:t>Sample</w:t>
      </w:r>
      <w:r w:rsidRPr="00064E9F">
        <w:rPr>
          <w:lang w:val="en-US"/>
        </w:rPr>
        <w:t xml:space="preserve"> </w:t>
      </w:r>
    </w:p>
    <w:p w14:paraId="3067967A" w14:textId="61FB07BC" w:rsidR="003C57EA" w:rsidRDefault="00DF5E46" w:rsidP="000878D3">
      <w:pPr>
        <w:spacing w:after="0" w:line="360" w:lineRule="auto"/>
        <w:jc w:val="both"/>
        <w:rPr>
          <w:rFonts w:ascii="Times New Roman" w:hAnsi="Times New Roman" w:cs="Times New Roman"/>
          <w:lang w:val="en-US"/>
        </w:rPr>
      </w:pPr>
      <w:r w:rsidRPr="000878D3">
        <w:rPr>
          <w:rFonts w:ascii="Times New Roman" w:hAnsi="Times New Roman" w:cs="Times New Roman"/>
          <w:lang w:val="en-US"/>
        </w:rPr>
        <w:t xml:space="preserve">Initially, I mapped anti-violence centers in Albania through the “Albanian National Center of the Treatment of Domestic </w:t>
      </w:r>
      <w:r w:rsidR="00DE2A52" w:rsidRPr="000878D3">
        <w:rPr>
          <w:rFonts w:ascii="Times New Roman" w:hAnsi="Times New Roman" w:cs="Times New Roman"/>
          <w:lang w:val="en-US"/>
        </w:rPr>
        <w:t>Violence” (</w:t>
      </w:r>
      <w:r w:rsidR="00A768D2" w:rsidRPr="000878D3">
        <w:rPr>
          <w:rFonts w:ascii="Times New Roman" w:hAnsi="Times New Roman" w:cs="Times New Roman"/>
          <w:lang w:val="en-US"/>
        </w:rPr>
        <w:t>NCTDV)</w:t>
      </w:r>
      <w:r w:rsidRPr="000878D3">
        <w:rPr>
          <w:rFonts w:ascii="Times New Roman" w:hAnsi="Times New Roman" w:cs="Times New Roman"/>
          <w:lang w:val="en-US"/>
        </w:rPr>
        <w:t xml:space="preserve"> to select branches with high violence reports like Tirana, Durres, Vlore, and Elbasan. Involving the four Albanian regions, I contacted </w:t>
      </w:r>
      <w:r w:rsidR="000926C6">
        <w:rPr>
          <w:rFonts w:ascii="Times New Roman" w:hAnsi="Times New Roman" w:cs="Times New Roman"/>
          <w:lang w:val="en-US"/>
        </w:rPr>
        <w:t xml:space="preserve">them </w:t>
      </w:r>
      <w:r w:rsidRPr="000878D3">
        <w:rPr>
          <w:rFonts w:ascii="Times New Roman" w:hAnsi="Times New Roman" w:cs="Times New Roman"/>
          <w:lang w:val="en-US"/>
        </w:rPr>
        <w:t xml:space="preserve">through e-mails and later by </w:t>
      </w:r>
      <w:r w:rsidR="00DE2A52" w:rsidRPr="000878D3">
        <w:rPr>
          <w:rFonts w:ascii="Times New Roman" w:hAnsi="Times New Roman" w:cs="Times New Roman"/>
          <w:lang w:val="en-US"/>
        </w:rPr>
        <w:t>telephone, 4</w:t>
      </w:r>
      <w:r w:rsidRPr="000878D3">
        <w:rPr>
          <w:rFonts w:ascii="Times New Roman" w:hAnsi="Times New Roman" w:cs="Times New Roman"/>
          <w:lang w:val="en-US"/>
        </w:rPr>
        <w:t xml:space="preserve"> centers by sending project details and visiting to explain research phases, tools, and training using SWAP-200.</w:t>
      </w:r>
      <w:r w:rsidR="00A768D2" w:rsidRPr="000878D3">
        <w:rPr>
          <w:rFonts w:ascii="Times New Roman" w:hAnsi="Times New Roman" w:cs="Times New Roman"/>
        </w:rPr>
        <w:t xml:space="preserve"> </w:t>
      </w:r>
      <w:r w:rsidR="00A768D2" w:rsidRPr="000878D3">
        <w:rPr>
          <w:rFonts w:ascii="Times New Roman" w:hAnsi="Times New Roman" w:cs="Times New Roman"/>
          <w:lang w:val="en-US"/>
        </w:rPr>
        <w:t xml:space="preserve">The sample of thirty women from four NCTDV branches was selected based on </w:t>
      </w:r>
      <w:r w:rsidR="000926C6">
        <w:rPr>
          <w:rFonts w:ascii="Times New Roman" w:hAnsi="Times New Roman" w:cs="Times New Roman"/>
          <w:lang w:val="en-US"/>
        </w:rPr>
        <w:t xml:space="preserve">the </w:t>
      </w:r>
      <w:r w:rsidR="00A768D2" w:rsidRPr="000878D3">
        <w:rPr>
          <w:rFonts w:ascii="Times New Roman" w:hAnsi="Times New Roman" w:cs="Times New Roman"/>
          <w:lang w:val="en-US"/>
        </w:rPr>
        <w:t>criteria: availability of centers, women's willingness to voluntary participate in the research (informed consent), victim status of violence by one or more partners, limited therapy sessions for</w:t>
      </w:r>
      <w:r w:rsidR="000926C6">
        <w:rPr>
          <w:rFonts w:ascii="Times New Roman" w:hAnsi="Times New Roman" w:cs="Times New Roman"/>
          <w:lang w:val="en-US"/>
        </w:rPr>
        <w:t xml:space="preserve"> </w:t>
      </w:r>
      <w:r w:rsidR="00A768D2" w:rsidRPr="000878D3">
        <w:rPr>
          <w:rFonts w:ascii="Times New Roman" w:hAnsi="Times New Roman" w:cs="Times New Roman"/>
          <w:lang w:val="en-US"/>
        </w:rPr>
        <w:t>at least three times and a maximum of twelve, single data source per woman and the general inclusion criteria (≥18 years, with no psychotic disorder and no psychotic medications). The sample mean age (M= 40 years old; Sd = 12).</w:t>
      </w:r>
      <w:r w:rsidR="000878D3" w:rsidRPr="000878D3">
        <w:rPr>
          <w:rFonts w:ascii="Times New Roman" w:hAnsi="Times New Roman" w:cs="Times New Roman"/>
          <w:lang w:val="en-US"/>
        </w:rPr>
        <w:t xml:space="preserve"> Regarding the composition of the sample, it is composed</w:t>
      </w:r>
      <w:r w:rsidR="000926C6">
        <w:rPr>
          <w:rFonts w:ascii="Times New Roman" w:hAnsi="Times New Roman" w:cs="Times New Roman"/>
          <w:lang w:val="en-US"/>
        </w:rPr>
        <w:t xml:space="preserve"> </w:t>
      </w:r>
      <w:r w:rsidR="000878D3" w:rsidRPr="000878D3">
        <w:rPr>
          <w:rFonts w:ascii="Times New Roman" w:hAnsi="Times New Roman" w:cs="Times New Roman"/>
          <w:lang w:val="en-US"/>
        </w:rPr>
        <w:t>as follows: 94% are Albanians, while 6% are of foreign origin. The educational background of the current sample can be categorized as: 10% have completed only elementary education, 30% have attended junior school, 40% have completed secondary high school, and 20% have obtained a university degree. Regarding the socio-economic standing: 5% of the participants can be classified as belonging to the impoverished class, 31% to the working class, 50% to the middle class, and 14% to the high-middle class. In terms of marital status, 20% of the sample is currently married, 5% are in their second marriage, 4% are engaged in civil cohabitation, 45% are separated, 11% are divorced, and 15% are single. The average duration of enduring a violent relationship among the women in the sample exceeds 36 months. The provided table (Table</w:t>
      </w:r>
      <w:r w:rsidR="008720F5">
        <w:rPr>
          <w:rFonts w:ascii="Times New Roman" w:hAnsi="Times New Roman" w:cs="Times New Roman"/>
          <w:lang w:val="en-US"/>
        </w:rPr>
        <w:t xml:space="preserve"> 7</w:t>
      </w:r>
      <w:r w:rsidR="000878D3" w:rsidRPr="000878D3">
        <w:rPr>
          <w:rFonts w:ascii="Times New Roman" w:hAnsi="Times New Roman" w:cs="Times New Roman"/>
          <w:lang w:val="en-US"/>
        </w:rPr>
        <w:t>) presents a summary of the primary demographic data collected through the Clinical Data Form. Furthermore, the table presents the mean values of the Global Severity Index (GSI) which fall within the standard range (GSI=51%), while scores for suicidal ideation falling between 40&lt;=T&gt;=49 indicate a moderate level of risk.</w:t>
      </w:r>
    </w:p>
    <w:p w14:paraId="4B878822" w14:textId="77777777" w:rsidR="000878D3" w:rsidRPr="000878D3" w:rsidRDefault="000878D3" w:rsidP="000878D3">
      <w:pPr>
        <w:spacing w:after="0" w:line="360" w:lineRule="auto"/>
        <w:jc w:val="both"/>
        <w:rPr>
          <w:rFonts w:ascii="Times New Roman" w:hAnsi="Times New Roman" w:cs="Times New Roman"/>
          <w:lang w:val="en-US"/>
        </w:rPr>
      </w:pPr>
    </w:p>
    <w:p w14:paraId="73DE8C20" w14:textId="3A4BE249" w:rsidR="003C57EA" w:rsidRPr="000878D3" w:rsidRDefault="003C57EA">
      <w:pPr>
        <w:rPr>
          <w:rFonts w:ascii="Times New Roman" w:hAnsi="Times New Roman" w:cs="Times New Roman"/>
          <w:sz w:val="20"/>
          <w:szCs w:val="20"/>
        </w:rPr>
      </w:pPr>
      <w:r w:rsidRPr="000878D3">
        <w:rPr>
          <w:rFonts w:ascii="Times New Roman" w:hAnsi="Times New Roman" w:cs="Times New Roman"/>
          <w:sz w:val="20"/>
          <w:szCs w:val="20"/>
        </w:rPr>
        <w:t>Table</w:t>
      </w:r>
      <w:r w:rsidR="00B820EB">
        <w:rPr>
          <w:rFonts w:ascii="Times New Roman" w:hAnsi="Times New Roman" w:cs="Times New Roman"/>
          <w:sz w:val="20"/>
          <w:szCs w:val="20"/>
        </w:rPr>
        <w:t xml:space="preserve"> 7. </w:t>
      </w:r>
      <w:r w:rsidRPr="000878D3">
        <w:rPr>
          <w:rFonts w:ascii="Times New Roman" w:hAnsi="Times New Roman" w:cs="Times New Roman"/>
          <w:sz w:val="20"/>
          <w:szCs w:val="20"/>
        </w:rPr>
        <w:t>Summary of socio-demographic data of the sample</w:t>
      </w:r>
    </w:p>
    <w:tbl>
      <w:tblPr>
        <w:tblStyle w:val="TableGrid"/>
        <w:tblW w:w="0" w:type="auto"/>
        <w:tblLook w:val="04A0" w:firstRow="1" w:lastRow="0" w:firstColumn="1" w:lastColumn="0" w:noHBand="0" w:noVBand="1"/>
      </w:tblPr>
      <w:tblGrid>
        <w:gridCol w:w="1557"/>
        <w:gridCol w:w="1713"/>
        <w:gridCol w:w="1382"/>
        <w:gridCol w:w="1391"/>
        <w:gridCol w:w="1369"/>
        <w:gridCol w:w="1468"/>
        <w:gridCol w:w="748"/>
      </w:tblGrid>
      <w:tr w:rsidR="000A245A" w:rsidRPr="00DD4B25" w14:paraId="2D754E94" w14:textId="77777777" w:rsidTr="000A245A">
        <w:tc>
          <w:tcPr>
            <w:tcW w:w="1557" w:type="dxa"/>
          </w:tcPr>
          <w:p w14:paraId="3D36DD95" w14:textId="0C34D06E" w:rsidR="00DD4B25" w:rsidRPr="00DD4B25" w:rsidRDefault="00DD4B25" w:rsidP="00E25006">
            <w:pPr>
              <w:rPr>
                <w:rFonts w:ascii="Times New Roman" w:hAnsi="Times New Roman" w:cs="Times New Roman"/>
                <w:sz w:val="20"/>
                <w:szCs w:val="20"/>
                <w:lang w:val="en-US"/>
              </w:rPr>
            </w:pPr>
            <w:r w:rsidRPr="00DD4B25">
              <w:rPr>
                <w:rFonts w:ascii="Times New Roman" w:hAnsi="Times New Roman" w:cs="Times New Roman"/>
                <w:sz w:val="20"/>
                <w:szCs w:val="20"/>
              </w:rPr>
              <w:t xml:space="preserve">The average age of </w:t>
            </w:r>
            <w:r w:rsidR="00B820EB">
              <w:rPr>
                <w:rFonts w:ascii="Times New Roman" w:hAnsi="Times New Roman" w:cs="Times New Roman"/>
                <w:sz w:val="20"/>
                <w:szCs w:val="20"/>
              </w:rPr>
              <w:t xml:space="preserve">the </w:t>
            </w:r>
            <w:r w:rsidRPr="00DD4B25">
              <w:rPr>
                <w:rFonts w:ascii="Times New Roman" w:hAnsi="Times New Roman" w:cs="Times New Roman"/>
                <w:sz w:val="20"/>
                <w:szCs w:val="20"/>
              </w:rPr>
              <w:t>IPV sample</w:t>
            </w:r>
          </w:p>
        </w:tc>
        <w:tc>
          <w:tcPr>
            <w:tcW w:w="1713" w:type="dxa"/>
          </w:tcPr>
          <w:p w14:paraId="7CDF73E4" w14:textId="77777777" w:rsidR="00DD4B25" w:rsidRPr="00DD4B25" w:rsidRDefault="00DD4B25" w:rsidP="00E25006">
            <w:pPr>
              <w:rPr>
                <w:rFonts w:ascii="Times New Roman" w:hAnsi="Times New Roman" w:cs="Times New Roman"/>
                <w:sz w:val="20"/>
                <w:szCs w:val="20"/>
                <w:lang w:val="en-US"/>
              </w:rPr>
            </w:pPr>
            <w:r w:rsidRPr="00DD4B25">
              <w:rPr>
                <w:rFonts w:ascii="Times New Roman" w:hAnsi="Times New Roman" w:cs="Times New Roman"/>
                <w:sz w:val="20"/>
                <w:szCs w:val="20"/>
              </w:rPr>
              <w:t>40 years old</w:t>
            </w:r>
          </w:p>
        </w:tc>
        <w:tc>
          <w:tcPr>
            <w:tcW w:w="1382" w:type="dxa"/>
          </w:tcPr>
          <w:p w14:paraId="236DFF12" w14:textId="77777777" w:rsidR="00DD4B25" w:rsidRPr="00DD4B25" w:rsidRDefault="00DD4B25" w:rsidP="00E25006">
            <w:pPr>
              <w:rPr>
                <w:rFonts w:ascii="Times New Roman" w:hAnsi="Times New Roman" w:cs="Times New Roman"/>
                <w:sz w:val="20"/>
                <w:szCs w:val="20"/>
                <w:lang w:val="en-US"/>
              </w:rPr>
            </w:pPr>
          </w:p>
        </w:tc>
        <w:tc>
          <w:tcPr>
            <w:tcW w:w="1391" w:type="dxa"/>
          </w:tcPr>
          <w:p w14:paraId="4DDF1826" w14:textId="77777777" w:rsidR="00DD4B25" w:rsidRPr="00DD4B25" w:rsidRDefault="00DD4B25" w:rsidP="00E25006">
            <w:pPr>
              <w:rPr>
                <w:rFonts w:ascii="Times New Roman" w:hAnsi="Times New Roman" w:cs="Times New Roman"/>
                <w:sz w:val="20"/>
                <w:szCs w:val="20"/>
                <w:lang w:val="en-US"/>
              </w:rPr>
            </w:pPr>
          </w:p>
        </w:tc>
        <w:tc>
          <w:tcPr>
            <w:tcW w:w="1369" w:type="dxa"/>
          </w:tcPr>
          <w:p w14:paraId="02AE5601" w14:textId="77777777" w:rsidR="00DD4B25" w:rsidRPr="00DD4B25" w:rsidRDefault="00DD4B25" w:rsidP="00E25006">
            <w:pPr>
              <w:rPr>
                <w:rFonts w:ascii="Times New Roman" w:hAnsi="Times New Roman" w:cs="Times New Roman"/>
                <w:sz w:val="20"/>
                <w:szCs w:val="20"/>
                <w:lang w:val="en-US"/>
              </w:rPr>
            </w:pPr>
          </w:p>
        </w:tc>
        <w:tc>
          <w:tcPr>
            <w:tcW w:w="1468" w:type="dxa"/>
          </w:tcPr>
          <w:p w14:paraId="752622ED" w14:textId="77777777" w:rsidR="00DD4B25" w:rsidRPr="00DD4B25" w:rsidRDefault="00DD4B25" w:rsidP="00E25006">
            <w:pPr>
              <w:rPr>
                <w:rFonts w:ascii="Times New Roman" w:hAnsi="Times New Roman" w:cs="Times New Roman"/>
                <w:sz w:val="20"/>
                <w:szCs w:val="20"/>
                <w:lang w:val="en-US"/>
              </w:rPr>
            </w:pPr>
          </w:p>
        </w:tc>
        <w:tc>
          <w:tcPr>
            <w:tcW w:w="748" w:type="dxa"/>
          </w:tcPr>
          <w:p w14:paraId="5316D1A3" w14:textId="77777777" w:rsidR="00DD4B25" w:rsidRPr="00DD4B25" w:rsidRDefault="00DD4B25" w:rsidP="00E25006">
            <w:pPr>
              <w:rPr>
                <w:rFonts w:ascii="Times New Roman" w:hAnsi="Times New Roman" w:cs="Times New Roman"/>
                <w:sz w:val="20"/>
                <w:szCs w:val="20"/>
                <w:lang w:val="en-US"/>
              </w:rPr>
            </w:pPr>
          </w:p>
        </w:tc>
      </w:tr>
      <w:tr w:rsidR="000A245A" w:rsidRPr="00DD4B25" w14:paraId="5B8096E6" w14:textId="77777777" w:rsidTr="000A245A">
        <w:tc>
          <w:tcPr>
            <w:tcW w:w="1557" w:type="dxa"/>
          </w:tcPr>
          <w:p w14:paraId="085460FB" w14:textId="77777777" w:rsidR="00DD4B25" w:rsidRPr="00DD4B25" w:rsidRDefault="00DD4B25" w:rsidP="00E25006">
            <w:pPr>
              <w:rPr>
                <w:rFonts w:ascii="Times New Roman" w:hAnsi="Times New Roman" w:cs="Times New Roman"/>
                <w:sz w:val="20"/>
                <w:szCs w:val="20"/>
              </w:rPr>
            </w:pPr>
            <w:r w:rsidRPr="00DD4B25">
              <w:rPr>
                <w:rFonts w:ascii="Times New Roman" w:hAnsi="Times New Roman" w:cs="Times New Roman"/>
                <w:sz w:val="20"/>
                <w:szCs w:val="20"/>
              </w:rPr>
              <w:t>Nationalities</w:t>
            </w:r>
          </w:p>
          <w:p w14:paraId="28192F2A" w14:textId="77777777" w:rsidR="00DD4B25" w:rsidRPr="00DD4B25" w:rsidRDefault="00DD4B25" w:rsidP="00E25006">
            <w:pPr>
              <w:rPr>
                <w:rFonts w:ascii="Times New Roman" w:hAnsi="Times New Roman" w:cs="Times New Roman"/>
                <w:sz w:val="20"/>
                <w:szCs w:val="20"/>
                <w:lang w:val="en-US"/>
              </w:rPr>
            </w:pPr>
          </w:p>
        </w:tc>
        <w:tc>
          <w:tcPr>
            <w:tcW w:w="1713" w:type="dxa"/>
          </w:tcPr>
          <w:p w14:paraId="693317A7"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Albanian</w:t>
            </w:r>
          </w:p>
          <w:p w14:paraId="681F40C0"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 xml:space="preserve">94%                                     </w:t>
            </w:r>
          </w:p>
          <w:p w14:paraId="1203F2D9" w14:textId="77777777" w:rsidR="00DD4B25" w:rsidRPr="00DD4B25" w:rsidRDefault="00DD4B25" w:rsidP="00E25006">
            <w:pPr>
              <w:rPr>
                <w:rFonts w:ascii="Times New Roman" w:hAnsi="Times New Roman" w:cs="Times New Roman"/>
                <w:sz w:val="20"/>
                <w:szCs w:val="20"/>
                <w:lang w:val="en-US"/>
              </w:rPr>
            </w:pPr>
          </w:p>
        </w:tc>
        <w:tc>
          <w:tcPr>
            <w:tcW w:w="1382" w:type="dxa"/>
          </w:tcPr>
          <w:p w14:paraId="3C88344B" w14:textId="77777777" w:rsidR="00DD4B25" w:rsidRPr="00DD4B25" w:rsidRDefault="00DD4B25" w:rsidP="00E25006">
            <w:pPr>
              <w:rPr>
                <w:rFonts w:ascii="Times New Roman" w:hAnsi="Times New Roman" w:cs="Times New Roman"/>
                <w:sz w:val="20"/>
                <w:szCs w:val="20"/>
              </w:rPr>
            </w:pPr>
            <w:r w:rsidRPr="00DD4B25">
              <w:rPr>
                <w:rFonts w:ascii="Times New Roman" w:hAnsi="Times New Roman" w:cs="Times New Roman"/>
                <w:sz w:val="20"/>
                <w:szCs w:val="20"/>
              </w:rPr>
              <w:t>Others</w:t>
            </w:r>
          </w:p>
          <w:p w14:paraId="504AE355"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6%</w:t>
            </w:r>
          </w:p>
        </w:tc>
        <w:tc>
          <w:tcPr>
            <w:tcW w:w="1391" w:type="dxa"/>
          </w:tcPr>
          <w:p w14:paraId="640015A9" w14:textId="77777777" w:rsidR="00DD4B25" w:rsidRPr="00DD4B25" w:rsidRDefault="00DD4B25" w:rsidP="00E25006">
            <w:pPr>
              <w:rPr>
                <w:rFonts w:ascii="Times New Roman" w:hAnsi="Times New Roman" w:cs="Times New Roman"/>
                <w:sz w:val="20"/>
                <w:szCs w:val="20"/>
                <w:lang w:val="en-US"/>
              </w:rPr>
            </w:pPr>
          </w:p>
        </w:tc>
        <w:tc>
          <w:tcPr>
            <w:tcW w:w="1369" w:type="dxa"/>
          </w:tcPr>
          <w:p w14:paraId="724BCFCE" w14:textId="77777777" w:rsidR="00DD4B25" w:rsidRPr="00DD4B25" w:rsidRDefault="00DD4B25" w:rsidP="00E25006">
            <w:pPr>
              <w:rPr>
                <w:rFonts w:ascii="Times New Roman" w:hAnsi="Times New Roman" w:cs="Times New Roman"/>
                <w:sz w:val="20"/>
                <w:szCs w:val="20"/>
                <w:lang w:val="en-US"/>
              </w:rPr>
            </w:pPr>
          </w:p>
        </w:tc>
        <w:tc>
          <w:tcPr>
            <w:tcW w:w="1468" w:type="dxa"/>
          </w:tcPr>
          <w:p w14:paraId="617002C0" w14:textId="77777777" w:rsidR="00DD4B25" w:rsidRPr="00DD4B25" w:rsidRDefault="00DD4B25" w:rsidP="00E25006">
            <w:pPr>
              <w:rPr>
                <w:rFonts w:ascii="Times New Roman" w:hAnsi="Times New Roman" w:cs="Times New Roman"/>
                <w:sz w:val="20"/>
                <w:szCs w:val="20"/>
                <w:lang w:val="en-US"/>
              </w:rPr>
            </w:pPr>
          </w:p>
        </w:tc>
        <w:tc>
          <w:tcPr>
            <w:tcW w:w="748" w:type="dxa"/>
          </w:tcPr>
          <w:p w14:paraId="212675C4" w14:textId="77777777" w:rsidR="00DD4B25" w:rsidRPr="00DD4B25" w:rsidRDefault="00DD4B25" w:rsidP="00E25006">
            <w:pPr>
              <w:rPr>
                <w:rFonts w:ascii="Times New Roman" w:hAnsi="Times New Roman" w:cs="Times New Roman"/>
                <w:sz w:val="20"/>
                <w:szCs w:val="20"/>
                <w:lang w:val="en-US"/>
              </w:rPr>
            </w:pPr>
          </w:p>
        </w:tc>
      </w:tr>
      <w:tr w:rsidR="000A245A" w:rsidRPr="00DD4B25" w14:paraId="0B17081B" w14:textId="77777777" w:rsidTr="000A245A">
        <w:tc>
          <w:tcPr>
            <w:tcW w:w="1557" w:type="dxa"/>
          </w:tcPr>
          <w:p w14:paraId="6F29E652"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Social-Economic status</w:t>
            </w:r>
          </w:p>
          <w:p w14:paraId="3575BFCA" w14:textId="77777777" w:rsidR="00DD4B25" w:rsidRPr="000A245A" w:rsidRDefault="00DD4B25" w:rsidP="000A245A">
            <w:pPr>
              <w:jc w:val="center"/>
              <w:rPr>
                <w:rFonts w:ascii="Times New Roman" w:hAnsi="Times New Roman" w:cs="Times New Roman"/>
                <w:i/>
                <w:iCs/>
                <w:sz w:val="20"/>
                <w:szCs w:val="20"/>
                <w:lang w:val="en-US"/>
              </w:rPr>
            </w:pPr>
          </w:p>
        </w:tc>
        <w:tc>
          <w:tcPr>
            <w:tcW w:w="1713" w:type="dxa"/>
          </w:tcPr>
          <w:p w14:paraId="014B86B9"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rPr>
              <w:t>Poor</w:t>
            </w:r>
          </w:p>
        </w:tc>
        <w:tc>
          <w:tcPr>
            <w:tcW w:w="1382" w:type="dxa"/>
          </w:tcPr>
          <w:p w14:paraId="497C0E9E"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rPr>
              <w:t>Workers</w:t>
            </w:r>
          </w:p>
        </w:tc>
        <w:tc>
          <w:tcPr>
            <w:tcW w:w="1391" w:type="dxa"/>
          </w:tcPr>
          <w:p w14:paraId="3749B212"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rPr>
              <w:t>Middle class</w:t>
            </w:r>
          </w:p>
        </w:tc>
        <w:tc>
          <w:tcPr>
            <w:tcW w:w="1369" w:type="dxa"/>
          </w:tcPr>
          <w:p w14:paraId="21412658"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rPr>
              <w:t>High-Middle class</w:t>
            </w:r>
          </w:p>
        </w:tc>
        <w:tc>
          <w:tcPr>
            <w:tcW w:w="1468" w:type="dxa"/>
          </w:tcPr>
          <w:p w14:paraId="5B68D496"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High Class</w:t>
            </w:r>
          </w:p>
        </w:tc>
        <w:tc>
          <w:tcPr>
            <w:tcW w:w="748" w:type="dxa"/>
          </w:tcPr>
          <w:p w14:paraId="5FB0576E" w14:textId="77777777" w:rsidR="00DD4B25" w:rsidRPr="00DD4B25" w:rsidRDefault="00DD4B25" w:rsidP="00E25006">
            <w:pPr>
              <w:rPr>
                <w:rFonts w:ascii="Times New Roman" w:hAnsi="Times New Roman" w:cs="Times New Roman"/>
                <w:sz w:val="20"/>
                <w:szCs w:val="20"/>
              </w:rPr>
            </w:pPr>
          </w:p>
        </w:tc>
      </w:tr>
      <w:tr w:rsidR="000A245A" w:rsidRPr="00DD4B25" w14:paraId="65C55879" w14:textId="77777777" w:rsidTr="000A245A">
        <w:tc>
          <w:tcPr>
            <w:tcW w:w="1557" w:type="dxa"/>
          </w:tcPr>
          <w:p w14:paraId="0D9EB1ED" w14:textId="08D0DD5A" w:rsidR="00DD4B25" w:rsidRPr="00DD4B25" w:rsidRDefault="000A245A" w:rsidP="00E25006">
            <w:pPr>
              <w:rPr>
                <w:rFonts w:ascii="Times New Roman" w:hAnsi="Times New Roman" w:cs="Times New Roman"/>
                <w:sz w:val="20"/>
                <w:szCs w:val="20"/>
                <w:lang w:val="en-US"/>
              </w:rPr>
            </w:pPr>
            <w:r>
              <w:rPr>
                <w:rFonts w:ascii="Times New Roman" w:hAnsi="Times New Roman" w:cs="Times New Roman"/>
                <w:sz w:val="20"/>
                <w:szCs w:val="20"/>
                <w:lang w:val="en-US"/>
              </w:rPr>
              <w:t>Percentage</w:t>
            </w:r>
          </w:p>
        </w:tc>
        <w:tc>
          <w:tcPr>
            <w:tcW w:w="1713" w:type="dxa"/>
          </w:tcPr>
          <w:p w14:paraId="1C1C9AD4"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5%</w:t>
            </w:r>
          </w:p>
        </w:tc>
        <w:tc>
          <w:tcPr>
            <w:tcW w:w="1382" w:type="dxa"/>
          </w:tcPr>
          <w:p w14:paraId="106C86AB"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31%</w:t>
            </w:r>
          </w:p>
        </w:tc>
        <w:tc>
          <w:tcPr>
            <w:tcW w:w="1391" w:type="dxa"/>
          </w:tcPr>
          <w:p w14:paraId="2E7704D2"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50%</w:t>
            </w:r>
          </w:p>
        </w:tc>
        <w:tc>
          <w:tcPr>
            <w:tcW w:w="1369" w:type="dxa"/>
          </w:tcPr>
          <w:p w14:paraId="2700B6B2" w14:textId="2B2A7F22"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1</w:t>
            </w:r>
            <w:r w:rsidR="000878D3">
              <w:rPr>
                <w:rFonts w:ascii="Times New Roman" w:hAnsi="Times New Roman" w:cs="Times New Roman"/>
                <w:sz w:val="20"/>
                <w:szCs w:val="20"/>
                <w:lang w:val="en-US"/>
              </w:rPr>
              <w:t>4</w:t>
            </w:r>
            <w:r w:rsidRPr="00DD4B25">
              <w:rPr>
                <w:rFonts w:ascii="Times New Roman" w:hAnsi="Times New Roman" w:cs="Times New Roman"/>
                <w:sz w:val="20"/>
                <w:szCs w:val="20"/>
                <w:lang w:val="en-US"/>
              </w:rPr>
              <w:t>%</w:t>
            </w:r>
          </w:p>
        </w:tc>
        <w:tc>
          <w:tcPr>
            <w:tcW w:w="1468" w:type="dxa"/>
          </w:tcPr>
          <w:p w14:paraId="616D8C4D" w14:textId="48319306" w:rsidR="00DD4B25" w:rsidRPr="00A768D2" w:rsidRDefault="00DD4B25" w:rsidP="00A768D2">
            <w:pPr>
              <w:ind w:left="360"/>
              <w:rPr>
                <w:rFonts w:ascii="Times New Roman" w:hAnsi="Times New Roman" w:cs="Times New Roman"/>
                <w:sz w:val="20"/>
                <w:szCs w:val="20"/>
                <w:lang w:val="en-US"/>
              </w:rPr>
            </w:pPr>
          </w:p>
        </w:tc>
        <w:tc>
          <w:tcPr>
            <w:tcW w:w="748" w:type="dxa"/>
          </w:tcPr>
          <w:p w14:paraId="42AC444F"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p>
        </w:tc>
      </w:tr>
      <w:tr w:rsidR="000A245A" w:rsidRPr="00DD4B25" w14:paraId="6BDF2B4F" w14:textId="77777777" w:rsidTr="000A245A">
        <w:tc>
          <w:tcPr>
            <w:tcW w:w="1557" w:type="dxa"/>
          </w:tcPr>
          <w:p w14:paraId="5EE008A0"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Marital status</w:t>
            </w:r>
          </w:p>
          <w:p w14:paraId="53B7C6D4" w14:textId="77777777" w:rsidR="00DD4B25" w:rsidRPr="000A245A" w:rsidRDefault="00DD4B25" w:rsidP="000A245A">
            <w:pPr>
              <w:jc w:val="center"/>
              <w:rPr>
                <w:rFonts w:ascii="Times New Roman" w:hAnsi="Times New Roman" w:cs="Times New Roman"/>
                <w:i/>
                <w:iCs/>
                <w:sz w:val="20"/>
                <w:szCs w:val="20"/>
                <w:lang w:val="en-US"/>
              </w:rPr>
            </w:pPr>
          </w:p>
        </w:tc>
        <w:tc>
          <w:tcPr>
            <w:tcW w:w="1713" w:type="dxa"/>
          </w:tcPr>
          <w:p w14:paraId="4C5391A6"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Married (first marriage)</w:t>
            </w:r>
          </w:p>
          <w:p w14:paraId="3D0776F4" w14:textId="77777777" w:rsidR="00DD4B25" w:rsidRPr="000A245A" w:rsidRDefault="00DD4B25" w:rsidP="000A245A">
            <w:pPr>
              <w:jc w:val="center"/>
              <w:rPr>
                <w:rFonts w:ascii="Times New Roman" w:hAnsi="Times New Roman" w:cs="Times New Roman"/>
                <w:i/>
                <w:iCs/>
                <w:sz w:val="20"/>
                <w:szCs w:val="20"/>
                <w:lang w:val="en-US"/>
              </w:rPr>
            </w:pPr>
          </w:p>
        </w:tc>
        <w:tc>
          <w:tcPr>
            <w:tcW w:w="1382" w:type="dxa"/>
          </w:tcPr>
          <w:p w14:paraId="626B4CD3"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Remarried</w:t>
            </w:r>
          </w:p>
          <w:p w14:paraId="496F20DB" w14:textId="77777777" w:rsidR="00DD4B25" w:rsidRPr="000A245A" w:rsidRDefault="00DD4B25" w:rsidP="000A245A">
            <w:pPr>
              <w:jc w:val="center"/>
              <w:rPr>
                <w:rFonts w:ascii="Times New Roman" w:hAnsi="Times New Roman" w:cs="Times New Roman"/>
                <w:i/>
                <w:iCs/>
                <w:sz w:val="20"/>
                <w:szCs w:val="20"/>
                <w:lang w:val="en-US"/>
              </w:rPr>
            </w:pPr>
          </w:p>
        </w:tc>
        <w:tc>
          <w:tcPr>
            <w:tcW w:w="1391" w:type="dxa"/>
          </w:tcPr>
          <w:p w14:paraId="474C421B"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Civil cohabitation</w:t>
            </w:r>
          </w:p>
          <w:p w14:paraId="5390E9C3" w14:textId="77777777" w:rsidR="00DD4B25" w:rsidRPr="000A245A" w:rsidRDefault="00DD4B25" w:rsidP="000A245A">
            <w:pPr>
              <w:jc w:val="center"/>
              <w:rPr>
                <w:rFonts w:ascii="Times New Roman" w:hAnsi="Times New Roman" w:cs="Times New Roman"/>
                <w:i/>
                <w:iCs/>
                <w:sz w:val="20"/>
                <w:szCs w:val="20"/>
                <w:lang w:val="en-US"/>
              </w:rPr>
            </w:pPr>
          </w:p>
        </w:tc>
        <w:tc>
          <w:tcPr>
            <w:tcW w:w="1369" w:type="dxa"/>
          </w:tcPr>
          <w:p w14:paraId="7964C384"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Divorced</w:t>
            </w:r>
          </w:p>
          <w:p w14:paraId="29AD8B73" w14:textId="77777777" w:rsidR="00DD4B25" w:rsidRPr="000A245A" w:rsidRDefault="00DD4B25" w:rsidP="000A245A">
            <w:pPr>
              <w:jc w:val="center"/>
              <w:rPr>
                <w:rFonts w:ascii="Times New Roman" w:hAnsi="Times New Roman" w:cs="Times New Roman"/>
                <w:i/>
                <w:iCs/>
                <w:sz w:val="20"/>
                <w:szCs w:val="20"/>
                <w:lang w:val="en-US"/>
              </w:rPr>
            </w:pPr>
          </w:p>
        </w:tc>
        <w:tc>
          <w:tcPr>
            <w:tcW w:w="1468" w:type="dxa"/>
          </w:tcPr>
          <w:p w14:paraId="01CB9538"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Separated</w:t>
            </w:r>
          </w:p>
          <w:p w14:paraId="7A284208" w14:textId="77777777" w:rsidR="00DD4B25" w:rsidRPr="000A245A" w:rsidRDefault="00DD4B25" w:rsidP="000A245A">
            <w:pPr>
              <w:jc w:val="center"/>
              <w:rPr>
                <w:rFonts w:ascii="Times New Roman" w:hAnsi="Times New Roman" w:cs="Times New Roman"/>
                <w:i/>
                <w:iCs/>
                <w:sz w:val="20"/>
                <w:szCs w:val="20"/>
                <w:lang w:val="en-US"/>
              </w:rPr>
            </w:pPr>
          </w:p>
        </w:tc>
        <w:tc>
          <w:tcPr>
            <w:tcW w:w="748" w:type="dxa"/>
          </w:tcPr>
          <w:p w14:paraId="757A320E"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Single</w:t>
            </w:r>
          </w:p>
        </w:tc>
      </w:tr>
      <w:tr w:rsidR="000A245A" w:rsidRPr="00DD4B25" w14:paraId="1B5FF6A5" w14:textId="77777777" w:rsidTr="000A245A">
        <w:tc>
          <w:tcPr>
            <w:tcW w:w="1557" w:type="dxa"/>
          </w:tcPr>
          <w:p w14:paraId="6B8D6903" w14:textId="79CBB14B" w:rsidR="00DD4B25" w:rsidRPr="00DD4B25" w:rsidRDefault="000A245A" w:rsidP="00E25006">
            <w:pPr>
              <w:rPr>
                <w:rFonts w:ascii="Times New Roman" w:hAnsi="Times New Roman" w:cs="Times New Roman"/>
                <w:sz w:val="20"/>
                <w:szCs w:val="20"/>
                <w:lang w:val="en-US"/>
              </w:rPr>
            </w:pPr>
            <w:r>
              <w:rPr>
                <w:rFonts w:ascii="Times New Roman" w:hAnsi="Times New Roman" w:cs="Times New Roman"/>
                <w:sz w:val="20"/>
                <w:szCs w:val="20"/>
                <w:lang w:val="en-US"/>
              </w:rPr>
              <w:t>Percentage</w:t>
            </w:r>
          </w:p>
        </w:tc>
        <w:tc>
          <w:tcPr>
            <w:tcW w:w="1713" w:type="dxa"/>
          </w:tcPr>
          <w:p w14:paraId="2B0286E9"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 xml:space="preserve">20% </w:t>
            </w:r>
          </w:p>
        </w:tc>
        <w:tc>
          <w:tcPr>
            <w:tcW w:w="1382" w:type="dxa"/>
          </w:tcPr>
          <w:p w14:paraId="1AFE6500"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5%</w:t>
            </w:r>
          </w:p>
        </w:tc>
        <w:tc>
          <w:tcPr>
            <w:tcW w:w="1391" w:type="dxa"/>
          </w:tcPr>
          <w:p w14:paraId="2C756800"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4%</w:t>
            </w:r>
          </w:p>
        </w:tc>
        <w:tc>
          <w:tcPr>
            <w:tcW w:w="1369" w:type="dxa"/>
          </w:tcPr>
          <w:p w14:paraId="2F2387EA"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11%</w:t>
            </w:r>
          </w:p>
        </w:tc>
        <w:tc>
          <w:tcPr>
            <w:tcW w:w="1468" w:type="dxa"/>
          </w:tcPr>
          <w:p w14:paraId="0121F387"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45%</w:t>
            </w:r>
          </w:p>
        </w:tc>
        <w:tc>
          <w:tcPr>
            <w:tcW w:w="748" w:type="dxa"/>
          </w:tcPr>
          <w:p w14:paraId="0E883B84" w14:textId="5883F5FD" w:rsidR="00DD4B25" w:rsidRPr="00DD4B25" w:rsidRDefault="00DD4B25" w:rsidP="00DD4B25">
            <w:pPr>
              <w:rPr>
                <w:rFonts w:ascii="Times New Roman" w:hAnsi="Times New Roman" w:cs="Times New Roman"/>
                <w:sz w:val="20"/>
                <w:szCs w:val="20"/>
                <w:lang w:val="en-US"/>
              </w:rPr>
            </w:pPr>
            <w:r>
              <w:rPr>
                <w:rFonts w:ascii="Times New Roman" w:hAnsi="Times New Roman" w:cs="Times New Roman"/>
                <w:sz w:val="20"/>
                <w:szCs w:val="20"/>
                <w:lang w:val="en-US"/>
              </w:rPr>
              <w:t>-</w:t>
            </w:r>
            <w:r w:rsidRPr="00DD4B25">
              <w:rPr>
                <w:rFonts w:ascii="Times New Roman" w:hAnsi="Times New Roman" w:cs="Times New Roman"/>
                <w:sz w:val="20"/>
                <w:szCs w:val="20"/>
                <w:lang w:val="en-US"/>
              </w:rPr>
              <w:t>15%</w:t>
            </w:r>
          </w:p>
        </w:tc>
      </w:tr>
      <w:tr w:rsidR="000A245A" w:rsidRPr="00DD4B25" w14:paraId="157BB7C5" w14:textId="77777777" w:rsidTr="000A245A">
        <w:tc>
          <w:tcPr>
            <w:tcW w:w="1557" w:type="dxa"/>
          </w:tcPr>
          <w:p w14:paraId="4B85E60E"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Education</w:t>
            </w:r>
          </w:p>
          <w:p w14:paraId="6AD77B91" w14:textId="77777777" w:rsidR="00DD4B25" w:rsidRPr="000A245A" w:rsidRDefault="00DD4B25" w:rsidP="000A245A">
            <w:pPr>
              <w:jc w:val="center"/>
              <w:rPr>
                <w:rFonts w:ascii="Times New Roman" w:hAnsi="Times New Roman" w:cs="Times New Roman"/>
                <w:i/>
                <w:iCs/>
                <w:sz w:val="20"/>
                <w:szCs w:val="20"/>
                <w:lang w:val="en-US"/>
              </w:rPr>
            </w:pPr>
          </w:p>
        </w:tc>
        <w:tc>
          <w:tcPr>
            <w:tcW w:w="1713" w:type="dxa"/>
          </w:tcPr>
          <w:p w14:paraId="67AC4EFA"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Elementary school</w:t>
            </w:r>
          </w:p>
        </w:tc>
        <w:tc>
          <w:tcPr>
            <w:tcW w:w="1382" w:type="dxa"/>
          </w:tcPr>
          <w:p w14:paraId="585EBCD6"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Junior high school</w:t>
            </w:r>
          </w:p>
        </w:tc>
        <w:tc>
          <w:tcPr>
            <w:tcW w:w="1391" w:type="dxa"/>
          </w:tcPr>
          <w:p w14:paraId="457F4CC9"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Secondary high school</w:t>
            </w:r>
          </w:p>
        </w:tc>
        <w:tc>
          <w:tcPr>
            <w:tcW w:w="1369" w:type="dxa"/>
          </w:tcPr>
          <w:p w14:paraId="3FB19C34"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College or University</w:t>
            </w:r>
          </w:p>
        </w:tc>
        <w:tc>
          <w:tcPr>
            <w:tcW w:w="1468" w:type="dxa"/>
          </w:tcPr>
          <w:p w14:paraId="1BC240EC"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Graduated</w:t>
            </w:r>
          </w:p>
        </w:tc>
        <w:tc>
          <w:tcPr>
            <w:tcW w:w="748" w:type="dxa"/>
          </w:tcPr>
          <w:p w14:paraId="064162E6" w14:textId="77777777" w:rsidR="00DD4B25" w:rsidRPr="00DD4B25" w:rsidRDefault="00DD4B25" w:rsidP="00E25006">
            <w:pPr>
              <w:rPr>
                <w:rFonts w:ascii="Times New Roman" w:hAnsi="Times New Roman" w:cs="Times New Roman"/>
                <w:sz w:val="20"/>
                <w:szCs w:val="20"/>
                <w:lang w:val="en-US"/>
              </w:rPr>
            </w:pPr>
          </w:p>
        </w:tc>
      </w:tr>
      <w:tr w:rsidR="000A245A" w:rsidRPr="00DD4B25" w14:paraId="089AB3D1" w14:textId="77777777" w:rsidTr="000A245A">
        <w:tc>
          <w:tcPr>
            <w:tcW w:w="1557" w:type="dxa"/>
          </w:tcPr>
          <w:p w14:paraId="4645CC78" w14:textId="3518E4E1"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7EC1F181"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10%</w:t>
            </w:r>
          </w:p>
        </w:tc>
        <w:tc>
          <w:tcPr>
            <w:tcW w:w="1382" w:type="dxa"/>
          </w:tcPr>
          <w:p w14:paraId="715AE0DD"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30%</w:t>
            </w:r>
          </w:p>
        </w:tc>
        <w:tc>
          <w:tcPr>
            <w:tcW w:w="1391" w:type="dxa"/>
          </w:tcPr>
          <w:p w14:paraId="467179FE"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40%</w:t>
            </w:r>
          </w:p>
        </w:tc>
        <w:tc>
          <w:tcPr>
            <w:tcW w:w="1369" w:type="dxa"/>
          </w:tcPr>
          <w:p w14:paraId="0A61DAEC" w14:textId="4ED7B43B" w:rsidR="00DD4B25" w:rsidRPr="00DD4B25" w:rsidRDefault="00A768D2" w:rsidP="00E25006">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20</w:t>
            </w:r>
            <w:r w:rsidR="00DD4B25" w:rsidRPr="00DD4B25">
              <w:rPr>
                <w:rFonts w:ascii="Times New Roman" w:hAnsi="Times New Roman" w:cs="Times New Roman"/>
                <w:sz w:val="20"/>
                <w:szCs w:val="20"/>
                <w:lang w:val="en-US"/>
              </w:rPr>
              <w:t>%</w:t>
            </w:r>
          </w:p>
        </w:tc>
        <w:tc>
          <w:tcPr>
            <w:tcW w:w="1468" w:type="dxa"/>
          </w:tcPr>
          <w:p w14:paraId="67183472" w14:textId="6CD8BFC7" w:rsidR="00DD4B25" w:rsidRPr="00A768D2" w:rsidRDefault="00A768D2" w:rsidP="00A768D2">
            <w:pPr>
              <w:ind w:left="360"/>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48" w:type="dxa"/>
          </w:tcPr>
          <w:p w14:paraId="26A0F9C5" w14:textId="77777777" w:rsidR="00DD4B25" w:rsidRPr="00DD4B25" w:rsidRDefault="00DD4B25" w:rsidP="00E25006">
            <w:pPr>
              <w:rPr>
                <w:rFonts w:ascii="Times New Roman" w:hAnsi="Times New Roman" w:cs="Times New Roman"/>
                <w:sz w:val="20"/>
                <w:szCs w:val="20"/>
                <w:lang w:val="en-US"/>
              </w:rPr>
            </w:pPr>
          </w:p>
        </w:tc>
      </w:tr>
      <w:tr w:rsidR="000A245A" w:rsidRPr="00DD4B25" w14:paraId="1FB4BA2E" w14:textId="77777777" w:rsidTr="000A245A">
        <w:tc>
          <w:tcPr>
            <w:tcW w:w="1557" w:type="dxa"/>
          </w:tcPr>
          <w:p w14:paraId="31F103B6"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Employment</w:t>
            </w:r>
          </w:p>
          <w:p w14:paraId="06282C18"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4E30596D"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Unemployed</w:t>
            </w:r>
          </w:p>
          <w:p w14:paraId="2FE39A18" w14:textId="77777777" w:rsidR="00DD4B25" w:rsidRPr="000A245A" w:rsidRDefault="00DD4B25" w:rsidP="000A245A">
            <w:pPr>
              <w:jc w:val="center"/>
              <w:rPr>
                <w:rFonts w:ascii="Times New Roman" w:hAnsi="Times New Roman" w:cs="Times New Roman"/>
                <w:i/>
                <w:iCs/>
                <w:sz w:val="20"/>
                <w:szCs w:val="20"/>
                <w:lang w:val="en-US"/>
              </w:rPr>
            </w:pPr>
          </w:p>
        </w:tc>
        <w:tc>
          <w:tcPr>
            <w:tcW w:w="1382" w:type="dxa"/>
          </w:tcPr>
          <w:p w14:paraId="499B48FC"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Seasonally employed.</w:t>
            </w:r>
          </w:p>
          <w:p w14:paraId="654BC336" w14:textId="77777777" w:rsidR="00DD4B25" w:rsidRPr="000A245A" w:rsidRDefault="00DD4B25" w:rsidP="000A245A">
            <w:pPr>
              <w:jc w:val="center"/>
              <w:rPr>
                <w:rFonts w:ascii="Times New Roman" w:hAnsi="Times New Roman" w:cs="Times New Roman"/>
                <w:i/>
                <w:iCs/>
                <w:sz w:val="20"/>
                <w:szCs w:val="20"/>
                <w:lang w:val="en-US"/>
              </w:rPr>
            </w:pPr>
          </w:p>
        </w:tc>
        <w:tc>
          <w:tcPr>
            <w:tcW w:w="1391" w:type="dxa"/>
          </w:tcPr>
          <w:p w14:paraId="268CDC64"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Short-term employed</w:t>
            </w:r>
          </w:p>
          <w:p w14:paraId="04EF9FC7" w14:textId="77777777" w:rsidR="00DD4B25" w:rsidRPr="000A245A" w:rsidRDefault="00DD4B25" w:rsidP="000A245A">
            <w:pPr>
              <w:jc w:val="center"/>
              <w:rPr>
                <w:rFonts w:ascii="Times New Roman" w:hAnsi="Times New Roman" w:cs="Times New Roman"/>
                <w:i/>
                <w:iCs/>
                <w:sz w:val="20"/>
                <w:szCs w:val="20"/>
                <w:lang w:val="en-US"/>
              </w:rPr>
            </w:pPr>
          </w:p>
        </w:tc>
        <w:tc>
          <w:tcPr>
            <w:tcW w:w="1369" w:type="dxa"/>
          </w:tcPr>
          <w:p w14:paraId="77D158A7"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rPr>
              <w:t>Long-term employed</w:t>
            </w:r>
          </w:p>
        </w:tc>
        <w:tc>
          <w:tcPr>
            <w:tcW w:w="1468" w:type="dxa"/>
          </w:tcPr>
          <w:p w14:paraId="3542E3D2" w14:textId="77777777" w:rsidR="00DD4B25" w:rsidRPr="00DD4B25" w:rsidRDefault="00DD4B25" w:rsidP="00E25006">
            <w:pPr>
              <w:pStyle w:val="ListParagraph"/>
              <w:rPr>
                <w:rFonts w:ascii="Times New Roman" w:hAnsi="Times New Roman" w:cs="Times New Roman"/>
                <w:sz w:val="20"/>
                <w:szCs w:val="20"/>
                <w:lang w:val="en-US"/>
              </w:rPr>
            </w:pPr>
          </w:p>
        </w:tc>
        <w:tc>
          <w:tcPr>
            <w:tcW w:w="748" w:type="dxa"/>
          </w:tcPr>
          <w:p w14:paraId="622AD185" w14:textId="77777777" w:rsidR="00DD4B25" w:rsidRPr="00DD4B25" w:rsidRDefault="00DD4B25" w:rsidP="00E25006">
            <w:pPr>
              <w:rPr>
                <w:rFonts w:ascii="Times New Roman" w:hAnsi="Times New Roman" w:cs="Times New Roman"/>
                <w:sz w:val="20"/>
                <w:szCs w:val="20"/>
                <w:lang w:val="en-US"/>
              </w:rPr>
            </w:pPr>
          </w:p>
        </w:tc>
      </w:tr>
      <w:tr w:rsidR="000A245A" w:rsidRPr="00DD4B25" w14:paraId="6DF0422F" w14:textId="77777777" w:rsidTr="000A245A">
        <w:tc>
          <w:tcPr>
            <w:tcW w:w="1557" w:type="dxa"/>
          </w:tcPr>
          <w:p w14:paraId="73572889" w14:textId="1443793B"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71BB07F4"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30%</w:t>
            </w:r>
          </w:p>
        </w:tc>
        <w:tc>
          <w:tcPr>
            <w:tcW w:w="1382" w:type="dxa"/>
          </w:tcPr>
          <w:p w14:paraId="2F2D02F8"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25%</w:t>
            </w:r>
          </w:p>
        </w:tc>
        <w:tc>
          <w:tcPr>
            <w:tcW w:w="1391" w:type="dxa"/>
          </w:tcPr>
          <w:p w14:paraId="6CD7AA26"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25%</w:t>
            </w:r>
          </w:p>
        </w:tc>
        <w:tc>
          <w:tcPr>
            <w:tcW w:w="1369" w:type="dxa"/>
          </w:tcPr>
          <w:p w14:paraId="28A76DA4"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20%</w:t>
            </w:r>
          </w:p>
        </w:tc>
        <w:tc>
          <w:tcPr>
            <w:tcW w:w="1468" w:type="dxa"/>
          </w:tcPr>
          <w:p w14:paraId="3A25ED8B"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0%</w:t>
            </w:r>
          </w:p>
        </w:tc>
        <w:tc>
          <w:tcPr>
            <w:tcW w:w="748" w:type="dxa"/>
          </w:tcPr>
          <w:p w14:paraId="5C16B37A" w14:textId="77777777" w:rsidR="00DD4B25" w:rsidRPr="00DD4B25" w:rsidRDefault="00DD4B25" w:rsidP="00E25006">
            <w:pPr>
              <w:rPr>
                <w:rFonts w:ascii="Times New Roman" w:hAnsi="Times New Roman" w:cs="Times New Roman"/>
                <w:sz w:val="20"/>
                <w:szCs w:val="20"/>
                <w:lang w:val="en-US"/>
              </w:rPr>
            </w:pPr>
          </w:p>
        </w:tc>
      </w:tr>
      <w:tr w:rsidR="000A245A" w:rsidRPr="00DD4B25" w14:paraId="12A74E6D" w14:textId="77777777" w:rsidTr="000A245A">
        <w:tc>
          <w:tcPr>
            <w:tcW w:w="1557" w:type="dxa"/>
          </w:tcPr>
          <w:p w14:paraId="3527F05F"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Quality of love relationships</w:t>
            </w:r>
          </w:p>
          <w:p w14:paraId="583D4A8C"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4261B520"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Very poor/ /unstable/absent</w:t>
            </w:r>
          </w:p>
          <w:p w14:paraId="396E656A" w14:textId="77777777" w:rsidR="00DD4B25" w:rsidRPr="000A245A" w:rsidRDefault="00DD4B25" w:rsidP="000A245A">
            <w:pPr>
              <w:jc w:val="center"/>
              <w:rPr>
                <w:rFonts w:ascii="Times New Roman" w:hAnsi="Times New Roman" w:cs="Times New Roman"/>
                <w:i/>
                <w:iCs/>
                <w:sz w:val="20"/>
                <w:szCs w:val="20"/>
              </w:rPr>
            </w:pPr>
          </w:p>
        </w:tc>
        <w:tc>
          <w:tcPr>
            <w:tcW w:w="1382" w:type="dxa"/>
          </w:tcPr>
          <w:p w14:paraId="5B3576B6"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Not very present</w:t>
            </w:r>
          </w:p>
          <w:p w14:paraId="2D1810D7" w14:textId="77777777" w:rsidR="00DD4B25" w:rsidRPr="000A245A" w:rsidRDefault="00DD4B25" w:rsidP="000A245A">
            <w:pPr>
              <w:pStyle w:val="ListParagraph"/>
              <w:jc w:val="center"/>
              <w:rPr>
                <w:rFonts w:ascii="Times New Roman" w:hAnsi="Times New Roman" w:cs="Times New Roman"/>
                <w:i/>
                <w:iCs/>
                <w:sz w:val="20"/>
                <w:szCs w:val="20"/>
              </w:rPr>
            </w:pPr>
          </w:p>
        </w:tc>
        <w:tc>
          <w:tcPr>
            <w:tcW w:w="1391" w:type="dxa"/>
          </w:tcPr>
          <w:p w14:paraId="0F4AD117"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On average present</w:t>
            </w:r>
          </w:p>
          <w:p w14:paraId="44440FAF" w14:textId="77777777" w:rsidR="00DD4B25" w:rsidRPr="000A245A" w:rsidRDefault="00DD4B25" w:rsidP="000A245A">
            <w:pPr>
              <w:pStyle w:val="ListParagraph"/>
              <w:jc w:val="center"/>
              <w:rPr>
                <w:rFonts w:ascii="Times New Roman" w:hAnsi="Times New Roman" w:cs="Times New Roman"/>
                <w:i/>
                <w:iCs/>
                <w:sz w:val="20"/>
                <w:szCs w:val="20"/>
              </w:rPr>
            </w:pPr>
          </w:p>
        </w:tc>
        <w:tc>
          <w:tcPr>
            <w:tcW w:w="1369" w:type="dxa"/>
          </w:tcPr>
          <w:p w14:paraId="021A8C7D" w14:textId="77777777" w:rsidR="00DD4B25" w:rsidRPr="000A245A" w:rsidRDefault="00DD4B25" w:rsidP="000A245A">
            <w:pPr>
              <w:ind w:left="360"/>
              <w:jc w:val="center"/>
              <w:rPr>
                <w:rFonts w:ascii="Times New Roman" w:hAnsi="Times New Roman" w:cs="Times New Roman"/>
                <w:i/>
                <w:iCs/>
                <w:sz w:val="20"/>
                <w:szCs w:val="20"/>
              </w:rPr>
            </w:pPr>
            <w:r w:rsidRPr="000A245A">
              <w:rPr>
                <w:rFonts w:ascii="Times New Roman" w:hAnsi="Times New Roman" w:cs="Times New Roman"/>
                <w:i/>
                <w:iCs/>
                <w:sz w:val="20"/>
                <w:szCs w:val="20"/>
              </w:rPr>
              <w:t>Fairly present</w:t>
            </w:r>
          </w:p>
          <w:p w14:paraId="4F8C37B4" w14:textId="77777777" w:rsidR="00DD4B25" w:rsidRPr="000A245A" w:rsidRDefault="00DD4B25" w:rsidP="000A245A">
            <w:pPr>
              <w:pStyle w:val="ListParagraph"/>
              <w:jc w:val="center"/>
              <w:rPr>
                <w:rFonts w:ascii="Times New Roman" w:hAnsi="Times New Roman" w:cs="Times New Roman"/>
                <w:i/>
                <w:iCs/>
                <w:sz w:val="20"/>
                <w:szCs w:val="20"/>
              </w:rPr>
            </w:pPr>
          </w:p>
        </w:tc>
        <w:tc>
          <w:tcPr>
            <w:tcW w:w="1468" w:type="dxa"/>
          </w:tcPr>
          <w:p w14:paraId="5141D93F"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rPr>
              <w:t>Intimate/stable</w:t>
            </w:r>
          </w:p>
        </w:tc>
        <w:tc>
          <w:tcPr>
            <w:tcW w:w="748" w:type="dxa"/>
          </w:tcPr>
          <w:p w14:paraId="66382318" w14:textId="77777777" w:rsidR="00DD4B25" w:rsidRPr="00DD4B25" w:rsidRDefault="00DD4B25" w:rsidP="00E25006">
            <w:pPr>
              <w:rPr>
                <w:rFonts w:ascii="Times New Roman" w:hAnsi="Times New Roman" w:cs="Times New Roman"/>
                <w:sz w:val="20"/>
                <w:szCs w:val="20"/>
                <w:lang w:val="en-US"/>
              </w:rPr>
            </w:pPr>
          </w:p>
        </w:tc>
      </w:tr>
      <w:tr w:rsidR="00E1564D" w:rsidRPr="00DD4B25" w14:paraId="4A7D33E4" w14:textId="77777777" w:rsidTr="000A245A">
        <w:tc>
          <w:tcPr>
            <w:tcW w:w="1557" w:type="dxa"/>
          </w:tcPr>
          <w:p w14:paraId="377864FE" w14:textId="17BB5F6D"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20C7435C"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15%</w:t>
            </w:r>
          </w:p>
        </w:tc>
        <w:tc>
          <w:tcPr>
            <w:tcW w:w="1382" w:type="dxa"/>
          </w:tcPr>
          <w:p w14:paraId="176FE728"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30%</w:t>
            </w:r>
          </w:p>
        </w:tc>
        <w:tc>
          <w:tcPr>
            <w:tcW w:w="1391" w:type="dxa"/>
          </w:tcPr>
          <w:p w14:paraId="3B03AEFE"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30%</w:t>
            </w:r>
          </w:p>
        </w:tc>
        <w:tc>
          <w:tcPr>
            <w:tcW w:w="1369" w:type="dxa"/>
          </w:tcPr>
          <w:p w14:paraId="175D085D"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12%</w:t>
            </w:r>
          </w:p>
        </w:tc>
        <w:tc>
          <w:tcPr>
            <w:tcW w:w="1468" w:type="dxa"/>
          </w:tcPr>
          <w:p w14:paraId="67169334"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3%</w:t>
            </w:r>
          </w:p>
        </w:tc>
        <w:tc>
          <w:tcPr>
            <w:tcW w:w="748" w:type="dxa"/>
          </w:tcPr>
          <w:p w14:paraId="681A0D4D" w14:textId="77777777" w:rsidR="00DD4B25" w:rsidRPr="00DD4B25" w:rsidRDefault="00DD4B25" w:rsidP="00E25006">
            <w:pPr>
              <w:rPr>
                <w:rFonts w:ascii="Times New Roman" w:hAnsi="Times New Roman" w:cs="Times New Roman"/>
                <w:sz w:val="20"/>
                <w:szCs w:val="20"/>
                <w:lang w:val="en-US"/>
              </w:rPr>
            </w:pPr>
          </w:p>
        </w:tc>
      </w:tr>
      <w:tr w:rsidR="00E1564D" w:rsidRPr="00DD4B25" w14:paraId="1CEF0F99" w14:textId="77777777" w:rsidTr="000A245A">
        <w:tc>
          <w:tcPr>
            <w:tcW w:w="1557" w:type="dxa"/>
          </w:tcPr>
          <w:p w14:paraId="403C8167"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Quality of friendships</w:t>
            </w:r>
          </w:p>
          <w:p w14:paraId="6C3D2282"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0061CA1E"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lang w:val="en-US"/>
              </w:rPr>
              <w:t>Very poor/ /unable to support them</w:t>
            </w:r>
          </w:p>
        </w:tc>
        <w:tc>
          <w:tcPr>
            <w:tcW w:w="1382" w:type="dxa"/>
          </w:tcPr>
          <w:p w14:paraId="4293A229"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lang w:val="en-US"/>
              </w:rPr>
              <w:t>Not very present</w:t>
            </w:r>
          </w:p>
        </w:tc>
        <w:tc>
          <w:tcPr>
            <w:tcW w:w="1391" w:type="dxa"/>
          </w:tcPr>
          <w:p w14:paraId="34C0E0C1"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On average present</w:t>
            </w:r>
          </w:p>
        </w:tc>
        <w:tc>
          <w:tcPr>
            <w:tcW w:w="1369" w:type="dxa"/>
          </w:tcPr>
          <w:p w14:paraId="667B1684"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Fairly present</w:t>
            </w:r>
          </w:p>
        </w:tc>
        <w:tc>
          <w:tcPr>
            <w:tcW w:w="1468" w:type="dxa"/>
          </w:tcPr>
          <w:p w14:paraId="1B1BADF5"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Intimate/stable</w:t>
            </w:r>
          </w:p>
        </w:tc>
        <w:tc>
          <w:tcPr>
            <w:tcW w:w="748" w:type="dxa"/>
          </w:tcPr>
          <w:p w14:paraId="0FED47FB" w14:textId="77777777" w:rsidR="00DD4B25" w:rsidRPr="00DD4B25" w:rsidRDefault="00DD4B25" w:rsidP="00E25006">
            <w:pPr>
              <w:rPr>
                <w:rFonts w:ascii="Times New Roman" w:hAnsi="Times New Roman" w:cs="Times New Roman"/>
                <w:sz w:val="20"/>
                <w:szCs w:val="20"/>
                <w:lang w:val="en-US"/>
              </w:rPr>
            </w:pPr>
          </w:p>
        </w:tc>
      </w:tr>
      <w:tr w:rsidR="00DD4B25" w:rsidRPr="00DD4B25" w14:paraId="22163C43" w14:textId="77777777" w:rsidTr="000A245A">
        <w:tc>
          <w:tcPr>
            <w:tcW w:w="1557" w:type="dxa"/>
          </w:tcPr>
          <w:p w14:paraId="1A3628E4" w14:textId="1847E60A"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2ACB712C"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15%</w:t>
            </w:r>
          </w:p>
        </w:tc>
        <w:tc>
          <w:tcPr>
            <w:tcW w:w="1382" w:type="dxa"/>
          </w:tcPr>
          <w:p w14:paraId="59C15D41"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25%</w:t>
            </w:r>
          </w:p>
        </w:tc>
        <w:tc>
          <w:tcPr>
            <w:tcW w:w="1391" w:type="dxa"/>
          </w:tcPr>
          <w:p w14:paraId="6A237043"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20%</w:t>
            </w:r>
          </w:p>
        </w:tc>
        <w:tc>
          <w:tcPr>
            <w:tcW w:w="1369" w:type="dxa"/>
          </w:tcPr>
          <w:p w14:paraId="6C969886"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15%</w:t>
            </w:r>
          </w:p>
        </w:tc>
        <w:tc>
          <w:tcPr>
            <w:tcW w:w="1468" w:type="dxa"/>
          </w:tcPr>
          <w:p w14:paraId="686632E1"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25%</w:t>
            </w:r>
          </w:p>
        </w:tc>
        <w:tc>
          <w:tcPr>
            <w:tcW w:w="748" w:type="dxa"/>
          </w:tcPr>
          <w:p w14:paraId="33BAD8A7" w14:textId="77777777" w:rsidR="00DD4B25" w:rsidRPr="00DD4B25" w:rsidRDefault="00DD4B25" w:rsidP="00E25006">
            <w:pPr>
              <w:rPr>
                <w:rFonts w:ascii="Times New Roman" w:hAnsi="Times New Roman" w:cs="Times New Roman"/>
                <w:sz w:val="20"/>
                <w:szCs w:val="20"/>
                <w:lang w:val="en-US"/>
              </w:rPr>
            </w:pPr>
          </w:p>
        </w:tc>
      </w:tr>
      <w:tr w:rsidR="00DD4B25" w:rsidRPr="00DD4B25" w14:paraId="5B29B479" w14:textId="77777777" w:rsidTr="000A245A">
        <w:tc>
          <w:tcPr>
            <w:tcW w:w="1557" w:type="dxa"/>
          </w:tcPr>
          <w:p w14:paraId="4A1295A7"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lang w:val="en-US"/>
              </w:rPr>
              <w:t>Time since the woman has been a victim of IPV</w:t>
            </w:r>
          </w:p>
        </w:tc>
        <w:tc>
          <w:tcPr>
            <w:tcW w:w="1713" w:type="dxa"/>
          </w:tcPr>
          <w:p w14:paraId="4604142A" w14:textId="77777777" w:rsidR="00DD4B25" w:rsidRPr="00DD4B25" w:rsidRDefault="00DD4B25" w:rsidP="00E25006">
            <w:pPr>
              <w:rPr>
                <w:rFonts w:ascii="Times New Roman" w:hAnsi="Times New Roman" w:cs="Times New Roman"/>
                <w:sz w:val="20"/>
                <w:szCs w:val="20"/>
                <w:lang w:val="en-US"/>
              </w:rPr>
            </w:pPr>
            <w:r w:rsidRPr="00DD4B25">
              <w:rPr>
                <w:rFonts w:ascii="Times New Roman" w:hAnsi="Times New Roman" w:cs="Times New Roman"/>
                <w:sz w:val="20"/>
                <w:szCs w:val="20"/>
                <w:lang w:val="it-IT"/>
              </w:rPr>
              <w:t>&lt; 36 months</w:t>
            </w:r>
          </w:p>
        </w:tc>
        <w:tc>
          <w:tcPr>
            <w:tcW w:w="1382" w:type="dxa"/>
          </w:tcPr>
          <w:p w14:paraId="258669B3"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p>
        </w:tc>
        <w:tc>
          <w:tcPr>
            <w:tcW w:w="1391" w:type="dxa"/>
          </w:tcPr>
          <w:p w14:paraId="3091B4B8" w14:textId="77777777" w:rsidR="00DD4B25" w:rsidRPr="00DD4B25" w:rsidRDefault="00DD4B25" w:rsidP="00E25006">
            <w:pPr>
              <w:pStyle w:val="ListParagraph"/>
              <w:numPr>
                <w:ilvl w:val="0"/>
                <w:numId w:val="1"/>
              </w:numPr>
              <w:rPr>
                <w:rFonts w:ascii="Times New Roman" w:hAnsi="Times New Roman" w:cs="Times New Roman"/>
                <w:sz w:val="20"/>
                <w:szCs w:val="20"/>
              </w:rPr>
            </w:pPr>
          </w:p>
        </w:tc>
        <w:tc>
          <w:tcPr>
            <w:tcW w:w="1369" w:type="dxa"/>
          </w:tcPr>
          <w:p w14:paraId="60CED5A0" w14:textId="77777777" w:rsidR="00DD4B25" w:rsidRPr="00DD4B25" w:rsidRDefault="00DD4B25" w:rsidP="00E25006">
            <w:pPr>
              <w:pStyle w:val="ListParagraph"/>
              <w:numPr>
                <w:ilvl w:val="0"/>
                <w:numId w:val="1"/>
              </w:numPr>
              <w:rPr>
                <w:rFonts w:ascii="Times New Roman" w:hAnsi="Times New Roman" w:cs="Times New Roman"/>
                <w:sz w:val="20"/>
                <w:szCs w:val="20"/>
              </w:rPr>
            </w:pPr>
          </w:p>
        </w:tc>
        <w:tc>
          <w:tcPr>
            <w:tcW w:w="1468" w:type="dxa"/>
          </w:tcPr>
          <w:p w14:paraId="79E652B5" w14:textId="77777777" w:rsidR="00DD4B25" w:rsidRPr="00DD4B25" w:rsidRDefault="00DD4B25" w:rsidP="00E25006">
            <w:pPr>
              <w:pStyle w:val="ListParagraph"/>
              <w:numPr>
                <w:ilvl w:val="0"/>
                <w:numId w:val="1"/>
              </w:numPr>
              <w:rPr>
                <w:rFonts w:ascii="Times New Roman" w:hAnsi="Times New Roman" w:cs="Times New Roman"/>
                <w:sz w:val="20"/>
                <w:szCs w:val="20"/>
              </w:rPr>
            </w:pPr>
          </w:p>
        </w:tc>
        <w:tc>
          <w:tcPr>
            <w:tcW w:w="748" w:type="dxa"/>
          </w:tcPr>
          <w:p w14:paraId="13FFE610" w14:textId="77777777" w:rsidR="00DD4B25" w:rsidRPr="00DD4B25" w:rsidRDefault="00DD4B25" w:rsidP="00E25006">
            <w:pPr>
              <w:rPr>
                <w:rFonts w:ascii="Times New Roman" w:hAnsi="Times New Roman" w:cs="Times New Roman"/>
                <w:sz w:val="20"/>
                <w:szCs w:val="20"/>
                <w:lang w:val="en-US"/>
              </w:rPr>
            </w:pPr>
          </w:p>
        </w:tc>
      </w:tr>
      <w:tr w:rsidR="00DD4B25" w:rsidRPr="00DD4B25" w14:paraId="3593877B" w14:textId="77777777" w:rsidTr="000A245A">
        <w:tc>
          <w:tcPr>
            <w:tcW w:w="1557" w:type="dxa"/>
          </w:tcPr>
          <w:p w14:paraId="69FD7CCB"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Number of violent partners</w:t>
            </w:r>
          </w:p>
          <w:p w14:paraId="3CA954BC" w14:textId="77777777" w:rsidR="00DD4B25" w:rsidRPr="00DD4B25" w:rsidRDefault="00DD4B25" w:rsidP="00E25006">
            <w:pPr>
              <w:rPr>
                <w:rFonts w:ascii="Times New Roman" w:hAnsi="Times New Roman" w:cs="Times New Roman"/>
                <w:sz w:val="20"/>
                <w:szCs w:val="20"/>
                <w:lang w:val="en-US"/>
              </w:rPr>
            </w:pPr>
          </w:p>
        </w:tc>
        <w:tc>
          <w:tcPr>
            <w:tcW w:w="1713" w:type="dxa"/>
          </w:tcPr>
          <w:p w14:paraId="472473BB" w14:textId="77777777" w:rsidR="00DD4B25" w:rsidRPr="00DD4B25" w:rsidRDefault="00DD4B25" w:rsidP="00E25006">
            <w:pPr>
              <w:rPr>
                <w:rFonts w:ascii="Times New Roman" w:hAnsi="Times New Roman" w:cs="Times New Roman"/>
                <w:sz w:val="20"/>
                <w:szCs w:val="20"/>
                <w:lang w:val="it-IT"/>
              </w:rPr>
            </w:pPr>
            <w:r w:rsidRPr="00DD4B25">
              <w:rPr>
                <w:rFonts w:ascii="Times New Roman" w:hAnsi="Times New Roman" w:cs="Times New Roman"/>
                <w:sz w:val="20"/>
                <w:szCs w:val="20"/>
                <w:lang w:val="it-IT"/>
              </w:rPr>
              <w:t>0</w:t>
            </w:r>
          </w:p>
        </w:tc>
        <w:tc>
          <w:tcPr>
            <w:tcW w:w="1382" w:type="dxa"/>
          </w:tcPr>
          <w:p w14:paraId="5C78B90E" w14:textId="77777777" w:rsidR="00DD4B25" w:rsidRPr="00DD4B25" w:rsidRDefault="00DD4B25" w:rsidP="00E25006">
            <w:pPr>
              <w:rPr>
                <w:rFonts w:ascii="Times New Roman" w:hAnsi="Times New Roman" w:cs="Times New Roman"/>
                <w:sz w:val="20"/>
                <w:szCs w:val="20"/>
                <w:lang w:val="en-US"/>
              </w:rPr>
            </w:pPr>
            <w:r w:rsidRPr="00DD4B25">
              <w:rPr>
                <w:rFonts w:ascii="Times New Roman" w:hAnsi="Times New Roman" w:cs="Times New Roman"/>
                <w:sz w:val="20"/>
                <w:szCs w:val="20"/>
                <w:lang w:val="en-US"/>
              </w:rPr>
              <w:t>1</w:t>
            </w:r>
          </w:p>
        </w:tc>
        <w:tc>
          <w:tcPr>
            <w:tcW w:w="1391" w:type="dxa"/>
          </w:tcPr>
          <w:p w14:paraId="1E602C0C" w14:textId="77777777" w:rsidR="00DD4B25" w:rsidRPr="00DD4B25" w:rsidRDefault="00DD4B25" w:rsidP="00E25006">
            <w:pPr>
              <w:rPr>
                <w:rFonts w:ascii="Times New Roman" w:hAnsi="Times New Roman" w:cs="Times New Roman"/>
                <w:sz w:val="20"/>
                <w:szCs w:val="20"/>
              </w:rPr>
            </w:pPr>
            <w:r w:rsidRPr="00DD4B25">
              <w:rPr>
                <w:rFonts w:ascii="Times New Roman" w:hAnsi="Times New Roman" w:cs="Times New Roman"/>
                <w:sz w:val="20"/>
                <w:szCs w:val="20"/>
              </w:rPr>
              <w:t>2</w:t>
            </w:r>
          </w:p>
        </w:tc>
        <w:tc>
          <w:tcPr>
            <w:tcW w:w="1369" w:type="dxa"/>
          </w:tcPr>
          <w:p w14:paraId="6A8699A8" w14:textId="77777777" w:rsidR="00DD4B25" w:rsidRPr="00DD4B25" w:rsidRDefault="00DD4B25" w:rsidP="00E25006">
            <w:pPr>
              <w:rPr>
                <w:rFonts w:ascii="Times New Roman" w:hAnsi="Times New Roman" w:cs="Times New Roman"/>
                <w:sz w:val="20"/>
                <w:szCs w:val="20"/>
              </w:rPr>
            </w:pPr>
            <w:r w:rsidRPr="00DD4B25">
              <w:rPr>
                <w:rFonts w:ascii="Times New Roman" w:hAnsi="Times New Roman" w:cs="Times New Roman"/>
                <w:sz w:val="20"/>
                <w:szCs w:val="20"/>
              </w:rPr>
              <w:t>3</w:t>
            </w:r>
          </w:p>
        </w:tc>
        <w:tc>
          <w:tcPr>
            <w:tcW w:w="1468" w:type="dxa"/>
          </w:tcPr>
          <w:p w14:paraId="48C19EF1" w14:textId="77777777" w:rsidR="00DD4B25" w:rsidRPr="00DD4B25" w:rsidRDefault="00DD4B25" w:rsidP="00E25006">
            <w:pPr>
              <w:pStyle w:val="ListParagraph"/>
              <w:rPr>
                <w:rFonts w:ascii="Times New Roman" w:hAnsi="Times New Roman" w:cs="Times New Roman"/>
                <w:sz w:val="20"/>
                <w:szCs w:val="20"/>
              </w:rPr>
            </w:pPr>
            <w:r w:rsidRPr="00DD4B25">
              <w:rPr>
                <w:rFonts w:ascii="Times New Roman" w:hAnsi="Times New Roman" w:cs="Times New Roman"/>
                <w:sz w:val="20"/>
                <w:szCs w:val="20"/>
              </w:rPr>
              <w:t>4</w:t>
            </w:r>
          </w:p>
        </w:tc>
        <w:tc>
          <w:tcPr>
            <w:tcW w:w="748" w:type="dxa"/>
          </w:tcPr>
          <w:p w14:paraId="46FB6662" w14:textId="77777777" w:rsidR="00DD4B25" w:rsidRPr="00DD4B25" w:rsidRDefault="00DD4B25" w:rsidP="00E25006">
            <w:pPr>
              <w:rPr>
                <w:rFonts w:ascii="Times New Roman" w:hAnsi="Times New Roman" w:cs="Times New Roman"/>
                <w:sz w:val="20"/>
                <w:szCs w:val="20"/>
                <w:lang w:val="en-US"/>
              </w:rPr>
            </w:pPr>
          </w:p>
        </w:tc>
      </w:tr>
      <w:tr w:rsidR="00DD4B25" w:rsidRPr="00DD4B25" w14:paraId="25E89172" w14:textId="77777777" w:rsidTr="000A245A">
        <w:tc>
          <w:tcPr>
            <w:tcW w:w="1557" w:type="dxa"/>
          </w:tcPr>
          <w:p w14:paraId="77C15744" w14:textId="496DF2DC"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4F3DC6E2" w14:textId="77777777" w:rsidR="00DD4B25" w:rsidRPr="00DD4B25" w:rsidRDefault="00DD4B25" w:rsidP="00E25006">
            <w:pPr>
              <w:pStyle w:val="ListParagraph"/>
              <w:numPr>
                <w:ilvl w:val="0"/>
                <w:numId w:val="1"/>
              </w:numPr>
              <w:rPr>
                <w:rFonts w:ascii="Times New Roman" w:hAnsi="Times New Roman" w:cs="Times New Roman"/>
                <w:sz w:val="20"/>
                <w:szCs w:val="20"/>
                <w:lang w:val="it-IT"/>
              </w:rPr>
            </w:pPr>
            <w:r w:rsidRPr="00DD4B25">
              <w:rPr>
                <w:rFonts w:ascii="Times New Roman" w:hAnsi="Times New Roman" w:cs="Times New Roman"/>
                <w:sz w:val="20"/>
                <w:szCs w:val="20"/>
                <w:lang w:val="it-IT"/>
              </w:rPr>
              <w:t>12%</w:t>
            </w:r>
          </w:p>
        </w:tc>
        <w:tc>
          <w:tcPr>
            <w:tcW w:w="1382" w:type="dxa"/>
          </w:tcPr>
          <w:p w14:paraId="1003BD9F"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8ß%</w:t>
            </w:r>
          </w:p>
        </w:tc>
        <w:tc>
          <w:tcPr>
            <w:tcW w:w="1391" w:type="dxa"/>
          </w:tcPr>
          <w:p w14:paraId="7A8E375A"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5%</w:t>
            </w:r>
          </w:p>
        </w:tc>
        <w:tc>
          <w:tcPr>
            <w:tcW w:w="1369" w:type="dxa"/>
          </w:tcPr>
          <w:p w14:paraId="3CEE798C"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3%</w:t>
            </w:r>
          </w:p>
        </w:tc>
        <w:tc>
          <w:tcPr>
            <w:tcW w:w="1468" w:type="dxa"/>
          </w:tcPr>
          <w:p w14:paraId="23B9C175"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0%</w:t>
            </w:r>
          </w:p>
        </w:tc>
        <w:tc>
          <w:tcPr>
            <w:tcW w:w="748" w:type="dxa"/>
          </w:tcPr>
          <w:p w14:paraId="283F77ED" w14:textId="77777777" w:rsidR="00DD4B25" w:rsidRPr="00DD4B25" w:rsidRDefault="00DD4B25" w:rsidP="00E25006">
            <w:pPr>
              <w:rPr>
                <w:rFonts w:ascii="Times New Roman" w:hAnsi="Times New Roman" w:cs="Times New Roman"/>
                <w:sz w:val="20"/>
                <w:szCs w:val="20"/>
                <w:lang w:val="en-US"/>
              </w:rPr>
            </w:pPr>
          </w:p>
        </w:tc>
      </w:tr>
      <w:tr w:rsidR="00DD4B25" w:rsidRPr="00DD4B25" w14:paraId="3D83AF94" w14:textId="77777777" w:rsidTr="000A245A">
        <w:tc>
          <w:tcPr>
            <w:tcW w:w="1557" w:type="dxa"/>
          </w:tcPr>
          <w:p w14:paraId="66208DCA"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Formal Complaint</w:t>
            </w:r>
          </w:p>
        </w:tc>
        <w:tc>
          <w:tcPr>
            <w:tcW w:w="1713" w:type="dxa"/>
          </w:tcPr>
          <w:p w14:paraId="09EC7440" w14:textId="69CDBEC6" w:rsidR="00DD4B25" w:rsidRPr="000A245A" w:rsidRDefault="00DD4B25" w:rsidP="000A245A">
            <w:pPr>
              <w:jc w:val="center"/>
              <w:rPr>
                <w:rFonts w:ascii="Times New Roman" w:hAnsi="Times New Roman" w:cs="Times New Roman"/>
                <w:i/>
                <w:iCs/>
                <w:sz w:val="20"/>
                <w:szCs w:val="20"/>
                <w:lang w:val="it-IT"/>
              </w:rPr>
            </w:pPr>
            <w:r w:rsidRPr="000A245A">
              <w:rPr>
                <w:rFonts w:ascii="Times New Roman" w:hAnsi="Times New Roman" w:cs="Times New Roman"/>
                <w:i/>
                <w:iCs/>
                <w:sz w:val="20"/>
                <w:szCs w:val="20"/>
                <w:lang w:val="it-IT"/>
              </w:rPr>
              <w:t>No</w:t>
            </w:r>
          </w:p>
        </w:tc>
        <w:tc>
          <w:tcPr>
            <w:tcW w:w="1382" w:type="dxa"/>
          </w:tcPr>
          <w:p w14:paraId="4F346403"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I do not know</w:t>
            </w:r>
          </w:p>
        </w:tc>
        <w:tc>
          <w:tcPr>
            <w:tcW w:w="1391" w:type="dxa"/>
          </w:tcPr>
          <w:p w14:paraId="27ED99BD"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Yes</w:t>
            </w:r>
          </w:p>
        </w:tc>
        <w:tc>
          <w:tcPr>
            <w:tcW w:w="1369" w:type="dxa"/>
          </w:tcPr>
          <w:p w14:paraId="612FA88C" w14:textId="77777777" w:rsidR="00DD4B25" w:rsidRPr="00DD4B25" w:rsidRDefault="00DD4B25" w:rsidP="00E25006">
            <w:pPr>
              <w:pStyle w:val="ListParagraph"/>
              <w:rPr>
                <w:rFonts w:ascii="Times New Roman" w:hAnsi="Times New Roman" w:cs="Times New Roman"/>
                <w:sz w:val="20"/>
                <w:szCs w:val="20"/>
              </w:rPr>
            </w:pPr>
          </w:p>
        </w:tc>
        <w:tc>
          <w:tcPr>
            <w:tcW w:w="1468" w:type="dxa"/>
          </w:tcPr>
          <w:p w14:paraId="7C61E83C"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53173CC8" w14:textId="77777777" w:rsidR="00DD4B25" w:rsidRPr="00DD4B25" w:rsidRDefault="00DD4B25" w:rsidP="00E25006">
            <w:pPr>
              <w:rPr>
                <w:rFonts w:ascii="Times New Roman" w:hAnsi="Times New Roman" w:cs="Times New Roman"/>
                <w:sz w:val="20"/>
                <w:szCs w:val="20"/>
                <w:lang w:val="en-US"/>
              </w:rPr>
            </w:pPr>
          </w:p>
        </w:tc>
      </w:tr>
      <w:tr w:rsidR="00DD4B25" w:rsidRPr="00DD4B25" w14:paraId="21D6871C" w14:textId="77777777" w:rsidTr="000A245A">
        <w:tc>
          <w:tcPr>
            <w:tcW w:w="1557" w:type="dxa"/>
          </w:tcPr>
          <w:p w14:paraId="7FF3A252" w14:textId="29506352"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40A710A9" w14:textId="77777777" w:rsidR="00DD4B25" w:rsidRPr="00DD4B25" w:rsidRDefault="00DD4B25" w:rsidP="00E25006">
            <w:pPr>
              <w:pStyle w:val="ListParagraph"/>
              <w:numPr>
                <w:ilvl w:val="0"/>
                <w:numId w:val="1"/>
              </w:numPr>
              <w:rPr>
                <w:rFonts w:ascii="Times New Roman" w:hAnsi="Times New Roman" w:cs="Times New Roman"/>
                <w:sz w:val="20"/>
                <w:szCs w:val="20"/>
                <w:lang w:val="it-IT"/>
              </w:rPr>
            </w:pPr>
            <w:r w:rsidRPr="00DD4B25">
              <w:rPr>
                <w:rFonts w:ascii="Times New Roman" w:hAnsi="Times New Roman" w:cs="Times New Roman"/>
                <w:sz w:val="20"/>
                <w:szCs w:val="20"/>
                <w:lang w:val="it-IT"/>
              </w:rPr>
              <w:t>35%</w:t>
            </w:r>
          </w:p>
        </w:tc>
        <w:tc>
          <w:tcPr>
            <w:tcW w:w="1382" w:type="dxa"/>
          </w:tcPr>
          <w:p w14:paraId="6436FA62"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40%</w:t>
            </w:r>
          </w:p>
        </w:tc>
        <w:tc>
          <w:tcPr>
            <w:tcW w:w="1391" w:type="dxa"/>
          </w:tcPr>
          <w:p w14:paraId="2C307D62"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25%</w:t>
            </w:r>
          </w:p>
        </w:tc>
        <w:tc>
          <w:tcPr>
            <w:tcW w:w="1369" w:type="dxa"/>
          </w:tcPr>
          <w:p w14:paraId="5B46F523" w14:textId="77777777" w:rsidR="00DD4B25" w:rsidRPr="00DD4B25" w:rsidRDefault="00DD4B25" w:rsidP="00E25006">
            <w:pPr>
              <w:pStyle w:val="ListParagraph"/>
              <w:rPr>
                <w:rFonts w:ascii="Times New Roman" w:hAnsi="Times New Roman" w:cs="Times New Roman"/>
                <w:sz w:val="20"/>
                <w:szCs w:val="20"/>
              </w:rPr>
            </w:pPr>
          </w:p>
        </w:tc>
        <w:tc>
          <w:tcPr>
            <w:tcW w:w="1468" w:type="dxa"/>
          </w:tcPr>
          <w:p w14:paraId="4C372611"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7ABC38A8" w14:textId="77777777" w:rsidR="00DD4B25" w:rsidRPr="00DD4B25" w:rsidRDefault="00DD4B25" w:rsidP="00E25006">
            <w:pPr>
              <w:rPr>
                <w:rFonts w:ascii="Times New Roman" w:hAnsi="Times New Roman" w:cs="Times New Roman"/>
                <w:sz w:val="20"/>
                <w:szCs w:val="20"/>
                <w:lang w:val="en-US"/>
              </w:rPr>
            </w:pPr>
          </w:p>
        </w:tc>
      </w:tr>
      <w:tr w:rsidR="00DD4B25" w:rsidRPr="00DD4B25" w14:paraId="0B1D2EE2" w14:textId="77777777" w:rsidTr="000A245A">
        <w:tc>
          <w:tcPr>
            <w:tcW w:w="1557" w:type="dxa"/>
          </w:tcPr>
          <w:p w14:paraId="1603FADC"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Physical health</w:t>
            </w:r>
          </w:p>
          <w:p w14:paraId="31BB959A"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0466F9F5" w14:textId="77777777" w:rsidR="00DD4B25" w:rsidRPr="000A245A" w:rsidRDefault="00DD4B25" w:rsidP="000A245A">
            <w:pPr>
              <w:jc w:val="center"/>
              <w:rPr>
                <w:rFonts w:ascii="Times New Roman" w:hAnsi="Times New Roman" w:cs="Times New Roman"/>
                <w:i/>
                <w:iCs/>
                <w:sz w:val="20"/>
                <w:szCs w:val="20"/>
                <w:lang w:val="it-IT"/>
              </w:rPr>
            </w:pPr>
            <w:r w:rsidRPr="000A245A">
              <w:rPr>
                <w:rFonts w:ascii="Times New Roman" w:hAnsi="Times New Roman" w:cs="Times New Roman"/>
                <w:i/>
                <w:iCs/>
                <w:sz w:val="20"/>
                <w:szCs w:val="20"/>
              </w:rPr>
              <w:t>Chronic or degenerative diseases</w:t>
            </w:r>
          </w:p>
        </w:tc>
        <w:tc>
          <w:tcPr>
            <w:tcW w:w="1382" w:type="dxa"/>
          </w:tcPr>
          <w:p w14:paraId="7D8FEAA4"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Chronic or frequent illnesses</w:t>
            </w:r>
          </w:p>
        </w:tc>
        <w:tc>
          <w:tcPr>
            <w:tcW w:w="1391" w:type="dxa"/>
          </w:tcPr>
          <w:p w14:paraId="15299017"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lang w:val="en-US"/>
              </w:rPr>
              <w:t>Diseases on average frequent</w:t>
            </w:r>
          </w:p>
        </w:tc>
        <w:tc>
          <w:tcPr>
            <w:tcW w:w="1369" w:type="dxa"/>
          </w:tcPr>
          <w:p w14:paraId="7689753B"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lang w:val="en-US"/>
              </w:rPr>
              <w:t>Few or occasional health problems</w:t>
            </w:r>
          </w:p>
        </w:tc>
        <w:tc>
          <w:tcPr>
            <w:tcW w:w="1468" w:type="dxa"/>
          </w:tcPr>
          <w:p w14:paraId="12633F17"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04780324" w14:textId="77777777" w:rsidR="00DD4B25" w:rsidRPr="00DD4B25" w:rsidRDefault="00DD4B25" w:rsidP="00E25006">
            <w:pPr>
              <w:rPr>
                <w:rFonts w:ascii="Times New Roman" w:hAnsi="Times New Roman" w:cs="Times New Roman"/>
                <w:sz w:val="20"/>
                <w:szCs w:val="20"/>
                <w:lang w:val="en-US"/>
              </w:rPr>
            </w:pPr>
          </w:p>
        </w:tc>
      </w:tr>
      <w:tr w:rsidR="000A245A" w:rsidRPr="00DD4B25" w14:paraId="71431FDC" w14:textId="77777777" w:rsidTr="000A245A">
        <w:tc>
          <w:tcPr>
            <w:tcW w:w="1557" w:type="dxa"/>
          </w:tcPr>
          <w:p w14:paraId="799C4D6B" w14:textId="77777777" w:rsidR="00DD4B25" w:rsidRPr="00DD4B25" w:rsidRDefault="00DD4B25" w:rsidP="00E25006">
            <w:pPr>
              <w:rPr>
                <w:rFonts w:ascii="Times New Roman" w:hAnsi="Times New Roman" w:cs="Times New Roman"/>
                <w:sz w:val="20"/>
                <w:szCs w:val="20"/>
              </w:rPr>
            </w:pPr>
          </w:p>
        </w:tc>
        <w:tc>
          <w:tcPr>
            <w:tcW w:w="1713" w:type="dxa"/>
          </w:tcPr>
          <w:p w14:paraId="7C530059"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5%</w:t>
            </w:r>
          </w:p>
        </w:tc>
        <w:tc>
          <w:tcPr>
            <w:tcW w:w="1382" w:type="dxa"/>
          </w:tcPr>
          <w:p w14:paraId="1741478D"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17%</w:t>
            </w:r>
          </w:p>
        </w:tc>
        <w:tc>
          <w:tcPr>
            <w:tcW w:w="1391" w:type="dxa"/>
          </w:tcPr>
          <w:p w14:paraId="3E62B162"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30%</w:t>
            </w:r>
          </w:p>
        </w:tc>
        <w:tc>
          <w:tcPr>
            <w:tcW w:w="1369" w:type="dxa"/>
          </w:tcPr>
          <w:p w14:paraId="6B3BC92D"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48%</w:t>
            </w:r>
          </w:p>
        </w:tc>
        <w:tc>
          <w:tcPr>
            <w:tcW w:w="1468" w:type="dxa"/>
          </w:tcPr>
          <w:p w14:paraId="6FA1B59C"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29C12207" w14:textId="77777777" w:rsidR="00DD4B25" w:rsidRPr="00DD4B25" w:rsidRDefault="00DD4B25" w:rsidP="00E25006">
            <w:pPr>
              <w:rPr>
                <w:rFonts w:ascii="Times New Roman" w:hAnsi="Times New Roman" w:cs="Times New Roman"/>
                <w:sz w:val="20"/>
                <w:szCs w:val="20"/>
                <w:lang w:val="en-US"/>
              </w:rPr>
            </w:pPr>
          </w:p>
        </w:tc>
      </w:tr>
      <w:tr w:rsidR="000A245A" w:rsidRPr="00DD4B25" w14:paraId="02B6C680" w14:textId="77777777" w:rsidTr="000A245A">
        <w:tc>
          <w:tcPr>
            <w:tcW w:w="1557" w:type="dxa"/>
          </w:tcPr>
          <w:p w14:paraId="372A3967" w14:textId="77777777" w:rsidR="00DD4B25" w:rsidRPr="000A245A" w:rsidRDefault="00DD4B25" w:rsidP="000A245A">
            <w:pPr>
              <w:jc w:val="center"/>
              <w:rPr>
                <w:rFonts w:ascii="Times New Roman" w:hAnsi="Times New Roman" w:cs="Times New Roman"/>
                <w:i/>
                <w:iCs/>
                <w:sz w:val="20"/>
                <w:szCs w:val="20"/>
                <w:lang w:val="it-IT"/>
              </w:rPr>
            </w:pPr>
            <w:r w:rsidRPr="000A245A">
              <w:rPr>
                <w:rFonts w:ascii="Times New Roman" w:hAnsi="Times New Roman" w:cs="Times New Roman"/>
                <w:i/>
                <w:iCs/>
                <w:sz w:val="20"/>
                <w:szCs w:val="20"/>
                <w:lang w:val="it-IT"/>
              </w:rPr>
              <w:t>Hospitalizations following injuries</w:t>
            </w:r>
          </w:p>
          <w:p w14:paraId="69E8EF45"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28301584"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No</w:t>
            </w:r>
          </w:p>
        </w:tc>
        <w:tc>
          <w:tcPr>
            <w:tcW w:w="1382" w:type="dxa"/>
          </w:tcPr>
          <w:p w14:paraId="57B62E8F" w14:textId="151CADF0"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I do not know</w:t>
            </w:r>
          </w:p>
        </w:tc>
        <w:tc>
          <w:tcPr>
            <w:tcW w:w="1391" w:type="dxa"/>
          </w:tcPr>
          <w:p w14:paraId="03251A57"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Yes</w:t>
            </w:r>
          </w:p>
        </w:tc>
        <w:tc>
          <w:tcPr>
            <w:tcW w:w="1369" w:type="dxa"/>
          </w:tcPr>
          <w:p w14:paraId="41702EC8" w14:textId="77777777" w:rsidR="00DD4B25" w:rsidRPr="00DD4B25" w:rsidRDefault="00DD4B25" w:rsidP="00E25006">
            <w:pPr>
              <w:rPr>
                <w:rFonts w:ascii="Times New Roman" w:hAnsi="Times New Roman" w:cs="Times New Roman"/>
                <w:sz w:val="20"/>
                <w:szCs w:val="20"/>
                <w:lang w:val="en-US"/>
              </w:rPr>
            </w:pPr>
          </w:p>
        </w:tc>
        <w:tc>
          <w:tcPr>
            <w:tcW w:w="1468" w:type="dxa"/>
          </w:tcPr>
          <w:p w14:paraId="07BF8AD3"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5A3D74CD" w14:textId="77777777" w:rsidR="00DD4B25" w:rsidRPr="00DD4B25" w:rsidRDefault="00DD4B25" w:rsidP="00E25006">
            <w:pPr>
              <w:rPr>
                <w:rFonts w:ascii="Times New Roman" w:hAnsi="Times New Roman" w:cs="Times New Roman"/>
                <w:sz w:val="20"/>
                <w:szCs w:val="20"/>
                <w:lang w:val="en-US"/>
              </w:rPr>
            </w:pPr>
          </w:p>
        </w:tc>
      </w:tr>
      <w:tr w:rsidR="000A245A" w:rsidRPr="00DD4B25" w14:paraId="498834EB" w14:textId="77777777" w:rsidTr="000A245A">
        <w:tc>
          <w:tcPr>
            <w:tcW w:w="1557" w:type="dxa"/>
          </w:tcPr>
          <w:p w14:paraId="38E9D0CD" w14:textId="0CF357E2" w:rsidR="00DD4B25" w:rsidRPr="00DD4B25" w:rsidRDefault="000A245A" w:rsidP="00E25006">
            <w:pPr>
              <w:rPr>
                <w:rFonts w:ascii="Times New Roman" w:hAnsi="Times New Roman" w:cs="Times New Roman"/>
                <w:sz w:val="20"/>
                <w:szCs w:val="20"/>
                <w:lang w:val="it-IT"/>
              </w:rPr>
            </w:pPr>
            <w:r>
              <w:rPr>
                <w:rFonts w:ascii="Times New Roman" w:hAnsi="Times New Roman" w:cs="Times New Roman"/>
                <w:sz w:val="20"/>
                <w:szCs w:val="20"/>
                <w:lang w:val="it-IT"/>
              </w:rPr>
              <w:t>Percentage</w:t>
            </w:r>
          </w:p>
        </w:tc>
        <w:tc>
          <w:tcPr>
            <w:tcW w:w="1713" w:type="dxa"/>
          </w:tcPr>
          <w:p w14:paraId="7CFC1A12"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60%</w:t>
            </w:r>
          </w:p>
        </w:tc>
        <w:tc>
          <w:tcPr>
            <w:tcW w:w="1382" w:type="dxa"/>
          </w:tcPr>
          <w:p w14:paraId="6E810DF6"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20%</w:t>
            </w:r>
          </w:p>
        </w:tc>
        <w:tc>
          <w:tcPr>
            <w:tcW w:w="1391" w:type="dxa"/>
          </w:tcPr>
          <w:p w14:paraId="68018615"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20%</w:t>
            </w:r>
          </w:p>
        </w:tc>
        <w:tc>
          <w:tcPr>
            <w:tcW w:w="1369" w:type="dxa"/>
          </w:tcPr>
          <w:p w14:paraId="1D81CD3D" w14:textId="77777777" w:rsidR="00DD4B25" w:rsidRPr="00DD4B25" w:rsidRDefault="00DD4B25" w:rsidP="00E25006">
            <w:pPr>
              <w:rPr>
                <w:rFonts w:ascii="Times New Roman" w:hAnsi="Times New Roman" w:cs="Times New Roman"/>
                <w:sz w:val="20"/>
                <w:szCs w:val="20"/>
                <w:lang w:val="en-US"/>
              </w:rPr>
            </w:pPr>
          </w:p>
        </w:tc>
        <w:tc>
          <w:tcPr>
            <w:tcW w:w="1468" w:type="dxa"/>
          </w:tcPr>
          <w:p w14:paraId="17AB6F6F"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26DEB9BC" w14:textId="77777777" w:rsidR="00DD4B25" w:rsidRPr="00DD4B25" w:rsidRDefault="00DD4B25" w:rsidP="00E25006">
            <w:pPr>
              <w:rPr>
                <w:rFonts w:ascii="Times New Roman" w:hAnsi="Times New Roman" w:cs="Times New Roman"/>
                <w:sz w:val="20"/>
                <w:szCs w:val="20"/>
                <w:lang w:val="en-US"/>
              </w:rPr>
            </w:pPr>
          </w:p>
        </w:tc>
      </w:tr>
      <w:tr w:rsidR="000A245A" w:rsidRPr="00DD4B25" w14:paraId="083DB14F" w14:textId="77777777" w:rsidTr="000A245A">
        <w:tc>
          <w:tcPr>
            <w:tcW w:w="1557" w:type="dxa"/>
          </w:tcPr>
          <w:p w14:paraId="0962EA20"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Rape or sexual assault.</w:t>
            </w:r>
          </w:p>
          <w:p w14:paraId="32BC7D6E" w14:textId="77777777" w:rsidR="00DD4B25" w:rsidRPr="000A245A" w:rsidRDefault="00DD4B25" w:rsidP="000A245A">
            <w:pPr>
              <w:jc w:val="center"/>
              <w:rPr>
                <w:rFonts w:ascii="Times New Roman" w:hAnsi="Times New Roman" w:cs="Times New Roman"/>
                <w:i/>
                <w:iCs/>
                <w:sz w:val="20"/>
                <w:szCs w:val="20"/>
                <w:lang w:val="it-IT"/>
              </w:rPr>
            </w:pPr>
          </w:p>
        </w:tc>
        <w:tc>
          <w:tcPr>
            <w:tcW w:w="1713" w:type="dxa"/>
          </w:tcPr>
          <w:p w14:paraId="0424BA75" w14:textId="77777777" w:rsidR="00DD4B25" w:rsidRPr="000A245A" w:rsidRDefault="00DD4B25" w:rsidP="000A245A">
            <w:pPr>
              <w:pStyle w:val="ListParagraph"/>
              <w:jc w:val="center"/>
              <w:rPr>
                <w:rFonts w:ascii="Times New Roman" w:hAnsi="Times New Roman" w:cs="Times New Roman"/>
                <w:i/>
                <w:iCs/>
                <w:sz w:val="20"/>
                <w:szCs w:val="20"/>
              </w:rPr>
            </w:pPr>
            <w:r w:rsidRPr="000A245A">
              <w:rPr>
                <w:rFonts w:ascii="Times New Roman" w:hAnsi="Times New Roman" w:cs="Times New Roman"/>
                <w:i/>
                <w:iCs/>
                <w:sz w:val="20"/>
                <w:szCs w:val="20"/>
              </w:rPr>
              <w:t>No</w:t>
            </w:r>
          </w:p>
        </w:tc>
        <w:tc>
          <w:tcPr>
            <w:tcW w:w="1382" w:type="dxa"/>
          </w:tcPr>
          <w:p w14:paraId="1011D7A6" w14:textId="08499B45"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Once</w:t>
            </w:r>
          </w:p>
        </w:tc>
        <w:tc>
          <w:tcPr>
            <w:tcW w:w="1391" w:type="dxa"/>
          </w:tcPr>
          <w:p w14:paraId="178AB72D"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More than once</w:t>
            </w:r>
          </w:p>
        </w:tc>
        <w:tc>
          <w:tcPr>
            <w:tcW w:w="1369" w:type="dxa"/>
          </w:tcPr>
          <w:p w14:paraId="3FA1F1D8" w14:textId="77777777" w:rsidR="00DD4B25" w:rsidRPr="00DD4B25" w:rsidRDefault="00DD4B25" w:rsidP="00E25006">
            <w:pPr>
              <w:rPr>
                <w:rFonts w:ascii="Times New Roman" w:hAnsi="Times New Roman" w:cs="Times New Roman"/>
                <w:sz w:val="20"/>
                <w:szCs w:val="20"/>
                <w:lang w:val="en-US"/>
              </w:rPr>
            </w:pPr>
          </w:p>
        </w:tc>
        <w:tc>
          <w:tcPr>
            <w:tcW w:w="1468" w:type="dxa"/>
          </w:tcPr>
          <w:p w14:paraId="42C7C3A9"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04A9FC38" w14:textId="77777777" w:rsidR="00DD4B25" w:rsidRPr="00DD4B25" w:rsidRDefault="00DD4B25" w:rsidP="00E25006">
            <w:pPr>
              <w:rPr>
                <w:rFonts w:ascii="Times New Roman" w:hAnsi="Times New Roman" w:cs="Times New Roman"/>
                <w:sz w:val="20"/>
                <w:szCs w:val="20"/>
                <w:lang w:val="en-US"/>
              </w:rPr>
            </w:pPr>
          </w:p>
        </w:tc>
      </w:tr>
      <w:tr w:rsidR="000A245A" w:rsidRPr="00DD4B25" w14:paraId="225B8F1B" w14:textId="77777777" w:rsidTr="000A245A">
        <w:tc>
          <w:tcPr>
            <w:tcW w:w="1557" w:type="dxa"/>
          </w:tcPr>
          <w:p w14:paraId="41C7E9AF" w14:textId="77777777" w:rsidR="00DD4B25" w:rsidRPr="00DD4B25" w:rsidRDefault="00DD4B25" w:rsidP="00E25006">
            <w:pPr>
              <w:rPr>
                <w:rFonts w:ascii="Times New Roman" w:hAnsi="Times New Roman" w:cs="Times New Roman"/>
                <w:sz w:val="20"/>
                <w:szCs w:val="20"/>
              </w:rPr>
            </w:pPr>
          </w:p>
        </w:tc>
        <w:tc>
          <w:tcPr>
            <w:tcW w:w="1713" w:type="dxa"/>
          </w:tcPr>
          <w:p w14:paraId="2D5CAB14"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70%</w:t>
            </w:r>
          </w:p>
        </w:tc>
        <w:tc>
          <w:tcPr>
            <w:tcW w:w="1382" w:type="dxa"/>
          </w:tcPr>
          <w:p w14:paraId="571BE333"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0%</w:t>
            </w:r>
          </w:p>
        </w:tc>
        <w:tc>
          <w:tcPr>
            <w:tcW w:w="1391" w:type="dxa"/>
          </w:tcPr>
          <w:p w14:paraId="63E7F98F"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30%</w:t>
            </w:r>
          </w:p>
        </w:tc>
        <w:tc>
          <w:tcPr>
            <w:tcW w:w="1369" w:type="dxa"/>
          </w:tcPr>
          <w:p w14:paraId="555DE194" w14:textId="77777777" w:rsidR="00DD4B25" w:rsidRPr="00DD4B25" w:rsidRDefault="00DD4B25" w:rsidP="00E25006">
            <w:pPr>
              <w:rPr>
                <w:rFonts w:ascii="Times New Roman" w:hAnsi="Times New Roman" w:cs="Times New Roman"/>
                <w:sz w:val="20"/>
                <w:szCs w:val="20"/>
                <w:lang w:val="en-US"/>
              </w:rPr>
            </w:pPr>
          </w:p>
        </w:tc>
        <w:tc>
          <w:tcPr>
            <w:tcW w:w="1468" w:type="dxa"/>
          </w:tcPr>
          <w:p w14:paraId="0DA3C38F"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5E9201CA" w14:textId="77777777" w:rsidR="00DD4B25" w:rsidRPr="00DD4B25" w:rsidRDefault="00DD4B25" w:rsidP="00E25006">
            <w:pPr>
              <w:rPr>
                <w:rFonts w:ascii="Times New Roman" w:hAnsi="Times New Roman" w:cs="Times New Roman"/>
                <w:sz w:val="20"/>
                <w:szCs w:val="20"/>
                <w:lang w:val="en-US"/>
              </w:rPr>
            </w:pPr>
          </w:p>
        </w:tc>
      </w:tr>
      <w:tr w:rsidR="000A245A" w:rsidRPr="00DD4B25" w14:paraId="4BBA7C75" w14:textId="77777777" w:rsidTr="000A245A">
        <w:tc>
          <w:tcPr>
            <w:tcW w:w="1557" w:type="dxa"/>
          </w:tcPr>
          <w:p w14:paraId="2D8DC7CA" w14:textId="2AB6446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 xml:space="preserve">Suicide </w:t>
            </w:r>
            <w:r w:rsidR="00DE2A52" w:rsidRPr="000A245A">
              <w:rPr>
                <w:rFonts w:ascii="Times New Roman" w:hAnsi="Times New Roman" w:cs="Times New Roman"/>
                <w:i/>
                <w:iCs/>
                <w:sz w:val="20"/>
                <w:szCs w:val="20"/>
              </w:rPr>
              <w:t>attempts.</w:t>
            </w:r>
          </w:p>
          <w:p w14:paraId="33366713"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491D23CF" w14:textId="0AD659B2"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No</w:t>
            </w:r>
          </w:p>
        </w:tc>
        <w:tc>
          <w:tcPr>
            <w:tcW w:w="1382" w:type="dxa"/>
          </w:tcPr>
          <w:p w14:paraId="7DF3A937"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I do not know</w:t>
            </w:r>
          </w:p>
        </w:tc>
        <w:tc>
          <w:tcPr>
            <w:tcW w:w="1391" w:type="dxa"/>
          </w:tcPr>
          <w:p w14:paraId="07AFAE33"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Yes</w:t>
            </w:r>
          </w:p>
        </w:tc>
        <w:tc>
          <w:tcPr>
            <w:tcW w:w="1369" w:type="dxa"/>
          </w:tcPr>
          <w:p w14:paraId="79BAA0E2" w14:textId="77777777" w:rsidR="00DD4B25" w:rsidRPr="00DD4B25" w:rsidRDefault="00DD4B25" w:rsidP="00E25006">
            <w:pPr>
              <w:rPr>
                <w:rFonts w:ascii="Times New Roman" w:hAnsi="Times New Roman" w:cs="Times New Roman"/>
                <w:sz w:val="20"/>
                <w:szCs w:val="20"/>
                <w:lang w:val="en-US"/>
              </w:rPr>
            </w:pPr>
          </w:p>
        </w:tc>
        <w:tc>
          <w:tcPr>
            <w:tcW w:w="1468" w:type="dxa"/>
          </w:tcPr>
          <w:p w14:paraId="07BAED73"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29340542" w14:textId="77777777" w:rsidR="00DD4B25" w:rsidRPr="00DD4B25" w:rsidRDefault="00DD4B25" w:rsidP="00E25006">
            <w:pPr>
              <w:rPr>
                <w:rFonts w:ascii="Times New Roman" w:hAnsi="Times New Roman" w:cs="Times New Roman"/>
                <w:sz w:val="20"/>
                <w:szCs w:val="20"/>
                <w:lang w:val="en-US"/>
              </w:rPr>
            </w:pPr>
          </w:p>
        </w:tc>
      </w:tr>
      <w:tr w:rsidR="000A245A" w:rsidRPr="00DD4B25" w14:paraId="1BA00166" w14:textId="77777777" w:rsidTr="000A245A">
        <w:tc>
          <w:tcPr>
            <w:tcW w:w="1557" w:type="dxa"/>
          </w:tcPr>
          <w:p w14:paraId="4C457948" w14:textId="4160A99C"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204AA4C3"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70%</w:t>
            </w:r>
          </w:p>
        </w:tc>
        <w:tc>
          <w:tcPr>
            <w:tcW w:w="1382" w:type="dxa"/>
          </w:tcPr>
          <w:p w14:paraId="6A9F8C01"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10%</w:t>
            </w:r>
          </w:p>
        </w:tc>
        <w:tc>
          <w:tcPr>
            <w:tcW w:w="1391" w:type="dxa"/>
          </w:tcPr>
          <w:p w14:paraId="05CAE0ED"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20%</w:t>
            </w:r>
          </w:p>
        </w:tc>
        <w:tc>
          <w:tcPr>
            <w:tcW w:w="1369" w:type="dxa"/>
          </w:tcPr>
          <w:p w14:paraId="5323A06A" w14:textId="77777777" w:rsidR="00DD4B25" w:rsidRPr="00DD4B25" w:rsidRDefault="00DD4B25" w:rsidP="00E25006">
            <w:pPr>
              <w:rPr>
                <w:rFonts w:ascii="Times New Roman" w:hAnsi="Times New Roman" w:cs="Times New Roman"/>
                <w:sz w:val="20"/>
                <w:szCs w:val="20"/>
                <w:lang w:val="en-US"/>
              </w:rPr>
            </w:pPr>
          </w:p>
        </w:tc>
        <w:tc>
          <w:tcPr>
            <w:tcW w:w="1468" w:type="dxa"/>
          </w:tcPr>
          <w:p w14:paraId="18CDE4D1"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2DCFE564" w14:textId="77777777" w:rsidR="00DD4B25" w:rsidRPr="00DD4B25" w:rsidRDefault="00DD4B25" w:rsidP="00E25006">
            <w:pPr>
              <w:rPr>
                <w:rFonts w:ascii="Times New Roman" w:hAnsi="Times New Roman" w:cs="Times New Roman"/>
                <w:sz w:val="20"/>
                <w:szCs w:val="20"/>
                <w:lang w:val="en-US"/>
              </w:rPr>
            </w:pPr>
          </w:p>
        </w:tc>
      </w:tr>
      <w:tr w:rsidR="000A245A" w:rsidRPr="00DD4B25" w14:paraId="287FDC11" w14:textId="77777777" w:rsidTr="000A245A">
        <w:tc>
          <w:tcPr>
            <w:tcW w:w="1557" w:type="dxa"/>
          </w:tcPr>
          <w:p w14:paraId="64627840" w14:textId="6F39E205"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 xml:space="preserve">Witnessed </w:t>
            </w:r>
            <w:r w:rsidR="00DE2A52" w:rsidRPr="000A245A">
              <w:rPr>
                <w:rFonts w:ascii="Times New Roman" w:hAnsi="Times New Roman" w:cs="Times New Roman"/>
                <w:i/>
                <w:iCs/>
                <w:sz w:val="20"/>
                <w:szCs w:val="20"/>
              </w:rPr>
              <w:t>violence.</w:t>
            </w:r>
          </w:p>
          <w:p w14:paraId="30AC130E"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5463D7D3" w14:textId="5C3BBAE8"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No</w:t>
            </w:r>
          </w:p>
        </w:tc>
        <w:tc>
          <w:tcPr>
            <w:tcW w:w="1382" w:type="dxa"/>
          </w:tcPr>
          <w:p w14:paraId="155BAE65"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I do not know</w:t>
            </w:r>
          </w:p>
        </w:tc>
        <w:tc>
          <w:tcPr>
            <w:tcW w:w="1391" w:type="dxa"/>
          </w:tcPr>
          <w:p w14:paraId="793E0C04"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Yes</w:t>
            </w:r>
          </w:p>
        </w:tc>
        <w:tc>
          <w:tcPr>
            <w:tcW w:w="1369" w:type="dxa"/>
          </w:tcPr>
          <w:p w14:paraId="5C5FDF8D" w14:textId="77777777" w:rsidR="00DD4B25" w:rsidRPr="00DD4B25" w:rsidRDefault="00DD4B25" w:rsidP="00E25006">
            <w:pPr>
              <w:rPr>
                <w:rFonts w:ascii="Times New Roman" w:hAnsi="Times New Roman" w:cs="Times New Roman"/>
                <w:sz w:val="20"/>
                <w:szCs w:val="20"/>
                <w:lang w:val="en-US"/>
              </w:rPr>
            </w:pPr>
          </w:p>
        </w:tc>
        <w:tc>
          <w:tcPr>
            <w:tcW w:w="1468" w:type="dxa"/>
          </w:tcPr>
          <w:p w14:paraId="651005DA"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32BD7009" w14:textId="77777777" w:rsidR="00DD4B25" w:rsidRPr="00DD4B25" w:rsidRDefault="00DD4B25" w:rsidP="00E25006">
            <w:pPr>
              <w:rPr>
                <w:rFonts w:ascii="Times New Roman" w:hAnsi="Times New Roman" w:cs="Times New Roman"/>
                <w:sz w:val="20"/>
                <w:szCs w:val="20"/>
                <w:lang w:val="en-US"/>
              </w:rPr>
            </w:pPr>
          </w:p>
        </w:tc>
      </w:tr>
      <w:tr w:rsidR="000A245A" w:rsidRPr="00DD4B25" w14:paraId="34B7D80A" w14:textId="77777777" w:rsidTr="000A245A">
        <w:tc>
          <w:tcPr>
            <w:tcW w:w="1557" w:type="dxa"/>
          </w:tcPr>
          <w:p w14:paraId="4C2A4700" w14:textId="6804C799" w:rsidR="00DD4B25" w:rsidRPr="00DD4B25" w:rsidRDefault="000A245A" w:rsidP="00E25006">
            <w:pP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0CF2A824"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50%</w:t>
            </w:r>
          </w:p>
        </w:tc>
        <w:tc>
          <w:tcPr>
            <w:tcW w:w="1382" w:type="dxa"/>
          </w:tcPr>
          <w:p w14:paraId="54291816"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20%</w:t>
            </w:r>
          </w:p>
        </w:tc>
        <w:tc>
          <w:tcPr>
            <w:tcW w:w="1391" w:type="dxa"/>
          </w:tcPr>
          <w:p w14:paraId="478DE7DF"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30%</w:t>
            </w:r>
          </w:p>
        </w:tc>
        <w:tc>
          <w:tcPr>
            <w:tcW w:w="1369" w:type="dxa"/>
          </w:tcPr>
          <w:p w14:paraId="2A0534B9" w14:textId="77777777" w:rsidR="00DD4B25" w:rsidRPr="00DD4B25" w:rsidRDefault="00DD4B25" w:rsidP="00E25006">
            <w:pPr>
              <w:rPr>
                <w:rFonts w:ascii="Times New Roman" w:hAnsi="Times New Roman" w:cs="Times New Roman"/>
                <w:sz w:val="20"/>
                <w:szCs w:val="20"/>
                <w:lang w:val="en-US"/>
              </w:rPr>
            </w:pPr>
          </w:p>
        </w:tc>
        <w:tc>
          <w:tcPr>
            <w:tcW w:w="1468" w:type="dxa"/>
          </w:tcPr>
          <w:p w14:paraId="24C46777"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1DC1F3EF" w14:textId="77777777" w:rsidR="00DD4B25" w:rsidRPr="00DD4B25" w:rsidRDefault="00DD4B25" w:rsidP="00E25006">
            <w:pPr>
              <w:rPr>
                <w:rFonts w:ascii="Times New Roman" w:hAnsi="Times New Roman" w:cs="Times New Roman"/>
                <w:sz w:val="20"/>
                <w:szCs w:val="20"/>
                <w:lang w:val="en-US"/>
              </w:rPr>
            </w:pPr>
          </w:p>
        </w:tc>
      </w:tr>
      <w:tr w:rsidR="000A245A" w:rsidRPr="00DD4B25" w14:paraId="25DD83FC" w14:textId="77777777" w:rsidTr="000A245A">
        <w:tc>
          <w:tcPr>
            <w:tcW w:w="1557" w:type="dxa"/>
          </w:tcPr>
          <w:p w14:paraId="0BE7C4AA"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Physical abuse</w:t>
            </w:r>
          </w:p>
          <w:p w14:paraId="557056BE"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51BC9E93" w14:textId="4EB4D72D" w:rsidR="00DD4B25" w:rsidRPr="000A245A" w:rsidRDefault="00DD4B25" w:rsidP="000A245A">
            <w:pPr>
              <w:pStyle w:val="ListParagraph"/>
              <w:rPr>
                <w:rFonts w:ascii="Times New Roman" w:hAnsi="Times New Roman" w:cs="Times New Roman"/>
                <w:i/>
                <w:iCs/>
                <w:sz w:val="20"/>
                <w:szCs w:val="20"/>
              </w:rPr>
            </w:pPr>
            <w:r w:rsidRPr="000A245A">
              <w:rPr>
                <w:rFonts w:ascii="Times New Roman" w:hAnsi="Times New Roman" w:cs="Times New Roman"/>
                <w:i/>
                <w:iCs/>
                <w:sz w:val="20"/>
                <w:szCs w:val="20"/>
              </w:rPr>
              <w:t>No</w:t>
            </w:r>
          </w:p>
        </w:tc>
        <w:tc>
          <w:tcPr>
            <w:tcW w:w="1382" w:type="dxa"/>
          </w:tcPr>
          <w:p w14:paraId="4C1C484A"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I do not know</w:t>
            </w:r>
          </w:p>
        </w:tc>
        <w:tc>
          <w:tcPr>
            <w:tcW w:w="1391" w:type="dxa"/>
          </w:tcPr>
          <w:p w14:paraId="740E2562"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Yes</w:t>
            </w:r>
          </w:p>
        </w:tc>
        <w:tc>
          <w:tcPr>
            <w:tcW w:w="1369" w:type="dxa"/>
          </w:tcPr>
          <w:p w14:paraId="5DBD0D05" w14:textId="77777777" w:rsidR="00DD4B25" w:rsidRPr="00DD4B25" w:rsidRDefault="00DD4B25" w:rsidP="00E25006">
            <w:pPr>
              <w:rPr>
                <w:rFonts w:ascii="Times New Roman" w:hAnsi="Times New Roman" w:cs="Times New Roman"/>
                <w:sz w:val="20"/>
                <w:szCs w:val="20"/>
                <w:lang w:val="en-US"/>
              </w:rPr>
            </w:pPr>
          </w:p>
        </w:tc>
        <w:tc>
          <w:tcPr>
            <w:tcW w:w="1468" w:type="dxa"/>
          </w:tcPr>
          <w:p w14:paraId="38A972BA"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57A3115A" w14:textId="77777777" w:rsidR="00DD4B25" w:rsidRPr="00DD4B25" w:rsidRDefault="00DD4B25" w:rsidP="00E25006">
            <w:pPr>
              <w:rPr>
                <w:rFonts w:ascii="Times New Roman" w:hAnsi="Times New Roman" w:cs="Times New Roman"/>
                <w:sz w:val="20"/>
                <w:szCs w:val="20"/>
                <w:lang w:val="en-US"/>
              </w:rPr>
            </w:pPr>
          </w:p>
        </w:tc>
      </w:tr>
      <w:tr w:rsidR="000A245A" w:rsidRPr="00DD4B25" w14:paraId="0C491A4C" w14:textId="77777777" w:rsidTr="000A245A">
        <w:tc>
          <w:tcPr>
            <w:tcW w:w="1557" w:type="dxa"/>
          </w:tcPr>
          <w:p w14:paraId="3E1D2FAA" w14:textId="7DDD528A" w:rsidR="00DD4B25" w:rsidRPr="00DD4B25" w:rsidRDefault="000A245A" w:rsidP="000A245A">
            <w:pPr>
              <w:jc w:val="cente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00BA73CA" w14:textId="4435F7EF" w:rsidR="00DD4B25" w:rsidRPr="000A245A" w:rsidRDefault="00DD4B25" w:rsidP="000A245A">
            <w:pPr>
              <w:pStyle w:val="ListParagraph"/>
              <w:numPr>
                <w:ilvl w:val="0"/>
                <w:numId w:val="1"/>
              </w:numPr>
              <w:rPr>
                <w:rFonts w:ascii="Times New Roman" w:hAnsi="Times New Roman" w:cs="Times New Roman"/>
                <w:sz w:val="20"/>
                <w:szCs w:val="20"/>
              </w:rPr>
            </w:pPr>
            <w:r w:rsidRPr="000A245A">
              <w:rPr>
                <w:rFonts w:ascii="Times New Roman" w:hAnsi="Times New Roman" w:cs="Times New Roman"/>
                <w:sz w:val="20"/>
                <w:szCs w:val="20"/>
              </w:rPr>
              <w:t>50%</w:t>
            </w:r>
          </w:p>
        </w:tc>
        <w:tc>
          <w:tcPr>
            <w:tcW w:w="1382" w:type="dxa"/>
          </w:tcPr>
          <w:p w14:paraId="0BF8B67F" w14:textId="77777777" w:rsidR="00DD4B25" w:rsidRPr="00DD4B25" w:rsidRDefault="00DD4B25" w:rsidP="000A245A">
            <w:pPr>
              <w:pStyle w:val="ListParagraph"/>
              <w:numPr>
                <w:ilvl w:val="0"/>
                <w:numId w:val="1"/>
              </w:numPr>
              <w:jc w:val="center"/>
              <w:rPr>
                <w:rFonts w:ascii="Times New Roman" w:hAnsi="Times New Roman" w:cs="Times New Roman"/>
                <w:sz w:val="20"/>
                <w:szCs w:val="20"/>
                <w:lang w:val="en-US"/>
              </w:rPr>
            </w:pPr>
            <w:r w:rsidRPr="00DD4B25">
              <w:rPr>
                <w:rFonts w:ascii="Times New Roman" w:hAnsi="Times New Roman" w:cs="Times New Roman"/>
                <w:sz w:val="20"/>
                <w:szCs w:val="20"/>
                <w:lang w:val="en-US"/>
              </w:rPr>
              <w:t>30%</w:t>
            </w:r>
          </w:p>
        </w:tc>
        <w:tc>
          <w:tcPr>
            <w:tcW w:w="1391" w:type="dxa"/>
          </w:tcPr>
          <w:p w14:paraId="5F7DDCC2" w14:textId="77777777" w:rsidR="00DD4B25" w:rsidRPr="00DD4B25" w:rsidRDefault="00DD4B25" w:rsidP="000A245A">
            <w:pPr>
              <w:pStyle w:val="ListParagraph"/>
              <w:numPr>
                <w:ilvl w:val="0"/>
                <w:numId w:val="1"/>
              </w:numPr>
              <w:jc w:val="center"/>
              <w:rPr>
                <w:rFonts w:ascii="Times New Roman" w:hAnsi="Times New Roman" w:cs="Times New Roman"/>
                <w:sz w:val="20"/>
                <w:szCs w:val="20"/>
                <w:lang w:val="en-US"/>
              </w:rPr>
            </w:pPr>
            <w:r w:rsidRPr="00DD4B25">
              <w:rPr>
                <w:rFonts w:ascii="Times New Roman" w:hAnsi="Times New Roman" w:cs="Times New Roman"/>
                <w:sz w:val="20"/>
                <w:szCs w:val="20"/>
                <w:lang w:val="en-US"/>
              </w:rPr>
              <w:t>20%</w:t>
            </w:r>
          </w:p>
        </w:tc>
        <w:tc>
          <w:tcPr>
            <w:tcW w:w="1369" w:type="dxa"/>
          </w:tcPr>
          <w:p w14:paraId="7A8AF3C6" w14:textId="77777777" w:rsidR="00DD4B25" w:rsidRPr="00DD4B25" w:rsidRDefault="00DD4B25" w:rsidP="00E25006">
            <w:pPr>
              <w:rPr>
                <w:rFonts w:ascii="Times New Roman" w:hAnsi="Times New Roman" w:cs="Times New Roman"/>
                <w:sz w:val="20"/>
                <w:szCs w:val="20"/>
                <w:lang w:val="en-US"/>
              </w:rPr>
            </w:pPr>
          </w:p>
        </w:tc>
        <w:tc>
          <w:tcPr>
            <w:tcW w:w="1468" w:type="dxa"/>
          </w:tcPr>
          <w:p w14:paraId="3FB6EDAA"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67C85A9D" w14:textId="77777777" w:rsidR="00DD4B25" w:rsidRPr="00DD4B25" w:rsidRDefault="00DD4B25" w:rsidP="00E25006">
            <w:pPr>
              <w:rPr>
                <w:rFonts w:ascii="Times New Roman" w:hAnsi="Times New Roman" w:cs="Times New Roman"/>
                <w:sz w:val="20"/>
                <w:szCs w:val="20"/>
                <w:lang w:val="en-US"/>
              </w:rPr>
            </w:pPr>
          </w:p>
        </w:tc>
      </w:tr>
      <w:tr w:rsidR="000A245A" w:rsidRPr="00DD4B25" w14:paraId="60988B94" w14:textId="77777777" w:rsidTr="000A245A">
        <w:tc>
          <w:tcPr>
            <w:tcW w:w="1557" w:type="dxa"/>
          </w:tcPr>
          <w:p w14:paraId="6B82803E" w14:textId="77777777" w:rsidR="00DD4B25" w:rsidRPr="000A245A" w:rsidRDefault="00DD4B25" w:rsidP="000A245A">
            <w:pPr>
              <w:jc w:val="center"/>
              <w:rPr>
                <w:rFonts w:ascii="Times New Roman" w:hAnsi="Times New Roman" w:cs="Times New Roman"/>
                <w:i/>
                <w:iCs/>
                <w:sz w:val="20"/>
                <w:szCs w:val="20"/>
              </w:rPr>
            </w:pPr>
            <w:r w:rsidRPr="000A245A">
              <w:rPr>
                <w:rFonts w:ascii="Times New Roman" w:hAnsi="Times New Roman" w:cs="Times New Roman"/>
                <w:i/>
                <w:iCs/>
                <w:sz w:val="20"/>
                <w:szCs w:val="20"/>
              </w:rPr>
              <w:t>Sexual abuse</w:t>
            </w:r>
          </w:p>
        </w:tc>
        <w:tc>
          <w:tcPr>
            <w:tcW w:w="1713" w:type="dxa"/>
          </w:tcPr>
          <w:p w14:paraId="087EB1EE" w14:textId="77777777" w:rsidR="00DD4B25" w:rsidRPr="000A245A" w:rsidRDefault="00DD4B25" w:rsidP="000A245A">
            <w:pPr>
              <w:pStyle w:val="ListParagraph"/>
              <w:rPr>
                <w:rFonts w:ascii="Times New Roman" w:hAnsi="Times New Roman" w:cs="Times New Roman"/>
                <w:i/>
                <w:iCs/>
                <w:sz w:val="20"/>
                <w:szCs w:val="20"/>
              </w:rPr>
            </w:pPr>
            <w:r w:rsidRPr="000A245A">
              <w:rPr>
                <w:rFonts w:ascii="Times New Roman" w:hAnsi="Times New Roman" w:cs="Times New Roman"/>
                <w:i/>
                <w:iCs/>
                <w:sz w:val="20"/>
                <w:szCs w:val="20"/>
              </w:rPr>
              <w:t>No</w:t>
            </w:r>
          </w:p>
        </w:tc>
        <w:tc>
          <w:tcPr>
            <w:tcW w:w="1382" w:type="dxa"/>
          </w:tcPr>
          <w:p w14:paraId="7F7C9E0C"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I do not know</w:t>
            </w:r>
          </w:p>
        </w:tc>
        <w:tc>
          <w:tcPr>
            <w:tcW w:w="1391" w:type="dxa"/>
          </w:tcPr>
          <w:p w14:paraId="6AC8211A" w14:textId="77777777"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Yes</w:t>
            </w:r>
          </w:p>
        </w:tc>
        <w:tc>
          <w:tcPr>
            <w:tcW w:w="1369" w:type="dxa"/>
          </w:tcPr>
          <w:p w14:paraId="1AAACE45" w14:textId="77777777" w:rsidR="00DD4B25" w:rsidRPr="00DD4B25" w:rsidRDefault="00DD4B25" w:rsidP="00E25006">
            <w:pPr>
              <w:rPr>
                <w:rFonts w:ascii="Times New Roman" w:hAnsi="Times New Roman" w:cs="Times New Roman"/>
                <w:sz w:val="20"/>
                <w:szCs w:val="20"/>
                <w:lang w:val="en-US"/>
              </w:rPr>
            </w:pPr>
          </w:p>
        </w:tc>
        <w:tc>
          <w:tcPr>
            <w:tcW w:w="1468" w:type="dxa"/>
          </w:tcPr>
          <w:p w14:paraId="25B7EF3B"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1C616CD3" w14:textId="77777777" w:rsidR="00DD4B25" w:rsidRPr="00DD4B25" w:rsidRDefault="00DD4B25" w:rsidP="00E25006">
            <w:pPr>
              <w:rPr>
                <w:rFonts w:ascii="Times New Roman" w:hAnsi="Times New Roman" w:cs="Times New Roman"/>
                <w:sz w:val="20"/>
                <w:szCs w:val="20"/>
                <w:lang w:val="en-US"/>
              </w:rPr>
            </w:pPr>
          </w:p>
        </w:tc>
      </w:tr>
      <w:tr w:rsidR="000A245A" w:rsidRPr="00DD4B25" w14:paraId="120A7A0E" w14:textId="77777777" w:rsidTr="000A245A">
        <w:tc>
          <w:tcPr>
            <w:tcW w:w="1557" w:type="dxa"/>
          </w:tcPr>
          <w:p w14:paraId="572F9E0E" w14:textId="44A84F7C" w:rsidR="00DD4B25" w:rsidRPr="00DD4B25" w:rsidRDefault="000A245A" w:rsidP="000A245A">
            <w:pPr>
              <w:jc w:val="center"/>
              <w:rPr>
                <w:rFonts w:ascii="Times New Roman" w:hAnsi="Times New Roman" w:cs="Times New Roman"/>
                <w:sz w:val="20"/>
                <w:szCs w:val="20"/>
              </w:rPr>
            </w:pPr>
            <w:r>
              <w:rPr>
                <w:rFonts w:ascii="Times New Roman" w:hAnsi="Times New Roman" w:cs="Times New Roman"/>
                <w:sz w:val="20"/>
                <w:szCs w:val="20"/>
              </w:rPr>
              <w:t>Percentage</w:t>
            </w:r>
          </w:p>
        </w:tc>
        <w:tc>
          <w:tcPr>
            <w:tcW w:w="1713" w:type="dxa"/>
          </w:tcPr>
          <w:p w14:paraId="58CF7180" w14:textId="77777777" w:rsidR="00DD4B25" w:rsidRPr="00DD4B25" w:rsidRDefault="00DD4B25" w:rsidP="00E25006">
            <w:pPr>
              <w:pStyle w:val="ListParagraph"/>
              <w:numPr>
                <w:ilvl w:val="0"/>
                <w:numId w:val="1"/>
              </w:numPr>
              <w:rPr>
                <w:rFonts w:ascii="Times New Roman" w:hAnsi="Times New Roman" w:cs="Times New Roman"/>
                <w:sz w:val="20"/>
                <w:szCs w:val="20"/>
              </w:rPr>
            </w:pPr>
            <w:r w:rsidRPr="00DD4B25">
              <w:rPr>
                <w:rFonts w:ascii="Times New Roman" w:hAnsi="Times New Roman" w:cs="Times New Roman"/>
                <w:sz w:val="20"/>
                <w:szCs w:val="20"/>
              </w:rPr>
              <w:t>56%</w:t>
            </w:r>
          </w:p>
        </w:tc>
        <w:tc>
          <w:tcPr>
            <w:tcW w:w="1382" w:type="dxa"/>
          </w:tcPr>
          <w:p w14:paraId="2942235A"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20%</w:t>
            </w:r>
          </w:p>
        </w:tc>
        <w:tc>
          <w:tcPr>
            <w:tcW w:w="1391" w:type="dxa"/>
          </w:tcPr>
          <w:p w14:paraId="69530417"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r w:rsidRPr="00DD4B25">
              <w:rPr>
                <w:rFonts w:ascii="Times New Roman" w:hAnsi="Times New Roman" w:cs="Times New Roman"/>
                <w:sz w:val="20"/>
                <w:szCs w:val="20"/>
                <w:lang w:val="en-US"/>
              </w:rPr>
              <w:t>24%</w:t>
            </w:r>
          </w:p>
        </w:tc>
        <w:tc>
          <w:tcPr>
            <w:tcW w:w="1369" w:type="dxa"/>
          </w:tcPr>
          <w:p w14:paraId="30D0E2BD" w14:textId="77777777" w:rsidR="00DD4B25" w:rsidRPr="00DD4B25" w:rsidRDefault="00DD4B25" w:rsidP="00E25006">
            <w:pPr>
              <w:rPr>
                <w:rFonts w:ascii="Times New Roman" w:hAnsi="Times New Roman" w:cs="Times New Roman"/>
                <w:sz w:val="20"/>
                <w:szCs w:val="20"/>
                <w:lang w:val="en-US"/>
              </w:rPr>
            </w:pPr>
          </w:p>
        </w:tc>
        <w:tc>
          <w:tcPr>
            <w:tcW w:w="1468" w:type="dxa"/>
          </w:tcPr>
          <w:p w14:paraId="58973437"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3BBB0DBA" w14:textId="77777777" w:rsidR="00DD4B25" w:rsidRPr="00DD4B25" w:rsidRDefault="00DD4B25" w:rsidP="00E25006">
            <w:pPr>
              <w:rPr>
                <w:rFonts w:ascii="Times New Roman" w:hAnsi="Times New Roman" w:cs="Times New Roman"/>
                <w:sz w:val="20"/>
                <w:szCs w:val="20"/>
                <w:lang w:val="en-US"/>
              </w:rPr>
            </w:pPr>
          </w:p>
        </w:tc>
      </w:tr>
      <w:tr w:rsidR="000A245A" w:rsidRPr="00DD4B25" w14:paraId="4B123667" w14:textId="77777777" w:rsidTr="000A245A">
        <w:tc>
          <w:tcPr>
            <w:tcW w:w="1557" w:type="dxa"/>
          </w:tcPr>
          <w:p w14:paraId="36F92AA0" w14:textId="77777777" w:rsidR="00DD4B25" w:rsidRPr="000A245A" w:rsidRDefault="00DD4B25" w:rsidP="000A245A">
            <w:pPr>
              <w:jc w:val="center"/>
              <w:rPr>
                <w:rFonts w:ascii="Times New Roman" w:hAnsi="Times New Roman" w:cs="Times New Roman"/>
                <w:i/>
                <w:iCs/>
                <w:sz w:val="20"/>
                <w:szCs w:val="20"/>
                <w:lang w:val="it-IT"/>
              </w:rPr>
            </w:pPr>
            <w:r w:rsidRPr="000A245A">
              <w:rPr>
                <w:rFonts w:ascii="Times New Roman" w:hAnsi="Times New Roman" w:cs="Times New Roman"/>
                <w:i/>
                <w:iCs/>
                <w:sz w:val="20"/>
                <w:szCs w:val="20"/>
                <w:lang w:val="it-IT"/>
              </w:rPr>
              <w:t>SCL-90 indices</w:t>
            </w:r>
          </w:p>
          <w:p w14:paraId="0FE5172B" w14:textId="77777777" w:rsidR="00DD4B25" w:rsidRPr="000A245A" w:rsidRDefault="00DD4B25" w:rsidP="000A245A">
            <w:pPr>
              <w:jc w:val="center"/>
              <w:rPr>
                <w:rFonts w:ascii="Times New Roman" w:hAnsi="Times New Roman" w:cs="Times New Roman"/>
                <w:i/>
                <w:iCs/>
                <w:sz w:val="20"/>
                <w:szCs w:val="20"/>
              </w:rPr>
            </w:pPr>
          </w:p>
        </w:tc>
        <w:tc>
          <w:tcPr>
            <w:tcW w:w="1713" w:type="dxa"/>
          </w:tcPr>
          <w:p w14:paraId="62B67455" w14:textId="77777777" w:rsidR="00DD4B25" w:rsidRPr="000A245A" w:rsidRDefault="00DD4B25" w:rsidP="000A245A">
            <w:pPr>
              <w:jc w:val="center"/>
              <w:rPr>
                <w:rFonts w:ascii="Times New Roman" w:hAnsi="Times New Roman" w:cs="Times New Roman"/>
                <w:i/>
                <w:iCs/>
                <w:sz w:val="20"/>
                <w:szCs w:val="20"/>
                <w:lang w:val="it-IT"/>
              </w:rPr>
            </w:pPr>
            <w:r w:rsidRPr="000A245A">
              <w:rPr>
                <w:rFonts w:ascii="Times New Roman" w:hAnsi="Times New Roman" w:cs="Times New Roman"/>
                <w:i/>
                <w:iCs/>
                <w:sz w:val="20"/>
                <w:szCs w:val="20"/>
                <w:lang w:val="it-IT"/>
              </w:rPr>
              <w:t>GSI</w:t>
            </w:r>
          </w:p>
          <w:p w14:paraId="0C99C510" w14:textId="77777777" w:rsidR="00DD4B25" w:rsidRPr="000A245A" w:rsidRDefault="00DD4B25" w:rsidP="000A245A">
            <w:pPr>
              <w:jc w:val="center"/>
              <w:rPr>
                <w:rFonts w:ascii="Times New Roman" w:hAnsi="Times New Roman" w:cs="Times New Roman"/>
                <w:i/>
                <w:iCs/>
                <w:sz w:val="20"/>
                <w:szCs w:val="20"/>
              </w:rPr>
            </w:pPr>
          </w:p>
        </w:tc>
        <w:tc>
          <w:tcPr>
            <w:tcW w:w="1382" w:type="dxa"/>
          </w:tcPr>
          <w:p w14:paraId="0229A4AC" w14:textId="77777777" w:rsidR="00DD4B25" w:rsidRPr="000A245A" w:rsidRDefault="00DD4B25" w:rsidP="000A245A">
            <w:pPr>
              <w:jc w:val="center"/>
              <w:rPr>
                <w:rFonts w:ascii="Times New Roman" w:hAnsi="Times New Roman" w:cs="Times New Roman"/>
                <w:i/>
                <w:iCs/>
                <w:sz w:val="20"/>
                <w:szCs w:val="20"/>
                <w:lang w:val="it-IT"/>
              </w:rPr>
            </w:pPr>
            <w:r w:rsidRPr="000A245A">
              <w:rPr>
                <w:rFonts w:ascii="Times New Roman" w:hAnsi="Times New Roman" w:cs="Times New Roman"/>
                <w:i/>
                <w:iCs/>
                <w:sz w:val="20"/>
                <w:szCs w:val="20"/>
                <w:lang w:val="it-IT"/>
              </w:rPr>
              <w:t>Suicide Ideation</w:t>
            </w:r>
          </w:p>
          <w:p w14:paraId="129F1442" w14:textId="0AAFB450" w:rsidR="00DD4B25" w:rsidRPr="000A245A" w:rsidRDefault="00DD4B25" w:rsidP="000A245A">
            <w:p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Average:</w:t>
            </w:r>
          </w:p>
          <w:p w14:paraId="7BD8DD2D" w14:textId="77777777" w:rsidR="00DD4B25" w:rsidRPr="000A245A" w:rsidRDefault="00DD4B25" w:rsidP="000A245A">
            <w:pPr>
              <w:pStyle w:val="ListParagraph"/>
              <w:numPr>
                <w:ilvl w:val="0"/>
                <w:numId w:val="1"/>
              </w:num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51%</w:t>
            </w:r>
          </w:p>
          <w:p w14:paraId="49A9F6D7" w14:textId="77777777" w:rsidR="00DD4B25" w:rsidRPr="000A245A" w:rsidRDefault="00DD4B25" w:rsidP="000A245A">
            <w:pPr>
              <w:pStyle w:val="ListParagraph"/>
              <w:numPr>
                <w:ilvl w:val="0"/>
                <w:numId w:val="1"/>
              </w:numPr>
              <w:jc w:val="center"/>
              <w:rPr>
                <w:rFonts w:ascii="Times New Roman" w:hAnsi="Times New Roman" w:cs="Times New Roman"/>
                <w:i/>
                <w:iCs/>
                <w:sz w:val="20"/>
                <w:szCs w:val="20"/>
                <w:lang w:val="en-US"/>
              </w:rPr>
            </w:pPr>
            <w:r w:rsidRPr="000A245A">
              <w:rPr>
                <w:rFonts w:ascii="Times New Roman" w:hAnsi="Times New Roman" w:cs="Times New Roman"/>
                <w:i/>
                <w:iCs/>
                <w:sz w:val="20"/>
                <w:szCs w:val="20"/>
                <w:lang w:val="en-US"/>
              </w:rPr>
              <w:t>49%</w:t>
            </w:r>
          </w:p>
        </w:tc>
        <w:tc>
          <w:tcPr>
            <w:tcW w:w="1391" w:type="dxa"/>
          </w:tcPr>
          <w:p w14:paraId="186F7ABD" w14:textId="77777777" w:rsidR="00DD4B25" w:rsidRPr="00DD4B25" w:rsidRDefault="00DD4B25" w:rsidP="00E25006">
            <w:pPr>
              <w:pStyle w:val="ListParagraph"/>
              <w:numPr>
                <w:ilvl w:val="0"/>
                <w:numId w:val="1"/>
              </w:numPr>
              <w:rPr>
                <w:rFonts w:ascii="Times New Roman" w:hAnsi="Times New Roman" w:cs="Times New Roman"/>
                <w:sz w:val="20"/>
                <w:szCs w:val="20"/>
                <w:lang w:val="en-US"/>
              </w:rPr>
            </w:pPr>
          </w:p>
        </w:tc>
        <w:tc>
          <w:tcPr>
            <w:tcW w:w="1369" w:type="dxa"/>
          </w:tcPr>
          <w:p w14:paraId="07C455F7" w14:textId="77777777" w:rsidR="00DD4B25" w:rsidRPr="00DD4B25" w:rsidRDefault="00DD4B25" w:rsidP="00E25006">
            <w:pPr>
              <w:rPr>
                <w:rFonts w:ascii="Times New Roman" w:hAnsi="Times New Roman" w:cs="Times New Roman"/>
                <w:sz w:val="20"/>
                <w:szCs w:val="20"/>
                <w:lang w:val="en-US"/>
              </w:rPr>
            </w:pPr>
          </w:p>
        </w:tc>
        <w:tc>
          <w:tcPr>
            <w:tcW w:w="1468" w:type="dxa"/>
          </w:tcPr>
          <w:p w14:paraId="1222AC24" w14:textId="77777777" w:rsidR="00DD4B25" w:rsidRPr="00DD4B25" w:rsidRDefault="00DD4B25" w:rsidP="00E25006">
            <w:pPr>
              <w:pStyle w:val="ListParagraph"/>
              <w:rPr>
                <w:rFonts w:ascii="Times New Roman" w:hAnsi="Times New Roman" w:cs="Times New Roman"/>
                <w:sz w:val="20"/>
                <w:szCs w:val="20"/>
              </w:rPr>
            </w:pPr>
          </w:p>
        </w:tc>
        <w:tc>
          <w:tcPr>
            <w:tcW w:w="748" w:type="dxa"/>
          </w:tcPr>
          <w:p w14:paraId="57329886" w14:textId="77777777" w:rsidR="00DD4B25" w:rsidRPr="00DD4B25" w:rsidRDefault="00DD4B25" w:rsidP="00E25006">
            <w:pPr>
              <w:rPr>
                <w:rFonts w:ascii="Times New Roman" w:hAnsi="Times New Roman" w:cs="Times New Roman"/>
                <w:sz w:val="20"/>
                <w:szCs w:val="20"/>
                <w:lang w:val="en-US"/>
              </w:rPr>
            </w:pPr>
          </w:p>
        </w:tc>
      </w:tr>
    </w:tbl>
    <w:p w14:paraId="61EF74E5" w14:textId="77777777" w:rsidR="00B820EB" w:rsidRDefault="00AD010D">
      <w:pPr>
        <w:rPr>
          <w:rFonts w:ascii="Times New Roman" w:hAnsi="Times New Roman" w:cs="Times New Roman"/>
          <w:sz w:val="20"/>
          <w:szCs w:val="20"/>
          <w:lang w:val="en-US"/>
        </w:rPr>
      </w:pPr>
      <w:r w:rsidRPr="0055738F">
        <w:rPr>
          <w:rFonts w:ascii="Times New Roman" w:hAnsi="Times New Roman" w:cs="Times New Roman"/>
          <w:i/>
          <w:iCs/>
          <w:sz w:val="20"/>
          <w:szCs w:val="20"/>
          <w:lang w:val="en-US"/>
        </w:rPr>
        <w:t>Source:</w:t>
      </w:r>
      <w:r w:rsidRPr="0055738F">
        <w:rPr>
          <w:rFonts w:ascii="Times New Roman" w:hAnsi="Times New Roman" w:cs="Times New Roman"/>
          <w:sz w:val="20"/>
          <w:szCs w:val="20"/>
          <w:lang w:val="en-US"/>
        </w:rPr>
        <w:t xml:space="preserve"> Author </w:t>
      </w:r>
      <w:r w:rsidR="00B820EB">
        <w:rPr>
          <w:rFonts w:ascii="Times New Roman" w:hAnsi="Times New Roman" w:cs="Times New Roman"/>
          <w:sz w:val="20"/>
          <w:szCs w:val="20"/>
          <w:lang w:val="en-US"/>
        </w:rPr>
        <w:t>elaboration</w:t>
      </w:r>
      <w:r w:rsidRPr="0055738F">
        <w:rPr>
          <w:rFonts w:ascii="Times New Roman" w:hAnsi="Times New Roman" w:cs="Times New Roman"/>
          <w:sz w:val="20"/>
          <w:szCs w:val="20"/>
          <w:lang w:val="en-US"/>
        </w:rPr>
        <w:t xml:space="preserve"> on data</w:t>
      </w:r>
    </w:p>
    <w:p w14:paraId="34F69A8E" w14:textId="77777777" w:rsidR="00B820EB" w:rsidRDefault="00B820EB">
      <w:pPr>
        <w:rPr>
          <w:rFonts w:ascii="Times New Roman" w:hAnsi="Times New Roman" w:cs="Times New Roman"/>
          <w:sz w:val="20"/>
          <w:szCs w:val="20"/>
          <w:lang w:val="en-US"/>
        </w:rPr>
      </w:pPr>
    </w:p>
    <w:p w14:paraId="31A42CCD" w14:textId="3A644D4F" w:rsidR="00AD010D" w:rsidRPr="00B820EB" w:rsidRDefault="00AD010D">
      <w:pPr>
        <w:rPr>
          <w:rFonts w:ascii="Times New Roman" w:hAnsi="Times New Roman" w:cs="Times New Roman"/>
          <w:sz w:val="20"/>
          <w:szCs w:val="20"/>
          <w:lang w:val="en-US"/>
        </w:rPr>
      </w:pPr>
      <w:r w:rsidRPr="00B820EB">
        <w:rPr>
          <w:rFonts w:ascii="Times New Roman" w:hAnsi="Times New Roman" w:cs="Times New Roman"/>
          <w:b/>
          <w:bCs/>
          <w:sz w:val="24"/>
          <w:szCs w:val="24"/>
          <w:lang w:val="en-US"/>
        </w:rPr>
        <w:t>Instruments</w:t>
      </w:r>
    </w:p>
    <w:p w14:paraId="0082E1FF" w14:textId="4D6F8C43" w:rsidR="00CE344C" w:rsidRPr="00CE344C" w:rsidRDefault="00AD010D" w:rsidP="008673CC">
      <w:pPr>
        <w:spacing w:line="360" w:lineRule="auto"/>
        <w:jc w:val="both"/>
        <w:rPr>
          <w:rFonts w:ascii="Times New Roman" w:hAnsi="Times New Roman" w:cs="Times New Roman"/>
          <w:sz w:val="24"/>
          <w:szCs w:val="24"/>
        </w:rPr>
      </w:pPr>
      <w:r w:rsidRPr="00CE344C">
        <w:rPr>
          <w:rFonts w:ascii="Times New Roman" w:hAnsi="Times New Roman" w:cs="Times New Roman"/>
          <w:b/>
          <w:bCs/>
          <w:sz w:val="24"/>
          <w:szCs w:val="24"/>
        </w:rPr>
        <w:t>Clinician Report Clinical Data Form (CDF).</w:t>
      </w:r>
      <w:r w:rsidRPr="00CE344C">
        <w:rPr>
          <w:rFonts w:ascii="Times New Roman" w:hAnsi="Times New Roman" w:cs="Times New Roman"/>
          <w:sz w:val="24"/>
          <w:szCs w:val="24"/>
        </w:rPr>
        <w:t xml:space="preserve"> </w:t>
      </w:r>
      <w:r w:rsidR="00CE344C" w:rsidRPr="00CE344C">
        <w:rPr>
          <w:rFonts w:ascii="Times New Roman" w:hAnsi="Times New Roman" w:cs="Times New Roman"/>
          <w:sz w:val="24"/>
          <w:szCs w:val="24"/>
        </w:rPr>
        <w:t xml:space="preserve">The CDF </w:t>
      </w:r>
      <w:r w:rsidR="00B820EB">
        <w:rPr>
          <w:rFonts w:ascii="Times New Roman" w:hAnsi="Times New Roman" w:cs="Times New Roman"/>
          <w:sz w:val="24"/>
          <w:szCs w:val="24"/>
        </w:rPr>
        <w:t>collects</w:t>
      </w:r>
      <w:r w:rsidR="00CE344C" w:rsidRPr="00CE344C">
        <w:rPr>
          <w:rFonts w:ascii="Times New Roman" w:hAnsi="Times New Roman" w:cs="Times New Roman"/>
          <w:sz w:val="24"/>
          <w:szCs w:val="24"/>
        </w:rPr>
        <w:t xml:space="preserve"> key demographic, Axis I diagnosis, and etiology data. Research shows clinicians' judgments predict relevant criteria and meet conservative standards</w:t>
      </w:r>
      <w:r w:rsidR="00CE344C" w:rsidRPr="00CE344C">
        <w:rPr>
          <w:rFonts w:ascii="Times New Roman" w:hAnsi="Times New Roman" w:cs="Times New Roman"/>
          <w:sz w:val="24"/>
          <w:szCs w:val="24"/>
          <w:lang w:val="en-US"/>
        </w:rPr>
        <w:t xml:space="preserve"> (</w:t>
      </w:r>
      <w:r w:rsidR="00B820EB">
        <w:rPr>
          <w:rFonts w:ascii="Times New Roman" w:hAnsi="Times New Roman" w:cs="Times New Roman"/>
          <w:sz w:val="24"/>
          <w:szCs w:val="24"/>
          <w:lang w:val="en-US"/>
        </w:rPr>
        <w:t>Drill et al.,2015</w:t>
      </w:r>
      <w:r w:rsidR="00CE344C" w:rsidRPr="00CE344C">
        <w:rPr>
          <w:rFonts w:ascii="Times New Roman" w:hAnsi="Times New Roman" w:cs="Times New Roman"/>
          <w:sz w:val="24"/>
          <w:szCs w:val="24"/>
          <w:lang w:val="en-US"/>
        </w:rPr>
        <w:t>)</w:t>
      </w:r>
      <w:r w:rsidR="00CE344C" w:rsidRPr="00CE344C">
        <w:rPr>
          <w:rFonts w:ascii="Times New Roman" w:hAnsi="Times New Roman" w:cs="Times New Roman"/>
          <w:sz w:val="24"/>
          <w:szCs w:val="24"/>
        </w:rPr>
        <w:t>. The questionnaire covers clinician, patient, and therapeutic details, including demographics and adaptive functioning like relationship quality and abuse history. It also evaluates clinical issues and personality traits.</w:t>
      </w:r>
    </w:p>
    <w:p w14:paraId="503FAB56" w14:textId="4A872E6A" w:rsidR="001E7382" w:rsidRPr="00FA0911" w:rsidRDefault="001E7382" w:rsidP="008673CC">
      <w:pPr>
        <w:spacing w:line="360" w:lineRule="auto"/>
        <w:jc w:val="both"/>
        <w:rPr>
          <w:rFonts w:ascii="Times New Roman" w:hAnsi="Times New Roman" w:cs="Times New Roman"/>
          <w:sz w:val="24"/>
          <w:szCs w:val="24"/>
          <w:lang w:val="en-US"/>
        </w:rPr>
      </w:pPr>
      <w:r w:rsidRPr="00CE344C">
        <w:rPr>
          <w:rFonts w:ascii="Times New Roman" w:hAnsi="Times New Roman" w:cs="Times New Roman"/>
          <w:b/>
          <w:bCs/>
          <w:sz w:val="24"/>
          <w:szCs w:val="24"/>
          <w:lang w:val="en-US"/>
        </w:rPr>
        <w:t>Modes of Mentalization Scale (MMS; Colli &amp; Gagliardini, 201</w:t>
      </w:r>
      <w:r w:rsidR="00CE344C" w:rsidRPr="00CE344C">
        <w:rPr>
          <w:rFonts w:ascii="Times New Roman" w:hAnsi="Times New Roman" w:cs="Times New Roman"/>
          <w:b/>
          <w:bCs/>
          <w:sz w:val="24"/>
          <w:szCs w:val="24"/>
          <w:lang w:val="en-US"/>
        </w:rPr>
        <w:t>9</w:t>
      </w:r>
      <w:r w:rsidRPr="00CE344C">
        <w:rPr>
          <w:rFonts w:ascii="Times New Roman" w:hAnsi="Times New Roman" w:cs="Times New Roman"/>
          <w:sz w:val="24"/>
          <w:szCs w:val="24"/>
          <w:lang w:val="en-US"/>
        </w:rPr>
        <w:t>)</w:t>
      </w:r>
      <w:r w:rsidR="00CE344C" w:rsidRPr="00CE344C">
        <w:rPr>
          <w:rFonts w:ascii="Times New Roman" w:hAnsi="Times New Roman" w:cs="Times New Roman"/>
          <w:sz w:val="24"/>
          <w:szCs w:val="24"/>
          <w:lang w:val="en-US"/>
        </w:rPr>
        <w:t xml:space="preserve">. A clinician-report scale with 24 items evaluates patient mentalization. The scale, rated on a Likert scale </w:t>
      </w:r>
      <w:r w:rsidR="008673CC">
        <w:rPr>
          <w:rFonts w:ascii="Times New Roman" w:hAnsi="Times New Roman" w:cs="Times New Roman"/>
          <w:sz w:val="24"/>
          <w:szCs w:val="24"/>
          <w:lang w:val="en-US"/>
        </w:rPr>
        <w:t xml:space="preserve">of </w:t>
      </w:r>
      <w:r w:rsidR="00CE344C" w:rsidRPr="00CE344C">
        <w:rPr>
          <w:rFonts w:ascii="Times New Roman" w:hAnsi="Times New Roman" w:cs="Times New Roman"/>
          <w:sz w:val="24"/>
          <w:szCs w:val="24"/>
          <w:lang w:val="en-US"/>
        </w:rPr>
        <w:t xml:space="preserve">0/5, taps into prementalizing modes. Items drawn from relevant literature were evaluated by a panel of 10 clinicians. Items with CVI scores &lt;0.75 were eliminated. The first version of the scale was sent to a group of 50 clinicians who used it to evaluate a patient undergoing treatment. From </w:t>
      </w:r>
      <w:r w:rsidR="008673CC">
        <w:rPr>
          <w:rFonts w:ascii="Times New Roman" w:hAnsi="Times New Roman" w:cs="Times New Roman"/>
          <w:sz w:val="24"/>
          <w:szCs w:val="24"/>
          <w:lang w:val="en-US"/>
        </w:rPr>
        <w:t>the</w:t>
      </w:r>
      <w:r w:rsidR="00CE344C" w:rsidRPr="00CE344C">
        <w:rPr>
          <w:rFonts w:ascii="Times New Roman" w:hAnsi="Times New Roman" w:cs="Times New Roman"/>
          <w:sz w:val="24"/>
          <w:szCs w:val="24"/>
          <w:lang w:val="en-US"/>
        </w:rPr>
        <w:t xml:space="preserve"> first 84 descriptive </w:t>
      </w:r>
      <w:r w:rsidR="008673CC">
        <w:rPr>
          <w:rFonts w:ascii="Times New Roman" w:hAnsi="Times New Roman" w:cs="Times New Roman"/>
          <w:sz w:val="24"/>
          <w:szCs w:val="24"/>
          <w:lang w:val="en-US"/>
        </w:rPr>
        <w:t>analyses</w:t>
      </w:r>
      <w:r w:rsidR="00CE344C" w:rsidRPr="00CE344C">
        <w:rPr>
          <w:rFonts w:ascii="Times New Roman" w:hAnsi="Times New Roman" w:cs="Times New Roman"/>
          <w:sz w:val="24"/>
          <w:szCs w:val="24"/>
          <w:lang w:val="en-US"/>
        </w:rPr>
        <w:t>, items with skewness and Kurtosis values ± 2, items with a mean equal to 0 or 5</w:t>
      </w:r>
      <w:r w:rsidR="008720F5">
        <w:rPr>
          <w:rFonts w:ascii="Times New Roman" w:hAnsi="Times New Roman" w:cs="Times New Roman"/>
          <w:sz w:val="24"/>
          <w:szCs w:val="24"/>
          <w:lang w:val="en-US"/>
        </w:rPr>
        <w:t>,</w:t>
      </w:r>
      <w:r w:rsidR="00CE344C" w:rsidRPr="00CE344C">
        <w:rPr>
          <w:rFonts w:ascii="Times New Roman" w:hAnsi="Times New Roman" w:cs="Times New Roman"/>
          <w:sz w:val="24"/>
          <w:szCs w:val="24"/>
          <w:lang w:val="en-US"/>
        </w:rPr>
        <w:t xml:space="preserve"> and zero variance</w:t>
      </w:r>
      <w:r w:rsidR="008673CC">
        <w:rPr>
          <w:rFonts w:ascii="Times New Roman" w:hAnsi="Times New Roman" w:cs="Times New Roman"/>
          <w:sz w:val="24"/>
          <w:szCs w:val="24"/>
          <w:lang w:val="en-US"/>
        </w:rPr>
        <w:t>,</w:t>
      </w:r>
      <w:r w:rsidR="00CE344C" w:rsidRPr="00CE344C">
        <w:rPr>
          <w:rFonts w:ascii="Times New Roman" w:hAnsi="Times New Roman" w:cs="Times New Roman"/>
          <w:sz w:val="24"/>
          <w:szCs w:val="24"/>
          <w:lang w:val="en-US"/>
        </w:rPr>
        <w:t xml:space="preserve"> and items that did not correlate with any other item were eliminated. After the factor analysis, five factors included: </w:t>
      </w:r>
      <w:r w:rsidR="00CE344C" w:rsidRPr="00CE344C">
        <w:rPr>
          <w:rFonts w:ascii="Times New Roman" w:hAnsi="Times New Roman" w:cs="Times New Roman"/>
          <w:i/>
          <w:iCs/>
          <w:sz w:val="24"/>
          <w:szCs w:val="24"/>
          <w:lang w:val="en-US"/>
        </w:rPr>
        <w:t xml:space="preserve">excessive certainty; concrete thinking; teleological thinking; intrusive </w:t>
      </w:r>
      <w:r w:rsidR="008673CC">
        <w:rPr>
          <w:rFonts w:ascii="Times New Roman" w:hAnsi="Times New Roman" w:cs="Times New Roman"/>
          <w:i/>
          <w:iCs/>
          <w:sz w:val="24"/>
          <w:szCs w:val="24"/>
          <w:lang w:val="en-US"/>
        </w:rPr>
        <w:t>pseudo-mentalization</w:t>
      </w:r>
      <w:r w:rsidR="00CE344C" w:rsidRPr="00CE344C">
        <w:rPr>
          <w:rFonts w:ascii="Times New Roman" w:hAnsi="Times New Roman" w:cs="Times New Roman"/>
          <w:i/>
          <w:iCs/>
          <w:sz w:val="24"/>
          <w:szCs w:val="24"/>
          <w:lang w:val="en-US"/>
        </w:rPr>
        <w:t>; and good mentalization</w:t>
      </w:r>
      <w:r w:rsidR="00CE344C" w:rsidRPr="00CE344C">
        <w:rPr>
          <w:rFonts w:ascii="Times New Roman" w:hAnsi="Times New Roman" w:cs="Times New Roman"/>
          <w:sz w:val="24"/>
          <w:szCs w:val="24"/>
          <w:lang w:val="en-US"/>
        </w:rPr>
        <w:t>. The factors were extracted using the principal axis factoring method with Promax rotation as the interdependence of the factors was assumed. The sample adequacy measures yielded good results (Kaiser-Meyer-Olkin=.808 and Bartlett test of sphericity chi 2048.088, df 276, sig. .000). The factor solution explains 62% of the variance and aligns with existing literature.</w:t>
      </w:r>
    </w:p>
    <w:p w14:paraId="2D3987E1" w14:textId="25F5D94B" w:rsidR="001E7382" w:rsidRPr="00CE344C" w:rsidRDefault="001E7382" w:rsidP="00CE344C">
      <w:pPr>
        <w:spacing w:after="0" w:line="360" w:lineRule="auto"/>
        <w:jc w:val="both"/>
      </w:pPr>
      <w:r w:rsidRPr="00CE344C">
        <w:rPr>
          <w:rFonts w:ascii="Times New Roman" w:hAnsi="Times New Roman" w:cs="Times New Roman"/>
          <w:b/>
          <w:bCs/>
        </w:rPr>
        <w:t>Adult Attachment Interview (AAI; Main, Goldwyn &amp; Hesse, 2002).</w:t>
      </w:r>
      <w:r>
        <w:t xml:space="preserve"> </w:t>
      </w:r>
      <w:r w:rsidR="00CE344C" w:rsidRPr="00CE344C">
        <w:rPr>
          <w:rFonts w:ascii="Times New Roman" w:hAnsi="Times New Roman" w:cs="Times New Roman"/>
        </w:rPr>
        <w:t>The AAI is a semi-structured interview evaluating adult attachment style through childhood memories. It consists of eighteen questions exploring various experiential areas</w:t>
      </w:r>
      <w:r w:rsidR="00CE344C" w:rsidRPr="00CE344C">
        <w:rPr>
          <w:rFonts w:ascii="Times New Roman" w:hAnsi="Times New Roman" w:cs="Times New Roman"/>
          <w:lang w:val="en-US"/>
        </w:rPr>
        <w:t xml:space="preserve"> at two levels: one general and one specific</w:t>
      </w:r>
      <w:r w:rsidR="00CE344C" w:rsidRPr="00CE344C">
        <w:rPr>
          <w:rFonts w:ascii="Times New Roman" w:hAnsi="Times New Roman" w:cs="Times New Roman"/>
        </w:rPr>
        <w:t xml:space="preserve">. </w:t>
      </w:r>
      <w:r w:rsidR="00CE344C" w:rsidRPr="00CE344C">
        <w:rPr>
          <w:rFonts w:ascii="Times New Roman" w:hAnsi="Times New Roman" w:cs="Times New Roman"/>
          <w:lang w:val="en-US"/>
        </w:rPr>
        <w:t xml:space="preserve">On a general level, various experiential areas concerning the quality of the first relationships with the caregiver are explored, including physical illness, emotional distress, experiences of separation, loss, rejection, </w:t>
      </w:r>
      <w:r w:rsidR="008673CC">
        <w:rPr>
          <w:rFonts w:ascii="Times New Roman" w:hAnsi="Times New Roman" w:cs="Times New Roman"/>
          <w:lang w:val="en-US"/>
        </w:rPr>
        <w:t xml:space="preserve">and </w:t>
      </w:r>
      <w:r w:rsidR="00CE344C" w:rsidRPr="00CE344C">
        <w:rPr>
          <w:rFonts w:ascii="Times New Roman" w:hAnsi="Times New Roman" w:cs="Times New Roman"/>
          <w:lang w:val="en-US"/>
        </w:rPr>
        <w:t>abuse. At a more specific level</w:t>
      </w:r>
      <w:r w:rsidR="008673CC">
        <w:rPr>
          <w:rFonts w:ascii="Times New Roman" w:hAnsi="Times New Roman" w:cs="Times New Roman"/>
          <w:lang w:val="en-US"/>
        </w:rPr>
        <w:t>,</w:t>
      </w:r>
      <w:r w:rsidR="00CE344C" w:rsidRPr="00CE344C">
        <w:rPr>
          <w:rFonts w:ascii="Times New Roman" w:hAnsi="Times New Roman" w:cs="Times New Roman"/>
          <w:lang w:val="en-US"/>
        </w:rPr>
        <w:t xml:space="preserve"> the interviewee is asked to provide autobiographical memories as examples to substantiate and explain the general statements. </w:t>
      </w:r>
      <w:r w:rsidR="00CE344C" w:rsidRPr="00CE344C">
        <w:rPr>
          <w:rFonts w:ascii="Times New Roman" w:hAnsi="Times New Roman" w:cs="Times New Roman"/>
        </w:rPr>
        <w:t>The examiner assigns scores based on the subjects’ reported experiences</w:t>
      </w:r>
      <w:r w:rsidR="00CE344C" w:rsidRPr="00CE344C">
        <w:rPr>
          <w:rFonts w:ascii="Times New Roman" w:hAnsi="Times New Roman" w:cs="Times New Roman"/>
          <w:lang w:val="en-US"/>
        </w:rPr>
        <w:t xml:space="preserve">: affection, rejection, neglect, pressure to succeed, </w:t>
      </w:r>
      <w:r w:rsidR="008673CC">
        <w:rPr>
          <w:rFonts w:ascii="Times New Roman" w:hAnsi="Times New Roman" w:cs="Times New Roman"/>
          <w:lang w:val="en-US"/>
        </w:rPr>
        <w:t xml:space="preserve">and </w:t>
      </w:r>
      <w:r w:rsidR="00CE344C" w:rsidRPr="00CE344C">
        <w:rPr>
          <w:rFonts w:ascii="Times New Roman" w:hAnsi="Times New Roman" w:cs="Times New Roman"/>
          <w:lang w:val="en-US"/>
        </w:rPr>
        <w:t>role reversal</w:t>
      </w:r>
      <w:r w:rsidR="00CE344C" w:rsidRPr="00CE344C">
        <w:rPr>
          <w:rFonts w:ascii="Times New Roman" w:hAnsi="Times New Roman" w:cs="Times New Roman"/>
        </w:rPr>
        <w:t xml:space="preserve">. </w:t>
      </w:r>
      <w:r w:rsidR="00CE344C" w:rsidRPr="00CE344C">
        <w:rPr>
          <w:rFonts w:ascii="Times New Roman" w:hAnsi="Times New Roman" w:cs="Times New Roman"/>
          <w:lang w:val="en-US"/>
        </w:rPr>
        <w:t xml:space="preserve">Scores are given on nine-point scales and are based on an analysis of the entire transcript. </w:t>
      </w:r>
      <w:r w:rsidR="00CE344C" w:rsidRPr="00CE344C">
        <w:rPr>
          <w:rFonts w:ascii="Times New Roman" w:hAnsi="Times New Roman" w:cs="Times New Roman"/>
        </w:rPr>
        <w:t xml:space="preserve">The method aims to provide an assessment of the adult's mental state. Subjects are classified as Secure-autonomous, Distancing-devaluing, and Entangled-preoccupied attachment. Additional categories include Failure to process mourning/trauma and </w:t>
      </w:r>
      <w:r w:rsidR="00DE2A52" w:rsidRPr="00CE344C">
        <w:rPr>
          <w:rFonts w:ascii="Times New Roman" w:hAnsi="Times New Roman" w:cs="Times New Roman"/>
        </w:rPr>
        <w:t>not</w:t>
      </w:r>
      <w:r w:rsidR="00CE344C" w:rsidRPr="00CE344C">
        <w:rPr>
          <w:rFonts w:ascii="Times New Roman" w:hAnsi="Times New Roman" w:cs="Times New Roman"/>
        </w:rPr>
        <w:t xml:space="preserve"> classifiable. </w:t>
      </w:r>
      <w:r w:rsidRPr="00CE344C">
        <w:rPr>
          <w:rFonts w:ascii="Times New Roman" w:hAnsi="Times New Roman" w:cs="Times New Roman"/>
          <w:lang w:val="en-US"/>
        </w:rPr>
        <w:t xml:space="preserve">All transcriptions were double-blind. In </w:t>
      </w:r>
      <w:r w:rsidR="00CE344C" w:rsidRPr="00CE344C">
        <w:rPr>
          <w:rFonts w:ascii="Times New Roman" w:hAnsi="Times New Roman" w:cs="Times New Roman"/>
          <w:lang w:val="en-US"/>
        </w:rPr>
        <w:t xml:space="preserve">case </w:t>
      </w:r>
      <w:r w:rsidRPr="00CE344C">
        <w:rPr>
          <w:rFonts w:ascii="Times New Roman" w:hAnsi="Times New Roman" w:cs="Times New Roman"/>
          <w:lang w:val="en-US"/>
        </w:rPr>
        <w:t xml:space="preserve">of doubt, a third independent coder assessed the transcript and, following discussion between all three raters, a final agreement was reached. The estimate of agreement between the three judges was calculated </w:t>
      </w:r>
      <w:r w:rsidR="008673CC">
        <w:rPr>
          <w:rFonts w:ascii="Times New Roman" w:hAnsi="Times New Roman" w:cs="Times New Roman"/>
          <w:lang w:val="en-US"/>
        </w:rPr>
        <w:t>(Bakkhum et al.,2023).</w:t>
      </w:r>
    </w:p>
    <w:p w14:paraId="05A00B53" w14:textId="7E9343A4" w:rsidR="00823E6B" w:rsidRPr="008673CC" w:rsidRDefault="001E7382" w:rsidP="008673CC">
      <w:pPr>
        <w:spacing w:after="0" w:line="360" w:lineRule="auto"/>
        <w:jc w:val="both"/>
        <w:rPr>
          <w:rFonts w:ascii="Times New Roman" w:hAnsi="Times New Roman" w:cs="Times New Roman"/>
          <w:sz w:val="24"/>
          <w:szCs w:val="24"/>
          <w:lang w:val="en-US"/>
        </w:rPr>
      </w:pPr>
      <w:r w:rsidRPr="008673CC">
        <w:rPr>
          <w:rFonts w:ascii="Times New Roman" w:hAnsi="Times New Roman" w:cs="Times New Roman"/>
          <w:b/>
          <w:bCs/>
          <w:sz w:val="24"/>
          <w:szCs w:val="24"/>
          <w:lang w:val="it-IT"/>
        </w:rPr>
        <w:t>Complex Trauma Questionnaire</w:t>
      </w:r>
      <w:r w:rsidRPr="008673CC">
        <w:rPr>
          <w:rFonts w:ascii="Times New Roman" w:hAnsi="Times New Roman" w:cs="Times New Roman"/>
          <w:sz w:val="24"/>
          <w:szCs w:val="24"/>
          <w:lang w:val="it-IT"/>
        </w:rPr>
        <w:t xml:space="preserve"> (ComplexTQ, Vergano</w:t>
      </w:r>
      <w:r w:rsidR="00823E6B" w:rsidRPr="008673CC">
        <w:rPr>
          <w:rFonts w:ascii="Times New Roman" w:hAnsi="Times New Roman" w:cs="Times New Roman"/>
          <w:sz w:val="24"/>
          <w:szCs w:val="24"/>
          <w:lang w:val="it-IT"/>
        </w:rPr>
        <w:t xml:space="preserve"> et al.</w:t>
      </w:r>
      <w:r w:rsidRPr="008673CC">
        <w:rPr>
          <w:rFonts w:ascii="Times New Roman" w:hAnsi="Times New Roman" w:cs="Times New Roman"/>
          <w:sz w:val="24"/>
          <w:szCs w:val="24"/>
          <w:lang w:val="it-IT"/>
        </w:rPr>
        <w:t>, 2015)</w:t>
      </w:r>
      <w:r w:rsidR="00640661" w:rsidRPr="008673CC">
        <w:rPr>
          <w:rFonts w:ascii="Times New Roman" w:hAnsi="Times New Roman" w:cs="Times New Roman"/>
          <w:sz w:val="24"/>
          <w:szCs w:val="24"/>
          <w:lang w:val="it-IT"/>
        </w:rPr>
        <w:t>.</w:t>
      </w:r>
      <w:r w:rsidR="00823E6B" w:rsidRPr="008673CC">
        <w:rPr>
          <w:rFonts w:ascii="Times New Roman" w:hAnsi="Times New Roman" w:cs="Times New Roman"/>
          <w:sz w:val="24"/>
          <w:szCs w:val="24"/>
          <w:lang w:val="it-IT"/>
        </w:rPr>
        <w:t xml:space="preserve"> </w:t>
      </w:r>
      <w:r w:rsidR="00823E6B" w:rsidRPr="008673CC">
        <w:rPr>
          <w:rFonts w:ascii="Times New Roman" w:hAnsi="Times New Roman" w:cs="Times New Roman"/>
          <w:sz w:val="24"/>
          <w:szCs w:val="24"/>
          <w:lang w:val="en-US"/>
        </w:rPr>
        <w:t>The ComplexTQ can be completed by the clinician in 15/20 minutes, depending on the length of the AAI transcript. The scores concerning the presence and frequency with which the subject has experienced different forms of trauma are automatically calculated by the software, allowing it to provide an immediate picture of the individual's traumatic history. The questionnaire also provides an overall score (ACE) based on a cut-off &gt;o</w:t>
      </w:r>
      <w:r w:rsidR="008B0508" w:rsidRPr="008673CC">
        <w:rPr>
          <w:rFonts w:ascii="Times New Roman" w:hAnsi="Times New Roman" w:cs="Times New Roman"/>
          <w:sz w:val="24"/>
          <w:szCs w:val="24"/>
          <w:lang w:val="en-US"/>
        </w:rPr>
        <w:t xml:space="preserve">. </w:t>
      </w:r>
    </w:p>
    <w:p w14:paraId="4D333A84" w14:textId="67DF2805" w:rsidR="00640661" w:rsidRPr="008B0508" w:rsidRDefault="00640661">
      <w:pPr>
        <w:rPr>
          <w:lang w:val="en-US"/>
        </w:rPr>
      </w:pPr>
    </w:p>
    <w:p w14:paraId="6EF61CD6" w14:textId="1B26FBAC" w:rsidR="00823E6B" w:rsidRDefault="00FA0911" w:rsidP="008673CC">
      <w:pPr>
        <w:spacing w:after="0" w:line="360" w:lineRule="auto"/>
        <w:jc w:val="both"/>
        <w:rPr>
          <w:rFonts w:ascii="Times New Roman" w:hAnsi="Times New Roman" w:cs="Times New Roman"/>
          <w:sz w:val="24"/>
          <w:szCs w:val="24"/>
          <w:lang w:val="en-US"/>
        </w:rPr>
      </w:pPr>
      <w:r w:rsidRPr="008B0508">
        <w:rPr>
          <w:rFonts w:ascii="Times New Roman" w:hAnsi="Times New Roman" w:cs="Times New Roman"/>
          <w:b/>
          <w:bCs/>
          <w:sz w:val="24"/>
          <w:szCs w:val="24"/>
          <w:lang w:val="en-US"/>
        </w:rPr>
        <w:t>Symptom Checklist-90-items-Revised</w:t>
      </w:r>
      <w:r w:rsidRPr="008B0508">
        <w:rPr>
          <w:rFonts w:ascii="Times New Roman" w:hAnsi="Times New Roman" w:cs="Times New Roman"/>
          <w:sz w:val="24"/>
          <w:szCs w:val="24"/>
          <w:lang w:val="en-US"/>
        </w:rPr>
        <w:t xml:space="preserve"> (SCL-90-R; Derogatis, 1994):</w:t>
      </w:r>
      <w:r w:rsidR="00823E6B" w:rsidRPr="008B0508">
        <w:rPr>
          <w:rFonts w:ascii="Times New Roman" w:hAnsi="Times New Roman" w:cs="Times New Roman"/>
          <w:sz w:val="24"/>
          <w:szCs w:val="24"/>
        </w:rPr>
        <w:t xml:space="preserve"> </w:t>
      </w:r>
      <w:r w:rsidR="00823E6B" w:rsidRPr="008B0508">
        <w:rPr>
          <w:rFonts w:ascii="Times New Roman" w:hAnsi="Times New Roman" w:cs="Times New Roman"/>
          <w:sz w:val="24"/>
          <w:szCs w:val="24"/>
          <w:lang w:val="en-US"/>
        </w:rPr>
        <w:t>This self-report tool evaluates mental distress severity in the last week in different symptom domains. It consists of 90 items rated on a 5-Likert scale from 0 (not at all) to 4 (very much). Primary dimensions and global indices help interpret results. The 9 subscales cover somatization (SOM), obsessive-</w:t>
      </w:r>
      <w:r w:rsidR="00DE2A52" w:rsidRPr="008B0508">
        <w:rPr>
          <w:rFonts w:ascii="Times New Roman" w:hAnsi="Times New Roman" w:cs="Times New Roman"/>
          <w:sz w:val="24"/>
          <w:szCs w:val="24"/>
          <w:lang w:val="en-US"/>
        </w:rPr>
        <w:t>compulsivity (</w:t>
      </w:r>
      <w:r w:rsidR="00823E6B" w:rsidRPr="008B0508">
        <w:rPr>
          <w:rFonts w:ascii="Times New Roman" w:hAnsi="Times New Roman" w:cs="Times New Roman"/>
          <w:sz w:val="24"/>
          <w:szCs w:val="24"/>
          <w:lang w:val="en-US"/>
        </w:rPr>
        <w:t xml:space="preserve">OC), interpersonal </w:t>
      </w:r>
      <w:r w:rsidR="00DE2A52" w:rsidRPr="008B0508">
        <w:rPr>
          <w:rFonts w:ascii="Times New Roman" w:hAnsi="Times New Roman" w:cs="Times New Roman"/>
          <w:sz w:val="24"/>
          <w:szCs w:val="24"/>
          <w:lang w:val="en-US"/>
        </w:rPr>
        <w:t>hypersensitivity (</w:t>
      </w:r>
      <w:r w:rsidR="00823E6B" w:rsidRPr="008B0508">
        <w:rPr>
          <w:rFonts w:ascii="Times New Roman" w:hAnsi="Times New Roman" w:cs="Times New Roman"/>
          <w:sz w:val="24"/>
          <w:szCs w:val="24"/>
          <w:lang w:val="en-US"/>
        </w:rPr>
        <w:t xml:space="preserve">IS), </w:t>
      </w:r>
      <w:r w:rsidR="00DE2A52" w:rsidRPr="008B0508">
        <w:rPr>
          <w:rFonts w:ascii="Times New Roman" w:hAnsi="Times New Roman" w:cs="Times New Roman"/>
          <w:sz w:val="24"/>
          <w:szCs w:val="24"/>
          <w:lang w:val="en-US"/>
        </w:rPr>
        <w:t>depression (</w:t>
      </w:r>
      <w:r w:rsidR="00823E6B" w:rsidRPr="008B0508">
        <w:rPr>
          <w:rFonts w:ascii="Times New Roman" w:hAnsi="Times New Roman" w:cs="Times New Roman"/>
          <w:sz w:val="24"/>
          <w:szCs w:val="24"/>
          <w:lang w:val="en-US"/>
        </w:rPr>
        <w:t xml:space="preserve">DEP), </w:t>
      </w:r>
      <w:r w:rsidR="00DE2A52" w:rsidRPr="008B0508">
        <w:rPr>
          <w:rFonts w:ascii="Times New Roman" w:hAnsi="Times New Roman" w:cs="Times New Roman"/>
          <w:sz w:val="24"/>
          <w:szCs w:val="24"/>
          <w:lang w:val="en-US"/>
        </w:rPr>
        <w:t>anxiety (</w:t>
      </w:r>
      <w:r w:rsidR="00823E6B" w:rsidRPr="008B0508">
        <w:rPr>
          <w:rFonts w:ascii="Times New Roman" w:hAnsi="Times New Roman" w:cs="Times New Roman"/>
          <w:sz w:val="24"/>
          <w:szCs w:val="24"/>
          <w:lang w:val="en-US"/>
        </w:rPr>
        <w:t xml:space="preserve">ANX), </w:t>
      </w:r>
      <w:r w:rsidR="00DE2A52" w:rsidRPr="008B0508">
        <w:rPr>
          <w:rFonts w:ascii="Times New Roman" w:hAnsi="Times New Roman" w:cs="Times New Roman"/>
          <w:sz w:val="24"/>
          <w:szCs w:val="24"/>
          <w:lang w:val="en-US"/>
        </w:rPr>
        <w:t>hostility (</w:t>
      </w:r>
      <w:r w:rsidR="00823E6B" w:rsidRPr="008B0508">
        <w:rPr>
          <w:rFonts w:ascii="Times New Roman" w:hAnsi="Times New Roman" w:cs="Times New Roman"/>
          <w:sz w:val="24"/>
          <w:szCs w:val="24"/>
          <w:lang w:val="en-US"/>
        </w:rPr>
        <w:t xml:space="preserve">HOS), phobic </w:t>
      </w:r>
      <w:r w:rsidR="00DE2A52" w:rsidRPr="008B0508">
        <w:rPr>
          <w:rFonts w:ascii="Times New Roman" w:hAnsi="Times New Roman" w:cs="Times New Roman"/>
          <w:sz w:val="24"/>
          <w:szCs w:val="24"/>
          <w:lang w:val="en-US"/>
        </w:rPr>
        <w:t>anxiety (</w:t>
      </w:r>
      <w:r w:rsidR="00823E6B" w:rsidRPr="008B0508">
        <w:rPr>
          <w:rFonts w:ascii="Times New Roman" w:hAnsi="Times New Roman" w:cs="Times New Roman"/>
          <w:sz w:val="24"/>
          <w:szCs w:val="24"/>
          <w:lang w:val="en-US"/>
        </w:rPr>
        <w:t xml:space="preserve">PHOB), paranoid </w:t>
      </w:r>
      <w:r w:rsidR="00DE2A52" w:rsidRPr="008B0508">
        <w:rPr>
          <w:rFonts w:ascii="Times New Roman" w:hAnsi="Times New Roman" w:cs="Times New Roman"/>
          <w:sz w:val="24"/>
          <w:szCs w:val="24"/>
          <w:lang w:val="en-US"/>
        </w:rPr>
        <w:t>ideation (</w:t>
      </w:r>
      <w:r w:rsidR="00823E6B" w:rsidRPr="008B0508">
        <w:rPr>
          <w:rFonts w:ascii="Times New Roman" w:hAnsi="Times New Roman" w:cs="Times New Roman"/>
          <w:sz w:val="24"/>
          <w:szCs w:val="24"/>
          <w:lang w:val="en-US"/>
        </w:rPr>
        <w:t xml:space="preserve">PAR), and </w:t>
      </w:r>
      <w:r w:rsidR="00DE2A52" w:rsidRPr="008B0508">
        <w:rPr>
          <w:rFonts w:ascii="Times New Roman" w:hAnsi="Times New Roman" w:cs="Times New Roman"/>
          <w:sz w:val="24"/>
          <w:szCs w:val="24"/>
          <w:lang w:val="en-US"/>
        </w:rPr>
        <w:t>psychoticism (</w:t>
      </w:r>
      <w:r w:rsidR="00823E6B" w:rsidRPr="008B0508">
        <w:rPr>
          <w:rFonts w:ascii="Times New Roman" w:hAnsi="Times New Roman" w:cs="Times New Roman"/>
          <w:sz w:val="24"/>
          <w:szCs w:val="24"/>
          <w:lang w:val="en-US"/>
        </w:rPr>
        <w:t xml:space="preserve">PSY). The 3 global indices include </w:t>
      </w:r>
      <w:r w:rsidR="008673CC">
        <w:rPr>
          <w:rFonts w:ascii="Times New Roman" w:hAnsi="Times New Roman" w:cs="Times New Roman"/>
          <w:sz w:val="24"/>
          <w:szCs w:val="24"/>
          <w:lang w:val="en-US"/>
        </w:rPr>
        <w:t xml:space="preserve">the </w:t>
      </w:r>
      <w:r w:rsidR="00823E6B" w:rsidRPr="008B0508">
        <w:rPr>
          <w:rFonts w:ascii="Times New Roman" w:hAnsi="Times New Roman" w:cs="Times New Roman"/>
          <w:sz w:val="24"/>
          <w:szCs w:val="24"/>
          <w:lang w:val="en-US"/>
        </w:rPr>
        <w:t>Global Severity Index (GSI) which is the best global indicator of the intensity of the level of mental distress complained of by the subject; the Positive Symptom Total(PST) represented by the number of symptoms reported by the subject and Positive Symptom Distress Index (PSDI) used as an index of response style</w:t>
      </w:r>
      <w:r w:rsidR="008673CC">
        <w:rPr>
          <w:rFonts w:ascii="Times New Roman" w:hAnsi="Times New Roman" w:cs="Times New Roman"/>
          <w:sz w:val="24"/>
          <w:szCs w:val="24"/>
          <w:lang w:val="en-US"/>
        </w:rPr>
        <w:t xml:space="preserve"> (Carlozzi et al.,2008)</w:t>
      </w:r>
      <w:r w:rsidR="00823E6B" w:rsidRPr="008B0508">
        <w:rPr>
          <w:rFonts w:ascii="Times New Roman" w:hAnsi="Times New Roman" w:cs="Times New Roman"/>
          <w:sz w:val="24"/>
          <w:szCs w:val="24"/>
          <w:lang w:val="en-US"/>
        </w:rPr>
        <w:t>.</w:t>
      </w:r>
      <w:r w:rsidR="008B0508" w:rsidRPr="008B0508">
        <w:rPr>
          <w:rFonts w:ascii="Times New Roman" w:hAnsi="Times New Roman" w:cs="Times New Roman"/>
          <w:sz w:val="24"/>
          <w:szCs w:val="24"/>
          <w:lang w:val="en-US"/>
        </w:rPr>
        <w:t>In the present research</w:t>
      </w:r>
      <w:r w:rsidR="008673CC">
        <w:rPr>
          <w:rFonts w:ascii="Times New Roman" w:hAnsi="Times New Roman" w:cs="Times New Roman"/>
          <w:sz w:val="24"/>
          <w:szCs w:val="24"/>
          <w:lang w:val="en-US"/>
        </w:rPr>
        <w:t>,</w:t>
      </w:r>
      <w:r w:rsidR="008B0508" w:rsidRPr="008B0508">
        <w:rPr>
          <w:rFonts w:ascii="Times New Roman" w:hAnsi="Times New Roman" w:cs="Times New Roman"/>
          <w:sz w:val="24"/>
          <w:szCs w:val="24"/>
          <w:lang w:val="en-US"/>
        </w:rPr>
        <w:t xml:space="preserve"> I referred only to the general GSI score of all participants</w:t>
      </w:r>
      <w:r w:rsidR="008B0508">
        <w:rPr>
          <w:rFonts w:ascii="Times New Roman" w:hAnsi="Times New Roman" w:cs="Times New Roman"/>
          <w:sz w:val="24"/>
          <w:szCs w:val="24"/>
          <w:lang w:val="en-US"/>
        </w:rPr>
        <w:t xml:space="preserve"> to comprehend the general view of stress and mentalization </w:t>
      </w:r>
      <w:r w:rsidR="008673CC">
        <w:rPr>
          <w:rFonts w:ascii="Times New Roman" w:hAnsi="Times New Roman" w:cs="Times New Roman"/>
          <w:sz w:val="24"/>
          <w:szCs w:val="24"/>
          <w:lang w:val="en-US"/>
        </w:rPr>
        <w:t>among</w:t>
      </w:r>
      <w:r w:rsidR="008B0508">
        <w:rPr>
          <w:rFonts w:ascii="Times New Roman" w:hAnsi="Times New Roman" w:cs="Times New Roman"/>
          <w:sz w:val="24"/>
          <w:szCs w:val="24"/>
          <w:lang w:val="en-US"/>
        </w:rPr>
        <w:t xml:space="preserve"> IPV victims</w:t>
      </w:r>
      <w:r w:rsidR="008673CC">
        <w:rPr>
          <w:rFonts w:ascii="Times New Roman" w:hAnsi="Times New Roman" w:cs="Times New Roman"/>
          <w:sz w:val="24"/>
          <w:szCs w:val="24"/>
          <w:lang w:val="en-US"/>
        </w:rPr>
        <w:t>.</w:t>
      </w:r>
      <w:r w:rsidR="008B0508" w:rsidRPr="008B0508">
        <w:rPr>
          <w:rFonts w:ascii="Times New Roman" w:hAnsi="Times New Roman" w:cs="Times New Roman"/>
          <w:sz w:val="24"/>
          <w:szCs w:val="24"/>
          <w:lang w:val="en-US"/>
        </w:rPr>
        <w:t xml:space="preserve"> A specific interpretation of the checklist is beyond the scope of the present article. </w:t>
      </w:r>
    </w:p>
    <w:p w14:paraId="27079A43" w14:textId="77777777" w:rsidR="008B0508" w:rsidRPr="008B0508" w:rsidRDefault="008B0508" w:rsidP="008673CC">
      <w:pPr>
        <w:spacing w:after="0" w:line="360" w:lineRule="auto"/>
        <w:jc w:val="both"/>
        <w:rPr>
          <w:rFonts w:ascii="Times New Roman" w:hAnsi="Times New Roman" w:cs="Times New Roman"/>
          <w:sz w:val="24"/>
          <w:szCs w:val="24"/>
          <w:lang w:val="en-US"/>
        </w:rPr>
      </w:pPr>
    </w:p>
    <w:p w14:paraId="5E5ABCFA" w14:textId="5B199E9E" w:rsidR="00823E6B" w:rsidRPr="008673CC" w:rsidRDefault="008B0508" w:rsidP="008B0508">
      <w:pPr>
        <w:jc w:val="both"/>
        <w:rPr>
          <w:rFonts w:ascii="Times New Roman" w:hAnsi="Times New Roman" w:cs="Times New Roman"/>
          <w:b/>
          <w:bCs/>
          <w:sz w:val="28"/>
          <w:szCs w:val="28"/>
          <w:lang w:val="en-US"/>
        </w:rPr>
      </w:pPr>
      <w:r w:rsidRPr="008673CC">
        <w:rPr>
          <w:rFonts w:ascii="Times New Roman" w:hAnsi="Times New Roman" w:cs="Times New Roman"/>
          <w:b/>
          <w:bCs/>
          <w:sz w:val="28"/>
          <w:szCs w:val="28"/>
          <w:lang w:val="en-US"/>
        </w:rPr>
        <w:t>Materials and procedures</w:t>
      </w:r>
    </w:p>
    <w:p w14:paraId="01523BA7" w14:textId="3A0D8BC4" w:rsidR="001E7382" w:rsidRDefault="00420C36">
      <w:pPr>
        <w:rPr>
          <w:rFonts w:ascii="Times New Roman" w:hAnsi="Times New Roman" w:cs="Times New Roman"/>
          <w:sz w:val="24"/>
          <w:szCs w:val="24"/>
          <w:lang w:val="en-US"/>
        </w:rPr>
      </w:pPr>
      <w:r w:rsidRPr="00420C36">
        <w:rPr>
          <w:rFonts w:ascii="Times New Roman" w:hAnsi="Times New Roman" w:cs="Times New Roman"/>
          <w:sz w:val="24"/>
          <w:szCs w:val="24"/>
          <w:lang w:val="en-US"/>
        </w:rPr>
        <w:t xml:space="preserve">The study was divided into three distinct phases. Initially, a preliminary discussion and formal consent process were conducted to handle sensitive information and enable research participation through the NCTDV.  Subsequently, the participants fulfilled the necessary questionnaires prescribed by the study's guidelines. Following this, one week post the </w:t>
      </w:r>
      <w:r w:rsidR="002E50FA">
        <w:rPr>
          <w:rFonts w:ascii="Times New Roman" w:hAnsi="Times New Roman" w:cs="Times New Roman"/>
          <w:sz w:val="24"/>
          <w:szCs w:val="24"/>
          <w:lang w:val="en-US"/>
        </w:rPr>
        <w:t>procedure above</w:t>
      </w:r>
      <w:r w:rsidRPr="00420C36">
        <w:rPr>
          <w:rFonts w:ascii="Times New Roman" w:hAnsi="Times New Roman" w:cs="Times New Roman"/>
          <w:sz w:val="24"/>
          <w:szCs w:val="24"/>
          <w:lang w:val="en-US"/>
        </w:rPr>
        <w:t xml:space="preserve">, the Adult Attachment Interview was conducted with the female participants in the study by </w:t>
      </w:r>
      <w:r w:rsidR="00DE2A52" w:rsidRPr="00420C36">
        <w:rPr>
          <w:rFonts w:ascii="Times New Roman" w:hAnsi="Times New Roman" w:cs="Times New Roman"/>
          <w:sz w:val="24"/>
          <w:szCs w:val="24"/>
          <w:lang w:val="en-US"/>
        </w:rPr>
        <w:t>the</w:t>
      </w:r>
      <w:r w:rsidRPr="00420C36">
        <w:rPr>
          <w:rFonts w:ascii="Times New Roman" w:hAnsi="Times New Roman" w:cs="Times New Roman"/>
          <w:sz w:val="24"/>
          <w:szCs w:val="24"/>
          <w:lang w:val="en-US"/>
        </w:rPr>
        <w:t xml:space="preserve"> interviewer, with the session being recorded, transcribed verbatim, and coded according to the study's guidelines. All transcriptions were assessed in a double-blind mode. </w:t>
      </w:r>
    </w:p>
    <w:p w14:paraId="25492184" w14:textId="7229ADF1" w:rsidR="00420C36" w:rsidRPr="00420C36" w:rsidRDefault="00420C36">
      <w:pPr>
        <w:rPr>
          <w:rFonts w:ascii="Times New Roman" w:hAnsi="Times New Roman" w:cs="Times New Roman"/>
          <w:b/>
          <w:bCs/>
          <w:sz w:val="24"/>
          <w:szCs w:val="24"/>
          <w:lang w:val="en-US"/>
        </w:rPr>
      </w:pPr>
      <w:r w:rsidRPr="00420C36">
        <w:rPr>
          <w:rFonts w:ascii="Times New Roman" w:hAnsi="Times New Roman" w:cs="Times New Roman"/>
          <w:b/>
          <w:bCs/>
          <w:sz w:val="24"/>
          <w:szCs w:val="24"/>
          <w:lang w:val="en-US"/>
        </w:rPr>
        <w:t>Statistical analysis</w:t>
      </w:r>
    </w:p>
    <w:p w14:paraId="5F1E79AA" w14:textId="7A93E7A4" w:rsidR="00420C36" w:rsidRPr="00420C36" w:rsidRDefault="00420C36" w:rsidP="00420C36">
      <w:pPr>
        <w:jc w:val="both"/>
        <w:rPr>
          <w:rFonts w:ascii="Times New Roman" w:hAnsi="Times New Roman" w:cs="Times New Roman"/>
          <w:sz w:val="24"/>
          <w:szCs w:val="24"/>
        </w:rPr>
      </w:pPr>
      <w:r w:rsidRPr="00420C36">
        <w:rPr>
          <w:rFonts w:ascii="Times New Roman" w:hAnsi="Times New Roman" w:cs="Times New Roman"/>
          <w:sz w:val="24"/>
          <w:szCs w:val="24"/>
        </w:rPr>
        <w:t>The statistical analyses were conducted with consideration given to the nature of the data accessible periodically by the NCTDV. Data analysis was carried out utilizing the SPSS IBM statistics version 29. Initially, the variables and their respective methodologies were labeled (to produce easily interpretable tables and graphs) and the handling of missing data was determined (constituting 9% of the total). In my particular scenario, due to a limited sample size, there was no need to apply techniques for addressing non-responses. All instances were encompassed in the analyses (N=30).</w:t>
      </w:r>
    </w:p>
    <w:p w14:paraId="1FC51A18" w14:textId="77777777" w:rsidR="001E7382" w:rsidRPr="00DE5A23" w:rsidRDefault="001E7382">
      <w:pPr>
        <w:rPr>
          <w:lang w:val="en-US"/>
        </w:rPr>
      </w:pPr>
    </w:p>
    <w:p w14:paraId="3B51A6C3" w14:textId="334CF8B0" w:rsidR="001E7382" w:rsidRPr="00A52673" w:rsidRDefault="001E7382">
      <w:pPr>
        <w:rPr>
          <w:rFonts w:ascii="Times New Roman" w:hAnsi="Times New Roman" w:cs="Times New Roman"/>
          <w:b/>
          <w:bCs/>
          <w:sz w:val="28"/>
          <w:szCs w:val="28"/>
          <w:lang w:val="en-US"/>
        </w:rPr>
      </w:pPr>
      <w:r w:rsidRPr="00A52673">
        <w:rPr>
          <w:rFonts w:ascii="Times New Roman" w:hAnsi="Times New Roman" w:cs="Times New Roman"/>
          <w:b/>
          <w:bCs/>
          <w:sz w:val="28"/>
          <w:szCs w:val="28"/>
          <w:lang w:val="en-US"/>
        </w:rPr>
        <w:t>Results</w:t>
      </w:r>
    </w:p>
    <w:p w14:paraId="71C3EF0C" w14:textId="2B27A8B9" w:rsidR="004A2015" w:rsidRPr="00420C36" w:rsidRDefault="00420C36" w:rsidP="00420C36">
      <w:pPr>
        <w:spacing w:after="0"/>
        <w:jc w:val="both"/>
        <w:rPr>
          <w:rFonts w:ascii="Times New Roman" w:hAnsi="Times New Roman" w:cs="Times New Roman"/>
          <w:sz w:val="24"/>
          <w:szCs w:val="24"/>
          <w:lang w:val="en-US"/>
        </w:rPr>
      </w:pPr>
      <w:r w:rsidRPr="00420C36">
        <w:rPr>
          <w:rFonts w:ascii="Times New Roman" w:hAnsi="Times New Roman" w:cs="Times New Roman"/>
          <w:sz w:val="24"/>
          <w:szCs w:val="24"/>
          <w:lang w:val="en-US"/>
        </w:rPr>
        <w:t>The following t</w:t>
      </w:r>
      <w:r w:rsidR="001E7382" w:rsidRPr="00420C36">
        <w:rPr>
          <w:rFonts w:ascii="Times New Roman" w:hAnsi="Times New Roman" w:cs="Times New Roman"/>
          <w:sz w:val="24"/>
          <w:szCs w:val="24"/>
          <w:lang w:val="en-US"/>
        </w:rPr>
        <w:t xml:space="preserve">able </w:t>
      </w:r>
      <w:r w:rsidR="008673CC">
        <w:rPr>
          <w:rFonts w:ascii="Times New Roman" w:hAnsi="Times New Roman" w:cs="Times New Roman"/>
          <w:sz w:val="24"/>
          <w:szCs w:val="24"/>
          <w:lang w:val="en-US"/>
        </w:rPr>
        <w:t>8</w:t>
      </w:r>
      <w:r w:rsidRPr="00420C36">
        <w:rPr>
          <w:rFonts w:ascii="Times New Roman" w:hAnsi="Times New Roman" w:cs="Times New Roman"/>
          <w:sz w:val="24"/>
          <w:szCs w:val="24"/>
          <w:lang w:val="en-US"/>
        </w:rPr>
        <w:t xml:space="preserve"> gives an overview of the</w:t>
      </w:r>
      <w:r w:rsidR="008673CC">
        <w:rPr>
          <w:rFonts w:ascii="Times New Roman" w:hAnsi="Times New Roman" w:cs="Times New Roman"/>
          <w:sz w:val="24"/>
          <w:szCs w:val="24"/>
          <w:lang w:val="en-US"/>
        </w:rPr>
        <w:t xml:space="preserve"> </w:t>
      </w:r>
      <w:r w:rsidR="004A2015" w:rsidRPr="00420C36">
        <w:rPr>
          <w:rFonts w:ascii="Times New Roman" w:hAnsi="Times New Roman" w:cs="Times New Roman"/>
          <w:sz w:val="24"/>
          <w:szCs w:val="24"/>
          <w:lang w:val="en-US"/>
        </w:rPr>
        <w:t>descriptive statistics related to the scores achieved by the participants on both the experience and mind scales of the Adult Attachment Interview (AAI).</w:t>
      </w:r>
    </w:p>
    <w:p w14:paraId="3725C285" w14:textId="77777777" w:rsidR="00E1564D" w:rsidRDefault="00E1564D">
      <w:pPr>
        <w:rPr>
          <w:lang w:val="en-US"/>
        </w:rPr>
      </w:pPr>
    </w:p>
    <w:p w14:paraId="4F347A65" w14:textId="5DB83D4F" w:rsidR="00887696" w:rsidRPr="00887696" w:rsidRDefault="00887696">
      <w:pPr>
        <w:rPr>
          <w:rFonts w:ascii="Times New Roman" w:hAnsi="Times New Roman" w:cs="Times New Roman"/>
          <w:sz w:val="20"/>
          <w:szCs w:val="20"/>
          <w:lang w:val="en-US"/>
        </w:rPr>
      </w:pPr>
      <w:r w:rsidRPr="00887696">
        <w:rPr>
          <w:rFonts w:ascii="Times New Roman" w:hAnsi="Times New Roman" w:cs="Times New Roman"/>
          <w:sz w:val="20"/>
          <w:szCs w:val="20"/>
          <w:lang w:val="en-US"/>
        </w:rPr>
        <w:t>Table</w:t>
      </w:r>
      <w:r w:rsidR="008673CC">
        <w:rPr>
          <w:rFonts w:ascii="Times New Roman" w:hAnsi="Times New Roman" w:cs="Times New Roman"/>
          <w:sz w:val="20"/>
          <w:szCs w:val="20"/>
          <w:lang w:val="en-US"/>
        </w:rPr>
        <w:t xml:space="preserve"> </w:t>
      </w:r>
      <w:r w:rsidR="00DE2A52">
        <w:rPr>
          <w:rFonts w:ascii="Times New Roman" w:hAnsi="Times New Roman" w:cs="Times New Roman"/>
          <w:sz w:val="20"/>
          <w:szCs w:val="20"/>
          <w:lang w:val="en-US"/>
        </w:rPr>
        <w:t>8.</w:t>
      </w:r>
      <w:r w:rsidR="00DE2A52" w:rsidRPr="00887696">
        <w:rPr>
          <w:rFonts w:ascii="Times New Roman" w:hAnsi="Times New Roman" w:cs="Times New Roman"/>
          <w:sz w:val="20"/>
          <w:szCs w:val="20"/>
          <w:lang w:val="en-US"/>
        </w:rPr>
        <w:t xml:space="preserve"> Descriptive</w:t>
      </w:r>
      <w:r w:rsidRPr="00887696">
        <w:rPr>
          <w:rFonts w:ascii="Times New Roman" w:hAnsi="Times New Roman" w:cs="Times New Roman"/>
          <w:sz w:val="20"/>
          <w:szCs w:val="20"/>
          <w:lang w:val="en-US"/>
        </w:rPr>
        <w:t xml:space="preserve"> Statistics of AAI experience and mind scales  </w:t>
      </w:r>
    </w:p>
    <w:tbl>
      <w:tblPr>
        <w:tblStyle w:val="PlainTable2"/>
        <w:tblW w:w="0" w:type="auto"/>
        <w:tblLook w:val="04A0" w:firstRow="1" w:lastRow="0" w:firstColumn="1" w:lastColumn="0" w:noHBand="0" w:noVBand="1"/>
      </w:tblPr>
      <w:tblGrid>
        <w:gridCol w:w="1956"/>
        <w:gridCol w:w="1341"/>
        <w:gridCol w:w="1623"/>
        <w:gridCol w:w="1638"/>
        <w:gridCol w:w="1462"/>
        <w:gridCol w:w="1618"/>
      </w:tblGrid>
      <w:tr w:rsidR="00E1564D" w:rsidRPr="00B8053C" w14:paraId="7FC9CAF3" w14:textId="77777777" w:rsidTr="00887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70F66DD" w14:textId="77777777" w:rsidR="00E1564D" w:rsidRPr="00887696" w:rsidRDefault="00E1564D" w:rsidP="00E25006">
            <w:pPr>
              <w:jc w:val="center"/>
              <w:rPr>
                <w:rFonts w:ascii="Times New Roman" w:hAnsi="Times New Roman" w:cs="Times New Roman"/>
                <w:b w:val="0"/>
                <w:bCs w:val="0"/>
                <w:sz w:val="20"/>
                <w:szCs w:val="20"/>
              </w:rPr>
            </w:pPr>
            <w:r w:rsidRPr="00887696">
              <w:rPr>
                <w:rFonts w:ascii="Times New Roman" w:hAnsi="Times New Roman" w:cs="Times New Roman"/>
                <w:b w:val="0"/>
                <w:bCs w:val="0"/>
                <w:sz w:val="20"/>
                <w:szCs w:val="20"/>
              </w:rPr>
              <w:t>Adult Attachment Scales</w:t>
            </w:r>
          </w:p>
        </w:tc>
        <w:tc>
          <w:tcPr>
            <w:tcW w:w="2158" w:type="dxa"/>
          </w:tcPr>
          <w:p w14:paraId="74E9D904" w14:textId="77777777" w:rsidR="00E1564D" w:rsidRPr="00887696" w:rsidRDefault="00E1564D"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87696">
              <w:rPr>
                <w:rFonts w:ascii="Times New Roman" w:hAnsi="Times New Roman" w:cs="Times New Roman"/>
                <w:b w:val="0"/>
                <w:bCs w:val="0"/>
                <w:sz w:val="20"/>
                <w:szCs w:val="20"/>
              </w:rPr>
              <w:t>N</w:t>
            </w:r>
          </w:p>
        </w:tc>
        <w:tc>
          <w:tcPr>
            <w:tcW w:w="2158" w:type="dxa"/>
          </w:tcPr>
          <w:p w14:paraId="4A375927" w14:textId="77777777" w:rsidR="00E1564D" w:rsidRPr="00887696" w:rsidRDefault="00E1564D"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87696">
              <w:rPr>
                <w:rFonts w:ascii="Times New Roman" w:hAnsi="Times New Roman" w:cs="Times New Roman"/>
                <w:b w:val="0"/>
                <w:bCs w:val="0"/>
                <w:sz w:val="20"/>
                <w:szCs w:val="20"/>
              </w:rPr>
              <w:t>Minimum</w:t>
            </w:r>
          </w:p>
        </w:tc>
        <w:tc>
          <w:tcPr>
            <w:tcW w:w="2158" w:type="dxa"/>
          </w:tcPr>
          <w:p w14:paraId="4863F9D2" w14:textId="77777777" w:rsidR="00E1564D" w:rsidRPr="00887696" w:rsidRDefault="00E1564D"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87696">
              <w:rPr>
                <w:rFonts w:ascii="Times New Roman" w:hAnsi="Times New Roman" w:cs="Times New Roman"/>
                <w:b w:val="0"/>
                <w:bCs w:val="0"/>
                <w:sz w:val="20"/>
                <w:szCs w:val="20"/>
              </w:rPr>
              <w:t>Maximum</w:t>
            </w:r>
          </w:p>
        </w:tc>
        <w:tc>
          <w:tcPr>
            <w:tcW w:w="2159" w:type="dxa"/>
          </w:tcPr>
          <w:p w14:paraId="3E73C029" w14:textId="77777777" w:rsidR="00E1564D" w:rsidRPr="00887696" w:rsidRDefault="00E1564D"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87696">
              <w:rPr>
                <w:rFonts w:ascii="Times New Roman" w:hAnsi="Times New Roman" w:cs="Times New Roman"/>
                <w:b w:val="0"/>
                <w:bCs w:val="0"/>
                <w:sz w:val="20"/>
                <w:szCs w:val="20"/>
              </w:rPr>
              <w:t>Mean</w:t>
            </w:r>
          </w:p>
        </w:tc>
        <w:tc>
          <w:tcPr>
            <w:tcW w:w="2159" w:type="dxa"/>
          </w:tcPr>
          <w:p w14:paraId="799FBAAF" w14:textId="1A3856B4" w:rsidR="00E1564D" w:rsidRPr="00887696" w:rsidRDefault="00DE2A52" w:rsidP="00E25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87696">
              <w:rPr>
                <w:rFonts w:ascii="Times New Roman" w:hAnsi="Times New Roman" w:cs="Times New Roman"/>
                <w:b w:val="0"/>
                <w:bCs w:val="0"/>
                <w:sz w:val="20"/>
                <w:szCs w:val="20"/>
              </w:rPr>
              <w:t>St. Deviation</w:t>
            </w:r>
          </w:p>
        </w:tc>
      </w:tr>
      <w:tr w:rsidR="00E1564D" w:rsidRPr="00B8053C" w14:paraId="733AF9D9"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B7BC462"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Affection-Mother</w:t>
            </w:r>
          </w:p>
        </w:tc>
        <w:tc>
          <w:tcPr>
            <w:tcW w:w="2158" w:type="dxa"/>
          </w:tcPr>
          <w:p w14:paraId="5629EA66" w14:textId="1E095F1B"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21121C34"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4ED0C5DD"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3A439A5C"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2159" w:type="dxa"/>
          </w:tcPr>
          <w:p w14:paraId="4E85848D"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r>
      <w:tr w:rsidR="00E1564D" w:rsidRPr="00B8053C" w14:paraId="5F298475"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388FF7DD"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Affection-Father</w:t>
            </w:r>
          </w:p>
        </w:tc>
        <w:tc>
          <w:tcPr>
            <w:tcW w:w="2158" w:type="dxa"/>
          </w:tcPr>
          <w:p w14:paraId="0624A0D8" w14:textId="4E113BAC"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463B43DA"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6AA6E3AD"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1F7949C1"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3,00</w:t>
            </w:r>
          </w:p>
        </w:tc>
        <w:tc>
          <w:tcPr>
            <w:tcW w:w="2159" w:type="dxa"/>
          </w:tcPr>
          <w:p w14:paraId="0B0F25CB"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1,67</w:t>
            </w:r>
          </w:p>
        </w:tc>
      </w:tr>
      <w:tr w:rsidR="00E1564D" w:rsidRPr="00B8053C" w14:paraId="30C06C07"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6CB60AF"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Rejection-Mother</w:t>
            </w:r>
          </w:p>
        </w:tc>
        <w:tc>
          <w:tcPr>
            <w:tcW w:w="2158" w:type="dxa"/>
          </w:tcPr>
          <w:p w14:paraId="5348EDCB" w14:textId="402DCFD6"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2FD764E1"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7545E74C"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15C74D77"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2159" w:type="dxa"/>
          </w:tcPr>
          <w:p w14:paraId="19F395A4"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2,55</w:t>
            </w:r>
          </w:p>
        </w:tc>
      </w:tr>
      <w:tr w:rsidR="00E1564D" w:rsidRPr="00B8053C" w14:paraId="0913D57C"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60FD0BE7"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Rejection-Father</w:t>
            </w:r>
          </w:p>
        </w:tc>
        <w:tc>
          <w:tcPr>
            <w:tcW w:w="2158" w:type="dxa"/>
          </w:tcPr>
          <w:p w14:paraId="66BE8212" w14:textId="1222D817"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3590CE9F"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0F537AB0"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10966C03"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4,44</w:t>
            </w:r>
          </w:p>
        </w:tc>
        <w:tc>
          <w:tcPr>
            <w:tcW w:w="2159" w:type="dxa"/>
          </w:tcPr>
          <w:p w14:paraId="75BA59CC"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r>
      <w:tr w:rsidR="00E1564D" w:rsidRPr="00B8053C" w14:paraId="6778B34B"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8F19896"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Neglect-Mother</w:t>
            </w:r>
          </w:p>
        </w:tc>
        <w:tc>
          <w:tcPr>
            <w:tcW w:w="2158" w:type="dxa"/>
          </w:tcPr>
          <w:p w14:paraId="4777A894" w14:textId="75363C38"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548B19CB"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77696D64"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22967DB5"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2159" w:type="dxa"/>
          </w:tcPr>
          <w:p w14:paraId="02613D48"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2,37</w:t>
            </w:r>
          </w:p>
        </w:tc>
      </w:tr>
      <w:tr w:rsidR="00E1564D" w:rsidRPr="00B8053C" w14:paraId="353D3AFA"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1C8330AC"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Neglect-Father</w:t>
            </w:r>
          </w:p>
        </w:tc>
        <w:tc>
          <w:tcPr>
            <w:tcW w:w="2158" w:type="dxa"/>
          </w:tcPr>
          <w:p w14:paraId="6FEEFA97" w14:textId="739D883E"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3E107754"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18BEB0C1"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2159" w:type="dxa"/>
          </w:tcPr>
          <w:p w14:paraId="668F8A6B"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2159" w:type="dxa"/>
          </w:tcPr>
          <w:p w14:paraId="2BBE0E74"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r>
      <w:tr w:rsidR="00E1564D" w:rsidRPr="00B8053C" w14:paraId="54A28758"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90C6390"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Involvement/Role Inversion –</w:t>
            </w:r>
          </w:p>
          <w:p w14:paraId="3B543D84"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Mother</w:t>
            </w:r>
          </w:p>
        </w:tc>
        <w:tc>
          <w:tcPr>
            <w:tcW w:w="2158" w:type="dxa"/>
          </w:tcPr>
          <w:p w14:paraId="29C8BF41" w14:textId="4C66C5FA"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155DF356"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504CF219"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32F08A57"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w:t>
            </w:r>
          </w:p>
        </w:tc>
        <w:tc>
          <w:tcPr>
            <w:tcW w:w="2159" w:type="dxa"/>
          </w:tcPr>
          <w:p w14:paraId="50F7FC9A"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w:t>
            </w:r>
          </w:p>
        </w:tc>
      </w:tr>
      <w:tr w:rsidR="00E1564D" w:rsidRPr="00B8053C" w14:paraId="3DF7CA6C"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7A2F2E48"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Involvement/Role Inversion –</w:t>
            </w:r>
          </w:p>
          <w:p w14:paraId="7F0F6EE6"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Father</w:t>
            </w:r>
          </w:p>
        </w:tc>
        <w:tc>
          <w:tcPr>
            <w:tcW w:w="2158" w:type="dxa"/>
          </w:tcPr>
          <w:p w14:paraId="0E1E5961" w14:textId="4AE4E846"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3D57A067"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65B151CD"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5E9C2320"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59" w:type="dxa"/>
          </w:tcPr>
          <w:p w14:paraId="26FC73EB"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1,45</w:t>
            </w:r>
          </w:p>
        </w:tc>
      </w:tr>
      <w:tr w:rsidR="00E1564D" w:rsidRPr="00B8053C" w14:paraId="38B949FC"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61D7915"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Pressure to succeed – Mother</w:t>
            </w:r>
          </w:p>
        </w:tc>
        <w:tc>
          <w:tcPr>
            <w:tcW w:w="2158" w:type="dxa"/>
          </w:tcPr>
          <w:p w14:paraId="13BB1165" w14:textId="4F52A22B"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0A96FF59"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5DCEC0E3"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2159" w:type="dxa"/>
          </w:tcPr>
          <w:p w14:paraId="5FCAB036"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2159" w:type="dxa"/>
          </w:tcPr>
          <w:p w14:paraId="7DD6E918"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0,80</w:t>
            </w:r>
          </w:p>
        </w:tc>
      </w:tr>
      <w:tr w:rsidR="00E1564D" w:rsidRPr="00B8053C" w14:paraId="221CB655"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37582396"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Pressure to succeed – Father</w:t>
            </w:r>
          </w:p>
        </w:tc>
        <w:tc>
          <w:tcPr>
            <w:tcW w:w="2158" w:type="dxa"/>
          </w:tcPr>
          <w:p w14:paraId="4B59FF91" w14:textId="75F76EF3"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56AE41DB"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762142C6"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59" w:type="dxa"/>
          </w:tcPr>
          <w:p w14:paraId="750BAC6C"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9" w:type="dxa"/>
          </w:tcPr>
          <w:p w14:paraId="5BE2AD3C"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r>
      <w:tr w:rsidR="00E1564D" w:rsidRPr="00B8053C" w14:paraId="74654A5D"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28BA50F"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Idealization – Mother</w:t>
            </w:r>
          </w:p>
        </w:tc>
        <w:tc>
          <w:tcPr>
            <w:tcW w:w="2158" w:type="dxa"/>
          </w:tcPr>
          <w:p w14:paraId="0248038C" w14:textId="2E5E6B09"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1FBCD632"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2A7208D2"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73C923CC"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2159" w:type="dxa"/>
          </w:tcPr>
          <w:p w14:paraId="066F3C34"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r>
      <w:tr w:rsidR="00E1564D" w:rsidRPr="00B8053C" w14:paraId="592C7A14"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6CE2C9D1"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Idealization – Father</w:t>
            </w:r>
          </w:p>
        </w:tc>
        <w:tc>
          <w:tcPr>
            <w:tcW w:w="2158" w:type="dxa"/>
          </w:tcPr>
          <w:p w14:paraId="536556D4" w14:textId="7CCCEF43"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71C0DF40"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0F418B18"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6081E079"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2,10</w:t>
            </w:r>
          </w:p>
        </w:tc>
        <w:tc>
          <w:tcPr>
            <w:tcW w:w="2159" w:type="dxa"/>
          </w:tcPr>
          <w:p w14:paraId="718D6A1B"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r>
      <w:tr w:rsidR="00E1564D" w:rsidRPr="00B8053C" w14:paraId="63B5D342"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A543D3D"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Deprivation-Mother</w:t>
            </w:r>
          </w:p>
        </w:tc>
        <w:tc>
          <w:tcPr>
            <w:tcW w:w="2158" w:type="dxa"/>
          </w:tcPr>
          <w:p w14:paraId="2CBE1D2F" w14:textId="7953E3DC"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14726D9E"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04E3FC33"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394EF40A"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2159" w:type="dxa"/>
          </w:tcPr>
          <w:p w14:paraId="24F4F05D"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1,20</w:t>
            </w:r>
          </w:p>
        </w:tc>
      </w:tr>
      <w:tr w:rsidR="00E1564D" w:rsidRPr="00B8053C" w14:paraId="008C3A5F"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51768303"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Deprivation-Father</w:t>
            </w:r>
          </w:p>
        </w:tc>
        <w:tc>
          <w:tcPr>
            <w:tcW w:w="2158" w:type="dxa"/>
          </w:tcPr>
          <w:p w14:paraId="4A8CE37B" w14:textId="5A682333"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19FFB3E9"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01A5BD67"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4E5FBE08"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w:t>
            </w:r>
          </w:p>
        </w:tc>
        <w:tc>
          <w:tcPr>
            <w:tcW w:w="2159" w:type="dxa"/>
          </w:tcPr>
          <w:p w14:paraId="4A0A19CA"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r>
      <w:tr w:rsidR="00E1564D" w:rsidRPr="00B8053C" w14:paraId="6B8493EA"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EA7F5C7"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Anger-Mother</w:t>
            </w:r>
          </w:p>
        </w:tc>
        <w:tc>
          <w:tcPr>
            <w:tcW w:w="2158" w:type="dxa"/>
          </w:tcPr>
          <w:p w14:paraId="2C8C8DAA" w14:textId="7670CD9A"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272384D8"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18AC18A4"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1D3A1652"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9" w:type="dxa"/>
          </w:tcPr>
          <w:p w14:paraId="5877159A"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2,15</w:t>
            </w:r>
          </w:p>
        </w:tc>
      </w:tr>
      <w:tr w:rsidR="00E1564D" w:rsidRPr="00B8053C" w14:paraId="4187500D"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582B6DCB"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Anger-Father</w:t>
            </w:r>
          </w:p>
        </w:tc>
        <w:tc>
          <w:tcPr>
            <w:tcW w:w="2158" w:type="dxa"/>
          </w:tcPr>
          <w:p w14:paraId="151FF345" w14:textId="0AD91EF0"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05C44E79"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57033878"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319A3C7F"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w:t>
            </w:r>
          </w:p>
        </w:tc>
        <w:tc>
          <w:tcPr>
            <w:tcW w:w="2159" w:type="dxa"/>
          </w:tcPr>
          <w:p w14:paraId="050F9301"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2,51</w:t>
            </w:r>
          </w:p>
        </w:tc>
      </w:tr>
      <w:tr w:rsidR="00E1564D" w:rsidRPr="00B8053C" w14:paraId="3388AB29"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F16CF85"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Insistence on the lack of memories</w:t>
            </w:r>
          </w:p>
        </w:tc>
        <w:tc>
          <w:tcPr>
            <w:tcW w:w="2158" w:type="dxa"/>
          </w:tcPr>
          <w:p w14:paraId="2924287D" w14:textId="66D9B97D"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6B3210F5"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7AC18721"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6D69EE34"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2159" w:type="dxa"/>
          </w:tcPr>
          <w:p w14:paraId="13E42C6A"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r>
      <w:tr w:rsidR="00E1564D" w:rsidRPr="00B8053C" w14:paraId="197BAD75"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1D1B16C5"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Passivity of thought processes</w:t>
            </w:r>
          </w:p>
        </w:tc>
        <w:tc>
          <w:tcPr>
            <w:tcW w:w="2158" w:type="dxa"/>
          </w:tcPr>
          <w:p w14:paraId="334532FF" w14:textId="2D5F91F7"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00C239A8"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362A8D6A"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197FFBDF"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2159" w:type="dxa"/>
          </w:tcPr>
          <w:p w14:paraId="5DEE4937"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r>
      <w:tr w:rsidR="00E1564D" w:rsidRPr="00B8053C" w14:paraId="3910CDA3"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8BA1940"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Fear of loss</w:t>
            </w:r>
          </w:p>
        </w:tc>
        <w:tc>
          <w:tcPr>
            <w:tcW w:w="2158" w:type="dxa"/>
          </w:tcPr>
          <w:p w14:paraId="56678B7C" w14:textId="3BDCA5FC"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5D5EE8B7"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1D129810"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59" w:type="dxa"/>
          </w:tcPr>
          <w:p w14:paraId="6D6060A5"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w:t>
            </w:r>
          </w:p>
        </w:tc>
        <w:tc>
          <w:tcPr>
            <w:tcW w:w="2159" w:type="dxa"/>
          </w:tcPr>
          <w:p w14:paraId="25689B0B"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2,15</w:t>
            </w:r>
          </w:p>
        </w:tc>
      </w:tr>
      <w:tr w:rsidR="00E1564D" w:rsidRPr="00B8053C" w14:paraId="382A6044"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54ADBB7B"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Metacognitive Processes</w:t>
            </w:r>
          </w:p>
        </w:tc>
        <w:tc>
          <w:tcPr>
            <w:tcW w:w="2158" w:type="dxa"/>
          </w:tcPr>
          <w:p w14:paraId="27FE52A6" w14:textId="005FA334"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62B57289"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65F7CF81"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59" w:type="dxa"/>
          </w:tcPr>
          <w:p w14:paraId="6EE06A9E"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9" w:type="dxa"/>
          </w:tcPr>
          <w:p w14:paraId="326718AD"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E1564D" w:rsidRPr="00B8053C" w14:paraId="0FA8A311"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CBBEC1D"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Failure to process loss</w:t>
            </w:r>
          </w:p>
        </w:tc>
        <w:tc>
          <w:tcPr>
            <w:tcW w:w="2158" w:type="dxa"/>
          </w:tcPr>
          <w:p w14:paraId="605E0573" w14:textId="7D6CE2D0"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120402B8"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3EE8FC93"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0B2E61EE"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3,00</w:t>
            </w:r>
          </w:p>
        </w:tc>
        <w:tc>
          <w:tcPr>
            <w:tcW w:w="2159" w:type="dxa"/>
          </w:tcPr>
          <w:p w14:paraId="0D6FA8BA"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p>
        </w:tc>
      </w:tr>
      <w:tr w:rsidR="00E1564D" w:rsidRPr="00B8053C" w14:paraId="7C2AE029"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53847F31"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Failure to process abuse</w:t>
            </w:r>
          </w:p>
        </w:tc>
        <w:tc>
          <w:tcPr>
            <w:tcW w:w="2158" w:type="dxa"/>
          </w:tcPr>
          <w:p w14:paraId="1D106799" w14:textId="03B004CD"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19632888"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0C16BBFB"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5F36461A"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2159" w:type="dxa"/>
          </w:tcPr>
          <w:p w14:paraId="402C3CF2"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1,56</w:t>
            </w:r>
          </w:p>
        </w:tc>
      </w:tr>
      <w:tr w:rsidR="00E1564D" w:rsidRPr="00B8053C" w14:paraId="1A0E0746"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3E67358"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Failure to resolve other traumas</w:t>
            </w:r>
          </w:p>
        </w:tc>
        <w:tc>
          <w:tcPr>
            <w:tcW w:w="2158" w:type="dxa"/>
          </w:tcPr>
          <w:p w14:paraId="0AE3A08F" w14:textId="3D513DDC"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59933A28"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002AF0D1"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0A654511"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2159" w:type="dxa"/>
          </w:tcPr>
          <w:p w14:paraId="6A17470F"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2,15</w:t>
            </w:r>
          </w:p>
        </w:tc>
      </w:tr>
      <w:tr w:rsidR="00E1564D" w:rsidRPr="00B8053C" w14:paraId="4EE1C32B" w14:textId="77777777" w:rsidTr="00887696">
        <w:tc>
          <w:tcPr>
            <w:cnfStyle w:val="001000000000" w:firstRow="0" w:lastRow="0" w:firstColumn="1" w:lastColumn="0" w:oddVBand="0" w:evenVBand="0" w:oddHBand="0" w:evenHBand="0" w:firstRowFirstColumn="0" w:firstRowLastColumn="0" w:lastRowFirstColumn="0" w:lastRowLastColumn="0"/>
            <w:tcW w:w="2158" w:type="dxa"/>
          </w:tcPr>
          <w:p w14:paraId="2739C426"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Consistency of the transcript</w:t>
            </w:r>
          </w:p>
        </w:tc>
        <w:tc>
          <w:tcPr>
            <w:tcW w:w="2158" w:type="dxa"/>
          </w:tcPr>
          <w:p w14:paraId="6E26B6BA" w14:textId="67B592E2" w:rsidR="00E1564D" w:rsidRPr="00B8053C" w:rsidRDefault="00420C36"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5E3CDE00"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601D9D82"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6B307990"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4,10</w:t>
            </w:r>
          </w:p>
        </w:tc>
        <w:tc>
          <w:tcPr>
            <w:tcW w:w="2159" w:type="dxa"/>
          </w:tcPr>
          <w:p w14:paraId="3DB47463" w14:textId="77777777" w:rsidR="00E1564D" w:rsidRPr="00B8053C" w:rsidRDefault="00E1564D" w:rsidP="00420C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r>
      <w:tr w:rsidR="00E1564D" w:rsidRPr="00B8053C" w14:paraId="503B2A60" w14:textId="77777777" w:rsidTr="00887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6093438" w14:textId="77777777" w:rsidR="00E1564D" w:rsidRPr="00B8053C" w:rsidRDefault="00E1564D" w:rsidP="00420C36">
            <w:pPr>
              <w:jc w:val="center"/>
              <w:rPr>
                <w:rFonts w:ascii="Times New Roman" w:hAnsi="Times New Roman" w:cs="Times New Roman"/>
                <w:sz w:val="20"/>
                <w:szCs w:val="20"/>
              </w:rPr>
            </w:pPr>
            <w:r w:rsidRPr="00B8053C">
              <w:rPr>
                <w:rFonts w:ascii="Times New Roman" w:hAnsi="Times New Roman" w:cs="Times New Roman"/>
                <w:sz w:val="20"/>
                <w:szCs w:val="20"/>
              </w:rPr>
              <w:t>Coherence of the mind</w:t>
            </w:r>
          </w:p>
        </w:tc>
        <w:tc>
          <w:tcPr>
            <w:tcW w:w="2158" w:type="dxa"/>
          </w:tcPr>
          <w:p w14:paraId="6A251BE3" w14:textId="55FA2633" w:rsidR="00E1564D" w:rsidRPr="00B8053C" w:rsidRDefault="00420C36"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158" w:type="dxa"/>
          </w:tcPr>
          <w:p w14:paraId="2CABC19C"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58" w:type="dxa"/>
          </w:tcPr>
          <w:p w14:paraId="542F57F6"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59" w:type="dxa"/>
          </w:tcPr>
          <w:p w14:paraId="374E4D7D"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w:t>
            </w:r>
          </w:p>
        </w:tc>
        <w:tc>
          <w:tcPr>
            <w:tcW w:w="2159" w:type="dxa"/>
          </w:tcPr>
          <w:p w14:paraId="51FF7513" w14:textId="77777777" w:rsidR="00E1564D" w:rsidRPr="00B8053C" w:rsidRDefault="00E1564D" w:rsidP="00420C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2,08</w:t>
            </w:r>
          </w:p>
        </w:tc>
      </w:tr>
    </w:tbl>
    <w:p w14:paraId="3EB02886" w14:textId="1D7A8720" w:rsidR="00E1564D" w:rsidRPr="00887696" w:rsidRDefault="00887696">
      <w:pPr>
        <w:rPr>
          <w:rFonts w:ascii="Times New Roman" w:hAnsi="Times New Roman" w:cs="Times New Roman"/>
          <w:sz w:val="20"/>
          <w:szCs w:val="20"/>
          <w:lang w:val="en-US"/>
        </w:rPr>
      </w:pPr>
      <w:r w:rsidRPr="00887696">
        <w:rPr>
          <w:rFonts w:ascii="Times New Roman" w:hAnsi="Times New Roman" w:cs="Times New Roman"/>
          <w:b/>
          <w:bCs/>
          <w:i/>
          <w:iCs/>
          <w:sz w:val="20"/>
          <w:szCs w:val="20"/>
          <w:lang w:val="en-US"/>
        </w:rPr>
        <w:t>Source:</w:t>
      </w:r>
      <w:r w:rsidRPr="00887696">
        <w:rPr>
          <w:rFonts w:ascii="Times New Roman" w:hAnsi="Times New Roman" w:cs="Times New Roman"/>
          <w:sz w:val="20"/>
          <w:szCs w:val="20"/>
          <w:lang w:val="en-US"/>
        </w:rPr>
        <w:t xml:space="preserve"> Author elaboration on data</w:t>
      </w:r>
    </w:p>
    <w:p w14:paraId="31B21BF6" w14:textId="5F868D9F" w:rsidR="00E1564D" w:rsidRPr="00887696" w:rsidRDefault="00DE2A52" w:rsidP="0088769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Table 8</w:t>
      </w:r>
      <w:r w:rsidR="00887696" w:rsidRPr="00887696">
        <w:rPr>
          <w:rFonts w:ascii="Times New Roman" w:hAnsi="Times New Roman" w:cs="Times New Roman"/>
          <w:sz w:val="24"/>
          <w:szCs w:val="24"/>
          <w:lang w:val="en-US"/>
        </w:rPr>
        <w:t xml:space="preserve"> illustrates that the likely previous attachment encounters of the IPV group appear to be notably deprived. Despite the insufficiency of literature concerning the interpretation of the AAI subscales, it is of clinical relevance to contemplate certain principles. </w:t>
      </w:r>
      <w:r w:rsidR="002E50FA">
        <w:rPr>
          <w:rFonts w:ascii="Times New Roman" w:hAnsi="Times New Roman" w:cs="Times New Roman"/>
          <w:sz w:val="24"/>
          <w:szCs w:val="24"/>
          <w:lang w:val="en-US"/>
        </w:rPr>
        <w:t>Women</w:t>
      </w:r>
      <w:r w:rsidR="00887696" w:rsidRPr="00887696">
        <w:rPr>
          <w:rFonts w:ascii="Times New Roman" w:hAnsi="Times New Roman" w:cs="Times New Roman"/>
          <w:sz w:val="24"/>
          <w:szCs w:val="24"/>
          <w:lang w:val="en-US"/>
        </w:rPr>
        <w:t xml:space="preserve"> seem to have encountered fewer instances of affection and a greater prevalence of rejection and neglect from both maternal and paternal figures. Furthermore, a more in-depth examination reveals notable disparities in attachment encounters between mothers and fathers; specifically, fathers exhibit a higher mean score than mothers in terms of neglect, and they tend to score higher </w:t>
      </w:r>
      <w:r w:rsidR="005C6B40">
        <w:rPr>
          <w:rFonts w:ascii="Times New Roman" w:hAnsi="Times New Roman" w:cs="Times New Roman"/>
          <w:sz w:val="24"/>
          <w:szCs w:val="24"/>
          <w:lang w:val="en-US"/>
        </w:rPr>
        <w:t xml:space="preserve">in </w:t>
      </w:r>
      <w:r w:rsidR="00887696" w:rsidRPr="00887696">
        <w:rPr>
          <w:rFonts w:ascii="Times New Roman" w:hAnsi="Times New Roman" w:cs="Times New Roman"/>
          <w:sz w:val="24"/>
          <w:szCs w:val="24"/>
          <w:lang w:val="en-US"/>
        </w:rPr>
        <w:t>rejection compared to instances of love and warmth. Conversely, mothers demonstrate higher mean scores in experiences related to role reversal in comparison to fathers.</w:t>
      </w:r>
    </w:p>
    <w:p w14:paraId="2E59F235" w14:textId="386FAFEA" w:rsidR="004044D2" w:rsidRPr="0004115D" w:rsidRDefault="00C75056" w:rsidP="0004115D">
      <w:pPr>
        <w:spacing w:after="0"/>
        <w:jc w:val="both"/>
        <w:rPr>
          <w:rFonts w:ascii="Times New Roman" w:hAnsi="Times New Roman" w:cs="Times New Roman"/>
          <w:sz w:val="24"/>
          <w:szCs w:val="24"/>
          <w:lang w:val="en-US"/>
        </w:rPr>
      </w:pPr>
      <w:r w:rsidRPr="0004115D">
        <w:rPr>
          <w:rFonts w:ascii="Times New Roman" w:hAnsi="Times New Roman" w:cs="Times New Roman"/>
          <w:sz w:val="24"/>
          <w:szCs w:val="24"/>
          <w:lang w:val="en-US"/>
        </w:rPr>
        <w:t>The connection between early traumatic experiences and Intimate Partner Violence (IPV) was</w:t>
      </w:r>
      <w:r w:rsidR="002E50FA">
        <w:rPr>
          <w:rFonts w:ascii="Times New Roman" w:hAnsi="Times New Roman" w:cs="Times New Roman"/>
          <w:sz w:val="24"/>
          <w:szCs w:val="24"/>
          <w:lang w:val="en-US"/>
        </w:rPr>
        <w:t xml:space="preserve"> </w:t>
      </w:r>
      <w:r w:rsidRPr="0004115D">
        <w:rPr>
          <w:rFonts w:ascii="Times New Roman" w:hAnsi="Times New Roman" w:cs="Times New Roman"/>
          <w:sz w:val="24"/>
          <w:szCs w:val="24"/>
          <w:lang w:val="en-US"/>
        </w:rPr>
        <w:t xml:space="preserve">also an objective of the present study. Assessment of traumatic experiences was conducted using the Complex-TQ tool, which explored various forms of trauma encountered by females before the age of 14. Findings revealed that a mere </w:t>
      </w:r>
      <w:r w:rsidR="0004115D" w:rsidRPr="0004115D">
        <w:rPr>
          <w:rFonts w:ascii="Times New Roman" w:hAnsi="Times New Roman" w:cs="Times New Roman"/>
          <w:sz w:val="24"/>
          <w:szCs w:val="24"/>
          <w:lang w:val="en-US"/>
        </w:rPr>
        <w:t>9</w:t>
      </w:r>
      <w:r w:rsidRPr="0004115D">
        <w:rPr>
          <w:rFonts w:ascii="Times New Roman" w:hAnsi="Times New Roman" w:cs="Times New Roman"/>
          <w:sz w:val="24"/>
          <w:szCs w:val="24"/>
          <w:lang w:val="en-US"/>
        </w:rPr>
        <w:t>% of participants reported no early trauma</w:t>
      </w:r>
      <w:r w:rsidR="002E50FA">
        <w:rPr>
          <w:rFonts w:ascii="Times New Roman" w:hAnsi="Times New Roman" w:cs="Times New Roman"/>
          <w:sz w:val="24"/>
          <w:szCs w:val="24"/>
          <w:lang w:val="en-US"/>
        </w:rPr>
        <w:t>. In comparison,</w:t>
      </w:r>
      <w:r w:rsidRPr="0004115D">
        <w:rPr>
          <w:rFonts w:ascii="Times New Roman" w:hAnsi="Times New Roman" w:cs="Times New Roman"/>
          <w:sz w:val="24"/>
          <w:szCs w:val="24"/>
          <w:lang w:val="en-US"/>
        </w:rPr>
        <w:t xml:space="preserve"> 10% reported one trauma, 20% reported two forms of </w:t>
      </w:r>
      <w:r w:rsidR="00466EE4">
        <w:rPr>
          <w:rFonts w:ascii="Times New Roman" w:hAnsi="Times New Roman" w:cs="Times New Roman"/>
          <w:sz w:val="24"/>
          <w:szCs w:val="24"/>
          <w:lang w:val="en-US"/>
        </w:rPr>
        <w:t>trauma</w:t>
      </w:r>
      <w:r w:rsidRPr="0004115D">
        <w:rPr>
          <w:rFonts w:ascii="Times New Roman" w:hAnsi="Times New Roman" w:cs="Times New Roman"/>
          <w:sz w:val="24"/>
          <w:szCs w:val="24"/>
          <w:lang w:val="en-US"/>
        </w:rPr>
        <w:t xml:space="preserve">, 20% reported three forms of </w:t>
      </w:r>
      <w:r w:rsidR="002E50FA">
        <w:rPr>
          <w:rFonts w:ascii="Times New Roman" w:hAnsi="Times New Roman" w:cs="Times New Roman"/>
          <w:sz w:val="24"/>
          <w:szCs w:val="24"/>
          <w:lang w:val="en-US"/>
        </w:rPr>
        <w:t>trauma</w:t>
      </w:r>
      <w:r w:rsidRPr="0004115D">
        <w:rPr>
          <w:rFonts w:ascii="Times New Roman" w:hAnsi="Times New Roman" w:cs="Times New Roman"/>
          <w:sz w:val="24"/>
          <w:szCs w:val="24"/>
          <w:lang w:val="en-US"/>
        </w:rPr>
        <w:t xml:space="preserve">, </w:t>
      </w:r>
      <w:r w:rsidR="00DE2A52" w:rsidRPr="0004115D">
        <w:rPr>
          <w:rFonts w:ascii="Times New Roman" w:hAnsi="Times New Roman" w:cs="Times New Roman"/>
          <w:sz w:val="24"/>
          <w:szCs w:val="24"/>
          <w:lang w:val="en-US"/>
        </w:rPr>
        <w:t>and 44% reported</w:t>
      </w:r>
      <w:r w:rsidRPr="0004115D">
        <w:rPr>
          <w:rFonts w:ascii="Times New Roman" w:hAnsi="Times New Roman" w:cs="Times New Roman"/>
          <w:sz w:val="24"/>
          <w:szCs w:val="24"/>
          <w:lang w:val="en-US"/>
        </w:rPr>
        <w:t xml:space="preserve"> four or more diverse forms of trauma. A </w:t>
      </w:r>
      <w:r w:rsidR="0004115D" w:rsidRPr="0004115D">
        <w:rPr>
          <w:rFonts w:ascii="Times New Roman" w:hAnsi="Times New Roman" w:cs="Times New Roman"/>
          <w:sz w:val="24"/>
          <w:szCs w:val="24"/>
          <w:lang w:val="en-US"/>
        </w:rPr>
        <w:t xml:space="preserve">summary is provided in the </w:t>
      </w:r>
      <w:r w:rsidR="00DE2A52" w:rsidRPr="0004115D">
        <w:rPr>
          <w:rFonts w:ascii="Times New Roman" w:hAnsi="Times New Roman" w:cs="Times New Roman"/>
          <w:sz w:val="24"/>
          <w:szCs w:val="24"/>
          <w:lang w:val="en-US"/>
        </w:rPr>
        <w:t>following Table</w:t>
      </w:r>
      <w:r w:rsidRPr="0004115D">
        <w:rPr>
          <w:rFonts w:ascii="Times New Roman" w:hAnsi="Times New Roman" w:cs="Times New Roman"/>
          <w:sz w:val="24"/>
          <w:szCs w:val="24"/>
          <w:lang w:val="en-US"/>
        </w:rPr>
        <w:t xml:space="preserve"> </w:t>
      </w:r>
      <w:r w:rsidR="008673CC">
        <w:rPr>
          <w:rFonts w:ascii="Times New Roman" w:hAnsi="Times New Roman" w:cs="Times New Roman"/>
          <w:sz w:val="24"/>
          <w:szCs w:val="24"/>
          <w:lang w:val="en-US"/>
        </w:rPr>
        <w:t xml:space="preserve">9. </w:t>
      </w:r>
      <w:r w:rsidRPr="0004115D">
        <w:rPr>
          <w:rFonts w:ascii="Times New Roman" w:hAnsi="Times New Roman" w:cs="Times New Roman"/>
          <w:sz w:val="24"/>
          <w:szCs w:val="24"/>
          <w:lang w:val="en-US"/>
        </w:rPr>
        <w:t xml:space="preserve"> As indicated by Filkelhor et al. (2007) and Murphy et al. (2014)</w:t>
      </w:r>
      <w:r w:rsidR="0004115D" w:rsidRPr="0004115D">
        <w:rPr>
          <w:rFonts w:ascii="Times New Roman" w:hAnsi="Times New Roman" w:cs="Times New Roman"/>
          <w:sz w:val="24"/>
          <w:szCs w:val="24"/>
          <w:lang w:val="en-US"/>
        </w:rPr>
        <w:t xml:space="preserve"> in their literature review</w:t>
      </w:r>
      <w:r w:rsidRPr="0004115D">
        <w:rPr>
          <w:rFonts w:ascii="Times New Roman" w:hAnsi="Times New Roman" w:cs="Times New Roman"/>
          <w:sz w:val="24"/>
          <w:szCs w:val="24"/>
          <w:lang w:val="en-US"/>
        </w:rPr>
        <w:t>, the presence of four or more concurrent traumatic experiences is considered indicative of a high level of traumatization. Notably, a higher percentage of women exhibited poly-traumatization (</w:t>
      </w:r>
      <w:r w:rsidR="0004115D" w:rsidRPr="0004115D">
        <w:rPr>
          <w:rFonts w:ascii="Times New Roman" w:hAnsi="Times New Roman" w:cs="Times New Roman"/>
          <w:sz w:val="24"/>
          <w:szCs w:val="24"/>
          <w:lang w:val="en-US"/>
        </w:rPr>
        <w:t>44</w:t>
      </w:r>
      <w:r w:rsidRPr="0004115D">
        <w:rPr>
          <w:rFonts w:ascii="Times New Roman" w:hAnsi="Times New Roman" w:cs="Times New Roman"/>
          <w:sz w:val="24"/>
          <w:szCs w:val="24"/>
          <w:lang w:val="en-US"/>
        </w:rPr>
        <w:t>%) compared to th</w:t>
      </w:r>
      <w:r w:rsidR="0004115D" w:rsidRPr="0004115D">
        <w:rPr>
          <w:rFonts w:ascii="Times New Roman" w:hAnsi="Times New Roman" w:cs="Times New Roman"/>
          <w:sz w:val="24"/>
          <w:szCs w:val="24"/>
          <w:lang w:val="en-US"/>
        </w:rPr>
        <w:t>ose without any trauma</w:t>
      </w:r>
      <w:r w:rsidRPr="0004115D">
        <w:rPr>
          <w:rFonts w:ascii="Times New Roman" w:hAnsi="Times New Roman" w:cs="Times New Roman"/>
          <w:sz w:val="24"/>
          <w:szCs w:val="24"/>
          <w:lang w:val="en-US"/>
        </w:rPr>
        <w:t xml:space="preserve"> (</w:t>
      </w:r>
      <w:r w:rsidR="0004115D" w:rsidRPr="0004115D">
        <w:rPr>
          <w:rFonts w:ascii="Times New Roman" w:hAnsi="Times New Roman" w:cs="Times New Roman"/>
          <w:sz w:val="24"/>
          <w:szCs w:val="24"/>
          <w:lang w:val="en-US"/>
        </w:rPr>
        <w:t>6</w:t>
      </w:r>
      <w:r w:rsidRPr="0004115D">
        <w:rPr>
          <w:rFonts w:ascii="Times New Roman" w:hAnsi="Times New Roman" w:cs="Times New Roman"/>
          <w:sz w:val="24"/>
          <w:szCs w:val="24"/>
          <w:lang w:val="en-US"/>
        </w:rPr>
        <w:t>%), as evidenced by statistical analysis (</w:t>
      </w:r>
      <w:r w:rsidR="0004115D" w:rsidRPr="0004115D">
        <w:rPr>
          <w:rFonts w:ascii="Times New Roman" w:hAnsi="Times New Roman" w:cs="Times New Roman"/>
          <w:sz w:val="24"/>
          <w:szCs w:val="24"/>
          <w:lang w:val="en-US"/>
        </w:rPr>
        <w:t xml:space="preserve">6 </w:t>
      </w:r>
      <w:r w:rsidR="00DE2A52" w:rsidRPr="0004115D">
        <w:rPr>
          <w:rFonts w:ascii="Times New Roman" w:hAnsi="Times New Roman" w:cs="Times New Roman"/>
          <w:sz w:val="24"/>
          <w:szCs w:val="24"/>
          <w:lang w:val="en-US"/>
        </w:rPr>
        <w:t>%; Χ</w:t>
      </w:r>
      <w:r w:rsidRPr="0004115D">
        <w:rPr>
          <w:rFonts w:ascii="Times New Roman" w:hAnsi="Times New Roman" w:cs="Times New Roman"/>
          <w:sz w:val="24"/>
          <w:szCs w:val="24"/>
          <w:lang w:val="en-US"/>
        </w:rPr>
        <w:t xml:space="preserve"> </w:t>
      </w:r>
      <w:r w:rsidR="00DE2A52" w:rsidRPr="0004115D">
        <w:rPr>
          <w:rFonts w:ascii="Times New Roman" w:hAnsi="Times New Roman" w:cs="Times New Roman"/>
          <w:sz w:val="24"/>
          <w:szCs w:val="24"/>
          <w:lang w:val="en-US"/>
        </w:rPr>
        <w:t>² (1) =</w:t>
      </w:r>
      <w:r w:rsidRPr="0004115D">
        <w:rPr>
          <w:rFonts w:ascii="Times New Roman" w:hAnsi="Times New Roman" w:cs="Times New Roman"/>
          <w:sz w:val="24"/>
          <w:szCs w:val="24"/>
          <w:lang w:val="en-US"/>
        </w:rPr>
        <w:t>5</w:t>
      </w:r>
      <w:r w:rsidR="0004115D" w:rsidRPr="0004115D">
        <w:rPr>
          <w:rFonts w:ascii="Times New Roman" w:hAnsi="Times New Roman" w:cs="Times New Roman"/>
          <w:sz w:val="24"/>
          <w:szCs w:val="24"/>
          <w:lang w:val="en-US"/>
        </w:rPr>
        <w:t>3,01</w:t>
      </w:r>
      <w:r w:rsidRPr="0004115D">
        <w:rPr>
          <w:rFonts w:ascii="Times New Roman" w:hAnsi="Times New Roman" w:cs="Times New Roman"/>
          <w:sz w:val="24"/>
          <w:szCs w:val="24"/>
          <w:lang w:val="en-US"/>
        </w:rPr>
        <w:t xml:space="preserve">, p&lt; </w:t>
      </w:r>
      <w:r w:rsidR="00DE2A52" w:rsidRPr="0004115D">
        <w:rPr>
          <w:rFonts w:ascii="Times New Roman" w:hAnsi="Times New Roman" w:cs="Times New Roman"/>
          <w:sz w:val="24"/>
          <w:szCs w:val="24"/>
          <w:lang w:val="en-US"/>
        </w:rPr>
        <w:t>001)</w:t>
      </w:r>
      <w:r w:rsidRPr="0004115D">
        <w:rPr>
          <w:rFonts w:ascii="Times New Roman" w:hAnsi="Times New Roman" w:cs="Times New Roman"/>
          <w:sz w:val="24"/>
          <w:szCs w:val="24"/>
          <w:lang w:val="en-US"/>
        </w:rPr>
        <w:t>.</w:t>
      </w:r>
    </w:p>
    <w:p w14:paraId="766DB9EB" w14:textId="77777777" w:rsidR="00C75056" w:rsidRDefault="00C75056">
      <w:pPr>
        <w:rPr>
          <w:lang w:val="en-US"/>
        </w:rPr>
      </w:pPr>
    </w:p>
    <w:p w14:paraId="3D22AA8C" w14:textId="0CAE469C" w:rsidR="00C75056" w:rsidRPr="0004115D" w:rsidRDefault="00C75056">
      <w:pPr>
        <w:rPr>
          <w:rFonts w:ascii="Times New Roman" w:hAnsi="Times New Roman" w:cs="Times New Roman"/>
          <w:sz w:val="20"/>
          <w:szCs w:val="20"/>
          <w:lang w:val="en-US"/>
        </w:rPr>
      </w:pPr>
      <w:r w:rsidRPr="0004115D">
        <w:rPr>
          <w:rFonts w:ascii="Times New Roman" w:hAnsi="Times New Roman" w:cs="Times New Roman"/>
          <w:sz w:val="20"/>
          <w:szCs w:val="20"/>
          <w:lang w:val="en-US"/>
        </w:rPr>
        <w:t xml:space="preserve">Table </w:t>
      </w:r>
      <w:r w:rsidR="00290133">
        <w:rPr>
          <w:rFonts w:ascii="Times New Roman" w:hAnsi="Times New Roman" w:cs="Times New Roman"/>
          <w:sz w:val="20"/>
          <w:szCs w:val="20"/>
          <w:lang w:val="en-US"/>
        </w:rPr>
        <w:t xml:space="preserve">9. Presence of </w:t>
      </w:r>
      <w:r w:rsidRPr="0004115D">
        <w:rPr>
          <w:rFonts w:ascii="Times New Roman" w:hAnsi="Times New Roman" w:cs="Times New Roman"/>
          <w:sz w:val="20"/>
          <w:szCs w:val="20"/>
          <w:lang w:val="en-US"/>
        </w:rPr>
        <w:t xml:space="preserve">Trauma </w:t>
      </w:r>
      <w:r w:rsidR="00290133">
        <w:rPr>
          <w:rFonts w:ascii="Times New Roman" w:hAnsi="Times New Roman" w:cs="Times New Roman"/>
          <w:sz w:val="20"/>
          <w:szCs w:val="20"/>
          <w:lang w:val="en-US"/>
        </w:rPr>
        <w:t>i</w:t>
      </w:r>
      <w:r w:rsidR="0004115D" w:rsidRPr="0004115D">
        <w:rPr>
          <w:rFonts w:ascii="Times New Roman" w:hAnsi="Times New Roman" w:cs="Times New Roman"/>
          <w:sz w:val="20"/>
          <w:szCs w:val="20"/>
          <w:lang w:val="en-US"/>
        </w:rPr>
        <w:t>n the</w:t>
      </w:r>
      <w:r w:rsidR="00290133">
        <w:rPr>
          <w:rFonts w:ascii="Times New Roman" w:hAnsi="Times New Roman" w:cs="Times New Roman"/>
          <w:sz w:val="20"/>
          <w:szCs w:val="20"/>
          <w:lang w:val="en-US"/>
        </w:rPr>
        <w:t xml:space="preserve"> </w:t>
      </w:r>
      <w:r w:rsidR="00DE2A52">
        <w:rPr>
          <w:rFonts w:ascii="Times New Roman" w:hAnsi="Times New Roman" w:cs="Times New Roman"/>
          <w:sz w:val="20"/>
          <w:szCs w:val="20"/>
          <w:lang w:val="en-US"/>
        </w:rPr>
        <w:t xml:space="preserve">study </w:t>
      </w:r>
      <w:r w:rsidR="00DE2A52" w:rsidRPr="0004115D">
        <w:rPr>
          <w:rFonts w:ascii="Times New Roman" w:hAnsi="Times New Roman" w:cs="Times New Roman"/>
          <w:sz w:val="20"/>
          <w:szCs w:val="20"/>
          <w:lang w:val="en-US"/>
        </w:rPr>
        <w:t>sample</w:t>
      </w:r>
    </w:p>
    <w:tbl>
      <w:tblPr>
        <w:tblStyle w:val="PlainTable2"/>
        <w:tblW w:w="0" w:type="auto"/>
        <w:tblLook w:val="04A0" w:firstRow="1" w:lastRow="0" w:firstColumn="1" w:lastColumn="0" w:noHBand="0" w:noVBand="1"/>
      </w:tblPr>
      <w:tblGrid>
        <w:gridCol w:w="4814"/>
        <w:gridCol w:w="4814"/>
      </w:tblGrid>
      <w:tr w:rsidR="00C75056" w:rsidRPr="0004115D" w14:paraId="31E62A99" w14:textId="77777777" w:rsidTr="00041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D919586" w14:textId="25126CE8" w:rsidR="00C75056" w:rsidRPr="0004115D" w:rsidRDefault="00C75056" w:rsidP="0004115D">
            <w:pPr>
              <w:jc w:val="center"/>
              <w:rPr>
                <w:rFonts w:ascii="Times New Roman" w:hAnsi="Times New Roman" w:cs="Times New Roman"/>
                <w:sz w:val="20"/>
                <w:szCs w:val="20"/>
              </w:rPr>
            </w:pPr>
            <w:r w:rsidRPr="0004115D">
              <w:rPr>
                <w:rFonts w:ascii="Times New Roman" w:hAnsi="Times New Roman" w:cs="Times New Roman"/>
                <w:sz w:val="20"/>
                <w:szCs w:val="20"/>
              </w:rPr>
              <w:t>Trauma</w:t>
            </w:r>
          </w:p>
        </w:tc>
        <w:tc>
          <w:tcPr>
            <w:tcW w:w="4814" w:type="dxa"/>
          </w:tcPr>
          <w:p w14:paraId="7521EF4C" w14:textId="74301111" w:rsidR="00C75056" w:rsidRPr="0004115D" w:rsidRDefault="00C75056" w:rsidP="000411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115D">
              <w:rPr>
                <w:rFonts w:ascii="Times New Roman" w:hAnsi="Times New Roman" w:cs="Times New Roman"/>
                <w:sz w:val="20"/>
                <w:szCs w:val="20"/>
              </w:rPr>
              <w:t>Sample</w:t>
            </w:r>
          </w:p>
        </w:tc>
      </w:tr>
      <w:tr w:rsidR="00C75056" w:rsidRPr="0004115D" w14:paraId="7E57BC9C" w14:textId="77777777" w:rsidTr="00041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5FD1050" w14:textId="20BFF36C" w:rsidR="00C75056" w:rsidRPr="0004115D" w:rsidRDefault="00C75056" w:rsidP="0004115D">
            <w:pPr>
              <w:jc w:val="center"/>
              <w:rPr>
                <w:rFonts w:ascii="Times New Roman" w:hAnsi="Times New Roman" w:cs="Times New Roman"/>
                <w:sz w:val="20"/>
                <w:szCs w:val="20"/>
              </w:rPr>
            </w:pPr>
            <w:r w:rsidRPr="0004115D">
              <w:rPr>
                <w:rFonts w:ascii="Times New Roman" w:hAnsi="Times New Roman" w:cs="Times New Roman"/>
                <w:sz w:val="20"/>
                <w:szCs w:val="20"/>
              </w:rPr>
              <w:t>&lt;4</w:t>
            </w:r>
          </w:p>
        </w:tc>
        <w:tc>
          <w:tcPr>
            <w:tcW w:w="4814" w:type="dxa"/>
          </w:tcPr>
          <w:p w14:paraId="3867BA02" w14:textId="7093FEDA" w:rsidR="00C75056" w:rsidRPr="0004115D" w:rsidRDefault="00C75056" w:rsidP="000411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115D">
              <w:rPr>
                <w:rFonts w:ascii="Times New Roman" w:hAnsi="Times New Roman" w:cs="Times New Roman"/>
                <w:sz w:val="20"/>
                <w:szCs w:val="20"/>
              </w:rPr>
              <w:t>10 (30%)</w:t>
            </w:r>
          </w:p>
        </w:tc>
      </w:tr>
      <w:tr w:rsidR="00C75056" w:rsidRPr="0004115D" w14:paraId="1CD0428C" w14:textId="77777777" w:rsidTr="0004115D">
        <w:tc>
          <w:tcPr>
            <w:cnfStyle w:val="001000000000" w:firstRow="0" w:lastRow="0" w:firstColumn="1" w:lastColumn="0" w:oddVBand="0" w:evenVBand="0" w:oddHBand="0" w:evenHBand="0" w:firstRowFirstColumn="0" w:firstRowLastColumn="0" w:lastRowFirstColumn="0" w:lastRowLastColumn="0"/>
            <w:tcW w:w="4814" w:type="dxa"/>
          </w:tcPr>
          <w:p w14:paraId="1288E4E2" w14:textId="2FC91E3A" w:rsidR="00C75056" w:rsidRPr="0004115D" w:rsidRDefault="00C75056" w:rsidP="0004115D">
            <w:pPr>
              <w:jc w:val="center"/>
              <w:rPr>
                <w:rFonts w:ascii="Times New Roman" w:hAnsi="Times New Roman" w:cs="Times New Roman"/>
                <w:sz w:val="20"/>
                <w:szCs w:val="20"/>
              </w:rPr>
            </w:pPr>
            <w:r w:rsidRPr="0004115D">
              <w:rPr>
                <w:rFonts w:ascii="Times New Roman" w:hAnsi="Times New Roman" w:cs="Times New Roman"/>
                <w:sz w:val="20"/>
                <w:szCs w:val="20"/>
              </w:rPr>
              <w:t>&gt;=4</w:t>
            </w:r>
          </w:p>
        </w:tc>
        <w:tc>
          <w:tcPr>
            <w:tcW w:w="4814" w:type="dxa"/>
          </w:tcPr>
          <w:p w14:paraId="28C15B17" w14:textId="6A9112DB" w:rsidR="00C75056" w:rsidRPr="0004115D" w:rsidRDefault="00C75056" w:rsidP="000411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115D">
              <w:rPr>
                <w:rFonts w:ascii="Times New Roman" w:hAnsi="Times New Roman" w:cs="Times New Roman"/>
                <w:sz w:val="20"/>
                <w:szCs w:val="20"/>
              </w:rPr>
              <w:t>20 (70%)</w:t>
            </w:r>
          </w:p>
        </w:tc>
      </w:tr>
    </w:tbl>
    <w:p w14:paraId="7BE1B5ED" w14:textId="77777777" w:rsidR="00290133" w:rsidRPr="00887696" w:rsidRDefault="00290133" w:rsidP="00290133">
      <w:pPr>
        <w:rPr>
          <w:rFonts w:ascii="Times New Roman" w:hAnsi="Times New Roman" w:cs="Times New Roman"/>
          <w:sz w:val="20"/>
          <w:szCs w:val="20"/>
          <w:lang w:val="en-US"/>
        </w:rPr>
      </w:pPr>
      <w:r w:rsidRPr="00887696">
        <w:rPr>
          <w:rFonts w:ascii="Times New Roman" w:hAnsi="Times New Roman" w:cs="Times New Roman"/>
          <w:b/>
          <w:bCs/>
          <w:i/>
          <w:iCs/>
          <w:sz w:val="20"/>
          <w:szCs w:val="20"/>
          <w:lang w:val="en-US"/>
        </w:rPr>
        <w:t>Source:</w:t>
      </w:r>
      <w:r w:rsidRPr="00887696">
        <w:rPr>
          <w:rFonts w:ascii="Times New Roman" w:hAnsi="Times New Roman" w:cs="Times New Roman"/>
          <w:sz w:val="20"/>
          <w:szCs w:val="20"/>
          <w:lang w:val="en-US"/>
        </w:rPr>
        <w:t xml:space="preserve"> Author elaboration on data</w:t>
      </w:r>
    </w:p>
    <w:p w14:paraId="4A530FA6" w14:textId="77777777" w:rsidR="00D070B9" w:rsidRDefault="00D070B9">
      <w:pPr>
        <w:rPr>
          <w:lang w:val="en-US"/>
        </w:rPr>
      </w:pPr>
    </w:p>
    <w:p w14:paraId="45E86C34" w14:textId="3FBC2A5B" w:rsidR="001E7382" w:rsidRDefault="008D0B8B" w:rsidP="00D070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was </w:t>
      </w:r>
      <w:r w:rsidR="00D070B9" w:rsidRPr="00D070B9">
        <w:rPr>
          <w:rFonts w:ascii="Times New Roman" w:hAnsi="Times New Roman" w:cs="Times New Roman"/>
          <w:sz w:val="24"/>
          <w:szCs w:val="24"/>
          <w:lang w:val="en-US"/>
        </w:rPr>
        <w:t>consequently examined the potential correlations between the existence of traumas (&lt;4 &gt;4) and various AAI categorizations (Fisher exact test p=0.723) (Table</w:t>
      </w:r>
      <w:r w:rsidR="00290133">
        <w:rPr>
          <w:rFonts w:ascii="Times New Roman" w:hAnsi="Times New Roman" w:cs="Times New Roman"/>
          <w:sz w:val="24"/>
          <w:szCs w:val="24"/>
          <w:lang w:val="en-US"/>
        </w:rPr>
        <w:t xml:space="preserve"> 10</w:t>
      </w:r>
      <w:r w:rsidR="00D070B9" w:rsidRPr="00D070B9">
        <w:rPr>
          <w:rFonts w:ascii="Times New Roman" w:hAnsi="Times New Roman" w:cs="Times New Roman"/>
          <w:sz w:val="24"/>
          <w:szCs w:val="24"/>
          <w:lang w:val="en-US"/>
        </w:rPr>
        <w:t>), along with the segmentation of the dataset into organized versus disorganized (Fisher exact test p=0.999) and secure versus insecure (Fisher's exact test p=0.667) attachment. No significant relationships were identified.</w:t>
      </w:r>
    </w:p>
    <w:p w14:paraId="2DB86AC7" w14:textId="7C30A428" w:rsidR="00E1222D" w:rsidRPr="00A11BDC" w:rsidRDefault="00A11BDC" w:rsidP="00D070B9">
      <w:pPr>
        <w:jc w:val="both"/>
        <w:rPr>
          <w:rFonts w:ascii="Times New Roman" w:hAnsi="Times New Roman" w:cs="Times New Roman"/>
          <w:sz w:val="20"/>
          <w:szCs w:val="20"/>
          <w:lang w:val="en-US"/>
        </w:rPr>
      </w:pPr>
      <w:r w:rsidRPr="00A11BDC">
        <w:rPr>
          <w:rFonts w:ascii="Times New Roman" w:hAnsi="Times New Roman" w:cs="Times New Roman"/>
          <w:sz w:val="20"/>
          <w:szCs w:val="20"/>
          <w:lang w:val="en-US"/>
        </w:rPr>
        <w:t>Table</w:t>
      </w:r>
      <w:r w:rsidR="00290133">
        <w:rPr>
          <w:rFonts w:ascii="Times New Roman" w:hAnsi="Times New Roman" w:cs="Times New Roman"/>
          <w:sz w:val="20"/>
          <w:szCs w:val="20"/>
          <w:lang w:val="en-US"/>
        </w:rPr>
        <w:t xml:space="preserve"> 10. </w:t>
      </w:r>
      <w:r w:rsidRPr="00A11BDC">
        <w:rPr>
          <w:rFonts w:ascii="Times New Roman" w:hAnsi="Times New Roman" w:cs="Times New Roman"/>
          <w:sz w:val="20"/>
          <w:szCs w:val="20"/>
          <w:lang w:val="en-US"/>
        </w:rPr>
        <w:t>Presence of trauma in various classifications of AAI</w:t>
      </w:r>
    </w:p>
    <w:tbl>
      <w:tblPr>
        <w:tblStyle w:val="PlainTable2"/>
        <w:tblW w:w="0" w:type="auto"/>
        <w:tblLook w:val="04A0" w:firstRow="1" w:lastRow="0" w:firstColumn="1" w:lastColumn="0" w:noHBand="0" w:noVBand="1"/>
      </w:tblPr>
      <w:tblGrid>
        <w:gridCol w:w="1724"/>
        <w:gridCol w:w="1503"/>
        <w:gridCol w:w="1574"/>
        <w:gridCol w:w="1755"/>
        <w:gridCol w:w="1428"/>
        <w:gridCol w:w="1644"/>
      </w:tblGrid>
      <w:tr w:rsidR="006A4CB5" w:rsidRPr="00466EE4" w14:paraId="3BDAC4B5" w14:textId="77777777" w:rsidTr="00092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7F6903E4" w14:textId="77777777" w:rsidR="006A4CB5" w:rsidRPr="00466EE4" w:rsidRDefault="006A4CB5" w:rsidP="00D070B9">
            <w:pPr>
              <w:jc w:val="both"/>
              <w:rPr>
                <w:rFonts w:ascii="Times New Roman" w:hAnsi="Times New Roman" w:cs="Times New Roman"/>
                <w:sz w:val="20"/>
                <w:szCs w:val="20"/>
              </w:rPr>
            </w:pPr>
          </w:p>
        </w:tc>
        <w:tc>
          <w:tcPr>
            <w:tcW w:w="1503" w:type="dxa"/>
          </w:tcPr>
          <w:p w14:paraId="2BFB3648" w14:textId="77777777" w:rsidR="006A4CB5" w:rsidRPr="00466EE4" w:rsidRDefault="006A4CB5" w:rsidP="00D070B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33ADCFB2" w14:textId="40DE7872" w:rsidR="006A4CB5" w:rsidRPr="00466EE4" w:rsidRDefault="00A11BDC" w:rsidP="00D070B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                                </w:t>
            </w:r>
          </w:p>
        </w:tc>
        <w:tc>
          <w:tcPr>
            <w:tcW w:w="1755" w:type="dxa"/>
          </w:tcPr>
          <w:p w14:paraId="7AC73477" w14:textId="632F9681" w:rsidR="006A4CB5" w:rsidRPr="00466EE4" w:rsidRDefault="006A4CB5" w:rsidP="00D070B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Trauma</w:t>
            </w:r>
          </w:p>
        </w:tc>
        <w:tc>
          <w:tcPr>
            <w:tcW w:w="1428" w:type="dxa"/>
          </w:tcPr>
          <w:p w14:paraId="4734B623" w14:textId="77777777" w:rsidR="006A4CB5" w:rsidRPr="00466EE4" w:rsidRDefault="006A4CB5" w:rsidP="00D070B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4C3C2EC3" w14:textId="77777777" w:rsidR="006A4CB5" w:rsidRPr="00466EE4" w:rsidRDefault="006A4CB5" w:rsidP="00D070B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4CB5" w:rsidRPr="00466EE4" w14:paraId="095FAC0E"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52B933BC" w14:textId="77777777" w:rsidR="006A4CB5" w:rsidRPr="00466EE4" w:rsidRDefault="006A4CB5" w:rsidP="00D070B9">
            <w:pPr>
              <w:jc w:val="both"/>
              <w:rPr>
                <w:rFonts w:ascii="Times New Roman" w:hAnsi="Times New Roman" w:cs="Times New Roman"/>
                <w:sz w:val="20"/>
                <w:szCs w:val="20"/>
              </w:rPr>
            </w:pPr>
          </w:p>
        </w:tc>
        <w:tc>
          <w:tcPr>
            <w:tcW w:w="1503" w:type="dxa"/>
          </w:tcPr>
          <w:p w14:paraId="3E55E277" w14:textId="7777777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2A713525" w14:textId="7777777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2602A74A" w14:textId="60A1435D"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&lt;4   </w:t>
            </w:r>
          </w:p>
        </w:tc>
        <w:tc>
          <w:tcPr>
            <w:tcW w:w="1428" w:type="dxa"/>
          </w:tcPr>
          <w:p w14:paraId="4ED87C40" w14:textId="25A239BA"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&gt;=4</w:t>
            </w:r>
          </w:p>
        </w:tc>
        <w:tc>
          <w:tcPr>
            <w:tcW w:w="1644" w:type="dxa"/>
          </w:tcPr>
          <w:p w14:paraId="62239032" w14:textId="311A0DC5"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Total</w:t>
            </w:r>
          </w:p>
        </w:tc>
      </w:tr>
      <w:tr w:rsidR="006A4CB5" w:rsidRPr="00466EE4" w14:paraId="019116B3"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69074021" w14:textId="77777777" w:rsidR="006A4CB5" w:rsidRPr="00466EE4" w:rsidRDefault="006A4CB5" w:rsidP="00D070B9">
            <w:pPr>
              <w:jc w:val="both"/>
              <w:rPr>
                <w:rFonts w:ascii="Times New Roman" w:hAnsi="Times New Roman" w:cs="Times New Roman"/>
                <w:sz w:val="20"/>
                <w:szCs w:val="20"/>
              </w:rPr>
            </w:pPr>
            <w:r w:rsidRPr="00466EE4">
              <w:rPr>
                <w:rFonts w:ascii="Times New Roman" w:hAnsi="Times New Roman" w:cs="Times New Roman"/>
                <w:sz w:val="20"/>
                <w:szCs w:val="20"/>
              </w:rPr>
              <w:t>AAI_4</w:t>
            </w:r>
          </w:p>
          <w:p w14:paraId="3658390D" w14:textId="3808F43F" w:rsidR="006A4CB5" w:rsidRPr="00466EE4" w:rsidRDefault="006A4CB5" w:rsidP="00D070B9">
            <w:pPr>
              <w:jc w:val="both"/>
              <w:rPr>
                <w:rFonts w:ascii="Times New Roman" w:hAnsi="Times New Roman" w:cs="Times New Roman"/>
                <w:sz w:val="20"/>
                <w:szCs w:val="20"/>
              </w:rPr>
            </w:pPr>
          </w:p>
        </w:tc>
        <w:tc>
          <w:tcPr>
            <w:tcW w:w="1503" w:type="dxa"/>
          </w:tcPr>
          <w:p w14:paraId="784FA20A" w14:textId="76CFA5FA"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DS</w:t>
            </w:r>
          </w:p>
        </w:tc>
        <w:tc>
          <w:tcPr>
            <w:tcW w:w="1574" w:type="dxa"/>
          </w:tcPr>
          <w:p w14:paraId="19839AF9" w14:textId="5B9382E8"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719188C1" w14:textId="5B8D6079"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w:t>
            </w:r>
          </w:p>
        </w:tc>
        <w:tc>
          <w:tcPr>
            <w:tcW w:w="1428" w:type="dxa"/>
          </w:tcPr>
          <w:p w14:paraId="77383691" w14:textId="59BADBDF"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w:t>
            </w:r>
          </w:p>
        </w:tc>
        <w:tc>
          <w:tcPr>
            <w:tcW w:w="1644" w:type="dxa"/>
          </w:tcPr>
          <w:p w14:paraId="42924C97" w14:textId="7091D2A6"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w:t>
            </w:r>
          </w:p>
        </w:tc>
      </w:tr>
      <w:tr w:rsidR="006A4CB5" w:rsidRPr="00466EE4" w14:paraId="4676BD68"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60171B2A" w14:textId="77777777" w:rsidR="006A4CB5" w:rsidRPr="00466EE4" w:rsidRDefault="006A4CB5" w:rsidP="00D070B9">
            <w:pPr>
              <w:jc w:val="both"/>
              <w:rPr>
                <w:rFonts w:ascii="Times New Roman" w:hAnsi="Times New Roman" w:cs="Times New Roman"/>
                <w:sz w:val="20"/>
                <w:szCs w:val="20"/>
              </w:rPr>
            </w:pPr>
          </w:p>
        </w:tc>
        <w:tc>
          <w:tcPr>
            <w:tcW w:w="1503" w:type="dxa"/>
          </w:tcPr>
          <w:p w14:paraId="7179F72B" w14:textId="7777777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6F0C0F73" w14:textId="7E8F9E70"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3CB99F18" w14:textId="4EFB36F0"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8%</w:t>
            </w:r>
          </w:p>
        </w:tc>
        <w:tc>
          <w:tcPr>
            <w:tcW w:w="1428" w:type="dxa"/>
          </w:tcPr>
          <w:p w14:paraId="38194059" w14:textId="4D188B55"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16%</w:t>
            </w:r>
          </w:p>
        </w:tc>
        <w:tc>
          <w:tcPr>
            <w:tcW w:w="1644" w:type="dxa"/>
          </w:tcPr>
          <w:p w14:paraId="3BC66E00" w14:textId="517F58BF"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13%</w:t>
            </w:r>
          </w:p>
        </w:tc>
      </w:tr>
      <w:tr w:rsidR="006A4CB5" w:rsidRPr="00466EE4" w14:paraId="6469F910"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36207C56" w14:textId="77777777" w:rsidR="006A4CB5" w:rsidRPr="00466EE4" w:rsidRDefault="006A4CB5" w:rsidP="00D070B9">
            <w:pPr>
              <w:jc w:val="both"/>
              <w:rPr>
                <w:rFonts w:ascii="Times New Roman" w:hAnsi="Times New Roman" w:cs="Times New Roman"/>
                <w:sz w:val="20"/>
                <w:szCs w:val="20"/>
              </w:rPr>
            </w:pPr>
          </w:p>
        </w:tc>
        <w:tc>
          <w:tcPr>
            <w:tcW w:w="1503" w:type="dxa"/>
          </w:tcPr>
          <w:p w14:paraId="3337D1D7" w14:textId="4511E0E3"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F</w:t>
            </w:r>
          </w:p>
        </w:tc>
        <w:tc>
          <w:tcPr>
            <w:tcW w:w="1574" w:type="dxa"/>
          </w:tcPr>
          <w:p w14:paraId="0479ADF6" w14:textId="2932BF61"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Counts</w:t>
            </w:r>
          </w:p>
        </w:tc>
        <w:tc>
          <w:tcPr>
            <w:tcW w:w="1755" w:type="dxa"/>
          </w:tcPr>
          <w:p w14:paraId="174EC8A3" w14:textId="7F36352B"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w:t>
            </w:r>
          </w:p>
        </w:tc>
        <w:tc>
          <w:tcPr>
            <w:tcW w:w="1428" w:type="dxa"/>
          </w:tcPr>
          <w:p w14:paraId="4473C88A" w14:textId="5DA2A20A"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5</w:t>
            </w:r>
          </w:p>
        </w:tc>
        <w:tc>
          <w:tcPr>
            <w:tcW w:w="1644" w:type="dxa"/>
          </w:tcPr>
          <w:p w14:paraId="28E1403C" w14:textId="432F375E"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8</w:t>
            </w:r>
          </w:p>
        </w:tc>
      </w:tr>
      <w:tr w:rsidR="006A4CB5" w:rsidRPr="00466EE4" w14:paraId="7A7894B5"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3B89DF0" w14:textId="77777777" w:rsidR="006A4CB5" w:rsidRPr="00466EE4" w:rsidRDefault="006A4CB5" w:rsidP="00D070B9">
            <w:pPr>
              <w:jc w:val="both"/>
              <w:rPr>
                <w:rFonts w:ascii="Times New Roman" w:hAnsi="Times New Roman" w:cs="Times New Roman"/>
                <w:sz w:val="20"/>
                <w:szCs w:val="20"/>
              </w:rPr>
            </w:pPr>
          </w:p>
        </w:tc>
        <w:tc>
          <w:tcPr>
            <w:tcW w:w="1503" w:type="dxa"/>
          </w:tcPr>
          <w:p w14:paraId="1C8FD10A" w14:textId="7777777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54531FBC" w14:textId="38BE3534"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13F5447E" w14:textId="1978CE32"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8%</w:t>
            </w:r>
          </w:p>
        </w:tc>
        <w:tc>
          <w:tcPr>
            <w:tcW w:w="1428" w:type="dxa"/>
          </w:tcPr>
          <w:p w14:paraId="43515D68" w14:textId="23DF0F29"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32%</w:t>
            </w:r>
          </w:p>
        </w:tc>
        <w:tc>
          <w:tcPr>
            <w:tcW w:w="1644" w:type="dxa"/>
          </w:tcPr>
          <w:p w14:paraId="23792B23" w14:textId="7C171D27"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2</w:t>
            </w:r>
            <w:r w:rsidR="00EF3BD6" w:rsidRPr="00466EE4">
              <w:rPr>
                <w:rFonts w:ascii="Times New Roman" w:hAnsi="Times New Roman" w:cs="Times New Roman"/>
                <w:sz w:val="20"/>
                <w:szCs w:val="20"/>
              </w:rPr>
              <w:t>2</w:t>
            </w:r>
            <w:r w:rsidRPr="00466EE4">
              <w:rPr>
                <w:rFonts w:ascii="Times New Roman" w:hAnsi="Times New Roman" w:cs="Times New Roman"/>
                <w:sz w:val="20"/>
                <w:szCs w:val="20"/>
              </w:rPr>
              <w:t>%</w:t>
            </w:r>
          </w:p>
        </w:tc>
      </w:tr>
      <w:tr w:rsidR="006A4CB5" w:rsidRPr="00466EE4" w14:paraId="4DBEE914"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5084CEA7" w14:textId="77777777" w:rsidR="006A4CB5" w:rsidRPr="00466EE4" w:rsidRDefault="006A4CB5" w:rsidP="00D070B9">
            <w:pPr>
              <w:jc w:val="both"/>
              <w:rPr>
                <w:rFonts w:ascii="Times New Roman" w:hAnsi="Times New Roman" w:cs="Times New Roman"/>
                <w:sz w:val="20"/>
                <w:szCs w:val="20"/>
              </w:rPr>
            </w:pPr>
          </w:p>
        </w:tc>
        <w:tc>
          <w:tcPr>
            <w:tcW w:w="1503" w:type="dxa"/>
          </w:tcPr>
          <w:p w14:paraId="01C12EEF" w14:textId="59ED3FCD"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E</w:t>
            </w:r>
          </w:p>
        </w:tc>
        <w:tc>
          <w:tcPr>
            <w:tcW w:w="1574" w:type="dxa"/>
          </w:tcPr>
          <w:p w14:paraId="40077537" w14:textId="2AAC49AF"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11F8AF78" w14:textId="0D52D77C"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w:t>
            </w:r>
          </w:p>
        </w:tc>
        <w:tc>
          <w:tcPr>
            <w:tcW w:w="1428" w:type="dxa"/>
          </w:tcPr>
          <w:p w14:paraId="0C70370F" w14:textId="3E2156C9"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w:t>
            </w:r>
          </w:p>
        </w:tc>
        <w:tc>
          <w:tcPr>
            <w:tcW w:w="1644" w:type="dxa"/>
          </w:tcPr>
          <w:p w14:paraId="47FCF139" w14:textId="200B3ED7"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7</w:t>
            </w:r>
          </w:p>
        </w:tc>
      </w:tr>
      <w:tr w:rsidR="006A4CB5" w:rsidRPr="00466EE4" w14:paraId="1758D0E8"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8F49438" w14:textId="77777777" w:rsidR="006A4CB5" w:rsidRPr="00466EE4" w:rsidRDefault="006A4CB5" w:rsidP="00D070B9">
            <w:pPr>
              <w:jc w:val="both"/>
              <w:rPr>
                <w:rFonts w:ascii="Times New Roman" w:hAnsi="Times New Roman" w:cs="Times New Roman"/>
                <w:sz w:val="20"/>
                <w:szCs w:val="20"/>
              </w:rPr>
            </w:pPr>
          </w:p>
        </w:tc>
        <w:tc>
          <w:tcPr>
            <w:tcW w:w="1503" w:type="dxa"/>
          </w:tcPr>
          <w:p w14:paraId="29E6E9E8" w14:textId="7777777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1AA840A6" w14:textId="79A3868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43C4F234" w14:textId="04C9B888"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26%</w:t>
            </w:r>
          </w:p>
        </w:tc>
        <w:tc>
          <w:tcPr>
            <w:tcW w:w="1428" w:type="dxa"/>
          </w:tcPr>
          <w:p w14:paraId="758C7CD2" w14:textId="760BE219"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15%</w:t>
            </w:r>
          </w:p>
        </w:tc>
        <w:tc>
          <w:tcPr>
            <w:tcW w:w="1644" w:type="dxa"/>
          </w:tcPr>
          <w:p w14:paraId="299D6C84" w14:textId="5E4F5CAC"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20%</w:t>
            </w:r>
          </w:p>
        </w:tc>
      </w:tr>
      <w:tr w:rsidR="006A4CB5" w:rsidRPr="00466EE4" w14:paraId="5488DB2F"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30008825" w14:textId="77777777" w:rsidR="006A4CB5" w:rsidRPr="00466EE4" w:rsidRDefault="006A4CB5" w:rsidP="00D070B9">
            <w:pPr>
              <w:jc w:val="both"/>
              <w:rPr>
                <w:rFonts w:ascii="Times New Roman" w:hAnsi="Times New Roman" w:cs="Times New Roman"/>
                <w:sz w:val="20"/>
                <w:szCs w:val="20"/>
              </w:rPr>
            </w:pPr>
          </w:p>
        </w:tc>
        <w:tc>
          <w:tcPr>
            <w:tcW w:w="1503" w:type="dxa"/>
          </w:tcPr>
          <w:p w14:paraId="7EDCC5B3" w14:textId="446941A1"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U/CC</w:t>
            </w:r>
          </w:p>
        </w:tc>
        <w:tc>
          <w:tcPr>
            <w:tcW w:w="1574" w:type="dxa"/>
          </w:tcPr>
          <w:p w14:paraId="23595A89" w14:textId="5B84F328"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1F73D227" w14:textId="25A32A4C"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7</w:t>
            </w:r>
          </w:p>
        </w:tc>
        <w:tc>
          <w:tcPr>
            <w:tcW w:w="1428" w:type="dxa"/>
          </w:tcPr>
          <w:p w14:paraId="3951EC6C" w14:textId="7F9A6A17"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7</w:t>
            </w:r>
          </w:p>
        </w:tc>
        <w:tc>
          <w:tcPr>
            <w:tcW w:w="1644" w:type="dxa"/>
          </w:tcPr>
          <w:p w14:paraId="16E7C54D" w14:textId="27A3A268" w:rsidR="006A4CB5"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14</w:t>
            </w:r>
          </w:p>
        </w:tc>
      </w:tr>
      <w:tr w:rsidR="006A4CB5" w:rsidRPr="00466EE4" w14:paraId="30B1F791"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214D8D77" w14:textId="77777777" w:rsidR="006A4CB5" w:rsidRPr="00466EE4" w:rsidRDefault="006A4CB5" w:rsidP="00D070B9">
            <w:pPr>
              <w:jc w:val="both"/>
              <w:rPr>
                <w:rFonts w:ascii="Times New Roman" w:hAnsi="Times New Roman" w:cs="Times New Roman"/>
                <w:sz w:val="20"/>
                <w:szCs w:val="20"/>
              </w:rPr>
            </w:pPr>
          </w:p>
        </w:tc>
        <w:tc>
          <w:tcPr>
            <w:tcW w:w="1503" w:type="dxa"/>
          </w:tcPr>
          <w:p w14:paraId="732E99A1" w14:textId="77777777"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45CEC12D" w14:textId="5D184ECC"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3738DD95" w14:textId="27D6283C"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58%</w:t>
            </w:r>
          </w:p>
        </w:tc>
        <w:tc>
          <w:tcPr>
            <w:tcW w:w="1428" w:type="dxa"/>
          </w:tcPr>
          <w:p w14:paraId="1B995E52" w14:textId="0232650A"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37%</w:t>
            </w:r>
          </w:p>
        </w:tc>
        <w:tc>
          <w:tcPr>
            <w:tcW w:w="1644" w:type="dxa"/>
          </w:tcPr>
          <w:p w14:paraId="65C42450" w14:textId="13F07ED4"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45%</w:t>
            </w:r>
          </w:p>
        </w:tc>
      </w:tr>
      <w:tr w:rsidR="006A4CB5" w:rsidRPr="00466EE4" w14:paraId="6FAF1372"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066ADEA5" w14:textId="77777777" w:rsidR="006A4CB5" w:rsidRPr="00466EE4" w:rsidRDefault="006A4CB5" w:rsidP="00D070B9">
            <w:pPr>
              <w:jc w:val="both"/>
              <w:rPr>
                <w:rFonts w:ascii="Times New Roman" w:hAnsi="Times New Roman" w:cs="Times New Roman"/>
                <w:sz w:val="20"/>
                <w:szCs w:val="20"/>
              </w:rPr>
            </w:pPr>
          </w:p>
        </w:tc>
        <w:tc>
          <w:tcPr>
            <w:tcW w:w="1503" w:type="dxa"/>
          </w:tcPr>
          <w:p w14:paraId="4CEC107C" w14:textId="77777777"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17414A9B" w14:textId="77777777"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3ED7DBEC" w14:textId="77777777"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7A1CCEBD" w14:textId="77777777"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3E3418FA" w14:textId="77777777" w:rsidR="006A4CB5" w:rsidRPr="00466EE4" w:rsidRDefault="006A4CB5"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4CB5" w:rsidRPr="00466EE4" w14:paraId="4DBB0ED5"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3615D503" w14:textId="7707C965" w:rsidR="006A4CB5" w:rsidRPr="00466EE4" w:rsidRDefault="006A4CB5" w:rsidP="00D070B9">
            <w:pPr>
              <w:jc w:val="both"/>
              <w:rPr>
                <w:rFonts w:ascii="Times New Roman" w:hAnsi="Times New Roman" w:cs="Times New Roman"/>
                <w:sz w:val="20"/>
                <w:szCs w:val="20"/>
              </w:rPr>
            </w:pPr>
            <w:r w:rsidRPr="00466EE4">
              <w:rPr>
                <w:rFonts w:ascii="Times New Roman" w:hAnsi="Times New Roman" w:cs="Times New Roman"/>
                <w:sz w:val="20"/>
                <w:szCs w:val="20"/>
              </w:rPr>
              <w:t>Total</w:t>
            </w:r>
          </w:p>
        </w:tc>
        <w:tc>
          <w:tcPr>
            <w:tcW w:w="1503" w:type="dxa"/>
          </w:tcPr>
          <w:p w14:paraId="7E9991E7" w14:textId="74BE6548" w:rsidR="006A4CB5" w:rsidRPr="00466EE4" w:rsidRDefault="006A4CB5"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647F4580" w14:textId="49666049"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019A1FA3" w14:textId="106DC703"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w:t>
            </w:r>
          </w:p>
        </w:tc>
        <w:tc>
          <w:tcPr>
            <w:tcW w:w="1428" w:type="dxa"/>
          </w:tcPr>
          <w:p w14:paraId="10BC656B" w14:textId="4C87F97A"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20</w:t>
            </w:r>
          </w:p>
        </w:tc>
        <w:tc>
          <w:tcPr>
            <w:tcW w:w="1644" w:type="dxa"/>
          </w:tcPr>
          <w:p w14:paraId="268B6C00" w14:textId="70A2C46A" w:rsidR="006A4CB5" w:rsidRPr="00466EE4" w:rsidRDefault="00CD751F" w:rsidP="00D070B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30</w:t>
            </w:r>
          </w:p>
        </w:tc>
      </w:tr>
      <w:tr w:rsidR="00CD751F" w:rsidRPr="00466EE4" w14:paraId="7C7CBC15"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3E6FF2F4" w14:textId="77777777" w:rsidR="00CD751F" w:rsidRPr="00466EE4" w:rsidRDefault="00CD751F" w:rsidP="00D070B9">
            <w:pPr>
              <w:jc w:val="both"/>
              <w:rPr>
                <w:rFonts w:ascii="Times New Roman" w:hAnsi="Times New Roman" w:cs="Times New Roman"/>
                <w:sz w:val="20"/>
                <w:szCs w:val="20"/>
              </w:rPr>
            </w:pPr>
          </w:p>
        </w:tc>
        <w:tc>
          <w:tcPr>
            <w:tcW w:w="1503" w:type="dxa"/>
          </w:tcPr>
          <w:p w14:paraId="67C8511B" w14:textId="77777777" w:rsidR="00CD751F"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0ADC6A2E" w14:textId="5849F0A8" w:rsidR="00CD751F"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44E2135E" w14:textId="4F0EDCAF" w:rsidR="00CD751F"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c>
          <w:tcPr>
            <w:tcW w:w="1428" w:type="dxa"/>
          </w:tcPr>
          <w:p w14:paraId="300DE0E1" w14:textId="37A5A54B" w:rsidR="00CD751F" w:rsidRPr="00466EE4" w:rsidRDefault="00CD751F"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c>
          <w:tcPr>
            <w:tcW w:w="1644" w:type="dxa"/>
          </w:tcPr>
          <w:p w14:paraId="1F78E883" w14:textId="6F299095" w:rsidR="00CD751F" w:rsidRPr="00466EE4" w:rsidRDefault="00A11BDC" w:rsidP="00D070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r>
    </w:tbl>
    <w:p w14:paraId="33124FFD" w14:textId="77777777" w:rsidR="001E7382" w:rsidRDefault="001E7382"/>
    <w:tbl>
      <w:tblPr>
        <w:tblStyle w:val="PlainTable2"/>
        <w:tblW w:w="0" w:type="auto"/>
        <w:tblLook w:val="04A0" w:firstRow="1" w:lastRow="0" w:firstColumn="1" w:lastColumn="0" w:noHBand="0" w:noVBand="1"/>
      </w:tblPr>
      <w:tblGrid>
        <w:gridCol w:w="1724"/>
        <w:gridCol w:w="1503"/>
        <w:gridCol w:w="1574"/>
        <w:gridCol w:w="1755"/>
        <w:gridCol w:w="1428"/>
        <w:gridCol w:w="1644"/>
      </w:tblGrid>
      <w:tr w:rsidR="00A11BDC" w:rsidRPr="00466EE4" w14:paraId="17649035" w14:textId="77777777" w:rsidTr="00092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1F7A6A7" w14:textId="77777777" w:rsidR="00A11BDC" w:rsidRPr="00466EE4" w:rsidRDefault="00A11BDC" w:rsidP="00EE521D">
            <w:pPr>
              <w:jc w:val="both"/>
              <w:rPr>
                <w:rFonts w:ascii="Times New Roman" w:hAnsi="Times New Roman" w:cs="Times New Roman"/>
                <w:sz w:val="20"/>
                <w:szCs w:val="20"/>
              </w:rPr>
            </w:pPr>
          </w:p>
        </w:tc>
        <w:tc>
          <w:tcPr>
            <w:tcW w:w="1503" w:type="dxa"/>
          </w:tcPr>
          <w:p w14:paraId="14C11868"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4ED2090D"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                                </w:t>
            </w:r>
          </w:p>
        </w:tc>
        <w:tc>
          <w:tcPr>
            <w:tcW w:w="1755" w:type="dxa"/>
          </w:tcPr>
          <w:p w14:paraId="6AB21C33"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Trauma</w:t>
            </w:r>
          </w:p>
        </w:tc>
        <w:tc>
          <w:tcPr>
            <w:tcW w:w="1428" w:type="dxa"/>
          </w:tcPr>
          <w:p w14:paraId="4DF0C09F"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281A636A"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1EE0618E"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7FD0BA9" w14:textId="77777777" w:rsidR="00A11BDC" w:rsidRPr="00466EE4" w:rsidRDefault="00A11BDC" w:rsidP="00EE521D">
            <w:pPr>
              <w:jc w:val="both"/>
              <w:rPr>
                <w:rFonts w:ascii="Times New Roman" w:hAnsi="Times New Roman" w:cs="Times New Roman"/>
                <w:sz w:val="20"/>
                <w:szCs w:val="20"/>
              </w:rPr>
            </w:pPr>
          </w:p>
        </w:tc>
        <w:tc>
          <w:tcPr>
            <w:tcW w:w="1503" w:type="dxa"/>
          </w:tcPr>
          <w:p w14:paraId="11B51409"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6ACE553D"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08A8F94D"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&lt;4   </w:t>
            </w:r>
          </w:p>
        </w:tc>
        <w:tc>
          <w:tcPr>
            <w:tcW w:w="1428" w:type="dxa"/>
          </w:tcPr>
          <w:p w14:paraId="5570C76D"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&gt;=4</w:t>
            </w:r>
          </w:p>
        </w:tc>
        <w:tc>
          <w:tcPr>
            <w:tcW w:w="1644" w:type="dxa"/>
          </w:tcPr>
          <w:p w14:paraId="629F933C"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Total</w:t>
            </w:r>
          </w:p>
        </w:tc>
      </w:tr>
      <w:tr w:rsidR="00A11BDC" w:rsidRPr="00466EE4" w14:paraId="6AB0FEB9"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210B489F" w14:textId="6E8C496E"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AAI_O</w:t>
            </w:r>
          </w:p>
          <w:p w14:paraId="48EDD2E7" w14:textId="77777777" w:rsidR="00A11BDC" w:rsidRPr="00466EE4" w:rsidRDefault="00A11BDC" w:rsidP="00EE521D">
            <w:pPr>
              <w:jc w:val="both"/>
              <w:rPr>
                <w:rFonts w:ascii="Times New Roman" w:hAnsi="Times New Roman" w:cs="Times New Roman"/>
                <w:sz w:val="20"/>
                <w:szCs w:val="20"/>
              </w:rPr>
            </w:pPr>
          </w:p>
        </w:tc>
        <w:tc>
          <w:tcPr>
            <w:tcW w:w="1503" w:type="dxa"/>
          </w:tcPr>
          <w:p w14:paraId="66C0CB45" w14:textId="0DFE83EA"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ORG</w:t>
            </w:r>
          </w:p>
        </w:tc>
        <w:tc>
          <w:tcPr>
            <w:tcW w:w="1574" w:type="dxa"/>
          </w:tcPr>
          <w:p w14:paraId="0D4310BA"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60E5704F" w14:textId="28AD671A"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w:t>
            </w:r>
          </w:p>
        </w:tc>
        <w:tc>
          <w:tcPr>
            <w:tcW w:w="1428" w:type="dxa"/>
          </w:tcPr>
          <w:p w14:paraId="5D125E24" w14:textId="36C4F6A8"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12</w:t>
            </w:r>
          </w:p>
        </w:tc>
        <w:tc>
          <w:tcPr>
            <w:tcW w:w="1644" w:type="dxa"/>
          </w:tcPr>
          <w:p w14:paraId="24B263F2" w14:textId="009AA545"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15</w:t>
            </w:r>
          </w:p>
        </w:tc>
      </w:tr>
      <w:tr w:rsidR="00A11BDC" w:rsidRPr="00466EE4" w14:paraId="5BFC38FE"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2328E7CF" w14:textId="77777777" w:rsidR="00A11BDC" w:rsidRPr="00466EE4" w:rsidRDefault="00A11BDC" w:rsidP="00EE521D">
            <w:pPr>
              <w:jc w:val="both"/>
              <w:rPr>
                <w:rFonts w:ascii="Times New Roman" w:hAnsi="Times New Roman" w:cs="Times New Roman"/>
                <w:sz w:val="20"/>
                <w:szCs w:val="20"/>
              </w:rPr>
            </w:pPr>
          </w:p>
        </w:tc>
        <w:tc>
          <w:tcPr>
            <w:tcW w:w="1503" w:type="dxa"/>
          </w:tcPr>
          <w:p w14:paraId="7351B98D"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21484FC2"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6E2890ED" w14:textId="65BED4BE"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34%</w:t>
            </w:r>
          </w:p>
        </w:tc>
        <w:tc>
          <w:tcPr>
            <w:tcW w:w="1428" w:type="dxa"/>
          </w:tcPr>
          <w:p w14:paraId="254CD0EE" w14:textId="5BBB9929"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58%</w:t>
            </w:r>
          </w:p>
        </w:tc>
        <w:tc>
          <w:tcPr>
            <w:tcW w:w="1644" w:type="dxa"/>
          </w:tcPr>
          <w:p w14:paraId="0EF8059E" w14:textId="4BB54BBD"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49%</w:t>
            </w:r>
          </w:p>
        </w:tc>
      </w:tr>
      <w:tr w:rsidR="00A11BDC" w:rsidRPr="00466EE4" w14:paraId="40626442"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762343C2" w14:textId="3B41B6B7"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RG_</w:t>
            </w:r>
          </w:p>
        </w:tc>
        <w:tc>
          <w:tcPr>
            <w:tcW w:w="1503" w:type="dxa"/>
          </w:tcPr>
          <w:p w14:paraId="41EB615D" w14:textId="1830EC06"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7E02F83C" w14:textId="241EE28D"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52FA12A0" w14:textId="05276882"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5EA975A4" w14:textId="75E579FB"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2612F58A" w14:textId="7C858FBE"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3BC94483"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19AD0980" w14:textId="77777777" w:rsidR="00A11BDC" w:rsidRPr="00466EE4" w:rsidRDefault="00A11BDC" w:rsidP="00EE521D">
            <w:pPr>
              <w:jc w:val="both"/>
              <w:rPr>
                <w:rFonts w:ascii="Times New Roman" w:hAnsi="Times New Roman" w:cs="Times New Roman"/>
                <w:sz w:val="20"/>
                <w:szCs w:val="20"/>
              </w:rPr>
            </w:pPr>
          </w:p>
        </w:tc>
        <w:tc>
          <w:tcPr>
            <w:tcW w:w="1503" w:type="dxa"/>
          </w:tcPr>
          <w:p w14:paraId="1E523EF5"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5445ED1B" w14:textId="4FE5FD9C"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19A6162E" w14:textId="75A4E8BF"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8" w:type="dxa"/>
          </w:tcPr>
          <w:p w14:paraId="13AD8F5F" w14:textId="18D5DA0A"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44" w:type="dxa"/>
          </w:tcPr>
          <w:p w14:paraId="0461ECE2" w14:textId="16A61523"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11BDC" w:rsidRPr="00466EE4" w14:paraId="63FB7AD9"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33562816" w14:textId="6CDD194C"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DISOR</w:t>
            </w:r>
          </w:p>
        </w:tc>
        <w:tc>
          <w:tcPr>
            <w:tcW w:w="1503" w:type="dxa"/>
          </w:tcPr>
          <w:p w14:paraId="0B4CAD4F" w14:textId="036A183F"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17A176F5" w14:textId="21E06EA9"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285D64E1" w14:textId="5281CCFD"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21F3D758" w14:textId="5F1A71EB"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22990903" w14:textId="227EFAA8"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75BF8B9C"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1A4D0F7" w14:textId="77777777" w:rsidR="00A11BDC" w:rsidRPr="00466EE4" w:rsidRDefault="00A11BDC" w:rsidP="00EE521D">
            <w:pPr>
              <w:jc w:val="both"/>
              <w:rPr>
                <w:rFonts w:ascii="Times New Roman" w:hAnsi="Times New Roman" w:cs="Times New Roman"/>
                <w:sz w:val="20"/>
                <w:szCs w:val="20"/>
              </w:rPr>
            </w:pPr>
          </w:p>
        </w:tc>
        <w:tc>
          <w:tcPr>
            <w:tcW w:w="1503" w:type="dxa"/>
          </w:tcPr>
          <w:p w14:paraId="6AF1706A"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4B7286CC" w14:textId="3A021573"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03AA165B" w14:textId="52468191"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8" w:type="dxa"/>
          </w:tcPr>
          <w:p w14:paraId="2F285728" w14:textId="2ABCA7D2"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44" w:type="dxa"/>
          </w:tcPr>
          <w:p w14:paraId="39A478EA" w14:textId="79C69E8D"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11BDC" w:rsidRPr="00466EE4" w14:paraId="66AFCB85"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505BE15F" w14:textId="2474C70D"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G</w:t>
            </w:r>
          </w:p>
        </w:tc>
        <w:tc>
          <w:tcPr>
            <w:tcW w:w="1503" w:type="dxa"/>
          </w:tcPr>
          <w:p w14:paraId="28C1AE0B"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DIS</w:t>
            </w:r>
          </w:p>
          <w:p w14:paraId="6FE1E388" w14:textId="293EABCC"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ORG</w:t>
            </w:r>
          </w:p>
        </w:tc>
        <w:tc>
          <w:tcPr>
            <w:tcW w:w="1574" w:type="dxa"/>
          </w:tcPr>
          <w:p w14:paraId="47E2D96F"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64BC4912" w14:textId="2C95638B"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8</w:t>
            </w:r>
          </w:p>
        </w:tc>
        <w:tc>
          <w:tcPr>
            <w:tcW w:w="1428" w:type="dxa"/>
          </w:tcPr>
          <w:p w14:paraId="264C17E6" w14:textId="1B022EA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8</w:t>
            </w:r>
          </w:p>
        </w:tc>
        <w:tc>
          <w:tcPr>
            <w:tcW w:w="1644" w:type="dxa"/>
          </w:tcPr>
          <w:p w14:paraId="503D9CA8" w14:textId="38D1D648"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15</w:t>
            </w:r>
          </w:p>
        </w:tc>
      </w:tr>
      <w:tr w:rsidR="00A11BDC" w:rsidRPr="00466EE4" w14:paraId="1F50C895"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11F9C24" w14:textId="77777777" w:rsidR="00A11BDC" w:rsidRPr="00466EE4" w:rsidRDefault="00A11BDC" w:rsidP="00EE521D">
            <w:pPr>
              <w:jc w:val="both"/>
              <w:rPr>
                <w:rFonts w:ascii="Times New Roman" w:hAnsi="Times New Roman" w:cs="Times New Roman"/>
                <w:sz w:val="20"/>
                <w:szCs w:val="20"/>
              </w:rPr>
            </w:pPr>
          </w:p>
        </w:tc>
        <w:tc>
          <w:tcPr>
            <w:tcW w:w="1503" w:type="dxa"/>
          </w:tcPr>
          <w:p w14:paraId="34B5B6FE"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3A3A04AB"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5ED1E3A8" w14:textId="23842A4C"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66%</w:t>
            </w:r>
          </w:p>
        </w:tc>
        <w:tc>
          <w:tcPr>
            <w:tcW w:w="1428" w:type="dxa"/>
          </w:tcPr>
          <w:p w14:paraId="351789C9" w14:textId="5617C39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42%</w:t>
            </w:r>
          </w:p>
        </w:tc>
        <w:tc>
          <w:tcPr>
            <w:tcW w:w="1644" w:type="dxa"/>
          </w:tcPr>
          <w:p w14:paraId="630DB11E" w14:textId="5B1F32D6"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51%</w:t>
            </w:r>
          </w:p>
        </w:tc>
      </w:tr>
      <w:tr w:rsidR="00A11BDC" w:rsidRPr="00466EE4" w14:paraId="56F0C0C3"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792BB931" w14:textId="77777777" w:rsidR="00A11BDC" w:rsidRPr="00466EE4" w:rsidRDefault="00A11BDC" w:rsidP="00EE521D">
            <w:pPr>
              <w:jc w:val="both"/>
              <w:rPr>
                <w:rFonts w:ascii="Times New Roman" w:hAnsi="Times New Roman" w:cs="Times New Roman"/>
                <w:sz w:val="20"/>
                <w:szCs w:val="20"/>
              </w:rPr>
            </w:pPr>
          </w:p>
        </w:tc>
        <w:tc>
          <w:tcPr>
            <w:tcW w:w="1503" w:type="dxa"/>
          </w:tcPr>
          <w:p w14:paraId="1D6C8E6E"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68A0CEBA"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7C279B52"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167E8C42"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0FD77002"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0D24F4B2"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6D1FCFFB" w14:textId="77777777"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Total</w:t>
            </w:r>
          </w:p>
        </w:tc>
        <w:tc>
          <w:tcPr>
            <w:tcW w:w="1503" w:type="dxa"/>
          </w:tcPr>
          <w:p w14:paraId="787AB389"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16468994"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2B18C184" w14:textId="40E22638"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12</w:t>
            </w:r>
          </w:p>
        </w:tc>
        <w:tc>
          <w:tcPr>
            <w:tcW w:w="1428" w:type="dxa"/>
          </w:tcPr>
          <w:p w14:paraId="6FC4BB1E" w14:textId="727C9503"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18</w:t>
            </w:r>
          </w:p>
        </w:tc>
        <w:tc>
          <w:tcPr>
            <w:tcW w:w="1644" w:type="dxa"/>
          </w:tcPr>
          <w:p w14:paraId="694B69C1"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30</w:t>
            </w:r>
          </w:p>
        </w:tc>
      </w:tr>
      <w:tr w:rsidR="00A11BDC" w:rsidRPr="00466EE4" w14:paraId="05072FD6"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5DCC1380" w14:textId="77777777" w:rsidR="00A11BDC" w:rsidRPr="00466EE4" w:rsidRDefault="00A11BDC" w:rsidP="00EE521D">
            <w:pPr>
              <w:jc w:val="both"/>
              <w:rPr>
                <w:rFonts w:ascii="Times New Roman" w:hAnsi="Times New Roman" w:cs="Times New Roman"/>
                <w:sz w:val="20"/>
                <w:szCs w:val="20"/>
              </w:rPr>
            </w:pPr>
          </w:p>
        </w:tc>
        <w:tc>
          <w:tcPr>
            <w:tcW w:w="1503" w:type="dxa"/>
          </w:tcPr>
          <w:p w14:paraId="7914F03C"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33512CBA"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4C2DAA05"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c>
          <w:tcPr>
            <w:tcW w:w="1428" w:type="dxa"/>
          </w:tcPr>
          <w:p w14:paraId="0EE0627A"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c>
          <w:tcPr>
            <w:tcW w:w="1644" w:type="dxa"/>
          </w:tcPr>
          <w:p w14:paraId="512EA1EF"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r>
    </w:tbl>
    <w:p w14:paraId="128E3FF5" w14:textId="77777777" w:rsidR="00A11BDC" w:rsidRDefault="00A11BDC"/>
    <w:tbl>
      <w:tblPr>
        <w:tblStyle w:val="PlainTable2"/>
        <w:tblW w:w="0" w:type="auto"/>
        <w:tblLook w:val="04A0" w:firstRow="1" w:lastRow="0" w:firstColumn="1" w:lastColumn="0" w:noHBand="0" w:noVBand="1"/>
      </w:tblPr>
      <w:tblGrid>
        <w:gridCol w:w="1724"/>
        <w:gridCol w:w="1503"/>
        <w:gridCol w:w="1574"/>
        <w:gridCol w:w="1755"/>
        <w:gridCol w:w="1428"/>
        <w:gridCol w:w="1644"/>
      </w:tblGrid>
      <w:tr w:rsidR="00A11BDC" w:rsidRPr="00466EE4" w14:paraId="469F97FA" w14:textId="77777777" w:rsidTr="00092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12CC8132" w14:textId="77777777" w:rsidR="00A11BDC" w:rsidRPr="00466EE4" w:rsidRDefault="00A11BDC" w:rsidP="00EE521D">
            <w:pPr>
              <w:jc w:val="both"/>
              <w:rPr>
                <w:rFonts w:ascii="Times New Roman" w:hAnsi="Times New Roman" w:cs="Times New Roman"/>
                <w:sz w:val="20"/>
                <w:szCs w:val="20"/>
              </w:rPr>
            </w:pPr>
          </w:p>
        </w:tc>
        <w:tc>
          <w:tcPr>
            <w:tcW w:w="1503" w:type="dxa"/>
          </w:tcPr>
          <w:p w14:paraId="4A8521BF"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706C7A45"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                                </w:t>
            </w:r>
          </w:p>
        </w:tc>
        <w:tc>
          <w:tcPr>
            <w:tcW w:w="1755" w:type="dxa"/>
          </w:tcPr>
          <w:p w14:paraId="0C9B99C3"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Trauma</w:t>
            </w:r>
          </w:p>
        </w:tc>
        <w:tc>
          <w:tcPr>
            <w:tcW w:w="1428" w:type="dxa"/>
          </w:tcPr>
          <w:p w14:paraId="48668882"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208FC5AF" w14:textId="77777777" w:rsidR="00A11BDC" w:rsidRPr="00466EE4" w:rsidRDefault="00A11BDC" w:rsidP="00EE52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723C163B"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73961DA5" w14:textId="77777777" w:rsidR="00A11BDC" w:rsidRPr="00466EE4" w:rsidRDefault="00A11BDC" w:rsidP="00EE521D">
            <w:pPr>
              <w:jc w:val="both"/>
              <w:rPr>
                <w:rFonts w:ascii="Times New Roman" w:hAnsi="Times New Roman" w:cs="Times New Roman"/>
                <w:sz w:val="20"/>
                <w:szCs w:val="20"/>
              </w:rPr>
            </w:pPr>
          </w:p>
        </w:tc>
        <w:tc>
          <w:tcPr>
            <w:tcW w:w="1503" w:type="dxa"/>
          </w:tcPr>
          <w:p w14:paraId="60FC3C40"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47A04016"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69C767DA"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&lt;4   </w:t>
            </w:r>
          </w:p>
        </w:tc>
        <w:tc>
          <w:tcPr>
            <w:tcW w:w="1428" w:type="dxa"/>
          </w:tcPr>
          <w:p w14:paraId="21E80A90"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&gt;=4</w:t>
            </w:r>
          </w:p>
        </w:tc>
        <w:tc>
          <w:tcPr>
            <w:tcW w:w="1644" w:type="dxa"/>
          </w:tcPr>
          <w:p w14:paraId="5DE9ED29"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Total</w:t>
            </w:r>
          </w:p>
        </w:tc>
      </w:tr>
      <w:tr w:rsidR="00A11BDC" w:rsidRPr="00466EE4" w14:paraId="0D22BDE3"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062DDB8F" w14:textId="74B6374B"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AAI_F</w:t>
            </w:r>
          </w:p>
          <w:p w14:paraId="3AE650B8" w14:textId="40AC566E"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_nonF</w:t>
            </w:r>
          </w:p>
          <w:p w14:paraId="284CB5D2" w14:textId="77777777" w:rsidR="00A11BDC" w:rsidRPr="00466EE4" w:rsidRDefault="00A11BDC" w:rsidP="00EE521D">
            <w:pPr>
              <w:jc w:val="both"/>
              <w:rPr>
                <w:rFonts w:ascii="Times New Roman" w:hAnsi="Times New Roman" w:cs="Times New Roman"/>
                <w:sz w:val="20"/>
                <w:szCs w:val="20"/>
              </w:rPr>
            </w:pPr>
          </w:p>
        </w:tc>
        <w:tc>
          <w:tcPr>
            <w:tcW w:w="1503" w:type="dxa"/>
          </w:tcPr>
          <w:p w14:paraId="21E80DF6" w14:textId="2FBCAFEF"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F</w:t>
            </w:r>
          </w:p>
        </w:tc>
        <w:tc>
          <w:tcPr>
            <w:tcW w:w="1574" w:type="dxa"/>
          </w:tcPr>
          <w:p w14:paraId="5E6C5395"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7CCF6453" w14:textId="0CC528CE" w:rsidR="00A11BDC" w:rsidRPr="00466EE4" w:rsidRDefault="005A70E4"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xml:space="preserve"> 3</w:t>
            </w:r>
          </w:p>
        </w:tc>
        <w:tc>
          <w:tcPr>
            <w:tcW w:w="1428" w:type="dxa"/>
          </w:tcPr>
          <w:p w14:paraId="3B48C541" w14:textId="2902C0FB" w:rsidR="00A11BDC" w:rsidRPr="00466EE4" w:rsidRDefault="005A70E4"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7</w:t>
            </w:r>
          </w:p>
        </w:tc>
        <w:tc>
          <w:tcPr>
            <w:tcW w:w="1644" w:type="dxa"/>
          </w:tcPr>
          <w:p w14:paraId="71C42740" w14:textId="7DDF6B49" w:rsidR="00A11BDC" w:rsidRPr="00466EE4" w:rsidRDefault="005A70E4"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w:t>
            </w:r>
          </w:p>
        </w:tc>
      </w:tr>
      <w:tr w:rsidR="00A11BDC" w:rsidRPr="00466EE4" w14:paraId="09393913"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8DB55DB" w14:textId="77777777" w:rsidR="00A11BDC" w:rsidRPr="00466EE4" w:rsidRDefault="00A11BDC" w:rsidP="00EE521D">
            <w:pPr>
              <w:jc w:val="both"/>
              <w:rPr>
                <w:rFonts w:ascii="Times New Roman" w:hAnsi="Times New Roman" w:cs="Times New Roman"/>
                <w:sz w:val="20"/>
                <w:szCs w:val="20"/>
              </w:rPr>
            </w:pPr>
          </w:p>
        </w:tc>
        <w:tc>
          <w:tcPr>
            <w:tcW w:w="1503" w:type="dxa"/>
          </w:tcPr>
          <w:p w14:paraId="6179625C"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08BF5F48"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30B70A4D" w14:textId="672C8373"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18</w:t>
            </w:r>
            <w:r w:rsidR="00A11BDC" w:rsidRPr="00466EE4">
              <w:rPr>
                <w:rFonts w:ascii="Times New Roman" w:hAnsi="Times New Roman" w:cs="Times New Roman"/>
                <w:sz w:val="20"/>
                <w:szCs w:val="20"/>
              </w:rPr>
              <w:t>%</w:t>
            </w:r>
          </w:p>
        </w:tc>
        <w:tc>
          <w:tcPr>
            <w:tcW w:w="1428" w:type="dxa"/>
          </w:tcPr>
          <w:p w14:paraId="7912E7D6" w14:textId="2FF88AD6"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43</w:t>
            </w:r>
            <w:r w:rsidR="00A11BDC" w:rsidRPr="00466EE4">
              <w:rPr>
                <w:rFonts w:ascii="Times New Roman" w:hAnsi="Times New Roman" w:cs="Times New Roman"/>
                <w:sz w:val="20"/>
                <w:szCs w:val="20"/>
              </w:rPr>
              <w:t>%</w:t>
            </w:r>
          </w:p>
        </w:tc>
        <w:tc>
          <w:tcPr>
            <w:tcW w:w="1644" w:type="dxa"/>
          </w:tcPr>
          <w:p w14:paraId="655501F6" w14:textId="23514A47"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33</w:t>
            </w:r>
            <w:r w:rsidR="00A11BDC" w:rsidRPr="00466EE4">
              <w:rPr>
                <w:rFonts w:ascii="Times New Roman" w:hAnsi="Times New Roman" w:cs="Times New Roman"/>
                <w:sz w:val="20"/>
                <w:szCs w:val="20"/>
              </w:rPr>
              <w:t>%</w:t>
            </w:r>
          </w:p>
        </w:tc>
      </w:tr>
      <w:tr w:rsidR="00A11BDC" w:rsidRPr="00466EE4" w14:paraId="191F3E2A"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734F474B" w14:textId="28A8991F" w:rsidR="00A11BDC" w:rsidRPr="00466EE4" w:rsidRDefault="00A11BDC" w:rsidP="00EE521D">
            <w:pPr>
              <w:jc w:val="both"/>
              <w:rPr>
                <w:rFonts w:ascii="Times New Roman" w:hAnsi="Times New Roman" w:cs="Times New Roman"/>
                <w:sz w:val="20"/>
                <w:szCs w:val="20"/>
              </w:rPr>
            </w:pPr>
          </w:p>
        </w:tc>
        <w:tc>
          <w:tcPr>
            <w:tcW w:w="1503" w:type="dxa"/>
          </w:tcPr>
          <w:p w14:paraId="436F0DB2"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166D2C79"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754FEA62"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15DF95EF"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3D87ADB1"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073C3B36"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5EA08315" w14:textId="77777777" w:rsidR="00A11BDC" w:rsidRPr="00466EE4" w:rsidRDefault="00A11BDC" w:rsidP="00EE521D">
            <w:pPr>
              <w:jc w:val="both"/>
              <w:rPr>
                <w:rFonts w:ascii="Times New Roman" w:hAnsi="Times New Roman" w:cs="Times New Roman"/>
                <w:sz w:val="20"/>
                <w:szCs w:val="20"/>
              </w:rPr>
            </w:pPr>
          </w:p>
        </w:tc>
        <w:tc>
          <w:tcPr>
            <w:tcW w:w="1503" w:type="dxa"/>
          </w:tcPr>
          <w:p w14:paraId="4ED1B4D0"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5E1276E3"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0567CED1"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8" w:type="dxa"/>
          </w:tcPr>
          <w:p w14:paraId="7A75CE10"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44" w:type="dxa"/>
          </w:tcPr>
          <w:p w14:paraId="146F271D"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11BDC" w:rsidRPr="00466EE4" w14:paraId="6EC87158"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2CB83885" w14:textId="75121399" w:rsidR="00A11BDC" w:rsidRPr="00466EE4" w:rsidRDefault="00A11BDC" w:rsidP="00EE521D">
            <w:pPr>
              <w:jc w:val="both"/>
              <w:rPr>
                <w:rFonts w:ascii="Times New Roman" w:hAnsi="Times New Roman" w:cs="Times New Roman"/>
                <w:sz w:val="20"/>
                <w:szCs w:val="20"/>
              </w:rPr>
            </w:pPr>
          </w:p>
        </w:tc>
        <w:tc>
          <w:tcPr>
            <w:tcW w:w="1503" w:type="dxa"/>
          </w:tcPr>
          <w:p w14:paraId="325D1F1C"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397F3204"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5FAE89CF"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45E9B98B"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327FE030"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5457DCFB"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1AB129FE" w14:textId="77777777" w:rsidR="00A11BDC" w:rsidRPr="00466EE4" w:rsidRDefault="00A11BDC" w:rsidP="00EE521D">
            <w:pPr>
              <w:jc w:val="both"/>
              <w:rPr>
                <w:rFonts w:ascii="Times New Roman" w:hAnsi="Times New Roman" w:cs="Times New Roman"/>
                <w:sz w:val="20"/>
                <w:szCs w:val="20"/>
              </w:rPr>
            </w:pPr>
          </w:p>
        </w:tc>
        <w:tc>
          <w:tcPr>
            <w:tcW w:w="1503" w:type="dxa"/>
          </w:tcPr>
          <w:p w14:paraId="19A4B3D7"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5E940C48"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55" w:type="dxa"/>
          </w:tcPr>
          <w:p w14:paraId="70A80370"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28" w:type="dxa"/>
          </w:tcPr>
          <w:p w14:paraId="7898E55B"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44" w:type="dxa"/>
          </w:tcPr>
          <w:p w14:paraId="1CA3D610"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11BDC" w:rsidRPr="00466EE4" w14:paraId="09531BE0"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49C579BA" w14:textId="6706FC46" w:rsidR="00A11BDC" w:rsidRPr="00466EE4" w:rsidRDefault="00A11BDC" w:rsidP="00EE521D">
            <w:pPr>
              <w:jc w:val="both"/>
              <w:rPr>
                <w:rFonts w:ascii="Times New Roman" w:hAnsi="Times New Roman" w:cs="Times New Roman"/>
                <w:sz w:val="20"/>
                <w:szCs w:val="20"/>
              </w:rPr>
            </w:pPr>
          </w:p>
        </w:tc>
        <w:tc>
          <w:tcPr>
            <w:tcW w:w="1503" w:type="dxa"/>
          </w:tcPr>
          <w:p w14:paraId="00BC0F76" w14:textId="338BED45"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_nonF</w:t>
            </w:r>
          </w:p>
        </w:tc>
        <w:tc>
          <w:tcPr>
            <w:tcW w:w="1574" w:type="dxa"/>
          </w:tcPr>
          <w:p w14:paraId="49A9C828"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11707968" w14:textId="0FB93B1F" w:rsidR="00A11BDC" w:rsidRPr="00466EE4" w:rsidRDefault="005A70E4"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w:t>
            </w:r>
          </w:p>
        </w:tc>
        <w:tc>
          <w:tcPr>
            <w:tcW w:w="1428" w:type="dxa"/>
          </w:tcPr>
          <w:p w14:paraId="22EE45AD" w14:textId="784B7985" w:rsidR="00A11BDC" w:rsidRPr="00466EE4" w:rsidRDefault="005A70E4"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12</w:t>
            </w:r>
          </w:p>
        </w:tc>
        <w:tc>
          <w:tcPr>
            <w:tcW w:w="1644" w:type="dxa"/>
          </w:tcPr>
          <w:p w14:paraId="29F3CED9" w14:textId="4DE246F2" w:rsidR="00A11BDC" w:rsidRPr="00466EE4" w:rsidRDefault="005A70E4"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22</w:t>
            </w:r>
          </w:p>
        </w:tc>
      </w:tr>
      <w:tr w:rsidR="00A11BDC" w:rsidRPr="00466EE4" w14:paraId="1FBFFE1F"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546106F6" w14:textId="77777777" w:rsidR="00A11BDC" w:rsidRPr="00466EE4" w:rsidRDefault="00A11BDC" w:rsidP="00EE521D">
            <w:pPr>
              <w:jc w:val="both"/>
              <w:rPr>
                <w:rFonts w:ascii="Times New Roman" w:hAnsi="Times New Roman" w:cs="Times New Roman"/>
                <w:sz w:val="20"/>
                <w:szCs w:val="20"/>
              </w:rPr>
            </w:pPr>
          </w:p>
        </w:tc>
        <w:tc>
          <w:tcPr>
            <w:tcW w:w="1503" w:type="dxa"/>
          </w:tcPr>
          <w:p w14:paraId="2954FA1D"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3C0BEFD8"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30FD0BFC" w14:textId="3074B544"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82</w:t>
            </w:r>
            <w:r w:rsidR="00A11BDC" w:rsidRPr="00466EE4">
              <w:rPr>
                <w:rFonts w:ascii="Times New Roman" w:hAnsi="Times New Roman" w:cs="Times New Roman"/>
                <w:sz w:val="20"/>
                <w:szCs w:val="20"/>
              </w:rPr>
              <w:t>%</w:t>
            </w:r>
          </w:p>
        </w:tc>
        <w:tc>
          <w:tcPr>
            <w:tcW w:w="1428" w:type="dxa"/>
          </w:tcPr>
          <w:p w14:paraId="76C18634" w14:textId="29B8C513"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57</w:t>
            </w:r>
            <w:r w:rsidR="00A11BDC" w:rsidRPr="00466EE4">
              <w:rPr>
                <w:rFonts w:ascii="Times New Roman" w:hAnsi="Times New Roman" w:cs="Times New Roman"/>
                <w:sz w:val="20"/>
                <w:szCs w:val="20"/>
              </w:rPr>
              <w:t>%</w:t>
            </w:r>
          </w:p>
        </w:tc>
        <w:tc>
          <w:tcPr>
            <w:tcW w:w="1644" w:type="dxa"/>
          </w:tcPr>
          <w:p w14:paraId="794679EA" w14:textId="0568017C"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67</w:t>
            </w:r>
            <w:r w:rsidR="00A11BDC" w:rsidRPr="00466EE4">
              <w:rPr>
                <w:rFonts w:ascii="Times New Roman" w:hAnsi="Times New Roman" w:cs="Times New Roman"/>
                <w:sz w:val="20"/>
                <w:szCs w:val="20"/>
              </w:rPr>
              <w:t>%</w:t>
            </w:r>
          </w:p>
        </w:tc>
      </w:tr>
      <w:tr w:rsidR="00A11BDC" w:rsidRPr="00466EE4" w14:paraId="4816062A"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2384A555" w14:textId="77777777" w:rsidR="00A11BDC" w:rsidRPr="00466EE4" w:rsidRDefault="00A11BDC" w:rsidP="00EE521D">
            <w:pPr>
              <w:jc w:val="both"/>
              <w:rPr>
                <w:rFonts w:ascii="Times New Roman" w:hAnsi="Times New Roman" w:cs="Times New Roman"/>
                <w:sz w:val="20"/>
                <w:szCs w:val="20"/>
              </w:rPr>
            </w:pPr>
          </w:p>
        </w:tc>
        <w:tc>
          <w:tcPr>
            <w:tcW w:w="1503" w:type="dxa"/>
          </w:tcPr>
          <w:p w14:paraId="32C77EF4"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2A5E1EA6"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55" w:type="dxa"/>
          </w:tcPr>
          <w:p w14:paraId="77CA8F22"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28" w:type="dxa"/>
          </w:tcPr>
          <w:p w14:paraId="30E1FA79"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644" w:type="dxa"/>
          </w:tcPr>
          <w:p w14:paraId="6852B5D1"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11BDC" w:rsidRPr="00466EE4" w14:paraId="3391F24A" w14:textId="77777777" w:rsidTr="00092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FF76109" w14:textId="77777777" w:rsidR="00A11BDC" w:rsidRPr="00466EE4" w:rsidRDefault="00A11BDC" w:rsidP="00EE521D">
            <w:pPr>
              <w:jc w:val="both"/>
              <w:rPr>
                <w:rFonts w:ascii="Times New Roman" w:hAnsi="Times New Roman" w:cs="Times New Roman"/>
                <w:sz w:val="20"/>
                <w:szCs w:val="20"/>
              </w:rPr>
            </w:pPr>
            <w:r w:rsidRPr="00466EE4">
              <w:rPr>
                <w:rFonts w:ascii="Times New Roman" w:hAnsi="Times New Roman" w:cs="Times New Roman"/>
                <w:sz w:val="20"/>
                <w:szCs w:val="20"/>
              </w:rPr>
              <w:t>Total</w:t>
            </w:r>
          </w:p>
        </w:tc>
        <w:tc>
          <w:tcPr>
            <w:tcW w:w="1503" w:type="dxa"/>
          </w:tcPr>
          <w:p w14:paraId="20525FB4"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74" w:type="dxa"/>
          </w:tcPr>
          <w:p w14:paraId="132E302B"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Score</w:t>
            </w:r>
          </w:p>
        </w:tc>
        <w:tc>
          <w:tcPr>
            <w:tcW w:w="1755" w:type="dxa"/>
          </w:tcPr>
          <w:p w14:paraId="6DFAA8CD" w14:textId="4DC5503B"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11</w:t>
            </w:r>
          </w:p>
        </w:tc>
        <w:tc>
          <w:tcPr>
            <w:tcW w:w="1428" w:type="dxa"/>
          </w:tcPr>
          <w:p w14:paraId="442AAFBE" w14:textId="10D7677E" w:rsidR="00A11BDC" w:rsidRPr="00466EE4" w:rsidRDefault="005A70E4"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19</w:t>
            </w:r>
          </w:p>
        </w:tc>
        <w:tc>
          <w:tcPr>
            <w:tcW w:w="1644" w:type="dxa"/>
          </w:tcPr>
          <w:p w14:paraId="34A4DBD3" w14:textId="77777777" w:rsidR="00A11BDC" w:rsidRPr="00466EE4" w:rsidRDefault="00A11BDC" w:rsidP="00EE521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30</w:t>
            </w:r>
          </w:p>
        </w:tc>
      </w:tr>
      <w:tr w:rsidR="00A11BDC" w:rsidRPr="00466EE4" w14:paraId="10827288" w14:textId="77777777" w:rsidTr="000923F9">
        <w:tc>
          <w:tcPr>
            <w:cnfStyle w:val="001000000000" w:firstRow="0" w:lastRow="0" w:firstColumn="1" w:lastColumn="0" w:oddVBand="0" w:evenVBand="0" w:oddHBand="0" w:evenHBand="0" w:firstRowFirstColumn="0" w:firstRowLastColumn="0" w:lastRowFirstColumn="0" w:lastRowLastColumn="0"/>
            <w:tcW w:w="1724" w:type="dxa"/>
          </w:tcPr>
          <w:p w14:paraId="0108C30C" w14:textId="77777777" w:rsidR="00A11BDC" w:rsidRPr="00466EE4" w:rsidRDefault="00A11BDC" w:rsidP="00EE521D">
            <w:pPr>
              <w:jc w:val="both"/>
              <w:rPr>
                <w:rFonts w:ascii="Times New Roman" w:hAnsi="Times New Roman" w:cs="Times New Roman"/>
                <w:sz w:val="20"/>
                <w:szCs w:val="20"/>
              </w:rPr>
            </w:pPr>
          </w:p>
        </w:tc>
        <w:tc>
          <w:tcPr>
            <w:tcW w:w="1503" w:type="dxa"/>
          </w:tcPr>
          <w:p w14:paraId="482F65BF"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74" w:type="dxa"/>
          </w:tcPr>
          <w:p w14:paraId="5D5F27AE"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 of subjects</w:t>
            </w:r>
          </w:p>
        </w:tc>
        <w:tc>
          <w:tcPr>
            <w:tcW w:w="1755" w:type="dxa"/>
          </w:tcPr>
          <w:p w14:paraId="2682149B"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c>
          <w:tcPr>
            <w:tcW w:w="1428" w:type="dxa"/>
          </w:tcPr>
          <w:p w14:paraId="675D4257"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c>
          <w:tcPr>
            <w:tcW w:w="1644" w:type="dxa"/>
          </w:tcPr>
          <w:p w14:paraId="7FC7011B" w14:textId="77777777" w:rsidR="00A11BDC" w:rsidRPr="00466EE4" w:rsidRDefault="00A11BDC" w:rsidP="00EE52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66EE4">
              <w:rPr>
                <w:rFonts w:ascii="Times New Roman" w:hAnsi="Times New Roman" w:cs="Times New Roman"/>
                <w:sz w:val="20"/>
                <w:szCs w:val="20"/>
              </w:rPr>
              <w:t>100.0%</w:t>
            </w:r>
          </w:p>
        </w:tc>
      </w:tr>
    </w:tbl>
    <w:p w14:paraId="6971544F" w14:textId="10203853" w:rsidR="00A11BDC" w:rsidRPr="007A663F" w:rsidRDefault="007A663F" w:rsidP="007A663F">
      <w:pPr>
        <w:rPr>
          <w:rFonts w:ascii="Times New Roman" w:hAnsi="Times New Roman" w:cs="Times New Roman"/>
          <w:sz w:val="20"/>
          <w:szCs w:val="20"/>
        </w:rPr>
      </w:pPr>
      <w:r w:rsidRPr="007A663F">
        <w:rPr>
          <w:b/>
          <w:bCs/>
          <w:i/>
          <w:iCs/>
        </w:rPr>
        <w:t>*</w:t>
      </w:r>
      <w:r w:rsidR="00DE2A52" w:rsidRPr="007A663F">
        <w:rPr>
          <w:rFonts w:ascii="Times New Roman" w:hAnsi="Times New Roman" w:cs="Times New Roman"/>
          <w:b/>
          <w:bCs/>
          <w:i/>
          <w:iCs/>
          <w:sz w:val="18"/>
          <w:szCs w:val="18"/>
        </w:rPr>
        <w:t>Note</w:t>
      </w:r>
      <w:r w:rsidR="00DE2A52" w:rsidRPr="007A663F">
        <w:rPr>
          <w:rFonts w:ascii="Times New Roman" w:hAnsi="Times New Roman" w:cs="Times New Roman"/>
          <w:sz w:val="18"/>
          <w:szCs w:val="18"/>
        </w:rPr>
        <w:t>: F</w:t>
      </w:r>
      <w:r w:rsidRPr="007A663F">
        <w:rPr>
          <w:rFonts w:ascii="Times New Roman" w:hAnsi="Times New Roman" w:cs="Times New Roman"/>
          <w:sz w:val="18"/>
          <w:szCs w:val="18"/>
        </w:rPr>
        <w:t>=</w:t>
      </w:r>
      <w:r w:rsidR="00DE2A52" w:rsidRPr="007A663F">
        <w:rPr>
          <w:rFonts w:ascii="Times New Roman" w:hAnsi="Times New Roman" w:cs="Times New Roman"/>
          <w:sz w:val="18"/>
          <w:szCs w:val="18"/>
        </w:rPr>
        <w:t>secure; Ds</w:t>
      </w:r>
      <w:r w:rsidRPr="007A663F">
        <w:rPr>
          <w:rFonts w:ascii="Times New Roman" w:hAnsi="Times New Roman" w:cs="Times New Roman"/>
          <w:sz w:val="18"/>
          <w:szCs w:val="18"/>
        </w:rPr>
        <w:t>=</w:t>
      </w:r>
      <w:r w:rsidR="00DE2A52" w:rsidRPr="007A663F">
        <w:rPr>
          <w:rFonts w:ascii="Times New Roman" w:hAnsi="Times New Roman" w:cs="Times New Roman"/>
          <w:sz w:val="18"/>
          <w:szCs w:val="18"/>
        </w:rPr>
        <w:t>distanced; E</w:t>
      </w:r>
      <w:r w:rsidRPr="007A663F">
        <w:rPr>
          <w:rFonts w:ascii="Times New Roman" w:hAnsi="Times New Roman" w:cs="Times New Roman"/>
          <w:sz w:val="18"/>
          <w:szCs w:val="18"/>
        </w:rPr>
        <w:t>=</w:t>
      </w:r>
      <w:r w:rsidR="00DE2A52" w:rsidRPr="007A663F">
        <w:rPr>
          <w:rFonts w:ascii="Times New Roman" w:hAnsi="Times New Roman" w:cs="Times New Roman"/>
          <w:sz w:val="18"/>
          <w:szCs w:val="18"/>
        </w:rPr>
        <w:t>worried; U</w:t>
      </w:r>
      <w:r w:rsidRPr="007A663F">
        <w:rPr>
          <w:rFonts w:ascii="Times New Roman" w:hAnsi="Times New Roman" w:cs="Times New Roman"/>
          <w:sz w:val="18"/>
          <w:szCs w:val="18"/>
        </w:rPr>
        <w:t>=</w:t>
      </w:r>
      <w:r w:rsidR="00DE2A52" w:rsidRPr="007A663F">
        <w:rPr>
          <w:rFonts w:ascii="Times New Roman" w:hAnsi="Times New Roman" w:cs="Times New Roman"/>
          <w:sz w:val="18"/>
          <w:szCs w:val="18"/>
        </w:rPr>
        <w:t>unsolved, disorganized; CC</w:t>
      </w:r>
      <w:r w:rsidRPr="007A663F">
        <w:rPr>
          <w:rFonts w:ascii="Times New Roman" w:hAnsi="Times New Roman" w:cs="Times New Roman"/>
          <w:sz w:val="18"/>
          <w:szCs w:val="18"/>
        </w:rPr>
        <w:t>=non classified; ORG=organized; DISORF=</w:t>
      </w:r>
      <w:r w:rsidR="00DE2A52" w:rsidRPr="007A663F">
        <w:rPr>
          <w:rFonts w:ascii="Times New Roman" w:hAnsi="Times New Roman" w:cs="Times New Roman"/>
          <w:sz w:val="18"/>
          <w:szCs w:val="18"/>
        </w:rPr>
        <w:t>disorganized</w:t>
      </w:r>
      <w:r w:rsidRPr="007A663F">
        <w:rPr>
          <w:rFonts w:ascii="Times New Roman" w:hAnsi="Times New Roman" w:cs="Times New Roman"/>
          <w:sz w:val="18"/>
          <w:szCs w:val="18"/>
        </w:rPr>
        <w:t>; NONF=non secured</w:t>
      </w:r>
    </w:p>
    <w:p w14:paraId="17DC856F" w14:textId="77777777" w:rsidR="00A11BDC" w:rsidRDefault="00A11BDC"/>
    <w:p w14:paraId="23A0E96A" w14:textId="3D9B2AE8" w:rsidR="00957C94" w:rsidRPr="00752FB9" w:rsidRDefault="00957C94" w:rsidP="004063B1">
      <w:pPr>
        <w:spacing w:line="360" w:lineRule="auto"/>
        <w:jc w:val="both"/>
        <w:rPr>
          <w:rFonts w:ascii="Times New Roman" w:hAnsi="Times New Roman" w:cs="Times New Roman"/>
          <w:sz w:val="24"/>
          <w:szCs w:val="24"/>
        </w:rPr>
      </w:pPr>
      <w:r w:rsidRPr="00752FB9">
        <w:rPr>
          <w:rFonts w:ascii="Times New Roman" w:hAnsi="Times New Roman" w:cs="Times New Roman"/>
          <w:sz w:val="24"/>
          <w:szCs w:val="24"/>
        </w:rPr>
        <w:t>Regarding the connection between mentalization and IPV</w:t>
      </w:r>
      <w:r w:rsidR="00752FB9">
        <w:rPr>
          <w:rFonts w:ascii="Times New Roman" w:hAnsi="Times New Roman" w:cs="Times New Roman"/>
          <w:sz w:val="24"/>
          <w:szCs w:val="24"/>
        </w:rPr>
        <w:t>,</w:t>
      </w:r>
      <w:r w:rsidR="00290133">
        <w:rPr>
          <w:rFonts w:ascii="Times New Roman" w:hAnsi="Times New Roman" w:cs="Times New Roman"/>
          <w:sz w:val="24"/>
          <w:szCs w:val="24"/>
        </w:rPr>
        <w:t xml:space="preserve"> </w:t>
      </w:r>
      <w:r w:rsidR="00752FB9">
        <w:rPr>
          <w:rFonts w:ascii="Times New Roman" w:hAnsi="Times New Roman" w:cs="Times New Roman"/>
          <w:sz w:val="24"/>
          <w:szCs w:val="24"/>
        </w:rPr>
        <w:t>table</w:t>
      </w:r>
      <w:r w:rsidR="00290133">
        <w:rPr>
          <w:rFonts w:ascii="Times New Roman" w:hAnsi="Times New Roman" w:cs="Times New Roman"/>
          <w:sz w:val="24"/>
          <w:szCs w:val="24"/>
        </w:rPr>
        <w:t xml:space="preserve"> 11</w:t>
      </w:r>
      <w:r w:rsidR="00434A44">
        <w:rPr>
          <w:rFonts w:ascii="Times New Roman" w:hAnsi="Times New Roman" w:cs="Times New Roman"/>
          <w:sz w:val="24"/>
          <w:szCs w:val="24"/>
        </w:rPr>
        <w:t xml:space="preserve"> shows</w:t>
      </w:r>
      <w:r w:rsidR="00752FB9">
        <w:rPr>
          <w:rFonts w:ascii="Times New Roman" w:hAnsi="Times New Roman" w:cs="Times New Roman"/>
          <w:sz w:val="24"/>
          <w:szCs w:val="24"/>
        </w:rPr>
        <w:t xml:space="preserve"> that</w:t>
      </w:r>
      <w:r w:rsidR="002E50FA">
        <w:rPr>
          <w:rFonts w:ascii="Times New Roman" w:hAnsi="Times New Roman" w:cs="Times New Roman"/>
          <w:sz w:val="24"/>
          <w:szCs w:val="24"/>
        </w:rPr>
        <w:t xml:space="preserve"> </w:t>
      </w:r>
      <w:r w:rsidR="00F87A6F" w:rsidRPr="00752FB9">
        <w:rPr>
          <w:rFonts w:ascii="Times New Roman" w:hAnsi="Times New Roman" w:cs="Times New Roman"/>
          <w:sz w:val="24"/>
          <w:szCs w:val="24"/>
        </w:rPr>
        <w:t>a</w:t>
      </w:r>
      <w:r w:rsidR="00916D9D" w:rsidRPr="00752FB9">
        <w:rPr>
          <w:rFonts w:ascii="Times New Roman" w:hAnsi="Times New Roman" w:cs="Times New Roman"/>
          <w:sz w:val="24"/>
          <w:szCs w:val="24"/>
        </w:rPr>
        <w:t>mong the most prevalent prementalizing modes are good mentalization and the teleological mode, characterized by the recognition of</w:t>
      </w:r>
      <w:r w:rsidR="00434A44">
        <w:rPr>
          <w:rFonts w:ascii="Times New Roman" w:hAnsi="Times New Roman" w:cs="Times New Roman"/>
          <w:sz w:val="24"/>
          <w:szCs w:val="24"/>
        </w:rPr>
        <w:t xml:space="preserve"> </w:t>
      </w:r>
      <w:r w:rsidR="00916D9D" w:rsidRPr="00752FB9">
        <w:rPr>
          <w:rFonts w:ascii="Times New Roman" w:hAnsi="Times New Roman" w:cs="Times New Roman"/>
          <w:sz w:val="24"/>
          <w:szCs w:val="24"/>
        </w:rPr>
        <w:t>real observable goal-directed behavior and objectively distinguishable events that have the potential to constrain these goals. Therefore, women may acknowledge the presence and possible influence of mental states, although</w:t>
      </w:r>
      <w:r w:rsidR="00434A44">
        <w:rPr>
          <w:rFonts w:ascii="Times New Roman" w:hAnsi="Times New Roman" w:cs="Times New Roman"/>
          <w:sz w:val="24"/>
          <w:szCs w:val="24"/>
        </w:rPr>
        <w:t>,</w:t>
      </w:r>
      <w:r w:rsidR="00916D9D" w:rsidRPr="00752FB9">
        <w:rPr>
          <w:rFonts w:ascii="Times New Roman" w:hAnsi="Times New Roman" w:cs="Times New Roman"/>
          <w:sz w:val="24"/>
          <w:szCs w:val="24"/>
        </w:rPr>
        <w:t xml:space="preserve"> in certain instances, this recognition may be confined to highly specific and observable attributes. The results</w:t>
      </w:r>
      <w:r w:rsidR="00F87A6F" w:rsidRPr="00752FB9">
        <w:rPr>
          <w:rFonts w:ascii="Times New Roman" w:hAnsi="Times New Roman" w:cs="Times New Roman"/>
          <w:sz w:val="24"/>
          <w:szCs w:val="24"/>
        </w:rPr>
        <w:t xml:space="preserve"> of the correlation</w:t>
      </w:r>
      <w:r w:rsidR="00752FB9">
        <w:rPr>
          <w:rFonts w:ascii="Times New Roman" w:hAnsi="Times New Roman" w:cs="Times New Roman"/>
          <w:sz w:val="24"/>
          <w:szCs w:val="24"/>
        </w:rPr>
        <w:t xml:space="preserve"> </w:t>
      </w:r>
      <w:r w:rsidR="00F87A6F" w:rsidRPr="00752FB9">
        <w:rPr>
          <w:rFonts w:ascii="Times New Roman" w:hAnsi="Times New Roman" w:cs="Times New Roman"/>
          <w:sz w:val="24"/>
          <w:szCs w:val="24"/>
        </w:rPr>
        <w:t>reveal</w:t>
      </w:r>
      <w:r w:rsidR="00916D9D" w:rsidRPr="00752FB9">
        <w:rPr>
          <w:rFonts w:ascii="Times New Roman" w:hAnsi="Times New Roman" w:cs="Times New Roman"/>
          <w:sz w:val="24"/>
          <w:szCs w:val="24"/>
        </w:rPr>
        <w:t xml:space="preserve"> a</w:t>
      </w:r>
      <w:r w:rsidR="00F87A6F" w:rsidRPr="00752FB9">
        <w:rPr>
          <w:rFonts w:ascii="Times New Roman" w:hAnsi="Times New Roman" w:cs="Times New Roman"/>
          <w:sz w:val="24"/>
          <w:szCs w:val="24"/>
        </w:rPr>
        <w:t xml:space="preserve">n inverse </w:t>
      </w:r>
      <w:r w:rsidR="00916D9D" w:rsidRPr="00752FB9">
        <w:rPr>
          <w:rFonts w:ascii="Times New Roman" w:hAnsi="Times New Roman" w:cs="Times New Roman"/>
          <w:sz w:val="24"/>
          <w:szCs w:val="24"/>
        </w:rPr>
        <w:t xml:space="preserve">and significant correlation between cognitive </w:t>
      </w:r>
      <w:r w:rsidR="00434A44">
        <w:rPr>
          <w:rFonts w:ascii="Times New Roman" w:hAnsi="Times New Roman" w:cs="Times New Roman"/>
          <w:sz w:val="24"/>
          <w:szCs w:val="24"/>
        </w:rPr>
        <w:t>un</w:t>
      </w:r>
      <w:r w:rsidR="00916D9D" w:rsidRPr="00752FB9">
        <w:rPr>
          <w:rFonts w:ascii="Times New Roman" w:hAnsi="Times New Roman" w:cs="Times New Roman"/>
          <w:sz w:val="24"/>
          <w:szCs w:val="24"/>
        </w:rPr>
        <w:t>balance</w:t>
      </w:r>
      <w:r w:rsidR="00752FB9" w:rsidRPr="00752FB9">
        <w:rPr>
          <w:rFonts w:ascii="Times New Roman" w:hAnsi="Times New Roman" w:cs="Times New Roman"/>
          <w:sz w:val="24"/>
          <w:szCs w:val="24"/>
        </w:rPr>
        <w:t xml:space="preserve"> and positive </w:t>
      </w:r>
      <w:r w:rsidR="00434A44">
        <w:rPr>
          <w:rFonts w:ascii="Times New Roman" w:hAnsi="Times New Roman" w:cs="Times New Roman"/>
          <w:sz w:val="24"/>
          <w:szCs w:val="24"/>
        </w:rPr>
        <w:t>countertransference</w:t>
      </w:r>
      <w:r w:rsidR="00F87A6F" w:rsidRPr="00752FB9">
        <w:rPr>
          <w:rFonts w:ascii="Times New Roman" w:hAnsi="Times New Roman" w:cs="Times New Roman"/>
          <w:sz w:val="24"/>
          <w:szCs w:val="24"/>
        </w:rPr>
        <w:t xml:space="preserve"> (</w:t>
      </w:r>
      <w:r w:rsidR="00F87A6F" w:rsidRPr="00752FB9">
        <w:rPr>
          <w:rFonts w:ascii="Times New Roman" w:hAnsi="Times New Roman" w:cs="Times New Roman"/>
          <w:color w:val="252525"/>
        </w:rPr>
        <w:t>r=.-. 615</w:t>
      </w:r>
      <w:r w:rsidR="00752FB9" w:rsidRPr="00752FB9">
        <w:rPr>
          <w:rFonts w:ascii="Times New Roman" w:hAnsi="Times New Roman" w:cs="Times New Roman"/>
          <w:sz w:val="24"/>
          <w:szCs w:val="24"/>
        </w:rPr>
        <w:t xml:space="preserve"> ; p&lt;0,01</w:t>
      </w:r>
      <w:r w:rsidR="00F87A6F" w:rsidRPr="00752FB9">
        <w:rPr>
          <w:rFonts w:ascii="Times New Roman" w:hAnsi="Times New Roman" w:cs="Times New Roman"/>
          <w:color w:val="252525"/>
        </w:rPr>
        <w:t>)</w:t>
      </w:r>
      <w:r w:rsidR="00752FB9" w:rsidRPr="00752FB9">
        <w:rPr>
          <w:rFonts w:ascii="Times New Roman" w:hAnsi="Times New Roman" w:cs="Times New Roman"/>
          <w:sz w:val="24"/>
          <w:szCs w:val="24"/>
        </w:rPr>
        <w:t>;</w:t>
      </w:r>
      <w:r w:rsidR="00916D9D" w:rsidRPr="00752FB9">
        <w:rPr>
          <w:rFonts w:ascii="Times New Roman" w:hAnsi="Times New Roman" w:cs="Times New Roman"/>
          <w:sz w:val="24"/>
          <w:szCs w:val="24"/>
        </w:rPr>
        <w:t xml:space="preserve"> </w:t>
      </w:r>
      <w:r w:rsidR="00F87A6F" w:rsidRPr="00752FB9">
        <w:rPr>
          <w:rFonts w:ascii="Times New Roman" w:hAnsi="Times New Roman" w:cs="Times New Roman"/>
          <w:sz w:val="24"/>
          <w:szCs w:val="24"/>
        </w:rPr>
        <w:t xml:space="preserve">a positive correlation </w:t>
      </w:r>
      <w:r w:rsidR="00916D9D" w:rsidRPr="00752FB9">
        <w:rPr>
          <w:rFonts w:ascii="Times New Roman" w:hAnsi="Times New Roman" w:cs="Times New Roman"/>
          <w:sz w:val="24"/>
          <w:szCs w:val="24"/>
        </w:rPr>
        <w:t xml:space="preserve">between affective imbalance and hyper-involved </w:t>
      </w:r>
      <w:r w:rsidR="00F87A6F" w:rsidRPr="00752FB9">
        <w:rPr>
          <w:rFonts w:ascii="Times New Roman" w:hAnsi="Times New Roman" w:cs="Times New Roman"/>
          <w:sz w:val="24"/>
          <w:szCs w:val="24"/>
        </w:rPr>
        <w:t>(r=.507</w:t>
      </w:r>
      <w:r w:rsidR="00752FB9" w:rsidRPr="00752FB9">
        <w:rPr>
          <w:rFonts w:ascii="Times New Roman" w:hAnsi="Times New Roman" w:cs="Times New Roman"/>
          <w:sz w:val="24"/>
          <w:szCs w:val="24"/>
        </w:rPr>
        <w:t>; p&lt;0,05</w:t>
      </w:r>
      <w:r w:rsidR="00F87A6F" w:rsidRPr="00752FB9">
        <w:rPr>
          <w:rFonts w:ascii="Times New Roman" w:hAnsi="Times New Roman" w:cs="Times New Roman"/>
          <w:sz w:val="24"/>
          <w:szCs w:val="24"/>
        </w:rPr>
        <w:t xml:space="preserve">) </w:t>
      </w:r>
      <w:r w:rsidR="00916D9D" w:rsidRPr="00752FB9">
        <w:rPr>
          <w:rFonts w:ascii="Times New Roman" w:hAnsi="Times New Roman" w:cs="Times New Roman"/>
          <w:sz w:val="24"/>
          <w:szCs w:val="24"/>
        </w:rPr>
        <w:t>and eroticized countertransference</w:t>
      </w:r>
      <w:r w:rsidR="00F87A6F" w:rsidRPr="00752FB9">
        <w:rPr>
          <w:rFonts w:ascii="Times New Roman" w:hAnsi="Times New Roman" w:cs="Times New Roman"/>
          <w:sz w:val="24"/>
          <w:szCs w:val="24"/>
        </w:rPr>
        <w:t xml:space="preserve"> (r=.401</w:t>
      </w:r>
      <w:r w:rsidR="00752FB9" w:rsidRPr="00752FB9">
        <w:rPr>
          <w:rFonts w:ascii="Times New Roman" w:hAnsi="Times New Roman" w:cs="Times New Roman"/>
          <w:sz w:val="24"/>
          <w:szCs w:val="24"/>
        </w:rPr>
        <w:t>; p&lt;0,05</w:t>
      </w:r>
      <w:r w:rsidR="00F87A6F" w:rsidRPr="00752FB9">
        <w:rPr>
          <w:rFonts w:ascii="Times New Roman" w:hAnsi="Times New Roman" w:cs="Times New Roman"/>
          <w:sz w:val="24"/>
          <w:szCs w:val="24"/>
        </w:rPr>
        <w:t>);</w:t>
      </w:r>
      <w:r w:rsidR="00752FB9">
        <w:rPr>
          <w:rFonts w:ascii="Times New Roman" w:hAnsi="Times New Roman" w:cs="Times New Roman"/>
          <w:sz w:val="24"/>
          <w:szCs w:val="24"/>
        </w:rPr>
        <w:t xml:space="preserve"> a positive correlation</w:t>
      </w:r>
      <w:r w:rsidR="00916D9D" w:rsidRPr="00752FB9">
        <w:rPr>
          <w:rFonts w:ascii="Times New Roman" w:hAnsi="Times New Roman" w:cs="Times New Roman"/>
          <w:sz w:val="24"/>
          <w:szCs w:val="24"/>
        </w:rPr>
        <w:t xml:space="preserve"> between automatic </w:t>
      </w:r>
      <w:r w:rsidR="00434A44">
        <w:rPr>
          <w:rFonts w:ascii="Times New Roman" w:hAnsi="Times New Roman" w:cs="Times New Roman"/>
          <w:sz w:val="24"/>
          <w:szCs w:val="24"/>
        </w:rPr>
        <w:t>unbalancing</w:t>
      </w:r>
      <w:r w:rsidR="00916D9D" w:rsidRPr="00752FB9">
        <w:rPr>
          <w:rFonts w:ascii="Times New Roman" w:hAnsi="Times New Roman" w:cs="Times New Roman"/>
          <w:sz w:val="24"/>
          <w:szCs w:val="24"/>
        </w:rPr>
        <w:t xml:space="preserve"> and</w:t>
      </w:r>
      <w:r w:rsidR="00F87A6F" w:rsidRPr="00752FB9">
        <w:rPr>
          <w:rFonts w:ascii="Times New Roman" w:hAnsi="Times New Roman" w:cs="Times New Roman"/>
          <w:sz w:val="24"/>
          <w:szCs w:val="24"/>
        </w:rPr>
        <w:t xml:space="preserve"> distant </w:t>
      </w:r>
      <w:r w:rsidR="00434A44">
        <w:rPr>
          <w:rFonts w:ascii="Times New Roman" w:hAnsi="Times New Roman" w:cs="Times New Roman"/>
          <w:sz w:val="24"/>
          <w:szCs w:val="24"/>
        </w:rPr>
        <w:t>affection</w:t>
      </w:r>
      <w:r w:rsidR="001E5C8E" w:rsidRPr="00752FB9">
        <w:rPr>
          <w:rFonts w:ascii="Times New Roman" w:hAnsi="Times New Roman" w:cs="Times New Roman"/>
          <w:sz w:val="24"/>
          <w:szCs w:val="24"/>
        </w:rPr>
        <w:t xml:space="preserve"> </w:t>
      </w:r>
      <w:r w:rsidR="00F87A6F" w:rsidRPr="00752FB9">
        <w:rPr>
          <w:rFonts w:ascii="Times New Roman" w:hAnsi="Times New Roman" w:cs="Times New Roman"/>
          <w:sz w:val="24"/>
          <w:szCs w:val="24"/>
        </w:rPr>
        <w:t>(r=</w:t>
      </w:r>
      <w:r w:rsidR="001E5C8E" w:rsidRPr="00752FB9">
        <w:rPr>
          <w:rFonts w:ascii="Times New Roman" w:hAnsi="Times New Roman" w:cs="Times New Roman"/>
          <w:sz w:val="24"/>
          <w:szCs w:val="24"/>
        </w:rPr>
        <w:t>.493</w:t>
      </w:r>
      <w:r w:rsidR="00752FB9" w:rsidRPr="00752FB9">
        <w:rPr>
          <w:rFonts w:ascii="Times New Roman" w:hAnsi="Times New Roman" w:cs="Times New Roman"/>
          <w:sz w:val="24"/>
          <w:szCs w:val="24"/>
        </w:rPr>
        <w:t>; p&lt;0,05</w:t>
      </w:r>
      <w:r w:rsidR="00F87A6F" w:rsidRPr="00752FB9">
        <w:rPr>
          <w:rFonts w:ascii="Times New Roman" w:hAnsi="Times New Roman" w:cs="Times New Roman"/>
          <w:sz w:val="24"/>
          <w:szCs w:val="24"/>
        </w:rPr>
        <w:t>)</w:t>
      </w:r>
      <w:r w:rsidR="00916D9D" w:rsidRPr="00752FB9">
        <w:rPr>
          <w:rFonts w:ascii="Times New Roman" w:hAnsi="Times New Roman" w:cs="Times New Roman"/>
          <w:sz w:val="24"/>
          <w:szCs w:val="24"/>
        </w:rPr>
        <w:t xml:space="preserve">; and a positive correlation between a prementalizing mode and a </w:t>
      </w:r>
      <w:r w:rsidR="001E5C8E" w:rsidRPr="00752FB9">
        <w:rPr>
          <w:rFonts w:ascii="Times New Roman" w:hAnsi="Times New Roman" w:cs="Times New Roman"/>
          <w:sz w:val="24"/>
          <w:szCs w:val="24"/>
        </w:rPr>
        <w:t>disorganized cognition (=.591</w:t>
      </w:r>
      <w:r w:rsidR="00752FB9" w:rsidRPr="00752FB9">
        <w:rPr>
          <w:rFonts w:ascii="Times New Roman" w:hAnsi="Times New Roman" w:cs="Times New Roman"/>
          <w:sz w:val="24"/>
          <w:szCs w:val="24"/>
        </w:rPr>
        <w:t>; p&lt;0,05</w:t>
      </w:r>
      <w:r w:rsidR="001E5C8E" w:rsidRPr="00752FB9">
        <w:rPr>
          <w:rFonts w:ascii="Times New Roman" w:hAnsi="Times New Roman" w:cs="Times New Roman"/>
          <w:sz w:val="24"/>
          <w:szCs w:val="24"/>
        </w:rPr>
        <w:t>)</w:t>
      </w:r>
      <w:r w:rsidR="00916D9D" w:rsidRPr="00752FB9">
        <w:rPr>
          <w:rFonts w:ascii="Times New Roman" w:hAnsi="Times New Roman" w:cs="Times New Roman"/>
          <w:sz w:val="24"/>
          <w:szCs w:val="24"/>
        </w:rPr>
        <w:t>.</w:t>
      </w:r>
    </w:p>
    <w:p w14:paraId="406F7C15" w14:textId="3F0C8860" w:rsidR="00916D9D" w:rsidRPr="00290133" w:rsidRDefault="000A10EE" w:rsidP="00916D9D">
      <w:pPr>
        <w:jc w:val="both"/>
        <w:rPr>
          <w:rFonts w:ascii="Times New Roman" w:hAnsi="Times New Roman" w:cs="Times New Roman"/>
          <w:sz w:val="20"/>
          <w:szCs w:val="20"/>
        </w:rPr>
      </w:pPr>
      <w:r w:rsidRPr="00290133">
        <w:rPr>
          <w:rFonts w:ascii="Times New Roman" w:hAnsi="Times New Roman" w:cs="Times New Roman"/>
          <w:sz w:val="20"/>
          <w:szCs w:val="20"/>
        </w:rPr>
        <w:t>Table</w:t>
      </w:r>
      <w:r w:rsidR="00290133" w:rsidRPr="00290133">
        <w:rPr>
          <w:rFonts w:ascii="Times New Roman" w:hAnsi="Times New Roman" w:cs="Times New Roman"/>
          <w:sz w:val="20"/>
          <w:szCs w:val="20"/>
        </w:rPr>
        <w:t xml:space="preserve"> 11. </w:t>
      </w:r>
      <w:r w:rsidRPr="00290133">
        <w:rPr>
          <w:rFonts w:ascii="Times New Roman" w:hAnsi="Times New Roman" w:cs="Times New Roman"/>
          <w:sz w:val="20"/>
          <w:szCs w:val="20"/>
        </w:rPr>
        <w:t>Correlations between Mentalization,</w:t>
      </w:r>
      <w:r w:rsidR="00290133" w:rsidRPr="00290133">
        <w:rPr>
          <w:rFonts w:ascii="Times New Roman" w:hAnsi="Times New Roman" w:cs="Times New Roman"/>
          <w:sz w:val="20"/>
          <w:szCs w:val="20"/>
        </w:rPr>
        <w:t xml:space="preserve"> </w:t>
      </w:r>
      <w:r w:rsidRPr="00290133">
        <w:rPr>
          <w:rFonts w:ascii="Times New Roman" w:hAnsi="Times New Roman" w:cs="Times New Roman"/>
          <w:sz w:val="20"/>
          <w:szCs w:val="20"/>
        </w:rPr>
        <w:t>Countertrasfert</w:t>
      </w:r>
      <w:r w:rsidR="008720F5">
        <w:rPr>
          <w:rFonts w:ascii="Times New Roman" w:hAnsi="Times New Roman" w:cs="Times New Roman"/>
          <w:sz w:val="20"/>
          <w:szCs w:val="20"/>
        </w:rPr>
        <w:t>,</w:t>
      </w:r>
      <w:r w:rsidRPr="00290133">
        <w:rPr>
          <w:rFonts w:ascii="Times New Roman" w:hAnsi="Times New Roman" w:cs="Times New Roman"/>
          <w:sz w:val="20"/>
          <w:szCs w:val="20"/>
        </w:rPr>
        <w:t xml:space="preserve"> and IPV</w:t>
      </w:r>
    </w:p>
    <w:tbl>
      <w:tblPr>
        <w:tblStyle w:val="PlainTable2"/>
        <w:tblW w:w="0" w:type="auto"/>
        <w:tblLayout w:type="fixed"/>
        <w:tblLook w:val="04A0" w:firstRow="1" w:lastRow="0" w:firstColumn="1" w:lastColumn="0" w:noHBand="0" w:noVBand="1"/>
      </w:tblPr>
      <w:tblGrid>
        <w:gridCol w:w="1613"/>
        <w:gridCol w:w="1906"/>
        <w:gridCol w:w="1468"/>
        <w:gridCol w:w="1906"/>
        <w:gridCol w:w="962"/>
        <w:gridCol w:w="1561"/>
        <w:gridCol w:w="236"/>
      </w:tblGrid>
      <w:tr w:rsidR="00752FB9" w:rsidRPr="000A10EE" w14:paraId="0D2D36B9" w14:textId="77777777" w:rsidTr="000A1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440A7588" w14:textId="77777777" w:rsidR="00752FB9" w:rsidRPr="000A10EE" w:rsidRDefault="00752FB9" w:rsidP="00916D9D">
            <w:pPr>
              <w:jc w:val="both"/>
              <w:rPr>
                <w:rFonts w:ascii="Times New Roman" w:hAnsi="Times New Roman" w:cs="Times New Roman"/>
                <w:sz w:val="20"/>
                <w:szCs w:val="20"/>
                <w:lang w:val="en"/>
              </w:rPr>
            </w:pPr>
          </w:p>
        </w:tc>
        <w:tc>
          <w:tcPr>
            <w:tcW w:w="1906" w:type="dxa"/>
          </w:tcPr>
          <w:p w14:paraId="604BAAEF" w14:textId="49B2B828" w:rsidR="00752FB9" w:rsidRPr="000A10EE" w:rsidRDefault="00752FB9" w:rsidP="00916D9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Positive countertransfert</w:t>
            </w:r>
          </w:p>
        </w:tc>
        <w:tc>
          <w:tcPr>
            <w:tcW w:w="1468" w:type="dxa"/>
          </w:tcPr>
          <w:p w14:paraId="51E98C6F" w14:textId="04F4DA9C" w:rsidR="00752FB9" w:rsidRPr="000A10EE" w:rsidRDefault="00752FB9" w:rsidP="00916D9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Hyper-involvement</w:t>
            </w:r>
          </w:p>
        </w:tc>
        <w:tc>
          <w:tcPr>
            <w:tcW w:w="1906" w:type="dxa"/>
          </w:tcPr>
          <w:p w14:paraId="07BD5099" w14:textId="6E7FB2F6" w:rsidR="00752FB9" w:rsidRPr="000A10EE" w:rsidRDefault="00752FB9" w:rsidP="00916D9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Erotic countertransfert</w:t>
            </w:r>
          </w:p>
        </w:tc>
        <w:tc>
          <w:tcPr>
            <w:tcW w:w="962" w:type="dxa"/>
          </w:tcPr>
          <w:p w14:paraId="04C9C1FF" w14:textId="7ABC2281" w:rsidR="00752FB9" w:rsidRPr="000A10EE" w:rsidRDefault="00752FB9" w:rsidP="00916D9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Distant Affect</w:t>
            </w:r>
          </w:p>
        </w:tc>
        <w:tc>
          <w:tcPr>
            <w:tcW w:w="1561" w:type="dxa"/>
          </w:tcPr>
          <w:p w14:paraId="4B2400E5" w14:textId="6CDB02C7" w:rsidR="00752FB9" w:rsidRPr="000A10EE" w:rsidRDefault="00752FB9" w:rsidP="00916D9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Disorganized cognition</w:t>
            </w:r>
          </w:p>
        </w:tc>
        <w:tc>
          <w:tcPr>
            <w:tcW w:w="222" w:type="dxa"/>
          </w:tcPr>
          <w:p w14:paraId="3F431FF1" w14:textId="77777777" w:rsidR="00752FB9" w:rsidRPr="000A10EE" w:rsidRDefault="00752FB9" w:rsidP="00916D9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52FB9" w:rsidRPr="000A10EE" w14:paraId="26609876" w14:textId="77777777" w:rsidTr="000A1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1A990657" w14:textId="7CDAA2B2" w:rsidR="00752FB9" w:rsidRPr="000A10EE" w:rsidRDefault="00752FB9" w:rsidP="00916D9D">
            <w:pPr>
              <w:jc w:val="both"/>
              <w:rPr>
                <w:rFonts w:ascii="Times New Roman" w:hAnsi="Times New Roman" w:cs="Times New Roman"/>
                <w:sz w:val="20"/>
                <w:szCs w:val="20"/>
              </w:rPr>
            </w:pPr>
            <w:r w:rsidRPr="000A10EE">
              <w:rPr>
                <w:rFonts w:ascii="Times New Roman" w:hAnsi="Times New Roman" w:cs="Times New Roman"/>
                <w:sz w:val="20"/>
                <w:szCs w:val="20"/>
              </w:rPr>
              <w:t>Cognitive imbalance</w:t>
            </w:r>
          </w:p>
        </w:tc>
        <w:tc>
          <w:tcPr>
            <w:tcW w:w="1906" w:type="dxa"/>
          </w:tcPr>
          <w:p w14:paraId="7B94F4BE" w14:textId="5E9D5BC2"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.615</w:t>
            </w:r>
          </w:p>
        </w:tc>
        <w:tc>
          <w:tcPr>
            <w:tcW w:w="1468" w:type="dxa"/>
          </w:tcPr>
          <w:p w14:paraId="1C7E259F"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06" w:type="dxa"/>
          </w:tcPr>
          <w:p w14:paraId="2E75FD55"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62" w:type="dxa"/>
          </w:tcPr>
          <w:p w14:paraId="7F848509"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61" w:type="dxa"/>
          </w:tcPr>
          <w:p w14:paraId="19F09E56"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2" w:type="dxa"/>
          </w:tcPr>
          <w:p w14:paraId="3EF70AA8"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52FB9" w:rsidRPr="000A10EE" w14:paraId="7E5F8AF1" w14:textId="77777777" w:rsidTr="000A10EE">
        <w:tc>
          <w:tcPr>
            <w:cnfStyle w:val="001000000000" w:firstRow="0" w:lastRow="0" w:firstColumn="1" w:lastColumn="0" w:oddVBand="0" w:evenVBand="0" w:oddHBand="0" w:evenHBand="0" w:firstRowFirstColumn="0" w:firstRowLastColumn="0" w:lastRowFirstColumn="0" w:lastRowLastColumn="0"/>
            <w:tcW w:w="1613" w:type="dxa"/>
          </w:tcPr>
          <w:p w14:paraId="62C5C101" w14:textId="01C04AA0" w:rsidR="00752FB9" w:rsidRPr="000A10EE" w:rsidRDefault="00752FB9" w:rsidP="00916D9D">
            <w:pPr>
              <w:jc w:val="both"/>
              <w:rPr>
                <w:rFonts w:ascii="Times New Roman" w:hAnsi="Times New Roman" w:cs="Times New Roman"/>
                <w:sz w:val="20"/>
                <w:szCs w:val="20"/>
              </w:rPr>
            </w:pPr>
            <w:r w:rsidRPr="000A10EE">
              <w:rPr>
                <w:rFonts w:ascii="Times New Roman" w:hAnsi="Times New Roman" w:cs="Times New Roman"/>
                <w:sz w:val="20"/>
                <w:szCs w:val="20"/>
              </w:rPr>
              <w:t>Affective imbalance</w:t>
            </w:r>
          </w:p>
        </w:tc>
        <w:tc>
          <w:tcPr>
            <w:tcW w:w="1906" w:type="dxa"/>
          </w:tcPr>
          <w:p w14:paraId="578A30E8"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68" w:type="dxa"/>
          </w:tcPr>
          <w:p w14:paraId="6B83238C" w14:textId="0F89968C"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.507</w:t>
            </w:r>
          </w:p>
        </w:tc>
        <w:tc>
          <w:tcPr>
            <w:tcW w:w="1906" w:type="dxa"/>
          </w:tcPr>
          <w:p w14:paraId="20F7A7F3" w14:textId="1BDBCFB9"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.401</w:t>
            </w:r>
          </w:p>
        </w:tc>
        <w:tc>
          <w:tcPr>
            <w:tcW w:w="962" w:type="dxa"/>
          </w:tcPr>
          <w:p w14:paraId="57F2D2F1"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1" w:type="dxa"/>
          </w:tcPr>
          <w:p w14:paraId="19935433"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2" w:type="dxa"/>
          </w:tcPr>
          <w:p w14:paraId="4411EA8A"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52FB9" w:rsidRPr="000A10EE" w14:paraId="0763AA71" w14:textId="77777777" w:rsidTr="000A1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32624573" w14:textId="0B68D262" w:rsidR="00752FB9" w:rsidRPr="000A10EE" w:rsidRDefault="00752FB9" w:rsidP="00916D9D">
            <w:pPr>
              <w:jc w:val="both"/>
              <w:rPr>
                <w:rFonts w:ascii="Times New Roman" w:hAnsi="Times New Roman" w:cs="Times New Roman"/>
                <w:sz w:val="20"/>
                <w:szCs w:val="20"/>
              </w:rPr>
            </w:pPr>
            <w:r w:rsidRPr="000A10EE">
              <w:rPr>
                <w:rFonts w:ascii="Times New Roman" w:hAnsi="Times New Roman" w:cs="Times New Roman"/>
                <w:sz w:val="20"/>
                <w:szCs w:val="20"/>
              </w:rPr>
              <w:t>Automatic Imbalance</w:t>
            </w:r>
          </w:p>
        </w:tc>
        <w:tc>
          <w:tcPr>
            <w:tcW w:w="1906" w:type="dxa"/>
          </w:tcPr>
          <w:p w14:paraId="7F0F1707"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68" w:type="dxa"/>
          </w:tcPr>
          <w:p w14:paraId="00F367F9"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06" w:type="dxa"/>
          </w:tcPr>
          <w:p w14:paraId="14E87BD3"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62" w:type="dxa"/>
          </w:tcPr>
          <w:p w14:paraId="35E30241" w14:textId="71D59406"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.493</w:t>
            </w:r>
          </w:p>
        </w:tc>
        <w:tc>
          <w:tcPr>
            <w:tcW w:w="1561" w:type="dxa"/>
          </w:tcPr>
          <w:p w14:paraId="60DA4A38"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2" w:type="dxa"/>
          </w:tcPr>
          <w:p w14:paraId="315E3D55" w14:textId="77777777" w:rsidR="00752FB9" w:rsidRPr="000A10EE" w:rsidRDefault="00752FB9" w:rsidP="00916D9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52FB9" w:rsidRPr="000A10EE" w14:paraId="2572A890" w14:textId="77777777" w:rsidTr="000A10EE">
        <w:tc>
          <w:tcPr>
            <w:cnfStyle w:val="001000000000" w:firstRow="0" w:lastRow="0" w:firstColumn="1" w:lastColumn="0" w:oddVBand="0" w:evenVBand="0" w:oddHBand="0" w:evenHBand="0" w:firstRowFirstColumn="0" w:firstRowLastColumn="0" w:lastRowFirstColumn="0" w:lastRowLastColumn="0"/>
            <w:tcW w:w="1613" w:type="dxa"/>
          </w:tcPr>
          <w:p w14:paraId="158E6C3F" w14:textId="0931FD0F" w:rsidR="00752FB9" w:rsidRPr="000A10EE" w:rsidRDefault="00752FB9" w:rsidP="00916D9D">
            <w:pPr>
              <w:jc w:val="both"/>
              <w:rPr>
                <w:rFonts w:ascii="Times New Roman" w:hAnsi="Times New Roman" w:cs="Times New Roman"/>
                <w:sz w:val="20"/>
                <w:szCs w:val="20"/>
              </w:rPr>
            </w:pPr>
            <w:r w:rsidRPr="000A10EE">
              <w:rPr>
                <w:rFonts w:ascii="Times New Roman" w:hAnsi="Times New Roman" w:cs="Times New Roman"/>
                <w:sz w:val="20"/>
                <w:szCs w:val="20"/>
              </w:rPr>
              <w:t>Good mentalization</w:t>
            </w:r>
          </w:p>
        </w:tc>
        <w:tc>
          <w:tcPr>
            <w:tcW w:w="1906" w:type="dxa"/>
          </w:tcPr>
          <w:p w14:paraId="13DB7366"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68" w:type="dxa"/>
          </w:tcPr>
          <w:p w14:paraId="64E6C09B"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06" w:type="dxa"/>
          </w:tcPr>
          <w:p w14:paraId="0377EF20"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62" w:type="dxa"/>
          </w:tcPr>
          <w:p w14:paraId="2B1D58EC"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61" w:type="dxa"/>
          </w:tcPr>
          <w:p w14:paraId="1FE9155A" w14:textId="05655E7C"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10EE">
              <w:rPr>
                <w:rFonts w:ascii="Times New Roman" w:hAnsi="Times New Roman" w:cs="Times New Roman"/>
                <w:sz w:val="20"/>
                <w:szCs w:val="20"/>
              </w:rPr>
              <w:t>.591</w:t>
            </w:r>
          </w:p>
        </w:tc>
        <w:tc>
          <w:tcPr>
            <w:tcW w:w="222" w:type="dxa"/>
          </w:tcPr>
          <w:p w14:paraId="4BE4D956" w14:textId="77777777" w:rsidR="00752FB9" w:rsidRPr="000A10EE" w:rsidRDefault="00752FB9" w:rsidP="00916D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93DAC0A" w14:textId="1B846BE3" w:rsidR="001E7382" w:rsidRPr="00290133" w:rsidRDefault="00B150D8" w:rsidP="00916D9D">
      <w:pPr>
        <w:jc w:val="both"/>
        <w:rPr>
          <w:rFonts w:ascii="Times New Roman" w:hAnsi="Times New Roman" w:cs="Times New Roman"/>
          <w:sz w:val="20"/>
          <w:szCs w:val="20"/>
          <w:lang w:val="en-US"/>
        </w:rPr>
      </w:pPr>
      <w:r w:rsidRPr="00290133">
        <w:rPr>
          <w:rFonts w:ascii="Times New Roman" w:hAnsi="Times New Roman" w:cs="Times New Roman"/>
          <w:sz w:val="20"/>
          <w:szCs w:val="20"/>
          <w:lang w:val="en-US"/>
        </w:rPr>
        <w:t>Source: Author elaboration on data</w:t>
      </w:r>
    </w:p>
    <w:p w14:paraId="605CC078" w14:textId="77777777" w:rsidR="001E7382" w:rsidRPr="00DE5A23" w:rsidRDefault="001E7382">
      <w:pPr>
        <w:rPr>
          <w:lang w:val="en-US"/>
        </w:rPr>
      </w:pPr>
    </w:p>
    <w:p w14:paraId="62094F38" w14:textId="616D0AB4" w:rsidR="001E7382" w:rsidRPr="00E06010" w:rsidRDefault="00B150D8" w:rsidP="00E06010">
      <w:pPr>
        <w:pStyle w:val="Heading2"/>
        <w:rPr>
          <w:color w:val="auto"/>
          <w:lang w:val="en-US"/>
        </w:rPr>
      </w:pPr>
      <w:r w:rsidRPr="00E06010">
        <w:rPr>
          <w:color w:val="auto"/>
          <w:lang w:val="en-US"/>
        </w:rPr>
        <w:t>Discussion</w:t>
      </w:r>
    </w:p>
    <w:p w14:paraId="6A577D70" w14:textId="0E6D1BA0" w:rsidR="00E1543E" w:rsidRDefault="00E1543E" w:rsidP="00D23034">
      <w:pPr>
        <w:spacing w:after="0" w:line="360" w:lineRule="auto"/>
        <w:jc w:val="both"/>
        <w:rPr>
          <w:lang w:val="en-US"/>
        </w:rPr>
      </w:pPr>
      <w:r w:rsidRPr="00112BB7">
        <w:rPr>
          <w:rFonts w:ascii="Times New Roman" w:hAnsi="Times New Roman" w:cs="Times New Roman"/>
          <w:sz w:val="24"/>
          <w:szCs w:val="24"/>
          <w:lang w:val="en-US"/>
        </w:rPr>
        <w:t xml:space="preserve">The study delves into the correlation between attachment, trauma, and personality traits in females impacted by Intimate Partner Violence (IPV). The results suggest a notable prevalence of insecure attachment within this demographic, which plays a role in shaping their interpersonal connections. Fathers exhibit a higher mean score </w:t>
      </w:r>
      <w:r w:rsidR="005C6B40" w:rsidRPr="00112BB7">
        <w:rPr>
          <w:rFonts w:ascii="Times New Roman" w:hAnsi="Times New Roman" w:cs="Times New Roman"/>
          <w:sz w:val="24"/>
          <w:szCs w:val="24"/>
          <w:lang w:val="en-US"/>
        </w:rPr>
        <w:t>(M=5.4; SD=.2.3</w:t>
      </w:r>
      <w:r w:rsidR="00DE2A52" w:rsidRPr="00112BB7">
        <w:rPr>
          <w:rFonts w:ascii="Times New Roman" w:hAnsi="Times New Roman" w:cs="Times New Roman"/>
          <w:sz w:val="24"/>
          <w:szCs w:val="24"/>
          <w:lang w:val="en-US"/>
        </w:rPr>
        <w:t>) than</w:t>
      </w:r>
      <w:r w:rsidRPr="00112BB7">
        <w:rPr>
          <w:rFonts w:ascii="Times New Roman" w:hAnsi="Times New Roman" w:cs="Times New Roman"/>
          <w:sz w:val="24"/>
          <w:szCs w:val="24"/>
          <w:lang w:val="en-US"/>
        </w:rPr>
        <w:t xml:space="preserve"> mothers in terms of neglect</w:t>
      </w:r>
      <w:r w:rsidR="00135631" w:rsidRPr="00112BB7">
        <w:rPr>
          <w:rFonts w:ascii="Times New Roman" w:hAnsi="Times New Roman" w:cs="Times New Roman"/>
          <w:sz w:val="24"/>
          <w:szCs w:val="24"/>
          <w:lang w:val="en-US"/>
        </w:rPr>
        <w:t xml:space="preserve"> (M=3.7; SD=2.37</w:t>
      </w:r>
      <w:r w:rsidR="00DE2A52" w:rsidRPr="00112BB7">
        <w:rPr>
          <w:rFonts w:ascii="Times New Roman" w:hAnsi="Times New Roman" w:cs="Times New Roman"/>
          <w:sz w:val="24"/>
          <w:szCs w:val="24"/>
          <w:lang w:val="en-US"/>
        </w:rPr>
        <w:t>) and</w:t>
      </w:r>
      <w:r w:rsidRPr="00112BB7">
        <w:rPr>
          <w:rFonts w:ascii="Times New Roman" w:hAnsi="Times New Roman" w:cs="Times New Roman"/>
          <w:sz w:val="24"/>
          <w:szCs w:val="24"/>
          <w:lang w:val="en-US"/>
        </w:rPr>
        <w:t xml:space="preserve"> they tend to score higher in neglect and rejection compared to instances of love and </w:t>
      </w:r>
      <w:r w:rsidR="00DE2A52" w:rsidRPr="00112BB7">
        <w:rPr>
          <w:rFonts w:ascii="Times New Roman" w:hAnsi="Times New Roman" w:cs="Times New Roman"/>
          <w:sz w:val="24"/>
          <w:szCs w:val="24"/>
          <w:lang w:val="en-US"/>
        </w:rPr>
        <w:t>warmth (</w:t>
      </w:r>
      <w:r w:rsidR="00135631" w:rsidRPr="00112BB7">
        <w:rPr>
          <w:rFonts w:ascii="Times New Roman" w:hAnsi="Times New Roman" w:cs="Times New Roman"/>
          <w:sz w:val="24"/>
          <w:szCs w:val="24"/>
          <w:lang w:val="en-US"/>
        </w:rPr>
        <w:t>M=4.44; SD=</w:t>
      </w:r>
      <w:r w:rsidRPr="00112BB7">
        <w:rPr>
          <w:rFonts w:ascii="Times New Roman" w:hAnsi="Times New Roman" w:cs="Times New Roman"/>
          <w:sz w:val="24"/>
          <w:szCs w:val="24"/>
          <w:lang w:val="en-US"/>
        </w:rPr>
        <w:t>.</w:t>
      </w:r>
      <w:r w:rsidR="00135631" w:rsidRPr="00112BB7">
        <w:rPr>
          <w:rFonts w:ascii="Times New Roman" w:hAnsi="Times New Roman" w:cs="Times New Roman"/>
          <w:sz w:val="24"/>
          <w:szCs w:val="24"/>
          <w:lang w:val="en-US"/>
        </w:rPr>
        <w:t>2.3).</w:t>
      </w:r>
      <w:r w:rsidRPr="00112BB7">
        <w:rPr>
          <w:rFonts w:ascii="Times New Roman" w:hAnsi="Times New Roman" w:cs="Times New Roman"/>
          <w:sz w:val="24"/>
          <w:szCs w:val="24"/>
          <w:lang w:val="en-US"/>
        </w:rPr>
        <w:t xml:space="preserve"> Conversely, mothers demonstrate higher mean scores in experiences related to role reversal</w:t>
      </w:r>
      <w:r w:rsidR="00135631" w:rsidRPr="00112BB7">
        <w:rPr>
          <w:rFonts w:ascii="Times New Roman" w:hAnsi="Times New Roman" w:cs="Times New Roman"/>
          <w:sz w:val="24"/>
          <w:szCs w:val="24"/>
          <w:lang w:val="en-US"/>
        </w:rPr>
        <w:t xml:space="preserve"> (M=3,8; SD=2,7)</w:t>
      </w:r>
      <w:r w:rsidRPr="00112BB7">
        <w:rPr>
          <w:rFonts w:ascii="Times New Roman" w:hAnsi="Times New Roman" w:cs="Times New Roman"/>
          <w:sz w:val="24"/>
          <w:szCs w:val="24"/>
          <w:lang w:val="en-US"/>
        </w:rPr>
        <w:t xml:space="preserve"> in comparison to fathers.</w:t>
      </w:r>
      <w:r w:rsidR="00F5400B" w:rsidRPr="00112BB7">
        <w:rPr>
          <w:rFonts w:ascii="Times New Roman" w:hAnsi="Times New Roman" w:cs="Times New Roman"/>
          <w:sz w:val="24"/>
          <w:szCs w:val="24"/>
          <w:lang w:val="en-US"/>
        </w:rPr>
        <w:t xml:space="preserve"> </w:t>
      </w:r>
      <w:r w:rsidRPr="00112BB7">
        <w:rPr>
          <w:rFonts w:ascii="Times New Roman" w:hAnsi="Times New Roman" w:cs="Times New Roman"/>
          <w:sz w:val="24"/>
          <w:szCs w:val="24"/>
          <w:lang w:val="en-US"/>
        </w:rPr>
        <w:t xml:space="preserve"> </w:t>
      </w:r>
      <w:r w:rsidR="00F5400B" w:rsidRPr="00112BB7">
        <w:rPr>
          <w:rFonts w:ascii="Times New Roman" w:hAnsi="Times New Roman" w:cs="Times New Roman"/>
          <w:sz w:val="24"/>
          <w:szCs w:val="24"/>
          <w:lang w:val="en-US"/>
        </w:rPr>
        <w:t xml:space="preserve">AAI interviews revealed that 30% of the sample showed </w:t>
      </w:r>
      <w:r w:rsidR="00E06010">
        <w:rPr>
          <w:rFonts w:ascii="Times New Roman" w:hAnsi="Times New Roman" w:cs="Times New Roman"/>
          <w:sz w:val="24"/>
          <w:szCs w:val="24"/>
          <w:lang w:val="en-US"/>
        </w:rPr>
        <w:t>a secured attachment style</w:t>
      </w:r>
      <w:r w:rsidR="00F5400B" w:rsidRPr="00112BB7">
        <w:rPr>
          <w:rFonts w:ascii="Times New Roman" w:hAnsi="Times New Roman" w:cs="Times New Roman"/>
          <w:sz w:val="24"/>
          <w:szCs w:val="24"/>
          <w:lang w:val="en-US"/>
        </w:rPr>
        <w:t xml:space="preserve"> while 70% represented an unsafe </w:t>
      </w:r>
      <w:r w:rsidR="00DE2A52" w:rsidRPr="00112BB7">
        <w:rPr>
          <w:rFonts w:ascii="Times New Roman" w:hAnsi="Times New Roman" w:cs="Times New Roman"/>
          <w:sz w:val="24"/>
          <w:szCs w:val="24"/>
          <w:lang w:val="en-US"/>
        </w:rPr>
        <w:t>one. Specifically</w:t>
      </w:r>
      <w:r w:rsidRPr="00112BB7">
        <w:rPr>
          <w:rFonts w:ascii="Times New Roman" w:hAnsi="Times New Roman" w:cs="Times New Roman"/>
          <w:sz w:val="24"/>
          <w:szCs w:val="24"/>
          <w:lang w:val="en-US"/>
        </w:rPr>
        <w:t>, two primary insecure attachment patterns were recognized: anxious attachment and avoidant attachment</w:t>
      </w:r>
      <w:r w:rsidR="00F5400B" w:rsidRPr="00112BB7">
        <w:rPr>
          <w:rFonts w:ascii="Times New Roman" w:hAnsi="Times New Roman" w:cs="Times New Roman"/>
          <w:sz w:val="24"/>
          <w:szCs w:val="24"/>
          <w:lang w:val="en-US"/>
        </w:rPr>
        <w:t xml:space="preserve">. </w:t>
      </w:r>
      <w:r w:rsidRPr="00112BB7">
        <w:rPr>
          <w:rFonts w:ascii="Times New Roman" w:hAnsi="Times New Roman" w:cs="Times New Roman"/>
          <w:sz w:val="24"/>
          <w:szCs w:val="24"/>
          <w:lang w:val="en-US"/>
        </w:rPr>
        <w:t xml:space="preserve">Insecure attachment tendencies are often rooted in early life experiences and can have enduring effects on adult relationships. Furthermore, the research uncovered that a majority of the participants displayed disorganized attachment classifications, signifying significant challenges associated with past traumatic </w:t>
      </w:r>
      <w:r w:rsidR="00E06010">
        <w:rPr>
          <w:rFonts w:ascii="Times New Roman" w:hAnsi="Times New Roman" w:cs="Times New Roman"/>
          <w:sz w:val="24"/>
          <w:szCs w:val="24"/>
          <w:lang w:val="en-US"/>
        </w:rPr>
        <w:t>events</w:t>
      </w:r>
      <w:r w:rsidR="00F5400B" w:rsidRPr="00112BB7">
        <w:rPr>
          <w:rFonts w:ascii="Times New Roman" w:hAnsi="Times New Roman" w:cs="Times New Roman"/>
          <w:sz w:val="24"/>
          <w:szCs w:val="24"/>
          <w:lang w:val="en-US"/>
        </w:rPr>
        <w:t xml:space="preserve">. </w:t>
      </w:r>
      <w:r w:rsidR="001E7382" w:rsidRPr="00112BB7">
        <w:rPr>
          <w:rFonts w:ascii="Times New Roman" w:hAnsi="Times New Roman" w:cs="Times New Roman"/>
          <w:sz w:val="24"/>
          <w:szCs w:val="24"/>
          <w:lang w:val="en-US"/>
        </w:rPr>
        <w:t>The study confirms some data present in the literature showing how insecure attachment is overrepresented among women victims of IPV (</w:t>
      </w:r>
      <w:r w:rsidR="00F5400B" w:rsidRPr="00112BB7">
        <w:rPr>
          <w:rFonts w:ascii="Times New Roman" w:hAnsi="Times New Roman" w:cs="Times New Roman"/>
          <w:sz w:val="24"/>
          <w:szCs w:val="24"/>
          <w:lang w:val="en-US"/>
        </w:rPr>
        <w:t>Smagur et al., 2018;</w:t>
      </w:r>
      <w:r w:rsidR="00E06010">
        <w:rPr>
          <w:rFonts w:ascii="Times New Roman" w:hAnsi="Times New Roman" w:cs="Times New Roman"/>
          <w:sz w:val="24"/>
          <w:szCs w:val="24"/>
          <w:lang w:val="en-US"/>
        </w:rPr>
        <w:t xml:space="preserve"> </w:t>
      </w:r>
      <w:r w:rsidR="004063B1">
        <w:rPr>
          <w:rFonts w:ascii="Times New Roman" w:hAnsi="Times New Roman" w:cs="Times New Roman"/>
          <w:sz w:val="24"/>
          <w:szCs w:val="24"/>
          <w:lang w:val="en-US"/>
        </w:rPr>
        <w:t xml:space="preserve">Dutton,2012; </w:t>
      </w:r>
      <w:r w:rsidR="001D65B2" w:rsidRPr="00112BB7">
        <w:rPr>
          <w:rFonts w:ascii="Times New Roman" w:hAnsi="Times New Roman" w:cs="Times New Roman"/>
          <w:sz w:val="24"/>
          <w:szCs w:val="24"/>
          <w:lang w:val="en-US"/>
        </w:rPr>
        <w:t>Kuijpers et al., 201</w:t>
      </w:r>
      <w:r w:rsidR="001D65B2">
        <w:rPr>
          <w:rFonts w:ascii="Times New Roman" w:hAnsi="Times New Roman" w:cs="Times New Roman"/>
          <w:sz w:val="24"/>
          <w:szCs w:val="24"/>
          <w:lang w:val="en-US"/>
        </w:rPr>
        <w:t>1</w:t>
      </w:r>
      <w:r w:rsidR="001D65B2" w:rsidRPr="00112BB7">
        <w:rPr>
          <w:rFonts w:ascii="Times New Roman" w:hAnsi="Times New Roman" w:cs="Times New Roman"/>
          <w:sz w:val="24"/>
          <w:szCs w:val="24"/>
          <w:lang w:val="en-US"/>
        </w:rPr>
        <w:t xml:space="preserve">; </w:t>
      </w:r>
      <w:r w:rsidR="001E7382" w:rsidRPr="00112BB7">
        <w:rPr>
          <w:rFonts w:ascii="Times New Roman" w:hAnsi="Times New Roman" w:cs="Times New Roman"/>
          <w:sz w:val="24"/>
          <w:szCs w:val="24"/>
          <w:lang w:val="en-US"/>
        </w:rPr>
        <w:t>Henderson</w:t>
      </w:r>
      <w:r w:rsidR="00F5400B" w:rsidRPr="00112BB7">
        <w:rPr>
          <w:rFonts w:ascii="Times New Roman" w:hAnsi="Times New Roman" w:cs="Times New Roman"/>
          <w:sz w:val="24"/>
          <w:szCs w:val="24"/>
          <w:lang w:val="en-US"/>
        </w:rPr>
        <w:t xml:space="preserve"> et al.,</w:t>
      </w:r>
      <w:r w:rsidR="001E7382" w:rsidRPr="00112BB7">
        <w:rPr>
          <w:rFonts w:ascii="Times New Roman" w:hAnsi="Times New Roman" w:cs="Times New Roman"/>
          <w:sz w:val="24"/>
          <w:szCs w:val="24"/>
          <w:lang w:val="en-US"/>
        </w:rPr>
        <w:t xml:space="preserve"> 2005). </w:t>
      </w:r>
      <w:r w:rsidR="004063B1">
        <w:rPr>
          <w:rFonts w:ascii="Times New Roman" w:hAnsi="Times New Roman" w:cs="Times New Roman"/>
          <w:sz w:val="24"/>
          <w:szCs w:val="24"/>
          <w:lang w:val="en-US"/>
        </w:rPr>
        <w:t>The insecure</w:t>
      </w:r>
      <w:r w:rsidR="001E7382" w:rsidRPr="00112BB7">
        <w:rPr>
          <w:rFonts w:ascii="Times New Roman" w:hAnsi="Times New Roman" w:cs="Times New Roman"/>
          <w:sz w:val="24"/>
          <w:szCs w:val="24"/>
          <w:lang w:val="en-US"/>
        </w:rPr>
        <w:t xml:space="preserve"> attachment appears to be a compromise in which intimacy or autonomy seems to be sacrificed to maintain physical closeness to a parent incapable of containing the child's emotional dimension (Fonagy et al., 199</w:t>
      </w:r>
      <w:r w:rsidR="001D65B2">
        <w:rPr>
          <w:rFonts w:ascii="Times New Roman" w:hAnsi="Times New Roman" w:cs="Times New Roman"/>
          <w:sz w:val="24"/>
          <w:szCs w:val="24"/>
          <w:lang w:val="en-US"/>
        </w:rPr>
        <w:t>1)</w:t>
      </w:r>
      <w:r w:rsidR="001E7382" w:rsidRPr="00112BB7">
        <w:rPr>
          <w:rFonts w:ascii="Times New Roman" w:hAnsi="Times New Roman" w:cs="Times New Roman"/>
          <w:sz w:val="24"/>
          <w:szCs w:val="24"/>
          <w:lang w:val="en-US"/>
        </w:rPr>
        <w:t xml:space="preserve">. It seems that mothers' inability to understand their daughters' anguish and reflect it in a controlled way forces the latter to </w:t>
      </w:r>
      <w:r w:rsidR="001D65B2">
        <w:rPr>
          <w:rFonts w:ascii="Times New Roman" w:hAnsi="Times New Roman" w:cs="Times New Roman"/>
          <w:sz w:val="24"/>
          <w:szCs w:val="24"/>
          <w:lang w:val="en-US"/>
        </w:rPr>
        <w:t>adopt</w:t>
      </w:r>
      <w:r w:rsidR="001E7382" w:rsidRPr="00112BB7">
        <w:rPr>
          <w:rFonts w:ascii="Times New Roman" w:hAnsi="Times New Roman" w:cs="Times New Roman"/>
          <w:sz w:val="24"/>
          <w:szCs w:val="24"/>
          <w:lang w:val="en-US"/>
        </w:rPr>
        <w:t xml:space="preserve"> </w:t>
      </w:r>
      <w:r w:rsidR="001D65B2">
        <w:rPr>
          <w:rFonts w:ascii="Times New Roman" w:hAnsi="Times New Roman" w:cs="Times New Roman"/>
          <w:sz w:val="24"/>
          <w:szCs w:val="24"/>
          <w:lang w:val="en-US"/>
        </w:rPr>
        <w:t xml:space="preserve">their </w:t>
      </w:r>
      <w:r w:rsidR="001E7382" w:rsidRPr="00112BB7">
        <w:rPr>
          <w:rFonts w:ascii="Times New Roman" w:hAnsi="Times New Roman" w:cs="Times New Roman"/>
          <w:sz w:val="24"/>
          <w:szCs w:val="24"/>
          <w:lang w:val="en-US"/>
        </w:rPr>
        <w:t>“</w:t>
      </w:r>
      <w:r w:rsidR="001E7382" w:rsidRPr="00112BB7">
        <w:rPr>
          <w:rFonts w:ascii="Times New Roman" w:hAnsi="Times New Roman" w:cs="Times New Roman"/>
          <w:i/>
          <w:iCs/>
          <w:sz w:val="24"/>
          <w:szCs w:val="24"/>
          <w:lang w:val="en-US"/>
        </w:rPr>
        <w:t>defensive behaviors</w:t>
      </w:r>
      <w:r w:rsidR="001E7382" w:rsidRPr="00112BB7">
        <w:rPr>
          <w:rFonts w:ascii="Times New Roman" w:hAnsi="Times New Roman" w:cs="Times New Roman"/>
          <w:sz w:val="24"/>
          <w:szCs w:val="24"/>
          <w:lang w:val="en-US"/>
        </w:rPr>
        <w:t xml:space="preserve">”. These serve to limit contact with the parent (distant) or </w:t>
      </w:r>
      <w:r w:rsidR="00DE2A52" w:rsidRPr="00112BB7">
        <w:rPr>
          <w:rFonts w:ascii="Times New Roman" w:hAnsi="Times New Roman" w:cs="Times New Roman"/>
          <w:sz w:val="24"/>
          <w:szCs w:val="24"/>
          <w:lang w:val="en-US"/>
        </w:rPr>
        <w:t>distract (</w:t>
      </w:r>
      <w:r w:rsidR="001E7382" w:rsidRPr="00112BB7">
        <w:rPr>
          <w:rFonts w:ascii="Times New Roman" w:hAnsi="Times New Roman" w:cs="Times New Roman"/>
          <w:sz w:val="24"/>
          <w:szCs w:val="24"/>
          <w:lang w:val="en-US"/>
        </w:rPr>
        <w:t>preoccupied). In particular, the heterogeneity of the</w:t>
      </w:r>
      <w:r w:rsidR="001D65B2">
        <w:rPr>
          <w:rFonts w:ascii="Times New Roman" w:hAnsi="Times New Roman" w:cs="Times New Roman"/>
          <w:sz w:val="24"/>
          <w:szCs w:val="24"/>
          <w:lang w:val="en-US"/>
        </w:rPr>
        <w:t xml:space="preserve"> current </w:t>
      </w:r>
      <w:r w:rsidR="001E7382" w:rsidRPr="00112BB7">
        <w:rPr>
          <w:rFonts w:ascii="Times New Roman" w:hAnsi="Times New Roman" w:cs="Times New Roman"/>
          <w:sz w:val="24"/>
          <w:szCs w:val="24"/>
          <w:lang w:val="en-US"/>
        </w:rPr>
        <w:t xml:space="preserve">sample shows the presence of lapses in speech strategies characteristic of specific parts of the AAI relating to traumas (abuse) that occurred in childhood, with significant lapses in speech monitoring during the discussion of these experiences and a more generalized breakdown that reveals extreme contradiction or inability to maintain an organized position typical of </w:t>
      </w:r>
      <w:r w:rsidR="00112BB7" w:rsidRPr="00112BB7">
        <w:rPr>
          <w:rFonts w:ascii="Times New Roman" w:hAnsi="Times New Roman" w:cs="Times New Roman"/>
          <w:sz w:val="24"/>
          <w:szCs w:val="24"/>
          <w:lang w:val="en-US"/>
        </w:rPr>
        <w:t>insecure attachment</w:t>
      </w:r>
      <w:r w:rsidR="001E7382" w:rsidRPr="00112BB7">
        <w:rPr>
          <w:rFonts w:ascii="Times New Roman" w:hAnsi="Times New Roman" w:cs="Times New Roman"/>
          <w:sz w:val="24"/>
          <w:szCs w:val="24"/>
          <w:lang w:val="en-US"/>
        </w:rPr>
        <w:t xml:space="preserve"> classifications, in some cases with low coherence between stories, thoughts, comments.</w:t>
      </w:r>
      <w:r w:rsidR="00894E37" w:rsidRPr="00894E37">
        <w:t xml:space="preserve"> </w:t>
      </w:r>
      <w:r w:rsidR="00894E37" w:rsidRPr="00894E37">
        <w:rPr>
          <w:rFonts w:ascii="Times New Roman" w:hAnsi="Times New Roman" w:cs="Times New Roman"/>
          <w:sz w:val="24"/>
          <w:szCs w:val="24"/>
          <w:lang w:val="en-US"/>
        </w:rPr>
        <w:t xml:space="preserve">Consistent with existing literature, it appears that these </w:t>
      </w:r>
      <w:r w:rsidR="00894E37">
        <w:rPr>
          <w:rFonts w:ascii="Times New Roman" w:hAnsi="Times New Roman" w:cs="Times New Roman"/>
          <w:sz w:val="24"/>
          <w:szCs w:val="24"/>
          <w:lang w:val="en-US"/>
        </w:rPr>
        <w:t>women</w:t>
      </w:r>
      <w:r w:rsidR="00894E37" w:rsidRPr="00894E37">
        <w:rPr>
          <w:rFonts w:ascii="Times New Roman" w:hAnsi="Times New Roman" w:cs="Times New Roman"/>
          <w:sz w:val="24"/>
          <w:szCs w:val="24"/>
          <w:lang w:val="en-US"/>
        </w:rPr>
        <w:t xml:space="preserve"> may seek a sense of safety by replicating familiar experiences of neglect or abandonment within their current relationships, as reflected in the duration of their involvement in abusive dynamics.</w:t>
      </w:r>
      <w:r w:rsidR="00E216EB">
        <w:rPr>
          <w:rFonts w:ascii="Times New Roman" w:hAnsi="Times New Roman" w:cs="Times New Roman"/>
          <w:sz w:val="24"/>
          <w:szCs w:val="24"/>
          <w:lang w:val="en-US"/>
        </w:rPr>
        <w:t xml:space="preserve"> </w:t>
      </w:r>
      <w:r w:rsidR="00907100">
        <w:rPr>
          <w:rFonts w:ascii="Times New Roman" w:hAnsi="Times New Roman" w:cs="Times New Roman"/>
          <w:sz w:val="24"/>
          <w:szCs w:val="24"/>
          <w:lang w:val="en-US"/>
        </w:rPr>
        <w:t>Although</w:t>
      </w:r>
      <w:r w:rsidR="00E216EB">
        <w:rPr>
          <w:rFonts w:ascii="Times New Roman" w:hAnsi="Times New Roman" w:cs="Times New Roman"/>
          <w:sz w:val="24"/>
          <w:szCs w:val="24"/>
          <w:lang w:val="en-US"/>
        </w:rPr>
        <w:t xml:space="preserve"> </w:t>
      </w:r>
      <w:r w:rsidR="00DE2A52">
        <w:rPr>
          <w:rFonts w:ascii="Times New Roman" w:hAnsi="Times New Roman" w:cs="Times New Roman"/>
          <w:sz w:val="24"/>
          <w:szCs w:val="24"/>
          <w:lang w:val="en-US"/>
        </w:rPr>
        <w:t xml:space="preserve">paradoxical, </w:t>
      </w:r>
      <w:r w:rsidR="00DE2A52" w:rsidRPr="00894E37">
        <w:rPr>
          <w:rFonts w:ascii="Times New Roman" w:hAnsi="Times New Roman" w:cs="Times New Roman"/>
          <w:sz w:val="24"/>
          <w:szCs w:val="24"/>
          <w:lang w:val="en-US"/>
        </w:rPr>
        <w:t>these</w:t>
      </w:r>
      <w:r w:rsidR="00894E37" w:rsidRPr="00894E37">
        <w:rPr>
          <w:rFonts w:ascii="Times New Roman" w:hAnsi="Times New Roman" w:cs="Times New Roman"/>
          <w:sz w:val="24"/>
          <w:szCs w:val="24"/>
          <w:lang w:val="en-US"/>
        </w:rPr>
        <w:t xml:space="preserve"> insecure patterns </w:t>
      </w:r>
      <w:r w:rsidR="00DE2A52" w:rsidRPr="00894E37">
        <w:rPr>
          <w:rFonts w:ascii="Times New Roman" w:hAnsi="Times New Roman" w:cs="Times New Roman"/>
          <w:sz w:val="24"/>
          <w:szCs w:val="24"/>
          <w:lang w:val="en-US"/>
        </w:rPr>
        <w:t>elicit</w:t>
      </w:r>
      <w:r w:rsidR="00894E37" w:rsidRPr="00894E37">
        <w:rPr>
          <w:rFonts w:ascii="Times New Roman" w:hAnsi="Times New Roman" w:cs="Times New Roman"/>
          <w:sz w:val="24"/>
          <w:szCs w:val="24"/>
          <w:lang w:val="en-US"/>
        </w:rPr>
        <w:t xml:space="preserve"> feelings of security. The seeming contradiction is resolved when considering attachment as stemming from cognitive representations of significant others. Forming attachments to abusive or neglectful figures may be a foreseeable response in individuals whose sense of security stems from feeling understood by a harsh and harmful caregiver, with limited </w:t>
      </w:r>
      <w:r w:rsidR="00DE2A52" w:rsidRPr="00894E37">
        <w:rPr>
          <w:rFonts w:ascii="Times New Roman" w:hAnsi="Times New Roman" w:cs="Times New Roman"/>
          <w:sz w:val="24"/>
          <w:szCs w:val="24"/>
          <w:lang w:val="en-US"/>
        </w:rPr>
        <w:t>understanding</w:t>
      </w:r>
      <w:r w:rsidR="00DE2A52">
        <w:rPr>
          <w:rFonts w:ascii="Times New Roman" w:hAnsi="Times New Roman" w:cs="Times New Roman"/>
          <w:sz w:val="24"/>
          <w:szCs w:val="24"/>
          <w:lang w:val="en-US"/>
        </w:rPr>
        <w:t xml:space="preserve"> (</w:t>
      </w:r>
      <w:r w:rsidR="00FE6B8A">
        <w:rPr>
          <w:rFonts w:ascii="Times New Roman" w:hAnsi="Times New Roman" w:cs="Times New Roman"/>
          <w:sz w:val="24"/>
          <w:szCs w:val="24"/>
          <w:lang w:val="en-US"/>
        </w:rPr>
        <w:t>Fonagy et al.,2011</w:t>
      </w:r>
      <w:r w:rsidR="00894E37">
        <w:rPr>
          <w:rFonts w:ascii="Times New Roman" w:hAnsi="Times New Roman" w:cs="Times New Roman"/>
          <w:sz w:val="24"/>
          <w:szCs w:val="24"/>
          <w:lang w:val="en-US"/>
        </w:rPr>
        <w:t>)</w:t>
      </w:r>
      <w:r w:rsidR="00894E37" w:rsidRPr="00894E37">
        <w:rPr>
          <w:rFonts w:ascii="Times New Roman" w:hAnsi="Times New Roman" w:cs="Times New Roman"/>
          <w:sz w:val="24"/>
          <w:szCs w:val="24"/>
          <w:lang w:val="en-US"/>
        </w:rPr>
        <w:t>. In such instances, interventions focused on increasing social support and fostering secure romantic relationships should be integral to the therapeutic process.</w:t>
      </w:r>
      <w:r w:rsidR="00266CB6">
        <w:rPr>
          <w:rFonts w:ascii="Times New Roman" w:hAnsi="Times New Roman" w:cs="Times New Roman"/>
          <w:sz w:val="24"/>
          <w:szCs w:val="24"/>
          <w:lang w:val="en-US"/>
        </w:rPr>
        <w:t xml:space="preserve"> </w:t>
      </w:r>
      <w:r w:rsidR="00266CB6" w:rsidRPr="00266CB6">
        <w:rPr>
          <w:rFonts w:ascii="Times New Roman" w:hAnsi="Times New Roman" w:cs="Times New Roman"/>
          <w:sz w:val="24"/>
          <w:szCs w:val="24"/>
          <w:lang w:val="en-US"/>
        </w:rPr>
        <w:t>Regarding the second objective which focuses on exploring the impact of childhood maltreatment and the correlation between childhood trauma and victimization in adulthood, it was observed that 7</w:t>
      </w:r>
      <w:r w:rsidR="00266CB6">
        <w:rPr>
          <w:rFonts w:ascii="Times New Roman" w:hAnsi="Times New Roman" w:cs="Times New Roman"/>
          <w:sz w:val="24"/>
          <w:szCs w:val="24"/>
          <w:lang w:val="en-US"/>
        </w:rPr>
        <w:t>0</w:t>
      </w:r>
      <w:r w:rsidR="00266CB6" w:rsidRPr="00266CB6">
        <w:rPr>
          <w:rFonts w:ascii="Times New Roman" w:hAnsi="Times New Roman" w:cs="Times New Roman"/>
          <w:sz w:val="24"/>
          <w:szCs w:val="24"/>
          <w:lang w:val="en-US"/>
        </w:rPr>
        <w:t>% of the females in the IPV cohort encountered four or more varieties of maltreatment during their childhood. There is a clear connection between the occurrences of childhood maltreatment and present violent intimate partnerships as depicted in the narratives. These results align with existing literature acknowledging the co-occurrence of various forms of maltreatment (</w:t>
      </w:r>
      <w:r w:rsidR="000428C3" w:rsidRPr="00266CB6">
        <w:rPr>
          <w:rFonts w:ascii="Times New Roman" w:hAnsi="Times New Roman" w:cs="Times New Roman"/>
          <w:sz w:val="24"/>
          <w:szCs w:val="24"/>
          <w:lang w:val="en-US"/>
        </w:rPr>
        <w:t>Green et al., 201</w:t>
      </w:r>
      <w:r w:rsidR="000428C3">
        <w:rPr>
          <w:rFonts w:ascii="Times New Roman" w:hAnsi="Times New Roman" w:cs="Times New Roman"/>
          <w:sz w:val="24"/>
          <w:szCs w:val="24"/>
          <w:lang w:val="en-US"/>
        </w:rPr>
        <w:t xml:space="preserve">2; </w:t>
      </w:r>
      <w:r w:rsidR="00266CB6" w:rsidRPr="00266CB6">
        <w:rPr>
          <w:rFonts w:ascii="Times New Roman" w:hAnsi="Times New Roman" w:cs="Times New Roman"/>
          <w:sz w:val="24"/>
          <w:szCs w:val="24"/>
          <w:lang w:val="en-US"/>
        </w:rPr>
        <w:t>Dong et al., 2004) and the tendency for many victims to undergo multiple types of abuse during their childhood (Finkelhor</w:t>
      </w:r>
      <w:r w:rsidR="000428C3">
        <w:rPr>
          <w:rFonts w:ascii="Times New Roman" w:hAnsi="Times New Roman" w:cs="Times New Roman"/>
          <w:sz w:val="24"/>
          <w:szCs w:val="24"/>
          <w:lang w:val="en-US"/>
        </w:rPr>
        <w:t xml:space="preserve"> et al.,</w:t>
      </w:r>
      <w:r w:rsidR="00266CB6" w:rsidRPr="00266CB6">
        <w:rPr>
          <w:rFonts w:ascii="Times New Roman" w:hAnsi="Times New Roman" w:cs="Times New Roman"/>
          <w:sz w:val="24"/>
          <w:szCs w:val="24"/>
          <w:lang w:val="en-US"/>
        </w:rPr>
        <w:t>2007). Exposure to intricate trauma, which involves persistent early encounters of maltreatment encompassing multiple categories of abuse and/or neglect, can lead to far-reaching impacts on mental health, symptom complexity, and psychopathology, including internalizing disorders, externalizing behaviors, post-traumatic stress, and dissociative symptoms in both short and long terms (</w:t>
      </w:r>
      <w:r w:rsidR="00B01C01" w:rsidRPr="00266CB6">
        <w:rPr>
          <w:rFonts w:ascii="Times New Roman" w:hAnsi="Times New Roman" w:cs="Times New Roman"/>
          <w:sz w:val="24"/>
          <w:szCs w:val="24"/>
          <w:lang w:val="en-US"/>
        </w:rPr>
        <w:t>Finkelhor et al., 2007</w:t>
      </w:r>
      <w:r w:rsidR="00266CB6" w:rsidRPr="00266CB6">
        <w:rPr>
          <w:rFonts w:ascii="Times New Roman" w:hAnsi="Times New Roman" w:cs="Times New Roman"/>
          <w:sz w:val="24"/>
          <w:szCs w:val="24"/>
          <w:lang w:val="en-US"/>
        </w:rPr>
        <w:t>). Within the analyzed sample, maternal and paternal neglect, rejection, and over-involvement of the mother emerge as the most prevalent forms of traumatic experiences, supporting the data derived from the AAI experience scales.</w:t>
      </w:r>
      <w:r w:rsidR="00091A9A">
        <w:rPr>
          <w:rFonts w:ascii="Times New Roman" w:hAnsi="Times New Roman" w:cs="Times New Roman"/>
          <w:sz w:val="24"/>
          <w:szCs w:val="24"/>
          <w:lang w:val="en-US"/>
        </w:rPr>
        <w:t xml:space="preserve"> </w:t>
      </w:r>
      <w:r w:rsidR="00091A9A" w:rsidRPr="00091A9A">
        <w:rPr>
          <w:rFonts w:ascii="Times New Roman" w:hAnsi="Times New Roman" w:cs="Times New Roman"/>
          <w:sz w:val="24"/>
          <w:szCs w:val="24"/>
          <w:lang w:val="en-US"/>
        </w:rPr>
        <w:t xml:space="preserve">The literature suggests </w:t>
      </w:r>
      <w:r w:rsidR="00091A9A">
        <w:rPr>
          <w:rFonts w:ascii="Times New Roman" w:hAnsi="Times New Roman" w:cs="Times New Roman"/>
          <w:sz w:val="24"/>
          <w:szCs w:val="24"/>
          <w:lang w:val="en-US"/>
        </w:rPr>
        <w:t xml:space="preserve">there is </w:t>
      </w:r>
      <w:r w:rsidR="00091A9A" w:rsidRPr="00091A9A">
        <w:rPr>
          <w:rFonts w:ascii="Times New Roman" w:hAnsi="Times New Roman" w:cs="Times New Roman"/>
          <w:sz w:val="24"/>
          <w:szCs w:val="24"/>
          <w:lang w:val="en-US"/>
        </w:rPr>
        <w:t xml:space="preserve">a link between childhood trauma and a disorganized state of </w:t>
      </w:r>
      <w:r w:rsidR="00DE2A52" w:rsidRPr="00091A9A">
        <w:rPr>
          <w:rFonts w:ascii="Times New Roman" w:hAnsi="Times New Roman" w:cs="Times New Roman"/>
          <w:sz w:val="24"/>
          <w:szCs w:val="24"/>
          <w:lang w:val="en-US"/>
        </w:rPr>
        <w:t>mind</w:t>
      </w:r>
      <w:r w:rsidR="00DE2A52">
        <w:rPr>
          <w:rFonts w:ascii="Times New Roman" w:hAnsi="Times New Roman" w:cs="Times New Roman"/>
          <w:sz w:val="24"/>
          <w:szCs w:val="24"/>
          <w:lang w:val="en-US"/>
        </w:rPr>
        <w:t xml:space="preserve"> (</w:t>
      </w:r>
      <w:r w:rsidR="00B01C01">
        <w:rPr>
          <w:rFonts w:ascii="Times New Roman" w:hAnsi="Times New Roman" w:cs="Times New Roman"/>
          <w:sz w:val="24"/>
          <w:szCs w:val="24"/>
          <w:lang w:val="en-US"/>
        </w:rPr>
        <w:t>Tanzilli et al.,2021; Plouffe et al.,2020; Weberman et al.,2004</w:t>
      </w:r>
      <w:r w:rsidR="002E50FA">
        <w:rPr>
          <w:rFonts w:ascii="Times New Roman" w:hAnsi="Times New Roman" w:cs="Times New Roman"/>
          <w:sz w:val="24"/>
          <w:szCs w:val="24"/>
          <w:lang w:val="en-US"/>
        </w:rPr>
        <w:t>)</w:t>
      </w:r>
      <w:r w:rsidR="00091A9A" w:rsidRPr="00091A9A">
        <w:rPr>
          <w:rFonts w:ascii="Times New Roman" w:hAnsi="Times New Roman" w:cs="Times New Roman"/>
          <w:sz w:val="24"/>
          <w:szCs w:val="24"/>
          <w:lang w:val="en-US"/>
        </w:rPr>
        <w:t xml:space="preserve">. However, in </w:t>
      </w:r>
      <w:r w:rsidR="00091A9A">
        <w:rPr>
          <w:rFonts w:ascii="Times New Roman" w:hAnsi="Times New Roman" w:cs="Times New Roman"/>
          <w:sz w:val="24"/>
          <w:szCs w:val="24"/>
          <w:lang w:val="en-US"/>
        </w:rPr>
        <w:t>this</w:t>
      </w:r>
      <w:r w:rsidR="00B01C01">
        <w:rPr>
          <w:rFonts w:ascii="Times New Roman" w:hAnsi="Times New Roman" w:cs="Times New Roman"/>
          <w:sz w:val="24"/>
          <w:szCs w:val="24"/>
          <w:lang w:val="en-US"/>
        </w:rPr>
        <w:t xml:space="preserve"> </w:t>
      </w:r>
      <w:r w:rsidR="00091A9A" w:rsidRPr="00091A9A">
        <w:rPr>
          <w:rFonts w:ascii="Times New Roman" w:hAnsi="Times New Roman" w:cs="Times New Roman"/>
          <w:sz w:val="24"/>
          <w:szCs w:val="24"/>
          <w:lang w:val="en-US"/>
        </w:rPr>
        <w:t>sample, no clear connection was found between trauma and AAI classifications.</w:t>
      </w:r>
      <w:r w:rsidR="002E50FA">
        <w:rPr>
          <w:rFonts w:ascii="Times New Roman" w:hAnsi="Times New Roman" w:cs="Times New Roman"/>
          <w:sz w:val="24"/>
          <w:szCs w:val="24"/>
          <w:lang w:val="en-US"/>
        </w:rPr>
        <w:t xml:space="preserve"> The third objective hypothesized that there is an inhibition of the reflective functions in IPV victims. </w:t>
      </w:r>
      <w:r w:rsidR="002E50FA" w:rsidRPr="002E50FA">
        <w:rPr>
          <w:rFonts w:ascii="Times New Roman" w:hAnsi="Times New Roman" w:cs="Times New Roman"/>
          <w:sz w:val="24"/>
          <w:szCs w:val="24"/>
          <w:lang w:val="en-US"/>
        </w:rPr>
        <w:t>In AAI transcripts</w:t>
      </w:r>
      <w:r w:rsidR="002E50FA">
        <w:rPr>
          <w:rFonts w:ascii="Times New Roman" w:hAnsi="Times New Roman" w:cs="Times New Roman"/>
          <w:sz w:val="24"/>
          <w:szCs w:val="24"/>
          <w:lang w:val="en-US"/>
        </w:rPr>
        <w:t xml:space="preserve"> it was observed that IPV victims have difficulties </w:t>
      </w:r>
      <w:r w:rsidR="002E50FA" w:rsidRPr="002E50FA">
        <w:rPr>
          <w:rFonts w:ascii="Times New Roman" w:hAnsi="Times New Roman" w:cs="Times New Roman"/>
          <w:sz w:val="24"/>
          <w:szCs w:val="24"/>
          <w:lang w:val="en-US"/>
        </w:rPr>
        <w:t xml:space="preserve">with reflective capacity. Results from </w:t>
      </w:r>
      <w:r w:rsidR="002E50FA">
        <w:rPr>
          <w:rFonts w:ascii="Times New Roman" w:hAnsi="Times New Roman" w:cs="Times New Roman"/>
          <w:sz w:val="24"/>
          <w:szCs w:val="24"/>
          <w:lang w:val="en-US"/>
        </w:rPr>
        <w:t xml:space="preserve">the </w:t>
      </w:r>
      <w:r w:rsidR="002E50FA" w:rsidRPr="002E50FA">
        <w:rPr>
          <w:rFonts w:ascii="Times New Roman" w:hAnsi="Times New Roman" w:cs="Times New Roman"/>
          <w:sz w:val="24"/>
          <w:szCs w:val="24"/>
          <w:lang w:val="en-US"/>
        </w:rPr>
        <w:t>Reflecting Functioning Scale show low scores</w:t>
      </w:r>
      <w:r w:rsidR="002E50FA">
        <w:rPr>
          <w:rFonts w:ascii="Times New Roman" w:hAnsi="Times New Roman" w:cs="Times New Roman"/>
          <w:sz w:val="24"/>
          <w:szCs w:val="24"/>
          <w:lang w:val="en-US"/>
        </w:rPr>
        <w:t xml:space="preserve"> (M=2.7)</w:t>
      </w:r>
      <w:r w:rsidR="002E50FA" w:rsidRPr="002E50FA">
        <w:rPr>
          <w:rFonts w:ascii="Times New Roman" w:hAnsi="Times New Roman" w:cs="Times New Roman"/>
          <w:sz w:val="24"/>
          <w:szCs w:val="24"/>
          <w:lang w:val="en-US"/>
        </w:rPr>
        <w:t xml:space="preserve">, indicating issues in understanding experiences. Differences in attachment groups affect mentalization abilities. Secure attachment enhances mentalizing, while anxiety can inhibit it. </w:t>
      </w:r>
      <w:r w:rsidR="00113509" w:rsidRPr="00113509">
        <w:rPr>
          <w:rFonts w:ascii="Times New Roman" w:hAnsi="Times New Roman" w:cs="Times New Roman"/>
          <w:sz w:val="24"/>
          <w:szCs w:val="24"/>
          <w:lang w:val="en-US"/>
        </w:rPr>
        <w:t xml:space="preserve">Recent studies have indicated that the presence of a secure attachment plays a crucial role in enhancing mentalizing abilities (Fonagy et al., 2011). It is argued that individuals with secure attachment styles are more inclined </w:t>
      </w:r>
      <w:r w:rsidR="00113509">
        <w:rPr>
          <w:rFonts w:ascii="Times New Roman" w:hAnsi="Times New Roman" w:cs="Times New Roman"/>
          <w:sz w:val="24"/>
          <w:szCs w:val="24"/>
          <w:lang w:val="en-US"/>
        </w:rPr>
        <w:t>toward</w:t>
      </w:r>
      <w:r w:rsidR="00113509" w:rsidRPr="00113509">
        <w:rPr>
          <w:rFonts w:ascii="Times New Roman" w:hAnsi="Times New Roman" w:cs="Times New Roman"/>
          <w:sz w:val="24"/>
          <w:szCs w:val="24"/>
          <w:lang w:val="en-US"/>
        </w:rPr>
        <w:t xml:space="preserve"> engaging in effective and adaptable mentalization processes, characterized by an impartial and contemplative approach to social stimuli. Conversely, heightened levels of anxiety and apprehension may impede the capacity for mentalization concerning intimate relationships</w:t>
      </w:r>
      <w:r w:rsidR="00AD3150">
        <w:rPr>
          <w:rFonts w:ascii="Times New Roman" w:hAnsi="Times New Roman" w:cs="Times New Roman"/>
          <w:sz w:val="24"/>
          <w:szCs w:val="24"/>
          <w:lang w:val="en-US"/>
        </w:rPr>
        <w:t xml:space="preserve"> (Asen &amp; Fonagy,2016</w:t>
      </w:r>
      <w:r w:rsidR="00DE2A52" w:rsidRPr="00113509">
        <w:rPr>
          <w:rFonts w:ascii="Times New Roman" w:hAnsi="Times New Roman" w:cs="Times New Roman"/>
          <w:sz w:val="24"/>
          <w:szCs w:val="24"/>
          <w:lang w:val="en-US"/>
        </w:rPr>
        <w:t>).</w:t>
      </w:r>
      <w:r w:rsidR="00DE2A52" w:rsidRPr="002E50FA">
        <w:rPr>
          <w:rFonts w:ascii="Times New Roman" w:hAnsi="Times New Roman" w:cs="Times New Roman"/>
          <w:sz w:val="24"/>
          <w:szCs w:val="24"/>
          <w:lang w:val="en-US"/>
        </w:rPr>
        <w:t xml:space="preserve"> Support</w:t>
      </w:r>
      <w:r w:rsidR="002E50FA" w:rsidRPr="002E50FA">
        <w:rPr>
          <w:rFonts w:ascii="Times New Roman" w:hAnsi="Times New Roman" w:cs="Times New Roman"/>
          <w:sz w:val="24"/>
          <w:szCs w:val="24"/>
          <w:lang w:val="en-US"/>
        </w:rPr>
        <w:t xml:space="preserve"> is crucial for developing secure attachment and reflecting on past experiences, like abuse.</w:t>
      </w:r>
      <w:r w:rsidR="00D23034">
        <w:rPr>
          <w:rFonts w:ascii="Times New Roman" w:hAnsi="Times New Roman" w:cs="Times New Roman"/>
          <w:sz w:val="24"/>
          <w:szCs w:val="24"/>
          <w:lang w:val="en-US"/>
        </w:rPr>
        <w:t xml:space="preserve"> </w:t>
      </w:r>
      <w:r w:rsidR="00D23034" w:rsidRPr="00D23034">
        <w:rPr>
          <w:rFonts w:ascii="Times New Roman" w:hAnsi="Times New Roman" w:cs="Times New Roman"/>
          <w:sz w:val="24"/>
          <w:szCs w:val="24"/>
          <w:lang w:val="en-US"/>
        </w:rPr>
        <w:t xml:space="preserve">The processes of violence </w:t>
      </w:r>
      <w:r w:rsidR="00D23034">
        <w:rPr>
          <w:rFonts w:ascii="Times New Roman" w:hAnsi="Times New Roman" w:cs="Times New Roman"/>
          <w:sz w:val="24"/>
          <w:szCs w:val="24"/>
          <w:lang w:val="en-US"/>
        </w:rPr>
        <w:t>can</w:t>
      </w:r>
      <w:r w:rsidR="00D23034" w:rsidRPr="00D23034">
        <w:rPr>
          <w:rFonts w:ascii="Times New Roman" w:hAnsi="Times New Roman" w:cs="Times New Roman"/>
          <w:sz w:val="24"/>
          <w:szCs w:val="24"/>
          <w:lang w:val="en-US"/>
        </w:rPr>
        <w:t xml:space="preserve"> create disparities in mentalization, resulting in a prevalence of fear and h</w:t>
      </w:r>
      <w:r w:rsidR="00D23034">
        <w:rPr>
          <w:rFonts w:ascii="Times New Roman" w:hAnsi="Times New Roman" w:cs="Times New Roman"/>
          <w:sz w:val="24"/>
          <w:szCs w:val="24"/>
          <w:lang w:val="en-US"/>
        </w:rPr>
        <w:t>yperactivated</w:t>
      </w:r>
      <w:r w:rsidR="00D23034" w:rsidRPr="00D23034">
        <w:rPr>
          <w:rFonts w:ascii="Times New Roman" w:hAnsi="Times New Roman" w:cs="Times New Roman"/>
          <w:sz w:val="24"/>
          <w:szCs w:val="24"/>
          <w:lang w:val="en-US"/>
        </w:rPr>
        <w:t xml:space="preserve"> attachments. Frequently, this compels the family unit and its constituents to revert to pre-mentalizing modes of cognition and behavior (Asen &amp; Fonagy, 201</w:t>
      </w:r>
      <w:r w:rsidR="00AD3150">
        <w:rPr>
          <w:rFonts w:ascii="Times New Roman" w:hAnsi="Times New Roman" w:cs="Times New Roman"/>
          <w:sz w:val="24"/>
          <w:szCs w:val="24"/>
          <w:lang w:val="en-US"/>
        </w:rPr>
        <w:t>6</w:t>
      </w:r>
      <w:r w:rsidR="00D23034" w:rsidRPr="00D23034">
        <w:rPr>
          <w:rFonts w:ascii="Times New Roman" w:hAnsi="Times New Roman" w:cs="Times New Roman"/>
          <w:sz w:val="24"/>
          <w:szCs w:val="24"/>
          <w:lang w:val="en-US"/>
        </w:rPr>
        <w:t xml:space="preserve">). Within the specific context of the examined sample, women may, in certain instances, opt for </w:t>
      </w:r>
      <w:r w:rsidR="00D23034">
        <w:rPr>
          <w:rFonts w:ascii="Times New Roman" w:hAnsi="Times New Roman" w:cs="Times New Roman"/>
          <w:sz w:val="24"/>
          <w:szCs w:val="24"/>
          <w:lang w:val="en-US"/>
        </w:rPr>
        <w:t xml:space="preserve">an </w:t>
      </w:r>
      <w:r w:rsidR="00D23034" w:rsidRPr="00D23034">
        <w:rPr>
          <w:rFonts w:ascii="Times New Roman" w:hAnsi="Times New Roman" w:cs="Times New Roman"/>
          <w:sz w:val="24"/>
          <w:szCs w:val="24"/>
          <w:lang w:val="en-US"/>
        </w:rPr>
        <w:t>approach linked to goal-directed actions devoid of corresponding mental states.</w:t>
      </w:r>
      <w:r w:rsidR="00D23034">
        <w:rPr>
          <w:rFonts w:ascii="Times New Roman" w:hAnsi="Times New Roman" w:cs="Times New Roman"/>
          <w:sz w:val="24"/>
          <w:szCs w:val="24"/>
          <w:lang w:val="en-US"/>
        </w:rPr>
        <w:t xml:space="preserve"> Here</w:t>
      </w:r>
      <w:r w:rsidR="00D23034" w:rsidRPr="00D23034">
        <w:rPr>
          <w:rFonts w:ascii="Times New Roman" w:hAnsi="Times New Roman" w:cs="Times New Roman"/>
          <w:sz w:val="24"/>
          <w:szCs w:val="24"/>
          <w:lang w:val="en-US"/>
        </w:rPr>
        <w:t xml:space="preserve"> actions convey more meaning than words. Prementalizing modes of operation subvert the societal mechanisms that facilitate human cooperation: innovation, bargaining, taking turns, and recognizing the mental states of others. A mentalizing stance characterized by an inquisitive nature and an inclination to delve into mental states, acknowledging their inherent opacity and intricately layered composition, fosters additional mentalization. The findings underscored a notable correlation between mentalization and various countertransference patterns</w:t>
      </w:r>
      <w:r w:rsidR="00D23034">
        <w:rPr>
          <w:rFonts w:ascii="Times New Roman" w:hAnsi="Times New Roman" w:cs="Times New Roman"/>
          <w:sz w:val="24"/>
          <w:szCs w:val="24"/>
          <w:lang w:val="en-US"/>
        </w:rPr>
        <w:t xml:space="preserve"> as forms of </w:t>
      </w:r>
      <w:r w:rsidR="00DE2A52">
        <w:rPr>
          <w:rFonts w:ascii="Times New Roman" w:hAnsi="Times New Roman" w:cs="Times New Roman"/>
          <w:sz w:val="24"/>
          <w:szCs w:val="24"/>
          <w:lang w:val="en-US"/>
        </w:rPr>
        <w:t xml:space="preserve">mentalization </w:t>
      </w:r>
      <w:r w:rsidR="00DE2A52" w:rsidRPr="00D23034">
        <w:rPr>
          <w:rFonts w:ascii="Times New Roman" w:hAnsi="Times New Roman" w:cs="Times New Roman"/>
          <w:sz w:val="24"/>
          <w:szCs w:val="24"/>
          <w:lang w:val="en-US"/>
        </w:rPr>
        <w:t>(</w:t>
      </w:r>
      <w:r w:rsidR="00D23034" w:rsidRPr="00D23034">
        <w:rPr>
          <w:rFonts w:ascii="Times New Roman" w:hAnsi="Times New Roman" w:cs="Times New Roman"/>
          <w:sz w:val="24"/>
          <w:szCs w:val="24"/>
          <w:lang w:val="en-US"/>
        </w:rPr>
        <w:t>cognitive imbalance and positive CT; affective imbalance and excessively engaged and eroticized CT; automatic imbalance and eroticized CT).</w:t>
      </w:r>
      <w:r w:rsidR="00D23034">
        <w:rPr>
          <w:rFonts w:ascii="Times New Roman" w:hAnsi="Times New Roman" w:cs="Times New Roman"/>
          <w:sz w:val="24"/>
          <w:szCs w:val="24"/>
          <w:lang w:val="en-US"/>
        </w:rPr>
        <w:t xml:space="preserve"> Professionals who</w:t>
      </w:r>
      <w:r w:rsidR="00D23034" w:rsidRPr="00D23034">
        <w:rPr>
          <w:rFonts w:ascii="Times New Roman" w:hAnsi="Times New Roman" w:cs="Times New Roman"/>
          <w:sz w:val="24"/>
          <w:szCs w:val="24"/>
          <w:lang w:val="en-US"/>
        </w:rPr>
        <w:t xml:space="preserve"> provide care for female victims of Intimate Partner Violence (IPV) </w:t>
      </w:r>
      <w:r w:rsidR="00D23034">
        <w:rPr>
          <w:rFonts w:ascii="Times New Roman" w:hAnsi="Times New Roman" w:cs="Times New Roman"/>
          <w:sz w:val="24"/>
          <w:szCs w:val="24"/>
          <w:lang w:val="en-US"/>
        </w:rPr>
        <w:t xml:space="preserve">should be aware to </w:t>
      </w:r>
      <w:r w:rsidR="00D23034" w:rsidRPr="00D23034">
        <w:rPr>
          <w:rFonts w:ascii="Times New Roman" w:hAnsi="Times New Roman" w:cs="Times New Roman"/>
          <w:sz w:val="24"/>
          <w:szCs w:val="24"/>
          <w:lang w:val="en-US"/>
        </w:rPr>
        <w:t>develop a sense of closeness and establish a strong therapeutic connection with the</w:t>
      </w:r>
      <w:r w:rsidR="005E0523">
        <w:rPr>
          <w:rFonts w:ascii="Times New Roman" w:hAnsi="Times New Roman" w:cs="Times New Roman"/>
          <w:sz w:val="24"/>
          <w:szCs w:val="24"/>
          <w:lang w:val="en-US"/>
        </w:rPr>
        <w:t xml:space="preserve"> subject to help them find a way toward well-being</w:t>
      </w:r>
      <w:r w:rsidR="00D23034" w:rsidRPr="00D23034">
        <w:rPr>
          <w:rFonts w:ascii="Times New Roman" w:hAnsi="Times New Roman" w:cs="Times New Roman"/>
          <w:sz w:val="24"/>
          <w:szCs w:val="24"/>
          <w:lang w:val="en-US"/>
        </w:rPr>
        <w:t xml:space="preserve">. </w:t>
      </w:r>
    </w:p>
    <w:p w14:paraId="62EE3274" w14:textId="3D27AC8A" w:rsidR="001E7382" w:rsidRPr="00DE5A23" w:rsidRDefault="001E7382">
      <w:pPr>
        <w:rPr>
          <w:lang w:val="en-US"/>
        </w:rPr>
      </w:pPr>
      <w:r w:rsidRPr="00DE5A23">
        <w:rPr>
          <w:lang w:val="en-US"/>
        </w:rPr>
        <w:t xml:space="preserve"> </w:t>
      </w:r>
    </w:p>
    <w:p w14:paraId="4923F13E" w14:textId="23E957A4" w:rsidR="001E7382" w:rsidRPr="00E06010" w:rsidRDefault="001E7382" w:rsidP="00E06010">
      <w:pPr>
        <w:pStyle w:val="Heading2"/>
        <w:rPr>
          <w:color w:val="auto"/>
        </w:rPr>
      </w:pPr>
      <w:r w:rsidRPr="00E06010">
        <w:rPr>
          <w:color w:val="auto"/>
        </w:rPr>
        <w:t>Conclusions</w:t>
      </w:r>
    </w:p>
    <w:p w14:paraId="144C8BA9" w14:textId="23B2BF71" w:rsidR="00C0144B" w:rsidRPr="00FD65AD" w:rsidRDefault="00C0144B" w:rsidP="00E06010">
      <w:pPr>
        <w:spacing w:line="360" w:lineRule="auto"/>
        <w:jc w:val="both"/>
        <w:rPr>
          <w:rFonts w:ascii="Times New Roman" w:hAnsi="Times New Roman" w:cs="Times New Roman"/>
          <w:sz w:val="24"/>
          <w:szCs w:val="24"/>
          <w:lang w:val="en-US"/>
        </w:rPr>
      </w:pPr>
      <w:r w:rsidRPr="00FD65AD">
        <w:rPr>
          <w:rFonts w:ascii="Times New Roman" w:hAnsi="Times New Roman" w:cs="Times New Roman"/>
          <w:sz w:val="24"/>
          <w:szCs w:val="24"/>
          <w:lang w:val="en-US"/>
        </w:rPr>
        <w:t>The enduring occurrence of violence against women and men, which can sometimes escalate into the more tragic event of homicide, displays concerning indications of a communal ailment that jeopardizes the foundational structure of interpersonal connections, while also revealing an ongoing process of dehumanization. Presently, there is a heightened focus by traditional and social media on violence against human beings, especially women, compared to previous times. Of course,</w:t>
      </w:r>
      <w:r w:rsidR="00FD65AD" w:rsidRPr="00FD65AD">
        <w:rPr>
          <w:rFonts w:ascii="Times New Roman" w:hAnsi="Times New Roman" w:cs="Times New Roman"/>
          <w:sz w:val="24"/>
          <w:szCs w:val="24"/>
          <w:lang w:val="en-US"/>
        </w:rPr>
        <w:t xml:space="preserve"> </w:t>
      </w:r>
      <w:r w:rsidRPr="00FD65AD">
        <w:rPr>
          <w:rFonts w:ascii="Times New Roman" w:hAnsi="Times New Roman" w:cs="Times New Roman"/>
          <w:sz w:val="24"/>
          <w:szCs w:val="24"/>
          <w:lang w:val="en-US"/>
        </w:rPr>
        <w:t xml:space="preserve">stressful </w:t>
      </w:r>
      <w:r w:rsidR="00FD65AD" w:rsidRPr="00FD65AD">
        <w:rPr>
          <w:rFonts w:ascii="Times New Roman" w:hAnsi="Times New Roman" w:cs="Times New Roman"/>
          <w:sz w:val="24"/>
          <w:szCs w:val="24"/>
          <w:lang w:val="en-US"/>
        </w:rPr>
        <w:t>life transitions</w:t>
      </w:r>
      <w:r w:rsidRPr="00FD65AD">
        <w:rPr>
          <w:rFonts w:ascii="Times New Roman" w:hAnsi="Times New Roman" w:cs="Times New Roman"/>
          <w:sz w:val="24"/>
          <w:szCs w:val="24"/>
          <w:lang w:val="en-US"/>
        </w:rPr>
        <w:t xml:space="preserve"> like armed </w:t>
      </w:r>
      <w:r w:rsidR="00DE2A52" w:rsidRPr="00FD65AD">
        <w:rPr>
          <w:rFonts w:ascii="Times New Roman" w:hAnsi="Times New Roman" w:cs="Times New Roman"/>
          <w:sz w:val="24"/>
          <w:szCs w:val="24"/>
          <w:lang w:val="en-US"/>
        </w:rPr>
        <w:t>conflicts This</w:t>
      </w:r>
      <w:r w:rsidRPr="00FD65AD">
        <w:rPr>
          <w:rFonts w:ascii="Times New Roman" w:hAnsi="Times New Roman" w:cs="Times New Roman"/>
          <w:sz w:val="24"/>
          <w:szCs w:val="24"/>
          <w:lang w:val="en-US"/>
        </w:rPr>
        <w:t xml:space="preserve"> development unquestionably </w:t>
      </w:r>
      <w:r w:rsidR="00FD65AD" w:rsidRPr="00FD65AD">
        <w:rPr>
          <w:rFonts w:ascii="Times New Roman" w:hAnsi="Times New Roman" w:cs="Times New Roman"/>
          <w:sz w:val="24"/>
          <w:szCs w:val="24"/>
          <w:lang w:val="en-US"/>
        </w:rPr>
        <w:t xml:space="preserve">defines </w:t>
      </w:r>
      <w:r w:rsidRPr="00FD65AD">
        <w:rPr>
          <w:rFonts w:ascii="Times New Roman" w:hAnsi="Times New Roman" w:cs="Times New Roman"/>
          <w:sz w:val="24"/>
          <w:szCs w:val="24"/>
          <w:lang w:val="en-US"/>
        </w:rPr>
        <w:t xml:space="preserve">a significant advancement for society as it has highlighted a substantial issue that had been neglected for a considerable period, leading to the overturning of deeply ingrained biases. </w:t>
      </w:r>
      <w:r w:rsidR="00FD65AD" w:rsidRPr="00FD65AD">
        <w:rPr>
          <w:rFonts w:ascii="Times New Roman" w:hAnsi="Times New Roman" w:cs="Times New Roman"/>
          <w:sz w:val="24"/>
          <w:szCs w:val="24"/>
          <w:lang w:val="en-US"/>
        </w:rPr>
        <w:t xml:space="preserve">Two major causes seem to have motivated this cycle: first </w:t>
      </w:r>
      <w:r w:rsidRPr="00FD65AD">
        <w:rPr>
          <w:rFonts w:ascii="Times New Roman" w:hAnsi="Times New Roman" w:cs="Times New Roman"/>
          <w:sz w:val="24"/>
          <w:szCs w:val="24"/>
          <w:lang w:val="en-US"/>
        </w:rPr>
        <w:t>the</w:t>
      </w:r>
      <w:r w:rsidR="00FD65AD" w:rsidRPr="00FD65AD">
        <w:rPr>
          <w:rFonts w:ascii="Times New Roman" w:hAnsi="Times New Roman" w:cs="Times New Roman"/>
          <w:sz w:val="24"/>
          <w:szCs w:val="24"/>
          <w:lang w:val="en-US"/>
        </w:rPr>
        <w:t xml:space="preserve"> </w:t>
      </w:r>
      <w:r w:rsidRPr="00FD65AD">
        <w:rPr>
          <w:rFonts w:ascii="Times New Roman" w:hAnsi="Times New Roman" w:cs="Times New Roman"/>
          <w:sz w:val="24"/>
          <w:szCs w:val="24"/>
          <w:lang w:val="en-US"/>
        </w:rPr>
        <w:t xml:space="preserve">normalization of domestic violence perpetrated by men against women; and </w:t>
      </w:r>
      <w:r w:rsidR="00FD65AD" w:rsidRPr="00FD65AD">
        <w:rPr>
          <w:rFonts w:ascii="Times New Roman" w:hAnsi="Times New Roman" w:cs="Times New Roman"/>
          <w:sz w:val="24"/>
          <w:szCs w:val="24"/>
          <w:lang w:val="en-US"/>
        </w:rPr>
        <w:t>second</w:t>
      </w:r>
      <w:r w:rsidRPr="00FD65AD">
        <w:rPr>
          <w:rFonts w:ascii="Times New Roman" w:hAnsi="Times New Roman" w:cs="Times New Roman"/>
          <w:sz w:val="24"/>
          <w:szCs w:val="24"/>
          <w:lang w:val="en-US"/>
        </w:rPr>
        <w:t xml:space="preserve">, the tendency to downplay such violence and shift blame onto the female victims. The process of civilization is a challenging journey fraught with unforeseen circumstances, opposing currents, deviations, and setbacks. The </w:t>
      </w:r>
      <w:r w:rsidR="00FD65AD" w:rsidRPr="00FD65AD">
        <w:rPr>
          <w:rFonts w:ascii="Times New Roman" w:hAnsi="Times New Roman" w:cs="Times New Roman"/>
          <w:sz w:val="24"/>
          <w:szCs w:val="24"/>
          <w:lang w:val="en-US"/>
        </w:rPr>
        <w:t>society</w:t>
      </w:r>
      <w:r w:rsidRPr="00FD65AD">
        <w:rPr>
          <w:rFonts w:ascii="Times New Roman" w:hAnsi="Times New Roman" w:cs="Times New Roman"/>
          <w:sz w:val="24"/>
          <w:szCs w:val="24"/>
          <w:lang w:val="en-US"/>
        </w:rPr>
        <w:t xml:space="preserve"> within which we </w:t>
      </w:r>
      <w:r w:rsidR="00FD65AD" w:rsidRPr="00FD65AD">
        <w:rPr>
          <w:rFonts w:ascii="Times New Roman" w:hAnsi="Times New Roman" w:cs="Times New Roman"/>
          <w:sz w:val="24"/>
          <w:szCs w:val="24"/>
          <w:lang w:val="en-US"/>
        </w:rPr>
        <w:t>live</w:t>
      </w:r>
      <w:r w:rsidRPr="00FD65AD">
        <w:rPr>
          <w:rFonts w:ascii="Times New Roman" w:hAnsi="Times New Roman" w:cs="Times New Roman"/>
          <w:sz w:val="24"/>
          <w:szCs w:val="24"/>
          <w:lang w:val="en-US"/>
        </w:rPr>
        <w:t xml:space="preserve"> is the product of a conflict that shapes a power dynamic between the civilizing process and its adversaries: the reduction of existence to mere necessities, </w:t>
      </w:r>
      <w:r w:rsidR="00FD65AD" w:rsidRPr="00FD65AD">
        <w:rPr>
          <w:rFonts w:ascii="Times New Roman" w:hAnsi="Times New Roman" w:cs="Times New Roman"/>
          <w:sz w:val="24"/>
          <w:szCs w:val="24"/>
          <w:lang w:val="en-US"/>
        </w:rPr>
        <w:t xml:space="preserve">and </w:t>
      </w:r>
      <w:r w:rsidRPr="00FD65AD">
        <w:rPr>
          <w:rFonts w:ascii="Times New Roman" w:hAnsi="Times New Roman" w:cs="Times New Roman"/>
          <w:sz w:val="24"/>
          <w:szCs w:val="24"/>
          <w:lang w:val="en-US"/>
        </w:rPr>
        <w:t>the release of tensions based on a performative principle.</w:t>
      </w:r>
    </w:p>
    <w:p w14:paraId="7BCAA75E" w14:textId="3482168A" w:rsidR="00420C36" w:rsidRPr="00C26742" w:rsidRDefault="00C0144B" w:rsidP="00E06010">
      <w:pPr>
        <w:spacing w:line="360" w:lineRule="auto"/>
        <w:jc w:val="both"/>
        <w:rPr>
          <w:rFonts w:ascii="Times New Roman" w:hAnsi="Times New Roman" w:cs="Times New Roman"/>
          <w:sz w:val="24"/>
          <w:szCs w:val="24"/>
          <w:lang w:val="en-US"/>
        </w:rPr>
      </w:pPr>
      <w:r w:rsidRPr="00C26742">
        <w:rPr>
          <w:rFonts w:ascii="Times New Roman" w:hAnsi="Times New Roman" w:cs="Times New Roman"/>
          <w:sz w:val="24"/>
          <w:szCs w:val="24"/>
          <w:lang w:val="en-US"/>
        </w:rPr>
        <w:t>It is crucial to delve into the underlying reasons behind the perpetration of violence against women to avoid oversimplified explanations commonly heard. Recognizing that while Intimate Partner Violence (IPV) can be interpreted through the lens of female subjugation, a byproduct of complex social power dynamics, it also necessitates a nuanced and not solely interdisciplinary analysis for clinicians</w:t>
      </w:r>
      <w:r w:rsidR="00C26742" w:rsidRPr="00C26742">
        <w:rPr>
          <w:rFonts w:ascii="Times New Roman" w:hAnsi="Times New Roman" w:cs="Times New Roman"/>
          <w:sz w:val="24"/>
          <w:szCs w:val="24"/>
          <w:lang w:val="en-US"/>
        </w:rPr>
        <w:t>,</w:t>
      </w:r>
      <w:r w:rsidRPr="00C26742">
        <w:rPr>
          <w:rFonts w:ascii="Times New Roman" w:hAnsi="Times New Roman" w:cs="Times New Roman"/>
          <w:sz w:val="24"/>
          <w:szCs w:val="24"/>
          <w:lang w:val="en-US"/>
        </w:rPr>
        <w:t xml:space="preserve"> researchers</w:t>
      </w:r>
      <w:r w:rsidR="00C26742" w:rsidRPr="00C26742">
        <w:rPr>
          <w:rFonts w:ascii="Times New Roman" w:hAnsi="Times New Roman" w:cs="Times New Roman"/>
          <w:sz w:val="24"/>
          <w:szCs w:val="24"/>
          <w:lang w:val="en-US"/>
        </w:rPr>
        <w:t xml:space="preserve">, and </w:t>
      </w:r>
      <w:r w:rsidR="00DE2A52" w:rsidRPr="00C26742">
        <w:rPr>
          <w:rFonts w:ascii="Times New Roman" w:hAnsi="Times New Roman" w:cs="Times New Roman"/>
          <w:sz w:val="24"/>
          <w:szCs w:val="24"/>
          <w:lang w:val="en-US"/>
        </w:rPr>
        <w:t>policymakers</w:t>
      </w:r>
      <w:r w:rsidRPr="00C26742">
        <w:rPr>
          <w:rFonts w:ascii="Times New Roman" w:hAnsi="Times New Roman" w:cs="Times New Roman"/>
          <w:sz w:val="24"/>
          <w:szCs w:val="24"/>
          <w:lang w:val="en-US"/>
        </w:rPr>
        <w:t xml:space="preserve">. A preliminary examination indicates how early relational encounters, attachment patterns, and the </w:t>
      </w:r>
      <w:r w:rsidR="00DE2A52" w:rsidRPr="00C26742">
        <w:rPr>
          <w:rFonts w:ascii="Times New Roman" w:hAnsi="Times New Roman" w:cs="Times New Roman"/>
          <w:sz w:val="24"/>
          <w:szCs w:val="24"/>
          <w:lang w:val="en-US"/>
        </w:rPr>
        <w:t>often-overt</w:t>
      </w:r>
      <w:r w:rsidRPr="00C26742">
        <w:rPr>
          <w:rFonts w:ascii="Times New Roman" w:hAnsi="Times New Roman" w:cs="Times New Roman"/>
          <w:sz w:val="24"/>
          <w:szCs w:val="24"/>
          <w:lang w:val="en-US"/>
        </w:rPr>
        <w:t xml:space="preserve"> challenges in mentalizing compel us to contemplate the defensive mechanisms employed by women, at times, to evade succumbing to distressing and bewildering circumstances. Furthermore, it is increasingly apparent that the commendable efforts of support centers must be reinforced by those engaging in this field from a research perspective. Research endeavors can offer valuable insights for policymaking, prevention strategies, and clinical approaches. Therefore, there is a need for more rigorous studies to generate dependable outcomes that can foster a shared knowledge base and competencies for devising comprehensive intervention protocols to complement the existing models offered by service providers in</w:t>
      </w:r>
      <w:r w:rsidR="00C26742" w:rsidRPr="00C26742">
        <w:rPr>
          <w:rFonts w:ascii="Times New Roman" w:hAnsi="Times New Roman" w:cs="Times New Roman"/>
          <w:sz w:val="24"/>
          <w:szCs w:val="24"/>
          <w:lang w:val="en-US"/>
        </w:rPr>
        <w:t xml:space="preserve"> the area</w:t>
      </w:r>
      <w:r w:rsidRPr="00C26742">
        <w:rPr>
          <w:rFonts w:ascii="Times New Roman" w:hAnsi="Times New Roman" w:cs="Times New Roman"/>
          <w:sz w:val="24"/>
          <w:szCs w:val="24"/>
          <w:lang w:val="en-US"/>
        </w:rPr>
        <w:t>.</w:t>
      </w:r>
    </w:p>
    <w:p w14:paraId="5E2DD304" w14:textId="77777777" w:rsidR="00420C36" w:rsidRDefault="00420C36" w:rsidP="00E06010">
      <w:pPr>
        <w:spacing w:line="360" w:lineRule="auto"/>
        <w:jc w:val="both"/>
        <w:rPr>
          <w:rFonts w:ascii="Times New Roman" w:hAnsi="Times New Roman" w:cs="Times New Roman"/>
          <w:sz w:val="24"/>
          <w:szCs w:val="24"/>
          <w:lang w:val="en-US"/>
        </w:rPr>
      </w:pPr>
    </w:p>
    <w:p w14:paraId="427C8165" w14:textId="77777777" w:rsidR="00F45A39" w:rsidRPr="00006181" w:rsidRDefault="00F45A39" w:rsidP="00F45A39">
      <w:pPr>
        <w:spacing w:after="0" w:line="240" w:lineRule="auto"/>
        <w:jc w:val="both"/>
        <w:rPr>
          <w:rFonts w:ascii="Times New Roman" w:hAnsi="Times New Roman" w:cs="Times New Roman"/>
          <w:b/>
          <w:bCs/>
          <w:i/>
          <w:iCs/>
          <w:sz w:val="24"/>
          <w:szCs w:val="24"/>
        </w:rPr>
      </w:pPr>
      <w:r w:rsidRPr="00006181">
        <w:rPr>
          <w:rFonts w:ascii="Times New Roman" w:hAnsi="Times New Roman" w:cs="Times New Roman"/>
          <w:b/>
          <w:bCs/>
          <w:i/>
          <w:iCs/>
          <w:sz w:val="24"/>
          <w:szCs w:val="24"/>
        </w:rPr>
        <w:t xml:space="preserve">Acknowledgments </w:t>
      </w:r>
    </w:p>
    <w:p w14:paraId="3D7CC9CC" w14:textId="39A12B7C" w:rsidR="00F45A39" w:rsidRPr="00006181" w:rsidRDefault="00F45A39" w:rsidP="00F45A39">
      <w:pPr>
        <w:spacing w:after="0" w:line="240" w:lineRule="auto"/>
        <w:jc w:val="both"/>
        <w:rPr>
          <w:rFonts w:ascii="Times New Roman" w:hAnsi="Times New Roman" w:cs="Times New Roman"/>
          <w:i/>
          <w:iCs/>
          <w:sz w:val="24"/>
          <w:szCs w:val="24"/>
        </w:rPr>
      </w:pPr>
      <w:r w:rsidRPr="00006181">
        <w:rPr>
          <w:rFonts w:ascii="Times New Roman" w:hAnsi="Times New Roman" w:cs="Times New Roman"/>
          <w:b/>
          <w:bCs/>
          <w:i/>
          <w:iCs/>
          <w:sz w:val="24"/>
          <w:szCs w:val="24"/>
        </w:rPr>
        <w:t>Conceptualization, methodology</w:t>
      </w:r>
      <w:r>
        <w:rPr>
          <w:rFonts w:ascii="Times New Roman" w:hAnsi="Times New Roman" w:cs="Times New Roman"/>
          <w:b/>
          <w:bCs/>
          <w:i/>
          <w:iCs/>
          <w:sz w:val="24"/>
          <w:szCs w:val="24"/>
        </w:rPr>
        <w:t>,</w:t>
      </w:r>
      <w:r w:rsidRPr="00006181">
        <w:rPr>
          <w:rFonts w:ascii="Times New Roman" w:hAnsi="Times New Roman" w:cs="Times New Roman"/>
          <w:b/>
          <w:bCs/>
          <w:i/>
          <w:iCs/>
          <w:sz w:val="24"/>
          <w:szCs w:val="24"/>
        </w:rPr>
        <w:t xml:space="preserve"> formal analysis, writing, and final draft preparation</w:t>
      </w:r>
    </w:p>
    <w:p w14:paraId="7756633C" w14:textId="77777777" w:rsidR="00F45A39" w:rsidRPr="00006181" w:rsidRDefault="00F45A39" w:rsidP="00F45A39">
      <w:pPr>
        <w:spacing w:after="0" w:line="240" w:lineRule="auto"/>
        <w:jc w:val="both"/>
        <w:rPr>
          <w:rFonts w:ascii="Times New Roman" w:hAnsi="Times New Roman" w:cs="Times New Roman"/>
          <w:sz w:val="24"/>
          <w:szCs w:val="24"/>
        </w:rPr>
      </w:pPr>
    </w:p>
    <w:p w14:paraId="0A0DF0C1" w14:textId="0E01FCAC" w:rsidR="00F45A39" w:rsidRDefault="00F45A39" w:rsidP="00C6200F">
      <w:pPr>
        <w:spacing w:after="0" w:line="240" w:lineRule="auto"/>
        <w:jc w:val="both"/>
        <w:rPr>
          <w:rFonts w:ascii="Times New Roman" w:hAnsi="Times New Roman" w:cs="Times New Roman"/>
          <w:sz w:val="24"/>
          <w:szCs w:val="24"/>
        </w:rPr>
      </w:pPr>
      <w:r w:rsidRPr="00006181">
        <w:rPr>
          <w:rFonts w:ascii="Times New Roman" w:hAnsi="Times New Roman" w:cs="Times New Roman"/>
          <w:sz w:val="24"/>
          <w:szCs w:val="24"/>
        </w:rPr>
        <w:t>The author agreed to the published version of the manuscript.  The author read and approved the final version of the manuscript.</w:t>
      </w:r>
    </w:p>
    <w:p w14:paraId="28AB40D1" w14:textId="77777777" w:rsidR="00C6200F" w:rsidRPr="00C6200F" w:rsidRDefault="00C6200F" w:rsidP="00C6200F">
      <w:pPr>
        <w:spacing w:after="0" w:line="240" w:lineRule="auto"/>
        <w:jc w:val="both"/>
        <w:rPr>
          <w:rFonts w:ascii="Times New Roman" w:hAnsi="Times New Roman" w:cs="Times New Roman"/>
          <w:sz w:val="24"/>
          <w:szCs w:val="24"/>
        </w:rPr>
      </w:pPr>
    </w:p>
    <w:p w14:paraId="53D9D31C" w14:textId="77777777" w:rsidR="00F45A39" w:rsidRPr="00006181" w:rsidRDefault="00F45A39" w:rsidP="00F45A39">
      <w:pPr>
        <w:pStyle w:val="NormalWeb"/>
        <w:spacing w:before="0" w:beforeAutospacing="0" w:after="0" w:afterAutospacing="0"/>
        <w:jc w:val="both"/>
        <w:rPr>
          <w:b/>
          <w:bCs/>
        </w:rPr>
      </w:pPr>
      <w:r w:rsidRPr="00006181">
        <w:rPr>
          <w:b/>
          <w:bCs/>
        </w:rPr>
        <w:t>Ethics statement</w:t>
      </w:r>
    </w:p>
    <w:p w14:paraId="1ADFFEE2" w14:textId="3E9720BD" w:rsidR="003F63A9" w:rsidRPr="003B6708" w:rsidRDefault="00C6200F" w:rsidP="003F63A9">
      <w:pPr>
        <w:spacing w:after="0" w:line="240" w:lineRule="auto"/>
        <w:jc w:val="both"/>
        <w:rPr>
          <w:rFonts w:ascii="Times New Roman" w:hAnsi="Times New Roman" w:cs="Times New Roman"/>
          <w:sz w:val="24"/>
          <w:szCs w:val="24"/>
          <w:lang w:val="sq-AL"/>
        </w:rPr>
      </w:pPr>
      <w:r w:rsidRPr="003B6708">
        <w:rPr>
          <w:rFonts w:ascii="Times New Roman" w:hAnsi="Times New Roman" w:cs="Times New Roman"/>
          <w:sz w:val="24"/>
          <w:szCs w:val="24"/>
        </w:rPr>
        <w:t>Including female victims of intimate partner violence (IPV) in research endeavors presents various ethical considerations. The recruitment process for female participants was conducted with the utmost regard for informed consent and privacy, and the research protocol received approval from the Body of Ethics in the Order of Psychologists in Albania and the University of Western Balkans in Albania</w:t>
      </w:r>
      <w:r w:rsidR="003F63A9" w:rsidRPr="003B6708">
        <w:rPr>
          <w:rFonts w:ascii="Times New Roman" w:hAnsi="Times New Roman" w:cs="Times New Roman"/>
          <w:sz w:val="24"/>
          <w:szCs w:val="24"/>
        </w:rPr>
        <w:t xml:space="preserve">, </w:t>
      </w:r>
      <w:r w:rsidR="003F63A9" w:rsidRPr="003B6708">
        <w:rPr>
          <w:rFonts w:ascii="Times New Roman" w:hAnsi="Times New Roman" w:cs="Times New Roman"/>
          <w:sz w:val="24"/>
          <w:szCs w:val="24"/>
          <w:lang w:val="sq-AL"/>
        </w:rPr>
        <w:t>prot. No.</w:t>
      </w:r>
      <w:r w:rsidR="003B6708">
        <w:rPr>
          <w:rFonts w:ascii="Times New Roman" w:hAnsi="Times New Roman" w:cs="Times New Roman"/>
          <w:sz w:val="24"/>
          <w:szCs w:val="24"/>
          <w:lang w:val="sq-AL"/>
        </w:rPr>
        <w:t xml:space="preserve"> 185</w:t>
      </w:r>
      <w:r w:rsidR="003F63A9" w:rsidRPr="003B6708">
        <w:rPr>
          <w:rFonts w:ascii="Times New Roman" w:hAnsi="Times New Roman" w:cs="Times New Roman"/>
          <w:sz w:val="24"/>
          <w:szCs w:val="24"/>
          <w:lang w:val="sq-AL"/>
        </w:rPr>
        <w:t xml:space="preserve">, issued on </w:t>
      </w:r>
      <w:r w:rsidR="003B6708">
        <w:rPr>
          <w:rFonts w:ascii="Times New Roman" w:hAnsi="Times New Roman" w:cs="Times New Roman"/>
          <w:sz w:val="24"/>
          <w:szCs w:val="24"/>
          <w:lang w:val="sq-AL"/>
        </w:rPr>
        <w:t>22/12/</w:t>
      </w:r>
      <w:r w:rsidR="003F63A9" w:rsidRPr="003B6708">
        <w:rPr>
          <w:rFonts w:ascii="Times New Roman" w:hAnsi="Times New Roman" w:cs="Times New Roman"/>
          <w:sz w:val="24"/>
          <w:szCs w:val="24"/>
          <w:lang w:val="sq-AL"/>
        </w:rPr>
        <w:t xml:space="preserve">2024,  the author started collecting data on the subjects in the study. The protection of the confidentiality and anonymity of the subjects was carried out according to the ethical criteria of the  Data Protection Law no.9887, amended in 2014 by the Republic of Albania, and the European Act on Protection of Privacy and Personal Data regarding data treatment for research purposes. </w:t>
      </w:r>
    </w:p>
    <w:p w14:paraId="1D6915D7" w14:textId="170EFD75" w:rsidR="00C6200F" w:rsidRPr="00445571" w:rsidRDefault="00C6200F" w:rsidP="00F45A39">
      <w:pPr>
        <w:pStyle w:val="NormalWeb"/>
        <w:spacing w:before="0" w:beforeAutospacing="0" w:after="0" w:afterAutospacing="0"/>
        <w:jc w:val="both"/>
      </w:pPr>
      <w:r w:rsidRPr="003B6708">
        <w:t>All individuals involved in this research, encompassing women affected by IPV, willingly volunteered their participation.</w:t>
      </w:r>
      <w:r w:rsidRPr="00445571">
        <w:t xml:space="preserve"> </w:t>
      </w:r>
    </w:p>
    <w:p w14:paraId="7DE33427" w14:textId="77777777" w:rsidR="00C6200F" w:rsidRPr="00006181" w:rsidRDefault="00C6200F" w:rsidP="00F45A39">
      <w:pPr>
        <w:pStyle w:val="NormalWeb"/>
        <w:spacing w:before="0" w:beforeAutospacing="0" w:after="0" w:afterAutospacing="0"/>
        <w:jc w:val="both"/>
      </w:pPr>
    </w:p>
    <w:p w14:paraId="6C13FB14" w14:textId="77777777" w:rsidR="00F45A39" w:rsidRPr="00006181" w:rsidRDefault="00F45A39" w:rsidP="00F45A39">
      <w:pPr>
        <w:pStyle w:val="NormalWeb"/>
        <w:spacing w:before="0" w:beforeAutospacing="0" w:after="0" w:afterAutospacing="0"/>
        <w:jc w:val="both"/>
        <w:rPr>
          <w:b/>
          <w:bCs/>
        </w:rPr>
      </w:pPr>
      <w:r w:rsidRPr="00006181">
        <w:rPr>
          <w:b/>
          <w:bCs/>
        </w:rPr>
        <w:t xml:space="preserve">Conflicts of interest </w:t>
      </w:r>
    </w:p>
    <w:p w14:paraId="55941451" w14:textId="6377AADA" w:rsidR="00F45A39" w:rsidRPr="00006181" w:rsidRDefault="00F45A39" w:rsidP="00F45A39">
      <w:pPr>
        <w:spacing w:after="0" w:line="240" w:lineRule="auto"/>
        <w:jc w:val="both"/>
        <w:rPr>
          <w:rFonts w:ascii="Times New Roman" w:hAnsi="Times New Roman" w:cs="Times New Roman"/>
          <w:sz w:val="24"/>
          <w:szCs w:val="24"/>
        </w:rPr>
      </w:pPr>
      <w:r w:rsidRPr="00006181">
        <w:rPr>
          <w:rFonts w:ascii="Times New Roman" w:hAnsi="Times New Roman" w:cs="Times New Roman"/>
          <w:sz w:val="24"/>
          <w:szCs w:val="24"/>
        </w:rPr>
        <w:t xml:space="preserve">The author declares that </w:t>
      </w:r>
      <w:r w:rsidR="00C6200F">
        <w:rPr>
          <w:rFonts w:ascii="Times New Roman" w:hAnsi="Times New Roman" w:cs="Times New Roman"/>
          <w:sz w:val="24"/>
          <w:szCs w:val="24"/>
        </w:rPr>
        <w:t>s</w:t>
      </w:r>
      <w:r>
        <w:rPr>
          <w:rFonts w:ascii="Times New Roman" w:hAnsi="Times New Roman" w:cs="Times New Roman"/>
          <w:sz w:val="24"/>
          <w:szCs w:val="24"/>
        </w:rPr>
        <w:t>he</w:t>
      </w:r>
      <w:r w:rsidRPr="00006181">
        <w:rPr>
          <w:rFonts w:ascii="Times New Roman" w:hAnsi="Times New Roman" w:cs="Times New Roman"/>
          <w:sz w:val="24"/>
          <w:szCs w:val="24"/>
        </w:rPr>
        <w:t xml:space="preserve"> has no known competing or financial interests to disclose.</w:t>
      </w:r>
    </w:p>
    <w:p w14:paraId="2CDC508D" w14:textId="77777777" w:rsidR="00F45A39" w:rsidRPr="00006181" w:rsidRDefault="00F45A39" w:rsidP="00F45A39">
      <w:pPr>
        <w:spacing w:after="0" w:line="240" w:lineRule="auto"/>
        <w:jc w:val="both"/>
        <w:rPr>
          <w:rFonts w:ascii="Times New Roman" w:hAnsi="Times New Roman" w:cs="Times New Roman"/>
          <w:sz w:val="24"/>
          <w:szCs w:val="24"/>
        </w:rPr>
      </w:pPr>
    </w:p>
    <w:p w14:paraId="1B0B04FF" w14:textId="77777777" w:rsidR="00F45A39" w:rsidRPr="00006181" w:rsidRDefault="00F45A39" w:rsidP="00F45A39">
      <w:pPr>
        <w:pStyle w:val="NormalWeb"/>
        <w:spacing w:before="0" w:beforeAutospacing="0" w:after="0" w:afterAutospacing="0"/>
        <w:jc w:val="both"/>
        <w:rPr>
          <w:b/>
          <w:bCs/>
        </w:rPr>
      </w:pPr>
      <w:r w:rsidRPr="00006181">
        <w:rPr>
          <w:b/>
          <w:bCs/>
        </w:rPr>
        <w:t xml:space="preserve">Funding </w:t>
      </w:r>
    </w:p>
    <w:p w14:paraId="10CB60F7" w14:textId="77777777" w:rsidR="00F45A39" w:rsidRPr="00006181" w:rsidRDefault="00F45A39" w:rsidP="00F45A39">
      <w:pPr>
        <w:spacing w:after="0" w:line="240" w:lineRule="auto"/>
        <w:jc w:val="both"/>
        <w:rPr>
          <w:rFonts w:ascii="Times New Roman" w:hAnsi="Times New Roman" w:cs="Times New Roman"/>
          <w:b/>
          <w:bCs/>
          <w:sz w:val="24"/>
          <w:szCs w:val="24"/>
        </w:rPr>
      </w:pPr>
      <w:r w:rsidRPr="00006181">
        <w:rPr>
          <w:rFonts w:ascii="Times New Roman" w:hAnsi="Times New Roman" w:cs="Times New Roman"/>
          <w:sz w:val="24"/>
          <w:szCs w:val="24"/>
        </w:rPr>
        <w:t>This research received no external funding.</w:t>
      </w:r>
      <w:r w:rsidRPr="00006181">
        <w:rPr>
          <w:rFonts w:ascii="Times New Roman" w:hAnsi="Times New Roman" w:cs="Times New Roman"/>
          <w:b/>
          <w:bCs/>
          <w:sz w:val="24"/>
          <w:szCs w:val="24"/>
        </w:rPr>
        <w:t xml:space="preserve"> </w:t>
      </w:r>
    </w:p>
    <w:p w14:paraId="65538B4A" w14:textId="77777777" w:rsidR="00F45A39" w:rsidRPr="00006181" w:rsidRDefault="00F45A39" w:rsidP="00F45A39">
      <w:pPr>
        <w:spacing w:after="0" w:line="240" w:lineRule="auto"/>
        <w:jc w:val="both"/>
        <w:rPr>
          <w:rFonts w:ascii="Times New Roman" w:hAnsi="Times New Roman" w:cs="Times New Roman"/>
          <w:b/>
          <w:bCs/>
          <w:sz w:val="24"/>
          <w:szCs w:val="24"/>
        </w:rPr>
      </w:pPr>
    </w:p>
    <w:p w14:paraId="5113927D" w14:textId="77777777" w:rsidR="00F45A39" w:rsidRPr="00006181" w:rsidRDefault="00F45A39" w:rsidP="00F45A39">
      <w:pPr>
        <w:spacing w:after="0" w:line="240" w:lineRule="auto"/>
        <w:jc w:val="both"/>
        <w:rPr>
          <w:rFonts w:ascii="Times New Roman" w:hAnsi="Times New Roman" w:cs="Times New Roman"/>
          <w:b/>
          <w:bCs/>
          <w:sz w:val="24"/>
          <w:szCs w:val="24"/>
        </w:rPr>
      </w:pPr>
      <w:r w:rsidRPr="00006181">
        <w:rPr>
          <w:rFonts w:ascii="Times New Roman" w:hAnsi="Times New Roman" w:cs="Times New Roman"/>
          <w:b/>
          <w:bCs/>
          <w:sz w:val="24"/>
          <w:szCs w:val="24"/>
        </w:rPr>
        <w:t xml:space="preserve">Availability of data and materials </w:t>
      </w:r>
    </w:p>
    <w:p w14:paraId="76E7A1DE" w14:textId="77777777" w:rsidR="00F45A39" w:rsidRDefault="00F45A39" w:rsidP="00F45A39">
      <w:pPr>
        <w:rPr>
          <w:rFonts w:ascii="Times New Roman" w:hAnsi="Times New Roman" w:cs="Times New Roman"/>
          <w:sz w:val="24"/>
          <w:szCs w:val="24"/>
        </w:rPr>
      </w:pPr>
      <w:r>
        <w:t>T</w:t>
      </w:r>
      <w:r w:rsidRPr="00481A8B">
        <w:rPr>
          <w:rFonts w:ascii="Times New Roman" w:hAnsi="Times New Roman" w:cs="Times New Roman"/>
          <w:sz w:val="24"/>
          <w:szCs w:val="24"/>
        </w:rPr>
        <w:t xml:space="preserve">he datasets used and/or analyzed in the present study are available from the author on request. </w:t>
      </w:r>
    </w:p>
    <w:p w14:paraId="220ADE34" w14:textId="77777777" w:rsidR="00420C36" w:rsidRDefault="00420C36" w:rsidP="00E06010">
      <w:pPr>
        <w:spacing w:line="360" w:lineRule="auto"/>
        <w:rPr>
          <w:lang w:val="en-US"/>
        </w:rPr>
      </w:pPr>
    </w:p>
    <w:p w14:paraId="62E4EB52" w14:textId="72F36BF5" w:rsidR="00420C36" w:rsidRPr="003F63A9" w:rsidRDefault="00DE2A52" w:rsidP="003F63A9">
      <w:pPr>
        <w:pStyle w:val="Heading2"/>
        <w:rPr>
          <w:rFonts w:ascii="Times New Roman" w:hAnsi="Times New Roman" w:cs="Times New Roman"/>
          <w:color w:val="auto"/>
          <w:sz w:val="28"/>
          <w:szCs w:val="28"/>
          <w:lang w:val="en-US"/>
        </w:rPr>
      </w:pPr>
      <w:r w:rsidRPr="003F63A9">
        <w:rPr>
          <w:rFonts w:ascii="Times New Roman" w:hAnsi="Times New Roman" w:cs="Times New Roman"/>
          <w:color w:val="auto"/>
          <w:sz w:val="28"/>
          <w:szCs w:val="28"/>
          <w:lang w:val="en-US"/>
        </w:rPr>
        <w:t>References</w:t>
      </w:r>
    </w:p>
    <w:p w14:paraId="32F70A7F"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Allen, J. G., Fonagy, P., &amp; Bateman, A. (2008). </w:t>
      </w:r>
      <w:r w:rsidRPr="00DA792F">
        <w:rPr>
          <w:i/>
          <w:iCs/>
          <w:sz w:val="20"/>
          <w:szCs w:val="20"/>
          <w:lang w:val="en-US"/>
        </w:rPr>
        <w:t>Mentalizing in clinical practice</w:t>
      </w:r>
      <w:r w:rsidRPr="00DA792F">
        <w:rPr>
          <w:sz w:val="20"/>
          <w:szCs w:val="20"/>
          <w:lang w:val="en-US"/>
        </w:rPr>
        <w:t xml:space="preserve">. </w:t>
      </w:r>
      <w:hyperlink r:id="rId6" w:history="1">
        <w:r w:rsidRPr="00DA792F">
          <w:rPr>
            <w:rStyle w:val="Hyperlink"/>
            <w:rFonts w:eastAsiaTheme="majorEastAsia"/>
            <w:sz w:val="20"/>
            <w:szCs w:val="20"/>
            <w:lang w:val="en-US"/>
          </w:rPr>
          <w:t>http://discovery.ucl.ac.uk/133843/</w:t>
        </w:r>
      </w:hyperlink>
      <w:r w:rsidRPr="00DA792F">
        <w:rPr>
          <w:rStyle w:val="url"/>
          <w:rFonts w:eastAsiaTheme="majorEastAsia"/>
          <w:sz w:val="20"/>
          <w:szCs w:val="20"/>
          <w:lang w:val="en-US"/>
        </w:rPr>
        <w:t xml:space="preserve"> </w:t>
      </w:r>
    </w:p>
    <w:p w14:paraId="4A5A6AF3" w14:textId="5ED8ABFB"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Almış, B. H., Gümüştaş, F., &amp; Kütük, E. K. (2020). Effects of domestic violence against women on </w:t>
      </w:r>
      <w:r w:rsidR="008720F5">
        <w:rPr>
          <w:sz w:val="20"/>
          <w:szCs w:val="20"/>
          <w:lang w:val="en-US"/>
        </w:rPr>
        <w:t xml:space="preserve">the </w:t>
      </w:r>
      <w:r w:rsidRPr="00DA792F">
        <w:rPr>
          <w:sz w:val="20"/>
          <w:szCs w:val="20"/>
          <w:lang w:val="en-US"/>
        </w:rPr>
        <w:t xml:space="preserve">mental health of women and children. </w:t>
      </w:r>
      <w:r w:rsidRPr="00DA792F">
        <w:rPr>
          <w:i/>
          <w:iCs/>
          <w:sz w:val="20"/>
          <w:szCs w:val="20"/>
          <w:lang w:val="en-US"/>
        </w:rPr>
        <w:t>Psikiyatride GüNcel YaklaşImlar/Psikiyatride Güncel Yaklaşımlar</w:t>
      </w:r>
      <w:r w:rsidRPr="00DA792F">
        <w:rPr>
          <w:sz w:val="20"/>
          <w:szCs w:val="20"/>
          <w:lang w:val="en-US"/>
        </w:rPr>
        <w:t xml:space="preserve">, </w:t>
      </w:r>
      <w:r w:rsidRPr="00DA792F">
        <w:rPr>
          <w:i/>
          <w:iCs/>
          <w:sz w:val="20"/>
          <w:szCs w:val="20"/>
          <w:lang w:val="en-US"/>
        </w:rPr>
        <w:t>12</w:t>
      </w:r>
      <w:r w:rsidRPr="00DA792F">
        <w:rPr>
          <w:sz w:val="20"/>
          <w:szCs w:val="20"/>
          <w:lang w:val="en-US"/>
        </w:rPr>
        <w:t xml:space="preserve">(2), 232–242. </w:t>
      </w:r>
      <w:hyperlink r:id="rId7" w:history="1">
        <w:r w:rsidRPr="00DA792F">
          <w:rPr>
            <w:rStyle w:val="Hyperlink"/>
            <w:rFonts w:eastAsiaTheme="majorEastAsia"/>
            <w:sz w:val="20"/>
            <w:szCs w:val="20"/>
            <w:lang w:val="en-US"/>
          </w:rPr>
          <w:t>https://doi.org/10.18863/pgy.567635</w:t>
        </w:r>
      </w:hyperlink>
      <w:r w:rsidRPr="00DA792F">
        <w:rPr>
          <w:rStyle w:val="url"/>
          <w:rFonts w:eastAsiaTheme="majorEastAsia"/>
          <w:sz w:val="20"/>
          <w:szCs w:val="20"/>
          <w:lang w:val="en-US"/>
        </w:rPr>
        <w:t xml:space="preserve"> </w:t>
      </w:r>
    </w:p>
    <w:p w14:paraId="09C5CAB1" w14:textId="0DB7AD6D"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Alvarado, G., Fenny, A. P., Dakey, S., Mueller, J., O’Brien-Milne, L., Crentsil, A. O., Duvvury, N., Scriver, S., &amp; Schwenke, C. (2018). The health-related impacts and costs of violence against women and girls on survivors, households</w:t>
      </w:r>
      <w:r w:rsidR="008720F5">
        <w:rPr>
          <w:sz w:val="20"/>
          <w:szCs w:val="20"/>
          <w:lang w:val="en-US"/>
        </w:rPr>
        <w:t>,</w:t>
      </w:r>
      <w:r w:rsidRPr="00DA792F">
        <w:rPr>
          <w:sz w:val="20"/>
          <w:szCs w:val="20"/>
          <w:lang w:val="en-US"/>
        </w:rPr>
        <w:t xml:space="preserve"> and communities in Ghana. </w:t>
      </w:r>
      <w:r w:rsidRPr="00DA792F">
        <w:rPr>
          <w:i/>
          <w:iCs/>
          <w:sz w:val="20"/>
          <w:szCs w:val="20"/>
          <w:lang w:val="en-US"/>
        </w:rPr>
        <w:t>Journal of Public Health in Africa</w:t>
      </w:r>
      <w:r w:rsidRPr="00DA792F">
        <w:rPr>
          <w:sz w:val="20"/>
          <w:szCs w:val="20"/>
          <w:lang w:val="en-US"/>
        </w:rPr>
        <w:t xml:space="preserve">. </w:t>
      </w:r>
      <w:hyperlink r:id="rId8" w:history="1">
        <w:r w:rsidRPr="00DA792F">
          <w:rPr>
            <w:rStyle w:val="Hyperlink"/>
            <w:rFonts w:eastAsiaTheme="majorEastAsia"/>
            <w:sz w:val="20"/>
            <w:szCs w:val="20"/>
            <w:lang w:val="en-US"/>
          </w:rPr>
          <w:t>https://doi.org/10.4081/jphia.2018.860</w:t>
        </w:r>
      </w:hyperlink>
      <w:r w:rsidRPr="00DA792F">
        <w:rPr>
          <w:rStyle w:val="url"/>
          <w:rFonts w:eastAsiaTheme="majorEastAsia"/>
          <w:sz w:val="20"/>
          <w:szCs w:val="20"/>
          <w:lang w:val="en-US"/>
        </w:rPr>
        <w:t xml:space="preserve"> </w:t>
      </w:r>
    </w:p>
    <w:p w14:paraId="03FD96AF"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Archer, J. (2004). Sex Differences in Aggression in Real-World Settings: A Meta-Analytic Review. </w:t>
      </w:r>
      <w:r w:rsidRPr="00DA792F">
        <w:rPr>
          <w:i/>
          <w:iCs/>
          <w:sz w:val="20"/>
          <w:szCs w:val="20"/>
          <w:lang w:val="en-US"/>
        </w:rPr>
        <w:t>Review of General Psychology</w:t>
      </w:r>
      <w:r w:rsidRPr="00DA792F">
        <w:rPr>
          <w:sz w:val="20"/>
          <w:szCs w:val="20"/>
          <w:lang w:val="en-US"/>
        </w:rPr>
        <w:t xml:space="preserve">, </w:t>
      </w:r>
      <w:r w:rsidRPr="00DA792F">
        <w:rPr>
          <w:i/>
          <w:iCs/>
          <w:sz w:val="20"/>
          <w:szCs w:val="20"/>
          <w:lang w:val="en-US"/>
        </w:rPr>
        <w:t>8</w:t>
      </w:r>
      <w:r w:rsidRPr="00DA792F">
        <w:rPr>
          <w:sz w:val="20"/>
          <w:szCs w:val="20"/>
          <w:lang w:val="en-US"/>
        </w:rPr>
        <w:t xml:space="preserve">(4), 291–322. </w:t>
      </w:r>
      <w:hyperlink r:id="rId9" w:history="1">
        <w:r w:rsidRPr="00DA792F">
          <w:rPr>
            <w:rStyle w:val="Hyperlink"/>
            <w:rFonts w:eastAsiaTheme="majorEastAsia"/>
            <w:sz w:val="20"/>
            <w:szCs w:val="20"/>
            <w:lang w:val="en-US"/>
          </w:rPr>
          <w:t>https://doi.org/10.1037/1089-2680.8.4.291</w:t>
        </w:r>
      </w:hyperlink>
      <w:r w:rsidRPr="00DA792F">
        <w:rPr>
          <w:rStyle w:val="url"/>
          <w:rFonts w:eastAsiaTheme="majorEastAsia"/>
          <w:sz w:val="20"/>
          <w:szCs w:val="20"/>
          <w:lang w:val="en-US"/>
        </w:rPr>
        <w:t xml:space="preserve"> </w:t>
      </w:r>
    </w:p>
    <w:p w14:paraId="328A7BC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Asen, E., &amp; Fonagy, P. (2016). Mentalizing Family Violence Part 1: Conceptual framework. </w:t>
      </w:r>
      <w:r w:rsidRPr="00DA792F">
        <w:rPr>
          <w:i/>
          <w:iCs/>
          <w:sz w:val="20"/>
          <w:szCs w:val="20"/>
        </w:rPr>
        <w:t>Family Process</w:t>
      </w:r>
      <w:r w:rsidRPr="00DA792F">
        <w:rPr>
          <w:sz w:val="20"/>
          <w:szCs w:val="20"/>
        </w:rPr>
        <w:t xml:space="preserve">, </w:t>
      </w:r>
      <w:r w:rsidRPr="00DA792F">
        <w:rPr>
          <w:i/>
          <w:iCs/>
          <w:sz w:val="20"/>
          <w:szCs w:val="20"/>
        </w:rPr>
        <w:t>56</w:t>
      </w:r>
      <w:r w:rsidRPr="00DA792F">
        <w:rPr>
          <w:sz w:val="20"/>
          <w:szCs w:val="20"/>
        </w:rPr>
        <w:t xml:space="preserve">(1), 6–21. </w:t>
      </w:r>
      <w:hyperlink r:id="rId10" w:history="1">
        <w:r w:rsidRPr="00DA792F">
          <w:rPr>
            <w:rStyle w:val="Hyperlink"/>
            <w:rFonts w:eastAsiaTheme="majorEastAsia"/>
            <w:sz w:val="20"/>
            <w:szCs w:val="20"/>
            <w:lang w:val="en-US"/>
          </w:rPr>
          <w:t>https://doi.org/10.1111/famp.12261</w:t>
        </w:r>
      </w:hyperlink>
      <w:r w:rsidRPr="00DA792F">
        <w:rPr>
          <w:rStyle w:val="url"/>
          <w:rFonts w:eastAsiaTheme="majorEastAsia"/>
          <w:sz w:val="20"/>
          <w:szCs w:val="20"/>
          <w:lang w:val="en-US"/>
        </w:rPr>
        <w:t xml:space="preserve"> </w:t>
      </w:r>
    </w:p>
    <w:p w14:paraId="05BAA68F"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Bagwell-Gray, M. E., Messing, J. T., &amp; Baldwin</w:t>
      </w:r>
      <w:r w:rsidRPr="00DA792F">
        <w:rPr>
          <w:rFonts w:ascii="Cambria Math" w:hAnsi="Cambria Math" w:cs="Cambria Math"/>
          <w:sz w:val="20"/>
          <w:szCs w:val="20"/>
          <w:lang w:val="en-US"/>
        </w:rPr>
        <w:t>‐</w:t>
      </w:r>
      <w:r w:rsidRPr="00DA792F">
        <w:rPr>
          <w:sz w:val="20"/>
          <w:szCs w:val="20"/>
          <w:lang w:val="en-US"/>
        </w:rPr>
        <w:t xml:space="preserve">White, A. (2015). Intimate partner sexual violence. </w:t>
      </w:r>
      <w:r w:rsidRPr="00DA792F">
        <w:rPr>
          <w:i/>
          <w:iCs/>
          <w:sz w:val="20"/>
          <w:szCs w:val="20"/>
          <w:lang w:val="en-US"/>
        </w:rPr>
        <w:t>Trauma, Violence &amp; Abuse</w:t>
      </w:r>
      <w:r w:rsidRPr="00DA792F">
        <w:rPr>
          <w:sz w:val="20"/>
          <w:szCs w:val="20"/>
          <w:lang w:val="en-US"/>
        </w:rPr>
        <w:t xml:space="preserve">, </w:t>
      </w:r>
      <w:r w:rsidRPr="00DA792F">
        <w:rPr>
          <w:i/>
          <w:iCs/>
          <w:sz w:val="20"/>
          <w:szCs w:val="20"/>
          <w:lang w:val="en-US"/>
        </w:rPr>
        <w:t>16</w:t>
      </w:r>
      <w:r w:rsidRPr="00DA792F">
        <w:rPr>
          <w:sz w:val="20"/>
          <w:szCs w:val="20"/>
          <w:lang w:val="en-US"/>
        </w:rPr>
        <w:t xml:space="preserve">(3), 316–335. </w:t>
      </w:r>
      <w:hyperlink r:id="rId11" w:history="1">
        <w:r w:rsidRPr="00DA792F">
          <w:rPr>
            <w:rStyle w:val="Hyperlink"/>
            <w:rFonts w:eastAsiaTheme="majorEastAsia"/>
            <w:sz w:val="20"/>
            <w:szCs w:val="20"/>
            <w:lang w:val="en-US"/>
          </w:rPr>
          <w:t>https://doi.org/10.1177/1524838014557290</w:t>
        </w:r>
      </w:hyperlink>
      <w:r w:rsidRPr="00DA792F">
        <w:rPr>
          <w:rStyle w:val="url"/>
          <w:rFonts w:eastAsiaTheme="majorEastAsia"/>
          <w:sz w:val="20"/>
          <w:szCs w:val="20"/>
          <w:lang w:val="en-US"/>
        </w:rPr>
        <w:t xml:space="preserve"> </w:t>
      </w:r>
    </w:p>
    <w:p w14:paraId="649470B2"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Bakkum, L., Schuengel, C., Foster, S., Fearon, R. M. P., &amp; Duschinsky, R. (2023). Trauma and loss in the Adult Attachment Interview: Situating the unresolved state of mind classification in disciplinary and social context. </w:t>
      </w:r>
      <w:r w:rsidRPr="00DA792F">
        <w:rPr>
          <w:i/>
          <w:iCs/>
          <w:sz w:val="20"/>
          <w:szCs w:val="20"/>
        </w:rPr>
        <w:t>History of the Human Sciences</w:t>
      </w:r>
      <w:r w:rsidRPr="00DA792F">
        <w:rPr>
          <w:sz w:val="20"/>
          <w:szCs w:val="20"/>
        </w:rPr>
        <w:t xml:space="preserve">, </w:t>
      </w:r>
      <w:r w:rsidRPr="00DA792F">
        <w:rPr>
          <w:i/>
          <w:iCs/>
          <w:sz w:val="20"/>
          <w:szCs w:val="20"/>
        </w:rPr>
        <w:t>36</w:t>
      </w:r>
      <w:r w:rsidRPr="00DA792F">
        <w:rPr>
          <w:sz w:val="20"/>
          <w:szCs w:val="20"/>
        </w:rPr>
        <w:t xml:space="preserve">(3–4), 133–157. </w:t>
      </w:r>
      <w:hyperlink r:id="rId12" w:history="1">
        <w:r w:rsidRPr="00DA792F">
          <w:rPr>
            <w:rStyle w:val="Hyperlink"/>
            <w:rFonts w:eastAsiaTheme="majorEastAsia"/>
            <w:sz w:val="20"/>
            <w:szCs w:val="20"/>
          </w:rPr>
          <w:t>https://doi.org/10.1177/09526951221143645</w:t>
        </w:r>
      </w:hyperlink>
      <w:r w:rsidRPr="00DA792F">
        <w:rPr>
          <w:rStyle w:val="url"/>
          <w:rFonts w:eastAsiaTheme="majorEastAsia"/>
          <w:sz w:val="20"/>
          <w:szCs w:val="20"/>
        </w:rPr>
        <w:t xml:space="preserve"> </w:t>
      </w:r>
    </w:p>
    <w:p w14:paraId="2DB4581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Bates, E., Kaye, L., Pennington, C. R., &amp; Hamlin, I. (2018). What about the Male Victims? Exploring the Impact of Gender Stereotyping on Implicit Attitudes and Behavioural Intentions Associated with Intimate Partner Violence. </w:t>
      </w:r>
      <w:r w:rsidRPr="00DA792F">
        <w:rPr>
          <w:i/>
          <w:iCs/>
          <w:sz w:val="20"/>
          <w:szCs w:val="20"/>
          <w:lang w:val="en-US"/>
        </w:rPr>
        <w:t>Sex Roles</w:t>
      </w:r>
      <w:r w:rsidRPr="00DA792F">
        <w:rPr>
          <w:sz w:val="20"/>
          <w:szCs w:val="20"/>
          <w:lang w:val="en-US"/>
        </w:rPr>
        <w:t xml:space="preserve">, </w:t>
      </w:r>
      <w:r w:rsidRPr="00DA792F">
        <w:rPr>
          <w:i/>
          <w:iCs/>
          <w:sz w:val="20"/>
          <w:szCs w:val="20"/>
          <w:lang w:val="en-US"/>
        </w:rPr>
        <w:t>81</w:t>
      </w:r>
      <w:r w:rsidRPr="00DA792F">
        <w:rPr>
          <w:sz w:val="20"/>
          <w:szCs w:val="20"/>
          <w:lang w:val="en-US"/>
        </w:rPr>
        <w:t xml:space="preserve">(1–2), 1–15. </w:t>
      </w:r>
      <w:hyperlink r:id="rId13" w:history="1">
        <w:r w:rsidRPr="00DA792F">
          <w:rPr>
            <w:rStyle w:val="Hyperlink"/>
            <w:rFonts w:eastAsiaTheme="majorEastAsia"/>
            <w:sz w:val="20"/>
            <w:szCs w:val="20"/>
            <w:lang w:val="en-US"/>
          </w:rPr>
          <w:t>https://doi.org/10.1007/s11199-018-0949-x</w:t>
        </w:r>
      </w:hyperlink>
      <w:r w:rsidRPr="00DA792F">
        <w:rPr>
          <w:rStyle w:val="url"/>
          <w:rFonts w:eastAsiaTheme="majorEastAsia"/>
          <w:sz w:val="20"/>
          <w:szCs w:val="20"/>
          <w:lang w:val="en-US"/>
        </w:rPr>
        <w:t xml:space="preserve"> </w:t>
      </w:r>
    </w:p>
    <w:p w14:paraId="7AA38A98"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Black, M. C. (2011). Intimate partner violence and adverse health consequences. </w:t>
      </w:r>
      <w:r w:rsidRPr="00DA792F">
        <w:rPr>
          <w:i/>
          <w:iCs/>
          <w:sz w:val="20"/>
          <w:szCs w:val="20"/>
        </w:rPr>
        <w:t>American Journal of Lifestyle Medicine</w:t>
      </w:r>
      <w:r w:rsidRPr="00DA792F">
        <w:rPr>
          <w:sz w:val="20"/>
          <w:szCs w:val="20"/>
        </w:rPr>
        <w:t xml:space="preserve">, </w:t>
      </w:r>
      <w:r w:rsidRPr="00DA792F">
        <w:rPr>
          <w:i/>
          <w:iCs/>
          <w:sz w:val="20"/>
          <w:szCs w:val="20"/>
        </w:rPr>
        <w:t>5</w:t>
      </w:r>
      <w:r w:rsidRPr="00DA792F">
        <w:rPr>
          <w:sz w:val="20"/>
          <w:szCs w:val="20"/>
        </w:rPr>
        <w:t xml:space="preserve">(5), 428–439. </w:t>
      </w:r>
      <w:hyperlink r:id="rId14" w:history="1">
        <w:r w:rsidRPr="00DA792F">
          <w:rPr>
            <w:rStyle w:val="Hyperlink"/>
            <w:rFonts w:eastAsiaTheme="majorEastAsia"/>
            <w:sz w:val="20"/>
            <w:szCs w:val="20"/>
            <w:lang w:val="en-US"/>
          </w:rPr>
          <w:t>https://doi.org/10.1177/1559827611410265</w:t>
        </w:r>
      </w:hyperlink>
      <w:r w:rsidRPr="00DA792F">
        <w:rPr>
          <w:rStyle w:val="url"/>
          <w:rFonts w:eastAsiaTheme="majorEastAsia"/>
          <w:sz w:val="20"/>
          <w:szCs w:val="20"/>
          <w:lang w:val="en-US"/>
        </w:rPr>
        <w:t xml:space="preserve"> </w:t>
      </w:r>
    </w:p>
    <w:p w14:paraId="6F08E42C"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Jones, N. B., &amp; Bowlby, J. (1970). Attachment and Loss. Vol. I. Attachment. </w:t>
      </w:r>
      <w:r w:rsidRPr="00DA792F">
        <w:rPr>
          <w:i/>
          <w:iCs/>
          <w:sz w:val="20"/>
          <w:szCs w:val="20"/>
        </w:rPr>
        <w:t>Man</w:t>
      </w:r>
      <w:r w:rsidRPr="00DA792F">
        <w:rPr>
          <w:sz w:val="20"/>
          <w:szCs w:val="20"/>
        </w:rPr>
        <w:t xml:space="preserve">, </w:t>
      </w:r>
      <w:r w:rsidRPr="00DA792F">
        <w:rPr>
          <w:i/>
          <w:iCs/>
          <w:sz w:val="20"/>
          <w:szCs w:val="20"/>
        </w:rPr>
        <w:t>5</w:t>
      </w:r>
      <w:r w:rsidRPr="00DA792F">
        <w:rPr>
          <w:sz w:val="20"/>
          <w:szCs w:val="20"/>
        </w:rPr>
        <w:t xml:space="preserve">(3), 523. </w:t>
      </w:r>
      <w:hyperlink r:id="rId15" w:history="1">
        <w:r w:rsidRPr="00DA792F">
          <w:rPr>
            <w:rStyle w:val="Hyperlink"/>
            <w:rFonts w:eastAsiaTheme="majorEastAsia"/>
            <w:sz w:val="20"/>
            <w:szCs w:val="20"/>
          </w:rPr>
          <w:t>https://doi.org/10.2307/2798963</w:t>
        </w:r>
      </w:hyperlink>
      <w:r w:rsidRPr="00DA792F">
        <w:rPr>
          <w:rStyle w:val="url"/>
          <w:rFonts w:eastAsiaTheme="majorEastAsia"/>
          <w:sz w:val="20"/>
          <w:szCs w:val="20"/>
        </w:rPr>
        <w:t xml:space="preserve"> </w:t>
      </w:r>
    </w:p>
    <w:p w14:paraId="43266F09"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Campbell, J. C. (2002). Health consequences of intimate partner violence. </w:t>
      </w:r>
      <w:r w:rsidRPr="00DA792F">
        <w:rPr>
          <w:i/>
          <w:iCs/>
          <w:sz w:val="20"/>
          <w:szCs w:val="20"/>
          <w:lang w:val="en-US"/>
        </w:rPr>
        <w:t>Lancet</w:t>
      </w:r>
      <w:r w:rsidRPr="00DA792F">
        <w:rPr>
          <w:sz w:val="20"/>
          <w:szCs w:val="20"/>
          <w:lang w:val="en-US"/>
        </w:rPr>
        <w:t xml:space="preserve">, </w:t>
      </w:r>
      <w:r w:rsidRPr="00DA792F">
        <w:rPr>
          <w:i/>
          <w:iCs/>
          <w:sz w:val="20"/>
          <w:szCs w:val="20"/>
          <w:lang w:val="en-US"/>
        </w:rPr>
        <w:t>359</w:t>
      </w:r>
      <w:r w:rsidRPr="00DA792F">
        <w:rPr>
          <w:sz w:val="20"/>
          <w:szCs w:val="20"/>
          <w:lang w:val="en-US"/>
        </w:rPr>
        <w:t xml:space="preserve">(9314), 1331–1336. </w:t>
      </w:r>
      <w:hyperlink r:id="rId16" w:history="1">
        <w:r w:rsidRPr="00DA792F">
          <w:rPr>
            <w:rStyle w:val="Hyperlink"/>
            <w:rFonts w:eastAsiaTheme="majorEastAsia"/>
            <w:sz w:val="20"/>
            <w:szCs w:val="20"/>
            <w:lang w:val="en-US"/>
          </w:rPr>
          <w:t>https://doi.org/10.1016/s0140-6736(02)08336-8</w:t>
        </w:r>
      </w:hyperlink>
      <w:r w:rsidRPr="00DA792F">
        <w:rPr>
          <w:rStyle w:val="url"/>
          <w:rFonts w:eastAsiaTheme="majorEastAsia"/>
          <w:sz w:val="20"/>
          <w:szCs w:val="20"/>
          <w:lang w:val="en-US"/>
        </w:rPr>
        <w:t xml:space="preserve"> </w:t>
      </w:r>
    </w:p>
    <w:p w14:paraId="347E7A45"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Capaldi, D. M., Knoble, N. B., Shortt, J. W., &amp; Kim, H. (2012). A Systematic review of risk factors for Intimate partner violence. </w:t>
      </w:r>
      <w:r w:rsidRPr="00DA792F">
        <w:rPr>
          <w:i/>
          <w:iCs/>
          <w:sz w:val="20"/>
          <w:szCs w:val="20"/>
          <w:lang w:val="en-US"/>
        </w:rPr>
        <w:t>Partner Abuse</w:t>
      </w:r>
      <w:r w:rsidRPr="00DA792F">
        <w:rPr>
          <w:sz w:val="20"/>
          <w:szCs w:val="20"/>
          <w:lang w:val="en-US"/>
        </w:rPr>
        <w:t xml:space="preserve">, </w:t>
      </w:r>
      <w:r w:rsidRPr="00DA792F">
        <w:rPr>
          <w:i/>
          <w:iCs/>
          <w:sz w:val="20"/>
          <w:szCs w:val="20"/>
          <w:lang w:val="en-US"/>
        </w:rPr>
        <w:t>3</w:t>
      </w:r>
      <w:r w:rsidRPr="00DA792F">
        <w:rPr>
          <w:sz w:val="20"/>
          <w:szCs w:val="20"/>
          <w:lang w:val="en-US"/>
        </w:rPr>
        <w:t xml:space="preserve">(2), 231–280. </w:t>
      </w:r>
      <w:hyperlink r:id="rId17" w:history="1">
        <w:r w:rsidRPr="00DA792F">
          <w:rPr>
            <w:rStyle w:val="Hyperlink"/>
            <w:rFonts w:eastAsiaTheme="majorEastAsia"/>
            <w:sz w:val="20"/>
            <w:szCs w:val="20"/>
            <w:lang w:val="en-US"/>
          </w:rPr>
          <w:t>https://doi.org/10.1891/1946-6560.3.2.231</w:t>
        </w:r>
      </w:hyperlink>
      <w:r w:rsidRPr="00DA792F">
        <w:rPr>
          <w:rStyle w:val="url"/>
          <w:rFonts w:eastAsiaTheme="majorEastAsia"/>
          <w:sz w:val="20"/>
          <w:szCs w:val="20"/>
          <w:lang w:val="en-US"/>
        </w:rPr>
        <w:t xml:space="preserve"> </w:t>
      </w:r>
    </w:p>
    <w:p w14:paraId="73258646"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3F63A9">
        <w:rPr>
          <w:sz w:val="20"/>
          <w:szCs w:val="20"/>
          <w:lang w:val="it-IT"/>
        </w:rPr>
        <w:t xml:space="preserve">Carlozzi, N. E., &amp; Long, P. J. (2008). </w:t>
      </w:r>
      <w:r w:rsidRPr="00DA792F">
        <w:rPr>
          <w:sz w:val="20"/>
          <w:szCs w:val="20"/>
          <w:lang w:val="en-US"/>
        </w:rPr>
        <w:t xml:space="preserve">Reliability and validity of the SCL-90-R PTSD subscale. </w:t>
      </w:r>
      <w:r w:rsidRPr="00DA792F">
        <w:rPr>
          <w:i/>
          <w:iCs/>
          <w:sz w:val="20"/>
          <w:szCs w:val="20"/>
        </w:rPr>
        <w:t>Journal of Interpersonal Violence</w:t>
      </w:r>
      <w:r w:rsidRPr="00DA792F">
        <w:rPr>
          <w:sz w:val="20"/>
          <w:szCs w:val="20"/>
        </w:rPr>
        <w:t xml:space="preserve">, </w:t>
      </w:r>
      <w:r w:rsidRPr="00DA792F">
        <w:rPr>
          <w:i/>
          <w:iCs/>
          <w:sz w:val="20"/>
          <w:szCs w:val="20"/>
        </w:rPr>
        <w:t>23</w:t>
      </w:r>
      <w:r w:rsidRPr="00DA792F">
        <w:rPr>
          <w:sz w:val="20"/>
          <w:szCs w:val="20"/>
        </w:rPr>
        <w:t xml:space="preserve">(9), 1162–1176. </w:t>
      </w:r>
      <w:hyperlink r:id="rId18" w:history="1">
        <w:r w:rsidRPr="00DA792F">
          <w:rPr>
            <w:rStyle w:val="Hyperlink"/>
            <w:rFonts w:eastAsiaTheme="majorEastAsia"/>
            <w:sz w:val="20"/>
            <w:szCs w:val="20"/>
          </w:rPr>
          <w:t>https://doi.org/10.1177/0886260508314295</w:t>
        </w:r>
      </w:hyperlink>
      <w:r w:rsidRPr="00DA792F">
        <w:rPr>
          <w:rStyle w:val="url"/>
          <w:rFonts w:eastAsiaTheme="majorEastAsia"/>
          <w:sz w:val="20"/>
          <w:szCs w:val="20"/>
        </w:rPr>
        <w:t xml:space="preserve"> </w:t>
      </w:r>
    </w:p>
    <w:p w14:paraId="019D2A23"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Chege, F. N. (2007). Education and Empowerment of Girls against Gender-based Violence. </w:t>
      </w:r>
      <w:r w:rsidRPr="00DA792F">
        <w:rPr>
          <w:i/>
          <w:iCs/>
          <w:sz w:val="20"/>
          <w:szCs w:val="20"/>
        </w:rPr>
        <w:t>Journal of International Cooperation in Education</w:t>
      </w:r>
      <w:r w:rsidRPr="00DA792F">
        <w:rPr>
          <w:sz w:val="20"/>
          <w:szCs w:val="20"/>
        </w:rPr>
        <w:t xml:space="preserve">, </w:t>
      </w:r>
      <w:r w:rsidRPr="00DA792F">
        <w:rPr>
          <w:i/>
          <w:iCs/>
          <w:sz w:val="20"/>
          <w:szCs w:val="20"/>
        </w:rPr>
        <w:t>10</w:t>
      </w:r>
      <w:r w:rsidRPr="00DA792F">
        <w:rPr>
          <w:sz w:val="20"/>
          <w:szCs w:val="20"/>
        </w:rPr>
        <w:t xml:space="preserve">(1), 53–70. </w:t>
      </w:r>
      <w:hyperlink r:id="rId19" w:history="1">
        <w:r w:rsidRPr="00DA792F">
          <w:rPr>
            <w:rStyle w:val="Hyperlink"/>
            <w:rFonts w:eastAsiaTheme="majorEastAsia"/>
            <w:sz w:val="20"/>
            <w:szCs w:val="20"/>
          </w:rPr>
          <w:t>https://doi.org/10.15027/34257</w:t>
        </w:r>
      </w:hyperlink>
      <w:r w:rsidRPr="00DA792F">
        <w:rPr>
          <w:rStyle w:val="url"/>
          <w:rFonts w:eastAsiaTheme="majorEastAsia"/>
          <w:sz w:val="20"/>
          <w:szCs w:val="20"/>
        </w:rPr>
        <w:t xml:space="preserve"> </w:t>
      </w:r>
    </w:p>
    <w:p w14:paraId="05663A30"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Cho, H., Seon, J., Choi, G., An, S., Kwon, I., Choi, Y. J., Hong, S., Lee, J. O., Son, E., &amp; Yun, S. H. (2020). Gender differences in intimate partner violence victimization, Help-Seeking, and outcomes among college students. </w:t>
      </w:r>
      <w:r w:rsidRPr="00DA792F">
        <w:rPr>
          <w:i/>
          <w:iCs/>
          <w:sz w:val="20"/>
          <w:szCs w:val="20"/>
        </w:rPr>
        <w:t>Advances in Social Work</w:t>
      </w:r>
      <w:r w:rsidRPr="00DA792F">
        <w:rPr>
          <w:sz w:val="20"/>
          <w:szCs w:val="20"/>
        </w:rPr>
        <w:t xml:space="preserve">, </w:t>
      </w:r>
      <w:r w:rsidRPr="00DA792F">
        <w:rPr>
          <w:i/>
          <w:iCs/>
          <w:sz w:val="20"/>
          <w:szCs w:val="20"/>
        </w:rPr>
        <w:t>20</w:t>
      </w:r>
      <w:r w:rsidRPr="00DA792F">
        <w:rPr>
          <w:sz w:val="20"/>
          <w:szCs w:val="20"/>
        </w:rPr>
        <w:t xml:space="preserve">(1), 22–44. </w:t>
      </w:r>
      <w:hyperlink r:id="rId20" w:history="1">
        <w:r w:rsidRPr="00DA792F">
          <w:rPr>
            <w:rStyle w:val="Hyperlink"/>
            <w:rFonts w:eastAsiaTheme="majorEastAsia"/>
            <w:sz w:val="20"/>
            <w:szCs w:val="20"/>
          </w:rPr>
          <w:t>https://doi.org/10.18060/23675</w:t>
        </w:r>
      </w:hyperlink>
      <w:r w:rsidRPr="00DA792F">
        <w:rPr>
          <w:rStyle w:val="url"/>
          <w:rFonts w:eastAsiaTheme="majorEastAsia"/>
          <w:sz w:val="20"/>
          <w:szCs w:val="20"/>
        </w:rPr>
        <w:t xml:space="preserve"> </w:t>
      </w:r>
    </w:p>
    <w:p w14:paraId="3DD30321"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Chrisler, J. C., &amp; Ferguson, S. (2006). Violence against Women as a Public Health Issue. </w:t>
      </w:r>
      <w:r w:rsidRPr="00DA792F">
        <w:rPr>
          <w:i/>
          <w:iCs/>
          <w:sz w:val="20"/>
          <w:szCs w:val="20"/>
          <w:lang w:val="en-US"/>
        </w:rPr>
        <w:t>Annals of the New York Academy of Sciences</w:t>
      </w:r>
      <w:r w:rsidRPr="00DA792F">
        <w:rPr>
          <w:sz w:val="20"/>
          <w:szCs w:val="20"/>
          <w:lang w:val="en-US"/>
        </w:rPr>
        <w:t xml:space="preserve">, </w:t>
      </w:r>
      <w:r w:rsidRPr="00DA792F">
        <w:rPr>
          <w:i/>
          <w:iCs/>
          <w:sz w:val="20"/>
          <w:szCs w:val="20"/>
          <w:lang w:val="en-US"/>
        </w:rPr>
        <w:t>1087</w:t>
      </w:r>
      <w:r w:rsidRPr="00DA792F">
        <w:rPr>
          <w:sz w:val="20"/>
          <w:szCs w:val="20"/>
          <w:lang w:val="en-US"/>
        </w:rPr>
        <w:t xml:space="preserve">(1), 235–249. </w:t>
      </w:r>
      <w:hyperlink r:id="rId21" w:history="1">
        <w:r w:rsidRPr="00DA792F">
          <w:rPr>
            <w:rStyle w:val="Hyperlink"/>
            <w:rFonts w:eastAsiaTheme="majorEastAsia"/>
            <w:sz w:val="20"/>
            <w:szCs w:val="20"/>
            <w:lang w:val="en-US"/>
          </w:rPr>
          <w:t>https://doi.org/10.1196/annals.1385.009</w:t>
        </w:r>
      </w:hyperlink>
      <w:r w:rsidRPr="00DA792F">
        <w:rPr>
          <w:rStyle w:val="url"/>
          <w:rFonts w:eastAsiaTheme="majorEastAsia"/>
          <w:sz w:val="20"/>
          <w:szCs w:val="20"/>
          <w:lang w:val="en-US"/>
        </w:rPr>
        <w:t xml:space="preserve"> </w:t>
      </w:r>
    </w:p>
    <w:p w14:paraId="632BD718"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Clevenger, B. J. M., &amp; Roe</w:t>
      </w:r>
      <w:r w:rsidRPr="00DA792F">
        <w:rPr>
          <w:rFonts w:ascii="Cambria Math" w:hAnsi="Cambria Math" w:cs="Cambria Math"/>
          <w:sz w:val="20"/>
          <w:szCs w:val="20"/>
          <w:lang w:val="en-US"/>
        </w:rPr>
        <w:t>‐</w:t>
      </w:r>
      <w:r w:rsidRPr="00DA792F">
        <w:rPr>
          <w:sz w:val="20"/>
          <w:szCs w:val="20"/>
          <w:lang w:val="en-US"/>
        </w:rPr>
        <w:t xml:space="preserve">Sepowitz, D. (2009). Shelter service utilization of domestic violence victims. </w:t>
      </w:r>
      <w:r w:rsidRPr="00DA792F">
        <w:rPr>
          <w:i/>
          <w:iCs/>
          <w:sz w:val="20"/>
          <w:szCs w:val="20"/>
          <w:lang w:val="en-US"/>
        </w:rPr>
        <w:t>Journal of Human Behavior in the Social Environment</w:t>
      </w:r>
      <w:r w:rsidRPr="00DA792F">
        <w:rPr>
          <w:sz w:val="20"/>
          <w:szCs w:val="20"/>
          <w:lang w:val="en-US"/>
        </w:rPr>
        <w:t xml:space="preserve">, </w:t>
      </w:r>
      <w:r w:rsidRPr="00DA792F">
        <w:rPr>
          <w:i/>
          <w:iCs/>
          <w:sz w:val="20"/>
          <w:szCs w:val="20"/>
          <w:lang w:val="en-US"/>
        </w:rPr>
        <w:t>19</w:t>
      </w:r>
      <w:r w:rsidRPr="00DA792F">
        <w:rPr>
          <w:sz w:val="20"/>
          <w:szCs w:val="20"/>
          <w:lang w:val="en-US"/>
        </w:rPr>
        <w:t xml:space="preserve">(4), 359–374. </w:t>
      </w:r>
      <w:hyperlink r:id="rId22" w:history="1">
        <w:r w:rsidRPr="00DA792F">
          <w:rPr>
            <w:rStyle w:val="Hyperlink"/>
            <w:rFonts w:eastAsiaTheme="majorEastAsia"/>
            <w:sz w:val="20"/>
            <w:szCs w:val="20"/>
            <w:lang w:val="en-US"/>
          </w:rPr>
          <w:t>https://doi.org/10.1080/10911350902787429</w:t>
        </w:r>
      </w:hyperlink>
      <w:r w:rsidRPr="00DA792F">
        <w:rPr>
          <w:rStyle w:val="url"/>
          <w:rFonts w:eastAsiaTheme="majorEastAsia"/>
          <w:sz w:val="20"/>
          <w:szCs w:val="20"/>
          <w:lang w:val="en-US"/>
        </w:rPr>
        <w:t xml:space="preserve"> </w:t>
      </w:r>
    </w:p>
    <w:p w14:paraId="23E7A6F6"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Coker, A. L., Davis, K. E., Arias, I., Desai, S., Sanderson, M., Brandt, H. M., &amp; Smith, P. H. (2002). Physical and mental health effects of intimate partner violence for men and women. </w:t>
      </w:r>
      <w:r w:rsidRPr="00DA792F">
        <w:rPr>
          <w:i/>
          <w:iCs/>
          <w:sz w:val="20"/>
          <w:szCs w:val="20"/>
          <w:lang w:val="en-US"/>
        </w:rPr>
        <w:t>American Journal of Preventive Medicine</w:t>
      </w:r>
      <w:r w:rsidRPr="00DA792F">
        <w:rPr>
          <w:sz w:val="20"/>
          <w:szCs w:val="20"/>
          <w:lang w:val="en-US"/>
        </w:rPr>
        <w:t xml:space="preserve">, </w:t>
      </w:r>
      <w:r w:rsidRPr="00DA792F">
        <w:rPr>
          <w:i/>
          <w:iCs/>
          <w:sz w:val="20"/>
          <w:szCs w:val="20"/>
          <w:lang w:val="en-US"/>
        </w:rPr>
        <w:t>23</w:t>
      </w:r>
      <w:r w:rsidRPr="00DA792F">
        <w:rPr>
          <w:sz w:val="20"/>
          <w:szCs w:val="20"/>
          <w:lang w:val="en-US"/>
        </w:rPr>
        <w:t xml:space="preserve">(4), 260–268. </w:t>
      </w:r>
      <w:hyperlink r:id="rId23" w:history="1">
        <w:r w:rsidRPr="00DA792F">
          <w:rPr>
            <w:rStyle w:val="Hyperlink"/>
            <w:rFonts w:eastAsiaTheme="majorEastAsia"/>
            <w:sz w:val="20"/>
            <w:szCs w:val="20"/>
            <w:lang w:val="en-US"/>
          </w:rPr>
          <w:t>https://doi.org/10.1016/s0749-3797(02)00514-7</w:t>
        </w:r>
      </w:hyperlink>
      <w:r w:rsidRPr="00DA792F">
        <w:rPr>
          <w:rStyle w:val="url"/>
          <w:rFonts w:eastAsiaTheme="majorEastAsia"/>
          <w:sz w:val="20"/>
          <w:szCs w:val="20"/>
          <w:lang w:val="en-US"/>
        </w:rPr>
        <w:t xml:space="preserve"> </w:t>
      </w:r>
    </w:p>
    <w:p w14:paraId="08FCECC9"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3F63A9">
        <w:rPr>
          <w:sz w:val="20"/>
          <w:szCs w:val="20"/>
          <w:lang w:val="it-IT"/>
        </w:rPr>
        <w:t xml:space="preserve">Cortina, L. M., &amp; Kubiak, S. P. (2006). </w:t>
      </w:r>
      <w:r w:rsidRPr="00DA792F">
        <w:rPr>
          <w:sz w:val="20"/>
          <w:szCs w:val="20"/>
          <w:lang w:val="en-US"/>
        </w:rPr>
        <w:t xml:space="preserve">Gender and posttraumatic stress: Sexual violence as an explanation for women’s increased risk. </w:t>
      </w:r>
      <w:r w:rsidRPr="00DA792F">
        <w:rPr>
          <w:i/>
          <w:iCs/>
          <w:sz w:val="20"/>
          <w:szCs w:val="20"/>
        </w:rPr>
        <w:t>Journal of Abnormal Psychology</w:t>
      </w:r>
      <w:r w:rsidRPr="00DA792F">
        <w:rPr>
          <w:sz w:val="20"/>
          <w:szCs w:val="20"/>
        </w:rPr>
        <w:t xml:space="preserve">, </w:t>
      </w:r>
      <w:r w:rsidRPr="00DA792F">
        <w:rPr>
          <w:i/>
          <w:iCs/>
          <w:sz w:val="20"/>
          <w:szCs w:val="20"/>
        </w:rPr>
        <w:t>115</w:t>
      </w:r>
      <w:r w:rsidRPr="00DA792F">
        <w:rPr>
          <w:sz w:val="20"/>
          <w:szCs w:val="20"/>
        </w:rPr>
        <w:t xml:space="preserve">(4), 753–759. </w:t>
      </w:r>
      <w:hyperlink r:id="rId24" w:history="1">
        <w:r w:rsidRPr="00DA792F">
          <w:rPr>
            <w:rStyle w:val="Hyperlink"/>
            <w:rFonts w:eastAsiaTheme="majorEastAsia"/>
            <w:sz w:val="20"/>
            <w:szCs w:val="20"/>
          </w:rPr>
          <w:t>https://doi.org/10.1037/0021-843x.115.4.753</w:t>
        </w:r>
      </w:hyperlink>
      <w:r w:rsidRPr="00DA792F">
        <w:rPr>
          <w:rStyle w:val="url"/>
          <w:rFonts w:eastAsiaTheme="majorEastAsia"/>
          <w:sz w:val="20"/>
          <w:szCs w:val="20"/>
        </w:rPr>
        <w:t xml:space="preserve"> </w:t>
      </w:r>
    </w:p>
    <w:p w14:paraId="6A147E15"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Cunha, O., &amp; Gonçalves, R. A. (2013). Intimate partner violence offenders: Generating a data-based typology of batterers and implications for treatment. </w:t>
      </w:r>
      <w:r w:rsidRPr="00DA792F">
        <w:rPr>
          <w:i/>
          <w:iCs/>
          <w:sz w:val="20"/>
          <w:szCs w:val="20"/>
          <w:lang w:val="en-US"/>
        </w:rPr>
        <w:t>the European Journal of Psychology Applied to Legal Context</w:t>
      </w:r>
      <w:r w:rsidRPr="00DA792F">
        <w:rPr>
          <w:sz w:val="20"/>
          <w:szCs w:val="20"/>
          <w:lang w:val="en-US"/>
        </w:rPr>
        <w:t xml:space="preserve">, </w:t>
      </w:r>
      <w:r w:rsidRPr="00DA792F">
        <w:rPr>
          <w:i/>
          <w:iCs/>
          <w:sz w:val="20"/>
          <w:szCs w:val="20"/>
          <w:lang w:val="en-US"/>
        </w:rPr>
        <w:t>5</w:t>
      </w:r>
      <w:r w:rsidRPr="00DA792F">
        <w:rPr>
          <w:sz w:val="20"/>
          <w:szCs w:val="20"/>
          <w:lang w:val="en-US"/>
        </w:rPr>
        <w:t xml:space="preserve">(2), 131–139. </w:t>
      </w:r>
      <w:hyperlink r:id="rId25" w:history="1">
        <w:r w:rsidRPr="00DA792F">
          <w:rPr>
            <w:rStyle w:val="Hyperlink"/>
            <w:rFonts w:eastAsiaTheme="majorEastAsia"/>
            <w:sz w:val="20"/>
            <w:szCs w:val="20"/>
            <w:lang w:val="en-US"/>
          </w:rPr>
          <w:t>https://doi.org/10.5093/ejpalc2013a2</w:t>
        </w:r>
      </w:hyperlink>
      <w:r w:rsidRPr="00DA792F">
        <w:rPr>
          <w:rStyle w:val="url"/>
          <w:rFonts w:eastAsiaTheme="majorEastAsia"/>
          <w:sz w:val="20"/>
          <w:szCs w:val="20"/>
          <w:lang w:val="en-US"/>
        </w:rPr>
        <w:t xml:space="preserve"> </w:t>
      </w:r>
    </w:p>
    <w:p w14:paraId="2F35EC22"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Dong, M., Anda, R. F., Felitti, V. J., Dube, S. R., Williamson, D. F., Thompson, T., Loo, C. M., &amp; Giles, W. H. (2004). The interrelatedness of multiple forms of childhood abuse, neglect, and household dysfunction. </w:t>
      </w:r>
      <w:r w:rsidRPr="00DA792F">
        <w:rPr>
          <w:i/>
          <w:iCs/>
          <w:sz w:val="20"/>
          <w:szCs w:val="20"/>
        </w:rPr>
        <w:t>Child Abuse &amp; Neglect</w:t>
      </w:r>
      <w:r w:rsidRPr="00DA792F">
        <w:rPr>
          <w:sz w:val="20"/>
          <w:szCs w:val="20"/>
        </w:rPr>
        <w:t xml:space="preserve">, </w:t>
      </w:r>
      <w:r w:rsidRPr="00DA792F">
        <w:rPr>
          <w:i/>
          <w:iCs/>
          <w:sz w:val="20"/>
          <w:szCs w:val="20"/>
        </w:rPr>
        <w:t>28</w:t>
      </w:r>
      <w:r w:rsidRPr="00DA792F">
        <w:rPr>
          <w:sz w:val="20"/>
          <w:szCs w:val="20"/>
        </w:rPr>
        <w:t xml:space="preserve">(7), 771–784. </w:t>
      </w:r>
      <w:hyperlink r:id="rId26" w:history="1">
        <w:r w:rsidRPr="00DA792F">
          <w:rPr>
            <w:rStyle w:val="Hyperlink"/>
            <w:rFonts w:eastAsiaTheme="majorEastAsia"/>
            <w:sz w:val="20"/>
            <w:szCs w:val="20"/>
          </w:rPr>
          <w:t>https://doi.org/10.1016/j.chiabu.2004.01.008</w:t>
        </w:r>
      </w:hyperlink>
      <w:r w:rsidRPr="00DA792F">
        <w:rPr>
          <w:rStyle w:val="url"/>
          <w:rFonts w:eastAsiaTheme="majorEastAsia"/>
          <w:sz w:val="20"/>
          <w:szCs w:val="20"/>
        </w:rPr>
        <w:t xml:space="preserve"> </w:t>
      </w:r>
    </w:p>
    <w:p w14:paraId="42B09B89"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Drill, R., Nakash, O., DeFife, J. A., &amp; Westen, D. (2015). Assessment of clinical information. </w:t>
      </w:r>
      <w:r w:rsidRPr="00DA792F">
        <w:rPr>
          <w:rFonts w:ascii="Aptos" w:hAnsi="Aptos" w:cs="Aptos"/>
          <w:i/>
          <w:iCs/>
          <w:sz w:val="20"/>
          <w:szCs w:val="20"/>
        </w:rPr>
        <w:t></w:t>
      </w:r>
      <w:r w:rsidRPr="00DA792F">
        <w:rPr>
          <w:i/>
          <w:iCs/>
          <w:sz w:val="20"/>
          <w:szCs w:val="20"/>
          <w:lang w:val="en-US"/>
        </w:rPr>
        <w:t xml:space="preserve">the </w:t>
      </w:r>
      <w:r w:rsidRPr="00DA792F">
        <w:rPr>
          <w:rFonts w:ascii="Aptos" w:hAnsi="Aptos" w:cs="Aptos"/>
          <w:i/>
          <w:iCs/>
          <w:sz w:val="20"/>
          <w:szCs w:val="20"/>
        </w:rPr>
        <w:t></w:t>
      </w:r>
      <w:r w:rsidRPr="00DA792F">
        <w:rPr>
          <w:i/>
          <w:iCs/>
          <w:sz w:val="20"/>
          <w:szCs w:val="20"/>
          <w:lang w:val="en-US"/>
        </w:rPr>
        <w:t>Journal of Nervous and Mental Disease</w:t>
      </w:r>
      <w:r w:rsidRPr="00DA792F">
        <w:rPr>
          <w:sz w:val="20"/>
          <w:szCs w:val="20"/>
          <w:lang w:val="en-US"/>
        </w:rPr>
        <w:t xml:space="preserve">, </w:t>
      </w:r>
      <w:r w:rsidRPr="00DA792F">
        <w:rPr>
          <w:i/>
          <w:iCs/>
          <w:sz w:val="20"/>
          <w:szCs w:val="20"/>
          <w:lang w:val="en-US"/>
        </w:rPr>
        <w:t>203</w:t>
      </w:r>
      <w:r w:rsidRPr="00DA792F">
        <w:rPr>
          <w:sz w:val="20"/>
          <w:szCs w:val="20"/>
          <w:lang w:val="en-US"/>
        </w:rPr>
        <w:t xml:space="preserve">(6), 459–462. </w:t>
      </w:r>
      <w:hyperlink r:id="rId27" w:history="1">
        <w:r w:rsidRPr="00DA792F">
          <w:rPr>
            <w:rStyle w:val="Hyperlink"/>
            <w:rFonts w:eastAsiaTheme="majorEastAsia"/>
            <w:sz w:val="20"/>
            <w:szCs w:val="20"/>
            <w:lang w:val="en-US"/>
          </w:rPr>
          <w:t>https://doi.org/10.1097/nmd.0000000000000300</w:t>
        </w:r>
      </w:hyperlink>
      <w:r w:rsidRPr="00DA792F">
        <w:rPr>
          <w:rStyle w:val="url"/>
          <w:rFonts w:eastAsiaTheme="majorEastAsia"/>
          <w:sz w:val="20"/>
          <w:szCs w:val="20"/>
          <w:lang w:val="en-US"/>
        </w:rPr>
        <w:t xml:space="preserve"> </w:t>
      </w:r>
    </w:p>
    <w:p w14:paraId="0C4B9FAE"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Dutton, D. G., &amp; White, K. (2012b). Attachment insecurity and intimate partner violence. </w:t>
      </w:r>
      <w:r w:rsidRPr="00DA792F">
        <w:rPr>
          <w:i/>
          <w:iCs/>
          <w:sz w:val="20"/>
          <w:szCs w:val="20"/>
        </w:rPr>
        <w:t>Aggression and Violent Behavior</w:t>
      </w:r>
      <w:r w:rsidRPr="00DA792F">
        <w:rPr>
          <w:sz w:val="20"/>
          <w:szCs w:val="20"/>
        </w:rPr>
        <w:t xml:space="preserve">, </w:t>
      </w:r>
      <w:r w:rsidRPr="00DA792F">
        <w:rPr>
          <w:i/>
          <w:iCs/>
          <w:sz w:val="20"/>
          <w:szCs w:val="20"/>
        </w:rPr>
        <w:t>17</w:t>
      </w:r>
      <w:r w:rsidRPr="00DA792F">
        <w:rPr>
          <w:sz w:val="20"/>
          <w:szCs w:val="20"/>
        </w:rPr>
        <w:t xml:space="preserve">(5), 475–481. </w:t>
      </w:r>
      <w:hyperlink r:id="rId28" w:history="1">
        <w:r w:rsidRPr="00DA792F">
          <w:rPr>
            <w:rStyle w:val="Hyperlink"/>
            <w:rFonts w:eastAsiaTheme="majorEastAsia"/>
            <w:sz w:val="20"/>
            <w:szCs w:val="20"/>
            <w:lang w:val="en-US"/>
          </w:rPr>
          <w:t>https://doi.org/10.1016/j.avb.2012.07.003</w:t>
        </w:r>
      </w:hyperlink>
      <w:r w:rsidRPr="00DA792F">
        <w:rPr>
          <w:rStyle w:val="url"/>
          <w:rFonts w:eastAsiaTheme="majorEastAsia"/>
          <w:sz w:val="20"/>
          <w:szCs w:val="20"/>
          <w:lang w:val="en-US"/>
        </w:rPr>
        <w:t xml:space="preserve"> </w:t>
      </w:r>
    </w:p>
    <w:p w14:paraId="4C397F92"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Ellsberg, M., Jansen, H. a. F. M., Heise, L., Watts, C., &amp; García</w:t>
      </w:r>
      <w:r w:rsidRPr="00DA792F">
        <w:rPr>
          <w:rFonts w:ascii="Cambria Math" w:hAnsi="Cambria Math" w:cs="Cambria Math"/>
          <w:sz w:val="20"/>
          <w:szCs w:val="20"/>
          <w:lang w:val="en-US"/>
        </w:rPr>
        <w:t>‐</w:t>
      </w:r>
      <w:r w:rsidRPr="00DA792F">
        <w:rPr>
          <w:sz w:val="20"/>
          <w:szCs w:val="20"/>
          <w:lang w:val="en-US"/>
        </w:rPr>
        <w:t>Moreno, C. (2008). Intimate partner violence and women</w:t>
      </w:r>
      <w:r w:rsidRPr="00DA792F">
        <w:rPr>
          <w:rFonts w:ascii="Aptos" w:hAnsi="Aptos" w:cs="Aptos"/>
          <w:sz w:val="20"/>
          <w:szCs w:val="20"/>
          <w:lang w:val="en-US"/>
        </w:rPr>
        <w:t>’</w:t>
      </w:r>
      <w:r w:rsidRPr="00DA792F">
        <w:rPr>
          <w:sz w:val="20"/>
          <w:szCs w:val="20"/>
          <w:lang w:val="en-US"/>
        </w:rPr>
        <w:t>s physical and mental health in the WHO multi-country study on women</w:t>
      </w:r>
      <w:r w:rsidRPr="00DA792F">
        <w:rPr>
          <w:rFonts w:ascii="Aptos" w:hAnsi="Aptos" w:cs="Aptos"/>
          <w:sz w:val="20"/>
          <w:szCs w:val="20"/>
          <w:lang w:val="en-US"/>
        </w:rPr>
        <w:t>’</w:t>
      </w:r>
      <w:r w:rsidRPr="00DA792F">
        <w:rPr>
          <w:sz w:val="20"/>
          <w:szCs w:val="20"/>
          <w:lang w:val="en-US"/>
        </w:rPr>
        <w:t xml:space="preserve">s health and domestic violence: an observational study. </w:t>
      </w:r>
      <w:r w:rsidRPr="00DA792F">
        <w:rPr>
          <w:i/>
          <w:iCs/>
          <w:sz w:val="20"/>
          <w:szCs w:val="20"/>
          <w:lang w:val="en-US"/>
        </w:rPr>
        <w:t>Lancet</w:t>
      </w:r>
      <w:r w:rsidRPr="00DA792F">
        <w:rPr>
          <w:sz w:val="20"/>
          <w:szCs w:val="20"/>
          <w:lang w:val="en-US"/>
        </w:rPr>
        <w:t xml:space="preserve">, </w:t>
      </w:r>
      <w:r w:rsidRPr="00DA792F">
        <w:rPr>
          <w:i/>
          <w:iCs/>
          <w:sz w:val="20"/>
          <w:szCs w:val="20"/>
          <w:lang w:val="en-US"/>
        </w:rPr>
        <w:t>371</w:t>
      </w:r>
      <w:r w:rsidRPr="00DA792F">
        <w:rPr>
          <w:sz w:val="20"/>
          <w:szCs w:val="20"/>
          <w:lang w:val="en-US"/>
        </w:rPr>
        <w:t xml:space="preserve">(9619), 1165–1172. </w:t>
      </w:r>
      <w:hyperlink r:id="rId29" w:history="1">
        <w:r w:rsidRPr="00DA792F">
          <w:rPr>
            <w:rStyle w:val="Hyperlink"/>
            <w:rFonts w:eastAsiaTheme="majorEastAsia"/>
            <w:sz w:val="20"/>
            <w:szCs w:val="20"/>
            <w:lang w:val="en-US"/>
          </w:rPr>
          <w:t>https://doi.org/10.1016/s0140-6736(08)60522-x</w:t>
        </w:r>
      </w:hyperlink>
      <w:r w:rsidRPr="00DA792F">
        <w:rPr>
          <w:rStyle w:val="url"/>
          <w:rFonts w:eastAsiaTheme="majorEastAsia"/>
          <w:sz w:val="20"/>
          <w:szCs w:val="20"/>
          <w:lang w:val="en-US"/>
        </w:rPr>
        <w:t xml:space="preserve"> </w:t>
      </w:r>
    </w:p>
    <w:p w14:paraId="54DFE811"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3F63A9">
        <w:rPr>
          <w:sz w:val="20"/>
          <w:szCs w:val="20"/>
          <w:lang w:val="it-IT"/>
        </w:rPr>
        <w:t>Fernández</w:t>
      </w:r>
      <w:r w:rsidRPr="003F63A9">
        <w:rPr>
          <w:rFonts w:ascii="Cambria Math" w:hAnsi="Cambria Math" w:cs="Cambria Math"/>
          <w:sz w:val="20"/>
          <w:szCs w:val="20"/>
          <w:lang w:val="it-IT"/>
        </w:rPr>
        <w:t>‐</w:t>
      </w:r>
      <w:r w:rsidRPr="003F63A9">
        <w:rPr>
          <w:sz w:val="20"/>
          <w:szCs w:val="20"/>
          <w:lang w:val="it-IT"/>
        </w:rPr>
        <w:t>Gonz</w:t>
      </w:r>
      <w:r w:rsidRPr="003F63A9">
        <w:rPr>
          <w:rFonts w:ascii="Aptos" w:hAnsi="Aptos" w:cs="Aptos"/>
          <w:sz w:val="20"/>
          <w:szCs w:val="20"/>
          <w:lang w:val="it-IT"/>
        </w:rPr>
        <w:t>á</w:t>
      </w:r>
      <w:r w:rsidRPr="003F63A9">
        <w:rPr>
          <w:sz w:val="20"/>
          <w:szCs w:val="20"/>
          <w:lang w:val="it-IT"/>
        </w:rPr>
        <w:t xml:space="preserve">lez, L., Calvete, E., Orue, I., &amp; Mauri, A. (2018). </w:t>
      </w:r>
      <w:r w:rsidRPr="00DA792F">
        <w:rPr>
          <w:sz w:val="20"/>
          <w:szCs w:val="20"/>
          <w:lang w:val="en-US"/>
        </w:rPr>
        <w:t xml:space="preserve">Victims of domestic violence in shelters: Impacts on women and children. </w:t>
      </w:r>
      <w:r w:rsidRPr="00DA792F">
        <w:rPr>
          <w:i/>
          <w:iCs/>
          <w:sz w:val="20"/>
          <w:szCs w:val="20"/>
          <w:lang w:val="en-US"/>
        </w:rPr>
        <w:t>the Spanish Journal of Psychology</w:t>
      </w:r>
      <w:r w:rsidRPr="00DA792F">
        <w:rPr>
          <w:sz w:val="20"/>
          <w:szCs w:val="20"/>
          <w:lang w:val="en-US"/>
        </w:rPr>
        <w:t xml:space="preserve">, </w:t>
      </w:r>
      <w:r w:rsidRPr="00DA792F">
        <w:rPr>
          <w:i/>
          <w:iCs/>
          <w:sz w:val="20"/>
          <w:szCs w:val="20"/>
          <w:lang w:val="en-US"/>
        </w:rPr>
        <w:t>21</w:t>
      </w:r>
      <w:r w:rsidRPr="00DA792F">
        <w:rPr>
          <w:sz w:val="20"/>
          <w:szCs w:val="20"/>
          <w:lang w:val="en-US"/>
        </w:rPr>
        <w:t xml:space="preserve">. </w:t>
      </w:r>
      <w:hyperlink r:id="rId30" w:history="1">
        <w:r w:rsidRPr="00DA792F">
          <w:rPr>
            <w:rStyle w:val="Hyperlink"/>
            <w:rFonts w:eastAsiaTheme="majorEastAsia"/>
            <w:sz w:val="20"/>
            <w:szCs w:val="20"/>
            <w:u w:val="none"/>
            <w:lang w:val="en-US"/>
          </w:rPr>
          <w:t>https://doi.org/10.1017/sjp.2018.21</w:t>
        </w:r>
      </w:hyperlink>
      <w:r w:rsidRPr="00DA792F">
        <w:rPr>
          <w:rStyle w:val="url"/>
          <w:rFonts w:eastAsiaTheme="majorEastAsia"/>
          <w:sz w:val="20"/>
          <w:szCs w:val="20"/>
          <w:lang w:val="en-US"/>
        </w:rPr>
        <w:t xml:space="preserve"> </w:t>
      </w:r>
    </w:p>
    <w:p w14:paraId="2CD6C0D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Finkelhor, D., Ormrod, R., &amp; Turner, H. A. (2007). Poly-victimization: A neglected component in child victimization. </w:t>
      </w:r>
      <w:r w:rsidRPr="00DA792F">
        <w:rPr>
          <w:i/>
          <w:iCs/>
          <w:sz w:val="20"/>
          <w:szCs w:val="20"/>
        </w:rPr>
        <w:t>Child Abuse &amp; Neglect</w:t>
      </w:r>
      <w:r w:rsidRPr="00DA792F">
        <w:rPr>
          <w:sz w:val="20"/>
          <w:szCs w:val="20"/>
        </w:rPr>
        <w:t xml:space="preserve">, </w:t>
      </w:r>
      <w:r w:rsidRPr="00DA792F">
        <w:rPr>
          <w:i/>
          <w:iCs/>
          <w:sz w:val="20"/>
          <w:szCs w:val="20"/>
        </w:rPr>
        <w:t>31</w:t>
      </w:r>
      <w:r w:rsidRPr="00DA792F">
        <w:rPr>
          <w:sz w:val="20"/>
          <w:szCs w:val="20"/>
        </w:rPr>
        <w:t xml:space="preserve">(1), 7–26. </w:t>
      </w:r>
      <w:hyperlink r:id="rId31" w:history="1">
        <w:r w:rsidRPr="00DA792F">
          <w:rPr>
            <w:rStyle w:val="Hyperlink"/>
            <w:rFonts w:eastAsiaTheme="majorEastAsia"/>
            <w:sz w:val="20"/>
            <w:szCs w:val="20"/>
            <w:lang w:val="en-US"/>
          </w:rPr>
          <w:t>https://doi.org/10.1016/j.chiabu.2006.06.008</w:t>
        </w:r>
      </w:hyperlink>
      <w:r w:rsidRPr="00DA792F">
        <w:rPr>
          <w:rStyle w:val="url"/>
          <w:rFonts w:eastAsiaTheme="majorEastAsia"/>
          <w:sz w:val="20"/>
          <w:szCs w:val="20"/>
          <w:lang w:val="en-US"/>
        </w:rPr>
        <w:t xml:space="preserve"> </w:t>
      </w:r>
    </w:p>
    <w:p w14:paraId="45B020AA"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Fonagy, P., Luyten, P., &amp; Strathearn, L. (2011). Borderline personality disorder, mentalization, and the neurobiology of attachment. </w:t>
      </w:r>
      <w:r w:rsidRPr="00DA792F">
        <w:rPr>
          <w:i/>
          <w:iCs/>
          <w:sz w:val="20"/>
          <w:szCs w:val="20"/>
        </w:rPr>
        <w:t>Infant Mental Health Journal</w:t>
      </w:r>
      <w:r w:rsidRPr="00DA792F">
        <w:rPr>
          <w:sz w:val="20"/>
          <w:szCs w:val="20"/>
        </w:rPr>
        <w:t xml:space="preserve">, </w:t>
      </w:r>
      <w:r w:rsidRPr="00DA792F">
        <w:rPr>
          <w:i/>
          <w:iCs/>
          <w:sz w:val="20"/>
          <w:szCs w:val="20"/>
        </w:rPr>
        <w:t>32</w:t>
      </w:r>
      <w:r w:rsidRPr="00DA792F">
        <w:rPr>
          <w:sz w:val="20"/>
          <w:szCs w:val="20"/>
        </w:rPr>
        <w:t xml:space="preserve">(1), 47–69. </w:t>
      </w:r>
      <w:hyperlink r:id="rId32" w:history="1">
        <w:r w:rsidRPr="00DA792F">
          <w:rPr>
            <w:rStyle w:val="Hyperlink"/>
            <w:rFonts w:eastAsiaTheme="majorEastAsia"/>
            <w:sz w:val="20"/>
            <w:szCs w:val="20"/>
            <w:lang w:val="en-US"/>
          </w:rPr>
          <w:t>https://doi.org/10.1002/imhj.20283</w:t>
        </w:r>
      </w:hyperlink>
      <w:r w:rsidRPr="00DA792F">
        <w:rPr>
          <w:rStyle w:val="url"/>
          <w:rFonts w:eastAsiaTheme="majorEastAsia"/>
          <w:sz w:val="20"/>
          <w:szCs w:val="20"/>
          <w:lang w:val="en-US"/>
        </w:rPr>
        <w:t xml:space="preserve"> </w:t>
      </w:r>
    </w:p>
    <w:p w14:paraId="10E1F49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Fonagy, P., Steele, M., Steele, H., Moran, G. S., &amp; Higgitt, A. C. (1991). The capacity for understanding mental states: the reflective self in parent and child and its significance for security of attachment. </w:t>
      </w:r>
      <w:r w:rsidRPr="00DA792F">
        <w:rPr>
          <w:i/>
          <w:iCs/>
          <w:sz w:val="20"/>
          <w:szCs w:val="20"/>
          <w:lang w:val="en-US"/>
        </w:rPr>
        <w:t>Infant Mental Health Journal</w:t>
      </w:r>
      <w:r w:rsidRPr="00DA792F">
        <w:rPr>
          <w:sz w:val="20"/>
          <w:szCs w:val="20"/>
          <w:lang w:val="en-US"/>
        </w:rPr>
        <w:t xml:space="preserve">, </w:t>
      </w:r>
      <w:r w:rsidRPr="00DA792F">
        <w:rPr>
          <w:i/>
          <w:iCs/>
          <w:sz w:val="20"/>
          <w:szCs w:val="20"/>
          <w:lang w:val="en-US"/>
        </w:rPr>
        <w:t>12</w:t>
      </w:r>
      <w:r w:rsidRPr="00DA792F">
        <w:rPr>
          <w:sz w:val="20"/>
          <w:szCs w:val="20"/>
          <w:lang w:val="en-US"/>
        </w:rPr>
        <w:t xml:space="preserve">(3), 201–218. </w:t>
      </w:r>
      <w:hyperlink r:id="rId33" w:history="1">
        <w:r w:rsidRPr="00DA792F">
          <w:rPr>
            <w:rStyle w:val="Hyperlink"/>
            <w:rFonts w:eastAsiaTheme="majorEastAsia"/>
            <w:sz w:val="20"/>
            <w:szCs w:val="20"/>
            <w:lang w:val="en-US"/>
          </w:rPr>
          <w:t>https://psycnet.apa.org/doi/10.1002/1097-0355(199123)12:3%3C201::AID-IMHJ2280120307%3E3.0.CO;2-7</w:t>
        </w:r>
      </w:hyperlink>
      <w:r w:rsidRPr="00DA792F">
        <w:rPr>
          <w:rStyle w:val="url"/>
          <w:rFonts w:eastAsiaTheme="majorEastAsia"/>
          <w:sz w:val="20"/>
          <w:szCs w:val="20"/>
          <w:lang w:val="en-US"/>
        </w:rPr>
        <w:t xml:space="preserve"> </w:t>
      </w:r>
    </w:p>
    <w:p w14:paraId="4770649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Gagliardini, G., &amp; Colli, A. (2019). Assessing mentalization: Development and preliminary validation of the Modes of Mentalization Scale. </w:t>
      </w:r>
      <w:r w:rsidRPr="00DA792F">
        <w:rPr>
          <w:i/>
          <w:iCs/>
          <w:sz w:val="20"/>
          <w:szCs w:val="20"/>
        </w:rPr>
        <w:t>Psychoanalytic Psychology</w:t>
      </w:r>
      <w:r w:rsidRPr="00DA792F">
        <w:rPr>
          <w:sz w:val="20"/>
          <w:szCs w:val="20"/>
        </w:rPr>
        <w:t xml:space="preserve">, </w:t>
      </w:r>
      <w:r w:rsidRPr="00DA792F">
        <w:rPr>
          <w:i/>
          <w:iCs/>
          <w:sz w:val="20"/>
          <w:szCs w:val="20"/>
        </w:rPr>
        <w:t>36</w:t>
      </w:r>
      <w:r w:rsidRPr="00DA792F">
        <w:rPr>
          <w:sz w:val="20"/>
          <w:szCs w:val="20"/>
        </w:rPr>
        <w:t xml:space="preserve">(3), 249–258. </w:t>
      </w:r>
      <w:hyperlink r:id="rId34" w:history="1">
        <w:r w:rsidRPr="00DA792F">
          <w:rPr>
            <w:rStyle w:val="Hyperlink"/>
            <w:rFonts w:eastAsiaTheme="majorEastAsia"/>
            <w:sz w:val="20"/>
            <w:szCs w:val="20"/>
          </w:rPr>
          <w:t>https://doi.org/10.1037/pap0000222</w:t>
        </w:r>
      </w:hyperlink>
      <w:r w:rsidRPr="00DA792F">
        <w:rPr>
          <w:rStyle w:val="url"/>
          <w:rFonts w:eastAsiaTheme="majorEastAsia"/>
          <w:sz w:val="20"/>
          <w:szCs w:val="20"/>
        </w:rPr>
        <w:t xml:space="preserve"> </w:t>
      </w:r>
    </w:p>
    <w:p w14:paraId="3DCF2595"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García</w:t>
      </w:r>
      <w:r w:rsidRPr="00DA792F">
        <w:rPr>
          <w:rFonts w:ascii="Cambria Math" w:hAnsi="Cambria Math" w:cs="Cambria Math"/>
          <w:sz w:val="20"/>
          <w:szCs w:val="20"/>
          <w:lang w:val="en-US"/>
        </w:rPr>
        <w:t>‐</w:t>
      </w:r>
      <w:r w:rsidRPr="00DA792F">
        <w:rPr>
          <w:sz w:val="20"/>
          <w:szCs w:val="20"/>
          <w:lang w:val="en-US"/>
        </w:rPr>
        <w:t xml:space="preserve">Moreno, C., Jansen, H. a. F. M., Ellsberg, M., Heise, L., &amp; Watts, C. (2006). Prevalence of intimate partner violence: findings from the WHO multi-country study on women’s health and domestic violence. </w:t>
      </w:r>
      <w:r w:rsidRPr="00DA792F">
        <w:rPr>
          <w:i/>
          <w:iCs/>
          <w:sz w:val="20"/>
          <w:szCs w:val="20"/>
          <w:lang w:val="en-US"/>
        </w:rPr>
        <w:t>Lancet</w:t>
      </w:r>
      <w:r w:rsidRPr="00DA792F">
        <w:rPr>
          <w:sz w:val="20"/>
          <w:szCs w:val="20"/>
          <w:lang w:val="en-US"/>
        </w:rPr>
        <w:t xml:space="preserve">, </w:t>
      </w:r>
      <w:r w:rsidRPr="00DA792F">
        <w:rPr>
          <w:i/>
          <w:iCs/>
          <w:sz w:val="20"/>
          <w:szCs w:val="20"/>
          <w:lang w:val="en-US"/>
        </w:rPr>
        <w:t>368</w:t>
      </w:r>
      <w:r w:rsidRPr="00DA792F">
        <w:rPr>
          <w:sz w:val="20"/>
          <w:szCs w:val="20"/>
          <w:lang w:val="en-US"/>
        </w:rPr>
        <w:t xml:space="preserve">(9543), 1260–1269. </w:t>
      </w:r>
      <w:hyperlink r:id="rId35" w:history="1">
        <w:r w:rsidRPr="00DA792F">
          <w:rPr>
            <w:rStyle w:val="Hyperlink"/>
            <w:rFonts w:eastAsiaTheme="majorEastAsia"/>
            <w:sz w:val="20"/>
            <w:szCs w:val="20"/>
            <w:lang w:val="en-US"/>
          </w:rPr>
          <w:t>https://doi.org/10.1016/s0140-6736(06)69523-8</w:t>
        </w:r>
      </w:hyperlink>
      <w:r w:rsidRPr="00DA792F">
        <w:rPr>
          <w:rStyle w:val="url"/>
          <w:rFonts w:eastAsiaTheme="majorEastAsia"/>
          <w:sz w:val="20"/>
          <w:szCs w:val="20"/>
          <w:lang w:val="en-US"/>
        </w:rPr>
        <w:t xml:space="preserve"> </w:t>
      </w:r>
    </w:p>
    <w:p w14:paraId="4EE19839"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Gibbs, A., Jewkes, R., Willan, S., &amp; Washington, L. (2018). Associations between poverty, mental health and substance use, gender power, and intimate partner violence amongst young (18-30) women and men in urban informal settlements in South Africa: A cross-sectional study and structural equation model. </w:t>
      </w:r>
      <w:r w:rsidRPr="00DA792F">
        <w:rPr>
          <w:i/>
          <w:iCs/>
          <w:sz w:val="20"/>
          <w:szCs w:val="20"/>
          <w:lang w:val="en-US"/>
        </w:rPr>
        <w:t>PloS One</w:t>
      </w:r>
      <w:r w:rsidRPr="00DA792F">
        <w:rPr>
          <w:sz w:val="20"/>
          <w:szCs w:val="20"/>
          <w:lang w:val="en-US"/>
        </w:rPr>
        <w:t xml:space="preserve">, </w:t>
      </w:r>
      <w:r w:rsidRPr="00DA792F">
        <w:rPr>
          <w:i/>
          <w:iCs/>
          <w:sz w:val="20"/>
          <w:szCs w:val="20"/>
          <w:lang w:val="en-US"/>
        </w:rPr>
        <w:t>13</w:t>
      </w:r>
      <w:r w:rsidRPr="00DA792F">
        <w:rPr>
          <w:sz w:val="20"/>
          <w:szCs w:val="20"/>
          <w:lang w:val="en-US"/>
        </w:rPr>
        <w:t xml:space="preserve">(10), e0204956. </w:t>
      </w:r>
      <w:hyperlink r:id="rId36" w:history="1">
        <w:r w:rsidRPr="00DA792F">
          <w:rPr>
            <w:rStyle w:val="Hyperlink"/>
            <w:rFonts w:eastAsiaTheme="majorEastAsia"/>
            <w:sz w:val="20"/>
            <w:szCs w:val="20"/>
            <w:lang w:val="en-US"/>
          </w:rPr>
          <w:t>https://doi.org/10.1371/journal.pone.0204956</w:t>
        </w:r>
      </w:hyperlink>
      <w:r w:rsidRPr="00DA792F">
        <w:rPr>
          <w:rStyle w:val="url"/>
          <w:rFonts w:eastAsiaTheme="majorEastAsia"/>
          <w:sz w:val="20"/>
          <w:szCs w:val="20"/>
          <w:lang w:val="en-US"/>
        </w:rPr>
        <w:t xml:space="preserve"> </w:t>
      </w:r>
    </w:p>
    <w:p w14:paraId="3F99AD68"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Godbout, N., Vaillancourt</w:t>
      </w:r>
      <w:r w:rsidRPr="00DA792F">
        <w:rPr>
          <w:rFonts w:ascii="Cambria Math" w:hAnsi="Cambria Math" w:cs="Cambria Math"/>
          <w:sz w:val="20"/>
          <w:szCs w:val="20"/>
          <w:lang w:val="en-US"/>
        </w:rPr>
        <w:t>‐</w:t>
      </w:r>
      <w:r w:rsidRPr="00DA792F">
        <w:rPr>
          <w:sz w:val="20"/>
          <w:szCs w:val="20"/>
          <w:lang w:val="en-US"/>
        </w:rPr>
        <w:t>Morel, M., Bigras, N., Briere, J., H</w:t>
      </w:r>
      <w:r w:rsidRPr="00DA792F">
        <w:rPr>
          <w:rFonts w:ascii="Aptos" w:hAnsi="Aptos" w:cs="Aptos"/>
          <w:sz w:val="20"/>
          <w:szCs w:val="20"/>
          <w:lang w:val="en-US"/>
        </w:rPr>
        <w:t>é</w:t>
      </w:r>
      <w:r w:rsidRPr="00DA792F">
        <w:rPr>
          <w:sz w:val="20"/>
          <w:szCs w:val="20"/>
          <w:lang w:val="en-US"/>
        </w:rPr>
        <w:t xml:space="preserve">bert, M., Runtz, M., &amp; Sabourin, S. (2017). Intimate Partner Violence in Male Survivors of Child Maltreatment: A Meta-Analysis. </w:t>
      </w:r>
      <w:r w:rsidRPr="00DA792F">
        <w:rPr>
          <w:i/>
          <w:iCs/>
          <w:sz w:val="20"/>
          <w:szCs w:val="20"/>
        </w:rPr>
        <w:t>Trauma, Violence &amp; Abuse</w:t>
      </w:r>
      <w:r w:rsidRPr="00DA792F">
        <w:rPr>
          <w:sz w:val="20"/>
          <w:szCs w:val="20"/>
        </w:rPr>
        <w:t xml:space="preserve">, </w:t>
      </w:r>
      <w:r w:rsidRPr="00DA792F">
        <w:rPr>
          <w:i/>
          <w:iCs/>
          <w:sz w:val="20"/>
          <w:szCs w:val="20"/>
        </w:rPr>
        <w:t>20</w:t>
      </w:r>
      <w:r w:rsidRPr="00DA792F">
        <w:rPr>
          <w:sz w:val="20"/>
          <w:szCs w:val="20"/>
        </w:rPr>
        <w:t xml:space="preserve">(1), 99–113. </w:t>
      </w:r>
      <w:hyperlink r:id="rId37" w:history="1">
        <w:r w:rsidRPr="00DA792F">
          <w:rPr>
            <w:rStyle w:val="Hyperlink"/>
            <w:rFonts w:eastAsiaTheme="majorEastAsia"/>
            <w:sz w:val="20"/>
            <w:szCs w:val="20"/>
            <w:lang w:val="en-US"/>
          </w:rPr>
          <w:t>https://doi.org/10.1177/1524838017692382</w:t>
        </w:r>
      </w:hyperlink>
      <w:r w:rsidRPr="00DA792F">
        <w:rPr>
          <w:rStyle w:val="url"/>
          <w:rFonts w:eastAsiaTheme="majorEastAsia"/>
          <w:sz w:val="20"/>
          <w:szCs w:val="20"/>
          <w:lang w:val="en-US"/>
        </w:rPr>
        <w:t xml:space="preserve"> </w:t>
      </w:r>
    </w:p>
    <w:p w14:paraId="059E3B70"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Green, B. L., Kaltman, S., Chung, J., Holt, M., Jackson, S., &amp; Dozier, M. (2012). Attachment and Health Care Relationships in Low-Income Women with Trauma Histories: A Qualitative Study. </w:t>
      </w:r>
      <w:r w:rsidRPr="00DA792F">
        <w:rPr>
          <w:i/>
          <w:iCs/>
          <w:sz w:val="20"/>
          <w:szCs w:val="20"/>
        </w:rPr>
        <w:t>Journal of Trauma &amp; Dissociation</w:t>
      </w:r>
      <w:r w:rsidRPr="00DA792F">
        <w:rPr>
          <w:sz w:val="20"/>
          <w:szCs w:val="20"/>
        </w:rPr>
        <w:t xml:space="preserve">, </w:t>
      </w:r>
      <w:r w:rsidRPr="00DA792F">
        <w:rPr>
          <w:i/>
          <w:iCs/>
          <w:sz w:val="20"/>
          <w:szCs w:val="20"/>
        </w:rPr>
        <w:t>13</w:t>
      </w:r>
      <w:r w:rsidRPr="00DA792F">
        <w:rPr>
          <w:sz w:val="20"/>
          <w:szCs w:val="20"/>
        </w:rPr>
        <w:t xml:space="preserve">(2), 190–208. </w:t>
      </w:r>
      <w:hyperlink r:id="rId38" w:history="1">
        <w:r w:rsidRPr="00DA792F">
          <w:rPr>
            <w:rStyle w:val="Hyperlink"/>
            <w:rFonts w:eastAsiaTheme="majorEastAsia"/>
            <w:sz w:val="20"/>
            <w:szCs w:val="20"/>
          </w:rPr>
          <w:t>https://doi.org/10.1080/15299732.2012.642761</w:t>
        </w:r>
      </w:hyperlink>
      <w:r w:rsidRPr="00DA792F">
        <w:rPr>
          <w:rStyle w:val="url"/>
          <w:rFonts w:eastAsiaTheme="majorEastAsia"/>
          <w:sz w:val="20"/>
          <w:szCs w:val="20"/>
        </w:rPr>
        <w:t xml:space="preserve"> </w:t>
      </w:r>
    </w:p>
    <w:p w14:paraId="225AE432"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Grych, J. H., &amp; Hamby, S. (2014). Advancing the measurement of violence: Challenges and opportunities. </w:t>
      </w:r>
      <w:r w:rsidRPr="00DA792F">
        <w:rPr>
          <w:i/>
          <w:iCs/>
          <w:sz w:val="20"/>
          <w:szCs w:val="20"/>
        </w:rPr>
        <w:t>Psychology of Violence</w:t>
      </w:r>
      <w:r w:rsidRPr="00DA792F">
        <w:rPr>
          <w:sz w:val="20"/>
          <w:szCs w:val="20"/>
        </w:rPr>
        <w:t xml:space="preserve">, </w:t>
      </w:r>
      <w:r w:rsidRPr="00DA792F">
        <w:rPr>
          <w:i/>
          <w:iCs/>
          <w:sz w:val="20"/>
          <w:szCs w:val="20"/>
        </w:rPr>
        <w:t>4</w:t>
      </w:r>
      <w:r w:rsidRPr="00DA792F">
        <w:rPr>
          <w:sz w:val="20"/>
          <w:szCs w:val="20"/>
        </w:rPr>
        <w:t xml:space="preserve">(4), 363–368. </w:t>
      </w:r>
      <w:hyperlink r:id="rId39" w:history="1">
        <w:r w:rsidRPr="00DA792F">
          <w:rPr>
            <w:rStyle w:val="Hyperlink"/>
            <w:rFonts w:eastAsiaTheme="majorEastAsia"/>
            <w:sz w:val="20"/>
            <w:szCs w:val="20"/>
            <w:lang w:val="en-US"/>
          </w:rPr>
          <w:t>https://doi.org/10.1037/a0037886</w:t>
        </w:r>
      </w:hyperlink>
      <w:r w:rsidRPr="00DA792F">
        <w:rPr>
          <w:rStyle w:val="url"/>
          <w:rFonts w:eastAsiaTheme="majorEastAsia"/>
          <w:sz w:val="20"/>
          <w:szCs w:val="20"/>
          <w:lang w:val="en-US"/>
        </w:rPr>
        <w:t xml:space="preserve"> </w:t>
      </w:r>
    </w:p>
    <w:p w14:paraId="13F127F6"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Itzin, C., Bailey, S. M., &amp; Bentovim, A. (2008). The effects of domestic violence and sexual abuse on mental health. </w:t>
      </w:r>
      <w:r w:rsidRPr="00DA792F">
        <w:rPr>
          <w:i/>
          <w:iCs/>
          <w:sz w:val="20"/>
          <w:szCs w:val="20"/>
          <w:lang w:val="en-US"/>
        </w:rPr>
        <w:t>Psychiatric Bulletin of the Royal College of Psychiatrists/Psychiatric Bulletin</w:t>
      </w:r>
      <w:r w:rsidRPr="00DA792F">
        <w:rPr>
          <w:sz w:val="20"/>
          <w:szCs w:val="20"/>
          <w:lang w:val="en-US"/>
        </w:rPr>
        <w:t xml:space="preserve">, </w:t>
      </w:r>
      <w:r w:rsidRPr="00DA792F">
        <w:rPr>
          <w:i/>
          <w:iCs/>
          <w:sz w:val="20"/>
          <w:szCs w:val="20"/>
          <w:lang w:val="en-US"/>
        </w:rPr>
        <w:t>32</w:t>
      </w:r>
      <w:r w:rsidRPr="00DA792F">
        <w:rPr>
          <w:sz w:val="20"/>
          <w:szCs w:val="20"/>
          <w:lang w:val="en-US"/>
        </w:rPr>
        <w:t xml:space="preserve">(12), 448–450. </w:t>
      </w:r>
      <w:hyperlink r:id="rId40" w:history="1">
        <w:r w:rsidRPr="00DA792F">
          <w:rPr>
            <w:rStyle w:val="Hyperlink"/>
            <w:rFonts w:eastAsiaTheme="majorEastAsia"/>
            <w:sz w:val="20"/>
            <w:szCs w:val="20"/>
            <w:lang w:val="en-US"/>
          </w:rPr>
          <w:t>https://doi.org/10.1192/pb.bp.107.018804</w:t>
        </w:r>
      </w:hyperlink>
      <w:r w:rsidRPr="00DA792F">
        <w:rPr>
          <w:rStyle w:val="url"/>
          <w:rFonts w:eastAsiaTheme="majorEastAsia"/>
          <w:sz w:val="20"/>
          <w:szCs w:val="20"/>
          <w:lang w:val="en-US"/>
        </w:rPr>
        <w:t xml:space="preserve"> </w:t>
      </w:r>
    </w:p>
    <w:p w14:paraId="2596BB05"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Iyengar, U., Kim, S., Martinez, S. R., Fonagy, P., &amp; Strathearn, L. (2014). Unresolved trauma in mothers: intergenerational effects and the role of reorganization. </w:t>
      </w:r>
      <w:r w:rsidRPr="00DA792F">
        <w:rPr>
          <w:i/>
          <w:iCs/>
          <w:sz w:val="20"/>
          <w:szCs w:val="20"/>
        </w:rPr>
        <w:t>Frontiers in Psychology</w:t>
      </w:r>
      <w:r w:rsidRPr="00DA792F">
        <w:rPr>
          <w:sz w:val="20"/>
          <w:szCs w:val="20"/>
        </w:rPr>
        <w:t xml:space="preserve">, </w:t>
      </w:r>
      <w:r w:rsidRPr="00DA792F">
        <w:rPr>
          <w:i/>
          <w:iCs/>
          <w:sz w:val="20"/>
          <w:szCs w:val="20"/>
        </w:rPr>
        <w:t>5</w:t>
      </w:r>
      <w:r w:rsidRPr="00DA792F">
        <w:rPr>
          <w:sz w:val="20"/>
          <w:szCs w:val="20"/>
        </w:rPr>
        <w:t xml:space="preserve">. </w:t>
      </w:r>
      <w:hyperlink r:id="rId41" w:history="1">
        <w:r w:rsidRPr="00DA792F">
          <w:rPr>
            <w:rStyle w:val="Hyperlink"/>
            <w:rFonts w:eastAsiaTheme="majorEastAsia"/>
            <w:sz w:val="20"/>
            <w:szCs w:val="20"/>
          </w:rPr>
          <w:t>https://doi.org/10.3389/fpsyg.2014.00966</w:t>
        </w:r>
      </w:hyperlink>
      <w:r w:rsidRPr="00DA792F">
        <w:rPr>
          <w:rStyle w:val="url"/>
          <w:rFonts w:eastAsiaTheme="majorEastAsia"/>
          <w:sz w:val="20"/>
          <w:szCs w:val="20"/>
        </w:rPr>
        <w:t xml:space="preserve"> </w:t>
      </w:r>
    </w:p>
    <w:p w14:paraId="22918091" w14:textId="394AA59C"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Iverson, K. M., Gradus, J. L., Resick, P. A., Suvak, M. K., Smith, K., &amp; Monson, C. M. (2011). Cognitive–behavioral therapy for PTSD and depression symptoms reduces </w:t>
      </w:r>
      <w:r w:rsidR="008720F5">
        <w:rPr>
          <w:sz w:val="20"/>
          <w:szCs w:val="20"/>
          <w:lang w:val="en-US"/>
        </w:rPr>
        <w:t xml:space="preserve">the </w:t>
      </w:r>
      <w:r w:rsidRPr="00DA792F">
        <w:rPr>
          <w:sz w:val="20"/>
          <w:szCs w:val="20"/>
          <w:lang w:val="en-US"/>
        </w:rPr>
        <w:t xml:space="preserve">risk for future intimate partner violence among interpersonal trauma survivors. </w:t>
      </w:r>
      <w:r w:rsidRPr="00DA792F">
        <w:rPr>
          <w:i/>
          <w:iCs/>
          <w:sz w:val="20"/>
          <w:szCs w:val="20"/>
        </w:rPr>
        <w:t>Journal of Consulting and Clinical Psychology</w:t>
      </w:r>
      <w:r w:rsidRPr="00DA792F">
        <w:rPr>
          <w:sz w:val="20"/>
          <w:szCs w:val="20"/>
        </w:rPr>
        <w:t xml:space="preserve">, </w:t>
      </w:r>
      <w:r w:rsidRPr="00DA792F">
        <w:rPr>
          <w:i/>
          <w:iCs/>
          <w:sz w:val="20"/>
          <w:szCs w:val="20"/>
        </w:rPr>
        <w:t>79</w:t>
      </w:r>
      <w:r w:rsidRPr="00DA792F">
        <w:rPr>
          <w:sz w:val="20"/>
          <w:szCs w:val="20"/>
        </w:rPr>
        <w:t xml:space="preserve">(2), 193–202. </w:t>
      </w:r>
      <w:hyperlink r:id="rId42" w:history="1">
        <w:r w:rsidRPr="00DA792F">
          <w:rPr>
            <w:rStyle w:val="Hyperlink"/>
            <w:rFonts w:eastAsiaTheme="majorEastAsia"/>
            <w:sz w:val="20"/>
            <w:szCs w:val="20"/>
          </w:rPr>
          <w:t>https://doi.org/10.1037/a0022512</w:t>
        </w:r>
      </w:hyperlink>
    </w:p>
    <w:p w14:paraId="42FDF4AC"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Jewkes, R. (2002). Intimate partner violence: causes and prevention. </w:t>
      </w:r>
      <w:r w:rsidRPr="00DA792F">
        <w:rPr>
          <w:i/>
          <w:iCs/>
          <w:sz w:val="20"/>
          <w:szCs w:val="20"/>
          <w:lang w:val="en-US"/>
        </w:rPr>
        <w:t>Lancet</w:t>
      </w:r>
      <w:r w:rsidRPr="00DA792F">
        <w:rPr>
          <w:sz w:val="20"/>
          <w:szCs w:val="20"/>
          <w:lang w:val="en-US"/>
        </w:rPr>
        <w:t xml:space="preserve">, </w:t>
      </w:r>
      <w:r w:rsidRPr="00DA792F">
        <w:rPr>
          <w:i/>
          <w:iCs/>
          <w:sz w:val="20"/>
          <w:szCs w:val="20"/>
          <w:lang w:val="en-US"/>
        </w:rPr>
        <w:t>359</w:t>
      </w:r>
      <w:r w:rsidRPr="00DA792F">
        <w:rPr>
          <w:sz w:val="20"/>
          <w:szCs w:val="20"/>
          <w:lang w:val="en-US"/>
        </w:rPr>
        <w:t xml:space="preserve">(9315), 1423–1429. </w:t>
      </w:r>
      <w:hyperlink r:id="rId43" w:history="1">
        <w:r w:rsidRPr="00DA792F">
          <w:rPr>
            <w:rStyle w:val="Hyperlink"/>
            <w:rFonts w:eastAsiaTheme="majorEastAsia"/>
            <w:sz w:val="20"/>
            <w:szCs w:val="20"/>
            <w:lang w:val="en-US"/>
          </w:rPr>
          <w:t>https://doi.org/10.1016/s0140-6736(02)08357-5</w:t>
        </w:r>
      </w:hyperlink>
      <w:r w:rsidRPr="00DA792F">
        <w:rPr>
          <w:rStyle w:val="url"/>
          <w:rFonts w:eastAsiaTheme="majorEastAsia"/>
          <w:sz w:val="20"/>
          <w:szCs w:val="20"/>
          <w:lang w:val="en-US"/>
        </w:rPr>
        <w:t xml:space="preserve"> </w:t>
      </w:r>
    </w:p>
    <w:p w14:paraId="23A03497"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Harding, H. G., Jackson, J. L., Burns, E. E., &amp; Baker, B. D. (2013). Attachment Style and Early Maladaptive Schemas as Mediators of the Relationship between Childhood Emotional Abuse and Intimate Partner Violence. </w:t>
      </w:r>
      <w:r w:rsidRPr="00DA792F">
        <w:rPr>
          <w:i/>
          <w:iCs/>
          <w:sz w:val="20"/>
          <w:szCs w:val="20"/>
          <w:lang w:val="en-US"/>
        </w:rPr>
        <w:t>Journal of Aggression, Maltreatment &amp; Trauma</w:t>
      </w:r>
      <w:r w:rsidRPr="00DA792F">
        <w:rPr>
          <w:sz w:val="20"/>
          <w:szCs w:val="20"/>
          <w:lang w:val="en-US"/>
        </w:rPr>
        <w:t xml:space="preserve">, </w:t>
      </w:r>
      <w:r w:rsidRPr="00DA792F">
        <w:rPr>
          <w:i/>
          <w:iCs/>
          <w:sz w:val="20"/>
          <w:szCs w:val="20"/>
          <w:lang w:val="en-US"/>
        </w:rPr>
        <w:t>22</w:t>
      </w:r>
      <w:r w:rsidRPr="00DA792F">
        <w:rPr>
          <w:sz w:val="20"/>
          <w:szCs w:val="20"/>
          <w:lang w:val="en-US"/>
        </w:rPr>
        <w:t xml:space="preserve">(4), 408–424. </w:t>
      </w:r>
      <w:hyperlink r:id="rId44" w:history="1">
        <w:r w:rsidRPr="00DA792F">
          <w:rPr>
            <w:rStyle w:val="Hyperlink"/>
            <w:rFonts w:eastAsiaTheme="majorEastAsia"/>
            <w:sz w:val="20"/>
            <w:szCs w:val="20"/>
            <w:lang w:val="en-US"/>
          </w:rPr>
          <w:t>https://doi.org/10.1080/10926771.2013.775982</w:t>
        </w:r>
      </w:hyperlink>
      <w:r w:rsidRPr="00DA792F">
        <w:rPr>
          <w:rStyle w:val="url"/>
          <w:rFonts w:eastAsiaTheme="majorEastAsia"/>
          <w:sz w:val="20"/>
          <w:szCs w:val="20"/>
          <w:lang w:val="en-US"/>
        </w:rPr>
        <w:t xml:space="preserve"> </w:t>
      </w:r>
    </w:p>
    <w:p w14:paraId="540E50FB"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Henderson, A. R., Bartholomew, K., Trinke, S. J., &amp; Kwong, M. J. (2005). When loving means hurting: an exploration of attachment and intimate abuse in a community sample. </w:t>
      </w:r>
      <w:r w:rsidRPr="00DA792F">
        <w:rPr>
          <w:i/>
          <w:iCs/>
          <w:sz w:val="20"/>
          <w:szCs w:val="20"/>
        </w:rPr>
        <w:t>Journal of Family Violence</w:t>
      </w:r>
      <w:r w:rsidRPr="00DA792F">
        <w:rPr>
          <w:sz w:val="20"/>
          <w:szCs w:val="20"/>
        </w:rPr>
        <w:t xml:space="preserve">, </w:t>
      </w:r>
      <w:r w:rsidRPr="00DA792F">
        <w:rPr>
          <w:i/>
          <w:iCs/>
          <w:sz w:val="20"/>
          <w:szCs w:val="20"/>
        </w:rPr>
        <w:t>20</w:t>
      </w:r>
      <w:r w:rsidRPr="00DA792F">
        <w:rPr>
          <w:sz w:val="20"/>
          <w:szCs w:val="20"/>
        </w:rPr>
        <w:t xml:space="preserve">(4). </w:t>
      </w:r>
      <w:hyperlink r:id="rId45" w:history="1">
        <w:r w:rsidRPr="00DA792F">
          <w:rPr>
            <w:rStyle w:val="Hyperlink"/>
            <w:rFonts w:eastAsiaTheme="majorEastAsia"/>
            <w:sz w:val="20"/>
            <w:szCs w:val="20"/>
            <w:lang w:val="en-US"/>
          </w:rPr>
          <w:t>https://doi.org/10.1007/s10896-005-5985-y</w:t>
        </w:r>
      </w:hyperlink>
      <w:r w:rsidRPr="00DA792F">
        <w:rPr>
          <w:rStyle w:val="url"/>
          <w:rFonts w:eastAsiaTheme="majorEastAsia"/>
          <w:sz w:val="20"/>
          <w:szCs w:val="20"/>
          <w:lang w:val="en-US"/>
        </w:rPr>
        <w:t xml:space="preserve"> </w:t>
      </w:r>
    </w:p>
    <w:p w14:paraId="44459C01"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Howard, L., Oram, S., Trevillion, K., &amp; Feder, G. (2013). 829 – Domestic violence and mental disorders. </w:t>
      </w:r>
      <w:r w:rsidRPr="00DA792F">
        <w:rPr>
          <w:i/>
          <w:iCs/>
          <w:sz w:val="20"/>
          <w:szCs w:val="20"/>
          <w:lang w:val="en-US"/>
        </w:rPr>
        <w:t>European Psychiatry</w:t>
      </w:r>
      <w:r w:rsidRPr="00DA792F">
        <w:rPr>
          <w:sz w:val="20"/>
          <w:szCs w:val="20"/>
          <w:lang w:val="en-US"/>
        </w:rPr>
        <w:t xml:space="preserve">, </w:t>
      </w:r>
      <w:r w:rsidRPr="00DA792F">
        <w:rPr>
          <w:i/>
          <w:iCs/>
          <w:sz w:val="20"/>
          <w:szCs w:val="20"/>
          <w:lang w:val="en-US"/>
        </w:rPr>
        <w:t>28</w:t>
      </w:r>
      <w:r w:rsidRPr="00DA792F">
        <w:rPr>
          <w:sz w:val="20"/>
          <w:szCs w:val="20"/>
          <w:lang w:val="en-US"/>
        </w:rPr>
        <w:t xml:space="preserve">, 1. </w:t>
      </w:r>
      <w:hyperlink r:id="rId46" w:history="1">
        <w:r w:rsidRPr="00DA792F">
          <w:rPr>
            <w:rStyle w:val="Hyperlink"/>
            <w:rFonts w:eastAsiaTheme="majorEastAsia"/>
            <w:sz w:val="20"/>
            <w:szCs w:val="20"/>
            <w:lang w:val="en-US"/>
          </w:rPr>
          <w:t>https://doi.org/10.1016/s0924-9338(13)76004-8</w:t>
        </w:r>
      </w:hyperlink>
      <w:r w:rsidRPr="00DA792F">
        <w:rPr>
          <w:rStyle w:val="url"/>
          <w:rFonts w:eastAsiaTheme="majorEastAsia"/>
          <w:sz w:val="20"/>
          <w:szCs w:val="20"/>
          <w:lang w:val="en-US"/>
        </w:rPr>
        <w:t xml:space="preserve"> </w:t>
      </w:r>
    </w:p>
    <w:p w14:paraId="3D7E9EA4"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Kelly, J. B., &amp; Johnson, M. P. (2008). DIFFERENTIATION AMONG TYPES OF INTIMATE PARTNER VIOLENCE: RESEARCH UPDATE AND IMPLICATIONS FOR INTERVENTIONS. </w:t>
      </w:r>
      <w:r w:rsidRPr="00DA792F">
        <w:rPr>
          <w:i/>
          <w:iCs/>
          <w:sz w:val="20"/>
          <w:szCs w:val="20"/>
          <w:lang w:val="en-US"/>
        </w:rPr>
        <w:t>Family Court Review</w:t>
      </w:r>
      <w:r w:rsidRPr="00DA792F">
        <w:rPr>
          <w:sz w:val="20"/>
          <w:szCs w:val="20"/>
          <w:lang w:val="en-US"/>
        </w:rPr>
        <w:t xml:space="preserve">, </w:t>
      </w:r>
      <w:r w:rsidRPr="00DA792F">
        <w:rPr>
          <w:i/>
          <w:iCs/>
          <w:sz w:val="20"/>
          <w:szCs w:val="20"/>
          <w:lang w:val="en-US"/>
        </w:rPr>
        <w:t>46</w:t>
      </w:r>
      <w:r w:rsidRPr="00DA792F">
        <w:rPr>
          <w:sz w:val="20"/>
          <w:szCs w:val="20"/>
          <w:lang w:val="en-US"/>
        </w:rPr>
        <w:t xml:space="preserve">(3), 476–499. </w:t>
      </w:r>
      <w:hyperlink r:id="rId47" w:history="1">
        <w:r w:rsidRPr="00DA792F">
          <w:rPr>
            <w:rStyle w:val="Hyperlink"/>
            <w:rFonts w:eastAsiaTheme="majorEastAsia"/>
            <w:sz w:val="20"/>
            <w:szCs w:val="20"/>
            <w:lang w:val="en-US"/>
          </w:rPr>
          <w:t>https://doi.org/10.1111/j.1744-1617.2008.00215.x</w:t>
        </w:r>
      </w:hyperlink>
      <w:r w:rsidRPr="00DA792F">
        <w:rPr>
          <w:rStyle w:val="url"/>
          <w:rFonts w:eastAsiaTheme="majorEastAsia"/>
          <w:sz w:val="20"/>
          <w:szCs w:val="20"/>
          <w:lang w:val="en-US"/>
        </w:rPr>
        <w:t xml:space="preserve"> </w:t>
      </w:r>
    </w:p>
    <w:p w14:paraId="3D98CFF9" w14:textId="07D6CED9"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Kuijpers, K. F., Van Der Knaap, L., &amp; Lodewijks, I. a. J. (2011). Victims’ Influence on Intimate Partner Violence Revictimization: A Systematic Review of Prospective </w:t>
      </w:r>
      <w:r w:rsidR="008720F5">
        <w:rPr>
          <w:sz w:val="20"/>
          <w:szCs w:val="20"/>
          <w:lang w:val="en-US"/>
        </w:rPr>
        <w:t>Evidence</w:t>
      </w:r>
      <w:r w:rsidRPr="00DA792F">
        <w:rPr>
          <w:sz w:val="20"/>
          <w:szCs w:val="20"/>
          <w:lang w:val="en-US"/>
        </w:rPr>
        <w:t xml:space="preserve">. </w:t>
      </w:r>
      <w:r w:rsidRPr="00DA792F">
        <w:rPr>
          <w:i/>
          <w:iCs/>
          <w:sz w:val="20"/>
          <w:szCs w:val="20"/>
        </w:rPr>
        <w:t>Trauma, Violence &amp; Abuse</w:t>
      </w:r>
      <w:r w:rsidRPr="00DA792F">
        <w:rPr>
          <w:sz w:val="20"/>
          <w:szCs w:val="20"/>
        </w:rPr>
        <w:t xml:space="preserve">, </w:t>
      </w:r>
      <w:r w:rsidRPr="00DA792F">
        <w:rPr>
          <w:i/>
          <w:iCs/>
          <w:sz w:val="20"/>
          <w:szCs w:val="20"/>
        </w:rPr>
        <w:t>12</w:t>
      </w:r>
      <w:r w:rsidRPr="00DA792F">
        <w:rPr>
          <w:sz w:val="20"/>
          <w:szCs w:val="20"/>
        </w:rPr>
        <w:t xml:space="preserve">(4), 198–219. </w:t>
      </w:r>
      <w:hyperlink r:id="rId48" w:history="1">
        <w:r w:rsidRPr="00DA792F">
          <w:rPr>
            <w:rStyle w:val="Hyperlink"/>
            <w:rFonts w:eastAsiaTheme="majorEastAsia"/>
            <w:sz w:val="20"/>
            <w:szCs w:val="20"/>
          </w:rPr>
          <w:t>https://doi.org/10.1177/1524838011416378</w:t>
        </w:r>
      </w:hyperlink>
      <w:r w:rsidRPr="00DA792F">
        <w:rPr>
          <w:rStyle w:val="url"/>
          <w:rFonts w:eastAsiaTheme="majorEastAsia"/>
          <w:sz w:val="20"/>
          <w:szCs w:val="20"/>
        </w:rPr>
        <w:t xml:space="preserve"> </w:t>
      </w:r>
    </w:p>
    <w:p w14:paraId="2A6F477E"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Lansford, J. E., Skinner, A. T., Sorbring, E., Di Giunta, L., Deater</w:t>
      </w:r>
      <w:r w:rsidRPr="00DA792F">
        <w:rPr>
          <w:rFonts w:ascii="Cambria Math" w:hAnsi="Cambria Math" w:cs="Cambria Math"/>
          <w:sz w:val="20"/>
          <w:szCs w:val="20"/>
          <w:lang w:val="en-US"/>
        </w:rPr>
        <w:t>‐</w:t>
      </w:r>
      <w:r w:rsidRPr="00DA792F">
        <w:rPr>
          <w:sz w:val="20"/>
          <w:szCs w:val="20"/>
          <w:lang w:val="en-US"/>
        </w:rPr>
        <w:t>Deckard, K., Dodge, K. A., Malone, P. S., Oburu, P., Pastorelli, C., Tapanya, S., Tirado, L. M. U., Zelli, A., Al</w:t>
      </w:r>
      <w:r w:rsidRPr="00DA792F">
        <w:rPr>
          <w:rFonts w:ascii="Cambria Math" w:hAnsi="Cambria Math" w:cs="Cambria Math"/>
          <w:sz w:val="20"/>
          <w:szCs w:val="20"/>
          <w:lang w:val="en-US"/>
        </w:rPr>
        <w:t>‐</w:t>
      </w:r>
      <w:r w:rsidRPr="00DA792F">
        <w:rPr>
          <w:sz w:val="20"/>
          <w:szCs w:val="20"/>
          <w:lang w:val="en-US"/>
        </w:rPr>
        <w:t xml:space="preserve">Hassan, S. M., Alampay, L. P., Bacchini, D., Bombi, A. S., Bornstein, M. H., &amp; Chang, L. (2012). Boys’ and girls’ relational and physical aggression in nine countries. </w:t>
      </w:r>
      <w:r w:rsidRPr="00DA792F">
        <w:rPr>
          <w:i/>
          <w:iCs/>
          <w:sz w:val="20"/>
          <w:szCs w:val="20"/>
          <w:lang w:val="en-US"/>
        </w:rPr>
        <w:t>Aggressive Behavior</w:t>
      </w:r>
      <w:r w:rsidRPr="00DA792F">
        <w:rPr>
          <w:sz w:val="20"/>
          <w:szCs w:val="20"/>
          <w:lang w:val="en-US"/>
        </w:rPr>
        <w:t xml:space="preserve">, </w:t>
      </w:r>
      <w:r w:rsidRPr="00DA792F">
        <w:rPr>
          <w:i/>
          <w:iCs/>
          <w:sz w:val="20"/>
          <w:szCs w:val="20"/>
          <w:lang w:val="en-US"/>
        </w:rPr>
        <w:t>38</w:t>
      </w:r>
      <w:r w:rsidRPr="00DA792F">
        <w:rPr>
          <w:sz w:val="20"/>
          <w:szCs w:val="20"/>
          <w:lang w:val="en-US"/>
        </w:rPr>
        <w:t xml:space="preserve">(4), 298–308. </w:t>
      </w:r>
      <w:hyperlink r:id="rId49" w:history="1">
        <w:r w:rsidRPr="00DA792F">
          <w:rPr>
            <w:rStyle w:val="Hyperlink"/>
            <w:rFonts w:eastAsiaTheme="majorEastAsia"/>
            <w:sz w:val="20"/>
            <w:szCs w:val="20"/>
            <w:lang w:val="en-US"/>
          </w:rPr>
          <w:t>https://doi.org/10.1002/ab.21433</w:t>
        </w:r>
      </w:hyperlink>
    </w:p>
    <w:p w14:paraId="0A1683EB"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Leserman, J., &amp; Drossman, D. A. (2007). Relationship of abuse history to functional gastrointestinal disorders and symptoms. </w:t>
      </w:r>
      <w:r w:rsidRPr="00DA792F">
        <w:rPr>
          <w:i/>
          <w:iCs/>
          <w:sz w:val="20"/>
          <w:szCs w:val="20"/>
        </w:rPr>
        <w:t>Trauma, Violence &amp; Abuse</w:t>
      </w:r>
      <w:r w:rsidRPr="00DA792F">
        <w:rPr>
          <w:sz w:val="20"/>
          <w:szCs w:val="20"/>
        </w:rPr>
        <w:t xml:space="preserve">, </w:t>
      </w:r>
      <w:r w:rsidRPr="00DA792F">
        <w:rPr>
          <w:i/>
          <w:iCs/>
          <w:sz w:val="20"/>
          <w:szCs w:val="20"/>
        </w:rPr>
        <w:t>8</w:t>
      </w:r>
      <w:r w:rsidRPr="00DA792F">
        <w:rPr>
          <w:sz w:val="20"/>
          <w:szCs w:val="20"/>
        </w:rPr>
        <w:t xml:space="preserve">(3), 331–343. </w:t>
      </w:r>
      <w:hyperlink r:id="rId50" w:history="1">
        <w:r w:rsidRPr="00DA792F">
          <w:rPr>
            <w:rStyle w:val="Hyperlink"/>
            <w:rFonts w:eastAsiaTheme="majorEastAsia"/>
            <w:sz w:val="20"/>
            <w:szCs w:val="20"/>
            <w:lang w:val="en-US"/>
          </w:rPr>
          <w:t>https://doi.org/10.1177/1524838007303240</w:t>
        </w:r>
      </w:hyperlink>
      <w:r w:rsidRPr="00DA792F">
        <w:rPr>
          <w:rStyle w:val="url"/>
          <w:rFonts w:eastAsiaTheme="majorEastAsia"/>
          <w:sz w:val="20"/>
          <w:szCs w:val="20"/>
          <w:lang w:val="en-US"/>
        </w:rPr>
        <w:t xml:space="preserve"> </w:t>
      </w:r>
    </w:p>
    <w:p w14:paraId="1CCF8B5D"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Loeber, R., Burke, J. D., &amp; Lahey, B. B. (2002). What are adolescent antecedents to antisocial personality disorder? </w:t>
      </w:r>
      <w:r w:rsidRPr="00DA792F">
        <w:rPr>
          <w:i/>
          <w:iCs/>
          <w:sz w:val="20"/>
          <w:szCs w:val="20"/>
          <w:lang w:val="en-US"/>
        </w:rPr>
        <w:t>Criminal Behaviour and Mental Health/CBMH. Criminal Behaviour and Mental Health</w:t>
      </w:r>
      <w:r w:rsidRPr="00DA792F">
        <w:rPr>
          <w:sz w:val="20"/>
          <w:szCs w:val="20"/>
          <w:lang w:val="en-US"/>
        </w:rPr>
        <w:t xml:space="preserve">, </w:t>
      </w:r>
      <w:r w:rsidRPr="00DA792F">
        <w:rPr>
          <w:i/>
          <w:iCs/>
          <w:sz w:val="20"/>
          <w:szCs w:val="20"/>
          <w:lang w:val="en-US"/>
        </w:rPr>
        <w:t>12</w:t>
      </w:r>
      <w:r w:rsidRPr="00DA792F">
        <w:rPr>
          <w:sz w:val="20"/>
          <w:szCs w:val="20"/>
          <w:lang w:val="en-US"/>
        </w:rPr>
        <w:t xml:space="preserve">(1), 24–36. </w:t>
      </w:r>
      <w:hyperlink r:id="rId51" w:history="1">
        <w:r w:rsidRPr="00DA792F">
          <w:rPr>
            <w:rStyle w:val="Hyperlink"/>
            <w:rFonts w:eastAsiaTheme="majorEastAsia"/>
            <w:sz w:val="20"/>
            <w:szCs w:val="20"/>
            <w:lang w:val="en-US"/>
          </w:rPr>
          <w:t>https://doi.org/10.1002/cbm.484</w:t>
        </w:r>
      </w:hyperlink>
      <w:r w:rsidRPr="00DA792F">
        <w:rPr>
          <w:rStyle w:val="url"/>
          <w:rFonts w:eastAsiaTheme="majorEastAsia"/>
          <w:sz w:val="20"/>
          <w:szCs w:val="20"/>
          <w:lang w:val="en-US"/>
        </w:rPr>
        <w:t xml:space="preserve"> </w:t>
      </w:r>
    </w:p>
    <w:p w14:paraId="61224314" w14:textId="1F071038"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Lyons</w:t>
      </w:r>
      <w:r w:rsidRPr="00DA792F">
        <w:rPr>
          <w:rFonts w:ascii="Cambria Math" w:hAnsi="Cambria Math" w:cs="Cambria Math"/>
          <w:sz w:val="20"/>
          <w:szCs w:val="20"/>
          <w:lang w:val="en-US"/>
        </w:rPr>
        <w:t>‐</w:t>
      </w:r>
      <w:r w:rsidRPr="00DA792F">
        <w:rPr>
          <w:sz w:val="20"/>
          <w:szCs w:val="20"/>
          <w:lang w:val="en-US"/>
        </w:rPr>
        <w:t xml:space="preserve">Ruth, K., Bronfman, E., &amp; Atwood, G. (1999). A Relational diathesis model of hostile-helpless states of mind: Expressions in </w:t>
      </w:r>
      <w:r w:rsidR="008720F5">
        <w:rPr>
          <w:sz w:val="20"/>
          <w:szCs w:val="20"/>
          <w:lang w:val="en-US"/>
        </w:rPr>
        <w:t>mother-infant</w:t>
      </w:r>
      <w:r w:rsidRPr="00DA792F">
        <w:rPr>
          <w:sz w:val="20"/>
          <w:szCs w:val="20"/>
          <w:lang w:val="en-US"/>
        </w:rPr>
        <w:t xml:space="preserve"> interaction. </w:t>
      </w:r>
      <w:r w:rsidRPr="00DA792F">
        <w:rPr>
          <w:i/>
          <w:iCs/>
          <w:sz w:val="20"/>
          <w:szCs w:val="20"/>
          <w:lang w:val="en-US"/>
        </w:rPr>
        <w:t>J. Solomon &amp; C.George (Eds), Attachment Disorganization</w:t>
      </w:r>
      <w:r w:rsidRPr="00DA792F">
        <w:rPr>
          <w:sz w:val="20"/>
          <w:szCs w:val="20"/>
          <w:lang w:val="en-US"/>
        </w:rPr>
        <w:t xml:space="preserve">, 33–70. </w:t>
      </w:r>
      <w:hyperlink r:id="rId52" w:history="1">
        <w:r w:rsidRPr="00DA792F">
          <w:rPr>
            <w:rStyle w:val="Hyperlink"/>
            <w:rFonts w:eastAsiaTheme="majorEastAsia"/>
            <w:sz w:val="20"/>
            <w:szCs w:val="20"/>
            <w:lang w:val="en-US"/>
          </w:rPr>
          <w:t>https://psycnet.apa.org/record/1999-04187-002</w:t>
        </w:r>
      </w:hyperlink>
      <w:r w:rsidRPr="00DA792F">
        <w:rPr>
          <w:rStyle w:val="url"/>
          <w:rFonts w:eastAsiaTheme="majorEastAsia"/>
          <w:sz w:val="20"/>
          <w:szCs w:val="20"/>
          <w:lang w:val="en-US"/>
        </w:rPr>
        <w:t xml:space="preserve"> </w:t>
      </w:r>
    </w:p>
    <w:p w14:paraId="7A743D5D"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Lyons</w:t>
      </w:r>
      <w:r w:rsidRPr="00DA792F">
        <w:rPr>
          <w:rFonts w:ascii="Cambria Math" w:hAnsi="Cambria Math" w:cs="Cambria Math"/>
          <w:sz w:val="20"/>
          <w:szCs w:val="20"/>
          <w:lang w:val="en-US"/>
        </w:rPr>
        <w:t>‐</w:t>
      </w:r>
      <w:r w:rsidRPr="00DA792F">
        <w:rPr>
          <w:sz w:val="20"/>
          <w:szCs w:val="20"/>
          <w:lang w:val="en-US"/>
        </w:rPr>
        <w:t>Ruth, K., &amp; Spielman, E. (2004). Disorganized infant attachment strategies and helpless</w:t>
      </w:r>
      <w:r w:rsidRPr="00DA792F">
        <w:rPr>
          <w:rFonts w:ascii="Cambria Math" w:hAnsi="Cambria Math" w:cs="Cambria Math"/>
          <w:sz w:val="20"/>
          <w:szCs w:val="20"/>
          <w:lang w:val="en-US"/>
        </w:rPr>
        <w:t>‐</w:t>
      </w:r>
      <w:r w:rsidRPr="00DA792F">
        <w:rPr>
          <w:sz w:val="20"/>
          <w:szCs w:val="20"/>
          <w:lang w:val="en-US"/>
        </w:rPr>
        <w:t xml:space="preserve">fearful profiles of parenting: Integrating attachment research with clinical intervention. </w:t>
      </w:r>
      <w:r w:rsidRPr="00DA792F">
        <w:rPr>
          <w:i/>
          <w:iCs/>
          <w:sz w:val="20"/>
          <w:szCs w:val="20"/>
        </w:rPr>
        <w:t>Infant Mental Health Journal</w:t>
      </w:r>
      <w:r w:rsidRPr="00DA792F">
        <w:rPr>
          <w:sz w:val="20"/>
          <w:szCs w:val="20"/>
        </w:rPr>
        <w:t xml:space="preserve">, </w:t>
      </w:r>
      <w:r w:rsidRPr="00DA792F">
        <w:rPr>
          <w:i/>
          <w:iCs/>
          <w:sz w:val="20"/>
          <w:szCs w:val="20"/>
        </w:rPr>
        <w:t>25</w:t>
      </w:r>
      <w:r w:rsidRPr="00DA792F">
        <w:rPr>
          <w:sz w:val="20"/>
          <w:szCs w:val="20"/>
        </w:rPr>
        <w:t xml:space="preserve">(4), 318–335. </w:t>
      </w:r>
      <w:hyperlink r:id="rId53" w:history="1">
        <w:r w:rsidRPr="00DA792F">
          <w:rPr>
            <w:rStyle w:val="Hyperlink"/>
            <w:rFonts w:eastAsiaTheme="majorEastAsia"/>
            <w:sz w:val="20"/>
            <w:szCs w:val="20"/>
          </w:rPr>
          <w:t>https://doi.org/10.1002/imhj.20008</w:t>
        </w:r>
      </w:hyperlink>
      <w:r w:rsidRPr="00DA792F">
        <w:rPr>
          <w:rStyle w:val="url"/>
          <w:rFonts w:eastAsiaTheme="majorEastAsia"/>
          <w:sz w:val="20"/>
          <w:szCs w:val="20"/>
        </w:rPr>
        <w:t xml:space="preserve"> </w:t>
      </w:r>
    </w:p>
    <w:p w14:paraId="58631697"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8E1D13">
        <w:rPr>
          <w:sz w:val="20"/>
          <w:szCs w:val="20"/>
          <w:lang w:val="it-IT"/>
        </w:rPr>
        <w:t xml:space="preserve">Magorokosho, N. K., &amp; Mberira, M. (2020). </w:t>
      </w:r>
      <w:r w:rsidRPr="00DA792F">
        <w:rPr>
          <w:sz w:val="20"/>
          <w:szCs w:val="20"/>
          <w:lang w:val="en-US"/>
        </w:rPr>
        <w:t xml:space="preserve">Attachment styles as predictors of intimate partner violence: A retrospective study with a student population. </w:t>
      </w:r>
      <w:r w:rsidRPr="00DA792F">
        <w:rPr>
          <w:i/>
          <w:iCs/>
          <w:sz w:val="20"/>
          <w:szCs w:val="20"/>
          <w:lang w:val="en-US"/>
        </w:rPr>
        <w:t>Journal of Psychology in Africa/Journal of Psychology in Africa</w:t>
      </w:r>
      <w:r w:rsidRPr="00DA792F">
        <w:rPr>
          <w:sz w:val="20"/>
          <w:szCs w:val="20"/>
          <w:lang w:val="en-US"/>
        </w:rPr>
        <w:t xml:space="preserve">, </w:t>
      </w:r>
      <w:r w:rsidRPr="00DA792F">
        <w:rPr>
          <w:i/>
          <w:iCs/>
          <w:sz w:val="20"/>
          <w:szCs w:val="20"/>
          <w:lang w:val="en-US"/>
        </w:rPr>
        <w:t>30</w:t>
      </w:r>
      <w:r w:rsidRPr="00DA792F">
        <w:rPr>
          <w:sz w:val="20"/>
          <w:szCs w:val="20"/>
          <w:lang w:val="en-US"/>
        </w:rPr>
        <w:t xml:space="preserve">(3), 192–196. </w:t>
      </w:r>
      <w:hyperlink r:id="rId54" w:history="1">
        <w:r w:rsidRPr="00DA792F">
          <w:rPr>
            <w:rStyle w:val="Hyperlink"/>
            <w:rFonts w:eastAsiaTheme="majorEastAsia"/>
            <w:sz w:val="20"/>
            <w:szCs w:val="20"/>
            <w:lang w:val="en-US"/>
          </w:rPr>
          <w:t>https://doi.org/10.1080/14330237.2020.1767929</w:t>
        </w:r>
      </w:hyperlink>
      <w:r w:rsidRPr="00DA792F">
        <w:rPr>
          <w:rStyle w:val="url"/>
          <w:rFonts w:eastAsiaTheme="majorEastAsia"/>
          <w:sz w:val="20"/>
          <w:szCs w:val="20"/>
          <w:lang w:val="en-US"/>
        </w:rPr>
        <w:t xml:space="preserve"> </w:t>
      </w:r>
    </w:p>
    <w:p w14:paraId="6C6677CB"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Massetti, G. M., Townsend, J. S., Thomas, C. C., Basile, K. C., &amp; Richardson, L. C. (2018). Healthcare access and cancer screening among victims of intimate partner violence. </w:t>
      </w:r>
      <w:r w:rsidRPr="00DA792F">
        <w:rPr>
          <w:i/>
          <w:iCs/>
          <w:sz w:val="20"/>
          <w:szCs w:val="20"/>
        </w:rPr>
        <w:t>Journal of Women’s Health</w:t>
      </w:r>
      <w:r w:rsidRPr="00DA792F">
        <w:rPr>
          <w:sz w:val="20"/>
          <w:szCs w:val="20"/>
        </w:rPr>
        <w:t xml:space="preserve">, </w:t>
      </w:r>
      <w:r w:rsidRPr="00DA792F">
        <w:rPr>
          <w:i/>
          <w:iCs/>
          <w:sz w:val="20"/>
          <w:szCs w:val="20"/>
        </w:rPr>
        <w:t>27</w:t>
      </w:r>
      <w:r w:rsidRPr="00DA792F">
        <w:rPr>
          <w:sz w:val="20"/>
          <w:szCs w:val="20"/>
        </w:rPr>
        <w:t xml:space="preserve">(5), 607–614. </w:t>
      </w:r>
      <w:hyperlink r:id="rId55" w:history="1">
        <w:r w:rsidRPr="00DA792F">
          <w:rPr>
            <w:rStyle w:val="Hyperlink"/>
            <w:rFonts w:eastAsiaTheme="majorEastAsia"/>
            <w:sz w:val="20"/>
            <w:szCs w:val="20"/>
            <w:lang w:val="en-US"/>
          </w:rPr>
          <w:t>https://doi.org/10.1089/jwh.2017.6402</w:t>
        </w:r>
      </w:hyperlink>
      <w:r w:rsidRPr="00DA792F">
        <w:rPr>
          <w:rStyle w:val="url"/>
          <w:rFonts w:eastAsiaTheme="majorEastAsia"/>
          <w:sz w:val="20"/>
          <w:szCs w:val="20"/>
          <w:lang w:val="en-US"/>
        </w:rPr>
        <w:t xml:space="preserve"> </w:t>
      </w:r>
    </w:p>
    <w:p w14:paraId="320E97E4"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Matias, A., Gonçalves, M., Soeiro, C., &amp; Matos, M. (2020). Intimate partner homicide in Portugal: What are the (As)Symmetries between men and women? </w:t>
      </w:r>
      <w:r w:rsidRPr="00DA792F">
        <w:rPr>
          <w:i/>
          <w:iCs/>
          <w:sz w:val="20"/>
          <w:szCs w:val="20"/>
          <w:lang w:val="en-US"/>
        </w:rPr>
        <w:t>European Journal on Criminal Policy and Research</w:t>
      </w:r>
      <w:r w:rsidRPr="00DA792F">
        <w:rPr>
          <w:sz w:val="20"/>
          <w:szCs w:val="20"/>
          <w:lang w:val="en-US"/>
        </w:rPr>
        <w:t xml:space="preserve">, </w:t>
      </w:r>
      <w:r w:rsidRPr="00DA792F">
        <w:rPr>
          <w:i/>
          <w:iCs/>
          <w:sz w:val="20"/>
          <w:szCs w:val="20"/>
          <w:lang w:val="en-US"/>
        </w:rPr>
        <w:t>27</w:t>
      </w:r>
      <w:r w:rsidRPr="00DA792F">
        <w:rPr>
          <w:sz w:val="20"/>
          <w:szCs w:val="20"/>
          <w:lang w:val="en-US"/>
        </w:rPr>
        <w:t xml:space="preserve">(4), 471–494. </w:t>
      </w:r>
      <w:hyperlink r:id="rId56" w:history="1">
        <w:r w:rsidRPr="00DA792F">
          <w:rPr>
            <w:rStyle w:val="Hyperlink"/>
            <w:rFonts w:eastAsiaTheme="majorEastAsia"/>
            <w:sz w:val="20"/>
            <w:szCs w:val="20"/>
            <w:lang w:val="en-US"/>
          </w:rPr>
          <w:t>https://doi.org/10.1007/s10610-020-09469-w</w:t>
        </w:r>
      </w:hyperlink>
      <w:r w:rsidRPr="00DA792F">
        <w:rPr>
          <w:rStyle w:val="url"/>
          <w:rFonts w:eastAsiaTheme="majorEastAsia"/>
          <w:sz w:val="20"/>
          <w:szCs w:val="20"/>
          <w:lang w:val="en-US"/>
        </w:rPr>
        <w:t xml:space="preserve"> </w:t>
      </w:r>
    </w:p>
    <w:p w14:paraId="74E5C417"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Mattar, L., Kharma, J. A., Hanach, N., Mashharawi, F. A., &amp; Zeeni, N. (2021). Violence Against Women in Adulthood Is Associated with Increased Disordered Eating Behaviors and Risk of Eating Disorders: A Cross-Sectional Study. </w:t>
      </w:r>
      <w:r w:rsidRPr="00DA792F">
        <w:rPr>
          <w:i/>
          <w:iCs/>
          <w:sz w:val="20"/>
          <w:szCs w:val="20"/>
        </w:rPr>
        <w:t>Violence and Gender</w:t>
      </w:r>
      <w:r w:rsidRPr="00DA792F">
        <w:rPr>
          <w:sz w:val="20"/>
          <w:szCs w:val="20"/>
        </w:rPr>
        <w:t xml:space="preserve">. </w:t>
      </w:r>
      <w:hyperlink r:id="rId57" w:history="1">
        <w:r w:rsidRPr="00DA792F">
          <w:rPr>
            <w:rStyle w:val="Hyperlink"/>
            <w:rFonts w:eastAsiaTheme="majorEastAsia"/>
            <w:sz w:val="20"/>
            <w:szCs w:val="20"/>
            <w:lang w:val="en-US"/>
          </w:rPr>
          <w:t>https://doi.org/10.1089/vio.2021.0021</w:t>
        </w:r>
      </w:hyperlink>
      <w:r w:rsidRPr="00DA792F">
        <w:rPr>
          <w:rStyle w:val="url"/>
          <w:rFonts w:eastAsiaTheme="majorEastAsia"/>
          <w:sz w:val="20"/>
          <w:szCs w:val="20"/>
          <w:lang w:val="en-US"/>
        </w:rPr>
        <w:t xml:space="preserve"> </w:t>
      </w:r>
    </w:p>
    <w:p w14:paraId="2DA0A46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Mehta, D., Kelly, A. B., Laurens, K. R., Haslam, D., Williams, K. E., Walsh, K., Baker, P., Carter, H., Khawaja, N. G., Zelenko, </w:t>
      </w:r>
      <w:r w:rsidRPr="00DA792F">
        <w:rPr>
          <w:sz w:val="20"/>
          <w:szCs w:val="20"/>
        </w:rPr>
        <w:t>О</w:t>
      </w:r>
      <w:r w:rsidRPr="00DA792F">
        <w:rPr>
          <w:sz w:val="20"/>
          <w:szCs w:val="20"/>
          <w:lang w:val="en-US"/>
        </w:rPr>
        <w:t xml:space="preserve">., &amp; Mathews, B. P. (2021). Child Maltreatment and Long-Term Physical and Mental Health Outcomes: An Exploration of Biopsychosocial Determinants and Implications for Prevention. </w:t>
      </w:r>
      <w:r w:rsidRPr="00DA792F">
        <w:rPr>
          <w:i/>
          <w:iCs/>
          <w:sz w:val="20"/>
          <w:szCs w:val="20"/>
        </w:rPr>
        <w:t>Child Psychiatry and Human Development</w:t>
      </w:r>
      <w:r w:rsidRPr="00DA792F">
        <w:rPr>
          <w:sz w:val="20"/>
          <w:szCs w:val="20"/>
        </w:rPr>
        <w:t xml:space="preserve">, </w:t>
      </w:r>
      <w:r w:rsidRPr="00DA792F">
        <w:rPr>
          <w:i/>
          <w:iCs/>
          <w:sz w:val="20"/>
          <w:szCs w:val="20"/>
        </w:rPr>
        <w:t>54</w:t>
      </w:r>
      <w:r w:rsidRPr="00DA792F">
        <w:rPr>
          <w:sz w:val="20"/>
          <w:szCs w:val="20"/>
        </w:rPr>
        <w:t xml:space="preserve">(2), 421–435. </w:t>
      </w:r>
      <w:hyperlink r:id="rId58" w:history="1">
        <w:r w:rsidRPr="00DA792F">
          <w:rPr>
            <w:rStyle w:val="Hyperlink"/>
            <w:rFonts w:eastAsiaTheme="majorEastAsia"/>
            <w:sz w:val="20"/>
            <w:szCs w:val="20"/>
          </w:rPr>
          <w:t>https://doi.org/10.1007/s10578-021-01258-8</w:t>
        </w:r>
      </w:hyperlink>
      <w:r w:rsidRPr="00DA792F">
        <w:rPr>
          <w:rStyle w:val="url"/>
          <w:rFonts w:eastAsiaTheme="majorEastAsia"/>
          <w:sz w:val="20"/>
          <w:szCs w:val="20"/>
        </w:rPr>
        <w:t xml:space="preserve"> </w:t>
      </w:r>
    </w:p>
    <w:p w14:paraId="06CF3186"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Meyersfeld, B. (2012). The Council of Europe Convention on Preventing and Combating Violence Against Women and Domestic Violence. </w:t>
      </w:r>
      <w:r w:rsidRPr="00DA792F">
        <w:rPr>
          <w:i/>
          <w:iCs/>
          <w:sz w:val="20"/>
          <w:szCs w:val="20"/>
        </w:rPr>
        <w:t>International Legal Materials</w:t>
      </w:r>
      <w:r w:rsidRPr="00DA792F">
        <w:rPr>
          <w:sz w:val="20"/>
          <w:szCs w:val="20"/>
        </w:rPr>
        <w:t xml:space="preserve">, </w:t>
      </w:r>
      <w:r w:rsidRPr="00DA792F">
        <w:rPr>
          <w:i/>
          <w:iCs/>
          <w:sz w:val="20"/>
          <w:szCs w:val="20"/>
        </w:rPr>
        <w:t>51</w:t>
      </w:r>
      <w:r w:rsidRPr="00DA792F">
        <w:rPr>
          <w:sz w:val="20"/>
          <w:szCs w:val="20"/>
        </w:rPr>
        <w:t xml:space="preserve">(1), 106–132. </w:t>
      </w:r>
      <w:hyperlink r:id="rId59" w:history="1">
        <w:r w:rsidRPr="00DA792F">
          <w:rPr>
            <w:rStyle w:val="Hyperlink"/>
            <w:rFonts w:eastAsiaTheme="majorEastAsia"/>
            <w:sz w:val="20"/>
            <w:szCs w:val="20"/>
          </w:rPr>
          <w:t>https://doi.org/10.5305/intelegamate.51.1.0106</w:t>
        </w:r>
      </w:hyperlink>
      <w:r w:rsidRPr="00DA792F">
        <w:rPr>
          <w:rStyle w:val="url"/>
          <w:rFonts w:eastAsiaTheme="majorEastAsia"/>
          <w:sz w:val="20"/>
          <w:szCs w:val="20"/>
        </w:rPr>
        <w:t xml:space="preserve"> </w:t>
      </w:r>
    </w:p>
    <w:p w14:paraId="55ABA710" w14:textId="1B46FF2A"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Murphy, A., Steele, M., Dube, S. R., Bate, J., Bonuck, K., Meißner, P., Goldman, H. R., &amp; Steele, H. (2014). Adverse Childhood Experiences (ACEs) Questionnaire and Adult Attachment Interview (AAI): Implications for </w:t>
      </w:r>
      <w:r w:rsidR="008720F5">
        <w:rPr>
          <w:sz w:val="20"/>
          <w:szCs w:val="20"/>
          <w:lang w:val="en-US"/>
        </w:rPr>
        <w:t>parent-child</w:t>
      </w:r>
      <w:r w:rsidRPr="00DA792F">
        <w:rPr>
          <w:sz w:val="20"/>
          <w:szCs w:val="20"/>
          <w:lang w:val="en-US"/>
        </w:rPr>
        <w:t xml:space="preserve"> relationships. </w:t>
      </w:r>
      <w:r w:rsidRPr="00DA792F">
        <w:rPr>
          <w:i/>
          <w:iCs/>
          <w:sz w:val="20"/>
          <w:szCs w:val="20"/>
        </w:rPr>
        <w:t>Child Abuse &amp; Neglect</w:t>
      </w:r>
      <w:r w:rsidRPr="00DA792F">
        <w:rPr>
          <w:sz w:val="20"/>
          <w:szCs w:val="20"/>
        </w:rPr>
        <w:t xml:space="preserve">, </w:t>
      </w:r>
      <w:r w:rsidRPr="00DA792F">
        <w:rPr>
          <w:i/>
          <w:iCs/>
          <w:sz w:val="20"/>
          <w:szCs w:val="20"/>
        </w:rPr>
        <w:t>38</w:t>
      </w:r>
      <w:r w:rsidRPr="00DA792F">
        <w:rPr>
          <w:sz w:val="20"/>
          <w:szCs w:val="20"/>
        </w:rPr>
        <w:t xml:space="preserve">(2), 224–233. </w:t>
      </w:r>
      <w:hyperlink r:id="rId60" w:history="1">
        <w:r w:rsidRPr="00DA792F">
          <w:rPr>
            <w:rStyle w:val="Hyperlink"/>
            <w:rFonts w:eastAsiaTheme="majorEastAsia"/>
            <w:sz w:val="20"/>
            <w:szCs w:val="20"/>
          </w:rPr>
          <w:t>https://doi.org/10.1016/j.chiabu.2013.09.004</w:t>
        </w:r>
      </w:hyperlink>
      <w:r w:rsidRPr="00DA792F">
        <w:rPr>
          <w:rStyle w:val="url"/>
          <w:rFonts w:eastAsiaTheme="majorEastAsia"/>
          <w:sz w:val="20"/>
          <w:szCs w:val="20"/>
        </w:rPr>
        <w:t xml:space="preserve"> </w:t>
      </w:r>
    </w:p>
    <w:p w14:paraId="3534F24C"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Öhman, A., Burman, M., Carbin, M., &amp; Edin, K. (2020). ‘The public health turn on violence against women’: analysing Swedish healthcare law, public health and gender-equality policies. </w:t>
      </w:r>
      <w:r w:rsidRPr="00DA792F">
        <w:rPr>
          <w:i/>
          <w:iCs/>
          <w:sz w:val="20"/>
          <w:szCs w:val="20"/>
        </w:rPr>
        <w:t>BMC Public Health</w:t>
      </w:r>
      <w:r w:rsidRPr="00DA792F">
        <w:rPr>
          <w:sz w:val="20"/>
          <w:szCs w:val="20"/>
        </w:rPr>
        <w:t xml:space="preserve">, </w:t>
      </w:r>
      <w:r w:rsidRPr="00DA792F">
        <w:rPr>
          <w:i/>
          <w:iCs/>
          <w:sz w:val="20"/>
          <w:szCs w:val="20"/>
        </w:rPr>
        <w:t>20</w:t>
      </w:r>
      <w:r w:rsidRPr="00DA792F">
        <w:rPr>
          <w:sz w:val="20"/>
          <w:szCs w:val="20"/>
        </w:rPr>
        <w:t xml:space="preserve">(1). </w:t>
      </w:r>
      <w:hyperlink r:id="rId61" w:history="1">
        <w:r w:rsidRPr="00DA792F">
          <w:rPr>
            <w:rStyle w:val="Hyperlink"/>
            <w:rFonts w:eastAsiaTheme="majorEastAsia"/>
            <w:sz w:val="20"/>
            <w:szCs w:val="20"/>
          </w:rPr>
          <w:t>https://doi.org/10.1186/s12889-020-08766-7</w:t>
        </w:r>
      </w:hyperlink>
      <w:r w:rsidRPr="00DA792F">
        <w:rPr>
          <w:rStyle w:val="url"/>
          <w:rFonts w:eastAsiaTheme="majorEastAsia"/>
          <w:sz w:val="20"/>
          <w:szCs w:val="20"/>
        </w:rPr>
        <w:t xml:space="preserve"> </w:t>
      </w:r>
    </w:p>
    <w:p w14:paraId="4B400D26"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Plouffe, R. A., Wilson, C. A., &amp; Saklofske, D. H. (2020). Examining the relationships between childhood exposure to intimate partner violence, the dark tetrad of personality, and violence perpetration in adulthood. </w:t>
      </w:r>
      <w:r w:rsidRPr="00DA792F">
        <w:rPr>
          <w:i/>
          <w:iCs/>
          <w:sz w:val="20"/>
          <w:szCs w:val="20"/>
          <w:lang w:val="en-US"/>
        </w:rPr>
        <w:t>Journal of Interpersonal Violence</w:t>
      </w:r>
      <w:r w:rsidRPr="00DA792F">
        <w:rPr>
          <w:sz w:val="20"/>
          <w:szCs w:val="20"/>
          <w:lang w:val="en-US"/>
        </w:rPr>
        <w:t xml:space="preserve">, </w:t>
      </w:r>
      <w:r w:rsidRPr="00DA792F">
        <w:rPr>
          <w:i/>
          <w:iCs/>
          <w:sz w:val="20"/>
          <w:szCs w:val="20"/>
          <w:lang w:val="en-US"/>
        </w:rPr>
        <w:t>37</w:t>
      </w:r>
      <w:r w:rsidRPr="00DA792F">
        <w:rPr>
          <w:sz w:val="20"/>
          <w:szCs w:val="20"/>
          <w:lang w:val="en-US"/>
        </w:rPr>
        <w:t xml:space="preserve">(5–6), NP3449–NP3473. </w:t>
      </w:r>
      <w:hyperlink r:id="rId62" w:history="1">
        <w:r w:rsidRPr="00DA792F">
          <w:rPr>
            <w:rStyle w:val="Hyperlink"/>
            <w:rFonts w:eastAsiaTheme="majorEastAsia"/>
            <w:sz w:val="20"/>
            <w:szCs w:val="20"/>
            <w:lang w:val="en-US"/>
          </w:rPr>
          <w:t>https://doi.org/10.1177/0886260520948517</w:t>
        </w:r>
      </w:hyperlink>
      <w:r w:rsidRPr="00DA792F">
        <w:rPr>
          <w:rStyle w:val="url"/>
          <w:rFonts w:eastAsiaTheme="majorEastAsia"/>
          <w:sz w:val="20"/>
          <w:szCs w:val="20"/>
          <w:lang w:val="en-US"/>
        </w:rPr>
        <w:t xml:space="preserve"> </w:t>
      </w:r>
    </w:p>
    <w:p w14:paraId="734545D7"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Smagur, K. E., Bogat, G. A., &amp; Levendosky, A. A. (2018). Attachment insecurity mediates the effects of intimate partner violence and childhood maltreatment on depressive symptoms in adult women. </w:t>
      </w:r>
      <w:r w:rsidRPr="00DA792F">
        <w:rPr>
          <w:i/>
          <w:iCs/>
          <w:sz w:val="20"/>
          <w:szCs w:val="20"/>
        </w:rPr>
        <w:t>Psychology of Violence</w:t>
      </w:r>
      <w:r w:rsidRPr="00DA792F">
        <w:rPr>
          <w:sz w:val="20"/>
          <w:szCs w:val="20"/>
        </w:rPr>
        <w:t xml:space="preserve">, </w:t>
      </w:r>
      <w:r w:rsidRPr="00DA792F">
        <w:rPr>
          <w:i/>
          <w:iCs/>
          <w:sz w:val="20"/>
          <w:szCs w:val="20"/>
        </w:rPr>
        <w:t>8</w:t>
      </w:r>
      <w:r w:rsidRPr="00DA792F">
        <w:rPr>
          <w:sz w:val="20"/>
          <w:szCs w:val="20"/>
        </w:rPr>
        <w:t xml:space="preserve">(4), 460–469. </w:t>
      </w:r>
      <w:hyperlink r:id="rId63" w:history="1">
        <w:r w:rsidRPr="00DA792F">
          <w:rPr>
            <w:rStyle w:val="Hyperlink"/>
            <w:rFonts w:eastAsiaTheme="majorEastAsia"/>
            <w:sz w:val="20"/>
            <w:szCs w:val="20"/>
          </w:rPr>
          <w:t>https://doi.org/10.1037/vio0000142</w:t>
        </w:r>
      </w:hyperlink>
    </w:p>
    <w:p w14:paraId="43953D8B"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Stein, M. (2006). Missing years of abuse in children’s homes. </w:t>
      </w:r>
      <w:r w:rsidRPr="00DA792F">
        <w:rPr>
          <w:i/>
          <w:iCs/>
          <w:sz w:val="20"/>
          <w:szCs w:val="20"/>
          <w:lang w:val="en-US"/>
        </w:rPr>
        <w:t>Child &amp; Family Social Work</w:t>
      </w:r>
      <w:r w:rsidRPr="00DA792F">
        <w:rPr>
          <w:sz w:val="20"/>
          <w:szCs w:val="20"/>
          <w:lang w:val="en-US"/>
        </w:rPr>
        <w:t xml:space="preserve">, </w:t>
      </w:r>
      <w:r w:rsidRPr="00DA792F">
        <w:rPr>
          <w:i/>
          <w:iCs/>
          <w:sz w:val="20"/>
          <w:szCs w:val="20"/>
          <w:lang w:val="en-US"/>
        </w:rPr>
        <w:t>11</w:t>
      </w:r>
      <w:r w:rsidRPr="00DA792F">
        <w:rPr>
          <w:sz w:val="20"/>
          <w:szCs w:val="20"/>
          <w:lang w:val="en-US"/>
        </w:rPr>
        <w:t xml:space="preserve">(1), 11–21. </w:t>
      </w:r>
      <w:hyperlink r:id="rId64" w:history="1">
        <w:r w:rsidRPr="00DA792F">
          <w:rPr>
            <w:rStyle w:val="Hyperlink"/>
            <w:rFonts w:eastAsiaTheme="majorEastAsia"/>
            <w:sz w:val="20"/>
            <w:szCs w:val="20"/>
            <w:lang w:val="en-US"/>
          </w:rPr>
          <w:t>https://doi.org/10.1111/j.1365-2206.2006.00381.x</w:t>
        </w:r>
      </w:hyperlink>
      <w:r w:rsidRPr="00DA792F">
        <w:rPr>
          <w:rStyle w:val="url"/>
          <w:rFonts w:eastAsiaTheme="majorEastAsia"/>
          <w:sz w:val="20"/>
          <w:szCs w:val="20"/>
          <w:lang w:val="en-US"/>
        </w:rPr>
        <w:t xml:space="preserve"> </w:t>
      </w:r>
    </w:p>
    <w:p w14:paraId="4F66E1D3"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Stoltenborgh, M., Bakermans</w:t>
      </w:r>
      <w:r w:rsidRPr="00DA792F">
        <w:rPr>
          <w:rFonts w:ascii="Cambria Math" w:hAnsi="Cambria Math" w:cs="Cambria Math"/>
          <w:sz w:val="20"/>
          <w:szCs w:val="20"/>
          <w:lang w:val="en-US"/>
        </w:rPr>
        <w:t>‐</w:t>
      </w:r>
      <w:r w:rsidRPr="00DA792F">
        <w:rPr>
          <w:sz w:val="20"/>
          <w:szCs w:val="20"/>
          <w:lang w:val="en-US"/>
        </w:rPr>
        <w:t>Kranenburg, M. J., Alink, L. R. A., &amp; Van IJzendoorn, M. H. (2014). The Prevalence of Child Maltreatment across the Globe: Review of a Series of Meta</w:t>
      </w:r>
      <w:r w:rsidRPr="00DA792F">
        <w:rPr>
          <w:rFonts w:ascii="Cambria Math" w:hAnsi="Cambria Math" w:cs="Cambria Math"/>
          <w:sz w:val="20"/>
          <w:szCs w:val="20"/>
          <w:lang w:val="en-US"/>
        </w:rPr>
        <w:t>‐</w:t>
      </w:r>
      <w:r w:rsidRPr="00DA792F">
        <w:rPr>
          <w:sz w:val="20"/>
          <w:szCs w:val="20"/>
          <w:lang w:val="en-US"/>
        </w:rPr>
        <w:t xml:space="preserve">Analyses. </w:t>
      </w:r>
      <w:r w:rsidRPr="00DA792F">
        <w:rPr>
          <w:i/>
          <w:iCs/>
          <w:sz w:val="20"/>
          <w:szCs w:val="20"/>
        </w:rPr>
        <w:t>Child Abuse Review</w:t>
      </w:r>
      <w:r w:rsidRPr="00DA792F">
        <w:rPr>
          <w:sz w:val="20"/>
          <w:szCs w:val="20"/>
        </w:rPr>
        <w:t xml:space="preserve">, </w:t>
      </w:r>
      <w:r w:rsidRPr="00DA792F">
        <w:rPr>
          <w:i/>
          <w:iCs/>
          <w:sz w:val="20"/>
          <w:szCs w:val="20"/>
        </w:rPr>
        <w:t>24</w:t>
      </w:r>
      <w:r w:rsidRPr="00DA792F">
        <w:rPr>
          <w:sz w:val="20"/>
          <w:szCs w:val="20"/>
        </w:rPr>
        <w:t xml:space="preserve">(1), 37–50. </w:t>
      </w:r>
      <w:hyperlink r:id="rId65" w:history="1">
        <w:r w:rsidRPr="00DA792F">
          <w:rPr>
            <w:rStyle w:val="Hyperlink"/>
            <w:rFonts w:eastAsiaTheme="majorEastAsia"/>
            <w:sz w:val="20"/>
            <w:szCs w:val="20"/>
          </w:rPr>
          <w:t>https://doi.org/10.1002/car.2353</w:t>
        </w:r>
      </w:hyperlink>
      <w:r w:rsidRPr="00DA792F">
        <w:rPr>
          <w:rStyle w:val="url"/>
          <w:rFonts w:eastAsiaTheme="majorEastAsia"/>
          <w:sz w:val="20"/>
          <w:szCs w:val="20"/>
        </w:rPr>
        <w:t xml:space="preserve"> </w:t>
      </w:r>
    </w:p>
    <w:p w14:paraId="38F23DCF"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3F63A9">
        <w:rPr>
          <w:sz w:val="20"/>
          <w:szCs w:val="20"/>
          <w:lang w:val="it-IT"/>
        </w:rPr>
        <w:t xml:space="preserve">Tanzilli, A., Di Giuseppe, M., Giovanardi, G., Boldrini, T., Caviglia, G., Conversano, C., &amp; Lingiardi, V. (2021). </w:t>
      </w:r>
      <w:r w:rsidRPr="00DA792F">
        <w:rPr>
          <w:sz w:val="20"/>
          <w:szCs w:val="20"/>
          <w:lang w:val="en-US"/>
        </w:rPr>
        <w:t xml:space="preserve">Mentalization, attachment, and defense mechanisms: a Psychodynamic Diagnostic Manual-2-oriented empirical investigation. </w:t>
      </w:r>
      <w:r w:rsidRPr="00DA792F">
        <w:rPr>
          <w:i/>
          <w:iCs/>
          <w:sz w:val="20"/>
          <w:szCs w:val="20"/>
        </w:rPr>
        <w:t>Research in Psychotherapy</w:t>
      </w:r>
      <w:r w:rsidRPr="00DA792F">
        <w:rPr>
          <w:sz w:val="20"/>
          <w:szCs w:val="20"/>
        </w:rPr>
        <w:t xml:space="preserve">, </w:t>
      </w:r>
      <w:r w:rsidRPr="00DA792F">
        <w:rPr>
          <w:i/>
          <w:iCs/>
          <w:sz w:val="20"/>
          <w:szCs w:val="20"/>
        </w:rPr>
        <w:t>24</w:t>
      </w:r>
      <w:r w:rsidRPr="00DA792F">
        <w:rPr>
          <w:sz w:val="20"/>
          <w:szCs w:val="20"/>
        </w:rPr>
        <w:t xml:space="preserve">(1). </w:t>
      </w:r>
      <w:hyperlink r:id="rId66" w:history="1">
        <w:r w:rsidRPr="00DA792F">
          <w:rPr>
            <w:rStyle w:val="Hyperlink"/>
            <w:rFonts w:eastAsiaTheme="majorEastAsia"/>
            <w:sz w:val="20"/>
            <w:szCs w:val="20"/>
          </w:rPr>
          <w:t>https://doi.org/10.4081/ripppo.2021.531</w:t>
        </w:r>
      </w:hyperlink>
      <w:r w:rsidRPr="00DA792F">
        <w:rPr>
          <w:rStyle w:val="url"/>
          <w:rFonts w:eastAsiaTheme="majorEastAsia"/>
          <w:sz w:val="20"/>
          <w:szCs w:val="20"/>
        </w:rPr>
        <w:t xml:space="preserve"> </w:t>
      </w:r>
    </w:p>
    <w:p w14:paraId="403A0617"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Trevillion, K., Oram, S., Feder, G., &amp; Howard, L. M. (2012). Experiences of Domestic Violence and Mental Disorders: A Systematic Review and Meta-Analysis. </w:t>
      </w:r>
      <w:r w:rsidRPr="00DA792F">
        <w:rPr>
          <w:i/>
          <w:iCs/>
          <w:sz w:val="20"/>
          <w:szCs w:val="20"/>
        </w:rPr>
        <w:t>PloS One</w:t>
      </w:r>
      <w:r w:rsidRPr="00DA792F">
        <w:rPr>
          <w:sz w:val="20"/>
          <w:szCs w:val="20"/>
        </w:rPr>
        <w:t xml:space="preserve">, </w:t>
      </w:r>
      <w:r w:rsidRPr="00DA792F">
        <w:rPr>
          <w:i/>
          <w:iCs/>
          <w:sz w:val="20"/>
          <w:szCs w:val="20"/>
        </w:rPr>
        <w:t>7</w:t>
      </w:r>
      <w:r w:rsidRPr="00DA792F">
        <w:rPr>
          <w:sz w:val="20"/>
          <w:szCs w:val="20"/>
        </w:rPr>
        <w:t xml:space="preserve">(12), e51740. </w:t>
      </w:r>
      <w:hyperlink r:id="rId67" w:history="1">
        <w:r w:rsidRPr="00DA792F">
          <w:rPr>
            <w:rStyle w:val="Hyperlink"/>
            <w:rFonts w:eastAsiaTheme="majorEastAsia"/>
            <w:sz w:val="20"/>
            <w:szCs w:val="20"/>
          </w:rPr>
          <w:t>https://doi.org/10.1371/journal.pone.0051740</w:t>
        </w:r>
      </w:hyperlink>
      <w:r w:rsidRPr="00DA792F">
        <w:rPr>
          <w:rStyle w:val="url"/>
          <w:rFonts w:eastAsiaTheme="majorEastAsia"/>
          <w:sz w:val="20"/>
          <w:szCs w:val="20"/>
        </w:rPr>
        <w:t xml:space="preserve"> </w:t>
      </w:r>
    </w:p>
    <w:p w14:paraId="0D087CAC" w14:textId="77777777" w:rsidR="008E1D13" w:rsidRPr="00DA792F" w:rsidRDefault="008E1D13" w:rsidP="008E1D13">
      <w:pPr>
        <w:pStyle w:val="NormalWeb"/>
        <w:numPr>
          <w:ilvl w:val="0"/>
          <w:numId w:val="2"/>
        </w:numPr>
        <w:spacing w:before="0" w:beforeAutospacing="0" w:after="0" w:afterAutospacing="0"/>
        <w:jc w:val="both"/>
        <w:rPr>
          <w:rStyle w:val="url"/>
          <w:sz w:val="20"/>
          <w:szCs w:val="20"/>
          <w:lang w:val="en-US"/>
        </w:rPr>
      </w:pPr>
      <w:r w:rsidRPr="00DA792F">
        <w:rPr>
          <w:sz w:val="20"/>
          <w:szCs w:val="20"/>
          <w:lang w:val="en-US"/>
        </w:rPr>
        <w:t xml:space="preserve">Webermann, A. R., Brand, B. L., &amp; Chasson, G. S. (2014). Childhood maltreatment and intimate partner violence in dissociative disorder patients. </w:t>
      </w:r>
      <w:r w:rsidRPr="00DA792F">
        <w:rPr>
          <w:i/>
          <w:iCs/>
          <w:sz w:val="20"/>
          <w:szCs w:val="20"/>
        </w:rPr>
        <w:t>European Journal of Psychotraumatology</w:t>
      </w:r>
      <w:r w:rsidRPr="00DA792F">
        <w:rPr>
          <w:sz w:val="20"/>
          <w:szCs w:val="20"/>
        </w:rPr>
        <w:t xml:space="preserve">, </w:t>
      </w:r>
      <w:r w:rsidRPr="00DA792F">
        <w:rPr>
          <w:i/>
          <w:iCs/>
          <w:sz w:val="20"/>
          <w:szCs w:val="20"/>
        </w:rPr>
        <w:t>5</w:t>
      </w:r>
      <w:r w:rsidRPr="00DA792F">
        <w:rPr>
          <w:sz w:val="20"/>
          <w:szCs w:val="20"/>
        </w:rPr>
        <w:t xml:space="preserve">(1). </w:t>
      </w:r>
      <w:hyperlink r:id="rId68" w:history="1">
        <w:r w:rsidRPr="00DA792F">
          <w:rPr>
            <w:rStyle w:val="Hyperlink"/>
            <w:rFonts w:eastAsiaTheme="majorEastAsia"/>
            <w:sz w:val="20"/>
            <w:szCs w:val="20"/>
            <w:lang w:val="en-US"/>
          </w:rPr>
          <w:t>https://doi.org/10.3402/ejpt.v5.24568</w:t>
        </w:r>
      </w:hyperlink>
      <w:r w:rsidRPr="00DA792F">
        <w:rPr>
          <w:rStyle w:val="url"/>
          <w:rFonts w:eastAsiaTheme="majorEastAsia"/>
          <w:sz w:val="20"/>
          <w:szCs w:val="20"/>
          <w:lang w:val="en-US"/>
        </w:rPr>
        <w:t xml:space="preserve"> </w:t>
      </w:r>
    </w:p>
    <w:p w14:paraId="19A37D92"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Widom, C. S., Czaja, S. J., &amp; Dutton, M. A. (2014). Child abuse and neglect and intimate partner violence victimization and perpetration: A prospective investigation. </w:t>
      </w:r>
      <w:r w:rsidRPr="00DA792F">
        <w:rPr>
          <w:i/>
          <w:iCs/>
          <w:sz w:val="20"/>
          <w:szCs w:val="20"/>
        </w:rPr>
        <w:t>Child Abuse &amp; Neglect</w:t>
      </w:r>
      <w:r w:rsidRPr="00DA792F">
        <w:rPr>
          <w:sz w:val="20"/>
          <w:szCs w:val="20"/>
        </w:rPr>
        <w:t xml:space="preserve">, </w:t>
      </w:r>
      <w:r w:rsidRPr="00DA792F">
        <w:rPr>
          <w:i/>
          <w:iCs/>
          <w:sz w:val="20"/>
          <w:szCs w:val="20"/>
        </w:rPr>
        <w:t>38</w:t>
      </w:r>
      <w:r w:rsidRPr="00DA792F">
        <w:rPr>
          <w:sz w:val="20"/>
          <w:szCs w:val="20"/>
        </w:rPr>
        <w:t xml:space="preserve">(4), 650–663. </w:t>
      </w:r>
      <w:hyperlink r:id="rId69" w:history="1">
        <w:r w:rsidRPr="00DA792F">
          <w:rPr>
            <w:rStyle w:val="Hyperlink"/>
            <w:rFonts w:eastAsiaTheme="majorEastAsia"/>
            <w:sz w:val="20"/>
            <w:szCs w:val="20"/>
            <w:lang w:val="en-US"/>
          </w:rPr>
          <w:t>https://doi.org/10.1016/j.chiabu.2013.11.004</w:t>
        </w:r>
      </w:hyperlink>
      <w:r w:rsidRPr="00DA792F">
        <w:rPr>
          <w:rStyle w:val="url"/>
          <w:rFonts w:eastAsiaTheme="majorEastAsia"/>
          <w:sz w:val="20"/>
          <w:szCs w:val="20"/>
          <w:lang w:val="en-US"/>
        </w:rPr>
        <w:t xml:space="preserve"> </w:t>
      </w:r>
    </w:p>
    <w:p w14:paraId="30150E86"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Yilmaz, H., Arslan, C., &amp; Arslan, E. (2022). The effect of traumatic experiences on attachment styles. </w:t>
      </w:r>
      <w:r w:rsidRPr="00DA792F">
        <w:rPr>
          <w:i/>
          <w:iCs/>
          <w:sz w:val="20"/>
          <w:szCs w:val="20"/>
        </w:rPr>
        <w:t>Anales De Psicología</w:t>
      </w:r>
      <w:r w:rsidRPr="00DA792F">
        <w:rPr>
          <w:sz w:val="20"/>
          <w:szCs w:val="20"/>
        </w:rPr>
        <w:t xml:space="preserve">, </w:t>
      </w:r>
      <w:r w:rsidRPr="00DA792F">
        <w:rPr>
          <w:i/>
          <w:iCs/>
          <w:sz w:val="20"/>
          <w:szCs w:val="20"/>
        </w:rPr>
        <w:t>38</w:t>
      </w:r>
      <w:r w:rsidRPr="00DA792F">
        <w:rPr>
          <w:sz w:val="20"/>
          <w:szCs w:val="20"/>
        </w:rPr>
        <w:t xml:space="preserve">(3), 489–498. </w:t>
      </w:r>
      <w:hyperlink r:id="rId70" w:history="1">
        <w:r w:rsidRPr="00DA792F">
          <w:rPr>
            <w:rStyle w:val="Hyperlink"/>
            <w:rFonts w:eastAsiaTheme="majorEastAsia"/>
            <w:sz w:val="20"/>
            <w:szCs w:val="20"/>
          </w:rPr>
          <w:t>https://doi.org/10.6018/analesps.489601</w:t>
        </w:r>
      </w:hyperlink>
      <w:r w:rsidRPr="00DA792F">
        <w:rPr>
          <w:rStyle w:val="url"/>
          <w:rFonts w:eastAsiaTheme="majorEastAsia"/>
          <w:sz w:val="20"/>
          <w:szCs w:val="20"/>
        </w:rPr>
        <w:t xml:space="preserve"> </w:t>
      </w:r>
    </w:p>
    <w:p w14:paraId="32DB0545"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3F63A9">
        <w:rPr>
          <w:sz w:val="20"/>
          <w:szCs w:val="20"/>
          <w:lang w:val="it-IT"/>
        </w:rPr>
        <w:t xml:space="preserve">Valentino, K., Berkowitz, S., &amp; Stover, C. S. (2010). </w:t>
      </w:r>
      <w:r w:rsidRPr="00DA792F">
        <w:rPr>
          <w:sz w:val="20"/>
          <w:szCs w:val="20"/>
          <w:lang w:val="en-US"/>
        </w:rPr>
        <w:t xml:space="preserve">Parenting behaviors and posttraumatic symptoms in relation to children’s symptomatology following a traumatic event. </w:t>
      </w:r>
      <w:r w:rsidRPr="00DA792F">
        <w:rPr>
          <w:i/>
          <w:iCs/>
          <w:sz w:val="20"/>
          <w:szCs w:val="20"/>
        </w:rPr>
        <w:t>Journal of Traumatic Stress</w:t>
      </w:r>
      <w:r w:rsidRPr="00DA792F">
        <w:rPr>
          <w:sz w:val="20"/>
          <w:szCs w:val="20"/>
        </w:rPr>
        <w:t xml:space="preserve">, </w:t>
      </w:r>
      <w:r w:rsidRPr="00DA792F">
        <w:rPr>
          <w:i/>
          <w:iCs/>
          <w:sz w:val="20"/>
          <w:szCs w:val="20"/>
        </w:rPr>
        <w:t>23</w:t>
      </w:r>
      <w:r w:rsidRPr="00DA792F">
        <w:rPr>
          <w:sz w:val="20"/>
          <w:szCs w:val="20"/>
        </w:rPr>
        <w:t xml:space="preserve">(3), 403–407. </w:t>
      </w:r>
      <w:hyperlink r:id="rId71" w:history="1">
        <w:r w:rsidRPr="00DA792F">
          <w:rPr>
            <w:rStyle w:val="Hyperlink"/>
            <w:rFonts w:eastAsiaTheme="majorEastAsia"/>
            <w:sz w:val="20"/>
            <w:szCs w:val="20"/>
            <w:lang w:val="en-US"/>
          </w:rPr>
          <w:t>https://doi.org/10.1002/jts.20525</w:t>
        </w:r>
      </w:hyperlink>
      <w:r w:rsidRPr="00DA792F">
        <w:rPr>
          <w:rStyle w:val="url"/>
          <w:rFonts w:eastAsiaTheme="majorEastAsia"/>
          <w:sz w:val="20"/>
          <w:szCs w:val="20"/>
          <w:lang w:val="en-US"/>
        </w:rPr>
        <w:t xml:space="preserve"> </w:t>
      </w:r>
    </w:p>
    <w:p w14:paraId="1765F2B3"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DA792F">
        <w:rPr>
          <w:sz w:val="20"/>
          <w:szCs w:val="20"/>
          <w:lang w:val="en-US"/>
        </w:rPr>
        <w:t xml:space="preserve">Van Harmelen, A., Hauber, K., Moor, B. G., Spinhoven, P., Boon, A., Crone, E. A., &amp; Elzinga, B. M. (2014). Childhood Emotional Maltreatment Severity Is Associated with Dorsal Medial Prefrontal Cortex Responsivity to Social Exclusion in Young Adults. </w:t>
      </w:r>
      <w:r w:rsidRPr="00DA792F">
        <w:rPr>
          <w:i/>
          <w:iCs/>
          <w:sz w:val="20"/>
          <w:szCs w:val="20"/>
        </w:rPr>
        <w:t>PloS One</w:t>
      </w:r>
      <w:r w:rsidRPr="00DA792F">
        <w:rPr>
          <w:sz w:val="20"/>
          <w:szCs w:val="20"/>
        </w:rPr>
        <w:t xml:space="preserve">, </w:t>
      </w:r>
      <w:r w:rsidRPr="00DA792F">
        <w:rPr>
          <w:i/>
          <w:iCs/>
          <w:sz w:val="20"/>
          <w:szCs w:val="20"/>
        </w:rPr>
        <w:t>9</w:t>
      </w:r>
      <w:r w:rsidRPr="00DA792F">
        <w:rPr>
          <w:sz w:val="20"/>
          <w:szCs w:val="20"/>
        </w:rPr>
        <w:t xml:space="preserve">(1), e85107. </w:t>
      </w:r>
      <w:hyperlink r:id="rId72" w:history="1">
        <w:r w:rsidRPr="00DA792F">
          <w:rPr>
            <w:rStyle w:val="Hyperlink"/>
            <w:rFonts w:eastAsiaTheme="majorEastAsia"/>
            <w:sz w:val="20"/>
            <w:szCs w:val="20"/>
          </w:rPr>
          <w:t>https://doi.org/10.1371/journal.pone.0085107</w:t>
        </w:r>
      </w:hyperlink>
      <w:r w:rsidRPr="00DA792F">
        <w:rPr>
          <w:rStyle w:val="url"/>
          <w:rFonts w:eastAsiaTheme="majorEastAsia"/>
          <w:sz w:val="20"/>
          <w:szCs w:val="20"/>
        </w:rPr>
        <w:t xml:space="preserve"> </w:t>
      </w:r>
    </w:p>
    <w:p w14:paraId="3D1C6D35" w14:textId="77777777" w:rsidR="008E1D13" w:rsidRPr="00DA792F" w:rsidRDefault="008E1D13" w:rsidP="008E1D13">
      <w:pPr>
        <w:pStyle w:val="NormalWeb"/>
        <w:numPr>
          <w:ilvl w:val="0"/>
          <w:numId w:val="2"/>
        </w:numPr>
        <w:spacing w:before="0" w:beforeAutospacing="0" w:after="0" w:afterAutospacing="0"/>
        <w:jc w:val="both"/>
        <w:rPr>
          <w:sz w:val="20"/>
          <w:szCs w:val="20"/>
          <w:lang w:val="en-US"/>
        </w:rPr>
      </w:pPr>
      <w:r w:rsidRPr="003F63A9">
        <w:rPr>
          <w:sz w:val="20"/>
          <w:szCs w:val="20"/>
          <w:lang w:val="it-IT"/>
        </w:rPr>
        <w:t xml:space="preserve">Vergano, C. M., Lauriola, M., &amp; Speranza, A. M. (2015). </w:t>
      </w:r>
      <w:r w:rsidRPr="00DA792F">
        <w:rPr>
          <w:sz w:val="20"/>
          <w:szCs w:val="20"/>
          <w:lang w:val="en-US"/>
        </w:rPr>
        <w:t xml:space="preserve">The Complex Trauma Questionnaire (ComplexTQ): development and preliminary psychometric properties of an instrument for measuring early relational trauma. </w:t>
      </w:r>
      <w:r w:rsidRPr="00DA792F">
        <w:rPr>
          <w:i/>
          <w:iCs/>
          <w:sz w:val="20"/>
          <w:szCs w:val="20"/>
        </w:rPr>
        <w:t>Frontiers in Psychology</w:t>
      </w:r>
      <w:r w:rsidRPr="00DA792F">
        <w:rPr>
          <w:sz w:val="20"/>
          <w:szCs w:val="20"/>
        </w:rPr>
        <w:t xml:space="preserve">, </w:t>
      </w:r>
      <w:r w:rsidRPr="00DA792F">
        <w:rPr>
          <w:i/>
          <w:iCs/>
          <w:sz w:val="20"/>
          <w:szCs w:val="20"/>
        </w:rPr>
        <w:t>6</w:t>
      </w:r>
      <w:r w:rsidRPr="00DA792F">
        <w:rPr>
          <w:sz w:val="20"/>
          <w:szCs w:val="20"/>
        </w:rPr>
        <w:t xml:space="preserve">. </w:t>
      </w:r>
      <w:hyperlink r:id="rId73" w:history="1">
        <w:r w:rsidRPr="00DA792F">
          <w:rPr>
            <w:rStyle w:val="Hyperlink"/>
            <w:rFonts w:eastAsiaTheme="majorEastAsia"/>
            <w:sz w:val="20"/>
            <w:szCs w:val="20"/>
          </w:rPr>
          <w:t>https://doi.org/10.3389/fpsyg.2015.01323</w:t>
        </w:r>
      </w:hyperlink>
      <w:r w:rsidRPr="00DA792F">
        <w:rPr>
          <w:rStyle w:val="url"/>
          <w:rFonts w:eastAsiaTheme="majorEastAsia"/>
          <w:sz w:val="20"/>
          <w:szCs w:val="20"/>
        </w:rPr>
        <w:t xml:space="preserve"> </w:t>
      </w:r>
    </w:p>
    <w:p w14:paraId="06965C3B" w14:textId="77777777" w:rsidR="008E1D13" w:rsidRPr="00DA792F" w:rsidRDefault="008E1D13" w:rsidP="008E1D13">
      <w:pPr>
        <w:pStyle w:val="NormalWeb"/>
        <w:spacing w:before="0" w:beforeAutospacing="0" w:after="0" w:afterAutospacing="0"/>
        <w:ind w:left="720" w:hanging="720"/>
        <w:jc w:val="both"/>
        <w:rPr>
          <w:sz w:val="20"/>
          <w:szCs w:val="20"/>
        </w:rPr>
      </w:pPr>
    </w:p>
    <w:p w14:paraId="515CEBF8" w14:textId="77777777" w:rsidR="008E1D13" w:rsidRPr="00DA792F" w:rsidRDefault="008E1D13" w:rsidP="008E1D13">
      <w:pPr>
        <w:spacing w:line="240" w:lineRule="auto"/>
        <w:jc w:val="both"/>
        <w:rPr>
          <w:sz w:val="20"/>
          <w:szCs w:val="20"/>
        </w:rPr>
      </w:pPr>
    </w:p>
    <w:p w14:paraId="74D56D32" w14:textId="77777777" w:rsidR="008E1D13" w:rsidRPr="00DA792F" w:rsidRDefault="008E1D13" w:rsidP="008E1D13">
      <w:pPr>
        <w:spacing w:line="240" w:lineRule="auto"/>
        <w:jc w:val="both"/>
        <w:rPr>
          <w:sz w:val="20"/>
          <w:szCs w:val="20"/>
        </w:rPr>
      </w:pPr>
    </w:p>
    <w:p w14:paraId="3ACB0AC7" w14:textId="77777777" w:rsidR="008E1D13" w:rsidRPr="00DA792F" w:rsidRDefault="008E1D13" w:rsidP="008E1D13">
      <w:pPr>
        <w:spacing w:line="240" w:lineRule="auto"/>
        <w:jc w:val="both"/>
        <w:rPr>
          <w:b/>
          <w:bCs/>
          <w:i/>
          <w:iCs/>
          <w:sz w:val="20"/>
          <w:szCs w:val="20"/>
        </w:rPr>
      </w:pPr>
      <w:r w:rsidRPr="00DA792F">
        <w:rPr>
          <w:b/>
          <w:bCs/>
          <w:i/>
          <w:iCs/>
          <w:sz w:val="20"/>
          <w:szCs w:val="20"/>
        </w:rPr>
        <w:t>Webliography</w:t>
      </w:r>
    </w:p>
    <w:p w14:paraId="1A6958A0" w14:textId="77777777" w:rsidR="008E1D13" w:rsidRPr="00DA792F" w:rsidRDefault="008E1D13" w:rsidP="008E1D13">
      <w:pPr>
        <w:spacing w:line="240" w:lineRule="auto"/>
        <w:jc w:val="both"/>
        <w:rPr>
          <w:sz w:val="20"/>
          <w:szCs w:val="20"/>
        </w:rPr>
      </w:pPr>
    </w:p>
    <w:p w14:paraId="5679ADEB" w14:textId="77777777" w:rsidR="008E1D13" w:rsidRPr="00DA792F" w:rsidRDefault="008E1D13" w:rsidP="008E1D13">
      <w:pPr>
        <w:pStyle w:val="NormalWeb"/>
        <w:spacing w:before="0" w:beforeAutospacing="0" w:after="0" w:afterAutospacing="0"/>
        <w:ind w:left="720" w:hanging="720"/>
        <w:jc w:val="both"/>
        <w:rPr>
          <w:rStyle w:val="url"/>
          <w:rFonts w:eastAsiaTheme="majorEastAsia"/>
          <w:sz w:val="20"/>
          <w:szCs w:val="20"/>
          <w:lang w:val="en-US"/>
        </w:rPr>
      </w:pPr>
      <w:r w:rsidRPr="00DA792F">
        <w:rPr>
          <w:sz w:val="20"/>
          <w:szCs w:val="20"/>
          <w:lang w:val="en-US"/>
        </w:rPr>
        <w:t xml:space="preserve">Council of Europe. (2011). Council of Europe Convention on Preventing and Combating Violence Against Women and Domestic Violence. </w:t>
      </w:r>
      <w:r w:rsidRPr="00DA792F">
        <w:rPr>
          <w:sz w:val="20"/>
          <w:szCs w:val="20"/>
        </w:rPr>
        <w:t xml:space="preserve">In </w:t>
      </w:r>
      <w:r w:rsidRPr="00DA792F">
        <w:rPr>
          <w:i/>
          <w:iCs/>
          <w:sz w:val="20"/>
          <w:szCs w:val="20"/>
        </w:rPr>
        <w:t>Treaty Office</w:t>
      </w:r>
      <w:r w:rsidRPr="00DA792F">
        <w:rPr>
          <w:sz w:val="20"/>
          <w:szCs w:val="20"/>
        </w:rPr>
        <w:t xml:space="preserve"> (CETS 210). </w:t>
      </w:r>
      <w:hyperlink r:id="rId74" w:history="1">
        <w:r w:rsidRPr="00DA792F">
          <w:rPr>
            <w:rStyle w:val="Hyperlink"/>
            <w:rFonts w:eastAsiaTheme="majorEastAsia"/>
            <w:sz w:val="20"/>
            <w:szCs w:val="20"/>
            <w:lang w:val="en-US"/>
          </w:rPr>
          <w:t>https://rm.coe.int/168008482e</w:t>
        </w:r>
      </w:hyperlink>
      <w:r w:rsidRPr="00DA792F">
        <w:rPr>
          <w:rStyle w:val="url"/>
          <w:rFonts w:eastAsiaTheme="majorEastAsia"/>
          <w:sz w:val="20"/>
          <w:szCs w:val="20"/>
          <w:lang w:val="en-US"/>
        </w:rPr>
        <w:t xml:space="preserve"> </w:t>
      </w:r>
    </w:p>
    <w:p w14:paraId="1511E844" w14:textId="77777777" w:rsidR="008E1D13" w:rsidRPr="003F63A9" w:rsidRDefault="008E1D13" w:rsidP="008E1D13">
      <w:pPr>
        <w:pStyle w:val="NormalWeb"/>
        <w:spacing w:before="0" w:beforeAutospacing="0" w:after="0" w:afterAutospacing="0"/>
        <w:ind w:left="720" w:hanging="720"/>
        <w:jc w:val="both"/>
        <w:rPr>
          <w:sz w:val="20"/>
          <w:szCs w:val="20"/>
          <w:lang w:val="en-US"/>
        </w:rPr>
      </w:pPr>
      <w:r w:rsidRPr="00DA792F">
        <w:rPr>
          <w:i/>
          <w:iCs/>
          <w:sz w:val="20"/>
          <w:szCs w:val="20"/>
        </w:rPr>
        <w:t>Database - Eurostat</w:t>
      </w:r>
      <w:r w:rsidRPr="00DA792F">
        <w:rPr>
          <w:sz w:val="20"/>
          <w:szCs w:val="20"/>
        </w:rPr>
        <w:t xml:space="preserve">. (2024). Eurostat. </w:t>
      </w:r>
      <w:hyperlink r:id="rId75" w:history="1">
        <w:r w:rsidRPr="00DA792F">
          <w:rPr>
            <w:rStyle w:val="Hyperlink"/>
            <w:rFonts w:eastAsiaTheme="majorEastAsia"/>
            <w:sz w:val="20"/>
            <w:szCs w:val="20"/>
          </w:rPr>
          <w:t>https://ec.europa.eu/eurostat/web/gender-based-violence/database</w:t>
        </w:r>
      </w:hyperlink>
      <w:r w:rsidRPr="00DA792F">
        <w:rPr>
          <w:rStyle w:val="url"/>
          <w:rFonts w:eastAsiaTheme="majorEastAsia"/>
          <w:sz w:val="20"/>
          <w:szCs w:val="20"/>
        </w:rPr>
        <w:t xml:space="preserve"> </w:t>
      </w:r>
    </w:p>
    <w:p w14:paraId="6B082EA6" w14:textId="77777777" w:rsidR="008E1D13" w:rsidRPr="00DA792F" w:rsidRDefault="008E1D13" w:rsidP="008E1D13">
      <w:pPr>
        <w:pStyle w:val="NormalWeb"/>
        <w:spacing w:before="0" w:beforeAutospacing="0" w:after="0" w:afterAutospacing="0"/>
        <w:ind w:left="720" w:hanging="720"/>
        <w:jc w:val="both"/>
        <w:rPr>
          <w:sz w:val="20"/>
          <w:szCs w:val="20"/>
          <w:lang w:val="en-US"/>
        </w:rPr>
      </w:pPr>
      <w:r w:rsidRPr="00DA792F">
        <w:rPr>
          <w:i/>
          <w:iCs/>
          <w:sz w:val="20"/>
          <w:szCs w:val="20"/>
          <w:lang w:val="en-US"/>
        </w:rPr>
        <w:t>Violence against women data</w:t>
      </w:r>
      <w:r w:rsidRPr="00DA792F">
        <w:rPr>
          <w:sz w:val="20"/>
          <w:szCs w:val="20"/>
          <w:lang w:val="en-US"/>
        </w:rPr>
        <w:t xml:space="preserve">. (2024). WHO Data. </w:t>
      </w:r>
      <w:hyperlink r:id="rId76" w:history="1">
        <w:r w:rsidRPr="00DA792F">
          <w:rPr>
            <w:rStyle w:val="Hyperlink"/>
            <w:rFonts w:eastAsiaTheme="majorEastAsia"/>
            <w:sz w:val="20"/>
            <w:szCs w:val="20"/>
            <w:lang w:val="en-US"/>
          </w:rPr>
          <w:t>https://platform.who.int/data/sexual-and-reproductive-health-and-rights/violence-against-women-data</w:t>
        </w:r>
      </w:hyperlink>
      <w:r w:rsidRPr="00DA792F">
        <w:rPr>
          <w:rStyle w:val="url"/>
          <w:rFonts w:eastAsiaTheme="majorEastAsia"/>
          <w:sz w:val="20"/>
          <w:szCs w:val="20"/>
          <w:lang w:val="en-US"/>
        </w:rPr>
        <w:t xml:space="preserve"> </w:t>
      </w:r>
    </w:p>
    <w:p w14:paraId="33F28E1E" w14:textId="77777777" w:rsidR="008E1D13" w:rsidRDefault="008E1D13" w:rsidP="008E1D13"/>
    <w:p w14:paraId="29DF3BD4" w14:textId="77777777" w:rsidR="00DE2A52" w:rsidRDefault="00DE2A52" w:rsidP="00420C36">
      <w:pPr>
        <w:rPr>
          <w:lang w:val="en-US"/>
        </w:rPr>
      </w:pPr>
    </w:p>
    <w:p w14:paraId="2EC1DD7A" w14:textId="77777777" w:rsidR="00420C36" w:rsidRDefault="00420C36" w:rsidP="00420C36">
      <w:pPr>
        <w:rPr>
          <w:lang w:val="en-US"/>
        </w:rPr>
      </w:pPr>
    </w:p>
    <w:p w14:paraId="4941C0F2" w14:textId="77777777" w:rsidR="00420C36" w:rsidRDefault="00420C36" w:rsidP="00420C36">
      <w:pPr>
        <w:rPr>
          <w:lang w:val="en-US"/>
        </w:rPr>
      </w:pPr>
    </w:p>
    <w:p w14:paraId="52E82956" w14:textId="63972A10" w:rsidR="006D7BE8" w:rsidRPr="00DE5A23" w:rsidRDefault="006D7BE8">
      <w:pPr>
        <w:rPr>
          <w:lang w:val="en-US"/>
        </w:rPr>
      </w:pPr>
    </w:p>
    <w:sectPr w:rsidR="006D7BE8" w:rsidRPr="00DE5A23" w:rsidSect="00802D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13CE6"/>
    <w:multiLevelType w:val="hybridMultilevel"/>
    <w:tmpl w:val="ED963148"/>
    <w:lvl w:ilvl="0" w:tplc="E5441B12">
      <w:start w:val="4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AF7577"/>
    <w:multiLevelType w:val="hybridMultilevel"/>
    <w:tmpl w:val="A05EAA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6604943">
    <w:abstractNumId w:val="0"/>
  </w:num>
  <w:num w:numId="2" w16cid:durableId="196091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33"/>
    <w:rsid w:val="000013D7"/>
    <w:rsid w:val="000022FF"/>
    <w:rsid w:val="000208C5"/>
    <w:rsid w:val="000353E4"/>
    <w:rsid w:val="0004115D"/>
    <w:rsid w:val="000428C3"/>
    <w:rsid w:val="00044667"/>
    <w:rsid w:val="000453AE"/>
    <w:rsid w:val="00050511"/>
    <w:rsid w:val="00064E9F"/>
    <w:rsid w:val="000750D5"/>
    <w:rsid w:val="000878D3"/>
    <w:rsid w:val="00091A9A"/>
    <w:rsid w:val="000923F9"/>
    <w:rsid w:val="000926C6"/>
    <w:rsid w:val="000A10EE"/>
    <w:rsid w:val="000A245A"/>
    <w:rsid w:val="000A79B1"/>
    <w:rsid w:val="000B1AE2"/>
    <w:rsid w:val="000C396F"/>
    <w:rsid w:val="000F15E4"/>
    <w:rsid w:val="001056DA"/>
    <w:rsid w:val="00107747"/>
    <w:rsid w:val="00112BB7"/>
    <w:rsid w:val="00113509"/>
    <w:rsid w:val="00135631"/>
    <w:rsid w:val="00137B3A"/>
    <w:rsid w:val="00150A31"/>
    <w:rsid w:val="0015507E"/>
    <w:rsid w:val="001720D8"/>
    <w:rsid w:val="00173776"/>
    <w:rsid w:val="001D65B2"/>
    <w:rsid w:val="001E5C8E"/>
    <w:rsid w:val="001E7382"/>
    <w:rsid w:val="001F4C9C"/>
    <w:rsid w:val="00205483"/>
    <w:rsid w:val="0021143B"/>
    <w:rsid w:val="002118BA"/>
    <w:rsid w:val="00266CB6"/>
    <w:rsid w:val="002703FB"/>
    <w:rsid w:val="00273211"/>
    <w:rsid w:val="00290133"/>
    <w:rsid w:val="002918C3"/>
    <w:rsid w:val="00293C8A"/>
    <w:rsid w:val="00295E3F"/>
    <w:rsid w:val="002B2428"/>
    <w:rsid w:val="002D2BBE"/>
    <w:rsid w:val="002E0C89"/>
    <w:rsid w:val="002E50FA"/>
    <w:rsid w:val="00304C79"/>
    <w:rsid w:val="00312CD0"/>
    <w:rsid w:val="00351CD9"/>
    <w:rsid w:val="00360D47"/>
    <w:rsid w:val="00385785"/>
    <w:rsid w:val="003B2464"/>
    <w:rsid w:val="003B3C7E"/>
    <w:rsid w:val="003B6708"/>
    <w:rsid w:val="003C57EA"/>
    <w:rsid w:val="003F63A9"/>
    <w:rsid w:val="004044D2"/>
    <w:rsid w:val="004063B1"/>
    <w:rsid w:val="00420C36"/>
    <w:rsid w:val="00422514"/>
    <w:rsid w:val="00431AC3"/>
    <w:rsid w:val="00434A44"/>
    <w:rsid w:val="00445571"/>
    <w:rsid w:val="00453FB1"/>
    <w:rsid w:val="00454FD8"/>
    <w:rsid w:val="00466EE4"/>
    <w:rsid w:val="004725E4"/>
    <w:rsid w:val="00492305"/>
    <w:rsid w:val="004A2015"/>
    <w:rsid w:val="004A33FF"/>
    <w:rsid w:val="004B47FB"/>
    <w:rsid w:val="004C481D"/>
    <w:rsid w:val="004C6D12"/>
    <w:rsid w:val="004D5598"/>
    <w:rsid w:val="0051320B"/>
    <w:rsid w:val="00514FE2"/>
    <w:rsid w:val="005313EF"/>
    <w:rsid w:val="00537850"/>
    <w:rsid w:val="00547796"/>
    <w:rsid w:val="005507E2"/>
    <w:rsid w:val="0055738F"/>
    <w:rsid w:val="00562EEF"/>
    <w:rsid w:val="0059328C"/>
    <w:rsid w:val="005A70E4"/>
    <w:rsid w:val="005C6039"/>
    <w:rsid w:val="005C6B40"/>
    <w:rsid w:val="005D038B"/>
    <w:rsid w:val="005E0523"/>
    <w:rsid w:val="006055EE"/>
    <w:rsid w:val="00640661"/>
    <w:rsid w:val="006645B8"/>
    <w:rsid w:val="00670B00"/>
    <w:rsid w:val="00683070"/>
    <w:rsid w:val="006A4CB5"/>
    <w:rsid w:val="006A7218"/>
    <w:rsid w:val="006D2850"/>
    <w:rsid w:val="006D53B1"/>
    <w:rsid w:val="006D6A96"/>
    <w:rsid w:val="006D7BE8"/>
    <w:rsid w:val="006F129A"/>
    <w:rsid w:val="006F3E2D"/>
    <w:rsid w:val="006F4E7A"/>
    <w:rsid w:val="00700919"/>
    <w:rsid w:val="00716463"/>
    <w:rsid w:val="007204B5"/>
    <w:rsid w:val="00752FB9"/>
    <w:rsid w:val="00754BE8"/>
    <w:rsid w:val="00767A37"/>
    <w:rsid w:val="00781972"/>
    <w:rsid w:val="007A16B1"/>
    <w:rsid w:val="007A213E"/>
    <w:rsid w:val="007A3933"/>
    <w:rsid w:val="007A663F"/>
    <w:rsid w:val="007C0254"/>
    <w:rsid w:val="00802D5B"/>
    <w:rsid w:val="0081080F"/>
    <w:rsid w:val="00816B60"/>
    <w:rsid w:val="00823E6B"/>
    <w:rsid w:val="008338A6"/>
    <w:rsid w:val="00862329"/>
    <w:rsid w:val="00862C94"/>
    <w:rsid w:val="008673CC"/>
    <w:rsid w:val="008720F5"/>
    <w:rsid w:val="00887696"/>
    <w:rsid w:val="00890ED3"/>
    <w:rsid w:val="00894E37"/>
    <w:rsid w:val="008A0607"/>
    <w:rsid w:val="008A3E17"/>
    <w:rsid w:val="008A530F"/>
    <w:rsid w:val="008B0508"/>
    <w:rsid w:val="008B0BC7"/>
    <w:rsid w:val="008D0B8B"/>
    <w:rsid w:val="008D2E62"/>
    <w:rsid w:val="008D661F"/>
    <w:rsid w:val="008E17F6"/>
    <w:rsid w:val="008E1D13"/>
    <w:rsid w:val="00907100"/>
    <w:rsid w:val="00912096"/>
    <w:rsid w:val="00916D9D"/>
    <w:rsid w:val="009170D0"/>
    <w:rsid w:val="00957C94"/>
    <w:rsid w:val="009613EC"/>
    <w:rsid w:val="009707F7"/>
    <w:rsid w:val="00986CF8"/>
    <w:rsid w:val="009913CD"/>
    <w:rsid w:val="009B080E"/>
    <w:rsid w:val="009C48E4"/>
    <w:rsid w:val="00A00196"/>
    <w:rsid w:val="00A11BDC"/>
    <w:rsid w:val="00A35CB4"/>
    <w:rsid w:val="00A52673"/>
    <w:rsid w:val="00A56A50"/>
    <w:rsid w:val="00A72571"/>
    <w:rsid w:val="00A7272F"/>
    <w:rsid w:val="00A768D2"/>
    <w:rsid w:val="00A80822"/>
    <w:rsid w:val="00AA4BD5"/>
    <w:rsid w:val="00AA5DEF"/>
    <w:rsid w:val="00AB7527"/>
    <w:rsid w:val="00AD010D"/>
    <w:rsid w:val="00AD3150"/>
    <w:rsid w:val="00AE3CB6"/>
    <w:rsid w:val="00B01C01"/>
    <w:rsid w:val="00B04E11"/>
    <w:rsid w:val="00B150D8"/>
    <w:rsid w:val="00B26C91"/>
    <w:rsid w:val="00B328CF"/>
    <w:rsid w:val="00B4170D"/>
    <w:rsid w:val="00B53F5E"/>
    <w:rsid w:val="00B820EB"/>
    <w:rsid w:val="00B823FB"/>
    <w:rsid w:val="00BA707E"/>
    <w:rsid w:val="00BC29E9"/>
    <w:rsid w:val="00BC7FCD"/>
    <w:rsid w:val="00BE157E"/>
    <w:rsid w:val="00BE2E2C"/>
    <w:rsid w:val="00BE3B76"/>
    <w:rsid w:val="00BE66FB"/>
    <w:rsid w:val="00C0144B"/>
    <w:rsid w:val="00C10E9A"/>
    <w:rsid w:val="00C14243"/>
    <w:rsid w:val="00C26742"/>
    <w:rsid w:val="00C339F6"/>
    <w:rsid w:val="00C568E4"/>
    <w:rsid w:val="00C57346"/>
    <w:rsid w:val="00C6200F"/>
    <w:rsid w:val="00C72FE8"/>
    <w:rsid w:val="00C75056"/>
    <w:rsid w:val="00C908D4"/>
    <w:rsid w:val="00CA662B"/>
    <w:rsid w:val="00CC563F"/>
    <w:rsid w:val="00CC6003"/>
    <w:rsid w:val="00CD751F"/>
    <w:rsid w:val="00CE0642"/>
    <w:rsid w:val="00CE344C"/>
    <w:rsid w:val="00D070B9"/>
    <w:rsid w:val="00D23034"/>
    <w:rsid w:val="00D23A98"/>
    <w:rsid w:val="00D365F0"/>
    <w:rsid w:val="00D601B0"/>
    <w:rsid w:val="00DC52AA"/>
    <w:rsid w:val="00DC71B1"/>
    <w:rsid w:val="00DD4B25"/>
    <w:rsid w:val="00DE2A52"/>
    <w:rsid w:val="00DE581A"/>
    <w:rsid w:val="00DE5A23"/>
    <w:rsid w:val="00DE78C7"/>
    <w:rsid w:val="00DF5E46"/>
    <w:rsid w:val="00E06010"/>
    <w:rsid w:val="00E1222D"/>
    <w:rsid w:val="00E131F1"/>
    <w:rsid w:val="00E1543E"/>
    <w:rsid w:val="00E1564D"/>
    <w:rsid w:val="00E216EB"/>
    <w:rsid w:val="00E24A90"/>
    <w:rsid w:val="00E33222"/>
    <w:rsid w:val="00E35078"/>
    <w:rsid w:val="00E61A6A"/>
    <w:rsid w:val="00E823BE"/>
    <w:rsid w:val="00EA0021"/>
    <w:rsid w:val="00EA0EF8"/>
    <w:rsid w:val="00ED56B7"/>
    <w:rsid w:val="00EE29DF"/>
    <w:rsid w:val="00EF2511"/>
    <w:rsid w:val="00EF3BD6"/>
    <w:rsid w:val="00EF75CE"/>
    <w:rsid w:val="00F13944"/>
    <w:rsid w:val="00F25C0C"/>
    <w:rsid w:val="00F42C18"/>
    <w:rsid w:val="00F45A39"/>
    <w:rsid w:val="00F5400B"/>
    <w:rsid w:val="00F55708"/>
    <w:rsid w:val="00F63B31"/>
    <w:rsid w:val="00F646C1"/>
    <w:rsid w:val="00F67F22"/>
    <w:rsid w:val="00F720D1"/>
    <w:rsid w:val="00F822B8"/>
    <w:rsid w:val="00F8249F"/>
    <w:rsid w:val="00F87A6F"/>
    <w:rsid w:val="00FA0911"/>
    <w:rsid w:val="00FA38E0"/>
    <w:rsid w:val="00FD65AD"/>
    <w:rsid w:val="00FE6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ECFAA"/>
  <w15:chartTrackingRefBased/>
  <w15:docId w15:val="{8EBB14CE-FF55-49D0-9AB4-8500FCE7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3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33"/>
    <w:rPr>
      <w:rFonts w:asciiTheme="majorHAnsi" w:eastAsiaTheme="majorEastAsia" w:hAnsiTheme="majorHAnsi" w:cstheme="majorBidi"/>
      <w:color w:val="0F4761" w:themeColor="accent1" w:themeShade="BF"/>
      <w:sz w:val="40"/>
      <w:szCs w:val="40"/>
      <w:lang w:val="en"/>
    </w:rPr>
  </w:style>
  <w:style w:type="character" w:customStyle="1" w:styleId="Heading2Char">
    <w:name w:val="Heading 2 Char"/>
    <w:basedOn w:val="DefaultParagraphFont"/>
    <w:link w:val="Heading2"/>
    <w:uiPriority w:val="9"/>
    <w:rsid w:val="007A3933"/>
    <w:rPr>
      <w:rFonts w:asciiTheme="majorHAnsi" w:eastAsiaTheme="majorEastAsia" w:hAnsiTheme="majorHAnsi" w:cstheme="majorBidi"/>
      <w:color w:val="0F4761" w:themeColor="accent1" w:themeShade="BF"/>
      <w:sz w:val="32"/>
      <w:szCs w:val="32"/>
      <w:lang w:val="en"/>
    </w:rPr>
  </w:style>
  <w:style w:type="character" w:customStyle="1" w:styleId="Heading3Char">
    <w:name w:val="Heading 3 Char"/>
    <w:basedOn w:val="DefaultParagraphFont"/>
    <w:link w:val="Heading3"/>
    <w:uiPriority w:val="9"/>
    <w:semiHidden/>
    <w:rsid w:val="007A3933"/>
    <w:rPr>
      <w:rFonts w:eastAsiaTheme="majorEastAsia" w:cstheme="majorBidi"/>
      <w:color w:val="0F4761" w:themeColor="accent1" w:themeShade="BF"/>
      <w:sz w:val="28"/>
      <w:szCs w:val="28"/>
      <w:lang w:val="en"/>
    </w:rPr>
  </w:style>
  <w:style w:type="character" w:customStyle="1" w:styleId="Heading4Char">
    <w:name w:val="Heading 4 Char"/>
    <w:basedOn w:val="DefaultParagraphFont"/>
    <w:link w:val="Heading4"/>
    <w:uiPriority w:val="9"/>
    <w:semiHidden/>
    <w:rsid w:val="007A3933"/>
    <w:rPr>
      <w:rFonts w:eastAsiaTheme="majorEastAsia" w:cstheme="majorBidi"/>
      <w:i/>
      <w:iCs/>
      <w:color w:val="0F4761" w:themeColor="accent1" w:themeShade="BF"/>
      <w:lang w:val="en"/>
    </w:rPr>
  </w:style>
  <w:style w:type="character" w:customStyle="1" w:styleId="Heading5Char">
    <w:name w:val="Heading 5 Char"/>
    <w:basedOn w:val="DefaultParagraphFont"/>
    <w:link w:val="Heading5"/>
    <w:uiPriority w:val="9"/>
    <w:semiHidden/>
    <w:rsid w:val="007A3933"/>
    <w:rPr>
      <w:rFonts w:eastAsiaTheme="majorEastAsia" w:cstheme="majorBidi"/>
      <w:color w:val="0F4761" w:themeColor="accent1" w:themeShade="BF"/>
      <w:lang w:val="en"/>
    </w:rPr>
  </w:style>
  <w:style w:type="character" w:customStyle="1" w:styleId="Heading6Char">
    <w:name w:val="Heading 6 Char"/>
    <w:basedOn w:val="DefaultParagraphFont"/>
    <w:link w:val="Heading6"/>
    <w:uiPriority w:val="9"/>
    <w:semiHidden/>
    <w:rsid w:val="007A3933"/>
    <w:rPr>
      <w:rFonts w:eastAsiaTheme="majorEastAsia" w:cstheme="majorBidi"/>
      <w:i/>
      <w:iCs/>
      <w:color w:val="595959" w:themeColor="text1" w:themeTint="A6"/>
      <w:lang w:val="en"/>
    </w:rPr>
  </w:style>
  <w:style w:type="character" w:customStyle="1" w:styleId="Heading7Char">
    <w:name w:val="Heading 7 Char"/>
    <w:basedOn w:val="DefaultParagraphFont"/>
    <w:link w:val="Heading7"/>
    <w:uiPriority w:val="9"/>
    <w:semiHidden/>
    <w:rsid w:val="007A3933"/>
    <w:rPr>
      <w:rFonts w:eastAsiaTheme="majorEastAsia" w:cstheme="majorBidi"/>
      <w:color w:val="595959" w:themeColor="text1" w:themeTint="A6"/>
      <w:lang w:val="en"/>
    </w:rPr>
  </w:style>
  <w:style w:type="character" w:customStyle="1" w:styleId="Heading8Char">
    <w:name w:val="Heading 8 Char"/>
    <w:basedOn w:val="DefaultParagraphFont"/>
    <w:link w:val="Heading8"/>
    <w:uiPriority w:val="9"/>
    <w:semiHidden/>
    <w:rsid w:val="007A3933"/>
    <w:rPr>
      <w:rFonts w:eastAsiaTheme="majorEastAsia" w:cstheme="majorBidi"/>
      <w:i/>
      <w:iCs/>
      <w:color w:val="272727" w:themeColor="text1" w:themeTint="D8"/>
      <w:lang w:val="en"/>
    </w:rPr>
  </w:style>
  <w:style w:type="character" w:customStyle="1" w:styleId="Heading9Char">
    <w:name w:val="Heading 9 Char"/>
    <w:basedOn w:val="DefaultParagraphFont"/>
    <w:link w:val="Heading9"/>
    <w:uiPriority w:val="9"/>
    <w:semiHidden/>
    <w:rsid w:val="007A3933"/>
    <w:rPr>
      <w:rFonts w:eastAsiaTheme="majorEastAsia" w:cstheme="majorBidi"/>
      <w:color w:val="272727" w:themeColor="text1" w:themeTint="D8"/>
      <w:lang w:val="en"/>
    </w:rPr>
  </w:style>
  <w:style w:type="paragraph" w:styleId="Title">
    <w:name w:val="Title"/>
    <w:basedOn w:val="Normal"/>
    <w:next w:val="Normal"/>
    <w:link w:val="TitleChar"/>
    <w:uiPriority w:val="10"/>
    <w:qFormat/>
    <w:rsid w:val="007A3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933"/>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7A3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933"/>
    <w:rPr>
      <w:rFonts w:eastAsiaTheme="majorEastAsia"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7A3933"/>
    <w:pPr>
      <w:spacing w:before="160"/>
      <w:jc w:val="center"/>
    </w:pPr>
    <w:rPr>
      <w:i/>
      <w:iCs/>
      <w:color w:val="404040" w:themeColor="text1" w:themeTint="BF"/>
    </w:rPr>
  </w:style>
  <w:style w:type="character" w:customStyle="1" w:styleId="QuoteChar">
    <w:name w:val="Quote Char"/>
    <w:basedOn w:val="DefaultParagraphFont"/>
    <w:link w:val="Quote"/>
    <w:uiPriority w:val="29"/>
    <w:rsid w:val="007A3933"/>
    <w:rPr>
      <w:i/>
      <w:iCs/>
      <w:color w:val="404040" w:themeColor="text1" w:themeTint="BF"/>
      <w:lang w:val="en"/>
    </w:rPr>
  </w:style>
  <w:style w:type="paragraph" w:styleId="ListParagraph">
    <w:name w:val="List Paragraph"/>
    <w:basedOn w:val="Normal"/>
    <w:uiPriority w:val="34"/>
    <w:qFormat/>
    <w:rsid w:val="007A3933"/>
    <w:pPr>
      <w:ind w:left="720"/>
      <w:contextualSpacing/>
    </w:pPr>
  </w:style>
  <w:style w:type="character" w:styleId="IntenseEmphasis">
    <w:name w:val="Intense Emphasis"/>
    <w:basedOn w:val="DefaultParagraphFont"/>
    <w:uiPriority w:val="21"/>
    <w:qFormat/>
    <w:rsid w:val="007A3933"/>
    <w:rPr>
      <w:i/>
      <w:iCs/>
      <w:color w:val="0F4761" w:themeColor="accent1" w:themeShade="BF"/>
    </w:rPr>
  </w:style>
  <w:style w:type="paragraph" w:styleId="IntenseQuote">
    <w:name w:val="Intense Quote"/>
    <w:basedOn w:val="Normal"/>
    <w:next w:val="Normal"/>
    <w:link w:val="IntenseQuoteChar"/>
    <w:uiPriority w:val="30"/>
    <w:qFormat/>
    <w:rsid w:val="007A3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933"/>
    <w:rPr>
      <w:i/>
      <w:iCs/>
      <w:color w:val="0F4761" w:themeColor="accent1" w:themeShade="BF"/>
      <w:lang w:val="en"/>
    </w:rPr>
  </w:style>
  <w:style w:type="character" w:styleId="IntenseReference">
    <w:name w:val="Intense Reference"/>
    <w:basedOn w:val="DefaultParagraphFont"/>
    <w:uiPriority w:val="32"/>
    <w:qFormat/>
    <w:rsid w:val="007A3933"/>
    <w:rPr>
      <w:b/>
      <w:bCs/>
      <w:smallCaps/>
      <w:color w:val="0F4761" w:themeColor="accent1" w:themeShade="BF"/>
      <w:spacing w:val="5"/>
    </w:rPr>
  </w:style>
  <w:style w:type="character" w:styleId="CommentReference">
    <w:name w:val="annotation reference"/>
    <w:basedOn w:val="DefaultParagraphFont"/>
    <w:uiPriority w:val="99"/>
    <w:semiHidden/>
    <w:unhideWhenUsed/>
    <w:rsid w:val="006055EE"/>
    <w:rPr>
      <w:sz w:val="16"/>
      <w:szCs w:val="16"/>
    </w:rPr>
  </w:style>
  <w:style w:type="paragraph" w:styleId="CommentText">
    <w:name w:val="annotation text"/>
    <w:basedOn w:val="Normal"/>
    <w:link w:val="CommentTextChar"/>
    <w:uiPriority w:val="99"/>
    <w:unhideWhenUsed/>
    <w:rsid w:val="006055EE"/>
    <w:pPr>
      <w:spacing w:line="240" w:lineRule="auto"/>
    </w:pPr>
    <w:rPr>
      <w:sz w:val="20"/>
      <w:szCs w:val="20"/>
    </w:rPr>
  </w:style>
  <w:style w:type="character" w:customStyle="1" w:styleId="CommentTextChar">
    <w:name w:val="Comment Text Char"/>
    <w:basedOn w:val="DefaultParagraphFont"/>
    <w:link w:val="CommentText"/>
    <w:uiPriority w:val="99"/>
    <w:rsid w:val="006055EE"/>
    <w:rPr>
      <w:sz w:val="20"/>
      <w:szCs w:val="20"/>
      <w:lang w:val="en"/>
    </w:rPr>
  </w:style>
  <w:style w:type="paragraph" w:styleId="CommentSubject">
    <w:name w:val="annotation subject"/>
    <w:basedOn w:val="CommentText"/>
    <w:next w:val="CommentText"/>
    <w:link w:val="CommentSubjectChar"/>
    <w:uiPriority w:val="99"/>
    <w:semiHidden/>
    <w:unhideWhenUsed/>
    <w:rsid w:val="006055EE"/>
    <w:rPr>
      <w:b/>
      <w:bCs/>
    </w:rPr>
  </w:style>
  <w:style w:type="character" w:customStyle="1" w:styleId="CommentSubjectChar">
    <w:name w:val="Comment Subject Char"/>
    <w:basedOn w:val="CommentTextChar"/>
    <w:link w:val="CommentSubject"/>
    <w:uiPriority w:val="99"/>
    <w:semiHidden/>
    <w:rsid w:val="006055EE"/>
    <w:rPr>
      <w:b/>
      <w:bCs/>
      <w:sz w:val="20"/>
      <w:szCs w:val="20"/>
      <w:lang w:val="en"/>
    </w:rPr>
  </w:style>
  <w:style w:type="table" w:styleId="TableGrid">
    <w:name w:val="Table Grid"/>
    <w:basedOn w:val="TableNormal"/>
    <w:uiPriority w:val="39"/>
    <w:rsid w:val="0060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E5A2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11B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45A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8E1D13"/>
  </w:style>
  <w:style w:type="character" w:styleId="Hyperlink">
    <w:name w:val="Hyperlink"/>
    <w:basedOn w:val="DefaultParagraphFont"/>
    <w:uiPriority w:val="99"/>
    <w:unhideWhenUsed/>
    <w:rsid w:val="008E1D13"/>
    <w:rPr>
      <w:color w:val="467886" w:themeColor="hyperlink"/>
      <w:u w:val="single"/>
    </w:rPr>
  </w:style>
  <w:style w:type="character" w:styleId="UnresolvedMention">
    <w:name w:val="Unresolved Mention"/>
    <w:basedOn w:val="DefaultParagraphFont"/>
    <w:uiPriority w:val="99"/>
    <w:semiHidden/>
    <w:unhideWhenUsed/>
    <w:rsid w:val="00172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873440">
      <w:bodyDiv w:val="1"/>
      <w:marLeft w:val="0"/>
      <w:marRight w:val="0"/>
      <w:marTop w:val="0"/>
      <w:marBottom w:val="0"/>
      <w:divBdr>
        <w:top w:val="none" w:sz="0" w:space="0" w:color="auto"/>
        <w:left w:val="none" w:sz="0" w:space="0" w:color="auto"/>
        <w:bottom w:val="none" w:sz="0" w:space="0" w:color="auto"/>
        <w:right w:val="none" w:sz="0" w:space="0" w:color="auto"/>
      </w:divBdr>
    </w:div>
    <w:div w:id="1235967822">
      <w:bodyDiv w:val="1"/>
      <w:marLeft w:val="0"/>
      <w:marRight w:val="0"/>
      <w:marTop w:val="0"/>
      <w:marBottom w:val="0"/>
      <w:divBdr>
        <w:top w:val="none" w:sz="0" w:space="0" w:color="auto"/>
        <w:left w:val="none" w:sz="0" w:space="0" w:color="auto"/>
        <w:bottom w:val="none" w:sz="0" w:space="0" w:color="auto"/>
        <w:right w:val="none" w:sz="0" w:space="0" w:color="auto"/>
      </w:divBdr>
    </w:div>
    <w:div w:id="12944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hiabu.2004.01.008" TargetMode="External"/><Relationship Id="rId21" Type="http://schemas.openxmlformats.org/officeDocument/2006/relationships/hyperlink" Target="https://doi.org/10.1196/annals.1385.009" TargetMode="External"/><Relationship Id="rId42" Type="http://schemas.openxmlformats.org/officeDocument/2006/relationships/hyperlink" Target="https://doi.org/10.1037/a0022512" TargetMode="External"/><Relationship Id="rId47" Type="http://schemas.openxmlformats.org/officeDocument/2006/relationships/hyperlink" Target="https://doi.org/10.1111/j.1744-1617.2008.00215.x" TargetMode="External"/><Relationship Id="rId63" Type="http://schemas.openxmlformats.org/officeDocument/2006/relationships/hyperlink" Target="https://doi.org/10.1037/vio0000142" TargetMode="External"/><Relationship Id="rId68" Type="http://schemas.openxmlformats.org/officeDocument/2006/relationships/hyperlink" Target="https://doi.org/10.3402/ejpt.v5.24568" TargetMode="External"/><Relationship Id="rId16" Type="http://schemas.openxmlformats.org/officeDocument/2006/relationships/hyperlink" Target="https://doi.org/10.1016/s0140-6736(02)08336-8" TargetMode="External"/><Relationship Id="rId11" Type="http://schemas.openxmlformats.org/officeDocument/2006/relationships/hyperlink" Target="https://doi.org/10.1177/1524838014557290" TargetMode="External"/><Relationship Id="rId24" Type="http://schemas.openxmlformats.org/officeDocument/2006/relationships/hyperlink" Target="https://doi.org/10.1037/0021-843x.115.4.753" TargetMode="External"/><Relationship Id="rId32" Type="http://schemas.openxmlformats.org/officeDocument/2006/relationships/hyperlink" Target="https://doi.org/10.1002/imhj.20283" TargetMode="External"/><Relationship Id="rId37" Type="http://schemas.openxmlformats.org/officeDocument/2006/relationships/hyperlink" Target="https://doi.org/10.1177/1524838017692382" TargetMode="External"/><Relationship Id="rId40" Type="http://schemas.openxmlformats.org/officeDocument/2006/relationships/hyperlink" Target="https://doi.org/10.1192/pb.bp.107.018804" TargetMode="External"/><Relationship Id="rId45" Type="http://schemas.openxmlformats.org/officeDocument/2006/relationships/hyperlink" Target="https://doi.org/10.1007/s10896-005-5985-y" TargetMode="External"/><Relationship Id="rId53" Type="http://schemas.openxmlformats.org/officeDocument/2006/relationships/hyperlink" Target="https://doi.org/10.1002/imhj.20008" TargetMode="External"/><Relationship Id="rId58" Type="http://schemas.openxmlformats.org/officeDocument/2006/relationships/hyperlink" Target="https://doi.org/10.1007/s10578-021-01258-8" TargetMode="External"/><Relationship Id="rId66" Type="http://schemas.openxmlformats.org/officeDocument/2006/relationships/hyperlink" Target="https://doi.org/10.4081/ripppo.2021.531" TargetMode="External"/><Relationship Id="rId74" Type="http://schemas.openxmlformats.org/officeDocument/2006/relationships/hyperlink" Target="https://rm.coe.int/168008482e" TargetMode="External"/><Relationship Id="rId5" Type="http://schemas.openxmlformats.org/officeDocument/2006/relationships/webSettings" Target="webSettings.xml"/><Relationship Id="rId61" Type="http://schemas.openxmlformats.org/officeDocument/2006/relationships/hyperlink" Target="https://doi.org/10.1186/s12889-020-08766-7" TargetMode="External"/><Relationship Id="rId19" Type="http://schemas.openxmlformats.org/officeDocument/2006/relationships/hyperlink" Target="https://doi.org/10.15027/34257" TargetMode="External"/><Relationship Id="rId14" Type="http://schemas.openxmlformats.org/officeDocument/2006/relationships/hyperlink" Target="https://doi.org/10.1177/1559827611410265" TargetMode="External"/><Relationship Id="rId22" Type="http://schemas.openxmlformats.org/officeDocument/2006/relationships/hyperlink" Target="https://doi.org/10.1080/10911350902787429" TargetMode="External"/><Relationship Id="rId27" Type="http://schemas.openxmlformats.org/officeDocument/2006/relationships/hyperlink" Target="https://doi.org/10.1097/nmd.0000000000000300" TargetMode="External"/><Relationship Id="rId30" Type="http://schemas.openxmlformats.org/officeDocument/2006/relationships/hyperlink" Target="https://doi.org/10.1017/sjp.2018.21" TargetMode="External"/><Relationship Id="rId35" Type="http://schemas.openxmlformats.org/officeDocument/2006/relationships/hyperlink" Target="https://doi.org/10.1016/s0140-6736(06)69523-8" TargetMode="External"/><Relationship Id="rId43" Type="http://schemas.openxmlformats.org/officeDocument/2006/relationships/hyperlink" Target="https://doi.org/10.1016/s0140-6736(02)08357-5" TargetMode="External"/><Relationship Id="rId48" Type="http://schemas.openxmlformats.org/officeDocument/2006/relationships/hyperlink" Target="https://doi.org/10.1177/1524838011416378" TargetMode="External"/><Relationship Id="rId56" Type="http://schemas.openxmlformats.org/officeDocument/2006/relationships/hyperlink" Target="https://doi.org/10.1007/s10610-020-09469-w" TargetMode="External"/><Relationship Id="rId64" Type="http://schemas.openxmlformats.org/officeDocument/2006/relationships/hyperlink" Target="https://doi.org/10.1111/j.1365-2206.2006.00381.x" TargetMode="External"/><Relationship Id="rId69" Type="http://schemas.openxmlformats.org/officeDocument/2006/relationships/hyperlink" Target="https://doi.org/10.1016/j.chiabu.2013.11.004" TargetMode="External"/><Relationship Id="rId77" Type="http://schemas.openxmlformats.org/officeDocument/2006/relationships/fontTable" Target="fontTable.xml"/><Relationship Id="rId8" Type="http://schemas.openxmlformats.org/officeDocument/2006/relationships/hyperlink" Target="https://doi.org/10.4081/jphia.2018.860" TargetMode="External"/><Relationship Id="rId51" Type="http://schemas.openxmlformats.org/officeDocument/2006/relationships/hyperlink" Target="https://doi.org/10.1002/cbm.484" TargetMode="External"/><Relationship Id="rId72" Type="http://schemas.openxmlformats.org/officeDocument/2006/relationships/hyperlink" Target="https://doi.org/10.1371/journal.pone.0085107" TargetMode="External"/><Relationship Id="rId3" Type="http://schemas.openxmlformats.org/officeDocument/2006/relationships/styles" Target="styles.xml"/><Relationship Id="rId12" Type="http://schemas.openxmlformats.org/officeDocument/2006/relationships/hyperlink" Target="https://doi.org/10.1177/09526951221143645" TargetMode="External"/><Relationship Id="rId17" Type="http://schemas.openxmlformats.org/officeDocument/2006/relationships/hyperlink" Target="https://doi.org/10.1891/1946-6560.3.2.231" TargetMode="External"/><Relationship Id="rId25" Type="http://schemas.openxmlformats.org/officeDocument/2006/relationships/hyperlink" Target="https://doi.org/10.5093/ejpalc2013a2" TargetMode="External"/><Relationship Id="rId33" Type="http://schemas.openxmlformats.org/officeDocument/2006/relationships/hyperlink" Target="https://psycnet.apa.org/doi/10.1002/1097-0355(199123)12:3%3C201::AID-IMHJ2280120307%3E3.0.CO;2-7" TargetMode="External"/><Relationship Id="rId38" Type="http://schemas.openxmlformats.org/officeDocument/2006/relationships/hyperlink" Target="https://doi.org/10.1080/15299732.2012.642761" TargetMode="External"/><Relationship Id="rId46" Type="http://schemas.openxmlformats.org/officeDocument/2006/relationships/hyperlink" Target="https://doi.org/10.1016/s0924-9338(13)76004-8" TargetMode="External"/><Relationship Id="rId59" Type="http://schemas.openxmlformats.org/officeDocument/2006/relationships/hyperlink" Target="https://doi.org/10.5305/intelegamate.51.1.0106" TargetMode="External"/><Relationship Id="rId67" Type="http://schemas.openxmlformats.org/officeDocument/2006/relationships/hyperlink" Target="https://doi.org/10.1371/journal.pone.0051740" TargetMode="External"/><Relationship Id="rId20" Type="http://schemas.openxmlformats.org/officeDocument/2006/relationships/hyperlink" Target="https://doi.org/10.18060/23675" TargetMode="External"/><Relationship Id="rId41" Type="http://schemas.openxmlformats.org/officeDocument/2006/relationships/hyperlink" Target="https://doi.org/10.3389/fpsyg.2014.00966" TargetMode="External"/><Relationship Id="rId54" Type="http://schemas.openxmlformats.org/officeDocument/2006/relationships/hyperlink" Target="https://doi.org/10.1080/14330237.2020.1767929" TargetMode="External"/><Relationship Id="rId62" Type="http://schemas.openxmlformats.org/officeDocument/2006/relationships/hyperlink" Target="https://doi.org/10.1177/0886260520948517" TargetMode="External"/><Relationship Id="rId70" Type="http://schemas.openxmlformats.org/officeDocument/2006/relationships/hyperlink" Target="https://doi.org/10.6018/analesps.489601" TargetMode="External"/><Relationship Id="rId75" Type="http://schemas.openxmlformats.org/officeDocument/2006/relationships/hyperlink" Target="https://ec.europa.eu/eurostat/web/gender-based-violence/database" TargetMode="External"/><Relationship Id="rId1" Type="http://schemas.openxmlformats.org/officeDocument/2006/relationships/customXml" Target="../customXml/item1.xml"/><Relationship Id="rId6" Type="http://schemas.openxmlformats.org/officeDocument/2006/relationships/hyperlink" Target="http://discovery.ucl.ac.uk/133843/" TargetMode="External"/><Relationship Id="rId15" Type="http://schemas.openxmlformats.org/officeDocument/2006/relationships/hyperlink" Target="https://doi.org/10.2307/2798963" TargetMode="External"/><Relationship Id="rId23" Type="http://schemas.openxmlformats.org/officeDocument/2006/relationships/hyperlink" Target="https://doi.org/10.1016/s0749-3797(02)00514-7" TargetMode="External"/><Relationship Id="rId28" Type="http://schemas.openxmlformats.org/officeDocument/2006/relationships/hyperlink" Target="https://doi.org/10.1016/j.avb.2012.07.003" TargetMode="External"/><Relationship Id="rId36" Type="http://schemas.openxmlformats.org/officeDocument/2006/relationships/hyperlink" Target="https://doi.org/10.1371/journal.pone.0204956" TargetMode="External"/><Relationship Id="rId49" Type="http://schemas.openxmlformats.org/officeDocument/2006/relationships/hyperlink" Target="https://doi.org/10.1002/ab.21433" TargetMode="External"/><Relationship Id="rId57" Type="http://schemas.openxmlformats.org/officeDocument/2006/relationships/hyperlink" Target="https://doi.org/10.1089/vio.2021.0021" TargetMode="External"/><Relationship Id="rId10" Type="http://schemas.openxmlformats.org/officeDocument/2006/relationships/hyperlink" Target="https://doi.org/10.1111/famp.12261" TargetMode="External"/><Relationship Id="rId31" Type="http://schemas.openxmlformats.org/officeDocument/2006/relationships/hyperlink" Target="https://doi.org/10.1016/j.chiabu.2006.06.008" TargetMode="External"/><Relationship Id="rId44" Type="http://schemas.openxmlformats.org/officeDocument/2006/relationships/hyperlink" Target="https://doi.org/10.1080/10926771.2013.775982" TargetMode="External"/><Relationship Id="rId52" Type="http://schemas.openxmlformats.org/officeDocument/2006/relationships/hyperlink" Target="https://psycnet.apa.org/record/1999-04187-002" TargetMode="External"/><Relationship Id="rId60" Type="http://schemas.openxmlformats.org/officeDocument/2006/relationships/hyperlink" Target="https://doi.org/10.1016/j.chiabu.2013.09.004" TargetMode="External"/><Relationship Id="rId65" Type="http://schemas.openxmlformats.org/officeDocument/2006/relationships/hyperlink" Target="https://doi.org/10.1002/car.2353" TargetMode="External"/><Relationship Id="rId73" Type="http://schemas.openxmlformats.org/officeDocument/2006/relationships/hyperlink" Target="https://doi.org/10.3389/fpsyg.2015.01323"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7/1089-2680.8.4.291" TargetMode="External"/><Relationship Id="rId13" Type="http://schemas.openxmlformats.org/officeDocument/2006/relationships/hyperlink" Target="https://doi.org/10.1007/s11199-018-0949-x" TargetMode="External"/><Relationship Id="rId18" Type="http://schemas.openxmlformats.org/officeDocument/2006/relationships/hyperlink" Target="https://doi.org/10.1177/0886260508314295" TargetMode="External"/><Relationship Id="rId39" Type="http://schemas.openxmlformats.org/officeDocument/2006/relationships/hyperlink" Target="https://doi.org/10.1037/a0037886" TargetMode="External"/><Relationship Id="rId34" Type="http://schemas.openxmlformats.org/officeDocument/2006/relationships/hyperlink" Target="https://doi.org/10.1037/pap0000222" TargetMode="External"/><Relationship Id="rId50" Type="http://schemas.openxmlformats.org/officeDocument/2006/relationships/hyperlink" Target="https://doi.org/10.1177/1524838007303240" TargetMode="External"/><Relationship Id="rId55" Type="http://schemas.openxmlformats.org/officeDocument/2006/relationships/hyperlink" Target="https://doi.org/10.1089/jwh.2017.6402" TargetMode="External"/><Relationship Id="rId76" Type="http://schemas.openxmlformats.org/officeDocument/2006/relationships/hyperlink" Target="https://platform.who.int/data/sexual-and-reproductive-health-and-rights/violence-against-women-data" TargetMode="External"/><Relationship Id="rId7" Type="http://schemas.openxmlformats.org/officeDocument/2006/relationships/hyperlink" Target="https://doi.org/10.18863/pgy.567635" TargetMode="External"/><Relationship Id="rId71" Type="http://schemas.openxmlformats.org/officeDocument/2006/relationships/hyperlink" Target="https://doi.org/10.1002/jts.20525" TargetMode="External"/><Relationship Id="rId2" Type="http://schemas.openxmlformats.org/officeDocument/2006/relationships/numbering" Target="numbering.xml"/><Relationship Id="rId29" Type="http://schemas.openxmlformats.org/officeDocument/2006/relationships/hyperlink" Target="https://doi.org/10.1016/s0140-6736(08)60522-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8377D2-220B-4007-8F2F-59156054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11661</Words>
  <Characters>66472</Characters>
  <Application>Microsoft Office Word</Application>
  <DocSecurity>0</DocSecurity>
  <Lines>553</Lines>
  <Paragraphs>155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Manjola Çollaku</dc:creator>
  <cp:keywords/>
  <dc:description/>
  <cp:lastModifiedBy>Manjola Çollaku Marku</cp:lastModifiedBy>
  <cp:revision>3</cp:revision>
  <dcterms:created xsi:type="dcterms:W3CDTF">2024-05-23T18:28:00Z</dcterms:created>
  <dcterms:modified xsi:type="dcterms:W3CDTF">2024-06-29T17:45:00Z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55bab119-6bb0-4b9c-a70b-c308a390e1e1</vt:lpwstr>
  </property>
</Properties>
</file>