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5B80C5" w14:textId="5931C5FA" w:rsidR="00A75B8D" w:rsidRDefault="00A75B8D" w:rsidP="00A75B8D">
      <w:pPr>
        <w:jc w:val="center"/>
        <w:rPr>
          <w:rFonts w:ascii="Times New Roman" w:hAnsi="Times New Roman"/>
          <w:b/>
          <w:sz w:val="24"/>
          <w:szCs w:val="24"/>
        </w:rPr>
      </w:pPr>
      <w:r w:rsidRPr="00B177A6">
        <w:rPr>
          <w:rFonts w:ascii="Times New Roman" w:hAnsi="Times New Roman"/>
          <w:b/>
          <w:sz w:val="24"/>
          <w:szCs w:val="24"/>
        </w:rPr>
        <w:t>Cross-national</w:t>
      </w:r>
      <w:r w:rsidRPr="002D0163">
        <w:rPr>
          <w:rFonts w:ascii="Times New Roman" w:hAnsi="Times New Roman"/>
          <w:b/>
          <w:sz w:val="24"/>
          <w:szCs w:val="24"/>
        </w:rPr>
        <w:t xml:space="preserve"> invariance of the Spanish version of the 8-item Posttraumatic Growth Inventory-Short Form (PTGI-SF)</w:t>
      </w:r>
      <w:r>
        <w:rPr>
          <w:rFonts w:ascii="Times New Roman" w:hAnsi="Times New Roman"/>
          <w:b/>
          <w:sz w:val="24"/>
          <w:szCs w:val="24"/>
        </w:rPr>
        <w:t xml:space="preserve"> </w:t>
      </w:r>
      <w:r w:rsidRPr="002D0163">
        <w:rPr>
          <w:rFonts w:ascii="Times New Roman" w:hAnsi="Times New Roman"/>
          <w:b/>
          <w:sz w:val="24"/>
          <w:szCs w:val="24"/>
        </w:rPr>
        <w:t xml:space="preserve">in </w:t>
      </w:r>
      <w:r w:rsidRPr="003802EB">
        <w:rPr>
          <w:rFonts w:ascii="Times New Roman" w:hAnsi="Times New Roman"/>
          <w:b/>
          <w:sz w:val="24"/>
          <w:szCs w:val="24"/>
        </w:rPr>
        <w:t xml:space="preserve">people who experienced the death of loved ones from </w:t>
      </w:r>
      <w:r w:rsidR="00320C4A" w:rsidRPr="00320C4A">
        <w:rPr>
          <w:rFonts w:ascii="Times New Roman" w:hAnsi="Times New Roman" w:cs="Times New Roman"/>
          <w:b/>
          <w:bCs/>
          <w:sz w:val="24"/>
          <w:szCs w:val="24"/>
        </w:rPr>
        <w:t xml:space="preserve">four </w:t>
      </w:r>
      <w:r w:rsidR="00320C4A">
        <w:rPr>
          <w:rFonts w:ascii="Times New Roman" w:hAnsi="Times New Roman" w:cs="Times New Roman"/>
          <w:b/>
          <w:bCs/>
          <w:sz w:val="24"/>
          <w:szCs w:val="24"/>
        </w:rPr>
        <w:t>S</w:t>
      </w:r>
      <w:r w:rsidR="00320C4A" w:rsidRPr="00320C4A">
        <w:rPr>
          <w:rFonts w:ascii="Times New Roman" w:hAnsi="Times New Roman" w:cs="Times New Roman"/>
          <w:b/>
          <w:bCs/>
          <w:sz w:val="24"/>
          <w:szCs w:val="24"/>
        </w:rPr>
        <w:t xml:space="preserve">outh </w:t>
      </w:r>
      <w:r w:rsidRPr="00320C4A">
        <w:rPr>
          <w:rFonts w:ascii="Times New Roman" w:hAnsi="Times New Roman"/>
          <w:b/>
          <w:bCs/>
          <w:sz w:val="24"/>
          <w:szCs w:val="24"/>
        </w:rPr>
        <w:t>American</w:t>
      </w:r>
      <w:r w:rsidRPr="003802EB">
        <w:rPr>
          <w:rFonts w:ascii="Times New Roman" w:hAnsi="Times New Roman"/>
          <w:b/>
          <w:sz w:val="24"/>
          <w:szCs w:val="24"/>
        </w:rPr>
        <w:t xml:space="preserve"> countries</w:t>
      </w:r>
      <w:r w:rsidR="00A85CEE">
        <w:rPr>
          <w:rFonts w:ascii="Times New Roman" w:hAnsi="Times New Roman"/>
          <w:b/>
          <w:sz w:val="24"/>
          <w:szCs w:val="24"/>
        </w:rPr>
        <w:t xml:space="preserve"> </w:t>
      </w:r>
    </w:p>
    <w:p w14:paraId="6538118B" w14:textId="77777777" w:rsidR="00837443" w:rsidRPr="003A1DCB" w:rsidRDefault="00837443" w:rsidP="00D90B35">
      <w:pPr>
        <w:jc w:val="center"/>
        <w:rPr>
          <w:rFonts w:ascii="Times New Roman" w:hAnsi="Times New Roman" w:cs="Times New Roman"/>
          <w:color w:val="FF0000"/>
          <w:sz w:val="24"/>
          <w:szCs w:val="24"/>
        </w:rPr>
      </w:pPr>
    </w:p>
    <w:p w14:paraId="3E4368ED" w14:textId="615F85B3" w:rsidR="002B3813" w:rsidRPr="00DC595B" w:rsidRDefault="00CB6366" w:rsidP="002F199D">
      <w:pPr>
        <w:jc w:val="center"/>
        <w:rPr>
          <w:rFonts w:ascii="Times New Roman" w:hAnsi="Times New Roman" w:cs="Times New Roman"/>
          <w:b/>
          <w:sz w:val="24"/>
          <w:szCs w:val="24"/>
        </w:rPr>
      </w:pPr>
      <w:r w:rsidRPr="00DC595B">
        <w:rPr>
          <w:rFonts w:ascii="Times New Roman" w:hAnsi="Times New Roman" w:cs="Times New Roman"/>
          <w:b/>
          <w:sz w:val="24"/>
          <w:szCs w:val="24"/>
        </w:rPr>
        <w:t>Abstract</w:t>
      </w:r>
    </w:p>
    <w:p w14:paraId="3B1D1B13" w14:textId="24CAFF10" w:rsidR="00653159" w:rsidRPr="00DC595B" w:rsidRDefault="00320C4A" w:rsidP="00413E14">
      <w:pPr>
        <w:spacing w:line="276" w:lineRule="auto"/>
        <w:rPr>
          <w:rFonts w:ascii="Times New Roman" w:hAnsi="Times New Roman" w:cs="Times New Roman"/>
          <w:sz w:val="24"/>
          <w:szCs w:val="24"/>
        </w:rPr>
      </w:pPr>
      <w:r w:rsidRPr="00320C4A">
        <w:rPr>
          <w:rFonts w:ascii="Times New Roman" w:hAnsi="Times New Roman" w:cs="Times New Roman"/>
          <w:sz w:val="24"/>
          <w:szCs w:val="24"/>
        </w:rPr>
        <w:t>Following the COVID-19 pandemic, there is concern about the increase in mental health problems associated with COVID-19 grief. Recent studies have identified positive outcomes that may have arisen in the face of adversity and that may lead to positive psychological changes, such as post-traumatic growth.</w:t>
      </w:r>
      <w:r w:rsidR="00A85CEE">
        <w:rPr>
          <w:rFonts w:ascii="Times New Roman" w:hAnsi="Times New Roman" w:cs="Times New Roman"/>
          <w:sz w:val="24"/>
          <w:szCs w:val="24"/>
        </w:rPr>
        <w:t xml:space="preserve"> </w:t>
      </w:r>
      <w:r w:rsidR="00390A90">
        <w:rPr>
          <w:rFonts w:ascii="Times New Roman" w:hAnsi="Times New Roman" w:cs="Times New Roman"/>
          <w:sz w:val="24"/>
          <w:szCs w:val="24"/>
        </w:rPr>
        <w:t>T</w:t>
      </w:r>
      <w:r w:rsidR="00CB6366" w:rsidRPr="00DC595B">
        <w:rPr>
          <w:rFonts w:ascii="Times New Roman" w:hAnsi="Times New Roman" w:cs="Times New Roman"/>
          <w:sz w:val="24"/>
          <w:szCs w:val="24"/>
        </w:rPr>
        <w:t xml:space="preserve">he aim of the study was to assess the cross-national measurement invariance of the 8-item Posttraumatic Growth Inventory-Short Form (PTGI-SF-8) </w:t>
      </w:r>
      <w:r w:rsidR="00B6794C" w:rsidRPr="00DC595B">
        <w:rPr>
          <w:rFonts w:ascii="Times New Roman" w:hAnsi="Times New Roman" w:cs="Times New Roman"/>
          <w:sz w:val="24"/>
          <w:szCs w:val="24"/>
        </w:rPr>
        <w:t xml:space="preserve">in people who experienced the death of loved ones from </w:t>
      </w:r>
      <w:r w:rsidR="003A1DCB" w:rsidRPr="003A1DCB">
        <w:rPr>
          <w:rFonts w:ascii="Times New Roman" w:hAnsi="Times New Roman" w:cs="Times New Roman"/>
          <w:sz w:val="24"/>
          <w:szCs w:val="24"/>
        </w:rPr>
        <w:t>four south american countries</w:t>
      </w:r>
      <w:r w:rsidR="00A85CEE" w:rsidRPr="00A85CEE">
        <w:t xml:space="preserve"> </w:t>
      </w:r>
      <w:r w:rsidR="00A85CEE" w:rsidRPr="00A85CEE">
        <w:rPr>
          <w:rFonts w:ascii="Times New Roman" w:hAnsi="Times New Roman" w:cs="Times New Roman"/>
          <w:sz w:val="24"/>
          <w:szCs w:val="24"/>
        </w:rPr>
        <w:t>during the post-covid period</w:t>
      </w:r>
      <w:r w:rsidR="00CB6366" w:rsidRPr="00DC595B">
        <w:rPr>
          <w:rFonts w:ascii="Times New Roman" w:hAnsi="Times New Roman" w:cs="Times New Roman"/>
          <w:sz w:val="24"/>
          <w:szCs w:val="24"/>
        </w:rPr>
        <w:t>.</w:t>
      </w:r>
      <w:r w:rsidR="00A85CEE">
        <w:rPr>
          <w:rFonts w:ascii="Times New Roman" w:hAnsi="Times New Roman" w:cs="Times New Roman"/>
          <w:sz w:val="24"/>
          <w:szCs w:val="24"/>
        </w:rPr>
        <w:t xml:space="preserve"> </w:t>
      </w:r>
      <w:r w:rsidR="009B6875" w:rsidRPr="009B6875">
        <w:rPr>
          <w:rFonts w:ascii="Times New Roman" w:hAnsi="Times New Roman" w:cs="Times New Roman"/>
          <w:sz w:val="24"/>
          <w:szCs w:val="24"/>
        </w:rPr>
        <w:t>A total of 1820 people in people who experienced the death of loved ones from four south american countries (Ecuador, Colombia, Peru, Argentina and Bolivia)</w:t>
      </w:r>
      <w:r w:rsidR="00CB6366" w:rsidRPr="00DC595B">
        <w:rPr>
          <w:rFonts w:ascii="Times New Roman" w:hAnsi="Times New Roman" w:cs="Times New Roman"/>
          <w:sz w:val="24"/>
          <w:szCs w:val="24"/>
        </w:rPr>
        <w:t>. Confirmatory Factor Analysis (CFA), Multi-group Confirmatory Factor Analysis (CFA) analysis methods were used.</w:t>
      </w:r>
      <w:r w:rsidR="009B6875">
        <w:rPr>
          <w:rFonts w:ascii="Times New Roman" w:hAnsi="Times New Roman" w:cs="Times New Roman"/>
          <w:sz w:val="24"/>
          <w:szCs w:val="24"/>
        </w:rPr>
        <w:t xml:space="preserve"> </w:t>
      </w:r>
      <w:r w:rsidR="00CB6366" w:rsidRPr="00DC595B">
        <w:rPr>
          <w:rFonts w:ascii="Times New Roman" w:hAnsi="Times New Roman" w:cs="Times New Roman"/>
          <w:sz w:val="24"/>
          <w:szCs w:val="24"/>
        </w:rPr>
        <w:t xml:space="preserve">The results indicated that a model for measuring post-traumatic growth was supported across all </w:t>
      </w:r>
      <w:r w:rsidR="00426520">
        <w:rPr>
          <w:rFonts w:ascii="Times New Roman" w:hAnsi="Times New Roman" w:cs="Times New Roman"/>
          <w:sz w:val="24"/>
          <w:szCs w:val="24"/>
        </w:rPr>
        <w:t xml:space="preserve">four </w:t>
      </w:r>
      <w:r w:rsidR="00CB6366" w:rsidRPr="00DC595B">
        <w:rPr>
          <w:rFonts w:ascii="Times New Roman" w:hAnsi="Times New Roman" w:cs="Times New Roman"/>
          <w:sz w:val="24"/>
          <w:szCs w:val="24"/>
        </w:rPr>
        <w:t xml:space="preserve">countries that encompasses four factors: relating to others, life value and opportunities, personal strength, and spiritual change. In addition, the four-factor structure shows sufficient strict invariance across the </w:t>
      </w:r>
      <w:r w:rsidR="00426520">
        <w:rPr>
          <w:rFonts w:ascii="Times New Roman" w:hAnsi="Times New Roman" w:cs="Times New Roman"/>
          <w:sz w:val="24"/>
          <w:szCs w:val="24"/>
        </w:rPr>
        <w:t>four</w:t>
      </w:r>
      <w:r w:rsidR="00CB6366" w:rsidRPr="00DC595B">
        <w:rPr>
          <w:rFonts w:ascii="Times New Roman" w:hAnsi="Times New Roman" w:cs="Times New Roman"/>
          <w:sz w:val="24"/>
          <w:szCs w:val="24"/>
        </w:rPr>
        <w:t xml:space="preserve"> countries.</w:t>
      </w:r>
      <w:r w:rsidR="00CB6366" w:rsidRPr="00DC595B">
        <w:t xml:space="preserve"> </w:t>
      </w:r>
      <w:r w:rsidR="00CB6366" w:rsidRPr="00DC595B">
        <w:rPr>
          <w:rFonts w:ascii="Times New Roman" w:hAnsi="Times New Roman" w:cs="Times New Roman"/>
          <w:bCs/>
          <w:sz w:val="24"/>
          <w:szCs w:val="24"/>
        </w:rPr>
        <w:t xml:space="preserve">Similarly, the PTGI-SF-8 items showed adequate discrimination and difficulty parameters. </w:t>
      </w:r>
      <w:r w:rsidR="009B6875">
        <w:rPr>
          <w:rFonts w:ascii="Times New Roman" w:hAnsi="Times New Roman" w:cs="Times New Roman"/>
          <w:bCs/>
          <w:sz w:val="24"/>
          <w:szCs w:val="24"/>
        </w:rPr>
        <w:t>T</w:t>
      </w:r>
      <w:r w:rsidR="00CB6366" w:rsidRPr="00DC595B">
        <w:rPr>
          <w:rFonts w:ascii="Times New Roman" w:hAnsi="Times New Roman" w:cs="Times New Roman"/>
          <w:bCs/>
          <w:sz w:val="24"/>
          <w:szCs w:val="24"/>
        </w:rPr>
        <w:t xml:space="preserve">he findings provide initial evidence to consider the PTGI-SF-8 as a psychometric instrument to assess post-traumatic growth in </w:t>
      </w:r>
      <w:r w:rsidR="00426520" w:rsidRPr="003A1DCB">
        <w:rPr>
          <w:rFonts w:ascii="Times New Roman" w:hAnsi="Times New Roman" w:cs="Times New Roman"/>
          <w:sz w:val="24"/>
          <w:szCs w:val="24"/>
        </w:rPr>
        <w:t xml:space="preserve">four south american </w:t>
      </w:r>
      <w:r w:rsidR="00CB6366" w:rsidRPr="00DC595B">
        <w:rPr>
          <w:rFonts w:ascii="Times New Roman" w:hAnsi="Times New Roman" w:cs="Times New Roman"/>
          <w:bCs/>
          <w:sz w:val="24"/>
          <w:szCs w:val="24"/>
        </w:rPr>
        <w:t>countries in an invariant manner.</w:t>
      </w:r>
    </w:p>
    <w:p w14:paraId="4CE78C2A" w14:textId="53D99798" w:rsidR="002B3813" w:rsidRPr="00DC595B" w:rsidRDefault="00CB6366" w:rsidP="00693813">
      <w:pPr>
        <w:spacing w:line="276" w:lineRule="auto"/>
        <w:ind w:firstLine="720"/>
        <w:rPr>
          <w:rFonts w:ascii="Times New Roman" w:hAnsi="Times New Roman" w:cs="Times New Roman"/>
          <w:sz w:val="24"/>
          <w:szCs w:val="24"/>
        </w:rPr>
      </w:pPr>
      <w:r w:rsidRPr="00DC595B">
        <w:rPr>
          <w:rFonts w:ascii="Times New Roman" w:hAnsi="Times New Roman" w:cs="Times New Roman"/>
          <w:b/>
          <w:i/>
          <w:sz w:val="24"/>
          <w:szCs w:val="24"/>
        </w:rPr>
        <w:t>Key words:</w:t>
      </w:r>
      <w:r w:rsidRPr="00B83BEA">
        <w:rPr>
          <w:rFonts w:ascii="Times New Roman" w:hAnsi="Times New Roman" w:cs="Times New Roman"/>
          <w:sz w:val="24"/>
          <w:szCs w:val="24"/>
        </w:rPr>
        <w:t xml:space="preserve"> </w:t>
      </w:r>
      <w:r w:rsidR="00B83BEA" w:rsidRPr="00DC595B">
        <w:rPr>
          <w:rFonts w:ascii="Times New Roman" w:hAnsi="Times New Roman" w:cs="Times New Roman"/>
          <w:bCs/>
          <w:iCs/>
          <w:sz w:val="24"/>
          <w:szCs w:val="24"/>
        </w:rPr>
        <w:t>cross-cultural</w:t>
      </w:r>
      <w:r w:rsidR="00B83BEA">
        <w:rPr>
          <w:rFonts w:ascii="Times New Roman" w:hAnsi="Times New Roman" w:cs="Times New Roman"/>
          <w:bCs/>
          <w:iCs/>
          <w:sz w:val="24"/>
          <w:szCs w:val="24"/>
        </w:rPr>
        <w:t>,</w:t>
      </w:r>
      <w:r w:rsidR="00B83BEA" w:rsidRPr="00DC595B">
        <w:rPr>
          <w:rFonts w:ascii="Times New Roman" w:hAnsi="Times New Roman" w:cs="Times New Roman"/>
          <w:bCs/>
          <w:iCs/>
          <w:sz w:val="24"/>
          <w:szCs w:val="24"/>
        </w:rPr>
        <w:t xml:space="preserve"> invariance,</w:t>
      </w:r>
      <w:r w:rsidR="00B83BEA">
        <w:rPr>
          <w:rFonts w:ascii="Times New Roman" w:hAnsi="Times New Roman" w:cs="Times New Roman"/>
          <w:bCs/>
          <w:iCs/>
          <w:sz w:val="24"/>
          <w:szCs w:val="24"/>
        </w:rPr>
        <w:t xml:space="preserve"> </w:t>
      </w:r>
      <w:r w:rsidR="00067E0C" w:rsidRPr="003A1DCB">
        <w:rPr>
          <w:rFonts w:ascii="Times New Roman" w:hAnsi="Times New Roman" w:cs="Times New Roman"/>
          <w:sz w:val="24"/>
          <w:szCs w:val="24"/>
        </w:rPr>
        <w:t>south american</w:t>
      </w:r>
      <w:r w:rsidR="00B83BEA" w:rsidRPr="00DC595B">
        <w:rPr>
          <w:rFonts w:ascii="Times New Roman" w:hAnsi="Times New Roman" w:cs="Times New Roman"/>
          <w:bCs/>
          <w:iCs/>
          <w:sz w:val="24"/>
          <w:szCs w:val="24"/>
        </w:rPr>
        <w:t xml:space="preserve">, </w:t>
      </w:r>
      <w:r w:rsidR="00694882" w:rsidRPr="00DC595B">
        <w:rPr>
          <w:rFonts w:ascii="Times New Roman" w:hAnsi="Times New Roman" w:cs="Times New Roman"/>
          <w:bCs/>
          <w:iCs/>
          <w:sz w:val="24"/>
          <w:szCs w:val="24"/>
        </w:rPr>
        <w:t xml:space="preserve">posttraumatic growth, </w:t>
      </w:r>
      <w:r w:rsidR="00B83BEA" w:rsidRPr="00B83BEA">
        <w:rPr>
          <w:rFonts w:ascii="Times New Roman" w:hAnsi="Times New Roman" w:cs="Times New Roman"/>
          <w:sz w:val="24"/>
          <w:szCs w:val="24"/>
        </w:rPr>
        <w:t>psychometric</w:t>
      </w:r>
    </w:p>
    <w:p w14:paraId="69F90BE2" w14:textId="77777777" w:rsidR="002B3813" w:rsidRPr="00DC595B" w:rsidRDefault="002B3813" w:rsidP="00106B14">
      <w:pPr>
        <w:ind w:firstLine="720"/>
        <w:rPr>
          <w:rFonts w:ascii="Times New Roman" w:hAnsi="Times New Roman" w:cs="Times New Roman"/>
          <w:sz w:val="24"/>
          <w:szCs w:val="24"/>
        </w:rPr>
      </w:pPr>
    </w:p>
    <w:p w14:paraId="1249DB22" w14:textId="17776422" w:rsidR="002B3813" w:rsidRDefault="002B3813" w:rsidP="00106B14">
      <w:pPr>
        <w:ind w:firstLine="720"/>
        <w:rPr>
          <w:rFonts w:ascii="Times New Roman" w:hAnsi="Times New Roman" w:cs="Times New Roman"/>
          <w:sz w:val="24"/>
          <w:szCs w:val="24"/>
        </w:rPr>
      </w:pPr>
    </w:p>
    <w:p w14:paraId="5A491BC8" w14:textId="6210F2EC" w:rsidR="00C12519" w:rsidRDefault="00C12519" w:rsidP="00106B14">
      <w:pPr>
        <w:ind w:firstLine="720"/>
        <w:rPr>
          <w:rFonts w:ascii="Times New Roman" w:hAnsi="Times New Roman" w:cs="Times New Roman"/>
          <w:sz w:val="24"/>
          <w:szCs w:val="24"/>
        </w:rPr>
      </w:pPr>
    </w:p>
    <w:p w14:paraId="3F44343B" w14:textId="369495DF" w:rsidR="002C1026" w:rsidRDefault="002C1026" w:rsidP="00106B14">
      <w:pPr>
        <w:ind w:firstLine="720"/>
        <w:rPr>
          <w:rFonts w:ascii="Times New Roman" w:hAnsi="Times New Roman" w:cs="Times New Roman"/>
          <w:sz w:val="24"/>
          <w:szCs w:val="24"/>
        </w:rPr>
      </w:pPr>
    </w:p>
    <w:p w14:paraId="7D466F10" w14:textId="121FBDF7" w:rsidR="002C1026" w:rsidRDefault="002C1026" w:rsidP="00106B14">
      <w:pPr>
        <w:ind w:firstLine="720"/>
        <w:rPr>
          <w:rFonts w:ascii="Times New Roman" w:hAnsi="Times New Roman" w:cs="Times New Roman"/>
          <w:sz w:val="24"/>
          <w:szCs w:val="24"/>
        </w:rPr>
      </w:pPr>
    </w:p>
    <w:p w14:paraId="66C757AA" w14:textId="087AF1AC" w:rsidR="002C1026" w:rsidRDefault="002C1026" w:rsidP="00106B14">
      <w:pPr>
        <w:ind w:firstLine="720"/>
        <w:rPr>
          <w:rFonts w:ascii="Times New Roman" w:hAnsi="Times New Roman" w:cs="Times New Roman"/>
          <w:sz w:val="24"/>
          <w:szCs w:val="24"/>
        </w:rPr>
      </w:pPr>
    </w:p>
    <w:p w14:paraId="6F960FF3" w14:textId="6AEECD85" w:rsidR="002C1026" w:rsidRDefault="002C1026" w:rsidP="00106B14">
      <w:pPr>
        <w:ind w:firstLine="720"/>
        <w:rPr>
          <w:rFonts w:ascii="Times New Roman" w:hAnsi="Times New Roman" w:cs="Times New Roman"/>
          <w:sz w:val="24"/>
          <w:szCs w:val="24"/>
        </w:rPr>
      </w:pPr>
    </w:p>
    <w:p w14:paraId="664F450D" w14:textId="0A18E68F" w:rsidR="002C1026" w:rsidRDefault="002C1026" w:rsidP="00106B14">
      <w:pPr>
        <w:ind w:firstLine="720"/>
        <w:rPr>
          <w:rFonts w:ascii="Times New Roman" w:hAnsi="Times New Roman" w:cs="Times New Roman"/>
          <w:sz w:val="24"/>
          <w:szCs w:val="24"/>
        </w:rPr>
      </w:pPr>
    </w:p>
    <w:p w14:paraId="78519F76" w14:textId="6E5F75D0" w:rsidR="002C1026" w:rsidRDefault="002C1026" w:rsidP="00106B14">
      <w:pPr>
        <w:ind w:firstLine="720"/>
        <w:rPr>
          <w:rFonts w:ascii="Times New Roman" w:hAnsi="Times New Roman" w:cs="Times New Roman"/>
          <w:sz w:val="24"/>
          <w:szCs w:val="24"/>
        </w:rPr>
      </w:pPr>
    </w:p>
    <w:p w14:paraId="5F37A7D1" w14:textId="752DF57C" w:rsidR="002C1026" w:rsidRDefault="002C1026" w:rsidP="00106B14">
      <w:pPr>
        <w:ind w:firstLine="720"/>
        <w:rPr>
          <w:rFonts w:ascii="Times New Roman" w:hAnsi="Times New Roman" w:cs="Times New Roman"/>
          <w:sz w:val="24"/>
          <w:szCs w:val="24"/>
        </w:rPr>
      </w:pPr>
    </w:p>
    <w:p w14:paraId="7F2F79D9" w14:textId="5B6277EF" w:rsidR="002C1026" w:rsidRDefault="002C1026" w:rsidP="00106B14">
      <w:pPr>
        <w:ind w:firstLine="720"/>
        <w:rPr>
          <w:rFonts w:ascii="Times New Roman" w:hAnsi="Times New Roman" w:cs="Times New Roman"/>
          <w:sz w:val="24"/>
          <w:szCs w:val="24"/>
        </w:rPr>
      </w:pPr>
    </w:p>
    <w:p w14:paraId="6BA000A3" w14:textId="74454DDF" w:rsidR="002C1026" w:rsidRDefault="002C1026" w:rsidP="00106B14">
      <w:pPr>
        <w:ind w:firstLine="720"/>
        <w:rPr>
          <w:rFonts w:ascii="Times New Roman" w:hAnsi="Times New Roman" w:cs="Times New Roman"/>
          <w:sz w:val="24"/>
          <w:szCs w:val="24"/>
        </w:rPr>
      </w:pPr>
    </w:p>
    <w:p w14:paraId="21C94A24" w14:textId="7E99B404" w:rsidR="002C1026" w:rsidRDefault="002C1026" w:rsidP="002C1026">
      <w:pPr>
        <w:jc w:val="center"/>
        <w:rPr>
          <w:rFonts w:ascii="Times New Roman" w:hAnsi="Times New Roman" w:cs="Times New Roman"/>
          <w:b/>
          <w:bCs/>
          <w:sz w:val="24"/>
          <w:szCs w:val="24"/>
        </w:rPr>
      </w:pPr>
      <w:r w:rsidRPr="002C1026">
        <w:rPr>
          <w:rFonts w:ascii="Times New Roman" w:hAnsi="Times New Roman" w:cs="Times New Roman"/>
          <w:b/>
          <w:bCs/>
          <w:sz w:val="24"/>
          <w:szCs w:val="24"/>
        </w:rPr>
        <w:lastRenderedPageBreak/>
        <w:t>Invariancia transnacional de la versión española del 8-item Posttraumatic Growth Inventory-Short Form (PTGI-SF) en personas que experimentaron la muerte de seres queridos de cuatro países sudamericanos</w:t>
      </w:r>
    </w:p>
    <w:p w14:paraId="3A4EA471" w14:textId="77777777" w:rsidR="002C1026" w:rsidRDefault="002C1026" w:rsidP="002C1026">
      <w:pPr>
        <w:jc w:val="center"/>
        <w:rPr>
          <w:rFonts w:ascii="Times New Roman" w:hAnsi="Times New Roman" w:cs="Times New Roman"/>
          <w:b/>
          <w:bCs/>
          <w:sz w:val="24"/>
          <w:szCs w:val="24"/>
        </w:rPr>
      </w:pPr>
    </w:p>
    <w:p w14:paraId="400C2D18" w14:textId="2E2AC830" w:rsidR="002C1026" w:rsidRDefault="002C1026" w:rsidP="002C1026">
      <w:pPr>
        <w:jc w:val="center"/>
        <w:rPr>
          <w:rFonts w:ascii="Times New Roman" w:hAnsi="Times New Roman" w:cs="Times New Roman"/>
          <w:b/>
          <w:bCs/>
          <w:sz w:val="24"/>
          <w:szCs w:val="24"/>
        </w:rPr>
      </w:pPr>
      <w:r>
        <w:rPr>
          <w:rFonts w:ascii="Times New Roman" w:hAnsi="Times New Roman" w:cs="Times New Roman"/>
          <w:b/>
          <w:bCs/>
          <w:sz w:val="24"/>
          <w:szCs w:val="24"/>
        </w:rPr>
        <w:t>Resumen</w:t>
      </w:r>
    </w:p>
    <w:p w14:paraId="526668BC" w14:textId="065964B6" w:rsidR="002C1026" w:rsidRPr="002C1026" w:rsidRDefault="002C1026" w:rsidP="002C1026">
      <w:pPr>
        <w:ind w:firstLine="720"/>
        <w:rPr>
          <w:rFonts w:ascii="Times New Roman" w:hAnsi="Times New Roman" w:cs="Times New Roman"/>
          <w:sz w:val="24"/>
          <w:szCs w:val="24"/>
        </w:rPr>
      </w:pPr>
      <w:r w:rsidRPr="002D6D28">
        <w:rPr>
          <w:rFonts w:ascii="Times New Roman" w:hAnsi="Times New Roman" w:cs="Times New Roman"/>
          <w:sz w:val="24"/>
          <w:szCs w:val="24"/>
          <w:lang w:val="es-AR"/>
        </w:rPr>
        <w:t xml:space="preserve">Tras la pandemia de COVID-19, existe preocupación por el aumento de los problemas de salud mental asociados con el duelo por COVID-19. Estudios recientes han identificado resultados positivos que pueden haber surgido frente a la adversidad y que pueden conducir a cambios psicológicos positivos, como el crecimiento postraumático. El objetivo del estudio fue evaluar la invariancia de la medición transnacional del 8-item Posttraumatic Growth Inventory-Short Form (PTGI-SF) en personas que experimentaron la muerte de seres queridos de cuatro países sudamericanos durante el período Post-COVID-19. </w:t>
      </w:r>
      <w:r w:rsidRPr="002C1026">
        <w:rPr>
          <w:rFonts w:ascii="Times New Roman" w:hAnsi="Times New Roman" w:cs="Times New Roman"/>
          <w:sz w:val="24"/>
          <w:szCs w:val="24"/>
        </w:rPr>
        <w:t>Un total de 1820 personas en personas que experimentaron la muerte de seres queridos de cuatro países sudamericanos (Ecuador, Colombia, Perú, Argentina y Bolivia). Se utilizaron métodos de análisis de Análisis Factorial Confirmatorio (AFC), Análisis Factorial Confirmatorio (AFC) multigrupo. Los resultados indicaron que se apoyó un modelo para medir el crecimiento postraumático en los cuatro países que abarca cuatro factores: relación con los demás, valor de la vida y oportunidades, fortaleza personal y cambio espiritual. Además, la estructura de cuatro factores muestra una invariancia estricta suficiente en los cuatro países. De manera similar, los ítems del PTGI-SF-8 mostraron parámetros de discriminación y dificultad adecuados. Los hallazgos proporcionan evidencia inicial para considerar el PTGI-SF-8 como un instrumento psicométrico para evaluar el crecimiento postraumático en cuatro países sudamericanos de manera invariante.</w:t>
      </w:r>
    </w:p>
    <w:p w14:paraId="699C091E" w14:textId="3A4E4953" w:rsidR="002C1026" w:rsidRPr="002D6D28" w:rsidRDefault="002C1026" w:rsidP="002C1026">
      <w:pPr>
        <w:rPr>
          <w:rFonts w:ascii="Times New Roman" w:hAnsi="Times New Roman" w:cs="Times New Roman"/>
          <w:sz w:val="24"/>
          <w:szCs w:val="24"/>
          <w:lang w:val="es-AR"/>
        </w:rPr>
      </w:pPr>
      <w:r w:rsidRPr="002D6D28">
        <w:rPr>
          <w:rFonts w:ascii="Times New Roman" w:hAnsi="Times New Roman" w:cs="Times New Roman"/>
          <w:sz w:val="24"/>
          <w:szCs w:val="24"/>
          <w:lang w:val="es-AR"/>
        </w:rPr>
        <w:t>Palabras clave: transcultural, invariancia, sudamerica, crecimiento postraumático, psicometría</w:t>
      </w:r>
    </w:p>
    <w:p w14:paraId="5C01070D" w14:textId="77777777" w:rsidR="002C1026" w:rsidRPr="002D6D28" w:rsidRDefault="002C1026" w:rsidP="002C1026">
      <w:pPr>
        <w:ind w:firstLine="720"/>
        <w:rPr>
          <w:rFonts w:ascii="Times New Roman" w:hAnsi="Times New Roman" w:cs="Times New Roman"/>
          <w:sz w:val="24"/>
          <w:szCs w:val="24"/>
          <w:lang w:val="es-AR"/>
        </w:rPr>
      </w:pPr>
    </w:p>
    <w:p w14:paraId="7C44C4F9" w14:textId="75458C00" w:rsidR="002C1026" w:rsidRPr="002D6D28" w:rsidRDefault="002C1026" w:rsidP="00106B14">
      <w:pPr>
        <w:ind w:firstLine="720"/>
        <w:rPr>
          <w:rFonts w:ascii="Times New Roman" w:hAnsi="Times New Roman" w:cs="Times New Roman"/>
          <w:sz w:val="24"/>
          <w:szCs w:val="24"/>
          <w:lang w:val="es-AR"/>
        </w:rPr>
      </w:pPr>
    </w:p>
    <w:p w14:paraId="0818CC79" w14:textId="77777777" w:rsidR="002C1026" w:rsidRPr="002D6D28" w:rsidRDefault="002C1026" w:rsidP="00106B14">
      <w:pPr>
        <w:ind w:firstLine="720"/>
        <w:rPr>
          <w:rFonts w:ascii="Times New Roman" w:hAnsi="Times New Roman" w:cs="Times New Roman"/>
          <w:sz w:val="24"/>
          <w:szCs w:val="24"/>
          <w:lang w:val="es-AR"/>
        </w:rPr>
      </w:pPr>
    </w:p>
    <w:p w14:paraId="560FB83B" w14:textId="341B8FCB" w:rsidR="00C12519" w:rsidRPr="002D6D28" w:rsidRDefault="00C12519" w:rsidP="00106B14">
      <w:pPr>
        <w:ind w:firstLine="720"/>
        <w:rPr>
          <w:rFonts w:ascii="Times New Roman" w:hAnsi="Times New Roman" w:cs="Times New Roman"/>
          <w:sz w:val="24"/>
          <w:szCs w:val="24"/>
          <w:lang w:val="es-AR"/>
        </w:rPr>
      </w:pPr>
    </w:p>
    <w:p w14:paraId="206828DA" w14:textId="56F3FF52" w:rsidR="00C12519" w:rsidRPr="002D6D28" w:rsidRDefault="00C12519" w:rsidP="00106B14">
      <w:pPr>
        <w:ind w:firstLine="720"/>
        <w:rPr>
          <w:rFonts w:ascii="Times New Roman" w:hAnsi="Times New Roman" w:cs="Times New Roman"/>
          <w:sz w:val="24"/>
          <w:szCs w:val="24"/>
          <w:lang w:val="es-AR"/>
        </w:rPr>
      </w:pPr>
    </w:p>
    <w:p w14:paraId="6996DB9B" w14:textId="5B73BBF3" w:rsidR="00C12519" w:rsidRPr="002D6D28" w:rsidRDefault="00C12519" w:rsidP="00106B14">
      <w:pPr>
        <w:ind w:firstLine="720"/>
        <w:rPr>
          <w:rFonts w:ascii="Times New Roman" w:hAnsi="Times New Roman" w:cs="Times New Roman"/>
          <w:sz w:val="24"/>
          <w:szCs w:val="24"/>
          <w:lang w:val="es-AR"/>
        </w:rPr>
      </w:pPr>
    </w:p>
    <w:p w14:paraId="01FE2FAC" w14:textId="0F779D86" w:rsidR="00C12519" w:rsidRPr="002D6D28" w:rsidRDefault="00C12519" w:rsidP="00106B14">
      <w:pPr>
        <w:ind w:firstLine="720"/>
        <w:rPr>
          <w:rFonts w:ascii="Times New Roman" w:hAnsi="Times New Roman" w:cs="Times New Roman"/>
          <w:sz w:val="24"/>
          <w:szCs w:val="24"/>
          <w:lang w:val="es-AR"/>
        </w:rPr>
      </w:pPr>
    </w:p>
    <w:p w14:paraId="38557480" w14:textId="77777777" w:rsidR="00A0052F" w:rsidRPr="002D6D28" w:rsidRDefault="00A0052F" w:rsidP="000738AC">
      <w:pPr>
        <w:spacing w:after="0" w:line="480" w:lineRule="auto"/>
        <w:jc w:val="center"/>
        <w:rPr>
          <w:rFonts w:ascii="Times New Roman" w:hAnsi="Times New Roman" w:cs="Times New Roman"/>
          <w:b/>
          <w:sz w:val="24"/>
          <w:szCs w:val="24"/>
          <w:lang w:val="es-AR"/>
        </w:rPr>
      </w:pPr>
    </w:p>
    <w:p w14:paraId="1463DA62" w14:textId="77777777" w:rsidR="00A0052F" w:rsidRPr="002D6D28" w:rsidRDefault="00A0052F" w:rsidP="000738AC">
      <w:pPr>
        <w:spacing w:after="0" w:line="480" w:lineRule="auto"/>
        <w:jc w:val="center"/>
        <w:rPr>
          <w:rFonts w:ascii="Times New Roman" w:hAnsi="Times New Roman" w:cs="Times New Roman"/>
          <w:b/>
          <w:sz w:val="24"/>
          <w:szCs w:val="24"/>
          <w:lang w:val="es-AR"/>
        </w:rPr>
      </w:pPr>
    </w:p>
    <w:p w14:paraId="235EB5EF" w14:textId="77777777" w:rsidR="00A85CEE" w:rsidRPr="002D6D28" w:rsidRDefault="00A85CEE" w:rsidP="000738AC">
      <w:pPr>
        <w:spacing w:after="0" w:line="480" w:lineRule="auto"/>
        <w:jc w:val="center"/>
        <w:rPr>
          <w:rFonts w:ascii="Times New Roman" w:hAnsi="Times New Roman" w:cs="Times New Roman"/>
          <w:b/>
          <w:sz w:val="24"/>
          <w:szCs w:val="24"/>
          <w:lang w:val="es-AR"/>
        </w:rPr>
      </w:pPr>
    </w:p>
    <w:p w14:paraId="6C4A6143" w14:textId="77777777" w:rsidR="00A85CEE" w:rsidRPr="002D6D28" w:rsidRDefault="00A85CEE" w:rsidP="000738AC">
      <w:pPr>
        <w:spacing w:after="0" w:line="480" w:lineRule="auto"/>
        <w:jc w:val="center"/>
        <w:rPr>
          <w:rFonts w:ascii="Times New Roman" w:hAnsi="Times New Roman" w:cs="Times New Roman"/>
          <w:b/>
          <w:sz w:val="24"/>
          <w:szCs w:val="24"/>
          <w:lang w:val="es-AR"/>
        </w:rPr>
      </w:pPr>
    </w:p>
    <w:p w14:paraId="42ED6A93" w14:textId="03764BE6" w:rsidR="000738AC" w:rsidRPr="00DC595B" w:rsidRDefault="000738AC" w:rsidP="000738AC">
      <w:pPr>
        <w:spacing w:after="0" w:line="480" w:lineRule="auto"/>
        <w:jc w:val="center"/>
        <w:rPr>
          <w:rFonts w:ascii="Times New Roman" w:hAnsi="Times New Roman" w:cs="Times New Roman"/>
          <w:b/>
          <w:sz w:val="24"/>
          <w:szCs w:val="24"/>
        </w:rPr>
      </w:pPr>
      <w:r w:rsidRPr="00DC595B">
        <w:rPr>
          <w:rFonts w:ascii="Times New Roman" w:hAnsi="Times New Roman" w:cs="Times New Roman"/>
          <w:b/>
          <w:sz w:val="24"/>
          <w:szCs w:val="24"/>
        </w:rPr>
        <w:lastRenderedPageBreak/>
        <w:t>Introduction</w:t>
      </w:r>
    </w:p>
    <w:p w14:paraId="1D4E6603" w14:textId="21406E97" w:rsidR="00B66FD4" w:rsidRPr="00DC595B" w:rsidRDefault="00CB6366" w:rsidP="00693813">
      <w:pPr>
        <w:spacing w:line="276" w:lineRule="auto"/>
        <w:ind w:firstLine="720"/>
        <w:rPr>
          <w:rFonts w:ascii="Times New Roman" w:hAnsi="Times New Roman" w:cs="Times New Roman"/>
          <w:sz w:val="24"/>
          <w:szCs w:val="24"/>
        </w:rPr>
      </w:pPr>
      <w:r w:rsidRPr="00DC595B">
        <w:rPr>
          <w:rFonts w:ascii="Times New Roman" w:hAnsi="Times New Roman" w:cs="Times New Roman"/>
          <w:sz w:val="24"/>
          <w:szCs w:val="24"/>
        </w:rPr>
        <w:t xml:space="preserve">The COVID-19 pandemic became an unprecedented public health problem due to its rapidity of transmission, resulting in high rates of infected persons and deaths (Solomou &amp; Constantinidou, 2020). In this context, a range of mental health problems have emerged in different populations </w:t>
      </w:r>
      <w:r w:rsidR="006F05BB" w:rsidRPr="00DC595B">
        <w:rPr>
          <w:rFonts w:ascii="Times New Roman" w:hAnsi="Times New Roman" w:cs="Times New Roman"/>
          <w:sz w:val="24"/>
          <w:szCs w:val="24"/>
        </w:rPr>
        <w:t>(Cle</w:t>
      </w:r>
      <w:r w:rsidR="00B5191A" w:rsidRPr="00DC595B">
        <w:rPr>
          <w:rFonts w:ascii="Times New Roman" w:hAnsi="Times New Roman" w:cs="Times New Roman"/>
          <w:sz w:val="24"/>
          <w:szCs w:val="24"/>
        </w:rPr>
        <w:t>mente-Suárez</w:t>
      </w:r>
      <w:r w:rsidR="006F05BB" w:rsidRPr="00DC595B">
        <w:rPr>
          <w:rFonts w:ascii="Times New Roman" w:hAnsi="Times New Roman" w:cs="Times New Roman"/>
          <w:sz w:val="24"/>
          <w:szCs w:val="24"/>
        </w:rPr>
        <w:t xml:space="preserve"> </w:t>
      </w:r>
      <w:r w:rsidR="00B5191A" w:rsidRPr="00DC595B">
        <w:rPr>
          <w:rFonts w:ascii="Times New Roman" w:hAnsi="Times New Roman" w:cs="Times New Roman"/>
          <w:sz w:val="24"/>
          <w:szCs w:val="24"/>
        </w:rPr>
        <w:t>et al.</w:t>
      </w:r>
      <w:r w:rsidR="006F05BB" w:rsidRPr="00DC595B">
        <w:rPr>
          <w:rFonts w:ascii="Times New Roman" w:hAnsi="Times New Roman" w:cs="Times New Roman"/>
          <w:sz w:val="24"/>
          <w:szCs w:val="24"/>
        </w:rPr>
        <w:t xml:space="preserve">, 2021; </w:t>
      </w:r>
      <w:r w:rsidR="00B5191A" w:rsidRPr="00DC595B">
        <w:rPr>
          <w:rFonts w:ascii="Times New Roman" w:hAnsi="Times New Roman" w:cs="Times New Roman"/>
          <w:sz w:val="24"/>
          <w:szCs w:val="24"/>
        </w:rPr>
        <w:t>Jones</w:t>
      </w:r>
      <w:r w:rsidR="006F05BB" w:rsidRPr="00DC595B">
        <w:rPr>
          <w:rFonts w:ascii="Times New Roman" w:hAnsi="Times New Roman" w:cs="Times New Roman"/>
          <w:sz w:val="24"/>
          <w:szCs w:val="24"/>
        </w:rPr>
        <w:t xml:space="preserve"> </w:t>
      </w:r>
      <w:r w:rsidR="00B5191A" w:rsidRPr="00DC595B">
        <w:rPr>
          <w:rFonts w:ascii="Times New Roman" w:hAnsi="Times New Roman" w:cs="Times New Roman"/>
          <w:sz w:val="24"/>
          <w:szCs w:val="24"/>
        </w:rPr>
        <w:t>et al.</w:t>
      </w:r>
      <w:r w:rsidR="006F05BB" w:rsidRPr="00DC595B">
        <w:rPr>
          <w:rFonts w:ascii="Times New Roman" w:hAnsi="Times New Roman" w:cs="Times New Roman"/>
          <w:sz w:val="24"/>
          <w:szCs w:val="24"/>
        </w:rPr>
        <w:t xml:space="preserve">, 2021; </w:t>
      </w:r>
      <w:r w:rsidR="004B13E7" w:rsidRPr="00DC595B">
        <w:rPr>
          <w:rFonts w:ascii="Times New Roman" w:hAnsi="Times New Roman" w:cs="Times New Roman"/>
          <w:sz w:val="24"/>
          <w:szCs w:val="24"/>
        </w:rPr>
        <w:t>Saragih</w:t>
      </w:r>
      <w:r w:rsidR="006F05BB" w:rsidRPr="00DC595B">
        <w:rPr>
          <w:rFonts w:ascii="Times New Roman" w:hAnsi="Times New Roman" w:cs="Times New Roman"/>
          <w:sz w:val="24"/>
          <w:szCs w:val="24"/>
        </w:rPr>
        <w:t xml:space="preserve"> </w:t>
      </w:r>
      <w:r w:rsidR="00B5191A" w:rsidRPr="00DC595B">
        <w:rPr>
          <w:rFonts w:ascii="Times New Roman" w:hAnsi="Times New Roman" w:cs="Times New Roman"/>
          <w:sz w:val="24"/>
          <w:szCs w:val="24"/>
        </w:rPr>
        <w:t>et al.</w:t>
      </w:r>
      <w:r w:rsidR="006F05BB" w:rsidRPr="00DC595B">
        <w:rPr>
          <w:rFonts w:ascii="Times New Roman" w:hAnsi="Times New Roman" w:cs="Times New Roman"/>
          <w:sz w:val="24"/>
          <w:szCs w:val="24"/>
        </w:rPr>
        <w:t xml:space="preserve">, 2021; </w:t>
      </w:r>
      <w:r w:rsidR="004B13E7" w:rsidRPr="00DC595B">
        <w:rPr>
          <w:rFonts w:ascii="Times New Roman" w:hAnsi="Times New Roman" w:cs="Times New Roman"/>
          <w:sz w:val="24"/>
          <w:szCs w:val="24"/>
        </w:rPr>
        <w:t>Sousa</w:t>
      </w:r>
      <w:r w:rsidR="006F05BB" w:rsidRPr="00DC595B">
        <w:rPr>
          <w:rFonts w:ascii="Times New Roman" w:hAnsi="Times New Roman" w:cs="Times New Roman"/>
          <w:sz w:val="24"/>
          <w:szCs w:val="24"/>
        </w:rPr>
        <w:t xml:space="preserve"> </w:t>
      </w:r>
      <w:r w:rsidR="004B13E7" w:rsidRPr="00DC595B">
        <w:rPr>
          <w:rFonts w:ascii="Times New Roman" w:hAnsi="Times New Roman" w:cs="Times New Roman"/>
          <w:sz w:val="24"/>
          <w:szCs w:val="24"/>
        </w:rPr>
        <w:t>et al.</w:t>
      </w:r>
      <w:r w:rsidR="006F05BB" w:rsidRPr="00DC595B">
        <w:rPr>
          <w:rFonts w:ascii="Times New Roman" w:hAnsi="Times New Roman" w:cs="Times New Roman"/>
          <w:sz w:val="24"/>
          <w:szCs w:val="24"/>
        </w:rPr>
        <w:t xml:space="preserve">, 2021). </w:t>
      </w:r>
      <w:r w:rsidRPr="00DC595B">
        <w:rPr>
          <w:rFonts w:ascii="Times New Roman" w:hAnsi="Times New Roman" w:cs="Times New Roman"/>
          <w:sz w:val="24"/>
          <w:szCs w:val="24"/>
        </w:rPr>
        <w:t xml:space="preserve">Regarding Latin America, it was one of the regions with the worst overall mental health symptoms, along with Africa and South Asia (Zhang &amp; Chen, 2021). This is expressed in the prevalence of anxiety (35%), depression (35%), distress (32%) and insomnia (35%) in participants in Latin America </w:t>
      </w:r>
      <w:r w:rsidR="00762C8A" w:rsidRPr="00DC595B">
        <w:rPr>
          <w:rFonts w:ascii="Times New Roman" w:hAnsi="Times New Roman" w:cs="Times New Roman"/>
          <w:sz w:val="24"/>
          <w:szCs w:val="24"/>
        </w:rPr>
        <w:t>(</w:t>
      </w:r>
      <w:r w:rsidR="004B13E7" w:rsidRPr="00DC595B">
        <w:rPr>
          <w:rFonts w:ascii="Times New Roman" w:hAnsi="Times New Roman" w:cs="Times New Roman"/>
          <w:sz w:val="24"/>
          <w:szCs w:val="24"/>
        </w:rPr>
        <w:t>Zhang et al.</w:t>
      </w:r>
      <w:r w:rsidR="00762C8A" w:rsidRPr="00DC595B">
        <w:rPr>
          <w:rFonts w:ascii="Times New Roman" w:hAnsi="Times New Roman" w:cs="Times New Roman"/>
          <w:sz w:val="24"/>
          <w:szCs w:val="24"/>
        </w:rPr>
        <w:t xml:space="preserve">, 2022). </w:t>
      </w:r>
      <w:r w:rsidRPr="00DC595B">
        <w:rPr>
          <w:rFonts w:ascii="Times New Roman" w:hAnsi="Times New Roman" w:cs="Times New Roman"/>
          <w:sz w:val="24"/>
          <w:szCs w:val="24"/>
        </w:rPr>
        <w:t>This led to the need to deepen studies on the mental health of the general population in Latin America and to have information to support the formulation of public policies to address the mental health problems generated by the COVID-19 pandemic</w:t>
      </w:r>
      <w:r w:rsidR="00762C8A" w:rsidRPr="00DC595B">
        <w:rPr>
          <w:rFonts w:ascii="Times New Roman" w:hAnsi="Times New Roman" w:cs="Times New Roman"/>
          <w:sz w:val="24"/>
          <w:szCs w:val="24"/>
        </w:rPr>
        <w:t xml:space="preserve"> (</w:t>
      </w:r>
      <w:r w:rsidR="004B13E7" w:rsidRPr="00DC595B">
        <w:rPr>
          <w:rFonts w:ascii="Times New Roman" w:hAnsi="Times New Roman" w:cs="Times New Roman"/>
          <w:sz w:val="24"/>
          <w:szCs w:val="24"/>
        </w:rPr>
        <w:t>Hernández</w:t>
      </w:r>
      <w:r w:rsidR="00762C8A" w:rsidRPr="00DC595B">
        <w:rPr>
          <w:rFonts w:ascii="Times New Roman" w:hAnsi="Times New Roman" w:cs="Times New Roman"/>
          <w:sz w:val="24"/>
          <w:szCs w:val="24"/>
        </w:rPr>
        <w:t xml:space="preserve"> </w:t>
      </w:r>
      <w:r w:rsidR="004B13E7" w:rsidRPr="00DC595B">
        <w:rPr>
          <w:rFonts w:ascii="Times New Roman" w:hAnsi="Times New Roman" w:cs="Times New Roman"/>
          <w:sz w:val="24"/>
          <w:szCs w:val="24"/>
        </w:rPr>
        <w:t>et al.</w:t>
      </w:r>
      <w:r w:rsidR="00762C8A" w:rsidRPr="00DC595B">
        <w:rPr>
          <w:rFonts w:ascii="Times New Roman" w:hAnsi="Times New Roman" w:cs="Times New Roman"/>
          <w:sz w:val="24"/>
          <w:szCs w:val="24"/>
        </w:rPr>
        <w:t xml:space="preserve">, 2021). </w:t>
      </w:r>
      <w:r w:rsidR="00B66FD4" w:rsidRPr="00DC595B">
        <w:rPr>
          <w:rFonts w:ascii="Times New Roman" w:hAnsi="Times New Roman" w:cs="Times New Roman"/>
          <w:sz w:val="24"/>
          <w:szCs w:val="24"/>
        </w:rPr>
        <w:t xml:space="preserve">Negative mental health outcomes are to be expected after traumatic events, such as the COVID-19 pandemic. </w:t>
      </w:r>
      <w:r w:rsidR="00822E00" w:rsidRPr="00DC595B">
        <w:rPr>
          <w:rFonts w:ascii="Times New Roman" w:hAnsi="Times New Roman" w:cs="Times New Roman"/>
          <w:sz w:val="24"/>
          <w:szCs w:val="24"/>
        </w:rPr>
        <w:t>For example, as the pandemic spread across all countries, the number of deaths from COVID-19 increased along with the number of people bereaved by COVID-19.</w:t>
      </w:r>
      <w:r w:rsidR="00D718E6" w:rsidRPr="00DC595B">
        <w:rPr>
          <w:rFonts w:ascii="Times New Roman" w:hAnsi="Times New Roman" w:cs="Times New Roman"/>
          <w:sz w:val="24"/>
          <w:szCs w:val="24"/>
        </w:rPr>
        <w:t xml:space="preserve"> </w:t>
      </w:r>
      <w:r w:rsidR="00D718E6" w:rsidRPr="00A64DD4">
        <w:rPr>
          <w:rFonts w:ascii="Times New Roman" w:hAnsi="Times New Roman" w:cs="Times New Roman"/>
          <w:sz w:val="24"/>
          <w:szCs w:val="24"/>
        </w:rPr>
        <w:t>(Chen &amp; Tang, 2021).</w:t>
      </w:r>
      <w:r w:rsidR="00B66FD4" w:rsidRPr="00A64DD4">
        <w:rPr>
          <w:rFonts w:ascii="Times New Roman" w:hAnsi="Times New Roman" w:cs="Times New Roman"/>
          <w:sz w:val="24"/>
          <w:szCs w:val="24"/>
        </w:rPr>
        <w:t xml:space="preserve"> </w:t>
      </w:r>
      <w:r w:rsidR="00822E00" w:rsidRPr="00DC595B">
        <w:rPr>
          <w:rFonts w:ascii="Times New Roman" w:hAnsi="Times New Roman" w:cs="Times New Roman"/>
          <w:sz w:val="24"/>
          <w:szCs w:val="24"/>
        </w:rPr>
        <w:t xml:space="preserve">The particular characteristics of deaths during the pandemic, such as the physical isolation of the deceased without the presence of loved ones and limitations on carrying out funerals and/or burials that prevented saying goodbye in the customary manner according to cultural or religious mourning practices (Stroebe &amp; Schut, 2020), generated complications in the grieving process </w:t>
      </w:r>
      <w:r w:rsidR="00B96D05" w:rsidRPr="00DC595B">
        <w:rPr>
          <w:rFonts w:ascii="Times New Roman" w:hAnsi="Times New Roman" w:cs="Times New Roman"/>
          <w:sz w:val="24"/>
          <w:szCs w:val="24"/>
        </w:rPr>
        <w:t>(</w:t>
      </w:r>
      <w:r w:rsidR="00DC595B" w:rsidRPr="00DC595B">
        <w:rPr>
          <w:rFonts w:ascii="Times New Roman" w:hAnsi="Times New Roman" w:cs="Times New Roman"/>
          <w:sz w:val="24"/>
          <w:szCs w:val="24"/>
        </w:rPr>
        <w:t>Qian</w:t>
      </w:r>
      <w:r w:rsidR="00B96D05" w:rsidRPr="00DC595B">
        <w:rPr>
          <w:rFonts w:ascii="Times New Roman" w:hAnsi="Times New Roman" w:cs="Times New Roman"/>
          <w:sz w:val="24"/>
          <w:szCs w:val="24"/>
        </w:rPr>
        <w:t xml:space="preserve"> </w:t>
      </w:r>
      <w:r w:rsidR="00DC595B" w:rsidRPr="00DC595B">
        <w:rPr>
          <w:rFonts w:ascii="Times New Roman" w:hAnsi="Times New Roman" w:cs="Times New Roman"/>
          <w:sz w:val="24"/>
          <w:szCs w:val="24"/>
        </w:rPr>
        <w:t>et al.</w:t>
      </w:r>
      <w:r w:rsidR="00B96D05" w:rsidRPr="00DC595B">
        <w:rPr>
          <w:rFonts w:ascii="Times New Roman" w:hAnsi="Times New Roman" w:cs="Times New Roman"/>
          <w:sz w:val="24"/>
          <w:szCs w:val="24"/>
        </w:rPr>
        <w:t xml:space="preserve">, 2022). </w:t>
      </w:r>
      <w:r w:rsidR="00822E00" w:rsidRPr="00DC595B">
        <w:rPr>
          <w:rFonts w:ascii="Times New Roman" w:hAnsi="Times New Roman" w:cs="Times New Roman"/>
          <w:sz w:val="24"/>
          <w:szCs w:val="24"/>
        </w:rPr>
        <w:t>A recent study during the COVID-19 pandemic reported that the percentages of dysfunctional grief related to COVID-19 varied between 7.3% (Brazil and Chile) and 14.6% (El Salvador) (</w:t>
      </w:r>
      <w:r w:rsidR="00DC595B" w:rsidRPr="00DC595B">
        <w:rPr>
          <w:rFonts w:ascii="Times New Roman" w:hAnsi="Times New Roman" w:cs="Times New Roman"/>
          <w:sz w:val="24"/>
          <w:szCs w:val="24"/>
        </w:rPr>
        <w:t>Caycho-Rodríguez</w:t>
      </w:r>
      <w:r w:rsidR="00822E00" w:rsidRPr="00DC595B">
        <w:rPr>
          <w:rFonts w:ascii="Times New Roman" w:hAnsi="Times New Roman" w:cs="Times New Roman"/>
          <w:sz w:val="24"/>
          <w:szCs w:val="24"/>
        </w:rPr>
        <w:t xml:space="preserve"> </w:t>
      </w:r>
      <w:r w:rsidR="00DC595B" w:rsidRPr="00DC595B">
        <w:rPr>
          <w:rFonts w:ascii="Times New Roman" w:hAnsi="Times New Roman" w:cs="Times New Roman"/>
          <w:sz w:val="24"/>
          <w:szCs w:val="24"/>
        </w:rPr>
        <w:t>et al.</w:t>
      </w:r>
      <w:r w:rsidR="00822E00" w:rsidRPr="00DC595B">
        <w:rPr>
          <w:rFonts w:ascii="Times New Roman" w:hAnsi="Times New Roman" w:cs="Times New Roman"/>
          <w:sz w:val="24"/>
          <w:szCs w:val="24"/>
        </w:rPr>
        <w:t>, 2021).</w:t>
      </w:r>
    </w:p>
    <w:p w14:paraId="70E2436C" w14:textId="03C9550B" w:rsidR="00CE1F45" w:rsidRPr="00DC595B" w:rsidRDefault="00B6794C" w:rsidP="00693813">
      <w:pPr>
        <w:spacing w:line="276" w:lineRule="auto"/>
        <w:ind w:firstLine="720"/>
        <w:rPr>
          <w:rFonts w:ascii="Times New Roman" w:hAnsi="Times New Roman" w:cs="Times New Roman"/>
          <w:sz w:val="24"/>
          <w:szCs w:val="24"/>
        </w:rPr>
      </w:pPr>
      <w:r w:rsidRPr="00DC595B">
        <w:rPr>
          <w:rFonts w:ascii="Times New Roman" w:hAnsi="Times New Roman" w:cs="Times New Roman"/>
          <w:sz w:val="24"/>
          <w:szCs w:val="24"/>
        </w:rPr>
        <w:t>Following the COVID-19 pandemic, there is concern about the increase in mental health problems associated with bereavement over COVID-19</w:t>
      </w:r>
      <w:r w:rsidR="00B96D05" w:rsidRPr="00DC595B">
        <w:rPr>
          <w:rFonts w:ascii="Times New Roman" w:hAnsi="Times New Roman" w:cs="Times New Roman"/>
          <w:sz w:val="24"/>
          <w:szCs w:val="24"/>
        </w:rPr>
        <w:t xml:space="preserve">. </w:t>
      </w:r>
      <w:r w:rsidR="00CB6366" w:rsidRPr="00DC595B">
        <w:rPr>
          <w:rFonts w:ascii="Times New Roman" w:hAnsi="Times New Roman" w:cs="Times New Roman"/>
          <w:sz w:val="24"/>
          <w:szCs w:val="24"/>
        </w:rPr>
        <w:t xml:space="preserve">However, recent studies have focused on identifying also positive outcomes that may have emerged in the face of adversity and that may generate positive psychological changes, such as posttraumatic growth </w:t>
      </w:r>
      <w:r w:rsidR="006F05BB" w:rsidRPr="00DC595B">
        <w:rPr>
          <w:rFonts w:ascii="Times New Roman" w:hAnsi="Times New Roman" w:cs="Times New Roman"/>
          <w:sz w:val="24"/>
          <w:szCs w:val="24"/>
        </w:rPr>
        <w:t>(</w:t>
      </w:r>
      <w:r w:rsidR="000A4622" w:rsidRPr="00DC595B">
        <w:rPr>
          <w:rFonts w:ascii="Times New Roman" w:hAnsi="Times New Roman" w:cs="Times New Roman"/>
          <w:sz w:val="24"/>
          <w:szCs w:val="24"/>
        </w:rPr>
        <w:t>Kalaitzaki</w:t>
      </w:r>
      <w:r w:rsidR="006F05BB" w:rsidRPr="00DC595B">
        <w:rPr>
          <w:rFonts w:ascii="Times New Roman" w:hAnsi="Times New Roman" w:cs="Times New Roman"/>
          <w:sz w:val="24"/>
          <w:szCs w:val="24"/>
        </w:rPr>
        <w:t xml:space="preserve"> </w:t>
      </w:r>
      <w:r w:rsidR="000A4622" w:rsidRPr="00DC595B">
        <w:rPr>
          <w:rFonts w:ascii="Times New Roman" w:hAnsi="Times New Roman" w:cs="Times New Roman"/>
          <w:sz w:val="24"/>
          <w:szCs w:val="24"/>
        </w:rPr>
        <w:t>et al.</w:t>
      </w:r>
      <w:r w:rsidR="006F05BB" w:rsidRPr="00DC595B">
        <w:rPr>
          <w:rFonts w:ascii="Times New Roman" w:hAnsi="Times New Roman" w:cs="Times New Roman"/>
          <w:sz w:val="24"/>
          <w:szCs w:val="24"/>
        </w:rPr>
        <w:t xml:space="preserve">, 2022; </w:t>
      </w:r>
      <w:r w:rsidR="000A4622" w:rsidRPr="00DC595B">
        <w:rPr>
          <w:rFonts w:ascii="Times New Roman" w:hAnsi="Times New Roman" w:cs="Times New Roman"/>
          <w:sz w:val="24"/>
          <w:szCs w:val="24"/>
        </w:rPr>
        <w:t>Hyun</w:t>
      </w:r>
      <w:r w:rsidR="006F05BB" w:rsidRPr="00DC595B">
        <w:rPr>
          <w:rFonts w:ascii="Times New Roman" w:hAnsi="Times New Roman" w:cs="Times New Roman"/>
          <w:sz w:val="24"/>
          <w:szCs w:val="24"/>
        </w:rPr>
        <w:t xml:space="preserve"> </w:t>
      </w:r>
      <w:r w:rsidR="000A4622" w:rsidRPr="00DC595B">
        <w:rPr>
          <w:rFonts w:ascii="Times New Roman" w:hAnsi="Times New Roman" w:cs="Times New Roman"/>
          <w:sz w:val="24"/>
          <w:szCs w:val="24"/>
        </w:rPr>
        <w:t>et al.</w:t>
      </w:r>
      <w:r w:rsidR="006F05BB" w:rsidRPr="00DC595B">
        <w:rPr>
          <w:rFonts w:ascii="Times New Roman" w:hAnsi="Times New Roman" w:cs="Times New Roman"/>
          <w:sz w:val="24"/>
          <w:szCs w:val="24"/>
        </w:rPr>
        <w:t>, 2021)</w:t>
      </w:r>
      <w:r w:rsidR="00233263" w:rsidRPr="00DC595B">
        <w:rPr>
          <w:rFonts w:ascii="Times New Roman" w:hAnsi="Times New Roman" w:cs="Times New Roman"/>
          <w:sz w:val="24"/>
          <w:szCs w:val="24"/>
        </w:rPr>
        <w:t xml:space="preserve">. </w:t>
      </w:r>
      <w:r w:rsidR="00CB6366" w:rsidRPr="00DC595B">
        <w:rPr>
          <w:rFonts w:ascii="Times New Roman" w:hAnsi="Times New Roman" w:cs="Times New Roman"/>
          <w:sz w:val="24"/>
          <w:szCs w:val="24"/>
        </w:rPr>
        <w:t xml:space="preserve">Post-traumatic growth (PTG) refers to the positive psychological changes experienced by people as a result of coping with traumatic or extremely challenging events </w:t>
      </w:r>
      <w:r w:rsidR="00CE1F45" w:rsidRPr="00DC595B">
        <w:rPr>
          <w:rFonts w:ascii="Times New Roman" w:hAnsi="Times New Roman" w:cs="Times New Roman"/>
          <w:sz w:val="24"/>
          <w:szCs w:val="24"/>
        </w:rPr>
        <w:t xml:space="preserve">(Tedeschi &amp; Calhoun, 2004, 1996). </w:t>
      </w:r>
      <w:r w:rsidR="00CB6366" w:rsidRPr="00DC595B">
        <w:rPr>
          <w:rFonts w:ascii="Times New Roman" w:hAnsi="Times New Roman" w:cs="Times New Roman"/>
          <w:sz w:val="24"/>
          <w:szCs w:val="24"/>
        </w:rPr>
        <w:t xml:space="preserve">Faced with these situations, people acquire better coping skills, improve their interpersonal relationships and develop a greater appreciation for life </w:t>
      </w:r>
      <w:r w:rsidR="00CE1F45" w:rsidRPr="00DC595B">
        <w:rPr>
          <w:rFonts w:ascii="Times New Roman" w:hAnsi="Times New Roman" w:cs="Times New Roman"/>
          <w:sz w:val="24"/>
          <w:szCs w:val="24"/>
        </w:rPr>
        <w:t>(</w:t>
      </w:r>
      <w:r w:rsidR="000A4622" w:rsidRPr="00DC595B">
        <w:rPr>
          <w:rFonts w:ascii="Times New Roman" w:hAnsi="Times New Roman" w:cs="Times New Roman"/>
          <w:sz w:val="24"/>
          <w:szCs w:val="24"/>
        </w:rPr>
        <w:t>Hyun</w:t>
      </w:r>
      <w:r w:rsidR="00D13EF2" w:rsidRPr="00DC595B">
        <w:rPr>
          <w:rFonts w:ascii="Times New Roman" w:hAnsi="Times New Roman" w:cs="Times New Roman"/>
          <w:sz w:val="24"/>
          <w:szCs w:val="24"/>
        </w:rPr>
        <w:t xml:space="preserve"> </w:t>
      </w:r>
      <w:r w:rsidR="000A4622" w:rsidRPr="00DC595B">
        <w:rPr>
          <w:rFonts w:ascii="Times New Roman" w:hAnsi="Times New Roman" w:cs="Times New Roman"/>
          <w:sz w:val="24"/>
          <w:szCs w:val="24"/>
        </w:rPr>
        <w:t>et al.</w:t>
      </w:r>
      <w:r w:rsidR="00D13EF2" w:rsidRPr="00DC595B">
        <w:rPr>
          <w:rFonts w:ascii="Times New Roman" w:hAnsi="Times New Roman" w:cs="Times New Roman"/>
          <w:sz w:val="24"/>
          <w:szCs w:val="24"/>
        </w:rPr>
        <w:t>, 2021</w:t>
      </w:r>
      <w:r w:rsidR="00CE1F45" w:rsidRPr="00DC595B">
        <w:rPr>
          <w:rFonts w:ascii="Times New Roman" w:hAnsi="Times New Roman" w:cs="Times New Roman"/>
          <w:sz w:val="24"/>
          <w:szCs w:val="24"/>
        </w:rPr>
        <w:t>).</w:t>
      </w:r>
      <w:r w:rsidR="00662098" w:rsidRPr="00DC595B">
        <w:rPr>
          <w:rFonts w:ascii="Times New Roman" w:hAnsi="Times New Roman" w:cs="Times New Roman"/>
          <w:sz w:val="24"/>
          <w:szCs w:val="24"/>
        </w:rPr>
        <w:t xml:space="preserve"> </w:t>
      </w:r>
      <w:r w:rsidR="00CB6366" w:rsidRPr="00DC595B">
        <w:rPr>
          <w:rFonts w:ascii="Times New Roman" w:hAnsi="Times New Roman" w:cs="Times New Roman"/>
          <w:sz w:val="24"/>
          <w:szCs w:val="24"/>
        </w:rPr>
        <w:t xml:space="preserve">It has been suggested that the presence of PTG allows understanding and coping with the trauma generated by the COVID-19 pandemic since it explains a crisis from a positive perspective </w:t>
      </w:r>
      <w:r w:rsidR="00233263" w:rsidRPr="00DC595B">
        <w:rPr>
          <w:rFonts w:ascii="Times New Roman" w:hAnsi="Times New Roman" w:cs="Times New Roman"/>
          <w:sz w:val="24"/>
          <w:szCs w:val="24"/>
        </w:rPr>
        <w:t>(</w:t>
      </w:r>
      <w:r w:rsidR="000A4622" w:rsidRPr="00DC595B">
        <w:rPr>
          <w:rFonts w:ascii="Times New Roman" w:hAnsi="Times New Roman" w:cs="Times New Roman"/>
          <w:sz w:val="24"/>
          <w:szCs w:val="24"/>
        </w:rPr>
        <w:t>Hyun</w:t>
      </w:r>
      <w:r w:rsidR="00662098" w:rsidRPr="00DC595B">
        <w:rPr>
          <w:rFonts w:ascii="Times New Roman" w:hAnsi="Times New Roman" w:cs="Times New Roman"/>
          <w:sz w:val="24"/>
          <w:szCs w:val="24"/>
        </w:rPr>
        <w:t xml:space="preserve"> </w:t>
      </w:r>
      <w:r w:rsidR="000A4622" w:rsidRPr="00DC595B">
        <w:rPr>
          <w:rFonts w:ascii="Times New Roman" w:hAnsi="Times New Roman" w:cs="Times New Roman"/>
          <w:sz w:val="24"/>
          <w:szCs w:val="24"/>
        </w:rPr>
        <w:t>et al.</w:t>
      </w:r>
      <w:r w:rsidR="00662098" w:rsidRPr="00DC595B">
        <w:rPr>
          <w:rFonts w:ascii="Times New Roman" w:hAnsi="Times New Roman" w:cs="Times New Roman"/>
          <w:sz w:val="24"/>
          <w:szCs w:val="24"/>
        </w:rPr>
        <w:t>, 2021</w:t>
      </w:r>
      <w:r w:rsidR="00233263" w:rsidRPr="00DC595B">
        <w:rPr>
          <w:rFonts w:ascii="Times New Roman" w:hAnsi="Times New Roman" w:cs="Times New Roman"/>
          <w:sz w:val="24"/>
          <w:szCs w:val="24"/>
        </w:rPr>
        <w:t xml:space="preserve">; </w:t>
      </w:r>
      <w:r w:rsidR="000A4622" w:rsidRPr="00DC595B">
        <w:rPr>
          <w:rFonts w:ascii="Times New Roman" w:hAnsi="Times New Roman" w:cs="Times New Roman"/>
          <w:sz w:val="24"/>
          <w:szCs w:val="24"/>
        </w:rPr>
        <w:t>Waters</w:t>
      </w:r>
      <w:r w:rsidR="00662098" w:rsidRPr="00DC595B">
        <w:rPr>
          <w:rFonts w:ascii="Times New Roman" w:hAnsi="Times New Roman" w:cs="Times New Roman"/>
          <w:sz w:val="24"/>
          <w:szCs w:val="24"/>
        </w:rPr>
        <w:t xml:space="preserve"> </w:t>
      </w:r>
      <w:r w:rsidR="000A4622" w:rsidRPr="00DC595B">
        <w:rPr>
          <w:rFonts w:ascii="Times New Roman" w:hAnsi="Times New Roman" w:cs="Times New Roman"/>
          <w:sz w:val="24"/>
          <w:szCs w:val="24"/>
        </w:rPr>
        <w:t>et al.</w:t>
      </w:r>
      <w:r w:rsidR="00662098" w:rsidRPr="00DC595B">
        <w:rPr>
          <w:rFonts w:ascii="Times New Roman" w:hAnsi="Times New Roman" w:cs="Times New Roman"/>
          <w:sz w:val="24"/>
          <w:szCs w:val="24"/>
        </w:rPr>
        <w:t>, 2021</w:t>
      </w:r>
      <w:r w:rsidR="00233263" w:rsidRPr="00DC595B">
        <w:rPr>
          <w:rFonts w:ascii="Times New Roman" w:hAnsi="Times New Roman" w:cs="Times New Roman"/>
          <w:sz w:val="24"/>
          <w:szCs w:val="24"/>
        </w:rPr>
        <w:t>).</w:t>
      </w:r>
      <w:r w:rsidR="001F43D7" w:rsidRPr="00DC595B">
        <w:rPr>
          <w:rFonts w:ascii="Times New Roman" w:hAnsi="Times New Roman" w:cs="Times New Roman"/>
          <w:sz w:val="24"/>
          <w:szCs w:val="24"/>
        </w:rPr>
        <w:t xml:space="preserve"> </w:t>
      </w:r>
      <w:r w:rsidR="00CB6366" w:rsidRPr="00DC595B">
        <w:rPr>
          <w:rFonts w:ascii="Times New Roman" w:hAnsi="Times New Roman" w:cs="Times New Roman"/>
          <w:sz w:val="24"/>
          <w:szCs w:val="24"/>
        </w:rPr>
        <w:t>In addition, the presence of PTG does not eliminate symptoms of post-traumatic stress disorder (PTSD</w:t>
      </w:r>
      <w:r w:rsidR="005D16AD" w:rsidRPr="00DC595B">
        <w:rPr>
          <w:rFonts w:ascii="Times New Roman" w:hAnsi="Times New Roman" w:cs="Times New Roman"/>
          <w:sz w:val="24"/>
          <w:szCs w:val="24"/>
        </w:rPr>
        <w:t>) (</w:t>
      </w:r>
      <w:r w:rsidR="000A4622" w:rsidRPr="00DC595B">
        <w:rPr>
          <w:rFonts w:ascii="Times New Roman" w:hAnsi="Times New Roman" w:cs="Times New Roman"/>
          <w:sz w:val="24"/>
          <w:szCs w:val="24"/>
        </w:rPr>
        <w:t>Feingold</w:t>
      </w:r>
      <w:r w:rsidR="005D16AD" w:rsidRPr="00DC595B">
        <w:rPr>
          <w:rFonts w:ascii="Times New Roman" w:hAnsi="Times New Roman" w:cs="Times New Roman"/>
          <w:sz w:val="24"/>
          <w:szCs w:val="24"/>
        </w:rPr>
        <w:t xml:space="preserve"> </w:t>
      </w:r>
      <w:r w:rsidR="000A4622" w:rsidRPr="00DC595B">
        <w:rPr>
          <w:rFonts w:ascii="Times New Roman" w:hAnsi="Times New Roman" w:cs="Times New Roman"/>
          <w:sz w:val="24"/>
          <w:szCs w:val="24"/>
        </w:rPr>
        <w:t>et al.</w:t>
      </w:r>
      <w:r w:rsidR="005D16AD" w:rsidRPr="00DC595B">
        <w:rPr>
          <w:rFonts w:ascii="Times New Roman" w:hAnsi="Times New Roman" w:cs="Times New Roman"/>
          <w:sz w:val="24"/>
          <w:szCs w:val="24"/>
        </w:rPr>
        <w:t xml:space="preserve">, 2022). </w:t>
      </w:r>
      <w:r w:rsidR="00CB6366" w:rsidRPr="00DC595B">
        <w:rPr>
          <w:rFonts w:ascii="Times New Roman" w:hAnsi="Times New Roman" w:cs="Times New Roman"/>
          <w:sz w:val="24"/>
          <w:szCs w:val="24"/>
        </w:rPr>
        <w:t xml:space="preserve">Thus, moderate PTSD symptoms are generally associated with high PTG levels </w:t>
      </w:r>
      <w:r w:rsidR="001F43D7" w:rsidRPr="00DC595B">
        <w:rPr>
          <w:rFonts w:ascii="Times New Roman" w:hAnsi="Times New Roman" w:cs="Times New Roman"/>
          <w:sz w:val="24"/>
          <w:szCs w:val="24"/>
        </w:rPr>
        <w:t>(</w:t>
      </w:r>
      <w:r w:rsidR="000A4622" w:rsidRPr="00DC595B">
        <w:rPr>
          <w:rFonts w:ascii="Times New Roman" w:hAnsi="Times New Roman" w:cs="Times New Roman"/>
          <w:sz w:val="24"/>
          <w:szCs w:val="24"/>
        </w:rPr>
        <w:t>Pietrzak</w:t>
      </w:r>
      <w:r w:rsidR="005D16AD" w:rsidRPr="00DC595B">
        <w:rPr>
          <w:rFonts w:ascii="Times New Roman" w:hAnsi="Times New Roman" w:cs="Times New Roman"/>
          <w:sz w:val="24"/>
          <w:szCs w:val="24"/>
        </w:rPr>
        <w:t xml:space="preserve"> </w:t>
      </w:r>
      <w:r w:rsidR="000A4622" w:rsidRPr="00DC595B">
        <w:rPr>
          <w:rFonts w:ascii="Times New Roman" w:hAnsi="Times New Roman" w:cs="Times New Roman"/>
          <w:sz w:val="24"/>
          <w:szCs w:val="24"/>
        </w:rPr>
        <w:t>et al.</w:t>
      </w:r>
      <w:r w:rsidR="005D16AD" w:rsidRPr="00DC595B">
        <w:rPr>
          <w:rFonts w:ascii="Times New Roman" w:hAnsi="Times New Roman" w:cs="Times New Roman"/>
          <w:sz w:val="24"/>
          <w:szCs w:val="24"/>
        </w:rPr>
        <w:t xml:space="preserve">, 2021; </w:t>
      </w:r>
      <w:r w:rsidR="000A4622" w:rsidRPr="00DC595B">
        <w:rPr>
          <w:rFonts w:ascii="Times New Roman" w:hAnsi="Times New Roman" w:cs="Times New Roman"/>
          <w:sz w:val="24"/>
          <w:szCs w:val="24"/>
        </w:rPr>
        <w:t>Tsai</w:t>
      </w:r>
      <w:r w:rsidR="005D16AD" w:rsidRPr="00DC595B">
        <w:rPr>
          <w:rFonts w:ascii="Times New Roman" w:hAnsi="Times New Roman" w:cs="Times New Roman"/>
          <w:sz w:val="24"/>
          <w:szCs w:val="24"/>
        </w:rPr>
        <w:t xml:space="preserve"> </w:t>
      </w:r>
      <w:r w:rsidR="000A4622" w:rsidRPr="00DC595B">
        <w:rPr>
          <w:rFonts w:ascii="Times New Roman" w:hAnsi="Times New Roman" w:cs="Times New Roman"/>
          <w:sz w:val="24"/>
          <w:szCs w:val="24"/>
        </w:rPr>
        <w:t>et al.</w:t>
      </w:r>
      <w:r w:rsidR="005D16AD" w:rsidRPr="00DC595B">
        <w:rPr>
          <w:rFonts w:ascii="Times New Roman" w:hAnsi="Times New Roman" w:cs="Times New Roman"/>
          <w:sz w:val="24"/>
          <w:szCs w:val="24"/>
        </w:rPr>
        <w:t>, 2015).</w:t>
      </w:r>
    </w:p>
    <w:p w14:paraId="33416E63" w14:textId="19CBD180" w:rsidR="00CE1F45" w:rsidRPr="00DC595B" w:rsidRDefault="00EF5976" w:rsidP="00693813">
      <w:pPr>
        <w:tabs>
          <w:tab w:val="left" w:pos="937"/>
        </w:tabs>
        <w:spacing w:line="276" w:lineRule="auto"/>
        <w:rPr>
          <w:rFonts w:ascii="Times New Roman" w:hAnsi="Times New Roman" w:cs="Times New Roman"/>
          <w:sz w:val="24"/>
          <w:szCs w:val="24"/>
        </w:rPr>
      </w:pPr>
      <w:r w:rsidRPr="00DC595B">
        <w:rPr>
          <w:rFonts w:ascii="Times New Roman" w:hAnsi="Times New Roman" w:cs="Times New Roman"/>
          <w:sz w:val="24"/>
          <w:szCs w:val="24"/>
        </w:rPr>
        <w:tab/>
      </w:r>
      <w:r w:rsidR="00CB6366" w:rsidRPr="00DC595B">
        <w:rPr>
          <w:rFonts w:ascii="Times New Roman" w:hAnsi="Times New Roman" w:cs="Times New Roman"/>
          <w:sz w:val="24"/>
          <w:szCs w:val="24"/>
        </w:rPr>
        <w:t xml:space="preserve">Recent studies have indicated that PTG is associated with improved functioning and greater resilience in the face of the pandemic </w:t>
      </w:r>
      <w:r w:rsidRPr="00DC595B">
        <w:rPr>
          <w:rFonts w:ascii="Times New Roman" w:hAnsi="Times New Roman" w:cs="Times New Roman"/>
          <w:sz w:val="24"/>
          <w:szCs w:val="24"/>
        </w:rPr>
        <w:t xml:space="preserve">(Gonda &amp; Tarazi, 2022; </w:t>
      </w:r>
      <w:r w:rsidR="00C72504" w:rsidRPr="00DC595B">
        <w:rPr>
          <w:rFonts w:ascii="Times New Roman" w:hAnsi="Times New Roman" w:cs="Times New Roman"/>
          <w:sz w:val="24"/>
          <w:szCs w:val="24"/>
        </w:rPr>
        <w:t xml:space="preserve">Thomson </w:t>
      </w:r>
      <w:r w:rsidR="000A4622" w:rsidRPr="00DC595B">
        <w:rPr>
          <w:rFonts w:ascii="Times New Roman" w:hAnsi="Times New Roman" w:cs="Times New Roman"/>
          <w:sz w:val="24"/>
          <w:szCs w:val="24"/>
        </w:rPr>
        <w:t>et al.</w:t>
      </w:r>
      <w:r w:rsidRPr="00DC595B">
        <w:rPr>
          <w:rFonts w:ascii="Times New Roman" w:hAnsi="Times New Roman" w:cs="Times New Roman"/>
          <w:sz w:val="24"/>
          <w:szCs w:val="24"/>
        </w:rPr>
        <w:t>, 2022)</w:t>
      </w:r>
      <w:r w:rsidR="0033452D" w:rsidRPr="00DC595B">
        <w:rPr>
          <w:rFonts w:ascii="Times New Roman" w:hAnsi="Times New Roman" w:cs="Times New Roman"/>
          <w:sz w:val="24"/>
          <w:szCs w:val="24"/>
        </w:rPr>
        <w:t xml:space="preserve">. </w:t>
      </w:r>
      <w:r w:rsidR="00693813" w:rsidRPr="00693813">
        <w:rPr>
          <w:rFonts w:ascii="Times New Roman" w:hAnsi="Times New Roman" w:cs="Times New Roman"/>
          <w:sz w:val="24"/>
          <w:szCs w:val="24"/>
        </w:rPr>
        <w:t>Additionally, post-traumatic growth was related to higher self-</w:t>
      </w:r>
      <w:r w:rsidR="00693813" w:rsidRPr="00693813">
        <w:rPr>
          <w:rFonts w:ascii="Times New Roman" w:hAnsi="Times New Roman" w:cs="Times New Roman"/>
          <w:sz w:val="24"/>
          <w:szCs w:val="24"/>
        </w:rPr>
        <w:lastRenderedPageBreak/>
        <w:t>esteem, PTSD, c</w:t>
      </w:r>
      <w:r w:rsidR="00693813">
        <w:rPr>
          <w:rFonts w:ascii="Times New Roman" w:hAnsi="Times New Roman" w:cs="Times New Roman"/>
          <w:sz w:val="24"/>
          <w:szCs w:val="24"/>
        </w:rPr>
        <w:t>oping style, and social support</w:t>
      </w:r>
      <w:r w:rsidR="00984CBC" w:rsidRPr="00693813">
        <w:rPr>
          <w:rFonts w:ascii="Times New Roman" w:hAnsi="Times New Roman" w:cs="Times New Roman"/>
          <w:sz w:val="24"/>
          <w:szCs w:val="24"/>
        </w:rPr>
        <w:t xml:space="preserve"> (</w:t>
      </w:r>
      <w:r w:rsidR="0006120C" w:rsidRPr="00DC595B">
        <w:rPr>
          <w:rFonts w:ascii="Times New Roman" w:hAnsi="Times New Roman" w:cs="Times New Roman"/>
          <w:sz w:val="24"/>
          <w:szCs w:val="24"/>
        </w:rPr>
        <w:t>Ulset, &amp; von Soest, 2022</w:t>
      </w:r>
      <w:r w:rsidR="0006120C">
        <w:rPr>
          <w:rFonts w:ascii="Times New Roman" w:hAnsi="Times New Roman" w:cs="Times New Roman"/>
          <w:sz w:val="24"/>
          <w:szCs w:val="24"/>
        </w:rPr>
        <w:t xml:space="preserve">; </w:t>
      </w:r>
      <w:r w:rsidR="00C72504" w:rsidRPr="00693813">
        <w:rPr>
          <w:rFonts w:ascii="Times New Roman" w:hAnsi="Times New Roman" w:cs="Times New Roman"/>
          <w:sz w:val="24"/>
          <w:szCs w:val="24"/>
        </w:rPr>
        <w:t>Yan</w:t>
      </w:r>
      <w:r w:rsidR="00984CBC" w:rsidRPr="00693813">
        <w:rPr>
          <w:rFonts w:ascii="Times New Roman" w:hAnsi="Times New Roman" w:cs="Times New Roman"/>
          <w:sz w:val="24"/>
          <w:szCs w:val="24"/>
        </w:rPr>
        <w:t xml:space="preserve"> </w:t>
      </w:r>
      <w:r w:rsidR="00C72504" w:rsidRPr="00693813">
        <w:rPr>
          <w:rFonts w:ascii="Times New Roman" w:hAnsi="Times New Roman" w:cs="Times New Roman"/>
          <w:sz w:val="24"/>
          <w:szCs w:val="24"/>
        </w:rPr>
        <w:t>et al.</w:t>
      </w:r>
      <w:r w:rsidR="00984CBC" w:rsidRPr="00693813">
        <w:rPr>
          <w:rFonts w:ascii="Times New Roman" w:hAnsi="Times New Roman" w:cs="Times New Roman"/>
          <w:sz w:val="24"/>
          <w:szCs w:val="24"/>
        </w:rPr>
        <w:t xml:space="preserve">, 2021). </w:t>
      </w:r>
      <w:r w:rsidR="00CB6366" w:rsidRPr="00DC595B">
        <w:rPr>
          <w:rFonts w:ascii="Times New Roman" w:hAnsi="Times New Roman" w:cs="Times New Roman"/>
          <w:sz w:val="24"/>
          <w:szCs w:val="24"/>
        </w:rPr>
        <w:t xml:space="preserve">Although post-traumatic growth is a positive psychological consequence of the COVID-19 pandemic, few studies have explored its prevalence and relationships with other variables in Latin American countries </w:t>
      </w:r>
      <w:r w:rsidR="000612BA" w:rsidRPr="00DC595B">
        <w:rPr>
          <w:rFonts w:ascii="Times New Roman" w:hAnsi="Times New Roman" w:cs="Times New Roman"/>
          <w:sz w:val="24"/>
          <w:szCs w:val="24"/>
        </w:rPr>
        <w:t>(</w:t>
      </w:r>
      <w:r w:rsidR="00CB6366" w:rsidRPr="00DC595B">
        <w:rPr>
          <w:rFonts w:ascii="Times New Roman" w:hAnsi="Times New Roman" w:cs="Times New Roman"/>
          <w:sz w:val="24"/>
          <w:szCs w:val="24"/>
        </w:rPr>
        <w:t>see, for example</w:t>
      </w:r>
      <w:r w:rsidR="000612BA" w:rsidRPr="00DC595B">
        <w:rPr>
          <w:rFonts w:ascii="Times New Roman" w:hAnsi="Times New Roman" w:cs="Times New Roman"/>
          <w:sz w:val="24"/>
          <w:szCs w:val="24"/>
        </w:rPr>
        <w:t xml:space="preserve">, </w:t>
      </w:r>
      <w:r w:rsidR="00C72504" w:rsidRPr="00DC595B">
        <w:rPr>
          <w:rFonts w:ascii="Times New Roman" w:hAnsi="Times New Roman" w:cs="Times New Roman"/>
          <w:sz w:val="24"/>
          <w:szCs w:val="24"/>
        </w:rPr>
        <w:t>Gómez-Acosta</w:t>
      </w:r>
      <w:r w:rsidR="000612BA" w:rsidRPr="00DC595B">
        <w:rPr>
          <w:rFonts w:ascii="Times New Roman" w:hAnsi="Times New Roman" w:cs="Times New Roman"/>
          <w:sz w:val="24"/>
          <w:szCs w:val="24"/>
        </w:rPr>
        <w:t xml:space="preserve"> </w:t>
      </w:r>
      <w:r w:rsidR="00C72504" w:rsidRPr="00DC595B">
        <w:rPr>
          <w:rFonts w:ascii="Times New Roman" w:hAnsi="Times New Roman" w:cs="Times New Roman"/>
          <w:sz w:val="24"/>
          <w:szCs w:val="24"/>
        </w:rPr>
        <w:t>et al.</w:t>
      </w:r>
      <w:r w:rsidR="000612BA" w:rsidRPr="00DC595B">
        <w:rPr>
          <w:rFonts w:ascii="Times New Roman" w:hAnsi="Times New Roman" w:cs="Times New Roman"/>
          <w:sz w:val="24"/>
          <w:szCs w:val="24"/>
        </w:rPr>
        <w:t xml:space="preserve">, </w:t>
      </w:r>
      <w:r w:rsidR="000F235B" w:rsidRPr="00DC595B">
        <w:rPr>
          <w:rFonts w:ascii="Times New Roman" w:hAnsi="Times New Roman" w:cs="Times New Roman"/>
          <w:sz w:val="24"/>
          <w:szCs w:val="24"/>
        </w:rPr>
        <w:t xml:space="preserve">2022; </w:t>
      </w:r>
      <w:r w:rsidR="000612BA" w:rsidRPr="00DC595B">
        <w:rPr>
          <w:rFonts w:ascii="Times New Roman" w:hAnsi="Times New Roman" w:cs="Times New Roman"/>
          <w:sz w:val="24"/>
          <w:szCs w:val="24"/>
        </w:rPr>
        <w:t>Ramos-Vera, &amp; Serpa, 2021).</w:t>
      </w:r>
      <w:r w:rsidR="000F235B" w:rsidRPr="00DC595B">
        <w:rPr>
          <w:rFonts w:ascii="Times New Roman" w:hAnsi="Times New Roman" w:cs="Times New Roman"/>
          <w:sz w:val="24"/>
          <w:szCs w:val="24"/>
        </w:rPr>
        <w:t xml:space="preserve"> </w:t>
      </w:r>
      <w:r w:rsidR="00CB6366" w:rsidRPr="00DC595B">
        <w:rPr>
          <w:rFonts w:ascii="Times New Roman" w:hAnsi="Times New Roman" w:cs="Times New Roman"/>
          <w:sz w:val="24"/>
          <w:szCs w:val="24"/>
        </w:rPr>
        <w:t>Most of the research on post-traumatic growth has been conducted in the United States, Europe and Asia</w:t>
      </w:r>
      <w:r w:rsidR="009245FF" w:rsidRPr="00DC595B">
        <w:rPr>
          <w:rFonts w:ascii="Times New Roman" w:hAnsi="Times New Roman" w:cs="Times New Roman"/>
          <w:sz w:val="24"/>
          <w:szCs w:val="24"/>
        </w:rPr>
        <w:t xml:space="preserve"> (</w:t>
      </w:r>
      <w:r w:rsidR="00CB6366" w:rsidRPr="00DC595B">
        <w:rPr>
          <w:rFonts w:ascii="Times New Roman" w:hAnsi="Times New Roman" w:cs="Times New Roman"/>
          <w:sz w:val="24"/>
          <w:szCs w:val="24"/>
        </w:rPr>
        <w:t>for example</w:t>
      </w:r>
      <w:r w:rsidR="009245FF" w:rsidRPr="00DC595B">
        <w:rPr>
          <w:rFonts w:ascii="Times New Roman" w:hAnsi="Times New Roman" w:cs="Times New Roman"/>
          <w:sz w:val="24"/>
          <w:szCs w:val="24"/>
        </w:rPr>
        <w:t xml:space="preserve">, </w:t>
      </w:r>
      <w:r w:rsidR="00981FDB" w:rsidRPr="00DC595B">
        <w:rPr>
          <w:rFonts w:ascii="Times New Roman" w:hAnsi="Times New Roman" w:cs="Times New Roman"/>
          <w:sz w:val="24"/>
          <w:szCs w:val="24"/>
        </w:rPr>
        <w:t>Li</w:t>
      </w:r>
      <w:r w:rsidR="009245FF" w:rsidRPr="00DC595B">
        <w:rPr>
          <w:rFonts w:ascii="Times New Roman" w:hAnsi="Times New Roman" w:cs="Times New Roman"/>
          <w:sz w:val="24"/>
          <w:szCs w:val="24"/>
        </w:rPr>
        <w:t xml:space="preserve"> </w:t>
      </w:r>
      <w:r w:rsidR="00981FDB" w:rsidRPr="00DC595B">
        <w:rPr>
          <w:rFonts w:ascii="Times New Roman" w:hAnsi="Times New Roman" w:cs="Times New Roman"/>
          <w:sz w:val="24"/>
          <w:szCs w:val="24"/>
        </w:rPr>
        <w:t>et al.</w:t>
      </w:r>
      <w:r w:rsidR="009245FF" w:rsidRPr="00DC595B">
        <w:rPr>
          <w:rFonts w:ascii="Times New Roman" w:hAnsi="Times New Roman" w:cs="Times New Roman"/>
          <w:sz w:val="24"/>
          <w:szCs w:val="24"/>
        </w:rPr>
        <w:t xml:space="preserve">, 2022; </w:t>
      </w:r>
      <w:r w:rsidR="00981FDB" w:rsidRPr="00DC595B">
        <w:rPr>
          <w:rFonts w:ascii="Times New Roman" w:hAnsi="Times New Roman" w:cs="Times New Roman"/>
          <w:sz w:val="24"/>
          <w:szCs w:val="24"/>
        </w:rPr>
        <w:t>Matos</w:t>
      </w:r>
      <w:r w:rsidR="009245FF" w:rsidRPr="00DC595B">
        <w:rPr>
          <w:rFonts w:ascii="Times New Roman" w:hAnsi="Times New Roman" w:cs="Times New Roman"/>
          <w:sz w:val="24"/>
          <w:szCs w:val="24"/>
        </w:rPr>
        <w:t xml:space="preserve"> </w:t>
      </w:r>
      <w:r w:rsidR="00981FDB" w:rsidRPr="00DC595B">
        <w:rPr>
          <w:rFonts w:ascii="Times New Roman" w:hAnsi="Times New Roman" w:cs="Times New Roman"/>
          <w:sz w:val="24"/>
          <w:szCs w:val="24"/>
        </w:rPr>
        <w:t>et al.</w:t>
      </w:r>
      <w:r w:rsidR="009245FF" w:rsidRPr="00DC595B">
        <w:rPr>
          <w:rFonts w:ascii="Times New Roman" w:hAnsi="Times New Roman" w:cs="Times New Roman"/>
          <w:sz w:val="24"/>
          <w:szCs w:val="24"/>
        </w:rPr>
        <w:t xml:space="preserve">, 2021; Prieto-Ursúa, &amp; Jódar, 2020). </w:t>
      </w:r>
      <w:r w:rsidR="00CB6366" w:rsidRPr="00DC595B">
        <w:rPr>
          <w:rFonts w:ascii="Times New Roman" w:hAnsi="Times New Roman" w:cs="Times New Roman"/>
          <w:sz w:val="24"/>
          <w:szCs w:val="24"/>
        </w:rPr>
        <w:t xml:space="preserve">An important step to facilitate research on posttraumatic growth in a post-pandemic context in Latin America is to have adequate instruments to measure it. One of the most widely used instruments on posttraumatic growth is the Posttraumatic Growth Inventory </w:t>
      </w:r>
      <w:r w:rsidR="002626EA" w:rsidRPr="00DC595B">
        <w:rPr>
          <w:rFonts w:ascii="Times New Roman" w:hAnsi="Times New Roman" w:cs="Times New Roman"/>
          <w:sz w:val="24"/>
          <w:szCs w:val="24"/>
        </w:rPr>
        <w:t>(PTGI; Tedeschi &amp; Calhoun</w:t>
      </w:r>
      <w:r w:rsidR="000612BA" w:rsidRPr="00DC595B">
        <w:rPr>
          <w:rFonts w:ascii="Times New Roman" w:hAnsi="Times New Roman" w:cs="Times New Roman"/>
          <w:sz w:val="24"/>
          <w:szCs w:val="24"/>
        </w:rPr>
        <w:t>, 1996)</w:t>
      </w:r>
      <w:r w:rsidR="002626EA" w:rsidRPr="00DC595B">
        <w:rPr>
          <w:rFonts w:ascii="Times New Roman" w:hAnsi="Times New Roman" w:cs="Times New Roman"/>
          <w:sz w:val="24"/>
          <w:szCs w:val="24"/>
        </w:rPr>
        <w:t>.</w:t>
      </w:r>
    </w:p>
    <w:p w14:paraId="70349205" w14:textId="31759CAB" w:rsidR="007E7571" w:rsidRPr="00DC595B" w:rsidRDefault="00A45DE5" w:rsidP="00693813">
      <w:pPr>
        <w:tabs>
          <w:tab w:val="left" w:pos="937"/>
        </w:tabs>
        <w:spacing w:line="276" w:lineRule="auto"/>
        <w:rPr>
          <w:rFonts w:ascii="Times New Roman" w:hAnsi="Times New Roman" w:cs="Times New Roman"/>
          <w:sz w:val="24"/>
          <w:szCs w:val="24"/>
        </w:rPr>
      </w:pPr>
      <w:r w:rsidRPr="00DC595B">
        <w:rPr>
          <w:rFonts w:ascii="Times New Roman" w:hAnsi="Times New Roman" w:cs="Times New Roman"/>
          <w:sz w:val="24"/>
          <w:szCs w:val="24"/>
        </w:rPr>
        <w:tab/>
      </w:r>
      <w:r w:rsidR="00CB6366" w:rsidRPr="00DC595B">
        <w:rPr>
          <w:rFonts w:ascii="Times New Roman" w:hAnsi="Times New Roman" w:cs="Times New Roman"/>
          <w:sz w:val="24"/>
          <w:szCs w:val="24"/>
        </w:rPr>
        <w:t xml:space="preserve">The PTGI originally consisted of 21 items grouped into five factors (relating to others, new possibilities, personal strength, spiritual change, and appreciation for life). However, a short version of 10 items has also been proposed that assesses the same five factors as the original PTGI </w:t>
      </w:r>
      <w:r w:rsidR="00C27E28" w:rsidRPr="00DC595B">
        <w:rPr>
          <w:rFonts w:ascii="Times New Roman" w:hAnsi="Times New Roman" w:cs="Times New Roman"/>
          <w:sz w:val="24"/>
          <w:szCs w:val="24"/>
        </w:rPr>
        <w:t xml:space="preserve">(PTGI-SF; </w:t>
      </w:r>
      <w:r w:rsidR="00981FDB" w:rsidRPr="00DC595B">
        <w:rPr>
          <w:rFonts w:ascii="Times New Roman" w:hAnsi="Times New Roman" w:cs="Times New Roman"/>
          <w:sz w:val="24"/>
          <w:szCs w:val="24"/>
        </w:rPr>
        <w:t>Cann</w:t>
      </w:r>
      <w:r w:rsidR="00C27E28" w:rsidRPr="00DC595B">
        <w:rPr>
          <w:rFonts w:ascii="Times New Roman" w:hAnsi="Times New Roman" w:cs="Times New Roman"/>
          <w:sz w:val="24"/>
          <w:szCs w:val="24"/>
        </w:rPr>
        <w:t xml:space="preserve"> </w:t>
      </w:r>
      <w:r w:rsidR="00981FDB" w:rsidRPr="00DC595B">
        <w:rPr>
          <w:rFonts w:ascii="Times New Roman" w:hAnsi="Times New Roman" w:cs="Times New Roman"/>
          <w:sz w:val="24"/>
          <w:szCs w:val="24"/>
        </w:rPr>
        <w:t>et al.</w:t>
      </w:r>
      <w:r w:rsidR="00C27E28" w:rsidRPr="00DC595B">
        <w:rPr>
          <w:rFonts w:ascii="Times New Roman" w:hAnsi="Times New Roman" w:cs="Times New Roman"/>
          <w:sz w:val="24"/>
          <w:szCs w:val="24"/>
        </w:rPr>
        <w:t xml:space="preserve">, 2010). </w:t>
      </w:r>
      <w:r w:rsidR="00CB6366" w:rsidRPr="00DC595B">
        <w:rPr>
          <w:rFonts w:ascii="Times New Roman" w:hAnsi="Times New Roman" w:cs="Times New Roman"/>
          <w:sz w:val="24"/>
          <w:szCs w:val="24"/>
        </w:rPr>
        <w:t xml:space="preserve">The presence of a shorter version would require less physical effort, collect data in less time and be able to include other measurements of variables of interest </w:t>
      </w:r>
      <w:r w:rsidR="000A08E4" w:rsidRPr="00DC595B">
        <w:rPr>
          <w:rFonts w:ascii="Times New Roman" w:hAnsi="Times New Roman" w:cs="Times New Roman"/>
          <w:sz w:val="24"/>
          <w:szCs w:val="24"/>
        </w:rPr>
        <w:t>(</w:t>
      </w:r>
      <w:r w:rsidR="00981FDB" w:rsidRPr="00DC595B">
        <w:rPr>
          <w:rFonts w:ascii="Times New Roman" w:hAnsi="Times New Roman" w:cs="Times New Roman"/>
          <w:sz w:val="24"/>
          <w:szCs w:val="24"/>
        </w:rPr>
        <w:t>Cann</w:t>
      </w:r>
      <w:r w:rsidR="000A08E4" w:rsidRPr="00DC595B">
        <w:rPr>
          <w:rFonts w:ascii="Times New Roman" w:hAnsi="Times New Roman" w:cs="Times New Roman"/>
          <w:sz w:val="24"/>
          <w:szCs w:val="24"/>
        </w:rPr>
        <w:t xml:space="preserve"> </w:t>
      </w:r>
      <w:r w:rsidR="00981FDB" w:rsidRPr="00DC595B">
        <w:rPr>
          <w:rFonts w:ascii="Times New Roman" w:hAnsi="Times New Roman" w:cs="Times New Roman"/>
          <w:sz w:val="24"/>
          <w:szCs w:val="24"/>
        </w:rPr>
        <w:t>et al.</w:t>
      </w:r>
      <w:r w:rsidR="000A08E4" w:rsidRPr="00DC595B">
        <w:rPr>
          <w:rFonts w:ascii="Times New Roman" w:hAnsi="Times New Roman" w:cs="Times New Roman"/>
          <w:sz w:val="24"/>
          <w:szCs w:val="24"/>
        </w:rPr>
        <w:t xml:space="preserve">, 2010). </w:t>
      </w:r>
      <w:r w:rsidR="00CB6366" w:rsidRPr="00DC595B">
        <w:rPr>
          <w:rFonts w:ascii="Times New Roman" w:hAnsi="Times New Roman" w:cs="Times New Roman"/>
          <w:sz w:val="24"/>
          <w:szCs w:val="24"/>
        </w:rPr>
        <w:t xml:space="preserve">The psychometric properties of the PTGI-SF have been evaluated in American veterans of the Iraq war (Kaler et al., 2011), divorced Portuguese adults (Lamela et al., 2014), Italian adults who experienced adverse life events (Prati &amp; Pietrantoni, 2014) and, recently in Persian adults (Amiri et al., 2020) among others. In Spanish, the PTGI-SF was applied, for example, in Chilean adults (Garcia, &amp; Wlodarczyk, 2016), Spanish university students (Castro et al., 2015), and Spanish adults during the pandemic </w:t>
      </w:r>
      <w:r w:rsidR="006523BA" w:rsidRPr="00DC595B">
        <w:rPr>
          <w:rFonts w:ascii="Times New Roman" w:hAnsi="Times New Roman" w:cs="Times New Roman"/>
          <w:sz w:val="24"/>
          <w:szCs w:val="24"/>
        </w:rPr>
        <w:t xml:space="preserve">(Garrido-Hernansaiz </w:t>
      </w:r>
      <w:r w:rsidR="006D46ED" w:rsidRPr="00DC595B">
        <w:rPr>
          <w:rFonts w:ascii="Times New Roman" w:hAnsi="Times New Roman" w:cs="Times New Roman"/>
          <w:sz w:val="24"/>
          <w:szCs w:val="24"/>
        </w:rPr>
        <w:t>et al.</w:t>
      </w:r>
      <w:r w:rsidR="006523BA" w:rsidRPr="00DC595B">
        <w:rPr>
          <w:rFonts w:ascii="Times New Roman" w:hAnsi="Times New Roman" w:cs="Times New Roman"/>
          <w:sz w:val="24"/>
          <w:szCs w:val="24"/>
        </w:rPr>
        <w:t>, 202</w:t>
      </w:r>
      <w:r w:rsidR="00A31EA2">
        <w:rPr>
          <w:rFonts w:ascii="Times New Roman" w:hAnsi="Times New Roman" w:cs="Times New Roman"/>
          <w:sz w:val="24"/>
          <w:szCs w:val="24"/>
        </w:rPr>
        <w:t>3</w:t>
      </w:r>
      <w:r w:rsidR="006523BA" w:rsidRPr="00DC595B">
        <w:rPr>
          <w:rFonts w:ascii="Times New Roman" w:hAnsi="Times New Roman" w:cs="Times New Roman"/>
          <w:sz w:val="24"/>
          <w:szCs w:val="24"/>
        </w:rPr>
        <w:t>).</w:t>
      </w:r>
      <w:r w:rsidR="007E7571" w:rsidRPr="00DC595B">
        <w:rPr>
          <w:rFonts w:ascii="Times New Roman" w:hAnsi="Times New Roman" w:cs="Times New Roman"/>
          <w:sz w:val="24"/>
          <w:szCs w:val="24"/>
        </w:rPr>
        <w:t xml:space="preserve"> </w:t>
      </w:r>
    </w:p>
    <w:p w14:paraId="7580AA13" w14:textId="6C20945D" w:rsidR="00837443" w:rsidRPr="00837443" w:rsidRDefault="007E7571" w:rsidP="00837443">
      <w:pPr>
        <w:tabs>
          <w:tab w:val="left" w:pos="937"/>
        </w:tabs>
        <w:spacing w:line="276" w:lineRule="auto"/>
        <w:rPr>
          <w:rFonts w:ascii="Times New Roman" w:hAnsi="Times New Roman" w:cs="Times New Roman"/>
          <w:color w:val="FF0000"/>
          <w:sz w:val="24"/>
          <w:szCs w:val="24"/>
        </w:rPr>
      </w:pPr>
      <w:r w:rsidRPr="00DC595B">
        <w:rPr>
          <w:rFonts w:ascii="Times New Roman" w:hAnsi="Times New Roman" w:cs="Times New Roman"/>
          <w:sz w:val="24"/>
          <w:szCs w:val="24"/>
        </w:rPr>
        <w:tab/>
      </w:r>
      <w:r w:rsidR="00CB6366" w:rsidRPr="00DC595B">
        <w:rPr>
          <w:rFonts w:ascii="Times New Roman" w:hAnsi="Times New Roman" w:cs="Times New Roman"/>
          <w:sz w:val="24"/>
          <w:szCs w:val="24"/>
        </w:rPr>
        <w:t xml:space="preserve">A recent study suggested an 8-item version of the PTGI-SF (PTGI-SF-8), eliminating items 1 and 6 from the original version, due to their low factor loadings and that the content was not fully in line with the construct, and with four factors (Relating to Others, Life Value and Opportunities, Personal Strength, and Spiritual Change) </w:t>
      </w:r>
      <w:r w:rsidRPr="00DC595B">
        <w:rPr>
          <w:rFonts w:ascii="Times New Roman" w:hAnsi="Times New Roman" w:cs="Times New Roman"/>
          <w:sz w:val="24"/>
          <w:szCs w:val="24"/>
        </w:rPr>
        <w:t>(</w:t>
      </w:r>
      <w:r w:rsidR="006D46ED" w:rsidRPr="00DC595B">
        <w:rPr>
          <w:rFonts w:ascii="Times New Roman" w:hAnsi="Times New Roman" w:cs="Times New Roman"/>
          <w:sz w:val="24"/>
          <w:szCs w:val="24"/>
        </w:rPr>
        <w:t>Garrido-Hernansaiz</w:t>
      </w:r>
      <w:r w:rsidRPr="00DC595B">
        <w:rPr>
          <w:rFonts w:ascii="Times New Roman" w:hAnsi="Times New Roman" w:cs="Times New Roman"/>
          <w:sz w:val="24"/>
          <w:szCs w:val="24"/>
        </w:rPr>
        <w:t xml:space="preserve"> </w:t>
      </w:r>
      <w:r w:rsidR="006D46ED" w:rsidRPr="00DC595B">
        <w:rPr>
          <w:rFonts w:ascii="Times New Roman" w:hAnsi="Times New Roman" w:cs="Times New Roman"/>
          <w:sz w:val="24"/>
          <w:szCs w:val="24"/>
        </w:rPr>
        <w:t>et al.</w:t>
      </w:r>
      <w:r w:rsidRPr="00DC595B">
        <w:rPr>
          <w:rFonts w:ascii="Times New Roman" w:hAnsi="Times New Roman" w:cs="Times New Roman"/>
          <w:sz w:val="24"/>
          <w:szCs w:val="24"/>
        </w:rPr>
        <w:t>, 202</w:t>
      </w:r>
      <w:r w:rsidR="00A31EA2">
        <w:rPr>
          <w:rFonts w:ascii="Times New Roman" w:hAnsi="Times New Roman" w:cs="Times New Roman"/>
          <w:sz w:val="24"/>
          <w:szCs w:val="24"/>
        </w:rPr>
        <w:t>3</w:t>
      </w:r>
      <w:r w:rsidRPr="00DC595B">
        <w:rPr>
          <w:rFonts w:ascii="Times New Roman" w:hAnsi="Times New Roman" w:cs="Times New Roman"/>
          <w:sz w:val="24"/>
          <w:szCs w:val="24"/>
        </w:rPr>
        <w:t xml:space="preserve">). </w:t>
      </w:r>
      <w:r w:rsidR="00CB6366" w:rsidRPr="00DC595B">
        <w:rPr>
          <w:rFonts w:ascii="Times New Roman" w:hAnsi="Times New Roman" w:cs="Times New Roman"/>
          <w:sz w:val="24"/>
          <w:szCs w:val="24"/>
        </w:rPr>
        <w:t xml:space="preserve">This new version PTGI-SF-8 presented adequate evidence of structural validity, reliability, sensitivity and criterion-related validity. The four-factor model of the PTGI-SF-8 was tested on different random and subsamples of women and men, resulting in adequate fit indices, even when restrictions </w:t>
      </w:r>
      <w:r w:rsidR="00CB6366" w:rsidRPr="00837443">
        <w:rPr>
          <w:rFonts w:ascii="Times New Roman" w:hAnsi="Times New Roman" w:cs="Times New Roman"/>
          <w:sz w:val="24"/>
          <w:szCs w:val="24"/>
        </w:rPr>
        <w:t>of equal factor loadings, factor covariances, intercepts and latent means were imposed.</w:t>
      </w:r>
      <w:r w:rsidR="00556375" w:rsidRPr="00837443">
        <w:rPr>
          <w:rFonts w:ascii="Times New Roman" w:hAnsi="Times New Roman" w:cs="Times New Roman"/>
          <w:sz w:val="24"/>
          <w:szCs w:val="24"/>
        </w:rPr>
        <w:t xml:space="preserve"> </w:t>
      </w:r>
      <w:r w:rsidR="00837443" w:rsidRPr="00837443">
        <w:rPr>
          <w:rFonts w:ascii="Times New Roman" w:hAnsi="Times New Roman" w:cs="Times New Roman"/>
          <w:sz w:val="24"/>
          <w:szCs w:val="24"/>
        </w:rPr>
        <w:t>A recent study evaluated the psychometric properties of the PTGI-SF-8 in Arabic-speaking individuals (Fekih-Romdhane et al., 2024). The CFA indicated that the fit of the original model was acceptable. The correlation between the residuals of Items 8 and 19 improved the fit indices and reported adequate reliability. Additionally, this model presented evidence of configural, metric, and scalar invariance</w:t>
      </w:r>
      <w:r w:rsidR="00E760F3" w:rsidRPr="00E760F3">
        <w:t xml:space="preserve"> </w:t>
      </w:r>
      <w:r w:rsidR="00E760F3">
        <w:rPr>
          <w:rFonts w:ascii="Times New Roman" w:hAnsi="Times New Roman" w:cs="Times New Roman"/>
          <w:sz w:val="24"/>
          <w:szCs w:val="24"/>
        </w:rPr>
        <w:t>a</w:t>
      </w:r>
      <w:r w:rsidR="00E760F3" w:rsidRPr="00E760F3">
        <w:rPr>
          <w:rFonts w:ascii="Times New Roman" w:hAnsi="Times New Roman" w:cs="Times New Roman"/>
          <w:sz w:val="24"/>
          <w:szCs w:val="24"/>
        </w:rPr>
        <w:t xml:space="preserve">cross </w:t>
      </w:r>
      <w:r w:rsidR="00E760F3">
        <w:rPr>
          <w:rFonts w:ascii="Times New Roman" w:hAnsi="Times New Roman" w:cs="Times New Roman"/>
          <w:sz w:val="24"/>
          <w:szCs w:val="24"/>
        </w:rPr>
        <w:t>g</w:t>
      </w:r>
      <w:r w:rsidR="00E760F3" w:rsidRPr="00E760F3">
        <w:rPr>
          <w:rFonts w:ascii="Times New Roman" w:hAnsi="Times New Roman" w:cs="Times New Roman"/>
          <w:sz w:val="24"/>
          <w:szCs w:val="24"/>
        </w:rPr>
        <w:t>ende</w:t>
      </w:r>
      <w:r w:rsidR="00E760F3">
        <w:rPr>
          <w:rFonts w:ascii="Times New Roman" w:hAnsi="Times New Roman" w:cs="Times New Roman"/>
          <w:sz w:val="24"/>
          <w:szCs w:val="24"/>
        </w:rPr>
        <w:t>r</w:t>
      </w:r>
      <w:r w:rsidR="00837443" w:rsidRPr="00837443">
        <w:rPr>
          <w:rFonts w:ascii="Times New Roman" w:hAnsi="Times New Roman" w:cs="Times New Roman"/>
          <w:sz w:val="24"/>
          <w:szCs w:val="24"/>
        </w:rPr>
        <w:t>.</w:t>
      </w:r>
    </w:p>
    <w:p w14:paraId="1B34BEF2" w14:textId="2C3950E3" w:rsidR="00837443" w:rsidRPr="00837443" w:rsidRDefault="00556375" w:rsidP="00837443">
      <w:pPr>
        <w:tabs>
          <w:tab w:val="left" w:pos="937"/>
        </w:tabs>
        <w:spacing w:line="276" w:lineRule="auto"/>
        <w:rPr>
          <w:rFonts w:ascii="Times New Roman" w:hAnsi="Times New Roman" w:cs="Times New Roman"/>
          <w:sz w:val="24"/>
          <w:szCs w:val="24"/>
        </w:rPr>
      </w:pPr>
      <w:r w:rsidRPr="00837443">
        <w:rPr>
          <w:rFonts w:ascii="Times New Roman" w:hAnsi="Times New Roman" w:cs="Times New Roman"/>
          <w:sz w:val="24"/>
          <w:szCs w:val="24"/>
        </w:rPr>
        <w:tab/>
      </w:r>
      <w:r w:rsidR="00CB6366" w:rsidRPr="00DC595B">
        <w:rPr>
          <w:rFonts w:ascii="Times New Roman" w:hAnsi="Times New Roman" w:cs="Times New Roman"/>
          <w:sz w:val="24"/>
          <w:szCs w:val="24"/>
        </w:rPr>
        <w:t>Although the psychometric evidence of the PTGI-SF-8 version was tested in Spanish (Garrido-Hernansaiz et al., 202</w:t>
      </w:r>
      <w:r w:rsidR="00A31EA2">
        <w:rPr>
          <w:rFonts w:ascii="Times New Roman" w:hAnsi="Times New Roman" w:cs="Times New Roman"/>
          <w:sz w:val="24"/>
          <w:szCs w:val="24"/>
        </w:rPr>
        <w:t>3</w:t>
      </w:r>
      <w:r w:rsidR="00CB6366" w:rsidRPr="00DC595B">
        <w:rPr>
          <w:rFonts w:ascii="Times New Roman" w:hAnsi="Times New Roman" w:cs="Times New Roman"/>
          <w:sz w:val="24"/>
          <w:szCs w:val="24"/>
        </w:rPr>
        <w:t xml:space="preserve">), it was not applied to the Latin American context. This is even more important if we consider, as we said before, that Latin America was one of the regions most affected in its mental health (Zhang &amp; Chen, </w:t>
      </w:r>
      <w:r w:rsidR="00CB6366" w:rsidRPr="00DC595B">
        <w:rPr>
          <w:rFonts w:ascii="Times New Roman" w:hAnsi="Times New Roman" w:cs="Times New Roman"/>
          <w:sz w:val="24"/>
          <w:szCs w:val="24"/>
        </w:rPr>
        <w:lastRenderedPageBreak/>
        <w:t xml:space="preserve">2021). </w:t>
      </w:r>
      <w:r w:rsidR="00837443" w:rsidRPr="00837443">
        <w:rPr>
          <w:rFonts w:ascii="Times New Roman" w:hAnsi="Times New Roman" w:cs="Times New Roman"/>
          <w:sz w:val="24"/>
          <w:szCs w:val="24"/>
        </w:rPr>
        <w:t>Therefore, this study aimed to evaluate the transnational measurement invariance of the PTGI-SF-8 among individuals who experienced the death of loved in four South American countries</w:t>
      </w:r>
      <w:r w:rsidR="0079102B">
        <w:rPr>
          <w:rFonts w:ascii="Times New Roman" w:hAnsi="Times New Roman" w:cs="Times New Roman"/>
          <w:sz w:val="24"/>
          <w:szCs w:val="24"/>
        </w:rPr>
        <w:t xml:space="preserve"> </w:t>
      </w:r>
      <w:r w:rsidR="0079102B" w:rsidRPr="00A85CEE">
        <w:rPr>
          <w:rFonts w:ascii="Times New Roman" w:hAnsi="Times New Roman" w:cs="Times New Roman"/>
          <w:sz w:val="24"/>
          <w:szCs w:val="24"/>
        </w:rPr>
        <w:t>during the post-covid period</w:t>
      </w:r>
      <w:r w:rsidR="00837443" w:rsidRPr="00837443">
        <w:rPr>
          <w:rFonts w:ascii="Times New Roman" w:hAnsi="Times New Roman" w:cs="Times New Roman"/>
          <w:sz w:val="24"/>
          <w:szCs w:val="24"/>
        </w:rPr>
        <w:t>.</w:t>
      </w:r>
    </w:p>
    <w:p w14:paraId="12DA72D6" w14:textId="68BC888E" w:rsidR="00E15FFD" w:rsidRPr="00DC595B" w:rsidRDefault="003E6FF2" w:rsidP="00693813">
      <w:pPr>
        <w:tabs>
          <w:tab w:val="left" w:pos="937"/>
        </w:tabs>
        <w:spacing w:line="276" w:lineRule="auto"/>
        <w:rPr>
          <w:rFonts w:ascii="Times New Roman" w:hAnsi="Times New Roman" w:cs="Times New Roman"/>
          <w:sz w:val="24"/>
          <w:szCs w:val="24"/>
        </w:rPr>
      </w:pPr>
      <w:r w:rsidRPr="00837443">
        <w:rPr>
          <w:rFonts w:ascii="Times New Roman" w:hAnsi="Times New Roman" w:cs="Times New Roman"/>
          <w:sz w:val="24"/>
          <w:szCs w:val="24"/>
        </w:rPr>
        <w:tab/>
      </w:r>
      <w:r w:rsidR="00CB6366" w:rsidRPr="00DC595B">
        <w:rPr>
          <w:rFonts w:ascii="Times New Roman" w:hAnsi="Times New Roman" w:cs="Times New Roman"/>
          <w:sz w:val="24"/>
          <w:szCs w:val="24"/>
        </w:rPr>
        <w:t xml:space="preserve">The study of posttraumatic growth from a multinational perspective would allow estimating prevalence rates, assessing relationships with different variables and various treatment options, as well as identifying common characteristics in different countries. From a psychometric perspective, this is possible if the measurement instruments work the same and the underlying constructs have the same theoretical structure for two or more groups of countries, in order to avoid biased interpretations </w:t>
      </w:r>
      <w:r w:rsidR="004E0394" w:rsidRPr="00DC595B">
        <w:rPr>
          <w:rFonts w:ascii="Times New Roman" w:hAnsi="Times New Roman" w:cs="Times New Roman"/>
          <w:sz w:val="24"/>
          <w:szCs w:val="24"/>
        </w:rPr>
        <w:t xml:space="preserve">(Dimitrov, 2010). </w:t>
      </w:r>
      <w:r w:rsidR="00CB6366" w:rsidRPr="00DC595B">
        <w:rPr>
          <w:rFonts w:ascii="Times New Roman" w:hAnsi="Times New Roman" w:cs="Times New Roman"/>
          <w:sz w:val="24"/>
          <w:szCs w:val="24"/>
        </w:rPr>
        <w:t xml:space="preserve">It has generally been assumed that the mere replication of a theoretical construct, measured by an instrument developed in one language or culture in another, is a guarantee of its cross-cultural equivalence and useful for cross-cultural comparisons </w:t>
      </w:r>
      <w:r w:rsidR="004133C8" w:rsidRPr="00DC595B">
        <w:rPr>
          <w:rFonts w:ascii="Times New Roman" w:hAnsi="Times New Roman" w:cs="Times New Roman"/>
          <w:sz w:val="24"/>
          <w:szCs w:val="24"/>
        </w:rPr>
        <w:t>(Byrne &amp; Watkins, 2003)</w:t>
      </w:r>
      <w:r w:rsidR="00173765" w:rsidRPr="00DC595B">
        <w:rPr>
          <w:rFonts w:ascii="Times New Roman" w:hAnsi="Times New Roman" w:cs="Times New Roman"/>
          <w:sz w:val="24"/>
          <w:szCs w:val="24"/>
        </w:rPr>
        <w:t xml:space="preserve">. </w:t>
      </w:r>
      <w:r w:rsidR="00CB6366" w:rsidRPr="00DC595B">
        <w:rPr>
          <w:rFonts w:ascii="Times New Roman" w:hAnsi="Times New Roman" w:cs="Times New Roman"/>
          <w:sz w:val="24"/>
          <w:szCs w:val="24"/>
        </w:rPr>
        <w:t xml:space="preserve">However, a prerequisite for this measurement equivalence of an instrument is that the theoretical construct can be measured in each country or culture in the same way and tested simultaneously in all these groups </w:t>
      </w:r>
      <w:r w:rsidR="004E0394" w:rsidRPr="00DC595B">
        <w:rPr>
          <w:rFonts w:ascii="Times New Roman" w:hAnsi="Times New Roman" w:cs="Times New Roman"/>
          <w:sz w:val="24"/>
          <w:szCs w:val="24"/>
        </w:rPr>
        <w:t xml:space="preserve">(He &amp; van de Vijver, 2012). </w:t>
      </w:r>
      <w:r w:rsidR="00CB6366" w:rsidRPr="00DC595B">
        <w:rPr>
          <w:rFonts w:ascii="Times New Roman" w:hAnsi="Times New Roman" w:cs="Times New Roman"/>
          <w:sz w:val="24"/>
          <w:szCs w:val="24"/>
        </w:rPr>
        <w:t xml:space="preserve">Therefore, in order to compare a construct, measured by a psychological instrument, between different countries or cultures, it is first necessary to demonstrate that its factor structure between different groups is invariant when a simultaneous approach is used, i.e. it is necessary to demonstrate cross-cultural measurement invariance </w:t>
      </w:r>
      <w:r w:rsidR="00173765" w:rsidRPr="00DC595B">
        <w:rPr>
          <w:rFonts w:ascii="Times New Roman" w:hAnsi="Times New Roman" w:cs="Times New Roman"/>
          <w:sz w:val="24"/>
          <w:szCs w:val="24"/>
        </w:rPr>
        <w:t>(</w:t>
      </w:r>
      <w:r w:rsidR="004E0394" w:rsidRPr="00DC595B">
        <w:rPr>
          <w:rFonts w:ascii="Times New Roman" w:hAnsi="Times New Roman" w:cs="Times New Roman"/>
          <w:sz w:val="24"/>
          <w:szCs w:val="24"/>
        </w:rPr>
        <w:t>Byrne &amp; Watkins, 2003; Milfont &amp; Fisher, 2010).</w:t>
      </w:r>
      <w:r w:rsidR="00173765" w:rsidRPr="00DC595B">
        <w:rPr>
          <w:rFonts w:ascii="Times New Roman" w:hAnsi="Times New Roman" w:cs="Times New Roman"/>
          <w:sz w:val="24"/>
          <w:szCs w:val="24"/>
        </w:rPr>
        <w:t xml:space="preserve"> </w:t>
      </w:r>
      <w:r w:rsidR="00B96D05" w:rsidRPr="00DC595B">
        <w:rPr>
          <w:rFonts w:ascii="Times New Roman" w:hAnsi="Times New Roman" w:cs="Times New Roman"/>
          <w:sz w:val="24"/>
          <w:szCs w:val="24"/>
        </w:rPr>
        <w:t>Generally,</w:t>
      </w:r>
      <w:r w:rsidR="00E222F1" w:rsidRPr="00DC595B">
        <w:rPr>
          <w:rFonts w:ascii="Times New Roman" w:hAnsi="Times New Roman" w:cs="Times New Roman"/>
          <w:sz w:val="24"/>
          <w:szCs w:val="24"/>
        </w:rPr>
        <w:t xml:space="preserve"> there are three restricted levels of invariance. Configurational invariance allows us to verify whether the factor structure of a measure is the same in all countries or cultures in the absence of equality restrictions on the parameters. In metric invariance, all factor loadings are restricted to equality in order to identify whether items contribute to the underlying construct equally across all groups of countries or cultures. Scalar invariance restricts factor loadings and item intercepts to equality across countries or cultures. If there is evidence of equality of factor structure, factor loadings and intercepts across countries or cultures, then latent means can be meaningfully compared between groups </w:t>
      </w:r>
      <w:r w:rsidR="003311C0" w:rsidRPr="00DC595B">
        <w:rPr>
          <w:rFonts w:ascii="Times New Roman" w:hAnsi="Times New Roman" w:cs="Times New Roman"/>
          <w:sz w:val="24"/>
          <w:szCs w:val="24"/>
        </w:rPr>
        <w:t xml:space="preserve">(Dimitrov, 2010). </w:t>
      </w:r>
    </w:p>
    <w:p w14:paraId="6174483E" w14:textId="5C216287" w:rsidR="00A40B97" w:rsidRPr="00DC595B" w:rsidRDefault="003311C0" w:rsidP="00693813">
      <w:pPr>
        <w:tabs>
          <w:tab w:val="left" w:pos="937"/>
        </w:tabs>
        <w:spacing w:line="276" w:lineRule="auto"/>
        <w:rPr>
          <w:rFonts w:ascii="Times New Roman" w:hAnsi="Times New Roman" w:cs="Times New Roman"/>
          <w:sz w:val="24"/>
          <w:szCs w:val="24"/>
        </w:rPr>
      </w:pPr>
      <w:r w:rsidRPr="00DC595B">
        <w:rPr>
          <w:rFonts w:ascii="Times New Roman" w:hAnsi="Times New Roman" w:cs="Times New Roman"/>
          <w:sz w:val="24"/>
          <w:szCs w:val="24"/>
        </w:rPr>
        <w:tab/>
      </w:r>
      <w:r w:rsidR="00E222F1" w:rsidRPr="00DC595B">
        <w:rPr>
          <w:rFonts w:ascii="Times New Roman" w:hAnsi="Times New Roman" w:cs="Times New Roman"/>
          <w:sz w:val="24"/>
          <w:szCs w:val="24"/>
        </w:rPr>
        <w:t xml:space="preserve">Assessing the cross-cultural measurement invariance of the PTGI-SF-8 would provide important data to support its widespread use. Evidence that the PTGI-SF-8 is replicable and generalizable to countries or cultures other than the one in which it was developed would provide support for the universality of the construct across different cultural groups. Likewise, assessing the invariance of the PTGI-SF-8 measurement between different countries is justified since the cultural differences of each country have an impact on the events that a person may perceive as traumatic or stressful </w:t>
      </w:r>
      <w:r w:rsidR="005C6352" w:rsidRPr="00DC595B">
        <w:rPr>
          <w:rFonts w:ascii="Times New Roman" w:hAnsi="Times New Roman" w:cs="Times New Roman"/>
          <w:sz w:val="24"/>
          <w:szCs w:val="24"/>
        </w:rPr>
        <w:t>and on the mechanisms,</w:t>
      </w:r>
      <w:r w:rsidR="00E222F1" w:rsidRPr="00DC595B">
        <w:rPr>
          <w:rFonts w:ascii="Times New Roman" w:hAnsi="Times New Roman" w:cs="Times New Roman"/>
          <w:sz w:val="24"/>
          <w:szCs w:val="24"/>
        </w:rPr>
        <w:t xml:space="preserve"> to cope with them </w:t>
      </w:r>
      <w:r w:rsidR="00A40B97" w:rsidRPr="00DC595B">
        <w:rPr>
          <w:rFonts w:ascii="Times New Roman" w:hAnsi="Times New Roman" w:cs="Times New Roman"/>
          <w:sz w:val="24"/>
          <w:szCs w:val="24"/>
        </w:rPr>
        <w:t>(</w:t>
      </w:r>
      <w:r w:rsidR="00807F3F" w:rsidRPr="00DC595B">
        <w:rPr>
          <w:rFonts w:ascii="Times New Roman" w:hAnsi="Times New Roman" w:cs="Times New Roman"/>
          <w:sz w:val="24"/>
          <w:szCs w:val="24"/>
        </w:rPr>
        <w:t xml:space="preserve">Kashyap, &amp; Hussain, </w:t>
      </w:r>
      <w:r w:rsidR="00B016BC" w:rsidRPr="00DC595B">
        <w:rPr>
          <w:rFonts w:ascii="Times New Roman" w:hAnsi="Times New Roman" w:cs="Times New Roman"/>
          <w:sz w:val="24"/>
          <w:szCs w:val="24"/>
        </w:rPr>
        <w:t xml:space="preserve">2018). </w:t>
      </w:r>
      <w:r w:rsidR="00E222F1" w:rsidRPr="00DC595B">
        <w:rPr>
          <w:rFonts w:ascii="Times New Roman" w:hAnsi="Times New Roman" w:cs="Times New Roman"/>
          <w:sz w:val="24"/>
          <w:szCs w:val="24"/>
        </w:rPr>
        <w:t>Thus, it has been suggested that post-traumatic growth and its associated processes may be influenced by cultural factors surrounding the individual</w:t>
      </w:r>
      <w:r w:rsidR="00B016BC" w:rsidRPr="00DC595B">
        <w:rPr>
          <w:rFonts w:ascii="Times New Roman" w:hAnsi="Times New Roman" w:cs="Times New Roman"/>
          <w:sz w:val="24"/>
          <w:szCs w:val="24"/>
        </w:rPr>
        <w:t xml:space="preserve"> (</w:t>
      </w:r>
      <w:r w:rsidR="006D46ED" w:rsidRPr="00DC595B">
        <w:rPr>
          <w:rFonts w:ascii="Times New Roman" w:hAnsi="Times New Roman" w:cs="Times New Roman"/>
          <w:sz w:val="24"/>
          <w:szCs w:val="24"/>
        </w:rPr>
        <w:t>Calhoun</w:t>
      </w:r>
      <w:r w:rsidR="00B016BC" w:rsidRPr="00DC595B">
        <w:rPr>
          <w:rFonts w:ascii="Times New Roman" w:hAnsi="Times New Roman" w:cs="Times New Roman"/>
          <w:sz w:val="24"/>
          <w:szCs w:val="24"/>
        </w:rPr>
        <w:t xml:space="preserve"> </w:t>
      </w:r>
      <w:r w:rsidR="006D46ED" w:rsidRPr="00DC595B">
        <w:rPr>
          <w:rFonts w:ascii="Times New Roman" w:hAnsi="Times New Roman" w:cs="Times New Roman"/>
          <w:sz w:val="24"/>
          <w:szCs w:val="24"/>
        </w:rPr>
        <w:t>et al.</w:t>
      </w:r>
      <w:r w:rsidR="00B016BC" w:rsidRPr="00DC595B">
        <w:rPr>
          <w:rFonts w:ascii="Times New Roman" w:hAnsi="Times New Roman" w:cs="Times New Roman"/>
          <w:sz w:val="24"/>
          <w:szCs w:val="24"/>
        </w:rPr>
        <w:t xml:space="preserve">, 2010). </w:t>
      </w:r>
      <w:r w:rsidR="00E222F1" w:rsidRPr="00DC595B">
        <w:rPr>
          <w:rFonts w:ascii="Times New Roman" w:hAnsi="Times New Roman" w:cs="Times New Roman"/>
          <w:sz w:val="24"/>
          <w:szCs w:val="24"/>
        </w:rPr>
        <w:t xml:space="preserve">Moreover, the impact of the cultural context is not limited to the measurement of growth, but also to trauma and post-traumatic stress </w:t>
      </w:r>
      <w:r w:rsidR="00263AC4" w:rsidRPr="00DC595B">
        <w:rPr>
          <w:rFonts w:ascii="Times New Roman" w:hAnsi="Times New Roman" w:cs="Times New Roman"/>
          <w:sz w:val="24"/>
          <w:szCs w:val="24"/>
        </w:rPr>
        <w:t>(</w:t>
      </w:r>
      <w:r w:rsidR="00D30761" w:rsidRPr="00DC595B">
        <w:rPr>
          <w:rFonts w:ascii="Times New Roman" w:hAnsi="Times New Roman" w:cs="Times New Roman"/>
          <w:sz w:val="24"/>
          <w:szCs w:val="24"/>
        </w:rPr>
        <w:t>Gilmoor</w:t>
      </w:r>
      <w:r w:rsidR="00263AC4" w:rsidRPr="00DC595B">
        <w:rPr>
          <w:rFonts w:ascii="Times New Roman" w:hAnsi="Times New Roman" w:cs="Times New Roman"/>
          <w:sz w:val="24"/>
          <w:szCs w:val="24"/>
        </w:rPr>
        <w:t xml:space="preserve"> </w:t>
      </w:r>
      <w:r w:rsidR="00D30761" w:rsidRPr="00DC595B">
        <w:rPr>
          <w:rFonts w:ascii="Times New Roman" w:hAnsi="Times New Roman" w:cs="Times New Roman"/>
          <w:sz w:val="24"/>
          <w:szCs w:val="24"/>
        </w:rPr>
        <w:t>et al.</w:t>
      </w:r>
      <w:r w:rsidR="00263AC4" w:rsidRPr="00DC595B">
        <w:rPr>
          <w:rFonts w:ascii="Times New Roman" w:hAnsi="Times New Roman" w:cs="Times New Roman"/>
          <w:sz w:val="24"/>
          <w:szCs w:val="24"/>
        </w:rPr>
        <w:t xml:space="preserve">, 2019; Herbert, &amp; Forman, 2010). </w:t>
      </w:r>
      <w:r w:rsidR="00E222F1" w:rsidRPr="00DC595B">
        <w:rPr>
          <w:rFonts w:ascii="Times New Roman" w:hAnsi="Times New Roman" w:cs="Times New Roman"/>
          <w:sz w:val="24"/>
          <w:szCs w:val="24"/>
        </w:rPr>
        <w:t xml:space="preserve">However, it has been proposed that focusing on the study of growth could become a more culturally </w:t>
      </w:r>
      <w:r w:rsidR="00E222F1" w:rsidRPr="00DC595B">
        <w:rPr>
          <w:rFonts w:ascii="Times New Roman" w:hAnsi="Times New Roman" w:cs="Times New Roman"/>
          <w:sz w:val="24"/>
          <w:szCs w:val="24"/>
        </w:rPr>
        <w:lastRenderedPageBreak/>
        <w:t xml:space="preserve">sensitive and valid alternative to the medicalization of post-traumatic stress </w:t>
      </w:r>
      <w:r w:rsidR="0071065C" w:rsidRPr="00DC595B">
        <w:rPr>
          <w:rFonts w:ascii="Times New Roman" w:hAnsi="Times New Roman" w:cs="Times New Roman"/>
          <w:sz w:val="24"/>
          <w:szCs w:val="24"/>
        </w:rPr>
        <w:t>disorder (</w:t>
      </w:r>
      <w:r w:rsidR="00D30761" w:rsidRPr="00DC595B">
        <w:rPr>
          <w:rFonts w:ascii="Times New Roman" w:hAnsi="Times New Roman" w:cs="Times New Roman"/>
          <w:sz w:val="24"/>
          <w:szCs w:val="24"/>
        </w:rPr>
        <w:t>Splevins</w:t>
      </w:r>
      <w:r w:rsidR="00936CCE" w:rsidRPr="00DC595B">
        <w:rPr>
          <w:rFonts w:ascii="Times New Roman" w:hAnsi="Times New Roman" w:cs="Times New Roman"/>
          <w:sz w:val="24"/>
          <w:szCs w:val="24"/>
        </w:rPr>
        <w:t xml:space="preserve"> </w:t>
      </w:r>
      <w:r w:rsidR="00D30761" w:rsidRPr="00DC595B">
        <w:rPr>
          <w:rFonts w:ascii="Times New Roman" w:hAnsi="Times New Roman" w:cs="Times New Roman"/>
          <w:sz w:val="24"/>
          <w:szCs w:val="24"/>
        </w:rPr>
        <w:t>et al.</w:t>
      </w:r>
      <w:r w:rsidR="00936CCE" w:rsidRPr="00DC595B">
        <w:rPr>
          <w:rFonts w:ascii="Times New Roman" w:hAnsi="Times New Roman" w:cs="Times New Roman"/>
          <w:sz w:val="24"/>
          <w:szCs w:val="24"/>
        </w:rPr>
        <w:t xml:space="preserve">, 2010). </w:t>
      </w:r>
    </w:p>
    <w:p w14:paraId="45045DD2" w14:textId="41442CF3" w:rsidR="00BC4C8F" w:rsidRPr="00DC595B" w:rsidRDefault="00D01D8C" w:rsidP="00693813">
      <w:pPr>
        <w:tabs>
          <w:tab w:val="left" w:pos="937"/>
        </w:tabs>
        <w:spacing w:line="276" w:lineRule="auto"/>
        <w:rPr>
          <w:rFonts w:ascii="Times New Roman" w:hAnsi="Times New Roman" w:cs="Times New Roman"/>
          <w:sz w:val="24"/>
          <w:szCs w:val="24"/>
        </w:rPr>
      </w:pPr>
      <w:r w:rsidRPr="00DC595B">
        <w:rPr>
          <w:rFonts w:ascii="Times New Roman" w:hAnsi="Times New Roman" w:cs="Times New Roman"/>
          <w:sz w:val="24"/>
          <w:szCs w:val="24"/>
        </w:rPr>
        <w:tab/>
      </w:r>
      <w:r w:rsidR="000738AC" w:rsidRPr="00DC595B">
        <w:rPr>
          <w:rFonts w:ascii="Times New Roman" w:hAnsi="Times New Roman" w:cs="Times New Roman"/>
          <w:sz w:val="24"/>
          <w:szCs w:val="24"/>
        </w:rPr>
        <w:t xml:space="preserve">In addition to the evaluation of cross-national measurement invariance, some characteristics of the PTGI-SF-8 items were evaluated on the basis of Item Response Theory (IRT). It has been suggested that IRT has several advantages over classical test theory, on the basis of which many measurement instruments, including the PTGI-SF-8, have been constructed </w:t>
      </w:r>
      <w:r w:rsidR="00BC4C8F" w:rsidRPr="00DC595B">
        <w:rPr>
          <w:rFonts w:ascii="Times New Roman" w:hAnsi="Times New Roman" w:cs="Times New Roman"/>
          <w:sz w:val="24"/>
          <w:szCs w:val="24"/>
        </w:rPr>
        <w:t xml:space="preserve">(Baker, </w:t>
      </w:r>
      <w:r w:rsidR="00D30761" w:rsidRPr="00DC595B">
        <w:rPr>
          <w:rFonts w:ascii="Times New Roman" w:hAnsi="Times New Roman" w:cs="Times New Roman"/>
          <w:sz w:val="24"/>
          <w:szCs w:val="24"/>
        </w:rPr>
        <w:t>1985</w:t>
      </w:r>
      <w:r w:rsidR="00BC4C8F" w:rsidRPr="00DC595B">
        <w:rPr>
          <w:rFonts w:ascii="Times New Roman" w:hAnsi="Times New Roman" w:cs="Times New Roman"/>
          <w:sz w:val="24"/>
          <w:szCs w:val="24"/>
        </w:rPr>
        <w:t xml:space="preserve">). </w:t>
      </w:r>
      <w:r w:rsidR="000738AC" w:rsidRPr="00DC595B">
        <w:rPr>
          <w:rFonts w:ascii="Times New Roman" w:hAnsi="Times New Roman" w:cs="Times New Roman"/>
          <w:sz w:val="24"/>
          <w:szCs w:val="24"/>
        </w:rPr>
        <w:t>Therefore, without an analysis based on the</w:t>
      </w:r>
      <w:r w:rsidR="00627858">
        <w:rPr>
          <w:rFonts w:ascii="Times New Roman" w:hAnsi="Times New Roman" w:cs="Times New Roman"/>
          <w:sz w:val="24"/>
          <w:szCs w:val="24"/>
        </w:rPr>
        <w:t xml:space="preserve"> IRT</w:t>
      </w:r>
      <w:r w:rsidR="000738AC" w:rsidRPr="00DC595B">
        <w:rPr>
          <w:rFonts w:ascii="Times New Roman" w:hAnsi="Times New Roman" w:cs="Times New Roman"/>
          <w:sz w:val="24"/>
          <w:szCs w:val="24"/>
        </w:rPr>
        <w:t xml:space="preserve">, there is no information on the adequacy or inadequacy of the performance of specific items in each factor of the PTGI-SF-8. The IRT allows estimating the underlying ability of the participants and the difficulty of each of the items of a measurement instrument </w:t>
      </w:r>
      <w:r w:rsidR="00DD7364" w:rsidRPr="00DC595B">
        <w:rPr>
          <w:rFonts w:ascii="Times New Roman" w:hAnsi="Times New Roman" w:cs="Times New Roman"/>
          <w:sz w:val="24"/>
          <w:szCs w:val="24"/>
        </w:rPr>
        <w:t xml:space="preserve">(Lin &amp; Pakpour, 2017). </w:t>
      </w:r>
      <w:r w:rsidR="000738AC" w:rsidRPr="00DC595B">
        <w:rPr>
          <w:rFonts w:ascii="Times New Roman" w:hAnsi="Times New Roman" w:cs="Times New Roman"/>
          <w:sz w:val="24"/>
          <w:szCs w:val="24"/>
        </w:rPr>
        <w:t xml:space="preserve">It has recently been suggested that confirmatory factor analysis (CFA) and IRT complement each other </w:t>
      </w:r>
      <w:r w:rsidR="00386D4D" w:rsidRPr="00DC595B">
        <w:rPr>
          <w:rFonts w:ascii="Times New Roman" w:hAnsi="Times New Roman" w:cs="Times New Roman"/>
          <w:sz w:val="24"/>
          <w:szCs w:val="24"/>
        </w:rPr>
        <w:t>(</w:t>
      </w:r>
      <w:r w:rsidR="00D30761" w:rsidRPr="00DC595B">
        <w:rPr>
          <w:rFonts w:ascii="Times New Roman" w:hAnsi="Times New Roman" w:cs="Times New Roman"/>
          <w:sz w:val="24"/>
          <w:szCs w:val="24"/>
        </w:rPr>
        <w:t>Ullah</w:t>
      </w:r>
      <w:r w:rsidR="00386D4D" w:rsidRPr="00DC595B">
        <w:rPr>
          <w:rFonts w:ascii="Times New Roman" w:hAnsi="Times New Roman" w:cs="Times New Roman"/>
          <w:sz w:val="24"/>
          <w:szCs w:val="24"/>
        </w:rPr>
        <w:t xml:space="preserve"> </w:t>
      </w:r>
      <w:r w:rsidR="00D30761" w:rsidRPr="00DC595B">
        <w:rPr>
          <w:rFonts w:ascii="Times New Roman" w:hAnsi="Times New Roman" w:cs="Times New Roman"/>
          <w:sz w:val="24"/>
          <w:szCs w:val="24"/>
        </w:rPr>
        <w:t>et al.</w:t>
      </w:r>
      <w:r w:rsidR="00386D4D" w:rsidRPr="00DC595B">
        <w:rPr>
          <w:rFonts w:ascii="Times New Roman" w:hAnsi="Times New Roman" w:cs="Times New Roman"/>
          <w:sz w:val="24"/>
          <w:szCs w:val="24"/>
        </w:rPr>
        <w:t xml:space="preserve">, 2021). </w:t>
      </w:r>
      <w:r w:rsidR="000738AC" w:rsidRPr="00DC595B">
        <w:rPr>
          <w:rFonts w:ascii="Times New Roman" w:hAnsi="Times New Roman" w:cs="Times New Roman"/>
          <w:sz w:val="24"/>
          <w:szCs w:val="24"/>
        </w:rPr>
        <w:t>While CFA allows the identification of the overall factor structure of a measure, IRT provides detailed information on item functioning. In recent years, CFA and IRT have been increasingly used to conduct psychometric analyses of measurement instruments in a wide range of psychological subjects</w:t>
      </w:r>
      <w:r w:rsidR="00386D4D" w:rsidRPr="00DC595B">
        <w:rPr>
          <w:rFonts w:ascii="Times New Roman" w:hAnsi="Times New Roman" w:cs="Times New Roman"/>
          <w:sz w:val="24"/>
          <w:szCs w:val="24"/>
        </w:rPr>
        <w:t xml:space="preserve"> </w:t>
      </w:r>
      <w:r w:rsidR="00BC4C8F" w:rsidRPr="00DC595B">
        <w:rPr>
          <w:rFonts w:ascii="Times New Roman" w:hAnsi="Times New Roman" w:cs="Times New Roman"/>
          <w:sz w:val="24"/>
          <w:szCs w:val="24"/>
        </w:rPr>
        <w:t>(</w:t>
      </w:r>
      <w:r w:rsidR="000738AC" w:rsidRPr="00DC595B">
        <w:rPr>
          <w:rFonts w:ascii="Times New Roman" w:hAnsi="Times New Roman" w:cs="Times New Roman"/>
          <w:sz w:val="24"/>
          <w:szCs w:val="24"/>
        </w:rPr>
        <w:t>see</w:t>
      </w:r>
      <w:r w:rsidR="00EF2709" w:rsidRPr="00DC595B">
        <w:rPr>
          <w:rFonts w:ascii="Times New Roman" w:hAnsi="Times New Roman" w:cs="Times New Roman"/>
          <w:sz w:val="24"/>
          <w:szCs w:val="24"/>
        </w:rPr>
        <w:t xml:space="preserve">, </w:t>
      </w:r>
      <w:r w:rsidR="000738AC" w:rsidRPr="00DC595B">
        <w:rPr>
          <w:rFonts w:ascii="Times New Roman" w:hAnsi="Times New Roman" w:cs="Times New Roman"/>
          <w:sz w:val="24"/>
          <w:szCs w:val="24"/>
        </w:rPr>
        <w:t>for example</w:t>
      </w:r>
      <w:r w:rsidR="00EF2709" w:rsidRPr="00DC595B">
        <w:rPr>
          <w:rFonts w:ascii="Times New Roman" w:hAnsi="Times New Roman" w:cs="Times New Roman"/>
          <w:sz w:val="24"/>
          <w:szCs w:val="24"/>
        </w:rPr>
        <w:t xml:space="preserve"> Moreta-Herrera </w:t>
      </w:r>
      <w:r w:rsidR="00D30761" w:rsidRPr="00DC595B">
        <w:rPr>
          <w:rFonts w:ascii="Times New Roman" w:hAnsi="Times New Roman" w:cs="Times New Roman"/>
          <w:sz w:val="24"/>
          <w:szCs w:val="24"/>
        </w:rPr>
        <w:t>et al.</w:t>
      </w:r>
      <w:r w:rsidR="00EF2709" w:rsidRPr="00DC595B">
        <w:rPr>
          <w:rFonts w:ascii="Times New Roman" w:hAnsi="Times New Roman" w:cs="Times New Roman"/>
          <w:sz w:val="24"/>
          <w:szCs w:val="24"/>
        </w:rPr>
        <w:t xml:space="preserve">, 2022; </w:t>
      </w:r>
      <w:r w:rsidR="00D30761" w:rsidRPr="00DC595B">
        <w:rPr>
          <w:rFonts w:ascii="Times New Roman" w:hAnsi="Times New Roman" w:cs="Times New Roman"/>
          <w:sz w:val="24"/>
          <w:szCs w:val="24"/>
        </w:rPr>
        <w:t>Ventura-León</w:t>
      </w:r>
      <w:r w:rsidR="00EF2709" w:rsidRPr="00DC595B">
        <w:rPr>
          <w:rFonts w:ascii="Times New Roman" w:hAnsi="Times New Roman" w:cs="Times New Roman"/>
          <w:sz w:val="24"/>
          <w:szCs w:val="24"/>
        </w:rPr>
        <w:t xml:space="preserve"> </w:t>
      </w:r>
      <w:r w:rsidR="00D30761" w:rsidRPr="00DC595B">
        <w:rPr>
          <w:rFonts w:ascii="Times New Roman" w:hAnsi="Times New Roman" w:cs="Times New Roman"/>
          <w:sz w:val="24"/>
          <w:szCs w:val="24"/>
        </w:rPr>
        <w:t>et al.</w:t>
      </w:r>
      <w:r w:rsidR="00EF2709" w:rsidRPr="00DC595B">
        <w:rPr>
          <w:rFonts w:ascii="Times New Roman" w:hAnsi="Times New Roman" w:cs="Times New Roman"/>
          <w:sz w:val="24"/>
          <w:szCs w:val="24"/>
        </w:rPr>
        <w:t xml:space="preserve"> 2022; </w:t>
      </w:r>
      <w:r w:rsidR="00D30761" w:rsidRPr="00DC595B">
        <w:rPr>
          <w:rFonts w:ascii="Times New Roman" w:hAnsi="Times New Roman" w:cs="Times New Roman"/>
          <w:sz w:val="24"/>
          <w:szCs w:val="24"/>
        </w:rPr>
        <w:t>Vilca</w:t>
      </w:r>
      <w:r w:rsidR="00EF2709" w:rsidRPr="00DC595B">
        <w:rPr>
          <w:rFonts w:ascii="Times New Roman" w:hAnsi="Times New Roman" w:cs="Times New Roman"/>
          <w:sz w:val="24"/>
          <w:szCs w:val="24"/>
        </w:rPr>
        <w:t xml:space="preserve"> </w:t>
      </w:r>
      <w:r w:rsidR="00D30761" w:rsidRPr="00DC595B">
        <w:rPr>
          <w:rFonts w:ascii="Times New Roman" w:hAnsi="Times New Roman" w:cs="Times New Roman"/>
          <w:sz w:val="24"/>
          <w:szCs w:val="24"/>
        </w:rPr>
        <w:t>et al.</w:t>
      </w:r>
      <w:r w:rsidR="00EF2709" w:rsidRPr="00DC595B">
        <w:rPr>
          <w:rFonts w:ascii="Times New Roman" w:hAnsi="Times New Roman" w:cs="Times New Roman"/>
          <w:sz w:val="24"/>
          <w:szCs w:val="24"/>
        </w:rPr>
        <w:t>, 2022).</w:t>
      </w:r>
    </w:p>
    <w:p w14:paraId="53901F53" w14:textId="5FA435B4" w:rsidR="003E6FF2" w:rsidRPr="00A57456" w:rsidRDefault="003E6FF2" w:rsidP="003E6FF2">
      <w:pPr>
        <w:spacing w:after="0" w:line="480" w:lineRule="auto"/>
        <w:jc w:val="center"/>
        <w:rPr>
          <w:rFonts w:ascii="Times New Roman" w:hAnsi="Times New Roman" w:cs="Times New Roman"/>
          <w:b/>
          <w:sz w:val="24"/>
          <w:szCs w:val="24"/>
        </w:rPr>
      </w:pPr>
      <w:r w:rsidRPr="00A57456">
        <w:rPr>
          <w:rFonts w:ascii="Times New Roman" w:hAnsi="Times New Roman" w:cs="Times New Roman"/>
          <w:b/>
          <w:sz w:val="24"/>
          <w:szCs w:val="24"/>
        </w:rPr>
        <w:t>M</w:t>
      </w:r>
      <w:r w:rsidR="000738AC" w:rsidRPr="00A57456">
        <w:rPr>
          <w:rFonts w:ascii="Times New Roman" w:hAnsi="Times New Roman" w:cs="Times New Roman"/>
          <w:b/>
          <w:sz w:val="24"/>
          <w:szCs w:val="24"/>
        </w:rPr>
        <w:t>ethod</w:t>
      </w:r>
    </w:p>
    <w:p w14:paraId="5B0E8B6B" w14:textId="4B33E947" w:rsidR="003E6FF2" w:rsidRPr="00A57456" w:rsidRDefault="003E6FF2" w:rsidP="003E6FF2">
      <w:pPr>
        <w:spacing w:after="0" w:line="480" w:lineRule="auto"/>
        <w:rPr>
          <w:rFonts w:ascii="Times New Roman" w:hAnsi="Times New Roman" w:cs="Times New Roman"/>
          <w:b/>
          <w:sz w:val="24"/>
          <w:szCs w:val="24"/>
        </w:rPr>
      </w:pPr>
      <w:r w:rsidRPr="00A57456">
        <w:rPr>
          <w:rFonts w:ascii="Times New Roman" w:hAnsi="Times New Roman" w:cs="Times New Roman"/>
          <w:b/>
          <w:sz w:val="24"/>
          <w:szCs w:val="24"/>
        </w:rPr>
        <w:t>Participants</w:t>
      </w:r>
    </w:p>
    <w:p w14:paraId="580760A9" w14:textId="22FE05B4" w:rsidR="00AA39E0" w:rsidRPr="00DC595B" w:rsidRDefault="000738AC" w:rsidP="00693813">
      <w:pPr>
        <w:spacing w:after="0" w:line="276" w:lineRule="auto"/>
        <w:ind w:firstLine="720"/>
        <w:rPr>
          <w:rFonts w:ascii="Times New Roman" w:hAnsi="Times New Roman"/>
          <w:sz w:val="24"/>
          <w:szCs w:val="24"/>
        </w:rPr>
      </w:pPr>
      <w:r w:rsidRPr="00DC595B">
        <w:rPr>
          <w:rFonts w:ascii="Times New Roman" w:hAnsi="Times New Roman" w:cs="Times New Roman"/>
          <w:sz w:val="24"/>
          <w:szCs w:val="24"/>
        </w:rPr>
        <w:t xml:space="preserve">A total of </w:t>
      </w:r>
      <w:r w:rsidR="005C6352">
        <w:rPr>
          <w:rFonts w:ascii="Times New Roman" w:hAnsi="Times New Roman" w:cs="Times New Roman"/>
          <w:sz w:val="24"/>
          <w:szCs w:val="24"/>
        </w:rPr>
        <w:t>1820</w:t>
      </w:r>
      <w:r w:rsidR="00C81F3A">
        <w:rPr>
          <w:rFonts w:ascii="Times New Roman" w:hAnsi="Times New Roman" w:cs="Times New Roman"/>
          <w:sz w:val="24"/>
          <w:szCs w:val="24"/>
        </w:rPr>
        <w:t xml:space="preserve"> </w:t>
      </w:r>
      <w:r w:rsidRPr="00DC595B">
        <w:rPr>
          <w:rFonts w:ascii="Times New Roman" w:hAnsi="Times New Roman" w:cs="Times New Roman"/>
          <w:sz w:val="24"/>
          <w:szCs w:val="24"/>
        </w:rPr>
        <w:t xml:space="preserve">people </w:t>
      </w:r>
      <w:r w:rsidR="00B6794C" w:rsidRPr="00DC595B">
        <w:rPr>
          <w:rFonts w:ascii="Times New Roman" w:hAnsi="Times New Roman" w:cs="Times New Roman"/>
          <w:sz w:val="24"/>
          <w:szCs w:val="24"/>
        </w:rPr>
        <w:t xml:space="preserve">in people who experienced the death of loved ones from </w:t>
      </w:r>
      <w:r w:rsidR="003A1DCB" w:rsidRPr="003A1DCB">
        <w:rPr>
          <w:rFonts w:ascii="Times New Roman" w:hAnsi="Times New Roman" w:cs="Times New Roman"/>
          <w:sz w:val="24"/>
          <w:szCs w:val="24"/>
        </w:rPr>
        <w:t>four south american countries</w:t>
      </w:r>
      <w:r w:rsidR="003A1DCB">
        <w:rPr>
          <w:rFonts w:ascii="Times New Roman" w:hAnsi="Times New Roman" w:cs="Times New Roman"/>
          <w:sz w:val="24"/>
          <w:szCs w:val="24"/>
        </w:rPr>
        <w:t xml:space="preserve"> </w:t>
      </w:r>
      <w:r w:rsidRPr="00DC595B">
        <w:rPr>
          <w:rFonts w:ascii="Times New Roman" w:hAnsi="Times New Roman" w:cs="Times New Roman"/>
          <w:sz w:val="24"/>
          <w:szCs w:val="24"/>
        </w:rPr>
        <w:t>(Ecuador, Colombia, Peru</w:t>
      </w:r>
      <w:r w:rsidR="00E760F3">
        <w:rPr>
          <w:rFonts w:ascii="Times New Roman" w:hAnsi="Times New Roman" w:cs="Times New Roman"/>
          <w:sz w:val="24"/>
          <w:szCs w:val="24"/>
        </w:rPr>
        <w:t xml:space="preserve"> </w:t>
      </w:r>
      <w:r w:rsidR="005C6352">
        <w:rPr>
          <w:rFonts w:ascii="Times New Roman" w:hAnsi="Times New Roman" w:cs="Times New Roman"/>
          <w:sz w:val="24"/>
          <w:szCs w:val="24"/>
        </w:rPr>
        <w:t xml:space="preserve">and </w:t>
      </w:r>
      <w:r w:rsidRPr="00DC595B">
        <w:rPr>
          <w:rFonts w:ascii="Times New Roman" w:hAnsi="Times New Roman" w:cs="Times New Roman"/>
          <w:sz w:val="24"/>
          <w:szCs w:val="24"/>
        </w:rPr>
        <w:t xml:space="preserve">Bolivia) selected by non-probabilistic snowball sampling. </w:t>
      </w:r>
      <w:r w:rsidRPr="00DC595B">
        <w:rPr>
          <w:rFonts w:ascii="Times New Roman" w:hAnsi="Times New Roman"/>
          <w:sz w:val="24"/>
          <w:szCs w:val="24"/>
        </w:rPr>
        <w:t>The following criteria were followed to be included in the study: 1) to be of legal age, according to the regulations in each country; 2)</w:t>
      </w:r>
      <w:r w:rsidR="00BE6D04" w:rsidRPr="00DC595B">
        <w:rPr>
          <w:rFonts w:ascii="Times New Roman" w:hAnsi="Times New Roman" w:cs="Times New Roman"/>
          <w:bCs/>
          <w:sz w:val="24"/>
          <w:szCs w:val="24"/>
        </w:rPr>
        <w:t xml:space="preserve"> people who have experienced the death of</w:t>
      </w:r>
      <w:r w:rsidR="00962476">
        <w:rPr>
          <w:rFonts w:ascii="Times New Roman" w:hAnsi="Times New Roman" w:cs="Times New Roman"/>
          <w:bCs/>
          <w:sz w:val="24"/>
          <w:szCs w:val="24"/>
        </w:rPr>
        <w:t xml:space="preserve"> </w:t>
      </w:r>
      <w:r w:rsidR="00BE6D04" w:rsidRPr="00DC595B">
        <w:rPr>
          <w:rFonts w:ascii="Times New Roman" w:hAnsi="Times New Roman" w:cs="Times New Roman"/>
          <w:bCs/>
          <w:sz w:val="24"/>
          <w:szCs w:val="24"/>
        </w:rPr>
        <w:t xml:space="preserve">and 3) </w:t>
      </w:r>
      <w:r w:rsidRPr="00DC595B">
        <w:rPr>
          <w:rFonts w:ascii="Times New Roman" w:hAnsi="Times New Roman"/>
          <w:sz w:val="24"/>
          <w:szCs w:val="24"/>
        </w:rPr>
        <w:t xml:space="preserve">to give informed consent. Although the number of participants was different in each country, it was greater than the 300 to 375 that is considered adequate to obtain significant results for CTT and IRT models </w:t>
      </w:r>
      <w:r w:rsidR="00A91025" w:rsidRPr="00DC595B">
        <w:rPr>
          <w:rFonts w:ascii="Times New Roman" w:hAnsi="Times New Roman"/>
          <w:sz w:val="24"/>
          <w:szCs w:val="24"/>
        </w:rPr>
        <w:t>(</w:t>
      </w:r>
      <w:r w:rsidR="00F472B7" w:rsidRPr="00DC595B">
        <w:rPr>
          <w:rFonts w:ascii="Times New Roman" w:hAnsi="Times New Roman"/>
          <w:sz w:val="24"/>
          <w:szCs w:val="24"/>
        </w:rPr>
        <w:t xml:space="preserve">De Ayala, 1994; Muthén &amp; Muthén, 2002). </w:t>
      </w:r>
    </w:p>
    <w:p w14:paraId="603D3B4A" w14:textId="77777777" w:rsidR="00837443" w:rsidRPr="00837443" w:rsidRDefault="00837443" w:rsidP="00837443">
      <w:pPr>
        <w:spacing w:after="0" w:line="276" w:lineRule="auto"/>
        <w:ind w:firstLine="720"/>
        <w:rPr>
          <w:rFonts w:ascii="Times New Roman" w:hAnsi="Times New Roman" w:cs="Times New Roman"/>
          <w:sz w:val="24"/>
          <w:szCs w:val="24"/>
        </w:rPr>
      </w:pPr>
      <w:r w:rsidRPr="00837443">
        <w:rPr>
          <w:rFonts w:ascii="Times New Roman" w:hAnsi="Times New Roman" w:cs="Times New Roman"/>
          <w:sz w:val="24"/>
          <w:szCs w:val="24"/>
        </w:rPr>
        <w:t xml:space="preserve">Table 1 shows that the highest average age belonged to participants living in Colombia (M = 35.8; SD = 12.5 years) and Ecuador (M = 35.4; SD = 12.1 years). Conversely, the lowest average age was observed among the participants from Bolivia (M = 28.4; SD = 10.5 years). Additionally, it is noted that in all countries, there is a higher proportion of women (&gt; 57%) than of men. There is also a high proportion of single individuals in most countries (&gt; 40%). Regarding the educational level of the participants, it was observed that in Ecuador (65.3%) and Colombia (63.2%), the majority had completed university studies. In contrast, the proportion was much lower in Peru (42.3 %) and Bolivia (45.8 %). Moreover, the majority of participants had stable jobs, except in Peru (34.3%) and Bolivia (36%). It was also noted that the majority of participants resided in an urban area (&gt; 80%). Concerning the pandemic, most participants indicated that they had COVID-19 (&gt; 50%), with the exception of Colombia (44.4%). Additionally, most participants in all countries reported having had family members and friends with COVID-19 patients (&gt; 90%). Regarding the </w:t>
      </w:r>
      <w:r w:rsidRPr="00837443">
        <w:rPr>
          <w:rFonts w:ascii="Times New Roman" w:hAnsi="Times New Roman" w:cs="Times New Roman"/>
          <w:sz w:val="24"/>
          <w:szCs w:val="24"/>
        </w:rPr>
        <w:lastRenderedPageBreak/>
        <w:t>vaccination process, the vast majority of participants in all countries indicated that they received the COVID-19 vaccine (&gt; 90%), completed the required doses (&gt; 90%), and received a booster dose (&gt; 60%). Finally, Table 1 shows that more than 50% of participants in most countries claimed to have lost a family member or acquaintance due to COVID-19. Specific sociodemographic information is presented in Table 1.</w:t>
      </w:r>
    </w:p>
    <w:p w14:paraId="53B3D84D" w14:textId="0D1E58B1" w:rsidR="00F71D57" w:rsidRDefault="00B056FD" w:rsidP="00693813">
      <w:pPr>
        <w:spacing w:after="0" w:line="276" w:lineRule="auto"/>
        <w:ind w:firstLine="720"/>
        <w:rPr>
          <w:rFonts w:ascii="Times New Roman" w:hAnsi="Times New Roman" w:cs="Times New Roman"/>
          <w:sz w:val="24"/>
          <w:szCs w:val="24"/>
        </w:rPr>
      </w:pPr>
      <w:r>
        <w:rPr>
          <w:rFonts w:ascii="Times New Roman" w:hAnsi="Times New Roman" w:cs="Times New Roman"/>
          <w:sz w:val="24"/>
          <w:szCs w:val="24"/>
        </w:rPr>
        <w:t>.</w:t>
      </w:r>
    </w:p>
    <w:p w14:paraId="4AC7B022" w14:textId="69BCDBBF" w:rsidR="00B056FD" w:rsidRPr="00DC595B" w:rsidRDefault="00B056FD" w:rsidP="00B056FD">
      <w:pPr>
        <w:spacing w:after="0" w:line="480" w:lineRule="auto"/>
        <w:jc w:val="center"/>
        <w:rPr>
          <w:rFonts w:ascii="Times New Roman" w:hAnsi="Times New Roman" w:cs="Times New Roman"/>
          <w:sz w:val="24"/>
          <w:szCs w:val="24"/>
        </w:rPr>
      </w:pPr>
      <w:r w:rsidRPr="00DC595B">
        <w:rPr>
          <w:rFonts w:ascii="Times New Roman" w:hAnsi="Times New Roman" w:cs="Times New Roman"/>
          <w:sz w:val="24"/>
          <w:szCs w:val="24"/>
        </w:rPr>
        <w:t>[Insert table</w:t>
      </w:r>
      <w:r>
        <w:rPr>
          <w:rFonts w:ascii="Times New Roman" w:hAnsi="Times New Roman" w:cs="Times New Roman"/>
          <w:sz w:val="24"/>
          <w:szCs w:val="24"/>
        </w:rPr>
        <w:t xml:space="preserve"> 1</w:t>
      </w:r>
      <w:r w:rsidRPr="00DC595B">
        <w:rPr>
          <w:rFonts w:ascii="Times New Roman" w:hAnsi="Times New Roman" w:cs="Times New Roman"/>
          <w:sz w:val="24"/>
          <w:szCs w:val="24"/>
        </w:rPr>
        <w:t>]</w:t>
      </w:r>
    </w:p>
    <w:p w14:paraId="3B9F871E" w14:textId="388EED6D" w:rsidR="003E6FF2" w:rsidRPr="00DC595B" w:rsidRDefault="00F71D57" w:rsidP="003E6FF2">
      <w:pPr>
        <w:spacing w:after="0" w:line="480" w:lineRule="auto"/>
        <w:rPr>
          <w:rFonts w:ascii="Times New Roman" w:hAnsi="Times New Roman" w:cs="Times New Roman"/>
          <w:b/>
          <w:sz w:val="24"/>
          <w:szCs w:val="24"/>
        </w:rPr>
      </w:pPr>
      <w:r w:rsidRPr="00DC595B">
        <w:rPr>
          <w:rFonts w:ascii="Times New Roman" w:hAnsi="Times New Roman" w:cs="Times New Roman"/>
          <w:b/>
          <w:sz w:val="24"/>
          <w:szCs w:val="24"/>
        </w:rPr>
        <w:t>Instrument</w:t>
      </w:r>
      <w:r w:rsidR="000738AC" w:rsidRPr="00DC595B">
        <w:rPr>
          <w:rFonts w:ascii="Times New Roman" w:hAnsi="Times New Roman" w:cs="Times New Roman"/>
          <w:b/>
          <w:sz w:val="24"/>
          <w:szCs w:val="24"/>
        </w:rPr>
        <w:t>s</w:t>
      </w:r>
    </w:p>
    <w:p w14:paraId="545AF0DB" w14:textId="107D18F1" w:rsidR="00535120" w:rsidRPr="00DC595B" w:rsidRDefault="000738AC" w:rsidP="00693813">
      <w:pPr>
        <w:spacing w:after="0" w:line="276" w:lineRule="auto"/>
        <w:ind w:firstLine="720"/>
        <w:rPr>
          <w:rFonts w:ascii="Times New Roman" w:hAnsi="Times New Roman" w:cs="Times New Roman"/>
          <w:b/>
          <w:sz w:val="24"/>
          <w:szCs w:val="24"/>
        </w:rPr>
      </w:pPr>
      <w:r w:rsidRPr="00DC595B">
        <w:rPr>
          <w:rFonts w:ascii="Times New Roman" w:hAnsi="Times New Roman" w:cs="Times New Roman"/>
          <w:b/>
          <w:i/>
          <w:sz w:val="24"/>
          <w:szCs w:val="24"/>
        </w:rPr>
        <w:t xml:space="preserve">Sociodemographic survey. </w:t>
      </w:r>
      <w:r w:rsidRPr="00DC595B">
        <w:rPr>
          <w:rFonts w:ascii="Times New Roman" w:hAnsi="Times New Roman" w:cs="Times New Roman"/>
          <w:bCs/>
          <w:iCs/>
          <w:sz w:val="24"/>
          <w:szCs w:val="24"/>
        </w:rPr>
        <w:t>An ad hoc survey was constructed to obtain information on sex, age, country of birth, educational level, employment status, marital status, area of residence, type of work, diagnosis of COVID-19, diagnosis of COVID-19 by family and friends, vaccination, and death of a loved one by COVID-19.</w:t>
      </w:r>
    </w:p>
    <w:p w14:paraId="32551696" w14:textId="6D2626DA" w:rsidR="003359D7" w:rsidRPr="00837443" w:rsidRDefault="00646064" w:rsidP="00693813">
      <w:pPr>
        <w:spacing w:after="0" w:line="276" w:lineRule="auto"/>
        <w:ind w:firstLine="720"/>
        <w:rPr>
          <w:rFonts w:ascii="Times New Roman" w:hAnsi="Times New Roman" w:cs="Times New Roman"/>
          <w:sz w:val="24"/>
          <w:szCs w:val="24"/>
        </w:rPr>
      </w:pPr>
      <w:r w:rsidRPr="00DC595B">
        <w:rPr>
          <w:rFonts w:ascii="Times New Roman" w:hAnsi="Times New Roman" w:cs="Times New Roman"/>
          <w:b/>
          <w:i/>
          <w:sz w:val="24"/>
          <w:szCs w:val="24"/>
        </w:rPr>
        <w:t xml:space="preserve">Posttraumatic growth inventory‑short form de ocho ítems </w:t>
      </w:r>
      <w:r w:rsidRPr="00DC595B">
        <w:rPr>
          <w:rFonts w:ascii="Times New Roman" w:hAnsi="Times New Roman" w:cs="Times New Roman"/>
          <w:sz w:val="24"/>
          <w:szCs w:val="24"/>
        </w:rPr>
        <w:t>(PTGI‑SF-8</w:t>
      </w:r>
      <w:r w:rsidR="00535120" w:rsidRPr="00DC595B">
        <w:rPr>
          <w:rFonts w:ascii="Times New Roman" w:hAnsi="Times New Roman" w:cs="Times New Roman"/>
          <w:sz w:val="24"/>
          <w:szCs w:val="24"/>
        </w:rPr>
        <w:t xml:space="preserve">; Garrido-Hernansaiz </w:t>
      </w:r>
      <w:r w:rsidR="005C6352">
        <w:rPr>
          <w:rFonts w:ascii="Times New Roman" w:hAnsi="Times New Roman" w:cs="Times New Roman"/>
          <w:sz w:val="24"/>
          <w:szCs w:val="24"/>
        </w:rPr>
        <w:t>et al.</w:t>
      </w:r>
      <w:r w:rsidR="00535120" w:rsidRPr="00DC595B">
        <w:rPr>
          <w:rFonts w:ascii="Times New Roman" w:hAnsi="Times New Roman" w:cs="Times New Roman"/>
          <w:sz w:val="24"/>
          <w:szCs w:val="24"/>
        </w:rPr>
        <w:t>, 202</w:t>
      </w:r>
      <w:r w:rsidR="00A31EA2">
        <w:rPr>
          <w:rFonts w:ascii="Times New Roman" w:hAnsi="Times New Roman" w:cs="Times New Roman"/>
          <w:sz w:val="24"/>
          <w:szCs w:val="24"/>
        </w:rPr>
        <w:t>3</w:t>
      </w:r>
      <w:r w:rsidR="00535120" w:rsidRPr="00DC595B">
        <w:rPr>
          <w:rFonts w:ascii="Times New Roman" w:hAnsi="Times New Roman" w:cs="Times New Roman"/>
          <w:sz w:val="24"/>
          <w:szCs w:val="24"/>
        </w:rPr>
        <w:t xml:space="preserve">). </w:t>
      </w:r>
      <w:r w:rsidR="000738AC" w:rsidRPr="00DC595B">
        <w:rPr>
          <w:rFonts w:ascii="Times New Roman" w:hAnsi="Times New Roman" w:cs="Times New Roman"/>
          <w:sz w:val="24"/>
          <w:szCs w:val="24"/>
        </w:rPr>
        <w:t xml:space="preserve">The inventory originally consisted of 10 items; however, items 1 and 6 were eliminated because of their low factor loadings and because their content was not fully in line with the construct. Given this, the inventory consisted of 8 items that have 6 Likert-type response options ranging from 0 = I did not experience this change as a result </w:t>
      </w:r>
      <w:r w:rsidR="000738AC" w:rsidRPr="00837443">
        <w:rPr>
          <w:rFonts w:ascii="Times New Roman" w:hAnsi="Times New Roman" w:cs="Times New Roman"/>
          <w:sz w:val="24"/>
          <w:szCs w:val="24"/>
        </w:rPr>
        <w:t>of my crisis; to 5 = I experienced this change to a very large degree as a result of my crisis). You have the following instruction: "Sometimes crises, such as the COVID-19 pandemic, involve significant life changes. Indicate for each of the statements below the degree to which this change occurred in your life. There are no right or wrong answers"</w:t>
      </w:r>
      <w:r w:rsidR="00EF46D5">
        <w:rPr>
          <w:rFonts w:ascii="Times New Roman" w:hAnsi="Times New Roman" w:cs="Times New Roman"/>
          <w:sz w:val="24"/>
          <w:szCs w:val="24"/>
        </w:rPr>
        <w:t>.</w:t>
      </w:r>
      <w:r w:rsidR="000738AC" w:rsidRPr="00837443">
        <w:rPr>
          <w:rFonts w:ascii="Times New Roman" w:hAnsi="Times New Roman" w:cs="Times New Roman"/>
          <w:sz w:val="24"/>
          <w:szCs w:val="24"/>
        </w:rPr>
        <w:t xml:space="preserve"> </w:t>
      </w:r>
      <w:r w:rsidR="00627858">
        <w:rPr>
          <w:rFonts w:ascii="Times New Roman" w:hAnsi="Times New Roman" w:cs="Times New Roman"/>
          <w:sz w:val="24"/>
          <w:szCs w:val="24"/>
        </w:rPr>
        <w:t>T</w:t>
      </w:r>
      <w:r w:rsidR="000738AC" w:rsidRPr="00837443">
        <w:rPr>
          <w:rFonts w:ascii="Times New Roman" w:hAnsi="Times New Roman" w:cs="Times New Roman"/>
          <w:sz w:val="24"/>
          <w:szCs w:val="24"/>
        </w:rPr>
        <w:t xml:space="preserve">he PTGI-SF was originally developed in English, </w:t>
      </w:r>
      <w:r w:rsidR="00EF46D5" w:rsidRPr="00EF46D5">
        <w:rPr>
          <w:rFonts w:ascii="Times New Roman" w:hAnsi="Times New Roman" w:cs="Times New Roman"/>
          <w:sz w:val="24"/>
          <w:szCs w:val="24"/>
        </w:rPr>
        <w:t>and in this study,</w:t>
      </w:r>
      <w:r w:rsidR="00EF46D5">
        <w:rPr>
          <w:rFonts w:ascii="Times New Roman" w:hAnsi="Times New Roman" w:cs="Times New Roman"/>
          <w:sz w:val="24"/>
          <w:szCs w:val="24"/>
        </w:rPr>
        <w:t xml:space="preserve"> </w:t>
      </w:r>
      <w:r w:rsidR="000738AC" w:rsidRPr="00837443">
        <w:rPr>
          <w:rFonts w:ascii="Times New Roman" w:hAnsi="Times New Roman" w:cs="Times New Roman"/>
          <w:sz w:val="24"/>
          <w:szCs w:val="24"/>
        </w:rPr>
        <w:t>the Spanish version of Garrido-Hernansaiz et al. (202</w:t>
      </w:r>
      <w:r w:rsidR="00A31EA2" w:rsidRPr="00837443">
        <w:rPr>
          <w:rFonts w:ascii="Times New Roman" w:hAnsi="Times New Roman" w:cs="Times New Roman"/>
          <w:sz w:val="24"/>
          <w:szCs w:val="24"/>
        </w:rPr>
        <w:t>3</w:t>
      </w:r>
      <w:r w:rsidR="000738AC" w:rsidRPr="00837443">
        <w:rPr>
          <w:rFonts w:ascii="Times New Roman" w:hAnsi="Times New Roman" w:cs="Times New Roman"/>
          <w:sz w:val="24"/>
          <w:szCs w:val="24"/>
        </w:rPr>
        <w:t>) was used.</w:t>
      </w:r>
    </w:p>
    <w:p w14:paraId="3C2C09DE" w14:textId="77777777" w:rsidR="000738AC" w:rsidRPr="00837443" w:rsidRDefault="000738AC" w:rsidP="00AF4B06">
      <w:pPr>
        <w:spacing w:after="0" w:line="276" w:lineRule="auto"/>
        <w:ind w:firstLine="720"/>
        <w:rPr>
          <w:rFonts w:ascii="Times New Roman" w:hAnsi="Times New Roman" w:cs="Times New Roman"/>
          <w:sz w:val="24"/>
          <w:szCs w:val="24"/>
        </w:rPr>
      </w:pPr>
    </w:p>
    <w:p w14:paraId="055055C8" w14:textId="3098A5ED" w:rsidR="003359D7" w:rsidRPr="00837443" w:rsidRDefault="003359D7" w:rsidP="003359D7">
      <w:pPr>
        <w:spacing w:after="0" w:line="276" w:lineRule="auto"/>
        <w:rPr>
          <w:rFonts w:ascii="Times New Roman" w:hAnsi="Times New Roman" w:cs="Times New Roman"/>
          <w:b/>
          <w:sz w:val="24"/>
          <w:szCs w:val="24"/>
        </w:rPr>
      </w:pPr>
      <w:r w:rsidRPr="00837443">
        <w:rPr>
          <w:rFonts w:ascii="Times New Roman" w:hAnsi="Times New Roman" w:cs="Times New Roman"/>
          <w:b/>
          <w:sz w:val="24"/>
          <w:szCs w:val="24"/>
        </w:rPr>
        <w:t>Proced</w:t>
      </w:r>
      <w:r w:rsidR="000738AC" w:rsidRPr="00837443">
        <w:rPr>
          <w:rFonts w:ascii="Times New Roman" w:hAnsi="Times New Roman" w:cs="Times New Roman"/>
          <w:b/>
          <w:sz w:val="24"/>
          <w:szCs w:val="24"/>
        </w:rPr>
        <w:t>ure</w:t>
      </w:r>
    </w:p>
    <w:p w14:paraId="75F79299" w14:textId="7E16A4F4" w:rsidR="00CC0B7A" w:rsidRPr="00837443" w:rsidRDefault="000738AC" w:rsidP="006134DA">
      <w:pPr>
        <w:spacing w:after="0" w:line="276" w:lineRule="auto"/>
        <w:ind w:firstLine="720"/>
        <w:rPr>
          <w:rFonts w:ascii="Times New Roman" w:hAnsi="Times New Roman" w:cs="Times New Roman"/>
          <w:sz w:val="24"/>
          <w:szCs w:val="24"/>
        </w:rPr>
      </w:pPr>
      <w:r w:rsidRPr="00837443">
        <w:rPr>
          <w:rFonts w:ascii="Times New Roman" w:hAnsi="Times New Roman"/>
          <w:sz w:val="24"/>
          <w:szCs w:val="24"/>
        </w:rPr>
        <w:t>The survey was developed online through the Google Form platform and consisted of two distinct parts: The first part provided information on the objective of the study and electronic informed consent. The second part presented the sociodemographic survey and the PTGI-SF-8. The survey was distributed through social networks (Facebook, Twitter and LinkedIn) and email in all participating countries. In each of the countries, the same application process was used. Responding to the online survey took approximately 10 minutes.</w:t>
      </w:r>
      <w:r w:rsidR="006134DA" w:rsidRPr="00837443">
        <w:rPr>
          <w:rFonts w:ascii="Times New Roman" w:hAnsi="Times New Roman"/>
          <w:sz w:val="24"/>
          <w:szCs w:val="24"/>
        </w:rPr>
        <w:t xml:space="preserve"> </w:t>
      </w:r>
      <w:r w:rsidR="00AA2982" w:rsidRPr="00AA2982">
        <w:rPr>
          <w:rFonts w:ascii="Times New Roman" w:hAnsi="Times New Roman"/>
          <w:sz w:val="24"/>
          <w:szCs w:val="24"/>
        </w:rPr>
        <w:t>The data from the study are part of a larger project "Study of mental health and COVID-19 in a post-pandemic context in Latin America and the Caribbean" that was reviewed and approved by the Institutional Committee for the Protection of Human Subjects in Research (CIPSHI) of the University of Puerto Rico (No. 2223-006).</w:t>
      </w:r>
    </w:p>
    <w:p w14:paraId="35BFF995" w14:textId="0B5E7258" w:rsidR="00CC0B7A" w:rsidRDefault="00CC0B7A" w:rsidP="003359D7">
      <w:pPr>
        <w:spacing w:after="0" w:line="276" w:lineRule="auto"/>
        <w:ind w:firstLine="720"/>
        <w:rPr>
          <w:rFonts w:ascii="Times New Roman" w:hAnsi="Times New Roman" w:cs="Times New Roman"/>
          <w:sz w:val="24"/>
          <w:szCs w:val="24"/>
        </w:rPr>
      </w:pPr>
    </w:p>
    <w:p w14:paraId="41555457" w14:textId="4594F278" w:rsidR="00AA2982" w:rsidRDefault="00AA2982" w:rsidP="003359D7">
      <w:pPr>
        <w:spacing w:after="0" w:line="276" w:lineRule="auto"/>
        <w:ind w:firstLine="720"/>
        <w:rPr>
          <w:rFonts w:ascii="Times New Roman" w:hAnsi="Times New Roman" w:cs="Times New Roman"/>
          <w:sz w:val="24"/>
          <w:szCs w:val="24"/>
        </w:rPr>
      </w:pPr>
    </w:p>
    <w:p w14:paraId="7E26B577" w14:textId="2E0C8833" w:rsidR="00413E14" w:rsidRDefault="00413E14" w:rsidP="003359D7">
      <w:pPr>
        <w:spacing w:after="0" w:line="276" w:lineRule="auto"/>
        <w:ind w:firstLine="720"/>
        <w:rPr>
          <w:rFonts w:ascii="Times New Roman" w:hAnsi="Times New Roman" w:cs="Times New Roman"/>
          <w:sz w:val="24"/>
          <w:szCs w:val="24"/>
        </w:rPr>
      </w:pPr>
    </w:p>
    <w:p w14:paraId="31D1CAA5" w14:textId="77777777" w:rsidR="00413E14" w:rsidRDefault="00413E14" w:rsidP="003359D7">
      <w:pPr>
        <w:spacing w:after="0" w:line="276" w:lineRule="auto"/>
        <w:ind w:firstLine="720"/>
        <w:rPr>
          <w:rFonts w:ascii="Times New Roman" w:hAnsi="Times New Roman" w:cs="Times New Roman"/>
          <w:sz w:val="24"/>
          <w:szCs w:val="24"/>
        </w:rPr>
      </w:pPr>
    </w:p>
    <w:p w14:paraId="3F579353" w14:textId="77777777" w:rsidR="00AA2982" w:rsidRPr="00837443" w:rsidRDefault="00AA2982" w:rsidP="003359D7">
      <w:pPr>
        <w:spacing w:after="0" w:line="276" w:lineRule="auto"/>
        <w:ind w:firstLine="720"/>
        <w:rPr>
          <w:rFonts w:ascii="Times New Roman" w:hAnsi="Times New Roman" w:cs="Times New Roman"/>
          <w:sz w:val="24"/>
          <w:szCs w:val="24"/>
        </w:rPr>
      </w:pPr>
    </w:p>
    <w:p w14:paraId="20D6A8AA" w14:textId="136BF39D" w:rsidR="003E6FF2" w:rsidRPr="00837443" w:rsidRDefault="002266C1" w:rsidP="003E6FF2">
      <w:pPr>
        <w:spacing w:after="0" w:line="480" w:lineRule="auto"/>
        <w:rPr>
          <w:rFonts w:ascii="Times New Roman" w:hAnsi="Times New Roman" w:cs="Times New Roman"/>
          <w:b/>
          <w:sz w:val="24"/>
          <w:szCs w:val="24"/>
          <w:lang w:val="es-PY"/>
        </w:rPr>
      </w:pPr>
      <w:r w:rsidRPr="00837443">
        <w:rPr>
          <w:rFonts w:ascii="Times New Roman" w:hAnsi="Times New Roman" w:cs="Times New Roman"/>
          <w:b/>
          <w:sz w:val="24"/>
          <w:szCs w:val="24"/>
          <w:lang w:val="es-PY"/>
        </w:rPr>
        <w:lastRenderedPageBreak/>
        <w:t>Data Analysis</w:t>
      </w:r>
    </w:p>
    <w:p w14:paraId="2820A2D5" w14:textId="6BAD78CC" w:rsidR="00837443" w:rsidRPr="00837443" w:rsidRDefault="00837443" w:rsidP="00837443">
      <w:pPr>
        <w:spacing w:after="0" w:line="276" w:lineRule="auto"/>
        <w:ind w:firstLine="284"/>
        <w:rPr>
          <w:rFonts w:ascii="Times New Roman" w:eastAsia="Times New Roman" w:hAnsi="Times New Roman" w:cs="Times New Roman"/>
          <w:sz w:val="24"/>
          <w:szCs w:val="24"/>
        </w:rPr>
      </w:pPr>
      <w:r w:rsidRPr="00837443">
        <w:rPr>
          <w:rFonts w:ascii="Times New Roman" w:eastAsia="Times New Roman" w:hAnsi="Times New Roman" w:cs="Times New Roman"/>
          <w:sz w:val="24"/>
          <w:szCs w:val="24"/>
        </w:rPr>
        <w:t>To conduct Confirmatory Factor Analysis (CFA), the maximum likelihood with robust standard error (MLR) estimator was used because the items on the scale had more than five response categories (Rhemtulla et al., 2012). RMSEA, SRMR, CFI, and TLI indices were used to evaluate the model fit. For RMSEA and SRMR indices, values less than .08 were considered acceptable (Kline, 2016). Values greater than .95 were deemed appropriate for CFI and TLI indices (Schumacker &amp; Lomax, 2015). McDonald’s omega coefficient (McDonald, 1999) were used to assess the reliability of the scale, where a value greater than .70 was considered adequate (Viladrich et al., 2017).</w:t>
      </w:r>
    </w:p>
    <w:p w14:paraId="071397F4" w14:textId="77777777" w:rsidR="00837443" w:rsidRPr="00837443" w:rsidRDefault="00837443" w:rsidP="00837443">
      <w:pPr>
        <w:spacing w:after="0" w:line="276" w:lineRule="auto"/>
        <w:ind w:firstLine="284"/>
        <w:rPr>
          <w:rFonts w:ascii="Times New Roman" w:eastAsia="Times New Roman" w:hAnsi="Times New Roman" w:cs="Times New Roman"/>
          <w:sz w:val="24"/>
          <w:szCs w:val="24"/>
        </w:rPr>
      </w:pPr>
    </w:p>
    <w:p w14:paraId="15B92590" w14:textId="77777777" w:rsidR="00837443" w:rsidRPr="00837443" w:rsidRDefault="00837443" w:rsidP="00837443">
      <w:pPr>
        <w:spacing w:after="0" w:line="276" w:lineRule="auto"/>
        <w:ind w:firstLine="284"/>
        <w:rPr>
          <w:rFonts w:ascii="Times New Roman" w:eastAsia="Times New Roman" w:hAnsi="Times New Roman" w:cs="Times New Roman"/>
          <w:sz w:val="24"/>
          <w:szCs w:val="24"/>
        </w:rPr>
      </w:pPr>
      <w:r w:rsidRPr="00837443">
        <w:rPr>
          <w:rFonts w:ascii="Times New Roman" w:eastAsia="Times New Roman" w:hAnsi="Times New Roman" w:cs="Times New Roman"/>
          <w:sz w:val="24"/>
          <w:szCs w:val="24"/>
        </w:rPr>
        <w:t>For evaluating the factorial invariance of the scale according to the nationality of the participants (country), Multi-Group Confirmatory Factor Analysis (MGCFA) was employed, where a sequence of hierarchical variance models was proposed: (1) configural invariance (baseline model), (2) metric invariance (equality of factor loadings), (3) scalar invariance (equality of factor loadings and intercepts), and (4) strict invariance (equality of factor loadings, intercepts, and residuals). A formal statistical test was first used to compare the sequence of models, employing the chi-square difference (Δχ2), where non-significant values (p&gt;.05) suggest invariance between groups. Second, a modeling strategy was used, employing differences in CFI (ΔCFI), where values less than &lt;.010 indicate model invariance between groups (Chen, 2007). RMSEA (ΔRMSEA) was also used, where differences less than &lt;.015 indicate model invariance between groups (Chen, 2007). To conveniently examine the differences between countries, composite scores were created by summing the items of the final scale. Cohen's d test was used to assess the magnitude of the differences.</w:t>
      </w:r>
    </w:p>
    <w:p w14:paraId="7AE2C872" w14:textId="77777777" w:rsidR="00837443" w:rsidRPr="00837443" w:rsidRDefault="00837443" w:rsidP="00837443">
      <w:pPr>
        <w:spacing w:after="0" w:line="276" w:lineRule="auto"/>
        <w:ind w:firstLine="284"/>
        <w:rPr>
          <w:rFonts w:ascii="Times New Roman" w:eastAsia="Times New Roman" w:hAnsi="Times New Roman" w:cs="Times New Roman"/>
          <w:sz w:val="24"/>
          <w:szCs w:val="24"/>
        </w:rPr>
      </w:pPr>
    </w:p>
    <w:p w14:paraId="6930B406" w14:textId="77777777" w:rsidR="00837443" w:rsidRPr="00837443" w:rsidRDefault="00837443" w:rsidP="00837443">
      <w:pPr>
        <w:spacing w:after="0" w:line="276" w:lineRule="auto"/>
        <w:ind w:firstLine="284"/>
        <w:rPr>
          <w:rFonts w:ascii="Times New Roman" w:eastAsia="Times New Roman" w:hAnsi="Times New Roman" w:cs="Times New Roman"/>
          <w:sz w:val="24"/>
          <w:szCs w:val="24"/>
        </w:rPr>
      </w:pPr>
      <w:r w:rsidRPr="00837443">
        <w:rPr>
          <w:rFonts w:ascii="Times New Roman" w:eastAsia="Times New Roman" w:hAnsi="Times New Roman" w:cs="Times New Roman"/>
          <w:sz w:val="24"/>
          <w:szCs w:val="24"/>
        </w:rPr>
        <w:t>For Item Response Theory (IRT), a Graded Response Model (GRM; Samejima, 1997) was employed, specifically, an extension of the 2-parameter logistic model (2-PLM) for ordered polytomous items (Hambleton, van der Linden, &amp; Wells, 2010). For each item, two types of parameter were estimated: discrimination (a) and difficulty (b). The discrimination parameter (a) determines the slope at which responses to items change according to the level of the latent trait, and the item difficulty parameters (b) determine the amount of latent trait required for the item to be answered. As the scale has six response categories, there are five difficulty estimations per threshold. These estimates indicate the level of the latent variable at which an individual has a 50% chance of scoring a particular response category or above. Item characteristic curves and test characteristic curves (ICC and TCC, respectively) were also calculated.</w:t>
      </w:r>
    </w:p>
    <w:p w14:paraId="0C7738B4" w14:textId="77777777" w:rsidR="00837443" w:rsidRPr="00837443" w:rsidRDefault="00837443" w:rsidP="00837443">
      <w:pPr>
        <w:spacing w:after="0" w:line="276" w:lineRule="auto"/>
        <w:ind w:firstLine="284"/>
        <w:rPr>
          <w:rFonts w:ascii="Times New Roman" w:eastAsia="Times New Roman" w:hAnsi="Times New Roman" w:cs="Times New Roman"/>
          <w:sz w:val="24"/>
          <w:szCs w:val="24"/>
        </w:rPr>
      </w:pPr>
    </w:p>
    <w:p w14:paraId="54C701CB" w14:textId="77777777" w:rsidR="00837443" w:rsidRPr="00837443" w:rsidRDefault="00837443" w:rsidP="00837443">
      <w:pPr>
        <w:spacing w:after="0" w:line="276" w:lineRule="auto"/>
        <w:ind w:firstLine="284"/>
        <w:rPr>
          <w:rFonts w:ascii="Times New Roman" w:eastAsia="Times New Roman" w:hAnsi="Times New Roman" w:cs="Times New Roman"/>
          <w:sz w:val="24"/>
          <w:szCs w:val="24"/>
        </w:rPr>
      </w:pPr>
      <w:r w:rsidRPr="00837443">
        <w:rPr>
          <w:rFonts w:ascii="Times New Roman" w:eastAsia="Times New Roman" w:hAnsi="Times New Roman" w:cs="Times New Roman"/>
          <w:sz w:val="24"/>
          <w:szCs w:val="24"/>
        </w:rPr>
        <w:t>All statistical analyses were conducted using the “lavaan” package (Rosseel, 2012) for CFA, the “semTools” package (Jorgensen, Pornprasertmanit, Schoemann, and Rosseel, 2018) for factorial invariance, and the “mirt” package for GRM (Chalmers, 2012). The RStudio environment (RStudio Team, 2018) for R (R Core Team, 2019) was used in all cases.</w:t>
      </w:r>
    </w:p>
    <w:p w14:paraId="3F97DBE7" w14:textId="04F8101D" w:rsidR="003E6FF2" w:rsidRPr="00837443" w:rsidRDefault="003E6FF2" w:rsidP="003E6FF2">
      <w:pPr>
        <w:spacing w:after="0" w:line="480" w:lineRule="auto"/>
        <w:jc w:val="center"/>
        <w:rPr>
          <w:rFonts w:ascii="Times New Roman" w:hAnsi="Times New Roman" w:cs="Times New Roman"/>
          <w:b/>
          <w:sz w:val="24"/>
          <w:szCs w:val="24"/>
          <w:lang w:val="es-PY"/>
        </w:rPr>
      </w:pPr>
      <w:r w:rsidRPr="00837443">
        <w:rPr>
          <w:rFonts w:ascii="Times New Roman" w:hAnsi="Times New Roman" w:cs="Times New Roman"/>
          <w:b/>
          <w:sz w:val="24"/>
          <w:szCs w:val="24"/>
          <w:lang w:val="es-PY"/>
        </w:rPr>
        <w:lastRenderedPageBreak/>
        <w:t>Results</w:t>
      </w:r>
    </w:p>
    <w:p w14:paraId="3FDBF706" w14:textId="4E6A1F55" w:rsidR="003E6FF2" w:rsidRPr="00837443" w:rsidRDefault="00572C3C" w:rsidP="003E6FF2">
      <w:pPr>
        <w:spacing w:after="0" w:line="480" w:lineRule="auto"/>
        <w:rPr>
          <w:rFonts w:ascii="Times New Roman" w:hAnsi="Times New Roman" w:cs="Times New Roman"/>
          <w:b/>
          <w:sz w:val="24"/>
          <w:szCs w:val="24"/>
          <w:lang w:val="es-PY"/>
        </w:rPr>
      </w:pPr>
      <w:r w:rsidRPr="00837443">
        <w:rPr>
          <w:rFonts w:ascii="Times New Roman" w:hAnsi="Times New Roman" w:cs="Times New Roman"/>
          <w:b/>
          <w:sz w:val="24"/>
          <w:szCs w:val="24"/>
          <w:lang w:val="es-PY"/>
        </w:rPr>
        <w:t>Descriptive Analysis</w:t>
      </w:r>
    </w:p>
    <w:p w14:paraId="74A06D4E" w14:textId="26410B54" w:rsidR="003E6FF2" w:rsidRPr="00BD0FF5" w:rsidRDefault="00BD0FF5" w:rsidP="00BD0FF5">
      <w:pPr>
        <w:spacing w:after="0" w:line="276" w:lineRule="auto"/>
        <w:ind w:firstLine="720"/>
        <w:rPr>
          <w:rFonts w:ascii="Times New Roman" w:hAnsi="Times New Roman" w:cs="Times New Roman"/>
          <w:sz w:val="24"/>
          <w:szCs w:val="24"/>
        </w:rPr>
      </w:pPr>
      <w:r w:rsidRPr="00BD0FF5">
        <w:rPr>
          <w:rFonts w:ascii="Times New Roman" w:hAnsi="Times New Roman" w:cs="Times New Roman"/>
          <w:sz w:val="24"/>
          <w:szCs w:val="24"/>
        </w:rPr>
        <w:t>Table 2 shows that items 2 ("I believe I can make more of my life") and item 7 ("I discovered that I am stronger than I thought") had the highest average scores in most countries. This indicates that the majority of the participants experienced these changes as a result of the COVID-19 pandemic. It is also observed that item 6 ("I have a stronger religious faith") has the lowest average score, meaning most participants reported not experiencing these changes. Regarding the skewness and kurtosis indices, it is noted that all items present adequate indices (skewness &lt; ±2; kurtosis &lt; ±7) according to the criteria set by Finney and DiStefano (2006)</w:t>
      </w:r>
      <w:r w:rsidR="005C6352" w:rsidRPr="00BD0FF5">
        <w:rPr>
          <w:rFonts w:ascii="Times New Roman" w:hAnsi="Times New Roman" w:cs="Times New Roman"/>
          <w:sz w:val="24"/>
          <w:szCs w:val="24"/>
        </w:rPr>
        <w:t>.</w:t>
      </w:r>
    </w:p>
    <w:p w14:paraId="79AC439C" w14:textId="77777777" w:rsidR="005C6352" w:rsidRPr="00BD0FF5" w:rsidRDefault="005C6352" w:rsidP="00646064">
      <w:pPr>
        <w:spacing w:after="0" w:line="480" w:lineRule="auto"/>
        <w:jc w:val="center"/>
        <w:rPr>
          <w:rFonts w:ascii="Times New Roman" w:hAnsi="Times New Roman" w:cs="Times New Roman"/>
          <w:sz w:val="24"/>
          <w:szCs w:val="24"/>
        </w:rPr>
      </w:pPr>
    </w:p>
    <w:p w14:paraId="700D22E1" w14:textId="0A264831" w:rsidR="003E6FF2" w:rsidRPr="00DC595B" w:rsidRDefault="003E6FF2" w:rsidP="00646064">
      <w:pPr>
        <w:spacing w:after="0" w:line="480" w:lineRule="auto"/>
        <w:jc w:val="center"/>
        <w:rPr>
          <w:rFonts w:ascii="Times New Roman" w:hAnsi="Times New Roman" w:cs="Times New Roman"/>
          <w:sz w:val="24"/>
          <w:szCs w:val="24"/>
        </w:rPr>
      </w:pPr>
      <w:r w:rsidRPr="00DC595B">
        <w:rPr>
          <w:rFonts w:ascii="Times New Roman" w:hAnsi="Times New Roman" w:cs="Times New Roman"/>
          <w:sz w:val="24"/>
          <w:szCs w:val="24"/>
        </w:rPr>
        <w:t>[Insert tabl</w:t>
      </w:r>
      <w:r w:rsidR="002266C1" w:rsidRPr="00DC595B">
        <w:rPr>
          <w:rFonts w:ascii="Times New Roman" w:hAnsi="Times New Roman" w:cs="Times New Roman"/>
          <w:sz w:val="24"/>
          <w:szCs w:val="24"/>
        </w:rPr>
        <w:t>e</w:t>
      </w:r>
      <w:r w:rsidR="00B056FD">
        <w:rPr>
          <w:rFonts w:ascii="Times New Roman" w:hAnsi="Times New Roman" w:cs="Times New Roman"/>
          <w:sz w:val="24"/>
          <w:szCs w:val="24"/>
        </w:rPr>
        <w:t xml:space="preserve"> 2</w:t>
      </w:r>
      <w:r w:rsidRPr="00DC595B">
        <w:rPr>
          <w:rFonts w:ascii="Times New Roman" w:hAnsi="Times New Roman" w:cs="Times New Roman"/>
          <w:sz w:val="24"/>
          <w:szCs w:val="24"/>
        </w:rPr>
        <w:t>]</w:t>
      </w:r>
    </w:p>
    <w:p w14:paraId="43001576" w14:textId="103B3468" w:rsidR="003E6FF2" w:rsidRPr="00DC595B" w:rsidRDefault="005A3B12" w:rsidP="003E6FF2">
      <w:pPr>
        <w:spacing w:after="0" w:line="480" w:lineRule="auto"/>
        <w:jc w:val="both"/>
        <w:rPr>
          <w:rFonts w:ascii="Times New Roman" w:hAnsi="Times New Roman" w:cs="Times New Roman"/>
          <w:b/>
          <w:bCs/>
          <w:sz w:val="24"/>
          <w:szCs w:val="24"/>
        </w:rPr>
      </w:pPr>
      <w:r w:rsidRPr="00DC595B">
        <w:rPr>
          <w:rFonts w:ascii="Times New Roman" w:hAnsi="Times New Roman" w:cs="Times New Roman"/>
          <w:b/>
          <w:bCs/>
          <w:sz w:val="24"/>
          <w:szCs w:val="24"/>
        </w:rPr>
        <w:t>Validity based on internal structure</w:t>
      </w:r>
    </w:p>
    <w:p w14:paraId="7544364B" w14:textId="2D86AC0C" w:rsidR="003E6FF2" w:rsidRPr="00BD0FF5" w:rsidRDefault="00BD0FF5" w:rsidP="00BD0FF5">
      <w:pPr>
        <w:spacing w:after="0" w:line="276" w:lineRule="auto"/>
        <w:ind w:right="-454" w:firstLine="720"/>
        <w:rPr>
          <w:rFonts w:ascii="Times New Roman" w:hAnsi="Times New Roman" w:cs="Times New Roman"/>
          <w:sz w:val="24"/>
          <w:szCs w:val="24"/>
        </w:rPr>
      </w:pPr>
      <w:r w:rsidRPr="00BD0FF5">
        <w:rPr>
          <w:rFonts w:ascii="Times New Roman" w:hAnsi="Times New Roman" w:cs="Times New Roman"/>
          <w:sz w:val="24"/>
          <w:szCs w:val="24"/>
        </w:rPr>
        <w:t>Table 3 reveals that the original four-factor model (Model 1), which consisted of related factors, showed acceptable fit indices in the four Andean community countries. It was also found that the relationship between some factors was very strong (&gt; .90), as shown in Table 4. Based on these findings, two competing models were considered. The Bi-factor model (Model 2) displayed worse fit indices than Model 1 in some countries, and exhibited estimation problems in others. The unidimensional model (Model 3) showed poor fit indices for data. Therefore, Model 1 proved to be the model that best explains the factorial structure of the scale and will thus be used in subsequent psychometric analyses.</w:t>
      </w:r>
    </w:p>
    <w:p w14:paraId="26BAFD74" w14:textId="77777777" w:rsidR="001374A4" w:rsidRPr="00BD0FF5" w:rsidRDefault="001374A4" w:rsidP="003E6FF2">
      <w:pPr>
        <w:spacing w:after="0" w:line="276" w:lineRule="auto"/>
        <w:ind w:right="-454" w:firstLine="720"/>
        <w:rPr>
          <w:rFonts w:ascii="Times New Roman" w:hAnsi="Times New Roman" w:cs="Times New Roman"/>
          <w:sz w:val="24"/>
          <w:szCs w:val="24"/>
        </w:rPr>
      </w:pPr>
    </w:p>
    <w:p w14:paraId="54E3C0B3" w14:textId="2E309FFF" w:rsidR="003E6FF2" w:rsidRPr="00837443" w:rsidRDefault="003E6FF2" w:rsidP="003E6FF2">
      <w:pPr>
        <w:spacing w:after="0" w:line="480" w:lineRule="auto"/>
        <w:ind w:right="-454"/>
        <w:jc w:val="center"/>
        <w:rPr>
          <w:rFonts w:ascii="Times New Roman" w:hAnsi="Times New Roman" w:cs="Times New Roman"/>
          <w:sz w:val="24"/>
          <w:szCs w:val="24"/>
          <w:lang w:val="es-PY"/>
        </w:rPr>
      </w:pPr>
      <w:r w:rsidRPr="00837443">
        <w:rPr>
          <w:rFonts w:ascii="Times New Roman" w:hAnsi="Times New Roman" w:cs="Times New Roman"/>
          <w:sz w:val="24"/>
          <w:szCs w:val="24"/>
          <w:lang w:val="es-PY"/>
        </w:rPr>
        <w:t>[Insert tabl</w:t>
      </w:r>
      <w:r w:rsidR="002266C1" w:rsidRPr="00837443">
        <w:rPr>
          <w:rFonts w:ascii="Times New Roman" w:hAnsi="Times New Roman" w:cs="Times New Roman"/>
          <w:sz w:val="24"/>
          <w:szCs w:val="24"/>
          <w:lang w:val="es-PY"/>
        </w:rPr>
        <w:t>e</w:t>
      </w:r>
      <w:r w:rsidR="00B056FD" w:rsidRPr="00837443">
        <w:rPr>
          <w:rFonts w:ascii="Times New Roman" w:hAnsi="Times New Roman" w:cs="Times New Roman"/>
          <w:sz w:val="24"/>
          <w:szCs w:val="24"/>
          <w:lang w:val="es-PY"/>
        </w:rPr>
        <w:t xml:space="preserve"> 3</w:t>
      </w:r>
      <w:r w:rsidRPr="00837443">
        <w:rPr>
          <w:rFonts w:ascii="Times New Roman" w:hAnsi="Times New Roman" w:cs="Times New Roman"/>
          <w:sz w:val="24"/>
          <w:szCs w:val="24"/>
          <w:lang w:val="es-PY"/>
        </w:rPr>
        <w:t>]</w:t>
      </w:r>
    </w:p>
    <w:p w14:paraId="74A33FC9" w14:textId="03D99DDA" w:rsidR="001374A4" w:rsidRPr="00BD0FF5" w:rsidRDefault="00BD0FF5" w:rsidP="00BD0FF5">
      <w:pPr>
        <w:spacing w:after="0" w:line="276" w:lineRule="auto"/>
        <w:ind w:right="-454" w:firstLine="720"/>
        <w:rPr>
          <w:rFonts w:ascii="Times New Roman" w:hAnsi="Times New Roman" w:cs="Times New Roman"/>
          <w:sz w:val="24"/>
          <w:szCs w:val="24"/>
        </w:rPr>
      </w:pPr>
      <w:r w:rsidRPr="00BD0FF5">
        <w:rPr>
          <w:rFonts w:ascii="Times New Roman" w:hAnsi="Times New Roman" w:cs="Times New Roman"/>
          <w:sz w:val="24"/>
          <w:szCs w:val="24"/>
        </w:rPr>
        <w:t>Table 4 shows that the factor loadings of the items were high for the corresponding factors in all countries, demonstrating that they adequately represented each dimension of the construct.</w:t>
      </w:r>
    </w:p>
    <w:p w14:paraId="6760D5F0" w14:textId="2159F8A5" w:rsidR="003E6FF2" w:rsidRPr="00837443" w:rsidRDefault="003E6FF2" w:rsidP="003E6FF2">
      <w:pPr>
        <w:spacing w:after="0" w:line="480" w:lineRule="auto"/>
        <w:ind w:right="-454"/>
        <w:jc w:val="center"/>
        <w:rPr>
          <w:rFonts w:ascii="Times New Roman" w:hAnsi="Times New Roman" w:cs="Times New Roman"/>
          <w:sz w:val="24"/>
          <w:szCs w:val="24"/>
          <w:lang w:val="es-PY"/>
        </w:rPr>
      </w:pPr>
      <w:r w:rsidRPr="00837443">
        <w:rPr>
          <w:rFonts w:ascii="Times New Roman" w:hAnsi="Times New Roman" w:cs="Times New Roman"/>
          <w:sz w:val="24"/>
          <w:szCs w:val="24"/>
          <w:lang w:val="es-PY"/>
        </w:rPr>
        <w:t>[Insert tabl</w:t>
      </w:r>
      <w:r w:rsidR="002266C1" w:rsidRPr="00837443">
        <w:rPr>
          <w:rFonts w:ascii="Times New Roman" w:hAnsi="Times New Roman" w:cs="Times New Roman"/>
          <w:sz w:val="24"/>
          <w:szCs w:val="24"/>
          <w:lang w:val="es-PY"/>
        </w:rPr>
        <w:t>e</w:t>
      </w:r>
      <w:r w:rsidR="00B056FD" w:rsidRPr="00837443">
        <w:rPr>
          <w:rFonts w:ascii="Times New Roman" w:hAnsi="Times New Roman" w:cs="Times New Roman"/>
          <w:sz w:val="24"/>
          <w:szCs w:val="24"/>
          <w:lang w:val="es-PY"/>
        </w:rPr>
        <w:t xml:space="preserve"> 4</w:t>
      </w:r>
      <w:r w:rsidRPr="00837443">
        <w:rPr>
          <w:rFonts w:ascii="Times New Roman" w:hAnsi="Times New Roman" w:cs="Times New Roman"/>
          <w:sz w:val="24"/>
          <w:szCs w:val="24"/>
          <w:lang w:val="es-PY"/>
        </w:rPr>
        <w:t>]</w:t>
      </w:r>
    </w:p>
    <w:p w14:paraId="08FC583E" w14:textId="120AF92A" w:rsidR="003E6FF2" w:rsidRPr="00837443" w:rsidRDefault="001374A4" w:rsidP="003E6FF2">
      <w:pPr>
        <w:spacing w:after="0" w:line="480" w:lineRule="auto"/>
        <w:rPr>
          <w:rFonts w:ascii="Times New Roman" w:hAnsi="Times New Roman" w:cs="Times New Roman"/>
          <w:b/>
          <w:sz w:val="24"/>
          <w:szCs w:val="24"/>
          <w:lang w:val="es-PY"/>
        </w:rPr>
      </w:pPr>
      <w:r w:rsidRPr="00837443">
        <w:rPr>
          <w:rFonts w:ascii="Times New Roman" w:hAnsi="Times New Roman" w:cs="Times New Roman"/>
          <w:b/>
          <w:sz w:val="24"/>
          <w:szCs w:val="24"/>
          <w:lang w:val="es-PY"/>
        </w:rPr>
        <w:t>Scale Reliability</w:t>
      </w:r>
    </w:p>
    <w:p w14:paraId="3B46F39C" w14:textId="3C679798" w:rsidR="00F14F22" w:rsidRPr="00BD0FF5" w:rsidRDefault="00E760F3" w:rsidP="00BD0FF5">
      <w:pPr>
        <w:spacing w:after="0" w:line="276" w:lineRule="auto"/>
        <w:ind w:firstLine="720"/>
        <w:rPr>
          <w:rFonts w:ascii="Times New Roman" w:hAnsi="Times New Roman" w:cs="Times New Roman"/>
          <w:b/>
          <w:sz w:val="24"/>
          <w:szCs w:val="24"/>
          <w:lang w:val="es-PY"/>
        </w:rPr>
      </w:pPr>
      <w:r w:rsidRPr="00E760F3">
        <w:rPr>
          <w:rFonts w:ascii="Times New Roman" w:hAnsi="Times New Roman" w:cs="Times New Roman"/>
          <w:bCs/>
          <w:sz w:val="24"/>
          <w:szCs w:val="24"/>
        </w:rPr>
        <w:t>As shown in Table 4, the dimensions of relationships with others (ω = .82 – .90), life values (ω = .83 – .88), personal beliefs (ω = .83 – .91), and spiritual changes (ω = .79 – .83) demonstrated adequate reliability indices in all countries</w:t>
      </w:r>
      <w:r w:rsidR="00BD0FF5" w:rsidRPr="00BD0FF5">
        <w:rPr>
          <w:rFonts w:ascii="Times New Roman" w:hAnsi="Times New Roman" w:cs="Times New Roman"/>
          <w:bCs/>
          <w:sz w:val="24"/>
          <w:szCs w:val="24"/>
        </w:rPr>
        <w:t>.</w:t>
      </w:r>
    </w:p>
    <w:p w14:paraId="19D3FECD" w14:textId="6D2F656D" w:rsidR="00556375" w:rsidRDefault="00556375" w:rsidP="003E6FF2">
      <w:pPr>
        <w:spacing w:after="0" w:line="480" w:lineRule="auto"/>
        <w:rPr>
          <w:rFonts w:ascii="Times New Roman" w:hAnsi="Times New Roman" w:cs="Times New Roman"/>
          <w:b/>
          <w:sz w:val="24"/>
          <w:szCs w:val="24"/>
          <w:lang w:val="es-PY"/>
        </w:rPr>
      </w:pPr>
    </w:p>
    <w:p w14:paraId="2BFC7526" w14:textId="1ABD0CAE" w:rsidR="003E6FF2" w:rsidRPr="00837443" w:rsidRDefault="00214177" w:rsidP="003E6FF2">
      <w:pPr>
        <w:spacing w:after="0" w:line="480" w:lineRule="auto"/>
        <w:rPr>
          <w:rFonts w:ascii="Times New Roman" w:hAnsi="Times New Roman" w:cs="Times New Roman"/>
          <w:b/>
          <w:sz w:val="24"/>
          <w:szCs w:val="24"/>
          <w:lang w:val="es-PY"/>
        </w:rPr>
      </w:pPr>
      <w:r w:rsidRPr="00837443">
        <w:rPr>
          <w:rFonts w:ascii="Times New Roman" w:hAnsi="Times New Roman" w:cs="Times New Roman"/>
          <w:b/>
          <w:sz w:val="24"/>
          <w:szCs w:val="24"/>
          <w:lang w:val="es-PY"/>
        </w:rPr>
        <w:t>Factor invariance by country</w:t>
      </w:r>
    </w:p>
    <w:p w14:paraId="4D52BC5A" w14:textId="77777777" w:rsidR="00BD0FF5" w:rsidRPr="00BD0FF5" w:rsidRDefault="00BD0FF5" w:rsidP="00BD0FF5">
      <w:pPr>
        <w:spacing w:after="0" w:line="276" w:lineRule="auto"/>
        <w:ind w:firstLine="720"/>
        <w:rPr>
          <w:rFonts w:ascii="Times New Roman" w:hAnsi="Times New Roman" w:cs="Times New Roman"/>
          <w:sz w:val="24"/>
          <w:szCs w:val="24"/>
        </w:rPr>
      </w:pPr>
      <w:r w:rsidRPr="00BD0FF5">
        <w:rPr>
          <w:rFonts w:ascii="Times New Roman" w:hAnsi="Times New Roman" w:cs="Times New Roman"/>
          <w:sz w:val="24"/>
          <w:szCs w:val="24"/>
        </w:rPr>
        <w:t xml:space="preserve">As shown in Table 5, the factorial structure of the scale demonstrated evidence of strict invariance across all countries in the sequence of proposed invariance models: </w:t>
      </w:r>
      <w:r w:rsidRPr="00BD0FF5">
        <w:rPr>
          <w:rFonts w:ascii="Times New Roman" w:hAnsi="Times New Roman" w:cs="Times New Roman"/>
          <w:sz w:val="24"/>
          <w:szCs w:val="24"/>
        </w:rPr>
        <w:lastRenderedPageBreak/>
        <w:t>metric invariance (</w:t>
      </w:r>
      <w:r w:rsidRPr="00BD0FF5">
        <w:rPr>
          <w:rFonts w:ascii="Times New Roman" w:hAnsi="Times New Roman" w:cs="Times New Roman"/>
          <w:sz w:val="24"/>
          <w:szCs w:val="24"/>
          <w:lang w:val="es-PY"/>
        </w:rPr>
        <w:t>Δ</w:t>
      </w:r>
      <w:r w:rsidRPr="00BD0FF5">
        <w:rPr>
          <w:rFonts w:ascii="Times New Roman" w:hAnsi="Times New Roman" w:cs="Times New Roman"/>
          <w:sz w:val="24"/>
          <w:szCs w:val="24"/>
        </w:rPr>
        <w:t xml:space="preserve">CFI = .000; </w:t>
      </w:r>
      <w:r w:rsidRPr="00BD0FF5">
        <w:rPr>
          <w:rFonts w:ascii="Times New Roman" w:hAnsi="Times New Roman" w:cs="Times New Roman"/>
          <w:sz w:val="24"/>
          <w:szCs w:val="24"/>
          <w:lang w:val="es-PY"/>
        </w:rPr>
        <w:t>Δ</w:t>
      </w:r>
      <w:r w:rsidRPr="00BD0FF5">
        <w:rPr>
          <w:rFonts w:ascii="Times New Roman" w:hAnsi="Times New Roman" w:cs="Times New Roman"/>
          <w:sz w:val="24"/>
          <w:szCs w:val="24"/>
        </w:rPr>
        <w:t>RMSEA = -.008), scalar invariance (</w:t>
      </w:r>
      <w:r w:rsidRPr="00BD0FF5">
        <w:rPr>
          <w:rFonts w:ascii="Times New Roman" w:hAnsi="Times New Roman" w:cs="Times New Roman"/>
          <w:sz w:val="24"/>
          <w:szCs w:val="24"/>
          <w:lang w:val="es-PY"/>
        </w:rPr>
        <w:t>Δ</w:t>
      </w:r>
      <w:r w:rsidRPr="00BD0FF5">
        <w:rPr>
          <w:rFonts w:ascii="Times New Roman" w:hAnsi="Times New Roman" w:cs="Times New Roman"/>
          <w:sz w:val="24"/>
          <w:szCs w:val="24"/>
        </w:rPr>
        <w:t xml:space="preserve">CFI = -.001, </w:t>
      </w:r>
      <w:r w:rsidRPr="00BD0FF5">
        <w:rPr>
          <w:rFonts w:ascii="Times New Roman" w:hAnsi="Times New Roman" w:cs="Times New Roman"/>
          <w:sz w:val="24"/>
          <w:szCs w:val="24"/>
          <w:lang w:val="es-PY"/>
        </w:rPr>
        <w:t>Δ</w:t>
      </w:r>
      <w:r w:rsidRPr="00BD0FF5">
        <w:rPr>
          <w:rFonts w:ascii="Times New Roman" w:hAnsi="Times New Roman" w:cs="Times New Roman"/>
          <w:sz w:val="24"/>
          <w:szCs w:val="24"/>
        </w:rPr>
        <w:t>RMSEA = -.004), and strict invariance (</w:t>
      </w:r>
      <w:r w:rsidRPr="00BD0FF5">
        <w:rPr>
          <w:rFonts w:ascii="Times New Roman" w:hAnsi="Times New Roman" w:cs="Times New Roman"/>
          <w:sz w:val="24"/>
          <w:szCs w:val="24"/>
          <w:lang w:val="es-PY"/>
        </w:rPr>
        <w:t>Δ</w:t>
      </w:r>
      <w:r w:rsidRPr="00BD0FF5">
        <w:rPr>
          <w:rFonts w:ascii="Times New Roman" w:hAnsi="Times New Roman" w:cs="Times New Roman"/>
          <w:sz w:val="24"/>
          <w:szCs w:val="24"/>
        </w:rPr>
        <w:t xml:space="preserve">CFI = -.004; </w:t>
      </w:r>
      <w:r w:rsidRPr="00BD0FF5">
        <w:rPr>
          <w:rFonts w:ascii="Times New Roman" w:hAnsi="Times New Roman" w:cs="Times New Roman"/>
          <w:sz w:val="24"/>
          <w:szCs w:val="24"/>
          <w:lang w:val="es-PY"/>
        </w:rPr>
        <w:t>Δ</w:t>
      </w:r>
      <w:r w:rsidRPr="00BD0FF5">
        <w:rPr>
          <w:rFonts w:ascii="Times New Roman" w:hAnsi="Times New Roman" w:cs="Times New Roman"/>
          <w:sz w:val="24"/>
          <w:szCs w:val="24"/>
        </w:rPr>
        <w:t>RMSEA = -.002).</w:t>
      </w:r>
    </w:p>
    <w:p w14:paraId="1EAAD4B5" w14:textId="77777777" w:rsidR="00BD0FF5" w:rsidRPr="00BD0FF5" w:rsidRDefault="00BD0FF5" w:rsidP="00BD0FF5">
      <w:pPr>
        <w:spacing w:after="0" w:line="276" w:lineRule="auto"/>
        <w:ind w:firstLine="720"/>
        <w:rPr>
          <w:rFonts w:ascii="Times New Roman" w:hAnsi="Times New Roman" w:cs="Times New Roman"/>
          <w:sz w:val="24"/>
          <w:szCs w:val="24"/>
          <w:lang w:val="es-PY"/>
        </w:rPr>
      </w:pPr>
    </w:p>
    <w:p w14:paraId="7A10957E" w14:textId="40F5542B" w:rsidR="00BD0FF5" w:rsidRPr="00BD0FF5" w:rsidRDefault="00BD0FF5" w:rsidP="00134141">
      <w:pPr>
        <w:spacing w:after="0" w:line="276" w:lineRule="auto"/>
        <w:jc w:val="center"/>
        <w:rPr>
          <w:rFonts w:ascii="Times New Roman" w:hAnsi="Times New Roman" w:cs="Times New Roman"/>
          <w:sz w:val="24"/>
          <w:szCs w:val="24"/>
          <w:lang w:val="es-PY"/>
        </w:rPr>
      </w:pPr>
      <w:r w:rsidRPr="00BD0FF5">
        <w:rPr>
          <w:rFonts w:ascii="Times New Roman" w:hAnsi="Times New Roman" w:cs="Times New Roman"/>
          <w:sz w:val="24"/>
          <w:szCs w:val="24"/>
          <w:lang w:val="es-PY"/>
        </w:rPr>
        <w:t>[Insert Table 5]</w:t>
      </w:r>
    </w:p>
    <w:p w14:paraId="6BA4D29F" w14:textId="77777777" w:rsidR="005C6352" w:rsidRPr="00837443" w:rsidRDefault="005C6352" w:rsidP="005C6352">
      <w:pPr>
        <w:spacing w:after="0" w:line="276" w:lineRule="auto"/>
        <w:jc w:val="center"/>
        <w:rPr>
          <w:rFonts w:ascii="Times New Roman" w:hAnsi="Times New Roman" w:cs="Times New Roman"/>
          <w:color w:val="FF0000"/>
          <w:sz w:val="24"/>
          <w:szCs w:val="24"/>
          <w:lang w:val="es-PY"/>
        </w:rPr>
      </w:pPr>
    </w:p>
    <w:p w14:paraId="3A1369B4" w14:textId="1ADB6856" w:rsidR="003E6FF2" w:rsidRPr="00837443" w:rsidRDefault="00FC5106" w:rsidP="003E6FF2">
      <w:pPr>
        <w:spacing w:after="0" w:line="480" w:lineRule="auto"/>
        <w:ind w:right="-454"/>
        <w:rPr>
          <w:rFonts w:ascii="Times New Roman" w:hAnsi="Times New Roman" w:cs="Times New Roman"/>
          <w:sz w:val="24"/>
          <w:szCs w:val="24"/>
          <w:lang w:val="es-PY"/>
        </w:rPr>
      </w:pPr>
      <w:r w:rsidRPr="00837443">
        <w:rPr>
          <w:rFonts w:ascii="Times New Roman" w:hAnsi="Times New Roman" w:cs="Times New Roman"/>
          <w:b/>
          <w:sz w:val="24"/>
          <w:szCs w:val="24"/>
          <w:lang w:val="es-PY"/>
        </w:rPr>
        <w:t xml:space="preserve">Item Response Theory Model: Graded Response Model </w:t>
      </w:r>
      <w:r w:rsidR="003E6FF2" w:rsidRPr="00837443">
        <w:rPr>
          <w:rFonts w:ascii="Times New Roman" w:hAnsi="Times New Roman" w:cs="Times New Roman"/>
          <w:b/>
          <w:sz w:val="24"/>
          <w:szCs w:val="24"/>
          <w:lang w:val="es-PY"/>
        </w:rPr>
        <w:t>(GRM)</w:t>
      </w:r>
    </w:p>
    <w:p w14:paraId="13E79516" w14:textId="75C89372" w:rsidR="00FC5106" w:rsidRPr="00BD0FF5" w:rsidRDefault="00BD0FF5" w:rsidP="00BD0FF5">
      <w:pPr>
        <w:spacing w:after="0" w:line="276" w:lineRule="auto"/>
        <w:ind w:firstLine="720"/>
        <w:rPr>
          <w:rFonts w:ascii="Times New Roman" w:hAnsi="Times New Roman" w:cs="Times New Roman"/>
          <w:sz w:val="24"/>
          <w:szCs w:val="24"/>
        </w:rPr>
      </w:pPr>
      <w:r w:rsidRPr="00BD0FF5">
        <w:rPr>
          <w:rFonts w:ascii="Times New Roman" w:hAnsi="Times New Roman" w:cs="Times New Roman"/>
          <w:sz w:val="24"/>
          <w:szCs w:val="24"/>
        </w:rPr>
        <w:t>To estimate the model, a Graded Response Model (GRM) was used, specifically, an extension of the 2-parameter logistic model (2-PLM) for ordered polytomous items. As shown in Table 6, all items exhibited discrimination parameters above 1 for the factor to which they belong, which can be considered an indicator of adequate discrimination (Zickar et al., 2002). Regarding the difficulty parameters, all the threshold estimators increased monotonically. In other words, a greater presence of the latent trait is required to respond to higher response categories. The most difficult item was item 5 ("Now I know better how I can face problems"). Table 6 also shows the factor loadings of the items with their respective latent dimensions, where it is evident that all items present high factor weights for the factor to which they belong</w:t>
      </w:r>
      <w:r w:rsidR="005C6352" w:rsidRPr="00BD0FF5">
        <w:rPr>
          <w:rFonts w:ascii="Times New Roman" w:hAnsi="Times New Roman" w:cs="Times New Roman"/>
          <w:sz w:val="24"/>
          <w:szCs w:val="24"/>
        </w:rPr>
        <w:t>.</w:t>
      </w:r>
    </w:p>
    <w:p w14:paraId="146C8F78" w14:textId="77777777" w:rsidR="00FC5106" w:rsidRPr="00BD0FF5" w:rsidRDefault="00FC5106" w:rsidP="00FC5106">
      <w:pPr>
        <w:spacing w:after="0" w:line="276" w:lineRule="auto"/>
        <w:ind w:firstLine="720"/>
        <w:rPr>
          <w:rFonts w:ascii="Times New Roman" w:hAnsi="Times New Roman" w:cs="Times New Roman"/>
          <w:sz w:val="24"/>
          <w:szCs w:val="24"/>
        </w:rPr>
      </w:pPr>
    </w:p>
    <w:p w14:paraId="255CEFB9" w14:textId="44A05A2F" w:rsidR="003E6FF2" w:rsidRPr="00837443" w:rsidRDefault="003E6FF2" w:rsidP="00134141">
      <w:pPr>
        <w:spacing w:after="0" w:line="276" w:lineRule="auto"/>
        <w:jc w:val="center"/>
        <w:rPr>
          <w:rFonts w:ascii="Times New Roman" w:hAnsi="Times New Roman" w:cs="Times New Roman"/>
          <w:sz w:val="24"/>
          <w:szCs w:val="24"/>
          <w:lang w:val="es-PY"/>
        </w:rPr>
      </w:pPr>
      <w:r w:rsidRPr="00837443">
        <w:rPr>
          <w:rFonts w:ascii="Times New Roman" w:hAnsi="Times New Roman" w:cs="Times New Roman"/>
          <w:sz w:val="24"/>
          <w:szCs w:val="24"/>
          <w:lang w:val="es-PY"/>
        </w:rPr>
        <w:t>[Insert tabl</w:t>
      </w:r>
      <w:r w:rsidR="002266C1" w:rsidRPr="00837443">
        <w:rPr>
          <w:rFonts w:ascii="Times New Roman" w:hAnsi="Times New Roman" w:cs="Times New Roman"/>
          <w:sz w:val="24"/>
          <w:szCs w:val="24"/>
          <w:lang w:val="es-PY"/>
        </w:rPr>
        <w:t>e</w:t>
      </w:r>
      <w:r w:rsidR="00B056FD" w:rsidRPr="00837443">
        <w:rPr>
          <w:rFonts w:ascii="Times New Roman" w:hAnsi="Times New Roman" w:cs="Times New Roman"/>
          <w:sz w:val="24"/>
          <w:szCs w:val="24"/>
          <w:lang w:val="es-PY"/>
        </w:rPr>
        <w:t xml:space="preserve"> 6</w:t>
      </w:r>
      <w:r w:rsidRPr="00837443">
        <w:rPr>
          <w:rFonts w:ascii="Times New Roman" w:hAnsi="Times New Roman" w:cs="Times New Roman"/>
          <w:sz w:val="24"/>
          <w:szCs w:val="24"/>
          <w:lang w:val="es-PY"/>
        </w:rPr>
        <w:t>]</w:t>
      </w:r>
    </w:p>
    <w:p w14:paraId="3D03C5D7" w14:textId="2EB225BA" w:rsidR="00CC0B7A" w:rsidRPr="00837443" w:rsidRDefault="00F14F22" w:rsidP="003E6FF2">
      <w:pPr>
        <w:rPr>
          <w:rFonts w:ascii="Times New Roman" w:hAnsi="Times New Roman" w:cs="Times New Roman"/>
          <w:b/>
          <w:bCs/>
          <w:sz w:val="24"/>
          <w:szCs w:val="24"/>
          <w:lang w:val="es-PY"/>
        </w:rPr>
      </w:pPr>
      <w:r w:rsidRPr="00837443">
        <w:rPr>
          <w:rFonts w:ascii="Times New Roman" w:hAnsi="Times New Roman" w:cs="Times New Roman"/>
          <w:b/>
          <w:bCs/>
          <w:sz w:val="24"/>
          <w:szCs w:val="24"/>
          <w:lang w:val="es-PY"/>
        </w:rPr>
        <w:t>Discus</w:t>
      </w:r>
      <w:r w:rsidR="00E53168" w:rsidRPr="00837443">
        <w:rPr>
          <w:rFonts w:ascii="Times New Roman" w:hAnsi="Times New Roman" w:cs="Times New Roman"/>
          <w:b/>
          <w:bCs/>
          <w:sz w:val="24"/>
          <w:szCs w:val="24"/>
          <w:lang w:val="es-PY"/>
        </w:rPr>
        <w:t>sion</w:t>
      </w:r>
    </w:p>
    <w:p w14:paraId="54C9A33E" w14:textId="10997C2D" w:rsidR="00FF7DA8" w:rsidRPr="00BD0FF5" w:rsidRDefault="0010454A" w:rsidP="00BD0FF5">
      <w:pPr>
        <w:spacing w:line="276" w:lineRule="auto"/>
        <w:ind w:firstLine="720"/>
        <w:rPr>
          <w:rFonts w:ascii="Times New Roman" w:hAnsi="Times New Roman" w:cs="Times New Roman"/>
          <w:bCs/>
          <w:color w:val="FF0000"/>
          <w:sz w:val="24"/>
          <w:szCs w:val="24"/>
        </w:rPr>
      </w:pPr>
      <w:r w:rsidRPr="0010454A">
        <w:rPr>
          <w:rFonts w:ascii="Times New Roman" w:hAnsi="Times New Roman" w:cs="Times New Roman"/>
          <w:bCs/>
          <w:sz w:val="24"/>
          <w:szCs w:val="24"/>
        </w:rPr>
        <w:t>This study assessed the cross-national measurement invariance of the PTGI-SF-8 among individuals who experienced the death of loved in four South American countries</w:t>
      </w:r>
      <w:r w:rsidR="00B6794C" w:rsidRPr="00BD0FF5">
        <w:rPr>
          <w:rFonts w:ascii="Times New Roman" w:hAnsi="Times New Roman" w:cs="Times New Roman"/>
          <w:sz w:val="24"/>
          <w:szCs w:val="24"/>
        </w:rPr>
        <w:t>.</w:t>
      </w:r>
      <w:r w:rsidR="00B6794C" w:rsidRPr="00BD0FF5">
        <w:rPr>
          <w:rFonts w:ascii="Times New Roman" w:hAnsi="Times New Roman" w:cs="Times New Roman"/>
          <w:bCs/>
          <w:sz w:val="24"/>
          <w:szCs w:val="24"/>
        </w:rPr>
        <w:t xml:space="preserve"> </w:t>
      </w:r>
      <w:r w:rsidR="00E53168" w:rsidRPr="00DC595B">
        <w:rPr>
          <w:rFonts w:ascii="Times New Roman" w:hAnsi="Times New Roman" w:cs="Times New Roman"/>
          <w:bCs/>
          <w:sz w:val="24"/>
          <w:szCs w:val="24"/>
        </w:rPr>
        <w:t>For this, CFA, multigroup analysis, internal consistency reliability and IRT analysis were performed. Strict invariance could be established in all countries. Therefore, psychometric evidence was available for cross-country comparisons of means. In addition, the study compared post-traumatic growth across countries based on a uniform measure such as the PTGI-SF-8.</w:t>
      </w:r>
    </w:p>
    <w:p w14:paraId="3C1C9330" w14:textId="77777777" w:rsidR="00BD0FF5" w:rsidRPr="00BD0FF5" w:rsidRDefault="00DE7A33" w:rsidP="00BD0FF5">
      <w:pPr>
        <w:spacing w:line="276" w:lineRule="auto"/>
        <w:ind w:firstLine="720"/>
        <w:rPr>
          <w:rFonts w:ascii="Times New Roman" w:hAnsi="Times New Roman" w:cs="Times New Roman"/>
          <w:bCs/>
          <w:color w:val="FF0000"/>
          <w:sz w:val="24"/>
          <w:szCs w:val="24"/>
        </w:rPr>
      </w:pPr>
      <w:r w:rsidRPr="00DC595B">
        <w:rPr>
          <w:rFonts w:ascii="Times New Roman" w:hAnsi="Times New Roman" w:cs="Times New Roman"/>
          <w:bCs/>
          <w:sz w:val="24"/>
          <w:szCs w:val="24"/>
        </w:rPr>
        <w:t xml:space="preserve">Overall, the CFA results supported a model for measuring posttraumatic growth in all </w:t>
      </w:r>
      <w:r w:rsidR="00F0474C">
        <w:rPr>
          <w:rFonts w:ascii="Times New Roman" w:hAnsi="Times New Roman" w:cs="Times New Roman"/>
          <w:bCs/>
          <w:sz w:val="24"/>
          <w:szCs w:val="24"/>
        </w:rPr>
        <w:t>four</w:t>
      </w:r>
      <w:r w:rsidRPr="00DC595B">
        <w:rPr>
          <w:rFonts w:ascii="Times New Roman" w:hAnsi="Times New Roman" w:cs="Times New Roman"/>
          <w:bCs/>
          <w:sz w:val="24"/>
          <w:szCs w:val="24"/>
        </w:rPr>
        <w:t xml:space="preserve"> countries that encompasses four factors: relating to others, life value and opportunities, personal strength, and spiritual change. This finding replicates in Latin American countries the factor structure reported in the Spanish population (Garrido-Hernansaiz et al., 2022) and allows further generalization of the posttraumatic growth model to other Spanish-speaking countries. </w:t>
      </w:r>
    </w:p>
    <w:p w14:paraId="257B0F22" w14:textId="3A8F8C8C" w:rsidR="00DE7A33" w:rsidRPr="00DC595B" w:rsidRDefault="00BD0FF5" w:rsidP="006134DA">
      <w:pPr>
        <w:spacing w:line="276" w:lineRule="auto"/>
        <w:ind w:firstLine="720"/>
        <w:rPr>
          <w:rFonts w:ascii="Times New Roman" w:hAnsi="Times New Roman" w:cs="Times New Roman"/>
          <w:sz w:val="24"/>
          <w:szCs w:val="24"/>
        </w:rPr>
      </w:pPr>
      <w:r w:rsidRPr="00BD0FF5">
        <w:rPr>
          <w:rFonts w:ascii="Times New Roman" w:hAnsi="Times New Roman" w:cs="Times New Roman"/>
          <w:bCs/>
          <w:sz w:val="24"/>
          <w:szCs w:val="24"/>
        </w:rPr>
        <w:t>However, in Arabic, while the original model was maintained, the correlation between the residuals of Items 8 and 19 was needed to improve the fit indices (Fekih-Romdhane et al., 2024). This suggests that linguistic differences might have affected the participants’ proper understanding of the questions. By contrast, in some countries, the RMSEA value was higher (RMSEA ≥ .80), which is expected in models with small degrees of freedom (Kenny et al., 2015; Taasoobshirazi &amp; Wang, 2016)</w:t>
      </w:r>
      <w:r w:rsidR="00DE7A33" w:rsidRPr="00BD0FF5">
        <w:rPr>
          <w:rFonts w:ascii="Times New Roman" w:hAnsi="Times New Roman" w:cs="Times New Roman"/>
          <w:sz w:val="24"/>
          <w:szCs w:val="24"/>
        </w:rPr>
        <w:t xml:space="preserve">. However, </w:t>
      </w:r>
      <w:r w:rsidR="00DE7A33" w:rsidRPr="00DC595B">
        <w:rPr>
          <w:rFonts w:ascii="Times New Roman" w:hAnsi="Times New Roman" w:cs="Times New Roman"/>
          <w:sz w:val="24"/>
          <w:szCs w:val="24"/>
        </w:rPr>
        <w:t xml:space="preserve">models with high RMSEA values and small degrees of freedom should not be discarded since, information derived from other fit indices should be considered (Kenny et al., 2015). Also, the four factors are adequately reliable and accurate for measuring relationships with others, life value and opportunities, personal strength, and spiritual </w:t>
      </w:r>
      <w:r w:rsidR="00DE7A33" w:rsidRPr="00DC595B">
        <w:rPr>
          <w:rFonts w:ascii="Times New Roman" w:hAnsi="Times New Roman" w:cs="Times New Roman"/>
          <w:sz w:val="24"/>
          <w:szCs w:val="24"/>
        </w:rPr>
        <w:lastRenderedPageBreak/>
        <w:t>change. The reliability ranges would be appropriate for making group-level inferences and, in general, would indicate that the PTGI-SF-8 is suitable for use in national mental health surveys that seek to assess relationships between different variables. In this case, the McDonald omega coefficient was used, which is a suitable indicator for ordinal variables such as the PTGI-SF-8.</w:t>
      </w:r>
    </w:p>
    <w:p w14:paraId="4B19CE72" w14:textId="7095DC37" w:rsidR="00196739" w:rsidRPr="00DC595B" w:rsidRDefault="00DE7A33" w:rsidP="006134DA">
      <w:pPr>
        <w:spacing w:line="276" w:lineRule="auto"/>
        <w:ind w:firstLine="720"/>
        <w:rPr>
          <w:rFonts w:ascii="Times New Roman" w:hAnsi="Times New Roman" w:cs="Times New Roman"/>
          <w:bCs/>
          <w:sz w:val="24"/>
          <w:szCs w:val="24"/>
        </w:rPr>
      </w:pPr>
      <w:r w:rsidRPr="00DC595B">
        <w:rPr>
          <w:rFonts w:ascii="Times New Roman" w:hAnsi="Times New Roman" w:cs="Times New Roman"/>
          <w:bCs/>
          <w:sz w:val="24"/>
          <w:szCs w:val="24"/>
        </w:rPr>
        <w:t xml:space="preserve">It is also useful to know whether the PTGI-SF-8 could become a test that measures posttraumatic growth adequately in </w:t>
      </w:r>
      <w:r w:rsidR="00F0474C" w:rsidRPr="00F0474C">
        <w:rPr>
          <w:rFonts w:ascii="Times New Roman" w:hAnsi="Times New Roman" w:cs="Times New Roman"/>
          <w:bCs/>
          <w:sz w:val="24"/>
          <w:szCs w:val="24"/>
        </w:rPr>
        <w:t>different south american countries</w:t>
      </w:r>
      <w:r w:rsidRPr="00DC595B">
        <w:rPr>
          <w:rFonts w:ascii="Times New Roman" w:hAnsi="Times New Roman" w:cs="Times New Roman"/>
          <w:bCs/>
          <w:sz w:val="24"/>
          <w:szCs w:val="24"/>
        </w:rPr>
        <w:t xml:space="preserve">. In cross-cultural studies, measurement invariance is an important process to assess the generalizability of findings across different countries and to compare levels of posttraumatic growth across populations. Differences in posttraumatic growth across countries may be the result of individual life experiences or may be attributable to the measure used and people's different interpretations of the questions from country to country (Veenhoven, 1996). Using the MGCFA, which is based on the SEM framework, to assess the measurement invariance of posttraumatic growth, it was found that the four-factor structure shows sufficient strict invariance across the </w:t>
      </w:r>
      <w:r w:rsidR="00EE537A">
        <w:rPr>
          <w:rFonts w:ascii="Times New Roman" w:hAnsi="Times New Roman" w:cs="Times New Roman"/>
          <w:bCs/>
          <w:sz w:val="24"/>
          <w:szCs w:val="24"/>
        </w:rPr>
        <w:t>four</w:t>
      </w:r>
      <w:r w:rsidRPr="00DC595B">
        <w:rPr>
          <w:rFonts w:ascii="Times New Roman" w:hAnsi="Times New Roman" w:cs="Times New Roman"/>
          <w:bCs/>
          <w:sz w:val="24"/>
          <w:szCs w:val="24"/>
        </w:rPr>
        <w:t xml:space="preserve"> countries.</w:t>
      </w:r>
      <w:r w:rsidR="001A0D59" w:rsidRPr="00DC595B">
        <w:rPr>
          <w:rFonts w:ascii="Times New Roman" w:hAnsi="Times New Roman" w:cs="Times New Roman"/>
          <w:bCs/>
          <w:sz w:val="24"/>
          <w:szCs w:val="24"/>
        </w:rPr>
        <w:t xml:space="preserve"> </w:t>
      </w:r>
      <w:r w:rsidRPr="00DC595B">
        <w:rPr>
          <w:rFonts w:ascii="Times New Roman" w:hAnsi="Times New Roman" w:cs="Times New Roman"/>
          <w:bCs/>
          <w:sz w:val="24"/>
          <w:szCs w:val="24"/>
        </w:rPr>
        <w:t xml:space="preserve">This makes the second possibility, for the emergence of differences, unlikely. Specifically, the results supported configurational invariance, confirming that the four-factor latent related model of posttraumatic growth was present in all </w:t>
      </w:r>
      <w:r w:rsidR="00EE537A">
        <w:rPr>
          <w:rFonts w:ascii="Times New Roman" w:hAnsi="Times New Roman" w:cs="Times New Roman"/>
          <w:bCs/>
          <w:sz w:val="24"/>
          <w:szCs w:val="24"/>
        </w:rPr>
        <w:t>four</w:t>
      </w:r>
      <w:r w:rsidRPr="00DC595B">
        <w:rPr>
          <w:rFonts w:ascii="Times New Roman" w:hAnsi="Times New Roman" w:cs="Times New Roman"/>
          <w:bCs/>
          <w:sz w:val="24"/>
          <w:szCs w:val="24"/>
        </w:rPr>
        <w:t xml:space="preserve"> countries. Similarly, support was also provided for metric invariance, which examined the equivalence of factor loadings across countries (Bollen, 1989). This indicated that participants in all </w:t>
      </w:r>
      <w:r w:rsidR="00F0474C">
        <w:rPr>
          <w:rFonts w:ascii="Times New Roman" w:hAnsi="Times New Roman" w:cs="Times New Roman"/>
          <w:bCs/>
          <w:sz w:val="24"/>
          <w:szCs w:val="24"/>
        </w:rPr>
        <w:t>four</w:t>
      </w:r>
      <w:r w:rsidRPr="00DC595B">
        <w:rPr>
          <w:rFonts w:ascii="Times New Roman" w:hAnsi="Times New Roman" w:cs="Times New Roman"/>
          <w:bCs/>
          <w:sz w:val="24"/>
          <w:szCs w:val="24"/>
        </w:rPr>
        <w:t xml:space="preserve"> countries attributed the same meaning to the latent construct post-traumatic growth as measured by the PTGI-SF-8. Also, the presence of metric invariance would make it possible to compare the associations between posttraumatic growth and other variables across individuals in the </w:t>
      </w:r>
      <w:r w:rsidR="00EE537A">
        <w:rPr>
          <w:rFonts w:ascii="Times New Roman" w:hAnsi="Times New Roman" w:cs="Times New Roman"/>
          <w:bCs/>
          <w:sz w:val="24"/>
          <w:szCs w:val="24"/>
        </w:rPr>
        <w:t>four</w:t>
      </w:r>
      <w:r w:rsidRPr="00DC595B">
        <w:rPr>
          <w:rFonts w:ascii="Times New Roman" w:hAnsi="Times New Roman" w:cs="Times New Roman"/>
          <w:bCs/>
          <w:sz w:val="24"/>
          <w:szCs w:val="24"/>
        </w:rPr>
        <w:t xml:space="preserve"> countries assessed, where one unit of change in one country would be equal to one unit of change in another. Scalar invariance was supported, where the equivalence of the item intersections indicated that both the meaning and levels of the underlying items are the same in all countries. Thus, evidence was given to compare factor scores between different groups of countries in a meaningful and valid way.</w:t>
      </w:r>
      <w:r w:rsidR="00EE537A">
        <w:rPr>
          <w:rFonts w:ascii="Times New Roman" w:hAnsi="Times New Roman" w:cs="Times New Roman"/>
          <w:bCs/>
          <w:sz w:val="24"/>
          <w:szCs w:val="24"/>
        </w:rPr>
        <w:t xml:space="preserve"> </w:t>
      </w:r>
      <w:r w:rsidRPr="00DC595B">
        <w:rPr>
          <w:rFonts w:ascii="Times New Roman" w:hAnsi="Times New Roman" w:cs="Times New Roman"/>
          <w:bCs/>
          <w:sz w:val="24"/>
          <w:szCs w:val="24"/>
        </w:rPr>
        <w:t>Finally, evidence was also provided for the presence of strict invariance where measurement errors are equal between groups. However, this is considered to be a very strict test and is not entirely necessary for comparisons of means</w:t>
      </w:r>
      <w:r w:rsidR="005C36E2" w:rsidRPr="00DC595B">
        <w:rPr>
          <w:rFonts w:ascii="Times New Roman" w:hAnsi="Times New Roman" w:cs="Times New Roman"/>
          <w:bCs/>
          <w:sz w:val="24"/>
          <w:szCs w:val="24"/>
        </w:rPr>
        <w:t xml:space="preserve"> (Millsap &amp; Olivera-Aguilar, 2012).</w:t>
      </w:r>
    </w:p>
    <w:p w14:paraId="4806DDB0" w14:textId="5C2FB656" w:rsidR="00DF482A" w:rsidRDefault="00DF482A" w:rsidP="006134DA">
      <w:pPr>
        <w:spacing w:line="276" w:lineRule="auto"/>
        <w:ind w:firstLine="720"/>
        <w:rPr>
          <w:rFonts w:ascii="Times New Roman" w:hAnsi="Times New Roman" w:cs="Times New Roman"/>
          <w:bCs/>
          <w:sz w:val="24"/>
          <w:szCs w:val="24"/>
        </w:rPr>
      </w:pPr>
      <w:r w:rsidRPr="00DC595B">
        <w:rPr>
          <w:rFonts w:ascii="Times New Roman" w:hAnsi="Times New Roman" w:cs="Times New Roman"/>
          <w:bCs/>
          <w:sz w:val="24"/>
          <w:szCs w:val="24"/>
        </w:rPr>
        <w:t xml:space="preserve">Additionally, using an IRT approach would provide more realistic information on measurement error and parameter estimation independent of the sample (Embretson &amp; Reise, 2000; Zickar &amp; Broadfoot, 2009). First, all difficulty parameters were adequate and increased monotonically. That is, a greater presence of the latent trait (in this case, posttraumatic growth) is required to answer the higher response categories of the PTGI-SF-8. It was reported that, the most difficult item was item 5 ("I know better now that I can cope with problems"). This is important, as it has been indicated that, individuals differ in the way they cope with problematic and stressful experiences, and that differences in coping are important in determining different mental and physical health outcomes during the COVID-19 pandemic (Prowse, et al., 2021). In this sense, higher levels of posttraumatic growth are needed to choose higher response options in </w:t>
      </w:r>
      <w:r w:rsidRPr="00DC595B">
        <w:rPr>
          <w:rFonts w:ascii="Times New Roman" w:hAnsi="Times New Roman" w:cs="Times New Roman"/>
          <w:bCs/>
          <w:sz w:val="24"/>
          <w:szCs w:val="24"/>
        </w:rPr>
        <w:lastRenderedPageBreak/>
        <w:t>item 5. That is, those with a higher frequency of posttraumatic growth indicators would also present higher coping to problems. The findings on difficulty parameters would allow, at a practical level, to design assessments of posttraumatic growth based on the importance of its indicators (Hays, et al., 2000). Likewise, the discrimination parameters of all items are adequate, indicating that they can differentiate between people with high or low levels of posttraumatic growth. This would allow all PTGI-SF-8 items to cover a broad spectrum of the latent construct of posttraumatic growth (Hays et al., 2000).</w:t>
      </w:r>
    </w:p>
    <w:p w14:paraId="2D72F8D4" w14:textId="1D8E7CBC" w:rsidR="00D70302" w:rsidRPr="00D70302" w:rsidRDefault="00D70302" w:rsidP="00D70302">
      <w:pPr>
        <w:spacing w:line="276" w:lineRule="auto"/>
        <w:rPr>
          <w:rFonts w:ascii="Times New Roman" w:hAnsi="Times New Roman" w:cs="Times New Roman"/>
          <w:b/>
          <w:sz w:val="24"/>
          <w:szCs w:val="24"/>
        </w:rPr>
      </w:pPr>
      <w:r w:rsidRPr="00D70302">
        <w:rPr>
          <w:rFonts w:ascii="Times New Roman" w:hAnsi="Times New Roman" w:cs="Times New Roman"/>
          <w:b/>
          <w:sz w:val="24"/>
          <w:szCs w:val="24"/>
        </w:rPr>
        <w:t>Strength and limitations</w:t>
      </w:r>
    </w:p>
    <w:p w14:paraId="1B4511BF" w14:textId="6FFE8FD6" w:rsidR="00642D7E" w:rsidRPr="00DC595B" w:rsidRDefault="00DF482A" w:rsidP="006134DA">
      <w:pPr>
        <w:spacing w:line="276" w:lineRule="auto"/>
        <w:ind w:firstLine="720"/>
        <w:rPr>
          <w:rFonts w:ascii="Times New Roman" w:hAnsi="Times New Roman" w:cs="Times New Roman"/>
          <w:sz w:val="24"/>
          <w:szCs w:val="24"/>
        </w:rPr>
      </w:pPr>
      <w:r w:rsidRPr="00DC595B">
        <w:rPr>
          <w:rFonts w:ascii="Times New Roman" w:hAnsi="Times New Roman" w:cs="Times New Roman"/>
          <w:bCs/>
          <w:sz w:val="24"/>
          <w:szCs w:val="24"/>
        </w:rPr>
        <w:t xml:space="preserve">The strength of the study was the representation of an international sample of people from different </w:t>
      </w:r>
      <w:r w:rsidR="00EE537A" w:rsidRPr="00EE537A">
        <w:rPr>
          <w:rFonts w:ascii="Times New Roman" w:hAnsi="Times New Roman" w:cs="Times New Roman"/>
          <w:bCs/>
          <w:sz w:val="24"/>
          <w:szCs w:val="24"/>
        </w:rPr>
        <w:t>South American countries</w:t>
      </w:r>
      <w:r w:rsidRPr="00DC595B">
        <w:rPr>
          <w:rFonts w:ascii="Times New Roman" w:hAnsi="Times New Roman" w:cs="Times New Roman"/>
          <w:bCs/>
          <w:sz w:val="24"/>
          <w:szCs w:val="24"/>
        </w:rPr>
        <w:t>. In addition, another strength is the combined use of methods derived from Classical Test Theory (CTT) and IRT that would allow a robust statistical analysis and a better understanding of the psychometric properties of the PTGI-SF-8.</w:t>
      </w:r>
      <w:r w:rsidR="00884573" w:rsidRPr="00DC595B">
        <w:rPr>
          <w:rFonts w:ascii="Times New Roman" w:hAnsi="Times New Roman" w:cs="Times New Roman"/>
          <w:sz w:val="24"/>
          <w:szCs w:val="24"/>
        </w:rPr>
        <w:t xml:space="preserve"> </w:t>
      </w:r>
      <w:r w:rsidRPr="00DC595B">
        <w:rPr>
          <w:rFonts w:ascii="Times New Roman" w:hAnsi="Times New Roman" w:cs="Times New Roman"/>
          <w:sz w:val="24"/>
          <w:szCs w:val="24"/>
        </w:rPr>
        <w:t>This was also the first study to examine the measurement invariance of PTGI-SF-8 in a large number of Latin American countries.</w:t>
      </w:r>
    </w:p>
    <w:p w14:paraId="5294E993" w14:textId="28177EAF" w:rsidR="00DF482A" w:rsidRDefault="00DF482A" w:rsidP="006134DA">
      <w:pPr>
        <w:spacing w:line="276" w:lineRule="auto"/>
        <w:ind w:firstLine="720"/>
        <w:rPr>
          <w:rFonts w:ascii="Times New Roman" w:hAnsi="Times New Roman" w:cs="Times New Roman"/>
          <w:bCs/>
          <w:sz w:val="24"/>
          <w:szCs w:val="24"/>
        </w:rPr>
      </w:pPr>
      <w:r w:rsidRPr="00DC595B">
        <w:rPr>
          <w:rFonts w:ascii="Times New Roman" w:hAnsi="Times New Roman" w:cs="Times New Roman"/>
          <w:sz w:val="24"/>
          <w:szCs w:val="24"/>
        </w:rPr>
        <w:t xml:space="preserve">Despite the strengths, the study is not free from the presence of limitations. First, the results correspond to </w:t>
      </w:r>
      <w:r w:rsidR="00582955">
        <w:rPr>
          <w:rFonts w:ascii="Times New Roman" w:hAnsi="Times New Roman" w:cs="Times New Roman"/>
          <w:sz w:val="24"/>
          <w:szCs w:val="24"/>
        </w:rPr>
        <w:t>four</w:t>
      </w:r>
      <w:r w:rsidR="00582955" w:rsidRPr="00582955">
        <w:rPr>
          <w:rFonts w:ascii="Times New Roman" w:hAnsi="Times New Roman" w:cs="Times New Roman"/>
          <w:sz w:val="24"/>
          <w:szCs w:val="24"/>
        </w:rPr>
        <w:t xml:space="preserve"> South American countries</w:t>
      </w:r>
      <w:r w:rsidR="00582955">
        <w:rPr>
          <w:rFonts w:ascii="Times New Roman" w:hAnsi="Times New Roman" w:cs="Times New Roman"/>
          <w:sz w:val="24"/>
          <w:szCs w:val="24"/>
        </w:rPr>
        <w:t xml:space="preserve"> </w:t>
      </w:r>
      <w:r w:rsidRPr="00DC595B">
        <w:rPr>
          <w:rFonts w:ascii="Times New Roman" w:hAnsi="Times New Roman" w:cs="Times New Roman"/>
          <w:sz w:val="24"/>
          <w:szCs w:val="24"/>
        </w:rPr>
        <w:t xml:space="preserve">and could not be generated for other countries in the region or elsewhere in the world. For this reason, future studies should examine the measurement invariance of the PTGI-SF-8 in more diverse countries and with different languages, including countries in understudied regions such as Africa and the Middle East. </w:t>
      </w:r>
      <w:r w:rsidRPr="00DC595B">
        <w:rPr>
          <w:rFonts w:ascii="Times New Roman" w:hAnsi="Times New Roman" w:cs="Times New Roman"/>
          <w:bCs/>
          <w:sz w:val="24"/>
          <w:szCs w:val="24"/>
        </w:rPr>
        <w:t xml:space="preserve">Second, the use of an online self-report questionnaire may generate a sampling bias, as only participants with Internet access could answer the survey. However, the use of online questionnaires allows us to obtain a large sample in a quick time. </w:t>
      </w:r>
      <w:r w:rsidR="00957677">
        <w:rPr>
          <w:rFonts w:ascii="Times New Roman" w:hAnsi="Times New Roman" w:cs="Times New Roman"/>
          <w:bCs/>
          <w:sz w:val="24"/>
          <w:szCs w:val="24"/>
        </w:rPr>
        <w:t>T</w:t>
      </w:r>
      <w:r w:rsidR="00957677" w:rsidRPr="00957677">
        <w:rPr>
          <w:rFonts w:ascii="Times New Roman" w:hAnsi="Times New Roman" w:cs="Times New Roman"/>
          <w:bCs/>
          <w:sz w:val="24"/>
          <w:szCs w:val="24"/>
        </w:rPr>
        <w:t>hird</w:t>
      </w:r>
      <w:r w:rsidRPr="00DC595B">
        <w:rPr>
          <w:rFonts w:ascii="Times New Roman" w:hAnsi="Times New Roman" w:cs="Times New Roman"/>
          <w:bCs/>
          <w:sz w:val="24"/>
          <w:szCs w:val="24"/>
        </w:rPr>
        <w:t xml:space="preserve">, the use of non-probability snowball sampling compromised the representativeness of the samples in each country. </w:t>
      </w:r>
      <w:r w:rsidR="00957677" w:rsidRPr="00DC595B">
        <w:rPr>
          <w:rFonts w:ascii="Times New Roman" w:hAnsi="Times New Roman" w:cs="Times New Roman"/>
          <w:bCs/>
          <w:sz w:val="24"/>
          <w:szCs w:val="24"/>
        </w:rPr>
        <w:t>Fourth</w:t>
      </w:r>
      <w:r w:rsidRPr="00DC595B">
        <w:rPr>
          <w:rFonts w:ascii="Times New Roman" w:hAnsi="Times New Roman" w:cs="Times New Roman"/>
          <w:bCs/>
          <w:sz w:val="24"/>
          <w:szCs w:val="24"/>
        </w:rPr>
        <w:t>, the participants in each country were predominantly female, single and university educated. Therefore, there is a potential risk of sampling bias. This would suggest that future PTGI-SF-8 cross-national studies should use more balanced sample sizes across countries and different sociodemographic characteristics.</w:t>
      </w:r>
      <w:r w:rsidR="00957677" w:rsidRPr="00957677">
        <w:rPr>
          <w:rFonts w:ascii="Times New Roman" w:hAnsi="Times New Roman" w:cs="Times New Roman"/>
          <w:bCs/>
          <w:sz w:val="24"/>
          <w:szCs w:val="24"/>
        </w:rPr>
        <w:t xml:space="preserve"> </w:t>
      </w:r>
      <w:r w:rsidR="00957677" w:rsidRPr="00DC595B">
        <w:rPr>
          <w:rFonts w:ascii="Times New Roman" w:hAnsi="Times New Roman" w:cs="Times New Roman"/>
          <w:bCs/>
          <w:sz w:val="24"/>
          <w:szCs w:val="24"/>
        </w:rPr>
        <w:t>Fifth</w:t>
      </w:r>
      <w:r w:rsidRPr="00DC595B">
        <w:rPr>
          <w:rFonts w:ascii="Times New Roman" w:hAnsi="Times New Roman" w:cs="Times New Roman"/>
          <w:bCs/>
          <w:sz w:val="24"/>
          <w:szCs w:val="24"/>
        </w:rPr>
        <w:t xml:space="preserve">, no data on preexisting mental illness were recorded for participants in each country. </w:t>
      </w:r>
      <w:r w:rsidR="00957677" w:rsidRPr="00DC595B">
        <w:rPr>
          <w:rFonts w:ascii="Times New Roman" w:hAnsi="Times New Roman" w:cs="Times New Roman"/>
          <w:bCs/>
          <w:sz w:val="24"/>
          <w:szCs w:val="24"/>
        </w:rPr>
        <w:t>Sixth</w:t>
      </w:r>
      <w:r w:rsidRPr="00DC595B">
        <w:rPr>
          <w:rFonts w:ascii="Times New Roman" w:hAnsi="Times New Roman" w:cs="Times New Roman"/>
          <w:bCs/>
          <w:sz w:val="24"/>
          <w:szCs w:val="24"/>
        </w:rPr>
        <w:t xml:space="preserve">, the findings were based on self-reported data, which could imply a social desirability bias. In this regard, other assessment methods, such as structured interviews, would be appropriate. </w:t>
      </w:r>
      <w:r w:rsidR="00957677" w:rsidRPr="00DC595B">
        <w:rPr>
          <w:rFonts w:ascii="Times New Roman" w:hAnsi="Times New Roman" w:cs="Times New Roman"/>
          <w:bCs/>
          <w:sz w:val="24"/>
          <w:szCs w:val="24"/>
        </w:rPr>
        <w:t>Seventh</w:t>
      </w:r>
      <w:r w:rsidRPr="00DC595B">
        <w:rPr>
          <w:rFonts w:ascii="Times New Roman" w:hAnsi="Times New Roman" w:cs="Times New Roman"/>
          <w:bCs/>
          <w:sz w:val="24"/>
          <w:szCs w:val="24"/>
        </w:rPr>
        <w:t>, the study simply examined the cross-national measurement invariance of the PTGI-SF-8. Future research should assess the convergent and discriminant validity of the scale with other variables in different countries.</w:t>
      </w:r>
    </w:p>
    <w:p w14:paraId="67610FFC" w14:textId="3CE0BC71" w:rsidR="00D70302" w:rsidRPr="00D70302" w:rsidRDefault="00D70302" w:rsidP="00D70302">
      <w:pPr>
        <w:spacing w:line="276" w:lineRule="auto"/>
        <w:rPr>
          <w:rFonts w:ascii="Times New Roman" w:hAnsi="Times New Roman" w:cs="Times New Roman"/>
          <w:b/>
          <w:sz w:val="24"/>
          <w:szCs w:val="24"/>
        </w:rPr>
      </w:pPr>
      <w:r w:rsidRPr="00D70302">
        <w:rPr>
          <w:rFonts w:ascii="Times New Roman" w:hAnsi="Times New Roman" w:cs="Times New Roman"/>
          <w:b/>
          <w:sz w:val="24"/>
          <w:szCs w:val="24"/>
        </w:rPr>
        <w:t>Conclusion</w:t>
      </w:r>
    </w:p>
    <w:p w14:paraId="6F01ECF2" w14:textId="004AE32C" w:rsidR="00741B7A" w:rsidRPr="00DC595B" w:rsidRDefault="00DF482A" w:rsidP="006134DA">
      <w:pPr>
        <w:spacing w:line="276" w:lineRule="auto"/>
        <w:ind w:firstLine="720"/>
        <w:rPr>
          <w:rFonts w:ascii="Times New Roman" w:hAnsi="Times New Roman" w:cs="Times New Roman"/>
          <w:bCs/>
          <w:sz w:val="24"/>
          <w:szCs w:val="24"/>
        </w:rPr>
      </w:pPr>
      <w:r w:rsidRPr="00DC595B">
        <w:rPr>
          <w:rFonts w:ascii="Times New Roman" w:hAnsi="Times New Roman" w:cs="Times New Roman"/>
          <w:bCs/>
          <w:sz w:val="24"/>
          <w:szCs w:val="24"/>
        </w:rPr>
        <w:t xml:space="preserve">In conclusion, the findings provide initial evidence to consider the PTGI-SF-8 as a psychometric instrument to invariantly assess posttraumatic growth in </w:t>
      </w:r>
      <w:r w:rsidR="00B6794C" w:rsidRPr="00DC595B">
        <w:rPr>
          <w:rFonts w:ascii="Times New Roman" w:hAnsi="Times New Roman" w:cs="Times New Roman"/>
          <w:sz w:val="24"/>
          <w:szCs w:val="24"/>
        </w:rPr>
        <w:t xml:space="preserve">in people who experienced the death of loved ones from </w:t>
      </w:r>
      <w:r w:rsidR="00582955">
        <w:rPr>
          <w:rFonts w:ascii="Times New Roman" w:hAnsi="Times New Roman" w:cs="Times New Roman"/>
          <w:sz w:val="24"/>
          <w:szCs w:val="24"/>
        </w:rPr>
        <w:t>four</w:t>
      </w:r>
      <w:r w:rsidR="00B6794C" w:rsidRPr="00DC595B">
        <w:rPr>
          <w:rFonts w:ascii="Times New Roman" w:hAnsi="Times New Roman" w:cs="Times New Roman"/>
          <w:sz w:val="24"/>
          <w:szCs w:val="24"/>
        </w:rPr>
        <w:t xml:space="preserve"> </w:t>
      </w:r>
      <w:r w:rsidR="00582955" w:rsidRPr="00582955">
        <w:rPr>
          <w:rFonts w:ascii="Times New Roman" w:hAnsi="Times New Roman" w:cs="Times New Roman"/>
          <w:sz w:val="24"/>
          <w:szCs w:val="24"/>
        </w:rPr>
        <w:t>South American countries</w:t>
      </w:r>
      <w:r w:rsidRPr="00DC595B">
        <w:rPr>
          <w:rFonts w:ascii="Times New Roman" w:hAnsi="Times New Roman" w:cs="Times New Roman"/>
          <w:bCs/>
          <w:sz w:val="24"/>
          <w:szCs w:val="24"/>
        </w:rPr>
        <w:t xml:space="preserve">. This would provide evidence to recommend the PTGI-SF-8 as a suitable measure to be used in cross-cultural studies of posttraumatic growth and allow for meaningful interpretations </w:t>
      </w:r>
      <w:r w:rsidRPr="00DC595B">
        <w:rPr>
          <w:rFonts w:ascii="Times New Roman" w:hAnsi="Times New Roman" w:cs="Times New Roman"/>
          <w:bCs/>
          <w:sz w:val="24"/>
          <w:szCs w:val="24"/>
        </w:rPr>
        <w:lastRenderedPageBreak/>
        <w:t xml:space="preserve">regarding comparisons of the PTGI-SF-8 across countries. </w:t>
      </w:r>
      <w:r w:rsidRPr="00DC595B">
        <w:rPr>
          <w:rFonts w:ascii="Times New Roman" w:hAnsi="Times New Roman" w:cs="Times New Roman"/>
          <w:sz w:val="24"/>
          <w:szCs w:val="24"/>
        </w:rPr>
        <w:t xml:space="preserve">Also, having an invariant instrument would help to identify those individuals with the potential to cope with the negative impacts </w:t>
      </w:r>
      <w:r w:rsidR="00957677" w:rsidRPr="00957677">
        <w:rPr>
          <w:rFonts w:ascii="Times New Roman" w:hAnsi="Times New Roman" w:cs="Times New Roman"/>
          <w:sz w:val="24"/>
          <w:szCs w:val="24"/>
        </w:rPr>
        <w:t xml:space="preserve">left by </w:t>
      </w:r>
      <w:r w:rsidRPr="00DC595B">
        <w:rPr>
          <w:rFonts w:ascii="Times New Roman" w:hAnsi="Times New Roman" w:cs="Times New Roman"/>
          <w:sz w:val="24"/>
          <w:szCs w:val="24"/>
        </w:rPr>
        <w:t xml:space="preserve">COVID-19 in each of the countries evaluated. In addition, the findings are an important contribution to increase the scope and application of the PTGI-SF-8 in the Latin American context. </w:t>
      </w:r>
      <w:r w:rsidRPr="00DC595B">
        <w:rPr>
          <w:rFonts w:ascii="Times New Roman" w:hAnsi="Times New Roman" w:cs="Times New Roman"/>
          <w:bCs/>
          <w:sz w:val="24"/>
          <w:szCs w:val="24"/>
        </w:rPr>
        <w:t>The use of the PTGI-SF-8 in different Latin American cultures is promising and should be encouraged in order to advance in the generalization of the use of the concept of posttraumatic growth in the different countries.</w:t>
      </w:r>
    </w:p>
    <w:p w14:paraId="10983063" w14:textId="77777777" w:rsidR="006134DA" w:rsidRDefault="006134DA" w:rsidP="00F1620C">
      <w:pPr>
        <w:rPr>
          <w:rFonts w:ascii="Times New Roman" w:hAnsi="Times New Roman"/>
          <w:b/>
          <w:bCs/>
          <w:sz w:val="24"/>
          <w:szCs w:val="24"/>
        </w:rPr>
      </w:pPr>
    </w:p>
    <w:p w14:paraId="37EC05D0" w14:textId="01DCFBF7" w:rsidR="003E6FF2" w:rsidRPr="00DC595B" w:rsidRDefault="003E6FF2" w:rsidP="003E6FF2">
      <w:pPr>
        <w:rPr>
          <w:rFonts w:ascii="Times New Roman" w:hAnsi="Times New Roman" w:cs="Times New Roman"/>
          <w:b/>
          <w:bCs/>
          <w:sz w:val="24"/>
          <w:szCs w:val="24"/>
        </w:rPr>
      </w:pPr>
      <w:r w:rsidRPr="00DC595B">
        <w:rPr>
          <w:rFonts w:ascii="Times New Roman" w:hAnsi="Times New Roman" w:cs="Times New Roman"/>
          <w:b/>
          <w:bCs/>
          <w:sz w:val="24"/>
          <w:szCs w:val="24"/>
        </w:rPr>
        <w:t>Referenc</w:t>
      </w:r>
      <w:r w:rsidR="004C5220" w:rsidRPr="00DC595B">
        <w:rPr>
          <w:rFonts w:ascii="Times New Roman" w:hAnsi="Times New Roman" w:cs="Times New Roman"/>
          <w:b/>
          <w:bCs/>
          <w:sz w:val="24"/>
          <w:szCs w:val="24"/>
        </w:rPr>
        <w:t>es</w:t>
      </w:r>
    </w:p>
    <w:p w14:paraId="56DE8365"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Amiri, H., Rezapour, M., Nekoei-Moghadam, M., &amp; Nakhaee, N. (2020). Translation and adaptation of the posttraumatic growth inventory-short form into Persian. </w:t>
      </w:r>
      <w:r w:rsidRPr="00DC595B">
        <w:rPr>
          <w:rFonts w:ascii="Times New Roman" w:hAnsi="Times New Roman" w:cs="Times New Roman"/>
          <w:i/>
          <w:sz w:val="24"/>
          <w:szCs w:val="24"/>
          <w:shd w:val="clear" w:color="auto" w:fill="FFFFFF"/>
        </w:rPr>
        <w:t>The Open Psychology Journal, 13</w:t>
      </w:r>
      <w:r w:rsidRPr="00DC595B">
        <w:rPr>
          <w:rFonts w:ascii="Times New Roman" w:hAnsi="Times New Roman" w:cs="Times New Roman"/>
          <w:sz w:val="24"/>
          <w:szCs w:val="24"/>
          <w:shd w:val="clear" w:color="auto" w:fill="FFFFFF"/>
        </w:rPr>
        <w:t>(1), 326-332. https://doi.org/10.2174/1874350102013010326</w:t>
      </w:r>
    </w:p>
    <w:p w14:paraId="3163B027"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Baker, F. (1985). </w:t>
      </w:r>
      <w:r w:rsidRPr="00DC595B">
        <w:rPr>
          <w:rFonts w:ascii="Times New Roman" w:hAnsi="Times New Roman" w:cs="Times New Roman"/>
          <w:i/>
          <w:sz w:val="24"/>
          <w:szCs w:val="24"/>
          <w:shd w:val="clear" w:color="auto" w:fill="FFFFFF"/>
        </w:rPr>
        <w:t>The Basics of item Response Theory</w:t>
      </w:r>
      <w:r w:rsidRPr="00DC595B">
        <w:rPr>
          <w:rFonts w:ascii="Times New Roman" w:hAnsi="Times New Roman" w:cs="Times New Roman"/>
          <w:sz w:val="24"/>
          <w:szCs w:val="24"/>
          <w:shd w:val="clear" w:color="auto" w:fill="FFFFFF"/>
        </w:rPr>
        <w:t>. RIC Clearinghouse on Assessment and Evaluation, University of Maryland, College Park, MD.</w:t>
      </w:r>
    </w:p>
    <w:p w14:paraId="5869A8AD"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Bollen, K.A. (1989). </w:t>
      </w:r>
      <w:r w:rsidRPr="00DC595B">
        <w:rPr>
          <w:rFonts w:ascii="Times New Roman" w:hAnsi="Times New Roman" w:cs="Times New Roman"/>
          <w:i/>
          <w:sz w:val="24"/>
          <w:szCs w:val="24"/>
          <w:shd w:val="clear" w:color="auto" w:fill="FFFFFF"/>
        </w:rPr>
        <w:t>Structural equations with latent variables</w:t>
      </w:r>
      <w:r w:rsidRPr="00DC595B">
        <w:rPr>
          <w:rFonts w:ascii="Times New Roman" w:hAnsi="Times New Roman" w:cs="Times New Roman"/>
          <w:sz w:val="24"/>
          <w:szCs w:val="24"/>
          <w:shd w:val="clear" w:color="auto" w:fill="FFFFFF"/>
        </w:rPr>
        <w:t>. New York: Wiley</w:t>
      </w:r>
    </w:p>
    <w:p w14:paraId="6878CCE3"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Byrne, B. M., &amp; Watkins, D. (2003). The issue of measurement invariance revisited. </w:t>
      </w:r>
      <w:r w:rsidRPr="00DC595B">
        <w:rPr>
          <w:rFonts w:ascii="Times New Roman" w:hAnsi="Times New Roman" w:cs="Times New Roman"/>
          <w:i/>
          <w:sz w:val="24"/>
          <w:szCs w:val="24"/>
          <w:shd w:val="clear" w:color="auto" w:fill="FFFFFF"/>
        </w:rPr>
        <w:t>Journal of cCross-cultural Psychology, 34</w:t>
      </w:r>
      <w:r w:rsidRPr="00DC595B">
        <w:rPr>
          <w:rFonts w:ascii="Times New Roman" w:hAnsi="Times New Roman" w:cs="Times New Roman"/>
          <w:sz w:val="24"/>
          <w:szCs w:val="24"/>
          <w:shd w:val="clear" w:color="auto" w:fill="FFFFFF"/>
        </w:rPr>
        <w:t>(2), 155-175. https://doi.org/10.1177/0022022102250225</w:t>
      </w:r>
    </w:p>
    <w:p w14:paraId="7D590AB6"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Calhoun, L. G., Cann, A., &amp; Tedeschi, R. G. (2010). The posttraumatic growth model: Sociocultural considerations. In T. Weiss &amp; R. Berger (Eds.), </w:t>
      </w:r>
      <w:r w:rsidRPr="00DC595B">
        <w:rPr>
          <w:rFonts w:ascii="Times New Roman" w:hAnsi="Times New Roman" w:cs="Times New Roman"/>
          <w:i/>
          <w:sz w:val="24"/>
          <w:szCs w:val="24"/>
          <w:shd w:val="clear" w:color="auto" w:fill="FFFFFF"/>
        </w:rPr>
        <w:t>Posttraumatic growth and culturally competent practice: Lessons learned from around the globe</w:t>
      </w:r>
      <w:r w:rsidRPr="00DC595B">
        <w:rPr>
          <w:rFonts w:ascii="Times New Roman" w:hAnsi="Times New Roman" w:cs="Times New Roman"/>
          <w:sz w:val="24"/>
          <w:szCs w:val="24"/>
          <w:shd w:val="clear" w:color="auto" w:fill="FFFFFF"/>
        </w:rPr>
        <w:t xml:space="preserve"> (pp. 1–14). John Wiley &amp; Sons Inc.</w:t>
      </w:r>
    </w:p>
    <w:p w14:paraId="5BFCD7AF"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Cann, A., Calhoun, L. G., Tedeschi, R. G., Taku, K., Vishnevsky, T., Triplett, K. N., &amp; Danhauer, S. C. (2010). A short form of the Posttraumatic Growth Inventory. </w:t>
      </w:r>
      <w:r w:rsidRPr="00DC595B">
        <w:rPr>
          <w:rFonts w:ascii="Times New Roman" w:hAnsi="Times New Roman" w:cs="Times New Roman"/>
          <w:i/>
          <w:sz w:val="24"/>
          <w:szCs w:val="24"/>
          <w:shd w:val="clear" w:color="auto" w:fill="FFFFFF"/>
        </w:rPr>
        <w:t>Anxiety, Stress, &amp; Coping, 23</w:t>
      </w:r>
      <w:r w:rsidRPr="00DC595B">
        <w:rPr>
          <w:rFonts w:ascii="Times New Roman" w:hAnsi="Times New Roman" w:cs="Times New Roman"/>
          <w:sz w:val="24"/>
          <w:szCs w:val="24"/>
          <w:shd w:val="clear" w:color="auto" w:fill="FFFFFF"/>
        </w:rPr>
        <w:t>(2), 127-137. https://doi.org/10.1080/10615800903094273</w:t>
      </w:r>
    </w:p>
    <w:p w14:paraId="0DEB4040" w14:textId="77777777" w:rsidR="00DC595B" w:rsidRPr="00A57456" w:rsidRDefault="00DC595B" w:rsidP="006134DA">
      <w:pPr>
        <w:spacing w:line="276" w:lineRule="auto"/>
        <w:ind w:left="709" w:hanging="709"/>
        <w:rPr>
          <w:rFonts w:ascii="Times New Roman" w:hAnsi="Times New Roman" w:cs="Times New Roman"/>
          <w:sz w:val="24"/>
          <w:szCs w:val="24"/>
          <w:shd w:val="clear" w:color="auto" w:fill="FFFFFF"/>
          <w:lang w:val="es-ES"/>
        </w:rPr>
      </w:pPr>
      <w:r w:rsidRPr="00DC595B">
        <w:rPr>
          <w:rFonts w:ascii="Times New Roman" w:hAnsi="Times New Roman" w:cs="Times New Roman"/>
          <w:sz w:val="24"/>
          <w:szCs w:val="24"/>
          <w:shd w:val="clear" w:color="auto" w:fill="FFFFFF"/>
          <w:lang w:val="es-ES"/>
        </w:rPr>
        <w:t xml:space="preserve">Castro, M. C., Delgado, J. B., Alvarado, E. R., &amp; Rovira, D. P. (2015). </w:t>
      </w:r>
      <w:r w:rsidRPr="00DC595B">
        <w:rPr>
          <w:rFonts w:ascii="Times New Roman" w:hAnsi="Times New Roman" w:cs="Times New Roman"/>
          <w:sz w:val="24"/>
          <w:szCs w:val="24"/>
          <w:shd w:val="clear" w:color="auto" w:fill="FFFFFF"/>
        </w:rPr>
        <w:t xml:space="preserve">Spanish adaptation and validation of the posttraumatic growth inventory–short form. </w:t>
      </w:r>
      <w:r w:rsidRPr="00A57456">
        <w:rPr>
          <w:rFonts w:ascii="Times New Roman" w:hAnsi="Times New Roman" w:cs="Times New Roman"/>
          <w:i/>
          <w:sz w:val="24"/>
          <w:szCs w:val="24"/>
          <w:shd w:val="clear" w:color="auto" w:fill="FFFFFF"/>
          <w:lang w:val="es-ES"/>
        </w:rPr>
        <w:t>Violence and Victims, 30</w:t>
      </w:r>
      <w:r w:rsidRPr="00A57456">
        <w:rPr>
          <w:rFonts w:ascii="Times New Roman" w:hAnsi="Times New Roman" w:cs="Times New Roman"/>
          <w:sz w:val="24"/>
          <w:szCs w:val="24"/>
          <w:shd w:val="clear" w:color="auto" w:fill="FFFFFF"/>
          <w:lang w:val="es-ES"/>
        </w:rPr>
        <w:t>(5), 756-769. https://doi.org/10.1891/0886-6708.VV-D-13-00165</w:t>
      </w:r>
    </w:p>
    <w:p w14:paraId="150C8B67"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lang w:val="es-ES"/>
        </w:rPr>
        <w:t xml:space="preserve">Caycho-Rodríguez, T., Valencia, P. D., Vilca, L. W., Lee, S. A., Carbajal-León, C., Vivanco-Vidal, A., ... </w:t>
      </w:r>
      <w:r w:rsidRPr="00DC595B">
        <w:rPr>
          <w:rFonts w:ascii="Times New Roman" w:hAnsi="Times New Roman" w:cs="Times New Roman"/>
          <w:sz w:val="24"/>
          <w:szCs w:val="24"/>
          <w:shd w:val="clear" w:color="auto" w:fill="FFFFFF"/>
        </w:rPr>
        <w:t xml:space="preserve">&amp; Gallegos, W. L. A. (2021). COVID-19 bereavement in ten Latin American countries: measurement invariance of the pandemic grief scale and its relation to suicidal ideation. </w:t>
      </w:r>
      <w:r w:rsidRPr="00DC595B">
        <w:rPr>
          <w:rFonts w:ascii="Times New Roman" w:hAnsi="Times New Roman" w:cs="Times New Roman"/>
          <w:i/>
          <w:sz w:val="24"/>
          <w:szCs w:val="24"/>
          <w:shd w:val="clear" w:color="auto" w:fill="FFFFFF"/>
        </w:rPr>
        <w:t>OMEGA-Journal of Death and Dying</w:t>
      </w:r>
      <w:r w:rsidRPr="00DC595B">
        <w:rPr>
          <w:rFonts w:ascii="Times New Roman" w:hAnsi="Times New Roman" w:cs="Times New Roman"/>
          <w:sz w:val="24"/>
          <w:szCs w:val="24"/>
          <w:shd w:val="clear" w:color="auto" w:fill="FFFFFF"/>
        </w:rPr>
        <w:t>, 00302228211048566. https://doi.org/10.1177/00302228211048566</w:t>
      </w:r>
    </w:p>
    <w:p w14:paraId="1D4CB215"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lastRenderedPageBreak/>
        <w:t xml:space="preserve">Chalmers, R. P. (2012). Mirt: A multidimensional item response theory package for the R environment. </w:t>
      </w:r>
      <w:r w:rsidRPr="00DC595B">
        <w:rPr>
          <w:rFonts w:ascii="Times New Roman" w:hAnsi="Times New Roman" w:cs="Times New Roman"/>
          <w:i/>
          <w:sz w:val="24"/>
          <w:szCs w:val="24"/>
          <w:shd w:val="clear" w:color="auto" w:fill="FFFFFF"/>
        </w:rPr>
        <w:t>Journal of Statistical Software, 48</w:t>
      </w:r>
      <w:r w:rsidRPr="00DC595B">
        <w:rPr>
          <w:rFonts w:ascii="Times New Roman" w:hAnsi="Times New Roman" w:cs="Times New Roman"/>
          <w:sz w:val="24"/>
          <w:szCs w:val="24"/>
          <w:shd w:val="clear" w:color="auto" w:fill="FFFFFF"/>
        </w:rPr>
        <w:t>(6). https://doi.org/10.18637/jss.v048.i06</w:t>
      </w:r>
    </w:p>
    <w:p w14:paraId="225883EE"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Chen, C., &amp; Tang, S. (2021). Profiles of grief, post-traumatic stress, and post-traumatic growth among people bereaved due to COVID-19. </w:t>
      </w:r>
      <w:r w:rsidRPr="00DC595B">
        <w:rPr>
          <w:rFonts w:ascii="Times New Roman" w:hAnsi="Times New Roman" w:cs="Times New Roman"/>
          <w:i/>
          <w:sz w:val="24"/>
          <w:szCs w:val="24"/>
          <w:shd w:val="clear" w:color="auto" w:fill="FFFFFF"/>
        </w:rPr>
        <w:t>European Journal of Psychotraumatology, 12</w:t>
      </w:r>
      <w:r w:rsidRPr="00DC595B">
        <w:rPr>
          <w:rFonts w:ascii="Times New Roman" w:hAnsi="Times New Roman" w:cs="Times New Roman"/>
          <w:sz w:val="24"/>
          <w:szCs w:val="24"/>
          <w:shd w:val="clear" w:color="auto" w:fill="FFFFFF"/>
        </w:rPr>
        <w:t>(1), 1947563. https://doi.org/10.1080/20008198.2021.1947563</w:t>
      </w:r>
    </w:p>
    <w:p w14:paraId="38CA130F"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Chen, W. H., &amp; Thissen, D. (1997). Local dependence indexes for item pairs using item response theory. </w:t>
      </w:r>
      <w:r w:rsidRPr="00DC595B">
        <w:rPr>
          <w:rFonts w:ascii="Times New Roman" w:hAnsi="Times New Roman" w:cs="Times New Roman"/>
          <w:i/>
          <w:sz w:val="24"/>
          <w:szCs w:val="24"/>
          <w:shd w:val="clear" w:color="auto" w:fill="FFFFFF"/>
        </w:rPr>
        <w:t>Journal of Educational Behavioral Statistics, 22</w:t>
      </w:r>
      <w:r w:rsidRPr="00DC595B">
        <w:rPr>
          <w:rFonts w:ascii="Times New Roman" w:hAnsi="Times New Roman" w:cs="Times New Roman"/>
          <w:sz w:val="24"/>
          <w:szCs w:val="24"/>
          <w:shd w:val="clear" w:color="auto" w:fill="FFFFFF"/>
        </w:rPr>
        <w:t>, 265–289. doi:10.2307/1165285</w:t>
      </w:r>
    </w:p>
    <w:p w14:paraId="3B49F8DF"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A64DD4">
        <w:rPr>
          <w:rFonts w:ascii="Times New Roman" w:hAnsi="Times New Roman" w:cs="Times New Roman"/>
          <w:sz w:val="24"/>
          <w:szCs w:val="24"/>
          <w:shd w:val="clear" w:color="auto" w:fill="FFFFFF"/>
        </w:rPr>
        <w:t xml:space="preserve">Clemente-Suárez, V. J., Navarro-Jiménez, E., Jimenez, M., Hormeño-Holgado, A., Martinez-Gonzalez, M. B., Benitez-Agudelo, J. C., ... </w:t>
      </w:r>
      <w:r w:rsidRPr="00DC595B">
        <w:rPr>
          <w:rFonts w:ascii="Times New Roman" w:hAnsi="Times New Roman" w:cs="Times New Roman"/>
          <w:sz w:val="24"/>
          <w:szCs w:val="24"/>
          <w:shd w:val="clear" w:color="auto" w:fill="FFFFFF"/>
        </w:rPr>
        <w:t xml:space="preserve">&amp; Tornero-Aguilera, J. F. (2021). Impact of COVID-19 pandemic in public mental health: An extensive narrative review. </w:t>
      </w:r>
      <w:r w:rsidRPr="00DC595B">
        <w:rPr>
          <w:rFonts w:ascii="Times New Roman" w:hAnsi="Times New Roman" w:cs="Times New Roman"/>
          <w:i/>
          <w:sz w:val="24"/>
          <w:szCs w:val="24"/>
          <w:shd w:val="clear" w:color="auto" w:fill="FFFFFF"/>
        </w:rPr>
        <w:t>Sustainability, 13</w:t>
      </w:r>
      <w:r w:rsidRPr="00DC595B">
        <w:rPr>
          <w:rFonts w:ascii="Times New Roman" w:hAnsi="Times New Roman" w:cs="Times New Roman"/>
          <w:sz w:val="24"/>
          <w:szCs w:val="24"/>
          <w:shd w:val="clear" w:color="auto" w:fill="FFFFFF"/>
        </w:rPr>
        <w:t>(6), 3221. https://doi.org/10.3390/su13063221</w:t>
      </w:r>
    </w:p>
    <w:p w14:paraId="1FDD555C"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Dimitrov, D. M. (2010). Testing for factorial invariance in the context of construct validation. </w:t>
      </w:r>
      <w:r w:rsidRPr="00DC595B">
        <w:rPr>
          <w:rFonts w:ascii="Times New Roman" w:hAnsi="Times New Roman" w:cs="Times New Roman"/>
          <w:i/>
          <w:sz w:val="24"/>
          <w:szCs w:val="24"/>
          <w:shd w:val="clear" w:color="auto" w:fill="FFFFFF"/>
        </w:rPr>
        <w:t>Measurement and Evaluation in Counseling and Development, 43</w:t>
      </w:r>
      <w:r w:rsidRPr="00DC595B">
        <w:rPr>
          <w:rFonts w:ascii="Times New Roman" w:hAnsi="Times New Roman" w:cs="Times New Roman"/>
          <w:sz w:val="24"/>
          <w:szCs w:val="24"/>
          <w:shd w:val="clear" w:color="auto" w:fill="FFFFFF"/>
        </w:rPr>
        <w:t>(2), 121-149. https://doi.org/10.1177/0748175610373459</w:t>
      </w:r>
    </w:p>
    <w:p w14:paraId="092075CE"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Embretson S.E., Reise S.P. (2000) </w:t>
      </w:r>
      <w:r w:rsidRPr="00DC595B">
        <w:rPr>
          <w:rFonts w:ascii="Times New Roman" w:hAnsi="Times New Roman" w:cs="Times New Roman"/>
          <w:i/>
          <w:sz w:val="24"/>
          <w:szCs w:val="24"/>
          <w:shd w:val="clear" w:color="auto" w:fill="FFFFFF"/>
        </w:rPr>
        <w:t>Item Response Theory for Psychologists.</w:t>
      </w:r>
      <w:r w:rsidRPr="00DC595B">
        <w:rPr>
          <w:rFonts w:ascii="Times New Roman" w:hAnsi="Times New Roman" w:cs="Times New Roman"/>
          <w:sz w:val="24"/>
          <w:szCs w:val="24"/>
          <w:shd w:val="clear" w:color="auto" w:fill="FFFFFF"/>
        </w:rPr>
        <w:t xml:space="preserve"> Mahwah, NJ, Lawrence Erlbaum Associates.</w:t>
      </w:r>
    </w:p>
    <w:p w14:paraId="3D5408F9"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Feingold, J. H., Hurtado, A., Feder, A., Peccoralo, L., Southwick, S. M., Ripp, J., &amp; Pietrzak, R. H. (2022). Posttraumatic growth among health care workers on the frontlines of the COVID-19 pandemic. </w:t>
      </w:r>
      <w:r w:rsidRPr="00DC595B">
        <w:rPr>
          <w:rFonts w:ascii="Times New Roman" w:hAnsi="Times New Roman" w:cs="Times New Roman"/>
          <w:i/>
          <w:sz w:val="24"/>
          <w:szCs w:val="24"/>
          <w:shd w:val="clear" w:color="auto" w:fill="FFFFFF"/>
        </w:rPr>
        <w:t>Journal of Affective Disorders, 296</w:t>
      </w:r>
      <w:r w:rsidRPr="00DC595B">
        <w:rPr>
          <w:rFonts w:ascii="Times New Roman" w:hAnsi="Times New Roman" w:cs="Times New Roman"/>
          <w:sz w:val="24"/>
          <w:szCs w:val="24"/>
          <w:shd w:val="clear" w:color="auto" w:fill="FFFFFF"/>
        </w:rPr>
        <w:t>, 35-40. https://doi.org/10.1016/j.jad.2021.09.032</w:t>
      </w:r>
    </w:p>
    <w:p w14:paraId="5C56534A" w14:textId="02C9D955" w:rsidR="00556375" w:rsidRPr="00837443" w:rsidRDefault="00556375" w:rsidP="00556375">
      <w:pPr>
        <w:spacing w:line="276" w:lineRule="auto"/>
        <w:ind w:left="709" w:hanging="709"/>
        <w:rPr>
          <w:rFonts w:ascii="Times New Roman" w:hAnsi="Times New Roman" w:cs="Times New Roman"/>
          <w:sz w:val="24"/>
          <w:szCs w:val="24"/>
          <w:shd w:val="clear" w:color="auto" w:fill="FFFFFF"/>
          <w:lang w:val="es-PY"/>
        </w:rPr>
      </w:pPr>
      <w:r w:rsidRPr="00556375">
        <w:rPr>
          <w:rFonts w:ascii="Times New Roman" w:hAnsi="Times New Roman" w:cs="Times New Roman"/>
          <w:sz w:val="24"/>
          <w:szCs w:val="24"/>
          <w:shd w:val="clear" w:color="auto" w:fill="FFFFFF"/>
        </w:rPr>
        <w:t xml:space="preserve">Fekih-Romdhane, F., Fawaz, M., Hallit, R., Sawma, T., Obeid, S., &amp; Hallit, S. (2024). Psychometric Properties of an Arabic translation of the 10-item Connor-Davidson Resilience scale (CD-RISC-10), the 8-and 10-item post-traumatic growth inventory-short form (PTGI-SF) scales. </w:t>
      </w:r>
      <w:r w:rsidRPr="00837443">
        <w:rPr>
          <w:rFonts w:ascii="Times New Roman" w:hAnsi="Times New Roman" w:cs="Times New Roman"/>
          <w:i/>
          <w:iCs/>
          <w:sz w:val="24"/>
          <w:szCs w:val="24"/>
          <w:shd w:val="clear" w:color="auto" w:fill="FFFFFF"/>
          <w:lang w:val="es-PY"/>
        </w:rPr>
        <w:t>Plos one, 19</w:t>
      </w:r>
      <w:r w:rsidRPr="00837443">
        <w:rPr>
          <w:rFonts w:ascii="Times New Roman" w:hAnsi="Times New Roman" w:cs="Times New Roman"/>
          <w:sz w:val="24"/>
          <w:szCs w:val="24"/>
          <w:shd w:val="clear" w:color="auto" w:fill="FFFFFF"/>
          <w:lang w:val="es-PY"/>
        </w:rPr>
        <w:t>(1), e0293079.</w:t>
      </w:r>
      <w:r w:rsidRPr="00837443">
        <w:rPr>
          <w:lang w:val="es-PY"/>
        </w:rPr>
        <w:t xml:space="preserve"> </w:t>
      </w:r>
      <w:r w:rsidRPr="00837443">
        <w:rPr>
          <w:rFonts w:ascii="Times New Roman" w:hAnsi="Times New Roman" w:cs="Times New Roman"/>
          <w:sz w:val="24"/>
          <w:szCs w:val="24"/>
          <w:shd w:val="clear" w:color="auto" w:fill="FFFFFF"/>
          <w:lang w:val="es-PY"/>
        </w:rPr>
        <w:t>. https://doi.org/10.1371/journal.pone.0293079</w:t>
      </w:r>
    </w:p>
    <w:p w14:paraId="5BE90794" w14:textId="3917AD0B"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837443">
        <w:rPr>
          <w:rFonts w:ascii="Times New Roman" w:hAnsi="Times New Roman" w:cs="Times New Roman"/>
          <w:sz w:val="24"/>
          <w:szCs w:val="24"/>
          <w:shd w:val="clear" w:color="auto" w:fill="FFFFFF"/>
          <w:lang w:val="es-PY"/>
        </w:rPr>
        <w:t xml:space="preserve">Finney, S. J., &amp; DiStefano, C. (2013). </w:t>
      </w:r>
      <w:r w:rsidRPr="00DC595B">
        <w:rPr>
          <w:rFonts w:ascii="Times New Roman" w:hAnsi="Times New Roman" w:cs="Times New Roman"/>
          <w:sz w:val="24"/>
          <w:szCs w:val="24"/>
          <w:shd w:val="clear" w:color="auto" w:fill="FFFFFF"/>
        </w:rPr>
        <w:t xml:space="preserve">Nonnormal and categorical data in structural equation modeling. In G. R. Hancock &amp; R. O. Mueller (Eds.), </w:t>
      </w:r>
      <w:r w:rsidRPr="00DC595B">
        <w:rPr>
          <w:rFonts w:ascii="Times New Roman" w:hAnsi="Times New Roman" w:cs="Times New Roman"/>
          <w:i/>
          <w:sz w:val="24"/>
          <w:szCs w:val="24"/>
          <w:shd w:val="clear" w:color="auto" w:fill="FFFFFF"/>
        </w:rPr>
        <w:t>Structural equation modeling: A second course</w:t>
      </w:r>
      <w:r w:rsidRPr="00DC595B">
        <w:rPr>
          <w:rFonts w:ascii="Times New Roman" w:hAnsi="Times New Roman" w:cs="Times New Roman"/>
          <w:sz w:val="24"/>
          <w:szCs w:val="24"/>
          <w:shd w:val="clear" w:color="auto" w:fill="FFFFFF"/>
        </w:rPr>
        <w:t xml:space="preserve"> (pp. 439–492). IAP Information Age Publishing.</w:t>
      </w:r>
    </w:p>
    <w:p w14:paraId="15D4B1C7"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García, F. E., &amp; Wlodarczyk, A. (2016). Psychometric properties of the posttraumatic growth inventory–short form among Chilean adults. </w:t>
      </w:r>
      <w:r w:rsidRPr="00DC595B">
        <w:rPr>
          <w:rFonts w:ascii="Times New Roman" w:hAnsi="Times New Roman" w:cs="Times New Roman"/>
          <w:i/>
          <w:sz w:val="24"/>
          <w:szCs w:val="24"/>
          <w:shd w:val="clear" w:color="auto" w:fill="FFFFFF"/>
        </w:rPr>
        <w:t>Journal of Loss and Trauma, 21</w:t>
      </w:r>
      <w:r w:rsidRPr="00DC595B">
        <w:rPr>
          <w:rFonts w:ascii="Times New Roman" w:hAnsi="Times New Roman" w:cs="Times New Roman"/>
          <w:sz w:val="24"/>
          <w:szCs w:val="24"/>
          <w:shd w:val="clear" w:color="auto" w:fill="FFFFFF"/>
        </w:rPr>
        <w:t>(4), 303-314. https://doi.org/10.1080/15325024.2015.1108788</w:t>
      </w:r>
    </w:p>
    <w:p w14:paraId="1BB4E02F" w14:textId="6D980273"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Garrido-Hernansaiz, H., Rodríguez-Rey, R., Collazo-Castiñeira, P., &amp; Collado, S. (202</w:t>
      </w:r>
      <w:r w:rsidR="00FF0560">
        <w:rPr>
          <w:rFonts w:ascii="Times New Roman" w:hAnsi="Times New Roman" w:cs="Times New Roman"/>
          <w:sz w:val="24"/>
          <w:szCs w:val="24"/>
          <w:shd w:val="clear" w:color="auto" w:fill="FFFFFF"/>
        </w:rPr>
        <w:t>3</w:t>
      </w:r>
      <w:r w:rsidRPr="00DC595B">
        <w:rPr>
          <w:rFonts w:ascii="Times New Roman" w:hAnsi="Times New Roman" w:cs="Times New Roman"/>
          <w:sz w:val="24"/>
          <w:szCs w:val="24"/>
          <w:shd w:val="clear" w:color="auto" w:fill="FFFFFF"/>
        </w:rPr>
        <w:t xml:space="preserve">). The posttraumatic growth inventory-short form (PTGI-SF): A psychometric study of the spanish population during the COVID-19 pandemic. </w:t>
      </w:r>
      <w:r w:rsidRPr="00DC595B">
        <w:rPr>
          <w:rFonts w:ascii="Times New Roman" w:hAnsi="Times New Roman" w:cs="Times New Roman"/>
          <w:i/>
          <w:sz w:val="24"/>
          <w:szCs w:val="24"/>
          <w:shd w:val="clear" w:color="auto" w:fill="FFFFFF"/>
        </w:rPr>
        <w:lastRenderedPageBreak/>
        <w:t>Current Psychology</w:t>
      </w:r>
      <w:r w:rsidR="00FF0560" w:rsidRPr="00FF0560">
        <w:rPr>
          <w:rFonts w:ascii="Times New Roman" w:hAnsi="Times New Roman" w:cs="Times New Roman"/>
          <w:sz w:val="24"/>
          <w:szCs w:val="24"/>
          <w:shd w:val="clear" w:color="auto" w:fill="FFFFFF"/>
        </w:rPr>
        <w:t xml:space="preserve"> 42</w:t>
      </w:r>
      <w:r w:rsidR="00FF0560">
        <w:rPr>
          <w:rFonts w:ascii="Times New Roman" w:hAnsi="Times New Roman" w:cs="Times New Roman"/>
          <w:sz w:val="24"/>
          <w:szCs w:val="24"/>
          <w:shd w:val="clear" w:color="auto" w:fill="FFFFFF"/>
        </w:rPr>
        <w:t xml:space="preserve">, </w:t>
      </w:r>
      <w:r w:rsidR="00FF0560" w:rsidRPr="00FF0560">
        <w:rPr>
          <w:rFonts w:ascii="Times New Roman" w:hAnsi="Times New Roman" w:cs="Times New Roman"/>
          <w:sz w:val="24"/>
          <w:szCs w:val="24"/>
          <w:shd w:val="clear" w:color="auto" w:fill="FFFFFF"/>
        </w:rPr>
        <w:t>17513–17522</w:t>
      </w:r>
      <w:r w:rsidR="00FF0560">
        <w:rPr>
          <w:rFonts w:ascii="Times New Roman" w:hAnsi="Times New Roman" w:cs="Times New Roman"/>
          <w:sz w:val="24"/>
          <w:szCs w:val="24"/>
          <w:shd w:val="clear" w:color="auto" w:fill="FFFFFF"/>
        </w:rPr>
        <w:t>.</w:t>
      </w:r>
      <w:r w:rsidRPr="00DC595B">
        <w:rPr>
          <w:rFonts w:ascii="Times New Roman" w:hAnsi="Times New Roman" w:cs="Times New Roman"/>
          <w:sz w:val="24"/>
          <w:szCs w:val="24"/>
          <w:shd w:val="clear" w:color="auto" w:fill="FFFFFF"/>
        </w:rPr>
        <w:t xml:space="preserve"> </w:t>
      </w:r>
      <w:r w:rsidR="00FF0560" w:rsidRPr="00FF0560">
        <w:rPr>
          <w:rFonts w:ascii="Times New Roman" w:hAnsi="Times New Roman" w:cs="Times New Roman"/>
          <w:sz w:val="24"/>
          <w:szCs w:val="24"/>
          <w:shd w:val="clear" w:color="auto" w:fill="FFFFFF"/>
        </w:rPr>
        <w:t xml:space="preserve">https://doi.org/10.1007/s12144-021-02645-z </w:t>
      </w:r>
      <w:r w:rsidRPr="00DC595B">
        <w:rPr>
          <w:rFonts w:ascii="Times New Roman" w:hAnsi="Times New Roman" w:cs="Times New Roman"/>
          <w:sz w:val="24"/>
          <w:szCs w:val="24"/>
          <w:shd w:val="clear" w:color="auto" w:fill="FFFFFF"/>
        </w:rPr>
        <w:t>-z</w:t>
      </w:r>
    </w:p>
    <w:p w14:paraId="05092A18"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Gilmoor, A. R., Adithy, A., &amp; Regeer, B. (2019). The cross-cultural validity of post-traumatic stress disorder and post-traumatic stress symptoms in the Indian context: A systematic search and review. </w:t>
      </w:r>
      <w:r w:rsidRPr="00DC595B">
        <w:rPr>
          <w:rFonts w:ascii="Times New Roman" w:hAnsi="Times New Roman" w:cs="Times New Roman"/>
          <w:i/>
          <w:sz w:val="24"/>
          <w:szCs w:val="24"/>
          <w:shd w:val="clear" w:color="auto" w:fill="FFFFFF"/>
        </w:rPr>
        <w:t>Frontiers in Psychiatry, 10</w:t>
      </w:r>
      <w:r w:rsidRPr="00DC595B">
        <w:rPr>
          <w:rFonts w:ascii="Times New Roman" w:hAnsi="Times New Roman" w:cs="Times New Roman"/>
          <w:sz w:val="24"/>
          <w:szCs w:val="24"/>
          <w:shd w:val="clear" w:color="auto" w:fill="FFFFFF"/>
        </w:rPr>
        <w:t>, 439. https://doi.org/10.3389/fpsyt.2019.00439</w:t>
      </w:r>
    </w:p>
    <w:p w14:paraId="4BA084FA"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Gómez-Acosta, A., Ramos-Vera, C., &amp; Sierra Barón, W. (2022). Validation of an ultra-short version of the posttraumatic growth inventory in Colombian adults exposed to COVID-19. </w:t>
      </w:r>
      <w:r w:rsidRPr="00DC595B">
        <w:rPr>
          <w:rFonts w:ascii="Times New Roman" w:hAnsi="Times New Roman" w:cs="Times New Roman"/>
          <w:i/>
          <w:sz w:val="24"/>
          <w:szCs w:val="24"/>
          <w:shd w:val="clear" w:color="auto" w:fill="FFFFFF"/>
        </w:rPr>
        <w:t>Death Studies</w:t>
      </w:r>
      <w:r w:rsidRPr="00DC595B">
        <w:rPr>
          <w:rFonts w:ascii="Times New Roman" w:hAnsi="Times New Roman" w:cs="Times New Roman"/>
          <w:sz w:val="24"/>
          <w:szCs w:val="24"/>
          <w:shd w:val="clear" w:color="auto" w:fill="FFFFFF"/>
        </w:rPr>
        <w:t>, 1-9. https://doi.org/10.1080/07481187.2022.2098415</w:t>
      </w:r>
    </w:p>
    <w:p w14:paraId="681A55BE"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Gonda, X., &amp; Tarazi, F. I. (2022). Well-being, resilience and post-traumatic growth in the era of Covid-19 pandemic. </w:t>
      </w:r>
      <w:r w:rsidRPr="00DC595B">
        <w:rPr>
          <w:rFonts w:ascii="Times New Roman" w:hAnsi="Times New Roman" w:cs="Times New Roman"/>
          <w:i/>
          <w:sz w:val="24"/>
          <w:szCs w:val="24"/>
          <w:shd w:val="clear" w:color="auto" w:fill="FFFFFF"/>
        </w:rPr>
        <w:t>European Neuropsychopharmacology, 54</w:t>
      </w:r>
      <w:r w:rsidRPr="00DC595B">
        <w:rPr>
          <w:rFonts w:ascii="Times New Roman" w:hAnsi="Times New Roman" w:cs="Times New Roman"/>
          <w:sz w:val="24"/>
          <w:szCs w:val="24"/>
          <w:shd w:val="clear" w:color="auto" w:fill="FFFFFF"/>
        </w:rPr>
        <w:t>, 65-66. https://doi.org/10.1016/j.euroneuro.2021.08.266</w:t>
      </w:r>
    </w:p>
    <w:p w14:paraId="55583B94"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Hambleton, R. K., van der Linden, W. J., &amp; Wells, C. S. (2010). IRT models for the analysis of polytomously scored data: Brief and selected history of model building advances. In M. L. Nering &amp; R. Ostini (Eds.), </w:t>
      </w:r>
      <w:r w:rsidRPr="00DC595B">
        <w:rPr>
          <w:rFonts w:ascii="Times New Roman" w:hAnsi="Times New Roman" w:cs="Times New Roman"/>
          <w:i/>
          <w:sz w:val="24"/>
          <w:szCs w:val="24"/>
          <w:shd w:val="clear" w:color="auto" w:fill="FFFFFF"/>
        </w:rPr>
        <w:t>Handbook of polytomous item response theory models</w:t>
      </w:r>
      <w:r w:rsidRPr="00DC595B">
        <w:rPr>
          <w:rFonts w:ascii="Times New Roman" w:hAnsi="Times New Roman" w:cs="Times New Roman"/>
          <w:sz w:val="24"/>
          <w:szCs w:val="24"/>
          <w:shd w:val="clear" w:color="auto" w:fill="FFFFFF"/>
        </w:rPr>
        <w:t xml:space="preserve"> (pp. 21–42). Routledge/Taylor &amp; Francis Group.</w:t>
      </w:r>
    </w:p>
    <w:p w14:paraId="34F289A3"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lang w:val="es-ES"/>
        </w:rPr>
      </w:pPr>
      <w:r w:rsidRPr="00DC595B">
        <w:rPr>
          <w:rFonts w:ascii="Times New Roman" w:hAnsi="Times New Roman" w:cs="Times New Roman"/>
          <w:sz w:val="24"/>
          <w:szCs w:val="24"/>
          <w:shd w:val="clear" w:color="auto" w:fill="FFFFFF"/>
        </w:rPr>
        <w:t xml:space="preserve">Hays, R. D., Morales, L. S., &amp; Reise, S. P. (2000). Item response theory and health outcomes measurement in the 21st century. </w:t>
      </w:r>
      <w:r w:rsidRPr="00DC595B">
        <w:rPr>
          <w:rFonts w:ascii="Times New Roman" w:hAnsi="Times New Roman" w:cs="Times New Roman"/>
          <w:i/>
          <w:sz w:val="24"/>
          <w:szCs w:val="24"/>
          <w:shd w:val="clear" w:color="auto" w:fill="FFFFFF"/>
          <w:lang w:val="es-ES"/>
        </w:rPr>
        <w:t>Medical Care, 38</w:t>
      </w:r>
      <w:r w:rsidRPr="00DC595B">
        <w:rPr>
          <w:rFonts w:ascii="Times New Roman" w:hAnsi="Times New Roman" w:cs="Times New Roman"/>
          <w:sz w:val="24"/>
          <w:szCs w:val="24"/>
          <w:shd w:val="clear" w:color="auto" w:fill="FFFFFF"/>
          <w:lang w:val="es-ES"/>
        </w:rPr>
        <w:t>(9 Suppl), II28- II42. https://doi.org/10.1097/00005650-200009002-00007</w:t>
      </w:r>
    </w:p>
    <w:p w14:paraId="57970921"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lang w:val="es-ES"/>
        </w:rPr>
        <w:t xml:space="preserve">He, J., &amp; van de Vijver, F. (2012). </w:t>
      </w:r>
      <w:r w:rsidRPr="00DC595B">
        <w:rPr>
          <w:rFonts w:ascii="Times New Roman" w:hAnsi="Times New Roman" w:cs="Times New Roman"/>
          <w:sz w:val="24"/>
          <w:szCs w:val="24"/>
          <w:shd w:val="clear" w:color="auto" w:fill="FFFFFF"/>
        </w:rPr>
        <w:t xml:space="preserve">Bias and equivalence in cross-cultural research. </w:t>
      </w:r>
      <w:r w:rsidRPr="00DC595B">
        <w:rPr>
          <w:rFonts w:ascii="Times New Roman" w:hAnsi="Times New Roman" w:cs="Times New Roman"/>
          <w:i/>
          <w:sz w:val="24"/>
          <w:szCs w:val="24"/>
          <w:shd w:val="clear" w:color="auto" w:fill="FFFFFF"/>
        </w:rPr>
        <w:t>Online Readings in Psychology and Culture, 2</w:t>
      </w:r>
      <w:r w:rsidRPr="00DC595B">
        <w:rPr>
          <w:rFonts w:ascii="Times New Roman" w:hAnsi="Times New Roman" w:cs="Times New Roman"/>
          <w:sz w:val="24"/>
          <w:szCs w:val="24"/>
          <w:shd w:val="clear" w:color="auto" w:fill="FFFFFF"/>
        </w:rPr>
        <w:t>(2), 2307-0919. . http://dx.doi.org/10.9707/2307-0919.1111</w:t>
      </w:r>
    </w:p>
    <w:p w14:paraId="58462BCD"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lang w:val="es-PE"/>
        </w:rPr>
      </w:pPr>
      <w:r w:rsidRPr="00DC595B">
        <w:rPr>
          <w:rFonts w:ascii="Times New Roman" w:hAnsi="Times New Roman" w:cs="Times New Roman"/>
          <w:sz w:val="24"/>
          <w:szCs w:val="24"/>
          <w:shd w:val="clear" w:color="auto" w:fill="FFFFFF"/>
        </w:rPr>
        <w:t xml:space="preserve">Herbert, J. D., &amp; Forman, E. M. (2010). Cross-Cultural Perspectives on Posttraumatic Stress In G. M. Rosen &amp; B. C. Frueh (Eds.), </w:t>
      </w:r>
      <w:r w:rsidRPr="00DC595B">
        <w:rPr>
          <w:rFonts w:ascii="Times New Roman" w:hAnsi="Times New Roman" w:cs="Times New Roman"/>
          <w:i/>
          <w:sz w:val="24"/>
          <w:szCs w:val="24"/>
          <w:shd w:val="clear" w:color="auto" w:fill="FFFFFF"/>
        </w:rPr>
        <w:t xml:space="preserve">Clinician's Guide to Posttraumatic Stress Disorder </w:t>
      </w:r>
      <w:r w:rsidRPr="00DC595B">
        <w:rPr>
          <w:rFonts w:ascii="Times New Roman" w:hAnsi="Times New Roman" w:cs="Times New Roman"/>
          <w:sz w:val="24"/>
          <w:szCs w:val="24"/>
          <w:shd w:val="clear" w:color="auto" w:fill="FFFFFF"/>
        </w:rPr>
        <w:t xml:space="preserve">(pp. 235-261). </w:t>
      </w:r>
      <w:r w:rsidRPr="00DC595B">
        <w:rPr>
          <w:rFonts w:ascii="Times New Roman" w:hAnsi="Times New Roman" w:cs="Times New Roman"/>
          <w:sz w:val="24"/>
          <w:szCs w:val="24"/>
          <w:shd w:val="clear" w:color="auto" w:fill="FFFFFF"/>
          <w:lang w:val="es-PE"/>
        </w:rPr>
        <w:t>Hoboken, NJ: Wiley.</w:t>
      </w:r>
    </w:p>
    <w:p w14:paraId="170B3822"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lang w:val="es-ES"/>
        </w:rPr>
        <w:t xml:space="preserve">Hernández, R. M., Saavedra-López, M., Calle-Ramirez, X., Cjuno, J., &amp; Escobedo, F. (2021). </w:t>
      </w:r>
      <w:r w:rsidRPr="00DC595B">
        <w:rPr>
          <w:rFonts w:ascii="Times New Roman" w:hAnsi="Times New Roman" w:cs="Times New Roman"/>
          <w:sz w:val="24"/>
          <w:szCs w:val="24"/>
          <w:shd w:val="clear" w:color="auto" w:fill="FFFFFF"/>
        </w:rPr>
        <w:t xml:space="preserve">Latin American scientific production on mental health in times of Covid-19. </w:t>
      </w:r>
      <w:r w:rsidRPr="00DC595B">
        <w:rPr>
          <w:rFonts w:ascii="Times New Roman" w:hAnsi="Times New Roman" w:cs="Times New Roman"/>
          <w:i/>
          <w:sz w:val="24"/>
          <w:szCs w:val="24"/>
          <w:shd w:val="clear" w:color="auto" w:fill="FFFFFF"/>
        </w:rPr>
        <w:t>Malaysian Journal of Public Health Medicine, 21</w:t>
      </w:r>
      <w:r w:rsidRPr="00DC595B">
        <w:rPr>
          <w:rFonts w:ascii="Times New Roman" w:hAnsi="Times New Roman" w:cs="Times New Roman"/>
          <w:sz w:val="24"/>
          <w:szCs w:val="24"/>
          <w:shd w:val="clear" w:color="auto" w:fill="FFFFFF"/>
        </w:rPr>
        <w:t>(2), 103-111. https://doi.org/10.37268/mjphm/vol.21/no.2/art.795</w:t>
      </w:r>
    </w:p>
    <w:p w14:paraId="24752FF8"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Hyun, S., Wong, G. T. F., Levy-Carrick, N. C., Charmaraman, L., Cozier, Y., Yip, T., &amp; Liu, C. H. (2021). Psychosocial correlates of posttraumatic growth among US young adults during the COVID-19 pandemic. </w:t>
      </w:r>
      <w:r w:rsidRPr="00DC595B">
        <w:rPr>
          <w:rFonts w:ascii="Times New Roman" w:hAnsi="Times New Roman" w:cs="Times New Roman"/>
          <w:i/>
          <w:sz w:val="24"/>
          <w:szCs w:val="24"/>
          <w:shd w:val="clear" w:color="auto" w:fill="FFFFFF"/>
        </w:rPr>
        <w:t>Psychiatry Research, 302</w:t>
      </w:r>
      <w:r w:rsidRPr="00DC595B">
        <w:rPr>
          <w:rFonts w:ascii="Times New Roman" w:hAnsi="Times New Roman" w:cs="Times New Roman"/>
          <w:sz w:val="24"/>
          <w:szCs w:val="24"/>
          <w:shd w:val="clear" w:color="auto" w:fill="FFFFFF"/>
        </w:rPr>
        <w:t>, 114035. https://doi.org/10.1016/j.psychres.2021.114035</w:t>
      </w:r>
    </w:p>
    <w:p w14:paraId="3EBDF8BD"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Jones, E. A., Mitra, A. K., &amp; Bhuiyan, A. R. (2021). Impact of COVID-19 on mental health in adolescents: A systematic review. </w:t>
      </w:r>
      <w:r w:rsidRPr="00DC595B">
        <w:rPr>
          <w:rFonts w:ascii="Times New Roman" w:hAnsi="Times New Roman" w:cs="Times New Roman"/>
          <w:i/>
          <w:sz w:val="24"/>
          <w:szCs w:val="24"/>
          <w:shd w:val="clear" w:color="auto" w:fill="FFFFFF"/>
        </w:rPr>
        <w:t>International Journal of Environmental Research and Public Health, 18</w:t>
      </w:r>
      <w:r w:rsidRPr="00DC595B">
        <w:rPr>
          <w:rFonts w:ascii="Times New Roman" w:hAnsi="Times New Roman" w:cs="Times New Roman"/>
          <w:sz w:val="24"/>
          <w:szCs w:val="24"/>
          <w:shd w:val="clear" w:color="auto" w:fill="FFFFFF"/>
        </w:rPr>
        <w:t>(5), 2470. https://doi.org/10.3390/ijerph18052470</w:t>
      </w:r>
    </w:p>
    <w:p w14:paraId="18FC349E"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lastRenderedPageBreak/>
        <w:t xml:space="preserve">Jorgensen, T. D., Pornprasertmanit, S., Schoemann, A. M., &amp; Rosseel, Y. (2018). </w:t>
      </w:r>
      <w:r w:rsidRPr="00DC595B">
        <w:rPr>
          <w:rFonts w:ascii="Times New Roman" w:hAnsi="Times New Roman" w:cs="Times New Roman"/>
          <w:i/>
          <w:sz w:val="24"/>
          <w:szCs w:val="24"/>
          <w:shd w:val="clear" w:color="auto" w:fill="FFFFFF"/>
        </w:rPr>
        <w:t>semTools: Useful tools for structural equation modeling. R package version 0.5-1.</w:t>
      </w:r>
      <w:r w:rsidRPr="00DC595B">
        <w:rPr>
          <w:rFonts w:ascii="Times New Roman" w:hAnsi="Times New Roman" w:cs="Times New Roman"/>
          <w:sz w:val="24"/>
          <w:szCs w:val="24"/>
          <w:shd w:val="clear" w:color="auto" w:fill="FFFFFF"/>
        </w:rPr>
        <w:t xml:space="preserve"> https://CRAN.R-project.org/package=semTools</w:t>
      </w:r>
    </w:p>
    <w:p w14:paraId="1E7B4F97"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Kalaitzaki, A., Tamiolaki, A., &amp; Tsouvelas, G. (2022). From secondary traumatic stress to vicarious posttraumatic growth amid COVID-19 lockdown in Greece: The role of health care workers’ coping strategies. </w:t>
      </w:r>
      <w:r w:rsidRPr="00DC595B">
        <w:rPr>
          <w:rFonts w:ascii="Times New Roman" w:hAnsi="Times New Roman" w:cs="Times New Roman"/>
          <w:i/>
          <w:sz w:val="24"/>
          <w:szCs w:val="24"/>
          <w:shd w:val="clear" w:color="auto" w:fill="FFFFFF"/>
        </w:rPr>
        <w:t>Psychological Trauma: Theory, Research, Practice, and Policy, 14</w:t>
      </w:r>
      <w:r w:rsidRPr="00DC595B">
        <w:rPr>
          <w:rFonts w:ascii="Times New Roman" w:hAnsi="Times New Roman" w:cs="Times New Roman"/>
          <w:sz w:val="24"/>
          <w:szCs w:val="24"/>
          <w:shd w:val="clear" w:color="auto" w:fill="FFFFFF"/>
        </w:rPr>
        <w:t>(2), 273–280. https://doi.org/10.1037/tra0001078</w:t>
      </w:r>
    </w:p>
    <w:p w14:paraId="7BA9248D"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837443">
        <w:rPr>
          <w:rFonts w:ascii="Times New Roman" w:hAnsi="Times New Roman" w:cs="Times New Roman"/>
          <w:sz w:val="24"/>
          <w:szCs w:val="24"/>
          <w:shd w:val="clear" w:color="auto" w:fill="FFFFFF"/>
        </w:rPr>
        <w:t xml:space="preserve">Kaler, M. E., Erbes, C. R., Tedeschi, R. G., Arbisi, P. A., &amp; Polusny, M. A. (2011). </w:t>
      </w:r>
      <w:r w:rsidRPr="00DC595B">
        <w:rPr>
          <w:rFonts w:ascii="Times New Roman" w:hAnsi="Times New Roman" w:cs="Times New Roman"/>
          <w:sz w:val="24"/>
          <w:szCs w:val="24"/>
          <w:shd w:val="clear" w:color="auto" w:fill="FFFFFF"/>
        </w:rPr>
        <w:t xml:space="preserve">Factor structure and concurrent validity of the Posttraumatic Growth Inventory–Short Form among veterans from the Iraq War. </w:t>
      </w:r>
      <w:r w:rsidRPr="00DC595B">
        <w:rPr>
          <w:rFonts w:ascii="Times New Roman" w:hAnsi="Times New Roman" w:cs="Times New Roman"/>
          <w:i/>
          <w:sz w:val="24"/>
          <w:szCs w:val="24"/>
          <w:shd w:val="clear" w:color="auto" w:fill="FFFFFF"/>
        </w:rPr>
        <w:t>Journal of Traumatic Stress, 24</w:t>
      </w:r>
      <w:r w:rsidRPr="00DC595B">
        <w:rPr>
          <w:rFonts w:ascii="Times New Roman" w:hAnsi="Times New Roman" w:cs="Times New Roman"/>
          <w:sz w:val="24"/>
          <w:szCs w:val="24"/>
          <w:shd w:val="clear" w:color="auto" w:fill="FFFFFF"/>
        </w:rPr>
        <w:t>(2), 200-207. https://doi.org/10.1002/jts.20623</w:t>
      </w:r>
    </w:p>
    <w:p w14:paraId="22EC271E"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Kashyap, S., &amp; Hussain, D. (2018). Cross-cultural challenges to the construct “posttraumatic growth”. </w:t>
      </w:r>
      <w:r w:rsidRPr="00DC595B">
        <w:rPr>
          <w:rFonts w:ascii="Times New Roman" w:hAnsi="Times New Roman" w:cs="Times New Roman"/>
          <w:i/>
          <w:sz w:val="24"/>
          <w:szCs w:val="24"/>
          <w:shd w:val="clear" w:color="auto" w:fill="FFFFFF"/>
        </w:rPr>
        <w:t>Journal of Loss and Trauma, 23</w:t>
      </w:r>
      <w:r w:rsidRPr="00DC595B">
        <w:rPr>
          <w:rFonts w:ascii="Times New Roman" w:hAnsi="Times New Roman" w:cs="Times New Roman"/>
          <w:sz w:val="24"/>
          <w:szCs w:val="24"/>
          <w:shd w:val="clear" w:color="auto" w:fill="FFFFFF"/>
        </w:rPr>
        <w:t>(1), 51-69. https://doi.org/10.1080/15325024.2017.1422234</w:t>
      </w:r>
    </w:p>
    <w:p w14:paraId="58A560F8"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Kenny, D. A., Kaniskan, B., &amp; McCoach, D. B. (2015). The performance of RMSEA in models with small degrees of freedom. </w:t>
      </w:r>
      <w:r w:rsidRPr="00DC595B">
        <w:rPr>
          <w:rFonts w:ascii="Times New Roman" w:hAnsi="Times New Roman" w:cs="Times New Roman"/>
          <w:i/>
          <w:sz w:val="24"/>
          <w:szCs w:val="24"/>
          <w:shd w:val="clear" w:color="auto" w:fill="FFFFFF"/>
        </w:rPr>
        <w:t>Sociological Methods &amp; Research, 44</w:t>
      </w:r>
      <w:r w:rsidRPr="00DC595B">
        <w:rPr>
          <w:rFonts w:ascii="Times New Roman" w:hAnsi="Times New Roman" w:cs="Times New Roman"/>
          <w:sz w:val="24"/>
          <w:szCs w:val="24"/>
          <w:shd w:val="clear" w:color="auto" w:fill="FFFFFF"/>
        </w:rPr>
        <w:t>(3), 486-507. https://doi.org/10.1177/0049124114543236</w:t>
      </w:r>
    </w:p>
    <w:p w14:paraId="5B85F756"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Kline, R. B. (2015). </w:t>
      </w:r>
      <w:r w:rsidRPr="00DC595B">
        <w:rPr>
          <w:rFonts w:ascii="Times New Roman" w:hAnsi="Times New Roman" w:cs="Times New Roman"/>
          <w:i/>
          <w:sz w:val="24"/>
          <w:szCs w:val="24"/>
          <w:shd w:val="clear" w:color="auto" w:fill="FFFFFF"/>
        </w:rPr>
        <w:t>Principles and Practice of Structural Equation Modeling</w:t>
      </w:r>
      <w:r w:rsidRPr="00DC595B">
        <w:rPr>
          <w:rFonts w:ascii="Times New Roman" w:hAnsi="Times New Roman" w:cs="Times New Roman"/>
          <w:sz w:val="24"/>
          <w:szCs w:val="24"/>
          <w:shd w:val="clear" w:color="auto" w:fill="FFFFFF"/>
        </w:rPr>
        <w:t xml:space="preserve"> (4th ed.). The Guilford Press.</w:t>
      </w:r>
    </w:p>
    <w:p w14:paraId="3D6E9800"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Lamela, D., Figueiredo, B., Bastos, A., &amp; Martins, H. (2014). Psychometric properties of the Portuguese version of the Posttraumatic Growth Inventory Short Form among divorced adults. </w:t>
      </w:r>
      <w:r w:rsidRPr="00DC595B">
        <w:rPr>
          <w:rFonts w:ascii="Times New Roman" w:hAnsi="Times New Roman" w:cs="Times New Roman"/>
          <w:i/>
          <w:sz w:val="24"/>
          <w:szCs w:val="24"/>
          <w:shd w:val="clear" w:color="auto" w:fill="FFFFFF"/>
        </w:rPr>
        <w:t>European Journal of Psychological Assessment, 30</w:t>
      </w:r>
      <w:r w:rsidRPr="00DC595B">
        <w:rPr>
          <w:rFonts w:ascii="Times New Roman" w:hAnsi="Times New Roman" w:cs="Times New Roman"/>
          <w:sz w:val="24"/>
          <w:szCs w:val="24"/>
          <w:shd w:val="clear" w:color="auto" w:fill="FFFFFF"/>
        </w:rPr>
        <w:t>(1), 3–14. https://doi.org/10.1027/1015-5759/a000161</w:t>
      </w:r>
    </w:p>
    <w:p w14:paraId="56CA1835"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Li, L., Mao, M., Wang, S., Yin, R., Yan, H. O., Jin, Y., &amp; Cheng, Y. (2022). Posttraumatic growth in Chinese nurses and general public during the COVID-19 outbreak. </w:t>
      </w:r>
      <w:r w:rsidRPr="00DC595B">
        <w:rPr>
          <w:rFonts w:ascii="Times New Roman" w:hAnsi="Times New Roman" w:cs="Times New Roman"/>
          <w:i/>
          <w:sz w:val="24"/>
          <w:szCs w:val="24"/>
          <w:shd w:val="clear" w:color="auto" w:fill="FFFFFF"/>
        </w:rPr>
        <w:t>Psychology, Health &amp; Medicine, 27</w:t>
      </w:r>
      <w:r w:rsidRPr="00DC595B">
        <w:rPr>
          <w:rFonts w:ascii="Times New Roman" w:hAnsi="Times New Roman" w:cs="Times New Roman"/>
          <w:sz w:val="24"/>
          <w:szCs w:val="24"/>
          <w:shd w:val="clear" w:color="auto" w:fill="FFFFFF"/>
        </w:rPr>
        <w:t>(2), 301-311. https://doi.org/10.1080/13548506.2021.1897148</w:t>
      </w:r>
    </w:p>
    <w:p w14:paraId="220F8BC9"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Lin, C. Y., &amp; Pakpour, A. H. (2017). Using Hospital Anxiety and Depression Scale (HADS) on patients with epilepsy: Confirmatory factor analysis and Rasch models. </w:t>
      </w:r>
      <w:r w:rsidRPr="00DC595B">
        <w:rPr>
          <w:rFonts w:ascii="Times New Roman" w:hAnsi="Times New Roman" w:cs="Times New Roman"/>
          <w:i/>
          <w:sz w:val="24"/>
          <w:szCs w:val="24"/>
          <w:shd w:val="clear" w:color="auto" w:fill="FFFFFF"/>
        </w:rPr>
        <w:t>Seizure, 45</w:t>
      </w:r>
      <w:r w:rsidRPr="00DC595B">
        <w:rPr>
          <w:rFonts w:ascii="Times New Roman" w:hAnsi="Times New Roman" w:cs="Times New Roman"/>
          <w:sz w:val="24"/>
          <w:szCs w:val="24"/>
          <w:shd w:val="clear" w:color="auto" w:fill="FFFFFF"/>
        </w:rPr>
        <w:t>, 42-46. https://doi.org/10.1016/j.seizure.2016.11.019</w:t>
      </w:r>
    </w:p>
    <w:p w14:paraId="49727263" w14:textId="77777777" w:rsidR="00DC595B" w:rsidRPr="00837443" w:rsidRDefault="00DC595B" w:rsidP="006134DA">
      <w:pPr>
        <w:spacing w:line="276" w:lineRule="auto"/>
        <w:ind w:left="709" w:hanging="709"/>
        <w:rPr>
          <w:rFonts w:ascii="Times New Roman" w:hAnsi="Times New Roman" w:cs="Times New Roman"/>
          <w:sz w:val="24"/>
          <w:szCs w:val="24"/>
          <w:shd w:val="clear" w:color="auto" w:fill="FFFFFF"/>
          <w:lang w:val="fr-FR"/>
        </w:rPr>
      </w:pPr>
      <w:r w:rsidRPr="00DC595B">
        <w:rPr>
          <w:rFonts w:ascii="Times New Roman" w:hAnsi="Times New Roman" w:cs="Times New Roman"/>
          <w:sz w:val="24"/>
          <w:szCs w:val="24"/>
          <w:shd w:val="clear" w:color="auto" w:fill="FFFFFF"/>
        </w:rPr>
        <w:t xml:space="preserve">Matos, M., McEwan, K., Kanovský, M., Halamová, J., Steindl, S. R., Ferreira, N., ... &amp; Gilbert, P. (2021). Fears of compassion magnify the harmful effects of threat of COVID‐19 on mental health and social safeness across 21 countries. </w:t>
      </w:r>
      <w:r w:rsidRPr="00837443">
        <w:rPr>
          <w:rFonts w:ascii="Times New Roman" w:hAnsi="Times New Roman" w:cs="Times New Roman"/>
          <w:i/>
          <w:sz w:val="24"/>
          <w:szCs w:val="24"/>
          <w:shd w:val="clear" w:color="auto" w:fill="FFFFFF"/>
          <w:lang w:val="fr-FR"/>
        </w:rPr>
        <w:t>Clinical Psychology &amp; Psychotherapy, 28</w:t>
      </w:r>
      <w:r w:rsidRPr="00837443">
        <w:rPr>
          <w:rFonts w:ascii="Times New Roman" w:hAnsi="Times New Roman" w:cs="Times New Roman"/>
          <w:sz w:val="24"/>
          <w:szCs w:val="24"/>
          <w:shd w:val="clear" w:color="auto" w:fill="FFFFFF"/>
          <w:lang w:val="fr-FR"/>
        </w:rPr>
        <w:t>(6), 1317-1333. https://doi.org/10.1002/cpp.2601</w:t>
      </w:r>
    </w:p>
    <w:p w14:paraId="469B2E09"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837443">
        <w:rPr>
          <w:rFonts w:ascii="Times New Roman" w:hAnsi="Times New Roman" w:cs="Times New Roman"/>
          <w:sz w:val="24"/>
          <w:szCs w:val="24"/>
          <w:shd w:val="clear" w:color="auto" w:fill="FFFFFF"/>
          <w:lang w:val="fr-FR"/>
        </w:rPr>
        <w:t xml:space="preserve">McDonald, R. P. (1999). </w:t>
      </w:r>
      <w:r w:rsidRPr="00DC595B">
        <w:rPr>
          <w:rFonts w:ascii="Times New Roman" w:hAnsi="Times New Roman" w:cs="Times New Roman"/>
          <w:i/>
          <w:sz w:val="24"/>
          <w:szCs w:val="24"/>
          <w:shd w:val="clear" w:color="auto" w:fill="FFFFFF"/>
        </w:rPr>
        <w:t>Test Theory: A Unified Treatment</w:t>
      </w:r>
      <w:r w:rsidRPr="00DC595B">
        <w:rPr>
          <w:rFonts w:ascii="Times New Roman" w:hAnsi="Times New Roman" w:cs="Times New Roman"/>
          <w:sz w:val="24"/>
          <w:szCs w:val="24"/>
          <w:shd w:val="clear" w:color="auto" w:fill="FFFFFF"/>
        </w:rPr>
        <w:t>. Taylor &amp; Francis.</w:t>
      </w:r>
    </w:p>
    <w:p w14:paraId="4A41E297"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lastRenderedPageBreak/>
        <w:t xml:space="preserve">Milfont, T. L., &amp; Fischer, R. (2010). Testing measurement invariance across groups: Applications in cross-cultural research. </w:t>
      </w:r>
      <w:r w:rsidRPr="00DC595B">
        <w:rPr>
          <w:rFonts w:ascii="Times New Roman" w:hAnsi="Times New Roman" w:cs="Times New Roman"/>
          <w:i/>
          <w:sz w:val="24"/>
          <w:szCs w:val="24"/>
          <w:shd w:val="clear" w:color="auto" w:fill="FFFFFF"/>
        </w:rPr>
        <w:t>International Journal of Psychological Research, 3</w:t>
      </w:r>
      <w:r w:rsidRPr="00DC595B">
        <w:rPr>
          <w:rFonts w:ascii="Times New Roman" w:hAnsi="Times New Roman" w:cs="Times New Roman"/>
          <w:sz w:val="24"/>
          <w:szCs w:val="24"/>
          <w:shd w:val="clear" w:color="auto" w:fill="FFFFFF"/>
        </w:rPr>
        <w:t>(1), 111-130. https://doi.org/10.21500/20112084.857</w:t>
      </w:r>
    </w:p>
    <w:p w14:paraId="5C9E9418" w14:textId="77777777" w:rsidR="00DC595B" w:rsidRPr="00837443"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Millsap, R. E., &amp; Olivera-Aguilar, M. (2012). Investigating measurement invariance using confirmatory factor analysis. In R. Hoyle (Ed.), </w:t>
      </w:r>
      <w:r w:rsidRPr="00DC595B">
        <w:rPr>
          <w:rFonts w:ascii="Times New Roman" w:hAnsi="Times New Roman" w:cs="Times New Roman"/>
          <w:i/>
          <w:sz w:val="24"/>
          <w:szCs w:val="24"/>
          <w:shd w:val="clear" w:color="auto" w:fill="FFFFFF"/>
        </w:rPr>
        <w:t>Handbook of structural equation modeling</w:t>
      </w:r>
      <w:r w:rsidRPr="00DC595B">
        <w:rPr>
          <w:rFonts w:ascii="Times New Roman" w:hAnsi="Times New Roman" w:cs="Times New Roman"/>
          <w:sz w:val="24"/>
          <w:szCs w:val="24"/>
          <w:shd w:val="clear" w:color="auto" w:fill="FFFFFF"/>
        </w:rPr>
        <w:t xml:space="preserve"> (pp. 380-416). </w:t>
      </w:r>
      <w:r w:rsidRPr="00837443">
        <w:rPr>
          <w:rFonts w:ascii="Times New Roman" w:hAnsi="Times New Roman" w:cs="Times New Roman"/>
          <w:sz w:val="24"/>
          <w:szCs w:val="24"/>
          <w:shd w:val="clear" w:color="auto" w:fill="FFFFFF"/>
        </w:rPr>
        <w:t>The Guilford Press</w:t>
      </w:r>
    </w:p>
    <w:p w14:paraId="4AA4435F"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837443">
        <w:rPr>
          <w:rFonts w:ascii="Times New Roman" w:hAnsi="Times New Roman" w:cs="Times New Roman"/>
          <w:sz w:val="24"/>
          <w:szCs w:val="24"/>
          <w:shd w:val="clear" w:color="auto" w:fill="FFFFFF"/>
        </w:rPr>
        <w:t xml:space="preserve">Moreta-Herrera, R., Caycho-Rodríguez, T., Salinas, A., Jiménez-Borja, M., Gavilanes-Gómez, D., &amp; Jiménez-Mosquera, C. J. (2022). </w:t>
      </w:r>
      <w:r w:rsidRPr="00DC595B">
        <w:rPr>
          <w:rFonts w:ascii="Times New Roman" w:hAnsi="Times New Roman" w:cs="Times New Roman"/>
          <w:sz w:val="24"/>
          <w:szCs w:val="24"/>
          <w:shd w:val="clear" w:color="auto" w:fill="FFFFFF"/>
        </w:rPr>
        <w:t xml:space="preserve">Factorial Validity, Reliability, Measurement Invariance and the Graded Response Model for the COVID-19 Anxiety Scale in a Sample of Ecuadorians. </w:t>
      </w:r>
      <w:r w:rsidRPr="00DC595B">
        <w:rPr>
          <w:rFonts w:ascii="Times New Roman" w:hAnsi="Times New Roman" w:cs="Times New Roman"/>
          <w:i/>
          <w:sz w:val="24"/>
          <w:szCs w:val="24"/>
          <w:shd w:val="clear" w:color="auto" w:fill="FFFFFF"/>
        </w:rPr>
        <w:t>OMEGA-Journal of Death and Dying</w:t>
      </w:r>
      <w:r w:rsidRPr="00DC595B">
        <w:rPr>
          <w:rFonts w:ascii="Times New Roman" w:hAnsi="Times New Roman" w:cs="Times New Roman"/>
          <w:sz w:val="24"/>
          <w:szCs w:val="24"/>
          <w:shd w:val="clear" w:color="auto" w:fill="FFFFFF"/>
        </w:rPr>
        <w:t>, 00302228221116515. https://doi.org/10.1177/00302228221116515</w:t>
      </w:r>
    </w:p>
    <w:p w14:paraId="1AB96782"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lang w:val="es-PE"/>
        </w:rPr>
      </w:pPr>
      <w:r w:rsidRPr="00DC595B">
        <w:rPr>
          <w:rFonts w:ascii="Times New Roman" w:hAnsi="Times New Roman" w:cs="Times New Roman"/>
          <w:sz w:val="24"/>
          <w:szCs w:val="24"/>
          <w:shd w:val="clear" w:color="auto" w:fill="FFFFFF"/>
        </w:rPr>
        <w:t xml:space="preserve">Pietrzak, R. H., Tsai, J., &amp; Southwick, S. M. (2021). Association of symptoms of posttraumatic stress disorder with posttraumatic psychological growth among US veterans during the COVID-19 pandemic. </w:t>
      </w:r>
      <w:r w:rsidRPr="00DC595B">
        <w:rPr>
          <w:rFonts w:ascii="Times New Roman" w:hAnsi="Times New Roman" w:cs="Times New Roman"/>
          <w:i/>
          <w:sz w:val="24"/>
          <w:szCs w:val="24"/>
          <w:shd w:val="clear" w:color="auto" w:fill="FFFFFF"/>
          <w:lang w:val="es-PE"/>
        </w:rPr>
        <w:t>JAMA Network Open, 4</w:t>
      </w:r>
      <w:r w:rsidRPr="00DC595B">
        <w:rPr>
          <w:rFonts w:ascii="Times New Roman" w:hAnsi="Times New Roman" w:cs="Times New Roman"/>
          <w:sz w:val="24"/>
          <w:szCs w:val="24"/>
          <w:shd w:val="clear" w:color="auto" w:fill="FFFFFF"/>
          <w:lang w:val="es-PE"/>
        </w:rPr>
        <w:t>(4), e214972-e214972. https://doi.org/10.1001/jamanetworkopen.2021.4972</w:t>
      </w:r>
    </w:p>
    <w:p w14:paraId="55C4B174"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lang w:val="es-PE"/>
        </w:rPr>
        <w:t xml:space="preserve">Prati, G., &amp; Pietrantoni, L. (2014). </w:t>
      </w:r>
      <w:r w:rsidRPr="00DC595B">
        <w:rPr>
          <w:rFonts w:ascii="Times New Roman" w:hAnsi="Times New Roman" w:cs="Times New Roman"/>
          <w:sz w:val="24"/>
          <w:szCs w:val="24"/>
          <w:shd w:val="clear" w:color="auto" w:fill="FFFFFF"/>
        </w:rPr>
        <w:t xml:space="preserve">Italian adaptation and confirmatory factor analysis of the full and the short form of the Posttraumatic Growth Inventory. </w:t>
      </w:r>
      <w:r w:rsidRPr="00DC595B">
        <w:rPr>
          <w:rFonts w:ascii="Times New Roman" w:hAnsi="Times New Roman" w:cs="Times New Roman"/>
          <w:i/>
          <w:sz w:val="24"/>
          <w:szCs w:val="24"/>
          <w:shd w:val="clear" w:color="auto" w:fill="FFFFFF"/>
        </w:rPr>
        <w:t>Journal of Loss and Trauma, 19</w:t>
      </w:r>
      <w:r w:rsidRPr="00DC595B">
        <w:rPr>
          <w:rFonts w:ascii="Times New Roman" w:hAnsi="Times New Roman" w:cs="Times New Roman"/>
          <w:sz w:val="24"/>
          <w:szCs w:val="24"/>
          <w:shd w:val="clear" w:color="auto" w:fill="FFFFFF"/>
        </w:rPr>
        <w:t>(1), 12-22. https://doi.org/10.1080/15325024.2012.734203</w:t>
      </w:r>
    </w:p>
    <w:p w14:paraId="75D89710"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Prieto-Ursúa, M., &amp; Jódar, R. (2020). Finding meaning in hell. The role of meaning, religiosity and spirituality in posttraumatic growth during the coronavirus crisis in Spain. </w:t>
      </w:r>
      <w:r w:rsidRPr="00DC595B">
        <w:rPr>
          <w:rFonts w:ascii="Times New Roman" w:hAnsi="Times New Roman" w:cs="Times New Roman"/>
          <w:i/>
          <w:sz w:val="24"/>
          <w:szCs w:val="24"/>
          <w:shd w:val="clear" w:color="auto" w:fill="FFFFFF"/>
        </w:rPr>
        <w:t>Frontiers in Psychology, 11</w:t>
      </w:r>
      <w:r w:rsidRPr="00DC595B">
        <w:rPr>
          <w:rFonts w:ascii="Times New Roman" w:hAnsi="Times New Roman" w:cs="Times New Roman"/>
          <w:sz w:val="24"/>
          <w:szCs w:val="24"/>
          <w:shd w:val="clear" w:color="auto" w:fill="FFFFFF"/>
        </w:rPr>
        <w:t>, 567836. https://doi.org/10.3389/fpsyg.2020.567836</w:t>
      </w:r>
    </w:p>
    <w:p w14:paraId="11283E8C"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Prowse, R., Sherratt, F., Abizaid, A., Gabrys, R. L., Hellemans, K. G., Patterson, Z. R., &amp; McQuaid, R. J. (2021). Coping with the COVID-19 pandemic: examining gender differences in stress and mental health among university students. </w:t>
      </w:r>
      <w:r w:rsidRPr="00DC595B">
        <w:rPr>
          <w:rFonts w:ascii="Times New Roman" w:hAnsi="Times New Roman" w:cs="Times New Roman"/>
          <w:i/>
          <w:sz w:val="24"/>
          <w:szCs w:val="24"/>
          <w:shd w:val="clear" w:color="auto" w:fill="FFFFFF"/>
        </w:rPr>
        <w:t>Frontiers in Psychiatry, 12</w:t>
      </w:r>
      <w:r w:rsidRPr="00DC595B">
        <w:rPr>
          <w:rFonts w:ascii="Times New Roman" w:hAnsi="Times New Roman" w:cs="Times New Roman"/>
          <w:sz w:val="24"/>
          <w:szCs w:val="24"/>
          <w:shd w:val="clear" w:color="auto" w:fill="FFFFFF"/>
        </w:rPr>
        <w:t>, 650759. https://doi.org/10.3389/fpsyt.2021.650759</w:t>
      </w:r>
    </w:p>
    <w:p w14:paraId="4FF42C8B"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Qian, W., Tang, R., Jiao, K., Xu, X., Zou, X., &amp; Wang, J. (2022). Growing in suffering: The curvilinear relationship between prolonged grief and post-traumatic growth of recently bereaved individual during the COVID-19 pandemic. </w:t>
      </w:r>
      <w:r w:rsidRPr="00DC595B">
        <w:rPr>
          <w:rFonts w:ascii="Times New Roman" w:hAnsi="Times New Roman" w:cs="Times New Roman"/>
          <w:i/>
          <w:sz w:val="24"/>
          <w:szCs w:val="24"/>
          <w:shd w:val="clear" w:color="auto" w:fill="FFFFFF"/>
        </w:rPr>
        <w:t>OMEGA-Journal of Death and Dying</w:t>
      </w:r>
      <w:r w:rsidRPr="00DC595B">
        <w:rPr>
          <w:rFonts w:ascii="Times New Roman" w:hAnsi="Times New Roman" w:cs="Times New Roman"/>
          <w:sz w:val="24"/>
          <w:szCs w:val="24"/>
          <w:shd w:val="clear" w:color="auto" w:fill="FFFFFF"/>
        </w:rPr>
        <w:t>, 00302228221141937. https://doi.org/10.1177/00302228221141937</w:t>
      </w:r>
    </w:p>
    <w:p w14:paraId="655DA65D"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R Core Team. (2019). </w:t>
      </w:r>
      <w:r w:rsidRPr="00DC595B">
        <w:rPr>
          <w:rFonts w:ascii="Times New Roman" w:hAnsi="Times New Roman" w:cs="Times New Roman"/>
          <w:i/>
          <w:sz w:val="24"/>
          <w:szCs w:val="24"/>
          <w:shd w:val="clear" w:color="auto" w:fill="FFFFFF"/>
        </w:rPr>
        <w:t>A language and environment for statistical computing</w:t>
      </w:r>
      <w:r w:rsidRPr="00DC595B">
        <w:rPr>
          <w:rFonts w:ascii="Times New Roman" w:hAnsi="Times New Roman" w:cs="Times New Roman"/>
          <w:sz w:val="24"/>
          <w:szCs w:val="24"/>
          <w:shd w:val="clear" w:color="auto" w:fill="FFFFFF"/>
        </w:rPr>
        <w:t xml:space="preserve"> (R version 3.6.1). R Foundation for Statistical Computing. http://www.r-project.org/</w:t>
      </w:r>
    </w:p>
    <w:p w14:paraId="54C41DC4" w14:textId="77777777" w:rsidR="00DC595B" w:rsidRPr="00837443"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lang w:val="es-ES"/>
        </w:rPr>
        <w:t xml:space="preserve">Ramos-Vera, C., Ramírez, Y. B., Rojas, E. R., Serpa-Barrientos, A., &amp; García, F. E. (2021). Evidencias psicométricas mediante SEM y análisis de red del "inventario de crecimiento postraumático" en adolescentes peruanos. </w:t>
      </w:r>
      <w:r w:rsidRPr="00837443">
        <w:rPr>
          <w:rFonts w:ascii="Times New Roman" w:hAnsi="Times New Roman" w:cs="Times New Roman"/>
          <w:i/>
          <w:sz w:val="24"/>
          <w:szCs w:val="24"/>
          <w:shd w:val="clear" w:color="auto" w:fill="FFFFFF"/>
        </w:rPr>
        <w:t>Psicología Conductual, 29</w:t>
      </w:r>
      <w:r w:rsidRPr="00837443">
        <w:rPr>
          <w:rFonts w:ascii="Times New Roman" w:hAnsi="Times New Roman" w:cs="Times New Roman"/>
          <w:sz w:val="24"/>
          <w:szCs w:val="24"/>
          <w:shd w:val="clear" w:color="auto" w:fill="FFFFFF"/>
        </w:rPr>
        <w:t>(2), 417-436.</w:t>
      </w:r>
    </w:p>
    <w:p w14:paraId="02B6DC32"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837443">
        <w:rPr>
          <w:rFonts w:ascii="Times New Roman" w:hAnsi="Times New Roman" w:cs="Times New Roman"/>
          <w:sz w:val="24"/>
          <w:szCs w:val="24"/>
          <w:shd w:val="clear" w:color="auto" w:fill="FFFFFF"/>
        </w:rPr>
        <w:t xml:space="preserve">Rhemtulla, M., Brosseau-Liard, P. E., &amp; Savalei, V. (2012). </w:t>
      </w:r>
      <w:r w:rsidRPr="00DC595B">
        <w:rPr>
          <w:rFonts w:ascii="Times New Roman" w:hAnsi="Times New Roman" w:cs="Times New Roman"/>
          <w:sz w:val="24"/>
          <w:szCs w:val="24"/>
          <w:shd w:val="clear" w:color="auto" w:fill="FFFFFF"/>
        </w:rPr>
        <w:t xml:space="preserve">When can categorical variables be treated as continuous? A comparison of robust continuous and </w:t>
      </w:r>
      <w:r w:rsidRPr="00DC595B">
        <w:rPr>
          <w:rFonts w:ascii="Times New Roman" w:hAnsi="Times New Roman" w:cs="Times New Roman"/>
          <w:sz w:val="24"/>
          <w:szCs w:val="24"/>
          <w:shd w:val="clear" w:color="auto" w:fill="FFFFFF"/>
        </w:rPr>
        <w:lastRenderedPageBreak/>
        <w:t xml:space="preserve">categorical SEM estimation methods under suboptimal conditions. </w:t>
      </w:r>
      <w:r w:rsidRPr="00DC595B">
        <w:rPr>
          <w:rFonts w:ascii="Times New Roman" w:hAnsi="Times New Roman" w:cs="Times New Roman"/>
          <w:i/>
          <w:sz w:val="24"/>
          <w:szCs w:val="24"/>
          <w:shd w:val="clear" w:color="auto" w:fill="FFFFFF"/>
        </w:rPr>
        <w:t>Psychological Methods, 17</w:t>
      </w:r>
      <w:r w:rsidRPr="00DC595B">
        <w:rPr>
          <w:rFonts w:ascii="Times New Roman" w:hAnsi="Times New Roman" w:cs="Times New Roman"/>
          <w:sz w:val="24"/>
          <w:szCs w:val="24"/>
          <w:shd w:val="clear" w:color="auto" w:fill="FFFFFF"/>
        </w:rPr>
        <w:t>(3), 354–373. https://doi.org/10.1037/a0029315</w:t>
      </w:r>
    </w:p>
    <w:p w14:paraId="3C2A2489"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Rosseel, Y. (2012). lavaan : An R Package for Structural Equation Modeling. </w:t>
      </w:r>
      <w:r w:rsidRPr="00DC595B">
        <w:rPr>
          <w:rFonts w:ascii="Times New Roman" w:hAnsi="Times New Roman" w:cs="Times New Roman"/>
          <w:i/>
          <w:sz w:val="24"/>
          <w:szCs w:val="24"/>
          <w:shd w:val="clear" w:color="auto" w:fill="FFFFFF"/>
        </w:rPr>
        <w:t>Journal of Statistical Software, 48</w:t>
      </w:r>
      <w:r w:rsidRPr="00DC595B">
        <w:rPr>
          <w:rFonts w:ascii="Times New Roman" w:hAnsi="Times New Roman" w:cs="Times New Roman"/>
          <w:sz w:val="24"/>
          <w:szCs w:val="24"/>
          <w:shd w:val="clear" w:color="auto" w:fill="FFFFFF"/>
        </w:rPr>
        <w:t>(2), 1–36. https://doi.org/10.18637/jss.v048.i02</w:t>
      </w:r>
    </w:p>
    <w:p w14:paraId="37C8625B"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RStudio Team. (2018). </w:t>
      </w:r>
      <w:r w:rsidRPr="00DC595B">
        <w:rPr>
          <w:rFonts w:ascii="Times New Roman" w:hAnsi="Times New Roman" w:cs="Times New Roman"/>
          <w:i/>
          <w:sz w:val="24"/>
          <w:szCs w:val="24"/>
          <w:shd w:val="clear" w:color="auto" w:fill="FFFFFF"/>
        </w:rPr>
        <w:t>RStudio: Integrated Development Environment for R</w:t>
      </w:r>
      <w:r w:rsidRPr="00DC595B">
        <w:rPr>
          <w:rFonts w:ascii="Times New Roman" w:hAnsi="Times New Roman" w:cs="Times New Roman"/>
          <w:sz w:val="24"/>
          <w:szCs w:val="24"/>
          <w:shd w:val="clear" w:color="auto" w:fill="FFFFFF"/>
        </w:rPr>
        <w:t>. RStudio, Inc. http://www.rstudio.com/</w:t>
      </w:r>
    </w:p>
    <w:p w14:paraId="1D720B96"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Samejima, F. (1997). Graded response model. In W. J. Van der Linden &amp; R. K. Hambleton (Eds.), </w:t>
      </w:r>
      <w:r w:rsidRPr="00DC595B">
        <w:rPr>
          <w:rFonts w:ascii="Times New Roman" w:hAnsi="Times New Roman" w:cs="Times New Roman"/>
          <w:i/>
          <w:sz w:val="24"/>
          <w:szCs w:val="24"/>
          <w:shd w:val="clear" w:color="auto" w:fill="FFFFFF"/>
        </w:rPr>
        <w:t>Handbook of modern Item Response Theory</w:t>
      </w:r>
      <w:r w:rsidRPr="00DC595B">
        <w:rPr>
          <w:rFonts w:ascii="Times New Roman" w:hAnsi="Times New Roman" w:cs="Times New Roman"/>
          <w:sz w:val="24"/>
          <w:szCs w:val="24"/>
          <w:shd w:val="clear" w:color="auto" w:fill="FFFFFF"/>
        </w:rPr>
        <w:t xml:space="preserve"> (pp. 85–100). New York, NY: Springer.</w:t>
      </w:r>
    </w:p>
    <w:p w14:paraId="3B333AC1"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Saragih, I. D., Tonapa, S. I., Saragih, I. S., Advani, S., Batubara, S. O., Suarilah, I., &amp; Lin, C. J. (2021). Global prevalence of mental health problems among healthcare workers during the Covid-19 pandemic: a systematic review and meta-analysis. </w:t>
      </w:r>
      <w:r w:rsidRPr="00DC595B">
        <w:rPr>
          <w:rFonts w:ascii="Times New Roman" w:hAnsi="Times New Roman" w:cs="Times New Roman"/>
          <w:i/>
          <w:sz w:val="24"/>
          <w:szCs w:val="24"/>
          <w:shd w:val="clear" w:color="auto" w:fill="FFFFFF"/>
        </w:rPr>
        <w:t>International Journal of Nursing Studies, 121</w:t>
      </w:r>
      <w:r w:rsidRPr="00DC595B">
        <w:rPr>
          <w:rFonts w:ascii="Times New Roman" w:hAnsi="Times New Roman" w:cs="Times New Roman"/>
          <w:sz w:val="24"/>
          <w:szCs w:val="24"/>
          <w:shd w:val="clear" w:color="auto" w:fill="FFFFFF"/>
        </w:rPr>
        <w:t>, 104002. https://doi.org/10.1016/j.ijnurstu.2021.104002</w:t>
      </w:r>
    </w:p>
    <w:p w14:paraId="3761DFF8"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Schumacker, R. E., &amp; Lomax, R. G. (2015). </w:t>
      </w:r>
      <w:r w:rsidRPr="00DC595B">
        <w:rPr>
          <w:rFonts w:ascii="Times New Roman" w:hAnsi="Times New Roman" w:cs="Times New Roman"/>
          <w:i/>
          <w:sz w:val="24"/>
          <w:szCs w:val="24"/>
          <w:shd w:val="clear" w:color="auto" w:fill="FFFFFF"/>
        </w:rPr>
        <w:t>A Beginner’s Guide to Structural Equation Modeling: Fourth Edition</w:t>
      </w:r>
      <w:r w:rsidRPr="00DC595B">
        <w:rPr>
          <w:rFonts w:ascii="Times New Roman" w:hAnsi="Times New Roman" w:cs="Times New Roman"/>
          <w:sz w:val="24"/>
          <w:szCs w:val="24"/>
          <w:shd w:val="clear" w:color="auto" w:fill="FFFFFF"/>
        </w:rPr>
        <w:t xml:space="preserve"> (4th ed.). Routledge.</w:t>
      </w:r>
    </w:p>
    <w:p w14:paraId="40DA0F7A"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Solomou, I., &amp; Constantinidou, F. (2020). Prevalence and predictors of anxiety and depression symptoms during the COVID-19 pandemic and compliance with precautionary measures: age and sex matter. </w:t>
      </w:r>
      <w:r w:rsidRPr="00DC595B">
        <w:rPr>
          <w:rFonts w:ascii="Times New Roman" w:hAnsi="Times New Roman" w:cs="Times New Roman"/>
          <w:i/>
          <w:sz w:val="24"/>
          <w:szCs w:val="24"/>
          <w:shd w:val="clear" w:color="auto" w:fill="FFFFFF"/>
        </w:rPr>
        <w:t>International Journal of Environmental Research and Public Health, 17</w:t>
      </w:r>
      <w:r w:rsidRPr="00DC595B">
        <w:rPr>
          <w:rFonts w:ascii="Times New Roman" w:hAnsi="Times New Roman" w:cs="Times New Roman"/>
          <w:sz w:val="24"/>
          <w:szCs w:val="24"/>
          <w:shd w:val="clear" w:color="auto" w:fill="FFFFFF"/>
        </w:rPr>
        <w:t>(14), 4924. https://doi.org/10.3390/ijerph17144924</w:t>
      </w:r>
    </w:p>
    <w:p w14:paraId="089081C2"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lang w:val="es-ES"/>
        </w:rPr>
        <w:t xml:space="preserve">Sousa, G. M. D., Tavares, V. D. D. O., de Meiroz Grilo, M. L. P., Coelho, M. L. G., Lima-Araújo, G. L. D., Schuch, F. B., &amp; Galvão-Coelho, N. L. (2021). </w:t>
      </w:r>
      <w:r w:rsidRPr="00DC595B">
        <w:rPr>
          <w:rFonts w:ascii="Times New Roman" w:hAnsi="Times New Roman" w:cs="Times New Roman"/>
          <w:sz w:val="24"/>
          <w:szCs w:val="24"/>
          <w:shd w:val="clear" w:color="auto" w:fill="FFFFFF"/>
        </w:rPr>
        <w:t xml:space="preserve">Mental health in COVID-19 pandemic: A meta-review of prevalence meta-analyses. </w:t>
      </w:r>
      <w:r w:rsidRPr="00DC595B">
        <w:rPr>
          <w:rFonts w:ascii="Times New Roman" w:hAnsi="Times New Roman" w:cs="Times New Roman"/>
          <w:i/>
          <w:sz w:val="24"/>
          <w:szCs w:val="24"/>
          <w:shd w:val="clear" w:color="auto" w:fill="FFFFFF"/>
        </w:rPr>
        <w:t>Frontiers in Psychology, 12</w:t>
      </w:r>
      <w:r w:rsidRPr="00DC595B">
        <w:rPr>
          <w:rFonts w:ascii="Times New Roman" w:hAnsi="Times New Roman" w:cs="Times New Roman"/>
          <w:sz w:val="24"/>
          <w:szCs w:val="24"/>
          <w:shd w:val="clear" w:color="auto" w:fill="FFFFFF"/>
        </w:rPr>
        <w:t>, 703838. https://doi.org/10.3389/fpsyg.2021.703838</w:t>
      </w:r>
    </w:p>
    <w:p w14:paraId="2ACE9910"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Splevins, K., Cohen, K., Bowley, J., &amp; Joseph, S. (2010). Theories of posttraumatic growth: Cross-cultural perspectives. </w:t>
      </w:r>
      <w:r w:rsidRPr="00DC595B">
        <w:rPr>
          <w:rFonts w:ascii="Times New Roman" w:hAnsi="Times New Roman" w:cs="Times New Roman"/>
          <w:i/>
          <w:sz w:val="24"/>
          <w:szCs w:val="24"/>
          <w:shd w:val="clear" w:color="auto" w:fill="FFFFFF"/>
        </w:rPr>
        <w:t>Journal of Loss and Trauma, 15</w:t>
      </w:r>
      <w:r w:rsidRPr="00DC595B">
        <w:rPr>
          <w:rFonts w:ascii="Times New Roman" w:hAnsi="Times New Roman" w:cs="Times New Roman"/>
          <w:sz w:val="24"/>
          <w:szCs w:val="24"/>
          <w:shd w:val="clear" w:color="auto" w:fill="FFFFFF"/>
        </w:rPr>
        <w:t>(3), 259-277. https://doi.org/10.1080/15325020903382111</w:t>
      </w:r>
    </w:p>
    <w:p w14:paraId="52D2CD62"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Stroebe, M., &amp; Schut, H. (2021). Bereavement in times of COVID-19: A review and theoretical framework. </w:t>
      </w:r>
      <w:r w:rsidRPr="00DC595B">
        <w:rPr>
          <w:rFonts w:ascii="Times New Roman" w:hAnsi="Times New Roman" w:cs="Times New Roman"/>
          <w:i/>
          <w:sz w:val="24"/>
          <w:szCs w:val="24"/>
          <w:shd w:val="clear" w:color="auto" w:fill="FFFFFF"/>
        </w:rPr>
        <w:t>OMEGA-Journal of Death and Dying, 82</w:t>
      </w:r>
      <w:r w:rsidRPr="00DC595B">
        <w:rPr>
          <w:rFonts w:ascii="Times New Roman" w:hAnsi="Times New Roman" w:cs="Times New Roman"/>
          <w:sz w:val="24"/>
          <w:szCs w:val="24"/>
          <w:shd w:val="clear" w:color="auto" w:fill="FFFFFF"/>
        </w:rPr>
        <w:t>(3), 500-522. https://doi.org/10.1177/0030222820966928</w:t>
      </w:r>
    </w:p>
    <w:p w14:paraId="7C1E08E2"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Taasoobshirazi, G., &amp; Wang, S. (2016). The performance of the SRMR, RMSEA, CFI, and TLI: An examination of sample size, path size, and degrees of freedom. </w:t>
      </w:r>
      <w:r w:rsidRPr="00DC595B">
        <w:rPr>
          <w:rFonts w:ascii="Times New Roman" w:hAnsi="Times New Roman" w:cs="Times New Roman"/>
          <w:i/>
          <w:sz w:val="24"/>
          <w:szCs w:val="24"/>
          <w:shd w:val="clear" w:color="auto" w:fill="FFFFFF"/>
        </w:rPr>
        <w:t>Journal of Applied Quantitative Methods, 11</w:t>
      </w:r>
      <w:r w:rsidRPr="00DC595B">
        <w:rPr>
          <w:rFonts w:ascii="Times New Roman" w:hAnsi="Times New Roman" w:cs="Times New Roman"/>
          <w:sz w:val="24"/>
          <w:szCs w:val="24"/>
          <w:shd w:val="clear" w:color="auto" w:fill="FFFFFF"/>
        </w:rPr>
        <w:t>(3), 31-39. http://jaqm.ro/issues/volume-11,issue-3/pdfs/2_GI_SH_.pdf</w:t>
      </w:r>
    </w:p>
    <w:p w14:paraId="2747AF9A"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Tedeschi, R. G., &amp; Calhoun, L. G. (1996). The Posttraumatic Growth Inventory: Measuring the positive legacy of trauma. </w:t>
      </w:r>
      <w:r w:rsidRPr="00DC595B">
        <w:rPr>
          <w:rFonts w:ascii="Times New Roman" w:hAnsi="Times New Roman" w:cs="Times New Roman"/>
          <w:i/>
          <w:sz w:val="24"/>
          <w:szCs w:val="24"/>
          <w:shd w:val="clear" w:color="auto" w:fill="FFFFFF"/>
        </w:rPr>
        <w:t>Journal of Traumatic Stress, 9</w:t>
      </w:r>
      <w:r w:rsidRPr="00DC595B">
        <w:rPr>
          <w:rFonts w:ascii="Times New Roman" w:hAnsi="Times New Roman" w:cs="Times New Roman"/>
          <w:sz w:val="24"/>
          <w:szCs w:val="24"/>
          <w:shd w:val="clear" w:color="auto" w:fill="FFFFFF"/>
        </w:rPr>
        <w:t>(3), 455-471. https://doi.org/10.1007/BF02103658</w:t>
      </w:r>
    </w:p>
    <w:p w14:paraId="04287733"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lastRenderedPageBreak/>
        <w:t xml:space="preserve">Tedeschi, R. G., &amp; Calhoun, L. G. (2004). " Posttraumatic growth: conceptual foundations and empirical evidence". </w:t>
      </w:r>
      <w:r w:rsidRPr="00DC595B">
        <w:rPr>
          <w:rFonts w:ascii="Times New Roman" w:hAnsi="Times New Roman" w:cs="Times New Roman"/>
          <w:i/>
          <w:sz w:val="24"/>
          <w:szCs w:val="24"/>
          <w:shd w:val="clear" w:color="auto" w:fill="FFFFFF"/>
        </w:rPr>
        <w:t>Psychological Inquiry, 15</w:t>
      </w:r>
      <w:r w:rsidRPr="00DC595B">
        <w:rPr>
          <w:rFonts w:ascii="Times New Roman" w:hAnsi="Times New Roman" w:cs="Times New Roman"/>
          <w:sz w:val="24"/>
          <w:szCs w:val="24"/>
          <w:shd w:val="clear" w:color="auto" w:fill="FFFFFF"/>
        </w:rPr>
        <w:t>(1), 1-18. https://doi.org/10.1207/s15327965pli1501_01</w:t>
      </w:r>
    </w:p>
    <w:p w14:paraId="1F71813F"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Thomson, G., Cook, J., Nowland, R., Donnellan, W. J., Topalidou, A., Jackson, L., &amp; Fallon, V. (2022). Resilience and post‐traumatic growth in the transition to motherhood during the COVID‐19 pandemic: A qualitative exploratory study. </w:t>
      </w:r>
      <w:r w:rsidRPr="00DC595B">
        <w:rPr>
          <w:rFonts w:ascii="Times New Roman" w:hAnsi="Times New Roman" w:cs="Times New Roman"/>
          <w:i/>
          <w:sz w:val="24"/>
          <w:szCs w:val="24"/>
          <w:shd w:val="clear" w:color="auto" w:fill="FFFFFF"/>
        </w:rPr>
        <w:t>Scandinavian Journal of Caring Sciences, 36</w:t>
      </w:r>
      <w:r w:rsidRPr="00DC595B">
        <w:rPr>
          <w:rFonts w:ascii="Times New Roman" w:hAnsi="Times New Roman" w:cs="Times New Roman"/>
          <w:sz w:val="24"/>
          <w:szCs w:val="24"/>
          <w:shd w:val="clear" w:color="auto" w:fill="FFFFFF"/>
        </w:rPr>
        <w:t>(4), 1143-1155. https://doi.org/10.1111/scs.13087</w:t>
      </w:r>
    </w:p>
    <w:p w14:paraId="60781DAF"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Tsai, J., El-Gabalawy, R., Sledge, W. H., Southwick, S. M., &amp; Pietrzak, R. H. (2015). Post-traumatic growth among veterans in the USA: Results from the National Health and Resilience in Veterans Study. </w:t>
      </w:r>
      <w:r w:rsidRPr="00DC595B">
        <w:rPr>
          <w:rFonts w:ascii="Times New Roman" w:hAnsi="Times New Roman" w:cs="Times New Roman"/>
          <w:i/>
          <w:sz w:val="24"/>
          <w:szCs w:val="24"/>
          <w:shd w:val="clear" w:color="auto" w:fill="FFFFFF"/>
        </w:rPr>
        <w:t>Psychological Medicine, 45</w:t>
      </w:r>
      <w:r w:rsidRPr="00DC595B">
        <w:rPr>
          <w:rFonts w:ascii="Times New Roman" w:hAnsi="Times New Roman" w:cs="Times New Roman"/>
          <w:sz w:val="24"/>
          <w:szCs w:val="24"/>
          <w:shd w:val="clear" w:color="auto" w:fill="FFFFFF"/>
        </w:rPr>
        <w:t>(1), 165-179. https://doi.org/10.1017/S0033291714001202</w:t>
      </w:r>
    </w:p>
    <w:p w14:paraId="7B17AD92"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Ullah, I., Tahir, M. J., Ali, S., Waseem, R., Griffiths, M. D., Mamun, M. A., ... &amp; Pakpour, A. H. (2021). COVID-19 fear among Pakistanis: Psychometric evaluation of the Fear of COVID-19 Scale using Item response theory and confirmatory factor analysis. </w:t>
      </w:r>
      <w:r w:rsidRPr="00DC595B">
        <w:rPr>
          <w:rFonts w:ascii="Times New Roman" w:hAnsi="Times New Roman" w:cs="Times New Roman"/>
          <w:i/>
          <w:sz w:val="24"/>
          <w:szCs w:val="24"/>
          <w:shd w:val="clear" w:color="auto" w:fill="FFFFFF"/>
        </w:rPr>
        <w:t>International Journal of Mental Health and Addiction</w:t>
      </w:r>
      <w:r w:rsidRPr="00DC595B">
        <w:rPr>
          <w:rFonts w:ascii="Times New Roman" w:hAnsi="Times New Roman" w:cs="Times New Roman"/>
          <w:sz w:val="24"/>
          <w:szCs w:val="24"/>
          <w:shd w:val="clear" w:color="auto" w:fill="FFFFFF"/>
        </w:rPr>
        <w:t>, 1-16. https://doi.org/10.1007/s11469-021-00656-2</w:t>
      </w:r>
    </w:p>
    <w:p w14:paraId="566AA290"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837443">
        <w:rPr>
          <w:rFonts w:ascii="Times New Roman" w:hAnsi="Times New Roman" w:cs="Times New Roman"/>
          <w:sz w:val="24"/>
          <w:szCs w:val="24"/>
          <w:shd w:val="clear" w:color="auto" w:fill="FFFFFF"/>
          <w:lang w:val="fr-FR"/>
        </w:rPr>
        <w:t xml:space="preserve">Ulset, V. S., &amp; von Soest, T. (2022). </w:t>
      </w:r>
      <w:r w:rsidRPr="00DC595B">
        <w:rPr>
          <w:rFonts w:ascii="Times New Roman" w:hAnsi="Times New Roman" w:cs="Times New Roman"/>
          <w:sz w:val="24"/>
          <w:szCs w:val="24"/>
          <w:shd w:val="clear" w:color="auto" w:fill="FFFFFF"/>
        </w:rPr>
        <w:t xml:space="preserve">Posttraumatic growth during the COVID‐19 lockdown: A large‐scale population‐based study among Norwegian adolescents. </w:t>
      </w:r>
      <w:r w:rsidRPr="00DC595B">
        <w:rPr>
          <w:rFonts w:ascii="Times New Roman" w:hAnsi="Times New Roman" w:cs="Times New Roman"/>
          <w:i/>
          <w:sz w:val="24"/>
          <w:szCs w:val="24"/>
          <w:shd w:val="clear" w:color="auto" w:fill="FFFFFF"/>
        </w:rPr>
        <w:t>Journal of Traumatic Stress, 35</w:t>
      </w:r>
      <w:r w:rsidRPr="00DC595B">
        <w:rPr>
          <w:rFonts w:ascii="Times New Roman" w:hAnsi="Times New Roman" w:cs="Times New Roman"/>
          <w:sz w:val="24"/>
          <w:szCs w:val="24"/>
          <w:shd w:val="clear" w:color="auto" w:fill="FFFFFF"/>
        </w:rPr>
        <w:t>(3), 941-954. https://doi.org/10.1002/jts.22801</w:t>
      </w:r>
    </w:p>
    <w:p w14:paraId="53EB5723"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Veenhoven, R. (1996). Developments in satisfaction-research. </w:t>
      </w:r>
      <w:r w:rsidRPr="00DC595B">
        <w:rPr>
          <w:rFonts w:ascii="Times New Roman" w:hAnsi="Times New Roman" w:cs="Times New Roman"/>
          <w:i/>
          <w:sz w:val="24"/>
          <w:szCs w:val="24"/>
          <w:shd w:val="clear" w:color="auto" w:fill="FFFFFF"/>
        </w:rPr>
        <w:t>Social Indicators Research, 37</w:t>
      </w:r>
      <w:r w:rsidRPr="00DC595B">
        <w:rPr>
          <w:rFonts w:ascii="Times New Roman" w:hAnsi="Times New Roman" w:cs="Times New Roman"/>
          <w:sz w:val="24"/>
          <w:szCs w:val="24"/>
          <w:shd w:val="clear" w:color="auto" w:fill="FFFFFF"/>
        </w:rPr>
        <w:t>(1), 1-46. https://doi.org/10.1007/BF00300268</w:t>
      </w:r>
    </w:p>
    <w:p w14:paraId="067AB7FA"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lang w:val="es-ES"/>
        </w:rPr>
        <w:t xml:space="preserve">Ventura-León, J., Lino-Cruz, C., &amp; Caycho-Rodríguez, T. (2022). </w:t>
      </w:r>
      <w:r w:rsidRPr="00DC595B">
        <w:rPr>
          <w:rFonts w:ascii="Times New Roman" w:hAnsi="Times New Roman" w:cs="Times New Roman"/>
          <w:sz w:val="24"/>
          <w:szCs w:val="24"/>
          <w:shd w:val="clear" w:color="auto" w:fill="FFFFFF"/>
        </w:rPr>
        <w:t xml:space="preserve">Relationship Satisfaction in Young Couples: Evidence for Validity of Short Scale Combining CFA and IRT. </w:t>
      </w:r>
      <w:r w:rsidRPr="00DC595B">
        <w:rPr>
          <w:rFonts w:ascii="Times New Roman" w:hAnsi="Times New Roman" w:cs="Times New Roman"/>
          <w:i/>
          <w:sz w:val="24"/>
          <w:szCs w:val="24"/>
          <w:shd w:val="clear" w:color="auto" w:fill="FFFFFF"/>
        </w:rPr>
        <w:t>Journal of Sex &amp; Marital Therapy</w:t>
      </w:r>
      <w:r w:rsidRPr="00DC595B">
        <w:rPr>
          <w:rFonts w:ascii="Times New Roman" w:hAnsi="Times New Roman" w:cs="Times New Roman"/>
          <w:sz w:val="24"/>
          <w:szCs w:val="24"/>
          <w:shd w:val="clear" w:color="auto" w:fill="FFFFFF"/>
        </w:rPr>
        <w:t>, 1-12. ttps://doi.org/10.1080/0092623X.2022.2129119</w:t>
      </w:r>
    </w:p>
    <w:p w14:paraId="2CF0B8A1"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lang w:val="es-ES"/>
        </w:rPr>
      </w:pPr>
      <w:r w:rsidRPr="00DC595B">
        <w:rPr>
          <w:rFonts w:ascii="Times New Roman" w:hAnsi="Times New Roman" w:cs="Times New Roman"/>
          <w:sz w:val="24"/>
          <w:szCs w:val="24"/>
          <w:shd w:val="clear" w:color="auto" w:fill="FFFFFF"/>
        </w:rPr>
        <w:t xml:space="preserve">Viladrich, C., Angulo-Brunet, A., &amp; Doval, E. (2017). A journey around alpha and omega to estimate internal consistency reliability. </w:t>
      </w:r>
      <w:r w:rsidRPr="00DC595B">
        <w:rPr>
          <w:rFonts w:ascii="Times New Roman" w:hAnsi="Times New Roman" w:cs="Times New Roman"/>
          <w:i/>
          <w:sz w:val="24"/>
          <w:szCs w:val="24"/>
          <w:shd w:val="clear" w:color="auto" w:fill="FFFFFF"/>
          <w:lang w:val="es-ES"/>
        </w:rPr>
        <w:t>Anales de Psicología, 33</w:t>
      </w:r>
      <w:r w:rsidRPr="00DC595B">
        <w:rPr>
          <w:rFonts w:ascii="Times New Roman" w:hAnsi="Times New Roman" w:cs="Times New Roman"/>
          <w:sz w:val="24"/>
          <w:szCs w:val="24"/>
          <w:shd w:val="clear" w:color="auto" w:fill="FFFFFF"/>
          <w:lang w:val="es-ES"/>
        </w:rPr>
        <w:t>(3), 755–782. https://doi.org/10.6018/analesps.33.3.268401</w:t>
      </w:r>
    </w:p>
    <w:p w14:paraId="29E7C4EB"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lang w:val="es-ES"/>
        </w:rPr>
        <w:t xml:space="preserve">Vilca, L. W., Chambi-Mamani, E. L., Quispe-Kana, E. D., Hernández-López, M., &amp; Caycho-Rodríguez, T. (2022). </w:t>
      </w:r>
      <w:r w:rsidRPr="00DC595B">
        <w:rPr>
          <w:rFonts w:ascii="Times New Roman" w:hAnsi="Times New Roman" w:cs="Times New Roman"/>
          <w:sz w:val="24"/>
          <w:szCs w:val="24"/>
          <w:shd w:val="clear" w:color="auto" w:fill="FFFFFF"/>
        </w:rPr>
        <w:t xml:space="preserve">Functioning of the EROS-R Scale in a Clinical Sample of Psychiatric Patients: New Psychometric Evidence from the Classical Test Theory and the Item Response Theory. </w:t>
      </w:r>
      <w:r w:rsidRPr="00DC595B">
        <w:rPr>
          <w:rFonts w:ascii="Times New Roman" w:hAnsi="Times New Roman" w:cs="Times New Roman"/>
          <w:i/>
          <w:sz w:val="24"/>
          <w:szCs w:val="24"/>
          <w:shd w:val="clear" w:color="auto" w:fill="FFFFFF"/>
        </w:rPr>
        <w:t>International Journal of Environmental Research and Public Health, 19</w:t>
      </w:r>
      <w:r w:rsidRPr="00DC595B">
        <w:rPr>
          <w:rFonts w:ascii="Times New Roman" w:hAnsi="Times New Roman" w:cs="Times New Roman"/>
          <w:sz w:val="24"/>
          <w:szCs w:val="24"/>
          <w:shd w:val="clear" w:color="auto" w:fill="FFFFFF"/>
        </w:rPr>
        <w:t>(16), 10062. https://doi.org/10.3390/ijerph191610062</w:t>
      </w:r>
    </w:p>
    <w:p w14:paraId="3B7A2956"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Waters, L., Cameron, K., Nelson-Coffey, S. K., Crone, D. L., Kern, M. L., Lomas, T., ... &amp; Williams, P. (2022). Collective wellbeing and posttraumatic growth during COVID-19: How positive psychology can help families, schools, workplaces </w:t>
      </w:r>
      <w:r w:rsidRPr="00DC595B">
        <w:rPr>
          <w:rFonts w:ascii="Times New Roman" w:hAnsi="Times New Roman" w:cs="Times New Roman"/>
          <w:sz w:val="24"/>
          <w:szCs w:val="24"/>
          <w:shd w:val="clear" w:color="auto" w:fill="FFFFFF"/>
        </w:rPr>
        <w:lastRenderedPageBreak/>
        <w:t xml:space="preserve">and marginalized communities. </w:t>
      </w:r>
      <w:r w:rsidRPr="00DC595B">
        <w:rPr>
          <w:rFonts w:ascii="Times New Roman" w:hAnsi="Times New Roman" w:cs="Times New Roman"/>
          <w:i/>
          <w:sz w:val="24"/>
          <w:szCs w:val="24"/>
          <w:shd w:val="clear" w:color="auto" w:fill="FFFFFF"/>
        </w:rPr>
        <w:t>The Journal of Positive Psychology, 17</w:t>
      </w:r>
      <w:r w:rsidRPr="00DC595B">
        <w:rPr>
          <w:rFonts w:ascii="Times New Roman" w:hAnsi="Times New Roman" w:cs="Times New Roman"/>
          <w:sz w:val="24"/>
          <w:szCs w:val="24"/>
          <w:shd w:val="clear" w:color="auto" w:fill="FFFFFF"/>
        </w:rPr>
        <w:t>(6), 761-789. https://doi.org/10.1080/17439760.2021.1940251</w:t>
      </w:r>
    </w:p>
    <w:p w14:paraId="5890AA66"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Yan, S., Yang, J., Ye, M., Chen, S., Xie, C., Huang, J., &amp; Liu, H. (2021). Post-traumatic growth and related influencing factors in discharged COVID-19 patients: a cross-sectional study. </w:t>
      </w:r>
      <w:r w:rsidRPr="00DC595B">
        <w:rPr>
          <w:rFonts w:ascii="Times New Roman" w:hAnsi="Times New Roman" w:cs="Times New Roman"/>
          <w:i/>
          <w:sz w:val="24"/>
          <w:szCs w:val="24"/>
          <w:shd w:val="clear" w:color="auto" w:fill="FFFFFF"/>
        </w:rPr>
        <w:t>Frontiers in Psychology, 12</w:t>
      </w:r>
      <w:r w:rsidRPr="00DC595B">
        <w:rPr>
          <w:rFonts w:ascii="Times New Roman" w:hAnsi="Times New Roman" w:cs="Times New Roman"/>
          <w:sz w:val="24"/>
          <w:szCs w:val="24"/>
          <w:shd w:val="clear" w:color="auto" w:fill="FFFFFF"/>
        </w:rPr>
        <w:t>, 658307. https://doi.org/10.3389/fpsyg.2021.658307</w:t>
      </w:r>
    </w:p>
    <w:p w14:paraId="40E5E2F2"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Zhang, S. X., &amp; Chen, J. (2021). Scientific evidence on mental health in key regions under the COVID-19 pandemic–meta-analytical evidence from Africa, Asia, China, Eastern Europe, Latin America, South Asia, Southeast Asia, and Spain. </w:t>
      </w:r>
      <w:r w:rsidRPr="00DC595B">
        <w:rPr>
          <w:rFonts w:ascii="Times New Roman" w:hAnsi="Times New Roman" w:cs="Times New Roman"/>
          <w:i/>
          <w:sz w:val="24"/>
          <w:szCs w:val="24"/>
          <w:shd w:val="clear" w:color="auto" w:fill="FFFFFF"/>
        </w:rPr>
        <w:t>European Journal of Psychotraumatology, 12</w:t>
      </w:r>
      <w:r w:rsidRPr="00DC595B">
        <w:rPr>
          <w:rFonts w:ascii="Times New Roman" w:hAnsi="Times New Roman" w:cs="Times New Roman"/>
          <w:sz w:val="24"/>
          <w:szCs w:val="24"/>
          <w:shd w:val="clear" w:color="auto" w:fill="FFFFFF"/>
        </w:rPr>
        <w:t>(1), 2001192. https://doi.org/10.1080/20008198.2021.2001192</w:t>
      </w:r>
    </w:p>
    <w:p w14:paraId="4E403A3A"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Zhang, S. X., Batra, K., Xu, W., Liu, T., Dong, R. K., Yin, A., ... &amp; Chen, J. (2022). Mental disorder symptoms during the COVID-19 pandemic in Latin America–a systematic review and meta-analysis. </w:t>
      </w:r>
      <w:r w:rsidRPr="00DC595B">
        <w:rPr>
          <w:rFonts w:ascii="Times New Roman" w:hAnsi="Times New Roman" w:cs="Times New Roman"/>
          <w:i/>
          <w:sz w:val="24"/>
          <w:szCs w:val="24"/>
          <w:shd w:val="clear" w:color="auto" w:fill="FFFFFF"/>
        </w:rPr>
        <w:t>Epidemiology and Psychiatric Sciences, 31</w:t>
      </w:r>
      <w:r w:rsidRPr="00DC595B">
        <w:rPr>
          <w:rFonts w:ascii="Times New Roman" w:hAnsi="Times New Roman" w:cs="Times New Roman"/>
          <w:sz w:val="24"/>
          <w:szCs w:val="24"/>
          <w:shd w:val="clear" w:color="auto" w:fill="FFFFFF"/>
        </w:rPr>
        <w:t>, e23. https://doi.org/10.1017/S2045796021000767</w:t>
      </w:r>
    </w:p>
    <w:p w14:paraId="11069485"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Zickar, M. J., &amp; Broadfoot, A. A. (2009). The partial revival of a dead horse? Comparing classical test theory and item response theory. In C. E. Lance &amp; R. J. Vandenberg (Eds.), </w:t>
      </w:r>
      <w:r w:rsidRPr="00DC595B">
        <w:rPr>
          <w:rFonts w:ascii="Times New Roman" w:hAnsi="Times New Roman" w:cs="Times New Roman"/>
          <w:i/>
          <w:sz w:val="24"/>
          <w:szCs w:val="24"/>
          <w:shd w:val="clear" w:color="auto" w:fill="FFFFFF"/>
        </w:rPr>
        <w:t>Statistical and methodological myths and urban legends</w:t>
      </w:r>
      <w:r w:rsidRPr="00DC595B">
        <w:rPr>
          <w:rFonts w:ascii="Times New Roman" w:hAnsi="Times New Roman" w:cs="Times New Roman"/>
          <w:sz w:val="24"/>
          <w:szCs w:val="24"/>
          <w:shd w:val="clear" w:color="auto" w:fill="FFFFFF"/>
        </w:rPr>
        <w:t xml:space="preserve"> (pp. 37-61). New York: Routledge</w:t>
      </w:r>
    </w:p>
    <w:p w14:paraId="447C76CD" w14:textId="77777777" w:rsidR="00DC595B" w:rsidRPr="00DC595B" w:rsidRDefault="00DC595B" w:rsidP="006134DA">
      <w:pPr>
        <w:spacing w:line="276" w:lineRule="auto"/>
        <w:ind w:left="709" w:hanging="709"/>
        <w:rPr>
          <w:rFonts w:ascii="Times New Roman" w:hAnsi="Times New Roman" w:cs="Times New Roman"/>
          <w:sz w:val="24"/>
          <w:szCs w:val="24"/>
          <w:shd w:val="clear" w:color="auto" w:fill="FFFFFF"/>
        </w:rPr>
      </w:pPr>
      <w:r w:rsidRPr="00DC595B">
        <w:rPr>
          <w:rFonts w:ascii="Times New Roman" w:hAnsi="Times New Roman" w:cs="Times New Roman"/>
          <w:sz w:val="24"/>
          <w:szCs w:val="24"/>
          <w:shd w:val="clear" w:color="auto" w:fill="FFFFFF"/>
        </w:rPr>
        <w:t xml:space="preserve">Zickar, M. J., Russel, S. S., Smith, C. S., Bohle, P., &amp; Tilley, A. J. (2002). Evaluating two morningness scales with item response theory. </w:t>
      </w:r>
      <w:r w:rsidRPr="00DC595B">
        <w:rPr>
          <w:rFonts w:ascii="Times New Roman" w:hAnsi="Times New Roman" w:cs="Times New Roman"/>
          <w:i/>
          <w:sz w:val="24"/>
          <w:szCs w:val="24"/>
          <w:shd w:val="clear" w:color="auto" w:fill="FFFFFF"/>
        </w:rPr>
        <w:t>Personality and Individual Differences, 33</w:t>
      </w:r>
      <w:r w:rsidRPr="00DC595B">
        <w:rPr>
          <w:rFonts w:ascii="Times New Roman" w:hAnsi="Times New Roman" w:cs="Times New Roman"/>
          <w:sz w:val="24"/>
          <w:szCs w:val="24"/>
          <w:shd w:val="clear" w:color="auto" w:fill="FFFFFF"/>
        </w:rPr>
        <w:t>(1), 11-24. https://doi.org/10.1016/S0191-8869(01)00131-3</w:t>
      </w:r>
    </w:p>
    <w:p w14:paraId="15EA853E" w14:textId="3AA0FC80" w:rsidR="008D3E64" w:rsidRDefault="008D3E64" w:rsidP="003E6FF2">
      <w:pPr>
        <w:spacing w:after="0" w:line="360" w:lineRule="auto"/>
        <w:rPr>
          <w:rFonts w:ascii="Times New Roman" w:hAnsi="Times New Roman" w:cs="Times New Roman"/>
          <w:sz w:val="24"/>
          <w:szCs w:val="24"/>
        </w:rPr>
      </w:pPr>
    </w:p>
    <w:p w14:paraId="3ECE1D55" w14:textId="77777777" w:rsidR="008D3E64" w:rsidRPr="008D3E64" w:rsidRDefault="008D3E64" w:rsidP="008D3E64">
      <w:pPr>
        <w:rPr>
          <w:rFonts w:ascii="Times New Roman" w:hAnsi="Times New Roman" w:cs="Times New Roman"/>
          <w:sz w:val="24"/>
          <w:szCs w:val="24"/>
        </w:rPr>
      </w:pPr>
    </w:p>
    <w:p w14:paraId="00FF4515" w14:textId="3DA2914B" w:rsidR="008D3E64" w:rsidRDefault="008D3E64" w:rsidP="008D3E64">
      <w:pPr>
        <w:spacing w:after="0" w:line="360" w:lineRule="auto"/>
        <w:rPr>
          <w:rFonts w:ascii="Times New Roman" w:hAnsi="Times New Roman" w:cs="Times New Roman"/>
          <w:sz w:val="24"/>
          <w:szCs w:val="24"/>
        </w:rPr>
      </w:pPr>
    </w:p>
    <w:p w14:paraId="20ACC1B1" w14:textId="1E8F55CE" w:rsidR="00580749" w:rsidRDefault="00580749" w:rsidP="008D3E64">
      <w:pPr>
        <w:spacing w:after="0" w:line="360" w:lineRule="auto"/>
        <w:rPr>
          <w:rFonts w:ascii="Times New Roman" w:hAnsi="Times New Roman" w:cs="Times New Roman"/>
          <w:sz w:val="24"/>
          <w:szCs w:val="24"/>
        </w:rPr>
      </w:pPr>
    </w:p>
    <w:p w14:paraId="7BDB83A5" w14:textId="2F56398B" w:rsidR="00580749" w:rsidRDefault="00580749" w:rsidP="008D3E64">
      <w:pPr>
        <w:spacing w:after="0" w:line="360" w:lineRule="auto"/>
        <w:rPr>
          <w:rFonts w:ascii="Times New Roman" w:hAnsi="Times New Roman" w:cs="Times New Roman"/>
          <w:sz w:val="24"/>
          <w:szCs w:val="24"/>
        </w:rPr>
      </w:pPr>
    </w:p>
    <w:p w14:paraId="19EA52DB" w14:textId="77777777" w:rsidR="00580749" w:rsidRDefault="00580749" w:rsidP="008D3E64">
      <w:pPr>
        <w:spacing w:after="0" w:line="360" w:lineRule="auto"/>
        <w:rPr>
          <w:rFonts w:ascii="Times New Roman" w:hAnsi="Times New Roman" w:cs="Times New Roman"/>
          <w:sz w:val="24"/>
          <w:szCs w:val="24"/>
        </w:rPr>
      </w:pPr>
    </w:p>
    <w:p w14:paraId="042D3690" w14:textId="77777777" w:rsidR="008D3E64" w:rsidRDefault="008D3E64" w:rsidP="008D3E64">
      <w:pPr>
        <w:spacing w:after="0" w:line="360" w:lineRule="auto"/>
        <w:rPr>
          <w:rFonts w:ascii="Times New Roman" w:hAnsi="Times New Roman" w:cs="Times New Roman"/>
          <w:sz w:val="24"/>
          <w:szCs w:val="24"/>
        </w:rPr>
      </w:pPr>
    </w:p>
    <w:p w14:paraId="7ECE5054" w14:textId="77777777" w:rsidR="008D3E64" w:rsidRDefault="008D3E64" w:rsidP="008D3E64">
      <w:pPr>
        <w:spacing w:after="0" w:line="360" w:lineRule="auto"/>
        <w:rPr>
          <w:rFonts w:ascii="Times New Roman" w:hAnsi="Times New Roman" w:cs="Times New Roman"/>
          <w:sz w:val="24"/>
          <w:szCs w:val="24"/>
        </w:rPr>
      </w:pPr>
    </w:p>
    <w:p w14:paraId="4FFB7BA5" w14:textId="77777777" w:rsidR="008D3E64" w:rsidRDefault="008D3E64" w:rsidP="008D3E64">
      <w:pPr>
        <w:spacing w:after="0" w:line="360" w:lineRule="auto"/>
        <w:rPr>
          <w:rFonts w:ascii="Times New Roman" w:hAnsi="Times New Roman" w:cs="Times New Roman"/>
          <w:sz w:val="24"/>
          <w:szCs w:val="24"/>
        </w:rPr>
      </w:pPr>
    </w:p>
    <w:p w14:paraId="451CB8E4" w14:textId="77777777" w:rsidR="008D3E64" w:rsidRDefault="008D3E64" w:rsidP="008D3E64">
      <w:pPr>
        <w:spacing w:after="0" w:line="360" w:lineRule="auto"/>
        <w:rPr>
          <w:rFonts w:ascii="Times New Roman" w:hAnsi="Times New Roman" w:cs="Times New Roman"/>
          <w:sz w:val="24"/>
          <w:szCs w:val="24"/>
        </w:rPr>
      </w:pPr>
    </w:p>
    <w:p w14:paraId="359ED923" w14:textId="77777777" w:rsidR="008D3E64" w:rsidRDefault="008D3E64" w:rsidP="008D3E64">
      <w:pPr>
        <w:spacing w:after="0" w:line="360" w:lineRule="auto"/>
        <w:rPr>
          <w:rFonts w:ascii="Times New Roman" w:hAnsi="Times New Roman" w:cs="Times New Roman"/>
          <w:sz w:val="24"/>
          <w:szCs w:val="24"/>
        </w:rPr>
      </w:pPr>
    </w:p>
    <w:p w14:paraId="67EA29FB" w14:textId="77777777" w:rsidR="008D3E64" w:rsidRDefault="008D3E64" w:rsidP="008D3E64">
      <w:pPr>
        <w:spacing w:after="0" w:line="360" w:lineRule="auto"/>
        <w:rPr>
          <w:rFonts w:ascii="Times New Roman" w:hAnsi="Times New Roman" w:cs="Times New Roman"/>
          <w:sz w:val="24"/>
          <w:szCs w:val="24"/>
        </w:rPr>
      </w:pPr>
    </w:p>
    <w:p w14:paraId="08D2DC5B" w14:textId="77777777" w:rsidR="008D3E64" w:rsidRDefault="008D3E64" w:rsidP="008D3E64">
      <w:pPr>
        <w:spacing w:after="0" w:line="360" w:lineRule="auto"/>
        <w:rPr>
          <w:rFonts w:ascii="Times New Roman" w:hAnsi="Times New Roman" w:cs="Times New Roman"/>
          <w:sz w:val="24"/>
          <w:szCs w:val="24"/>
        </w:rPr>
      </w:pPr>
    </w:p>
    <w:p w14:paraId="21E9B723" w14:textId="77777777" w:rsidR="008D3E64" w:rsidRDefault="008D3E64" w:rsidP="008D3E64">
      <w:pPr>
        <w:spacing w:after="0" w:line="360" w:lineRule="auto"/>
        <w:rPr>
          <w:rFonts w:ascii="Times New Roman" w:hAnsi="Times New Roman" w:cs="Times New Roman"/>
          <w:sz w:val="24"/>
          <w:szCs w:val="24"/>
        </w:rPr>
      </w:pPr>
    </w:p>
    <w:p w14:paraId="555E157D" w14:textId="77777777" w:rsidR="00580749" w:rsidRDefault="00580749" w:rsidP="008D3E64">
      <w:pPr>
        <w:spacing w:after="0" w:line="360" w:lineRule="auto"/>
        <w:rPr>
          <w:rFonts w:ascii="Times New Roman" w:hAnsi="Times New Roman" w:cs="Times New Roman"/>
          <w:sz w:val="24"/>
          <w:szCs w:val="24"/>
        </w:rPr>
        <w:sectPr w:rsidR="00580749" w:rsidSect="008D3E64">
          <w:pgSz w:w="11906" w:h="16838"/>
          <w:pgMar w:top="1418" w:right="1701" w:bottom="1418" w:left="1701" w:header="709" w:footer="709" w:gutter="0"/>
          <w:cols w:space="708"/>
          <w:docGrid w:linePitch="360"/>
        </w:sectPr>
      </w:pPr>
    </w:p>
    <w:p w14:paraId="156B4131" w14:textId="138FC6B4" w:rsidR="00580749" w:rsidRPr="00BD0FF5" w:rsidRDefault="00580749" w:rsidP="00580749">
      <w:pPr>
        <w:spacing w:after="0" w:line="360" w:lineRule="auto"/>
        <w:rPr>
          <w:rFonts w:ascii="Times New Roman" w:hAnsi="Times New Roman" w:cs="Times New Roman"/>
          <w:sz w:val="24"/>
          <w:szCs w:val="24"/>
        </w:rPr>
      </w:pPr>
      <w:r w:rsidRPr="00BD0FF5">
        <w:rPr>
          <w:rFonts w:ascii="Times New Roman" w:hAnsi="Times New Roman" w:cs="Times New Roman"/>
          <w:sz w:val="24"/>
          <w:szCs w:val="24"/>
        </w:rPr>
        <w:lastRenderedPageBreak/>
        <w:t>Tabl</w:t>
      </w:r>
      <w:r w:rsidR="00BD0FF5" w:rsidRPr="00BD0FF5">
        <w:rPr>
          <w:rFonts w:ascii="Times New Roman" w:hAnsi="Times New Roman" w:cs="Times New Roman"/>
          <w:sz w:val="24"/>
          <w:szCs w:val="24"/>
        </w:rPr>
        <w:t>e</w:t>
      </w:r>
      <w:r w:rsidRPr="00BD0FF5">
        <w:rPr>
          <w:rFonts w:ascii="Times New Roman" w:hAnsi="Times New Roman" w:cs="Times New Roman"/>
          <w:sz w:val="24"/>
          <w:szCs w:val="24"/>
        </w:rPr>
        <w:t xml:space="preserve"> 1</w:t>
      </w:r>
    </w:p>
    <w:p w14:paraId="4EB0B40A" w14:textId="30674594" w:rsidR="00580749" w:rsidRPr="00BD0FF5" w:rsidRDefault="00BD0FF5" w:rsidP="00580749">
      <w:pPr>
        <w:spacing w:after="0" w:line="360" w:lineRule="auto"/>
        <w:rPr>
          <w:rFonts w:ascii="Times New Roman" w:hAnsi="Times New Roman" w:cs="Times New Roman"/>
          <w:i/>
          <w:sz w:val="24"/>
          <w:szCs w:val="24"/>
        </w:rPr>
      </w:pPr>
      <w:r w:rsidRPr="00BD0FF5">
        <w:rPr>
          <w:rFonts w:ascii="Times New Roman" w:hAnsi="Times New Roman" w:cs="Times New Roman"/>
          <w:i/>
          <w:sz w:val="24"/>
          <w:szCs w:val="24"/>
        </w:rPr>
        <w:t>Sociodemographic characteristics of the participants</w:t>
      </w:r>
    </w:p>
    <w:tbl>
      <w:tblPr>
        <w:tblStyle w:val="Tablaconcuadrcula"/>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4"/>
        <w:gridCol w:w="2073"/>
        <w:gridCol w:w="2073"/>
        <w:gridCol w:w="2073"/>
        <w:gridCol w:w="2069"/>
      </w:tblGrid>
      <w:tr w:rsidR="00BD0FF5" w:rsidRPr="00BD0FF5" w14:paraId="2F652A95" w14:textId="77777777" w:rsidTr="006B16F3">
        <w:trPr>
          <w:tblHeader/>
        </w:trPr>
        <w:tc>
          <w:tcPr>
            <w:tcW w:w="2040" w:type="pct"/>
            <w:tcBorders>
              <w:bottom w:val="single" w:sz="4" w:space="0" w:color="auto"/>
            </w:tcBorders>
            <w:vAlign w:val="center"/>
          </w:tcPr>
          <w:p w14:paraId="6BF7C929" w14:textId="10AA73C5" w:rsidR="00580749" w:rsidRPr="00BD0FF5" w:rsidRDefault="00BD0FF5" w:rsidP="006B16F3">
            <w:pPr>
              <w:pStyle w:val="BodyText"/>
              <w:spacing w:before="0" w:after="0" w:line="276" w:lineRule="auto"/>
              <w:ind w:firstLine="0"/>
              <w:rPr>
                <w:rFonts w:cs="Times New Roman"/>
                <w:sz w:val="22"/>
                <w:lang w:val="en-US"/>
              </w:rPr>
            </w:pPr>
            <w:r w:rsidRPr="00BD0FF5">
              <w:rPr>
                <w:rFonts w:cs="Times New Roman"/>
                <w:sz w:val="22"/>
                <w:lang w:val="en-US"/>
              </w:rPr>
              <w:t xml:space="preserve">Sociodemographic data </w:t>
            </w:r>
          </w:p>
        </w:tc>
        <w:tc>
          <w:tcPr>
            <w:tcW w:w="740" w:type="pct"/>
            <w:tcBorders>
              <w:bottom w:val="single" w:sz="4" w:space="0" w:color="auto"/>
            </w:tcBorders>
            <w:vAlign w:val="center"/>
          </w:tcPr>
          <w:p w14:paraId="1BED0875" w14:textId="77777777" w:rsidR="00580749" w:rsidRPr="00BD0FF5" w:rsidRDefault="00580749" w:rsidP="006B16F3">
            <w:pPr>
              <w:pStyle w:val="BodyText"/>
              <w:spacing w:before="0" w:after="0" w:line="276" w:lineRule="auto"/>
              <w:ind w:firstLine="0"/>
              <w:jc w:val="center"/>
              <w:rPr>
                <w:rFonts w:cs="Times New Roman"/>
                <w:sz w:val="22"/>
              </w:rPr>
            </w:pPr>
            <w:r w:rsidRPr="00BD0FF5">
              <w:rPr>
                <w:rFonts w:cs="Times New Roman"/>
                <w:sz w:val="22"/>
              </w:rPr>
              <w:t>Ecuador</w:t>
            </w:r>
          </w:p>
          <w:p w14:paraId="6F6A2CF8" w14:textId="77777777" w:rsidR="00580749" w:rsidRPr="00BD0FF5" w:rsidRDefault="00580749" w:rsidP="006B16F3">
            <w:pPr>
              <w:pStyle w:val="BodyText"/>
              <w:spacing w:before="0" w:after="0" w:line="276" w:lineRule="auto"/>
              <w:ind w:firstLine="0"/>
              <w:jc w:val="center"/>
              <w:rPr>
                <w:rFonts w:cs="Times New Roman"/>
                <w:sz w:val="22"/>
              </w:rPr>
            </w:pPr>
            <w:r w:rsidRPr="00BD0FF5">
              <w:rPr>
                <w:rFonts w:cs="Times New Roman"/>
                <w:sz w:val="22"/>
              </w:rPr>
              <w:t>(</w:t>
            </w:r>
            <w:r w:rsidRPr="00BD0FF5">
              <w:rPr>
                <w:rFonts w:cs="Times New Roman"/>
                <w:i/>
                <w:sz w:val="22"/>
              </w:rPr>
              <w:t>n</w:t>
            </w:r>
            <w:r w:rsidRPr="00BD0FF5">
              <w:rPr>
                <w:rFonts w:cs="Times New Roman"/>
                <w:sz w:val="22"/>
              </w:rPr>
              <w:t xml:space="preserve"> = 401)</w:t>
            </w:r>
          </w:p>
        </w:tc>
        <w:tc>
          <w:tcPr>
            <w:tcW w:w="740" w:type="pct"/>
            <w:tcBorders>
              <w:bottom w:val="single" w:sz="4" w:space="0" w:color="auto"/>
            </w:tcBorders>
            <w:vAlign w:val="center"/>
          </w:tcPr>
          <w:p w14:paraId="574C1656" w14:textId="77777777" w:rsidR="00580749" w:rsidRPr="00BD0FF5" w:rsidRDefault="00580749" w:rsidP="006B16F3">
            <w:pPr>
              <w:pStyle w:val="BodyText"/>
              <w:spacing w:before="0" w:after="0" w:line="276" w:lineRule="auto"/>
              <w:ind w:firstLine="0"/>
              <w:jc w:val="center"/>
              <w:rPr>
                <w:rFonts w:cs="Times New Roman"/>
                <w:sz w:val="22"/>
              </w:rPr>
            </w:pPr>
            <w:r w:rsidRPr="00BD0FF5">
              <w:rPr>
                <w:rFonts w:cs="Times New Roman"/>
                <w:sz w:val="22"/>
              </w:rPr>
              <w:t>Colombia</w:t>
            </w:r>
          </w:p>
          <w:p w14:paraId="1D01BEFB" w14:textId="77777777" w:rsidR="00580749" w:rsidRPr="00BD0FF5" w:rsidRDefault="00580749" w:rsidP="006B16F3">
            <w:pPr>
              <w:pStyle w:val="BodyText"/>
              <w:spacing w:before="0" w:after="0" w:line="276" w:lineRule="auto"/>
              <w:ind w:firstLine="0"/>
              <w:jc w:val="center"/>
              <w:rPr>
                <w:rFonts w:cs="Times New Roman"/>
                <w:sz w:val="22"/>
              </w:rPr>
            </w:pPr>
            <w:r w:rsidRPr="00BD0FF5">
              <w:rPr>
                <w:rFonts w:cs="Times New Roman"/>
                <w:sz w:val="22"/>
              </w:rPr>
              <w:t>(</w:t>
            </w:r>
            <w:r w:rsidRPr="00BD0FF5">
              <w:rPr>
                <w:rFonts w:cs="Times New Roman"/>
                <w:i/>
                <w:sz w:val="22"/>
              </w:rPr>
              <w:t>n</w:t>
            </w:r>
            <w:r w:rsidRPr="00BD0FF5">
              <w:rPr>
                <w:rFonts w:cs="Times New Roman"/>
                <w:sz w:val="22"/>
              </w:rPr>
              <w:t xml:space="preserve"> = 744)</w:t>
            </w:r>
          </w:p>
        </w:tc>
        <w:tc>
          <w:tcPr>
            <w:tcW w:w="740" w:type="pct"/>
            <w:tcBorders>
              <w:bottom w:val="single" w:sz="4" w:space="0" w:color="auto"/>
            </w:tcBorders>
            <w:vAlign w:val="center"/>
          </w:tcPr>
          <w:p w14:paraId="67085F93" w14:textId="7C09698A" w:rsidR="00580749" w:rsidRPr="00BD0FF5" w:rsidRDefault="00580749" w:rsidP="006B16F3">
            <w:pPr>
              <w:pStyle w:val="BodyText"/>
              <w:spacing w:before="0" w:after="0" w:line="276" w:lineRule="auto"/>
              <w:ind w:firstLine="0"/>
              <w:jc w:val="center"/>
              <w:rPr>
                <w:rFonts w:cs="Times New Roman"/>
                <w:sz w:val="22"/>
              </w:rPr>
            </w:pPr>
            <w:r w:rsidRPr="00BD0FF5">
              <w:rPr>
                <w:rFonts w:cs="Times New Roman"/>
                <w:sz w:val="22"/>
              </w:rPr>
              <w:t>Per</w:t>
            </w:r>
            <w:r w:rsidR="00BD0FF5" w:rsidRPr="00BD0FF5">
              <w:rPr>
                <w:rFonts w:cs="Times New Roman"/>
                <w:sz w:val="22"/>
              </w:rPr>
              <w:t>u</w:t>
            </w:r>
          </w:p>
          <w:p w14:paraId="474773AD" w14:textId="77777777" w:rsidR="00580749" w:rsidRPr="00BD0FF5" w:rsidRDefault="00580749" w:rsidP="006B16F3">
            <w:pPr>
              <w:pStyle w:val="BodyText"/>
              <w:spacing w:before="0" w:after="0" w:line="276" w:lineRule="auto"/>
              <w:ind w:firstLine="0"/>
              <w:jc w:val="center"/>
              <w:rPr>
                <w:rFonts w:cs="Times New Roman"/>
                <w:sz w:val="22"/>
              </w:rPr>
            </w:pPr>
            <w:r w:rsidRPr="00BD0FF5">
              <w:rPr>
                <w:rFonts w:cs="Times New Roman"/>
                <w:sz w:val="22"/>
              </w:rPr>
              <w:t>(</w:t>
            </w:r>
            <w:r w:rsidRPr="00BD0FF5">
              <w:rPr>
                <w:rFonts w:cs="Times New Roman"/>
                <w:i/>
                <w:sz w:val="22"/>
              </w:rPr>
              <w:t>n</w:t>
            </w:r>
            <w:r w:rsidRPr="00BD0FF5">
              <w:rPr>
                <w:rFonts w:cs="Times New Roman"/>
                <w:sz w:val="22"/>
              </w:rPr>
              <w:t xml:space="preserve"> = 350)</w:t>
            </w:r>
          </w:p>
        </w:tc>
        <w:tc>
          <w:tcPr>
            <w:tcW w:w="739" w:type="pct"/>
            <w:tcBorders>
              <w:bottom w:val="single" w:sz="4" w:space="0" w:color="auto"/>
            </w:tcBorders>
            <w:vAlign w:val="center"/>
          </w:tcPr>
          <w:p w14:paraId="1B2D958F" w14:textId="77777777" w:rsidR="00580749" w:rsidRPr="00BD0FF5" w:rsidRDefault="00580749" w:rsidP="006B16F3">
            <w:pPr>
              <w:pStyle w:val="BodyText"/>
              <w:spacing w:before="0" w:after="0" w:line="276" w:lineRule="auto"/>
              <w:ind w:firstLine="0"/>
              <w:jc w:val="center"/>
              <w:rPr>
                <w:rFonts w:cs="Times New Roman"/>
                <w:sz w:val="22"/>
              </w:rPr>
            </w:pPr>
            <w:r w:rsidRPr="00BD0FF5">
              <w:rPr>
                <w:rFonts w:cs="Times New Roman"/>
                <w:sz w:val="22"/>
              </w:rPr>
              <w:t>Bolivia</w:t>
            </w:r>
          </w:p>
          <w:p w14:paraId="3ECF3D08" w14:textId="77777777" w:rsidR="00580749" w:rsidRPr="00BD0FF5" w:rsidRDefault="00580749" w:rsidP="006B16F3">
            <w:pPr>
              <w:pStyle w:val="BodyText"/>
              <w:spacing w:before="0" w:after="0" w:line="276" w:lineRule="auto"/>
              <w:ind w:firstLine="0"/>
              <w:jc w:val="center"/>
              <w:rPr>
                <w:rFonts w:cs="Times New Roman"/>
                <w:sz w:val="22"/>
              </w:rPr>
            </w:pPr>
            <w:r w:rsidRPr="00BD0FF5">
              <w:rPr>
                <w:rFonts w:cs="Times New Roman"/>
                <w:sz w:val="22"/>
              </w:rPr>
              <w:t>(</w:t>
            </w:r>
            <w:r w:rsidRPr="00BD0FF5">
              <w:rPr>
                <w:rFonts w:cs="Times New Roman"/>
                <w:i/>
                <w:sz w:val="22"/>
              </w:rPr>
              <w:t>n</w:t>
            </w:r>
            <w:r w:rsidRPr="00BD0FF5">
              <w:rPr>
                <w:rFonts w:cs="Times New Roman"/>
                <w:sz w:val="22"/>
              </w:rPr>
              <w:t xml:space="preserve"> = 325)</w:t>
            </w:r>
          </w:p>
        </w:tc>
      </w:tr>
      <w:tr w:rsidR="00BD0FF5" w:rsidRPr="00BD0FF5" w14:paraId="0587A0E3" w14:textId="77777777" w:rsidTr="001E6BEB">
        <w:tc>
          <w:tcPr>
            <w:tcW w:w="2040" w:type="pct"/>
            <w:tcBorders>
              <w:top w:val="single" w:sz="4" w:space="0" w:color="auto"/>
            </w:tcBorders>
          </w:tcPr>
          <w:p w14:paraId="571F6554" w14:textId="7F506687" w:rsidR="00BD0FF5" w:rsidRPr="00BD0FF5" w:rsidRDefault="00BD0FF5" w:rsidP="00BD0FF5">
            <w:pPr>
              <w:pStyle w:val="BodyText"/>
              <w:spacing w:before="0" w:after="0" w:line="276" w:lineRule="auto"/>
              <w:ind w:firstLine="0"/>
              <w:rPr>
                <w:rFonts w:cs="Times New Roman"/>
                <w:sz w:val="22"/>
              </w:rPr>
            </w:pPr>
            <w:r w:rsidRPr="00BD0FF5">
              <w:rPr>
                <w:sz w:val="22"/>
                <w:lang w:val="en-US"/>
              </w:rPr>
              <w:t>Age (M ± SD)</w:t>
            </w:r>
          </w:p>
        </w:tc>
        <w:tc>
          <w:tcPr>
            <w:tcW w:w="740" w:type="pct"/>
            <w:tcBorders>
              <w:top w:val="single" w:sz="4" w:space="0" w:color="auto"/>
            </w:tcBorders>
            <w:vAlign w:val="center"/>
          </w:tcPr>
          <w:p w14:paraId="6A7F2121"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35.4 ± 12.1</w:t>
            </w:r>
          </w:p>
        </w:tc>
        <w:tc>
          <w:tcPr>
            <w:tcW w:w="740" w:type="pct"/>
            <w:tcBorders>
              <w:top w:val="single" w:sz="4" w:space="0" w:color="auto"/>
            </w:tcBorders>
            <w:vAlign w:val="center"/>
          </w:tcPr>
          <w:p w14:paraId="2A26D21F"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35.8 ± 12.5</w:t>
            </w:r>
          </w:p>
        </w:tc>
        <w:tc>
          <w:tcPr>
            <w:tcW w:w="740" w:type="pct"/>
            <w:tcBorders>
              <w:top w:val="single" w:sz="4" w:space="0" w:color="auto"/>
            </w:tcBorders>
            <w:vAlign w:val="center"/>
          </w:tcPr>
          <w:p w14:paraId="2E57AEA7"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31.2 ± 12.1</w:t>
            </w:r>
          </w:p>
        </w:tc>
        <w:tc>
          <w:tcPr>
            <w:tcW w:w="739" w:type="pct"/>
            <w:tcBorders>
              <w:top w:val="single" w:sz="4" w:space="0" w:color="auto"/>
            </w:tcBorders>
            <w:vAlign w:val="center"/>
          </w:tcPr>
          <w:p w14:paraId="74D409C4"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28.4 ± 10.5</w:t>
            </w:r>
          </w:p>
        </w:tc>
      </w:tr>
      <w:tr w:rsidR="00BD0FF5" w:rsidRPr="00BD0FF5" w14:paraId="1CDF4F25" w14:textId="77777777" w:rsidTr="001E6BEB">
        <w:tc>
          <w:tcPr>
            <w:tcW w:w="2040" w:type="pct"/>
          </w:tcPr>
          <w:p w14:paraId="3F33E188" w14:textId="4ED1D939" w:rsidR="00BD0FF5" w:rsidRPr="00BD0FF5" w:rsidRDefault="00BD0FF5" w:rsidP="00BD0FF5">
            <w:pPr>
              <w:pStyle w:val="BodyText"/>
              <w:spacing w:before="0" w:after="0" w:line="276" w:lineRule="auto"/>
              <w:ind w:firstLine="0"/>
              <w:rPr>
                <w:rFonts w:cs="Times New Roman"/>
                <w:sz w:val="22"/>
              </w:rPr>
            </w:pPr>
            <w:r w:rsidRPr="00BD0FF5">
              <w:rPr>
                <w:sz w:val="22"/>
                <w:lang w:val="en-US"/>
              </w:rPr>
              <w:t>Gender, n (%)</w:t>
            </w:r>
          </w:p>
        </w:tc>
        <w:tc>
          <w:tcPr>
            <w:tcW w:w="740" w:type="pct"/>
            <w:vAlign w:val="center"/>
          </w:tcPr>
          <w:p w14:paraId="445FF9AB"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30F9F81A"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00AFD544" w14:textId="77777777" w:rsidR="00BD0FF5" w:rsidRPr="00BD0FF5" w:rsidRDefault="00BD0FF5" w:rsidP="00BD0FF5">
            <w:pPr>
              <w:pStyle w:val="BodyText"/>
              <w:spacing w:before="0" w:after="0" w:line="276" w:lineRule="auto"/>
              <w:ind w:firstLine="0"/>
              <w:jc w:val="center"/>
              <w:rPr>
                <w:rFonts w:cs="Times New Roman"/>
                <w:sz w:val="22"/>
              </w:rPr>
            </w:pPr>
          </w:p>
        </w:tc>
        <w:tc>
          <w:tcPr>
            <w:tcW w:w="739" w:type="pct"/>
            <w:vAlign w:val="center"/>
          </w:tcPr>
          <w:p w14:paraId="749540AE" w14:textId="77777777" w:rsidR="00BD0FF5" w:rsidRPr="00BD0FF5" w:rsidRDefault="00BD0FF5" w:rsidP="00BD0FF5">
            <w:pPr>
              <w:pStyle w:val="BodyText"/>
              <w:spacing w:before="0" w:after="0" w:line="276" w:lineRule="auto"/>
              <w:ind w:firstLine="0"/>
              <w:jc w:val="center"/>
              <w:rPr>
                <w:rFonts w:cs="Times New Roman"/>
                <w:sz w:val="22"/>
              </w:rPr>
            </w:pPr>
          </w:p>
        </w:tc>
      </w:tr>
      <w:tr w:rsidR="00BD0FF5" w:rsidRPr="00BD0FF5" w14:paraId="655FC462" w14:textId="77777777" w:rsidTr="001E6BEB">
        <w:tc>
          <w:tcPr>
            <w:tcW w:w="2040" w:type="pct"/>
          </w:tcPr>
          <w:p w14:paraId="3DEC0E17" w14:textId="5472B025"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Male</w:t>
            </w:r>
          </w:p>
        </w:tc>
        <w:tc>
          <w:tcPr>
            <w:tcW w:w="740" w:type="pct"/>
            <w:vAlign w:val="center"/>
          </w:tcPr>
          <w:p w14:paraId="23E5656B"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127 (31.7%)</w:t>
            </w:r>
          </w:p>
        </w:tc>
        <w:tc>
          <w:tcPr>
            <w:tcW w:w="740" w:type="pct"/>
            <w:vAlign w:val="center"/>
          </w:tcPr>
          <w:p w14:paraId="32708447"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257 (34.5%)</w:t>
            </w:r>
          </w:p>
        </w:tc>
        <w:tc>
          <w:tcPr>
            <w:tcW w:w="740" w:type="pct"/>
            <w:vAlign w:val="center"/>
          </w:tcPr>
          <w:p w14:paraId="218F596F"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149 (42.6%)</w:t>
            </w:r>
          </w:p>
        </w:tc>
        <w:tc>
          <w:tcPr>
            <w:tcW w:w="739" w:type="pct"/>
            <w:vAlign w:val="center"/>
          </w:tcPr>
          <w:p w14:paraId="1366AF4C"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83 (25.5%)</w:t>
            </w:r>
          </w:p>
        </w:tc>
      </w:tr>
      <w:tr w:rsidR="00BD0FF5" w:rsidRPr="00BD0FF5" w14:paraId="733DFA9B" w14:textId="77777777" w:rsidTr="001E6BEB">
        <w:tc>
          <w:tcPr>
            <w:tcW w:w="2040" w:type="pct"/>
          </w:tcPr>
          <w:p w14:paraId="25FDD246" w14:textId="767B546B"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Female</w:t>
            </w:r>
          </w:p>
        </w:tc>
        <w:tc>
          <w:tcPr>
            <w:tcW w:w="740" w:type="pct"/>
            <w:vAlign w:val="center"/>
          </w:tcPr>
          <w:p w14:paraId="157885C6"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274 (68.3%)</w:t>
            </w:r>
          </w:p>
        </w:tc>
        <w:tc>
          <w:tcPr>
            <w:tcW w:w="740" w:type="pct"/>
            <w:vAlign w:val="center"/>
          </w:tcPr>
          <w:p w14:paraId="4BB0B533"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487 (65.5%)</w:t>
            </w:r>
          </w:p>
        </w:tc>
        <w:tc>
          <w:tcPr>
            <w:tcW w:w="740" w:type="pct"/>
            <w:vAlign w:val="center"/>
          </w:tcPr>
          <w:p w14:paraId="55244F2D"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201 (57.4%)</w:t>
            </w:r>
          </w:p>
        </w:tc>
        <w:tc>
          <w:tcPr>
            <w:tcW w:w="739" w:type="pct"/>
            <w:vAlign w:val="center"/>
          </w:tcPr>
          <w:p w14:paraId="6CFE4F88"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238 (73.2%)</w:t>
            </w:r>
          </w:p>
        </w:tc>
      </w:tr>
      <w:tr w:rsidR="00BD0FF5" w:rsidRPr="00BD0FF5" w14:paraId="142E2D41" w14:textId="77777777" w:rsidTr="001E6BEB">
        <w:tc>
          <w:tcPr>
            <w:tcW w:w="2040" w:type="pct"/>
          </w:tcPr>
          <w:p w14:paraId="2BC40339" w14:textId="03D38357"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Undeclared</w:t>
            </w:r>
          </w:p>
        </w:tc>
        <w:tc>
          <w:tcPr>
            <w:tcW w:w="740" w:type="pct"/>
          </w:tcPr>
          <w:p w14:paraId="19BC5F60"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0 (0%)</w:t>
            </w:r>
          </w:p>
        </w:tc>
        <w:tc>
          <w:tcPr>
            <w:tcW w:w="740" w:type="pct"/>
          </w:tcPr>
          <w:p w14:paraId="6AA3AC28"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0 (0%)</w:t>
            </w:r>
          </w:p>
        </w:tc>
        <w:tc>
          <w:tcPr>
            <w:tcW w:w="740" w:type="pct"/>
            <w:vAlign w:val="center"/>
          </w:tcPr>
          <w:p w14:paraId="241062E9"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0 (0%)</w:t>
            </w:r>
          </w:p>
        </w:tc>
        <w:tc>
          <w:tcPr>
            <w:tcW w:w="739" w:type="pct"/>
            <w:vAlign w:val="center"/>
          </w:tcPr>
          <w:p w14:paraId="23AF3919"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4 (1.2%)</w:t>
            </w:r>
          </w:p>
        </w:tc>
      </w:tr>
      <w:tr w:rsidR="00BD0FF5" w:rsidRPr="00BD0FF5" w14:paraId="2FED20F3" w14:textId="77777777" w:rsidTr="001E6BEB">
        <w:tc>
          <w:tcPr>
            <w:tcW w:w="2040" w:type="pct"/>
          </w:tcPr>
          <w:p w14:paraId="4A8AE0CB" w14:textId="2B6E793C" w:rsidR="00BD0FF5" w:rsidRPr="00BD0FF5" w:rsidRDefault="00BD0FF5" w:rsidP="00BD0FF5">
            <w:pPr>
              <w:pStyle w:val="BodyText"/>
              <w:spacing w:before="0" w:after="0" w:line="276" w:lineRule="auto"/>
              <w:ind w:firstLine="0"/>
              <w:rPr>
                <w:rFonts w:cs="Times New Roman"/>
                <w:sz w:val="22"/>
              </w:rPr>
            </w:pPr>
            <w:r w:rsidRPr="00BD0FF5">
              <w:rPr>
                <w:sz w:val="22"/>
                <w:lang w:val="en-US"/>
              </w:rPr>
              <w:t>Marital Status n (%)</w:t>
            </w:r>
          </w:p>
        </w:tc>
        <w:tc>
          <w:tcPr>
            <w:tcW w:w="740" w:type="pct"/>
            <w:vAlign w:val="center"/>
          </w:tcPr>
          <w:p w14:paraId="4CDE9ED7"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138088CE"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450D137D" w14:textId="77777777" w:rsidR="00BD0FF5" w:rsidRPr="00BD0FF5" w:rsidRDefault="00BD0FF5" w:rsidP="00BD0FF5">
            <w:pPr>
              <w:pStyle w:val="BodyText"/>
              <w:spacing w:before="0" w:after="0" w:line="276" w:lineRule="auto"/>
              <w:ind w:firstLine="0"/>
              <w:jc w:val="center"/>
              <w:rPr>
                <w:rFonts w:cs="Times New Roman"/>
                <w:sz w:val="22"/>
              </w:rPr>
            </w:pPr>
          </w:p>
        </w:tc>
        <w:tc>
          <w:tcPr>
            <w:tcW w:w="739" w:type="pct"/>
            <w:vAlign w:val="center"/>
          </w:tcPr>
          <w:p w14:paraId="21B17548" w14:textId="77777777" w:rsidR="00BD0FF5" w:rsidRPr="00BD0FF5" w:rsidRDefault="00BD0FF5" w:rsidP="00BD0FF5">
            <w:pPr>
              <w:pStyle w:val="BodyText"/>
              <w:spacing w:before="0" w:after="0" w:line="276" w:lineRule="auto"/>
              <w:ind w:firstLine="0"/>
              <w:jc w:val="center"/>
              <w:rPr>
                <w:rFonts w:cs="Times New Roman"/>
                <w:sz w:val="22"/>
              </w:rPr>
            </w:pPr>
          </w:p>
        </w:tc>
      </w:tr>
      <w:tr w:rsidR="00BD0FF5" w:rsidRPr="00BD0FF5" w14:paraId="7E254CCE" w14:textId="77777777" w:rsidTr="001E6BEB">
        <w:tc>
          <w:tcPr>
            <w:tcW w:w="2040" w:type="pct"/>
          </w:tcPr>
          <w:p w14:paraId="3715E34B" w14:textId="1BDD4B42" w:rsidR="00BD0FF5" w:rsidRPr="00BD0FF5" w:rsidRDefault="00BD0FF5" w:rsidP="00BD0FF5">
            <w:pPr>
              <w:pStyle w:val="BodyText"/>
              <w:spacing w:before="0" w:after="0" w:line="276" w:lineRule="auto"/>
              <w:ind w:left="171" w:firstLine="0"/>
              <w:rPr>
                <w:rFonts w:cs="Times New Roman"/>
                <w:sz w:val="22"/>
              </w:rPr>
            </w:pPr>
            <w:r w:rsidRPr="00BD0FF5">
              <w:rPr>
                <w:sz w:val="22"/>
                <w:lang w:val="en-US"/>
              </w:rPr>
              <w:t>Married</w:t>
            </w:r>
          </w:p>
        </w:tc>
        <w:tc>
          <w:tcPr>
            <w:tcW w:w="740" w:type="pct"/>
            <w:vAlign w:val="center"/>
          </w:tcPr>
          <w:p w14:paraId="5DBD85FE"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146 (36.4%)</w:t>
            </w:r>
          </w:p>
        </w:tc>
        <w:tc>
          <w:tcPr>
            <w:tcW w:w="740" w:type="pct"/>
            <w:vAlign w:val="center"/>
          </w:tcPr>
          <w:p w14:paraId="4ACA41A2"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184 (24.7%)</w:t>
            </w:r>
          </w:p>
        </w:tc>
        <w:tc>
          <w:tcPr>
            <w:tcW w:w="740" w:type="pct"/>
            <w:vAlign w:val="center"/>
          </w:tcPr>
          <w:p w14:paraId="4C44ADF5"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75 (21.4%)</w:t>
            </w:r>
          </w:p>
        </w:tc>
        <w:tc>
          <w:tcPr>
            <w:tcW w:w="739" w:type="pct"/>
            <w:vAlign w:val="center"/>
          </w:tcPr>
          <w:p w14:paraId="01D25C23"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77 (23.7%)</w:t>
            </w:r>
          </w:p>
        </w:tc>
      </w:tr>
      <w:tr w:rsidR="00BD0FF5" w:rsidRPr="00BD0FF5" w14:paraId="4777550D" w14:textId="77777777" w:rsidTr="001E6BEB">
        <w:tc>
          <w:tcPr>
            <w:tcW w:w="2040" w:type="pct"/>
          </w:tcPr>
          <w:p w14:paraId="78006D7A" w14:textId="03CD66F4" w:rsidR="00BD0FF5" w:rsidRPr="00BD0FF5" w:rsidRDefault="00BD0FF5" w:rsidP="00BD0FF5">
            <w:pPr>
              <w:pStyle w:val="BodyText"/>
              <w:spacing w:before="0" w:after="0" w:line="276" w:lineRule="auto"/>
              <w:ind w:left="171" w:firstLine="0"/>
              <w:rPr>
                <w:rFonts w:cs="Times New Roman"/>
                <w:sz w:val="22"/>
              </w:rPr>
            </w:pPr>
            <w:r w:rsidRPr="00BD0FF5">
              <w:rPr>
                <w:sz w:val="22"/>
                <w:lang w:val="en-US"/>
              </w:rPr>
              <w:t>Cohabiting</w:t>
            </w:r>
          </w:p>
        </w:tc>
        <w:tc>
          <w:tcPr>
            <w:tcW w:w="740" w:type="pct"/>
            <w:vAlign w:val="center"/>
          </w:tcPr>
          <w:p w14:paraId="4374CECA"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27 (6.7%)</w:t>
            </w:r>
          </w:p>
        </w:tc>
        <w:tc>
          <w:tcPr>
            <w:tcW w:w="740" w:type="pct"/>
            <w:vAlign w:val="center"/>
          </w:tcPr>
          <w:p w14:paraId="732E03C1"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112 (15.1%)</w:t>
            </w:r>
          </w:p>
        </w:tc>
        <w:tc>
          <w:tcPr>
            <w:tcW w:w="740" w:type="pct"/>
            <w:vAlign w:val="center"/>
          </w:tcPr>
          <w:p w14:paraId="4753044A"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26 (7.4%)</w:t>
            </w:r>
          </w:p>
        </w:tc>
        <w:tc>
          <w:tcPr>
            <w:tcW w:w="739" w:type="pct"/>
            <w:vAlign w:val="center"/>
          </w:tcPr>
          <w:p w14:paraId="56D86A6A"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15 (4.6%)</w:t>
            </w:r>
          </w:p>
        </w:tc>
      </w:tr>
      <w:tr w:rsidR="00BD0FF5" w:rsidRPr="00BD0FF5" w14:paraId="06ECDDBE" w14:textId="77777777" w:rsidTr="001E6BEB">
        <w:tc>
          <w:tcPr>
            <w:tcW w:w="2040" w:type="pct"/>
          </w:tcPr>
          <w:p w14:paraId="4806A6D1" w14:textId="066E5CE7" w:rsidR="00BD0FF5" w:rsidRPr="00BD0FF5" w:rsidRDefault="00BD0FF5" w:rsidP="00BD0FF5">
            <w:pPr>
              <w:pStyle w:val="BodyText"/>
              <w:spacing w:before="0" w:after="0" w:line="276" w:lineRule="auto"/>
              <w:ind w:left="171" w:firstLine="0"/>
              <w:rPr>
                <w:rFonts w:cs="Times New Roman"/>
                <w:sz w:val="22"/>
              </w:rPr>
            </w:pPr>
            <w:r w:rsidRPr="00BD0FF5">
              <w:rPr>
                <w:sz w:val="22"/>
                <w:lang w:val="en-US"/>
              </w:rPr>
              <w:t>Divorced</w:t>
            </w:r>
          </w:p>
        </w:tc>
        <w:tc>
          <w:tcPr>
            <w:tcW w:w="740" w:type="pct"/>
            <w:vAlign w:val="center"/>
          </w:tcPr>
          <w:p w14:paraId="423A8AA0"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34 (8.5%)</w:t>
            </w:r>
          </w:p>
        </w:tc>
        <w:tc>
          <w:tcPr>
            <w:tcW w:w="740" w:type="pct"/>
            <w:vAlign w:val="center"/>
          </w:tcPr>
          <w:p w14:paraId="5AE4E8C6"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29 (3.9%)</w:t>
            </w:r>
          </w:p>
        </w:tc>
        <w:tc>
          <w:tcPr>
            <w:tcW w:w="740" w:type="pct"/>
            <w:vAlign w:val="center"/>
          </w:tcPr>
          <w:p w14:paraId="1AC2ED2B"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7 (2%)</w:t>
            </w:r>
          </w:p>
        </w:tc>
        <w:tc>
          <w:tcPr>
            <w:tcW w:w="739" w:type="pct"/>
            <w:vAlign w:val="center"/>
          </w:tcPr>
          <w:p w14:paraId="43113A0D"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9 (2.8%)</w:t>
            </w:r>
          </w:p>
        </w:tc>
      </w:tr>
      <w:tr w:rsidR="00BD0FF5" w:rsidRPr="00BD0FF5" w14:paraId="64B5829B" w14:textId="77777777" w:rsidTr="001E6BEB">
        <w:tc>
          <w:tcPr>
            <w:tcW w:w="2040" w:type="pct"/>
          </w:tcPr>
          <w:p w14:paraId="48036D68" w14:textId="2B71A28A" w:rsidR="00BD0FF5" w:rsidRPr="00BD0FF5" w:rsidRDefault="00BD0FF5" w:rsidP="00BD0FF5">
            <w:pPr>
              <w:pStyle w:val="BodyText"/>
              <w:spacing w:before="0" w:after="0" w:line="276" w:lineRule="auto"/>
              <w:ind w:left="171" w:firstLine="0"/>
              <w:rPr>
                <w:rFonts w:cs="Times New Roman"/>
                <w:sz w:val="22"/>
              </w:rPr>
            </w:pPr>
            <w:r w:rsidRPr="00BD0FF5">
              <w:rPr>
                <w:sz w:val="22"/>
                <w:lang w:val="en-US"/>
              </w:rPr>
              <w:t>Single</w:t>
            </w:r>
          </w:p>
        </w:tc>
        <w:tc>
          <w:tcPr>
            <w:tcW w:w="740" w:type="pct"/>
            <w:vAlign w:val="center"/>
          </w:tcPr>
          <w:p w14:paraId="46890F24"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192 (47.9%)</w:t>
            </w:r>
          </w:p>
        </w:tc>
        <w:tc>
          <w:tcPr>
            <w:tcW w:w="740" w:type="pct"/>
            <w:vAlign w:val="center"/>
          </w:tcPr>
          <w:p w14:paraId="1316A22F"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411 (55.2%)</w:t>
            </w:r>
          </w:p>
        </w:tc>
        <w:tc>
          <w:tcPr>
            <w:tcW w:w="740" w:type="pct"/>
            <w:vAlign w:val="center"/>
          </w:tcPr>
          <w:p w14:paraId="6658B133"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240 (68.6%)</w:t>
            </w:r>
          </w:p>
        </w:tc>
        <w:tc>
          <w:tcPr>
            <w:tcW w:w="739" w:type="pct"/>
            <w:vAlign w:val="center"/>
          </w:tcPr>
          <w:p w14:paraId="7392E058"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224 (68.9%)</w:t>
            </w:r>
          </w:p>
        </w:tc>
      </w:tr>
      <w:tr w:rsidR="00BD0FF5" w:rsidRPr="00BD0FF5" w14:paraId="08AE867A" w14:textId="77777777" w:rsidTr="001E6BEB">
        <w:tc>
          <w:tcPr>
            <w:tcW w:w="2040" w:type="pct"/>
          </w:tcPr>
          <w:p w14:paraId="22607137" w14:textId="4B204E76" w:rsidR="00BD0FF5" w:rsidRPr="00BD0FF5" w:rsidRDefault="00BD0FF5" w:rsidP="00BD0FF5">
            <w:pPr>
              <w:pStyle w:val="BodyText"/>
              <w:spacing w:before="0" w:after="0" w:line="276" w:lineRule="auto"/>
              <w:ind w:left="171" w:firstLine="0"/>
              <w:rPr>
                <w:rFonts w:cs="Times New Roman"/>
                <w:sz w:val="22"/>
              </w:rPr>
            </w:pPr>
            <w:r w:rsidRPr="00BD0FF5">
              <w:rPr>
                <w:sz w:val="22"/>
                <w:lang w:val="en-US"/>
              </w:rPr>
              <w:t>Widowed</w:t>
            </w:r>
          </w:p>
        </w:tc>
        <w:tc>
          <w:tcPr>
            <w:tcW w:w="740" w:type="pct"/>
            <w:vAlign w:val="center"/>
          </w:tcPr>
          <w:p w14:paraId="68E41CF3"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 (.5%)</w:t>
            </w:r>
          </w:p>
        </w:tc>
        <w:tc>
          <w:tcPr>
            <w:tcW w:w="740" w:type="pct"/>
            <w:vAlign w:val="center"/>
          </w:tcPr>
          <w:p w14:paraId="12378B8B"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8 (1.1%)</w:t>
            </w:r>
          </w:p>
        </w:tc>
        <w:tc>
          <w:tcPr>
            <w:tcW w:w="740" w:type="pct"/>
            <w:vAlign w:val="center"/>
          </w:tcPr>
          <w:p w14:paraId="77F1113C"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 (.6%)</w:t>
            </w:r>
          </w:p>
        </w:tc>
        <w:tc>
          <w:tcPr>
            <w:tcW w:w="739" w:type="pct"/>
            <w:vAlign w:val="center"/>
          </w:tcPr>
          <w:p w14:paraId="762F1E69"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0 (0%)</w:t>
            </w:r>
          </w:p>
        </w:tc>
      </w:tr>
      <w:tr w:rsidR="00BD0FF5" w:rsidRPr="00BD0FF5" w14:paraId="1B453C63" w14:textId="77777777" w:rsidTr="001E6BEB">
        <w:tc>
          <w:tcPr>
            <w:tcW w:w="2040" w:type="pct"/>
          </w:tcPr>
          <w:p w14:paraId="2A69B231" w14:textId="07230341" w:rsidR="00BD0FF5" w:rsidRPr="00BD0FF5" w:rsidRDefault="00BD0FF5" w:rsidP="00BD0FF5">
            <w:pPr>
              <w:pStyle w:val="BodyText"/>
              <w:spacing w:before="0" w:after="0" w:line="276" w:lineRule="auto"/>
              <w:ind w:firstLine="0"/>
              <w:rPr>
                <w:rFonts w:cs="Times New Roman"/>
                <w:sz w:val="22"/>
              </w:rPr>
            </w:pPr>
            <w:r w:rsidRPr="00BD0FF5">
              <w:rPr>
                <w:sz w:val="22"/>
                <w:lang w:val="en-US"/>
              </w:rPr>
              <w:t>Educational Level, n (%)</w:t>
            </w:r>
          </w:p>
        </w:tc>
        <w:tc>
          <w:tcPr>
            <w:tcW w:w="740" w:type="pct"/>
            <w:vAlign w:val="center"/>
          </w:tcPr>
          <w:p w14:paraId="33E5BA4C"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0F28CDCE"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2B6C034C" w14:textId="77777777" w:rsidR="00BD0FF5" w:rsidRPr="00BD0FF5" w:rsidRDefault="00BD0FF5" w:rsidP="00BD0FF5">
            <w:pPr>
              <w:pStyle w:val="BodyText"/>
              <w:spacing w:before="0" w:after="0" w:line="276" w:lineRule="auto"/>
              <w:ind w:firstLine="0"/>
              <w:jc w:val="center"/>
              <w:rPr>
                <w:rFonts w:cs="Times New Roman"/>
                <w:sz w:val="22"/>
              </w:rPr>
            </w:pPr>
          </w:p>
        </w:tc>
        <w:tc>
          <w:tcPr>
            <w:tcW w:w="739" w:type="pct"/>
            <w:vAlign w:val="center"/>
          </w:tcPr>
          <w:p w14:paraId="69C73B92" w14:textId="77777777" w:rsidR="00BD0FF5" w:rsidRPr="00BD0FF5" w:rsidRDefault="00BD0FF5" w:rsidP="00BD0FF5">
            <w:pPr>
              <w:pStyle w:val="BodyText"/>
              <w:spacing w:before="0" w:after="0" w:line="276" w:lineRule="auto"/>
              <w:ind w:firstLine="0"/>
              <w:jc w:val="center"/>
              <w:rPr>
                <w:rFonts w:cs="Times New Roman"/>
                <w:sz w:val="22"/>
              </w:rPr>
            </w:pPr>
          </w:p>
        </w:tc>
      </w:tr>
      <w:tr w:rsidR="00BD0FF5" w:rsidRPr="00BD0FF5" w14:paraId="5685555E" w14:textId="77777777" w:rsidTr="001E6BEB">
        <w:tc>
          <w:tcPr>
            <w:tcW w:w="2040" w:type="pct"/>
          </w:tcPr>
          <w:p w14:paraId="4A2A6E77" w14:textId="7904DCC4"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Complete University</w:t>
            </w:r>
          </w:p>
        </w:tc>
        <w:tc>
          <w:tcPr>
            <w:tcW w:w="740" w:type="pct"/>
            <w:vAlign w:val="center"/>
          </w:tcPr>
          <w:p w14:paraId="58DCB687"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262 (65.3%)</w:t>
            </w:r>
          </w:p>
        </w:tc>
        <w:tc>
          <w:tcPr>
            <w:tcW w:w="740" w:type="pct"/>
            <w:vAlign w:val="center"/>
          </w:tcPr>
          <w:p w14:paraId="26533714"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470 (63.2%)</w:t>
            </w:r>
          </w:p>
        </w:tc>
        <w:tc>
          <w:tcPr>
            <w:tcW w:w="740" w:type="pct"/>
            <w:vAlign w:val="center"/>
          </w:tcPr>
          <w:p w14:paraId="6174D288"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148 (42.3%)</w:t>
            </w:r>
          </w:p>
        </w:tc>
        <w:tc>
          <w:tcPr>
            <w:tcW w:w="739" w:type="pct"/>
            <w:vAlign w:val="center"/>
          </w:tcPr>
          <w:p w14:paraId="59BD8432"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149 (45.8%)</w:t>
            </w:r>
          </w:p>
        </w:tc>
      </w:tr>
      <w:tr w:rsidR="00BD0FF5" w:rsidRPr="00BD0FF5" w14:paraId="4E3F17A6" w14:textId="77777777" w:rsidTr="001E6BEB">
        <w:tc>
          <w:tcPr>
            <w:tcW w:w="2040" w:type="pct"/>
          </w:tcPr>
          <w:p w14:paraId="5428E3DE" w14:textId="7EE3D40C"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Incomplete University</w:t>
            </w:r>
          </w:p>
        </w:tc>
        <w:tc>
          <w:tcPr>
            <w:tcW w:w="740" w:type="pct"/>
            <w:vAlign w:val="center"/>
          </w:tcPr>
          <w:p w14:paraId="3FBAAAFE"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74 (18.5%)</w:t>
            </w:r>
          </w:p>
        </w:tc>
        <w:tc>
          <w:tcPr>
            <w:tcW w:w="740" w:type="pct"/>
            <w:vAlign w:val="center"/>
          </w:tcPr>
          <w:p w14:paraId="773EA8F6"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119 (16%)</w:t>
            </w:r>
          </w:p>
        </w:tc>
        <w:tc>
          <w:tcPr>
            <w:tcW w:w="740" w:type="pct"/>
            <w:vAlign w:val="center"/>
          </w:tcPr>
          <w:p w14:paraId="39E4EBA4"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132 (37.7%)</w:t>
            </w:r>
          </w:p>
        </w:tc>
        <w:tc>
          <w:tcPr>
            <w:tcW w:w="739" w:type="pct"/>
            <w:vAlign w:val="center"/>
          </w:tcPr>
          <w:p w14:paraId="1E30B93D"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121 (37.2%)</w:t>
            </w:r>
          </w:p>
        </w:tc>
      </w:tr>
      <w:tr w:rsidR="00BD0FF5" w:rsidRPr="00BD0FF5" w14:paraId="2BD90ADF" w14:textId="77777777" w:rsidTr="001E6BEB">
        <w:tc>
          <w:tcPr>
            <w:tcW w:w="2040" w:type="pct"/>
          </w:tcPr>
          <w:p w14:paraId="657B27E0" w14:textId="2216174D"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Complete Technical Studies</w:t>
            </w:r>
          </w:p>
        </w:tc>
        <w:tc>
          <w:tcPr>
            <w:tcW w:w="740" w:type="pct"/>
            <w:vAlign w:val="center"/>
          </w:tcPr>
          <w:p w14:paraId="40B59DC8"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14 (3.5%)</w:t>
            </w:r>
          </w:p>
        </w:tc>
        <w:tc>
          <w:tcPr>
            <w:tcW w:w="740" w:type="pct"/>
            <w:vAlign w:val="center"/>
          </w:tcPr>
          <w:p w14:paraId="1272E098"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83 (11.2%)</w:t>
            </w:r>
          </w:p>
        </w:tc>
        <w:tc>
          <w:tcPr>
            <w:tcW w:w="740" w:type="pct"/>
            <w:vAlign w:val="center"/>
          </w:tcPr>
          <w:p w14:paraId="5C1EE003"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22 (6.3%)</w:t>
            </w:r>
          </w:p>
        </w:tc>
        <w:tc>
          <w:tcPr>
            <w:tcW w:w="739" w:type="pct"/>
            <w:vAlign w:val="center"/>
          </w:tcPr>
          <w:p w14:paraId="2784C728"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18 (5.5%)</w:t>
            </w:r>
          </w:p>
        </w:tc>
      </w:tr>
      <w:tr w:rsidR="00BD0FF5" w:rsidRPr="00BD0FF5" w14:paraId="2BE4A3E8" w14:textId="77777777" w:rsidTr="001E6BEB">
        <w:tc>
          <w:tcPr>
            <w:tcW w:w="2040" w:type="pct"/>
          </w:tcPr>
          <w:p w14:paraId="4082CF79" w14:textId="4921D05E"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Incomplete Technical Studies</w:t>
            </w:r>
          </w:p>
        </w:tc>
        <w:tc>
          <w:tcPr>
            <w:tcW w:w="740" w:type="pct"/>
            <w:vAlign w:val="center"/>
          </w:tcPr>
          <w:p w14:paraId="755E3337"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 (.5%)</w:t>
            </w:r>
          </w:p>
        </w:tc>
        <w:tc>
          <w:tcPr>
            <w:tcW w:w="740" w:type="pct"/>
            <w:vAlign w:val="center"/>
          </w:tcPr>
          <w:p w14:paraId="39DFB227"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9 (1.2%)</w:t>
            </w:r>
          </w:p>
        </w:tc>
        <w:tc>
          <w:tcPr>
            <w:tcW w:w="740" w:type="pct"/>
            <w:vAlign w:val="center"/>
          </w:tcPr>
          <w:p w14:paraId="55C24EAB"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 (.9%)</w:t>
            </w:r>
          </w:p>
        </w:tc>
        <w:tc>
          <w:tcPr>
            <w:tcW w:w="739" w:type="pct"/>
            <w:vAlign w:val="center"/>
          </w:tcPr>
          <w:p w14:paraId="1A50E16C"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 (.3%)</w:t>
            </w:r>
          </w:p>
        </w:tc>
      </w:tr>
      <w:tr w:rsidR="00BD0FF5" w:rsidRPr="00BD0FF5" w14:paraId="169543C4" w14:textId="77777777" w:rsidTr="001E6BEB">
        <w:tc>
          <w:tcPr>
            <w:tcW w:w="2040" w:type="pct"/>
          </w:tcPr>
          <w:p w14:paraId="7D70D38B" w14:textId="08521EE7"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Complete Secondary School</w:t>
            </w:r>
          </w:p>
        </w:tc>
        <w:tc>
          <w:tcPr>
            <w:tcW w:w="740" w:type="pct"/>
            <w:vAlign w:val="center"/>
          </w:tcPr>
          <w:p w14:paraId="6C707AA6"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39 (9.7%)</w:t>
            </w:r>
          </w:p>
        </w:tc>
        <w:tc>
          <w:tcPr>
            <w:tcW w:w="740" w:type="pct"/>
            <w:vAlign w:val="center"/>
          </w:tcPr>
          <w:p w14:paraId="321E1596"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55 (7.4%)</w:t>
            </w:r>
          </w:p>
        </w:tc>
        <w:tc>
          <w:tcPr>
            <w:tcW w:w="740" w:type="pct"/>
            <w:vAlign w:val="center"/>
          </w:tcPr>
          <w:p w14:paraId="472EE8E5"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39 (11.1%)</w:t>
            </w:r>
          </w:p>
        </w:tc>
        <w:tc>
          <w:tcPr>
            <w:tcW w:w="739" w:type="pct"/>
            <w:vAlign w:val="center"/>
          </w:tcPr>
          <w:p w14:paraId="6DA96504"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31 (9.5%)</w:t>
            </w:r>
          </w:p>
        </w:tc>
      </w:tr>
      <w:tr w:rsidR="00BD0FF5" w:rsidRPr="00BD0FF5" w14:paraId="69E1A7C0" w14:textId="77777777" w:rsidTr="001E6BEB">
        <w:tc>
          <w:tcPr>
            <w:tcW w:w="2040" w:type="pct"/>
          </w:tcPr>
          <w:p w14:paraId="77556CAC" w14:textId="0A0C2539"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Incomplete Secondary School</w:t>
            </w:r>
          </w:p>
        </w:tc>
        <w:tc>
          <w:tcPr>
            <w:tcW w:w="740" w:type="pct"/>
            <w:vAlign w:val="center"/>
          </w:tcPr>
          <w:p w14:paraId="233704B6"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5 (1.2%)</w:t>
            </w:r>
          </w:p>
        </w:tc>
        <w:tc>
          <w:tcPr>
            <w:tcW w:w="740" w:type="pct"/>
            <w:vAlign w:val="center"/>
          </w:tcPr>
          <w:p w14:paraId="10BC8845"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5 (.7%)</w:t>
            </w:r>
          </w:p>
        </w:tc>
        <w:tc>
          <w:tcPr>
            <w:tcW w:w="740" w:type="pct"/>
            <w:vAlign w:val="center"/>
          </w:tcPr>
          <w:p w14:paraId="2BC483DA"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6 (1.7%)</w:t>
            </w:r>
          </w:p>
        </w:tc>
        <w:tc>
          <w:tcPr>
            <w:tcW w:w="739" w:type="pct"/>
            <w:vAlign w:val="center"/>
          </w:tcPr>
          <w:p w14:paraId="2D03124C"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5 (1.5%)</w:t>
            </w:r>
          </w:p>
        </w:tc>
      </w:tr>
      <w:tr w:rsidR="00BD0FF5" w:rsidRPr="00BD0FF5" w14:paraId="46A8DB08" w14:textId="77777777" w:rsidTr="001E6BEB">
        <w:tc>
          <w:tcPr>
            <w:tcW w:w="2040" w:type="pct"/>
          </w:tcPr>
          <w:p w14:paraId="10ED6F28" w14:textId="0FAB464F"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Complete Primary School</w:t>
            </w:r>
          </w:p>
        </w:tc>
        <w:tc>
          <w:tcPr>
            <w:tcW w:w="740" w:type="pct"/>
            <w:vAlign w:val="center"/>
          </w:tcPr>
          <w:p w14:paraId="7FCE156A"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4 (1%)</w:t>
            </w:r>
          </w:p>
        </w:tc>
        <w:tc>
          <w:tcPr>
            <w:tcW w:w="740" w:type="pct"/>
            <w:vAlign w:val="center"/>
          </w:tcPr>
          <w:p w14:paraId="20187314"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 (.3%)</w:t>
            </w:r>
          </w:p>
        </w:tc>
        <w:tc>
          <w:tcPr>
            <w:tcW w:w="740" w:type="pct"/>
          </w:tcPr>
          <w:p w14:paraId="65038B93"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0 (0%)</w:t>
            </w:r>
          </w:p>
        </w:tc>
        <w:tc>
          <w:tcPr>
            <w:tcW w:w="739" w:type="pct"/>
          </w:tcPr>
          <w:p w14:paraId="540E60EA"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0 (0%)</w:t>
            </w:r>
          </w:p>
        </w:tc>
      </w:tr>
      <w:tr w:rsidR="00BD0FF5" w:rsidRPr="00BD0FF5" w14:paraId="5F5E48F3" w14:textId="77777777" w:rsidTr="001E6BEB">
        <w:tc>
          <w:tcPr>
            <w:tcW w:w="2040" w:type="pct"/>
          </w:tcPr>
          <w:p w14:paraId="56E79C92" w14:textId="12793E53"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Incomplete Primary School</w:t>
            </w:r>
          </w:p>
        </w:tc>
        <w:tc>
          <w:tcPr>
            <w:tcW w:w="740" w:type="pct"/>
            <w:vAlign w:val="center"/>
          </w:tcPr>
          <w:p w14:paraId="0E6E5EA4"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 (.2%)</w:t>
            </w:r>
          </w:p>
        </w:tc>
        <w:tc>
          <w:tcPr>
            <w:tcW w:w="740" w:type="pct"/>
            <w:vAlign w:val="center"/>
          </w:tcPr>
          <w:p w14:paraId="3B3165A3"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 (.1%)</w:t>
            </w:r>
          </w:p>
        </w:tc>
        <w:tc>
          <w:tcPr>
            <w:tcW w:w="740" w:type="pct"/>
          </w:tcPr>
          <w:p w14:paraId="7114F08F"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0 (0%)</w:t>
            </w:r>
          </w:p>
        </w:tc>
        <w:tc>
          <w:tcPr>
            <w:tcW w:w="739" w:type="pct"/>
          </w:tcPr>
          <w:p w14:paraId="4B5D8FB1"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0 (0%)</w:t>
            </w:r>
          </w:p>
        </w:tc>
      </w:tr>
      <w:tr w:rsidR="00BD0FF5" w:rsidRPr="00BD0FF5" w14:paraId="1FFC1DF8" w14:textId="77777777" w:rsidTr="001E6BEB">
        <w:tc>
          <w:tcPr>
            <w:tcW w:w="2040" w:type="pct"/>
          </w:tcPr>
          <w:p w14:paraId="3F216F57" w14:textId="740BBBAF" w:rsidR="00BD0FF5" w:rsidRPr="00BD0FF5" w:rsidRDefault="00BD0FF5" w:rsidP="00BD0FF5">
            <w:pPr>
              <w:pStyle w:val="BodyText"/>
              <w:spacing w:before="0" w:after="0" w:line="276" w:lineRule="auto"/>
              <w:ind w:firstLine="0"/>
              <w:rPr>
                <w:rFonts w:cs="Times New Roman"/>
                <w:sz w:val="22"/>
              </w:rPr>
            </w:pPr>
            <w:r w:rsidRPr="00BD0FF5">
              <w:rPr>
                <w:sz w:val="22"/>
                <w:lang w:val="en-US"/>
              </w:rPr>
              <w:t>Residential Area, n (%)</w:t>
            </w:r>
          </w:p>
        </w:tc>
        <w:tc>
          <w:tcPr>
            <w:tcW w:w="740" w:type="pct"/>
            <w:vAlign w:val="center"/>
          </w:tcPr>
          <w:p w14:paraId="00B92703"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5A1A5FBA"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40D740E8" w14:textId="77777777" w:rsidR="00BD0FF5" w:rsidRPr="00BD0FF5" w:rsidRDefault="00BD0FF5" w:rsidP="00BD0FF5">
            <w:pPr>
              <w:pStyle w:val="BodyText"/>
              <w:spacing w:before="0" w:after="0" w:line="276" w:lineRule="auto"/>
              <w:ind w:firstLine="0"/>
              <w:jc w:val="center"/>
              <w:rPr>
                <w:rFonts w:cs="Times New Roman"/>
                <w:sz w:val="22"/>
              </w:rPr>
            </w:pPr>
          </w:p>
        </w:tc>
        <w:tc>
          <w:tcPr>
            <w:tcW w:w="739" w:type="pct"/>
            <w:vAlign w:val="center"/>
          </w:tcPr>
          <w:p w14:paraId="1CE1DD86" w14:textId="77777777" w:rsidR="00BD0FF5" w:rsidRPr="00BD0FF5" w:rsidRDefault="00BD0FF5" w:rsidP="00BD0FF5">
            <w:pPr>
              <w:pStyle w:val="BodyText"/>
              <w:spacing w:before="0" w:after="0" w:line="276" w:lineRule="auto"/>
              <w:ind w:firstLine="0"/>
              <w:jc w:val="center"/>
              <w:rPr>
                <w:rFonts w:cs="Times New Roman"/>
                <w:sz w:val="22"/>
              </w:rPr>
            </w:pPr>
          </w:p>
        </w:tc>
      </w:tr>
      <w:tr w:rsidR="00BD0FF5" w:rsidRPr="00BD0FF5" w14:paraId="1A058F91" w14:textId="77777777" w:rsidTr="001E6BEB">
        <w:tc>
          <w:tcPr>
            <w:tcW w:w="2040" w:type="pct"/>
          </w:tcPr>
          <w:p w14:paraId="26168717" w14:textId="14B25CCD"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Urban</w:t>
            </w:r>
          </w:p>
        </w:tc>
        <w:tc>
          <w:tcPr>
            <w:tcW w:w="740" w:type="pct"/>
            <w:vAlign w:val="center"/>
          </w:tcPr>
          <w:p w14:paraId="49494895"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332 (82.8%)</w:t>
            </w:r>
          </w:p>
        </w:tc>
        <w:tc>
          <w:tcPr>
            <w:tcW w:w="740" w:type="pct"/>
            <w:vAlign w:val="center"/>
          </w:tcPr>
          <w:p w14:paraId="1B72640F"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685 (92.1%)</w:t>
            </w:r>
          </w:p>
        </w:tc>
        <w:tc>
          <w:tcPr>
            <w:tcW w:w="740" w:type="pct"/>
            <w:vAlign w:val="center"/>
          </w:tcPr>
          <w:p w14:paraId="0E754475"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319 (91.1%)</w:t>
            </w:r>
          </w:p>
        </w:tc>
        <w:tc>
          <w:tcPr>
            <w:tcW w:w="739" w:type="pct"/>
            <w:vAlign w:val="center"/>
          </w:tcPr>
          <w:p w14:paraId="43CFE80A"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301 (92.6%)</w:t>
            </w:r>
          </w:p>
        </w:tc>
      </w:tr>
      <w:tr w:rsidR="00BD0FF5" w:rsidRPr="00BD0FF5" w14:paraId="310FB826" w14:textId="77777777" w:rsidTr="001E6BEB">
        <w:tc>
          <w:tcPr>
            <w:tcW w:w="2040" w:type="pct"/>
          </w:tcPr>
          <w:p w14:paraId="62616F89" w14:textId="7F02F49C"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Rural</w:t>
            </w:r>
          </w:p>
        </w:tc>
        <w:tc>
          <w:tcPr>
            <w:tcW w:w="740" w:type="pct"/>
            <w:vAlign w:val="center"/>
          </w:tcPr>
          <w:p w14:paraId="4F00CE02"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69 (17.2%)</w:t>
            </w:r>
          </w:p>
        </w:tc>
        <w:tc>
          <w:tcPr>
            <w:tcW w:w="740" w:type="pct"/>
            <w:vAlign w:val="center"/>
          </w:tcPr>
          <w:p w14:paraId="6CEC0A80"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59 (7.9%)</w:t>
            </w:r>
          </w:p>
        </w:tc>
        <w:tc>
          <w:tcPr>
            <w:tcW w:w="740" w:type="pct"/>
            <w:vAlign w:val="center"/>
          </w:tcPr>
          <w:p w14:paraId="365BC04B"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31 (8.9%)</w:t>
            </w:r>
          </w:p>
        </w:tc>
        <w:tc>
          <w:tcPr>
            <w:tcW w:w="739" w:type="pct"/>
            <w:vAlign w:val="center"/>
          </w:tcPr>
          <w:p w14:paraId="78ECD762"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24 (7.4%)</w:t>
            </w:r>
          </w:p>
        </w:tc>
      </w:tr>
      <w:tr w:rsidR="00BD0FF5" w:rsidRPr="00BD0FF5" w14:paraId="29C8D5B8" w14:textId="77777777" w:rsidTr="001E6BEB">
        <w:tc>
          <w:tcPr>
            <w:tcW w:w="2040" w:type="pct"/>
          </w:tcPr>
          <w:p w14:paraId="431852DC" w14:textId="50644F4C" w:rsidR="00BD0FF5" w:rsidRPr="00BD0FF5" w:rsidRDefault="00BD0FF5" w:rsidP="00BD0FF5">
            <w:pPr>
              <w:pStyle w:val="BodyText"/>
              <w:spacing w:before="0" w:after="0" w:line="276" w:lineRule="auto"/>
              <w:ind w:firstLine="0"/>
              <w:rPr>
                <w:rFonts w:cs="Times New Roman"/>
                <w:sz w:val="22"/>
              </w:rPr>
            </w:pPr>
            <w:r w:rsidRPr="00BD0FF5">
              <w:rPr>
                <w:sz w:val="22"/>
                <w:lang w:val="en-US"/>
              </w:rPr>
              <w:t>Type of Employment, n (%)</w:t>
            </w:r>
          </w:p>
        </w:tc>
        <w:tc>
          <w:tcPr>
            <w:tcW w:w="740" w:type="pct"/>
            <w:vAlign w:val="center"/>
          </w:tcPr>
          <w:p w14:paraId="172F9F96"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1909F2EB"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2DB8E868" w14:textId="77777777" w:rsidR="00BD0FF5" w:rsidRPr="00BD0FF5" w:rsidRDefault="00BD0FF5" w:rsidP="00BD0FF5">
            <w:pPr>
              <w:pStyle w:val="BodyText"/>
              <w:spacing w:before="0" w:after="0" w:line="276" w:lineRule="auto"/>
              <w:ind w:firstLine="0"/>
              <w:jc w:val="center"/>
              <w:rPr>
                <w:rFonts w:cs="Times New Roman"/>
                <w:sz w:val="22"/>
              </w:rPr>
            </w:pPr>
          </w:p>
        </w:tc>
        <w:tc>
          <w:tcPr>
            <w:tcW w:w="739" w:type="pct"/>
            <w:vAlign w:val="center"/>
          </w:tcPr>
          <w:p w14:paraId="29B898C0" w14:textId="77777777" w:rsidR="00BD0FF5" w:rsidRPr="00BD0FF5" w:rsidRDefault="00BD0FF5" w:rsidP="00BD0FF5">
            <w:pPr>
              <w:pStyle w:val="BodyText"/>
              <w:spacing w:before="0" w:after="0" w:line="276" w:lineRule="auto"/>
              <w:ind w:firstLine="0"/>
              <w:jc w:val="center"/>
              <w:rPr>
                <w:rFonts w:cs="Times New Roman"/>
                <w:sz w:val="22"/>
              </w:rPr>
            </w:pPr>
          </w:p>
        </w:tc>
      </w:tr>
      <w:tr w:rsidR="00BD0FF5" w:rsidRPr="00BD0FF5" w14:paraId="2E4D8306" w14:textId="77777777" w:rsidTr="006B16F3">
        <w:tc>
          <w:tcPr>
            <w:tcW w:w="2040" w:type="pct"/>
          </w:tcPr>
          <w:p w14:paraId="18BBB0C3" w14:textId="43ED3214"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lastRenderedPageBreak/>
              <w:t>Permanent Employment</w:t>
            </w:r>
          </w:p>
        </w:tc>
        <w:tc>
          <w:tcPr>
            <w:tcW w:w="740" w:type="pct"/>
            <w:vAlign w:val="center"/>
          </w:tcPr>
          <w:p w14:paraId="7378F62A"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207 (51.6%)</w:t>
            </w:r>
          </w:p>
        </w:tc>
        <w:tc>
          <w:tcPr>
            <w:tcW w:w="740" w:type="pct"/>
            <w:vAlign w:val="center"/>
          </w:tcPr>
          <w:p w14:paraId="0288947C"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437 (58.7%)</w:t>
            </w:r>
          </w:p>
        </w:tc>
        <w:tc>
          <w:tcPr>
            <w:tcW w:w="740" w:type="pct"/>
            <w:vAlign w:val="center"/>
          </w:tcPr>
          <w:p w14:paraId="4CB509D3"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120 (34.3%)</w:t>
            </w:r>
          </w:p>
        </w:tc>
        <w:tc>
          <w:tcPr>
            <w:tcW w:w="739" w:type="pct"/>
            <w:vAlign w:val="center"/>
          </w:tcPr>
          <w:p w14:paraId="5846C702"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117 (36%)</w:t>
            </w:r>
          </w:p>
        </w:tc>
      </w:tr>
      <w:tr w:rsidR="00BD0FF5" w:rsidRPr="00BD0FF5" w14:paraId="367973CD" w14:textId="77777777" w:rsidTr="006B16F3">
        <w:tc>
          <w:tcPr>
            <w:tcW w:w="2040" w:type="pct"/>
          </w:tcPr>
          <w:p w14:paraId="6EA85B36" w14:textId="0923CC05"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Temporary Employment</w:t>
            </w:r>
          </w:p>
        </w:tc>
        <w:tc>
          <w:tcPr>
            <w:tcW w:w="740" w:type="pct"/>
            <w:vAlign w:val="center"/>
          </w:tcPr>
          <w:p w14:paraId="4BC0253F"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69 (17.2%)</w:t>
            </w:r>
          </w:p>
        </w:tc>
        <w:tc>
          <w:tcPr>
            <w:tcW w:w="740" w:type="pct"/>
            <w:vAlign w:val="center"/>
          </w:tcPr>
          <w:p w14:paraId="2561BAD4"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170 (22.8%)</w:t>
            </w:r>
          </w:p>
        </w:tc>
        <w:tc>
          <w:tcPr>
            <w:tcW w:w="740" w:type="pct"/>
            <w:vAlign w:val="center"/>
          </w:tcPr>
          <w:p w14:paraId="314921CC"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110 (31.4%)</w:t>
            </w:r>
          </w:p>
        </w:tc>
        <w:tc>
          <w:tcPr>
            <w:tcW w:w="739" w:type="pct"/>
            <w:vAlign w:val="center"/>
          </w:tcPr>
          <w:p w14:paraId="5DA24D39"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75 (23.1%)</w:t>
            </w:r>
          </w:p>
        </w:tc>
      </w:tr>
      <w:tr w:rsidR="00BD0FF5" w:rsidRPr="00BD0FF5" w14:paraId="15167933" w14:textId="77777777" w:rsidTr="006B16F3">
        <w:tc>
          <w:tcPr>
            <w:tcW w:w="2040" w:type="pct"/>
          </w:tcPr>
          <w:p w14:paraId="6C5C4F1E" w14:textId="3FDD5E39"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Unemployed</w:t>
            </w:r>
          </w:p>
        </w:tc>
        <w:tc>
          <w:tcPr>
            <w:tcW w:w="740" w:type="pct"/>
            <w:vAlign w:val="center"/>
          </w:tcPr>
          <w:p w14:paraId="2C543553"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107 (26.7%)</w:t>
            </w:r>
          </w:p>
        </w:tc>
        <w:tc>
          <w:tcPr>
            <w:tcW w:w="740" w:type="pct"/>
            <w:vAlign w:val="center"/>
          </w:tcPr>
          <w:p w14:paraId="358E7BB5"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110 (14.8%)</w:t>
            </w:r>
          </w:p>
        </w:tc>
        <w:tc>
          <w:tcPr>
            <w:tcW w:w="740" w:type="pct"/>
            <w:vAlign w:val="center"/>
          </w:tcPr>
          <w:p w14:paraId="362C9E54"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107 (30.6%)</w:t>
            </w:r>
          </w:p>
        </w:tc>
        <w:tc>
          <w:tcPr>
            <w:tcW w:w="739" w:type="pct"/>
            <w:vAlign w:val="center"/>
          </w:tcPr>
          <w:p w14:paraId="68C2D29B"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129 (39.7%)</w:t>
            </w:r>
          </w:p>
        </w:tc>
      </w:tr>
      <w:tr w:rsidR="00BD0FF5" w:rsidRPr="00BD0FF5" w14:paraId="298211B8" w14:textId="77777777" w:rsidTr="006B16F3">
        <w:tc>
          <w:tcPr>
            <w:tcW w:w="2040" w:type="pct"/>
          </w:tcPr>
          <w:p w14:paraId="1A345ACB" w14:textId="55E81807"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Retired</w:t>
            </w:r>
          </w:p>
        </w:tc>
        <w:tc>
          <w:tcPr>
            <w:tcW w:w="740" w:type="pct"/>
            <w:vAlign w:val="center"/>
          </w:tcPr>
          <w:p w14:paraId="658BD93D"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18 (4.5%)</w:t>
            </w:r>
          </w:p>
        </w:tc>
        <w:tc>
          <w:tcPr>
            <w:tcW w:w="740" w:type="pct"/>
            <w:vAlign w:val="center"/>
          </w:tcPr>
          <w:p w14:paraId="4119DB8B"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27 (3.6%)</w:t>
            </w:r>
          </w:p>
        </w:tc>
        <w:tc>
          <w:tcPr>
            <w:tcW w:w="740" w:type="pct"/>
            <w:vAlign w:val="center"/>
          </w:tcPr>
          <w:p w14:paraId="180829EE"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13 (3.7%)</w:t>
            </w:r>
          </w:p>
        </w:tc>
        <w:tc>
          <w:tcPr>
            <w:tcW w:w="739" w:type="pct"/>
            <w:vAlign w:val="center"/>
          </w:tcPr>
          <w:p w14:paraId="0C3D5F6A"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4 (1.2%)</w:t>
            </w:r>
          </w:p>
        </w:tc>
      </w:tr>
      <w:tr w:rsidR="00BD0FF5" w:rsidRPr="00BD0FF5" w14:paraId="15E9299E" w14:textId="77777777" w:rsidTr="00FC4A55">
        <w:tc>
          <w:tcPr>
            <w:tcW w:w="2040" w:type="pct"/>
          </w:tcPr>
          <w:p w14:paraId="7DEE79C3" w14:textId="35F3D39E" w:rsidR="00BD0FF5" w:rsidRPr="00BD0FF5" w:rsidRDefault="00BD0FF5" w:rsidP="00BD0FF5">
            <w:pPr>
              <w:pStyle w:val="BodyText"/>
              <w:spacing w:before="0" w:after="0" w:line="276" w:lineRule="auto"/>
              <w:ind w:firstLine="0"/>
              <w:rPr>
                <w:rFonts w:cs="Times New Roman"/>
                <w:sz w:val="22"/>
              </w:rPr>
            </w:pPr>
            <w:r w:rsidRPr="00BD0FF5">
              <w:rPr>
                <w:sz w:val="22"/>
                <w:lang w:val="en-US"/>
              </w:rPr>
              <w:t>Had COVID-19, n (%)</w:t>
            </w:r>
          </w:p>
        </w:tc>
        <w:tc>
          <w:tcPr>
            <w:tcW w:w="740" w:type="pct"/>
            <w:vAlign w:val="center"/>
          </w:tcPr>
          <w:p w14:paraId="40C21757"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710634DA"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16267DA4" w14:textId="77777777" w:rsidR="00BD0FF5" w:rsidRPr="00BD0FF5" w:rsidRDefault="00BD0FF5" w:rsidP="00BD0FF5">
            <w:pPr>
              <w:pStyle w:val="BodyText"/>
              <w:spacing w:before="0" w:after="0" w:line="276" w:lineRule="auto"/>
              <w:ind w:firstLine="0"/>
              <w:jc w:val="center"/>
              <w:rPr>
                <w:rFonts w:cs="Times New Roman"/>
                <w:sz w:val="22"/>
              </w:rPr>
            </w:pPr>
          </w:p>
        </w:tc>
        <w:tc>
          <w:tcPr>
            <w:tcW w:w="739" w:type="pct"/>
            <w:vAlign w:val="center"/>
          </w:tcPr>
          <w:p w14:paraId="5DAECC86" w14:textId="77777777" w:rsidR="00BD0FF5" w:rsidRPr="00BD0FF5" w:rsidRDefault="00BD0FF5" w:rsidP="00BD0FF5">
            <w:pPr>
              <w:pStyle w:val="BodyText"/>
              <w:spacing w:before="0" w:after="0" w:line="276" w:lineRule="auto"/>
              <w:ind w:firstLine="0"/>
              <w:jc w:val="center"/>
              <w:rPr>
                <w:rFonts w:cs="Times New Roman"/>
                <w:sz w:val="22"/>
              </w:rPr>
            </w:pPr>
          </w:p>
        </w:tc>
      </w:tr>
      <w:tr w:rsidR="00BD0FF5" w:rsidRPr="00BD0FF5" w14:paraId="21DD9F56" w14:textId="77777777" w:rsidTr="00FC4A55">
        <w:tc>
          <w:tcPr>
            <w:tcW w:w="2040" w:type="pct"/>
          </w:tcPr>
          <w:p w14:paraId="2CEE4C52" w14:textId="2DA88256"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Yes</w:t>
            </w:r>
          </w:p>
        </w:tc>
        <w:tc>
          <w:tcPr>
            <w:tcW w:w="740" w:type="pct"/>
            <w:vAlign w:val="center"/>
          </w:tcPr>
          <w:p w14:paraId="4CF2A8ED"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237 (59.1%)</w:t>
            </w:r>
          </w:p>
        </w:tc>
        <w:tc>
          <w:tcPr>
            <w:tcW w:w="740" w:type="pct"/>
            <w:vAlign w:val="center"/>
          </w:tcPr>
          <w:p w14:paraId="14475C59"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330 (44.4%)</w:t>
            </w:r>
          </w:p>
        </w:tc>
        <w:tc>
          <w:tcPr>
            <w:tcW w:w="740" w:type="pct"/>
            <w:vAlign w:val="center"/>
          </w:tcPr>
          <w:p w14:paraId="10AE8A6B"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179 (51.1%)</w:t>
            </w:r>
          </w:p>
        </w:tc>
        <w:tc>
          <w:tcPr>
            <w:tcW w:w="739" w:type="pct"/>
            <w:vAlign w:val="center"/>
          </w:tcPr>
          <w:p w14:paraId="1300D44F"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217 (66.8%)</w:t>
            </w:r>
          </w:p>
        </w:tc>
      </w:tr>
      <w:tr w:rsidR="00BD0FF5" w:rsidRPr="00BD0FF5" w14:paraId="50EB5E16" w14:textId="77777777" w:rsidTr="00FC4A55">
        <w:tc>
          <w:tcPr>
            <w:tcW w:w="2040" w:type="pct"/>
          </w:tcPr>
          <w:p w14:paraId="4E366867" w14:textId="02E84784"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No</w:t>
            </w:r>
          </w:p>
        </w:tc>
        <w:tc>
          <w:tcPr>
            <w:tcW w:w="740" w:type="pct"/>
            <w:vAlign w:val="center"/>
          </w:tcPr>
          <w:p w14:paraId="1850202C"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99 (24.7%)</w:t>
            </w:r>
          </w:p>
        </w:tc>
        <w:tc>
          <w:tcPr>
            <w:tcW w:w="740" w:type="pct"/>
            <w:vAlign w:val="center"/>
          </w:tcPr>
          <w:p w14:paraId="54EEE8E9"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243 (32.7%)</w:t>
            </w:r>
          </w:p>
        </w:tc>
        <w:tc>
          <w:tcPr>
            <w:tcW w:w="740" w:type="pct"/>
            <w:vAlign w:val="center"/>
          </w:tcPr>
          <w:p w14:paraId="6C6A23EF"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95 (27.1%)</w:t>
            </w:r>
          </w:p>
        </w:tc>
        <w:tc>
          <w:tcPr>
            <w:tcW w:w="739" w:type="pct"/>
            <w:vAlign w:val="center"/>
          </w:tcPr>
          <w:p w14:paraId="3EF17A3D"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46 (14.2%)</w:t>
            </w:r>
          </w:p>
        </w:tc>
      </w:tr>
      <w:tr w:rsidR="00BD0FF5" w:rsidRPr="00BD0FF5" w14:paraId="3A57457D" w14:textId="77777777" w:rsidTr="00FC4A55">
        <w:tc>
          <w:tcPr>
            <w:tcW w:w="2040" w:type="pct"/>
          </w:tcPr>
          <w:p w14:paraId="7085495B" w14:textId="03B215C3" w:rsidR="00BD0FF5" w:rsidRPr="00BD0FF5" w:rsidRDefault="00BD0FF5" w:rsidP="00BD0FF5">
            <w:pPr>
              <w:pStyle w:val="BodyText"/>
              <w:spacing w:before="0" w:after="0" w:line="276" w:lineRule="auto"/>
              <w:ind w:left="164" w:firstLine="0"/>
              <w:rPr>
                <w:rFonts w:cs="Times New Roman"/>
                <w:sz w:val="22"/>
                <w:lang w:val="en-US"/>
              </w:rPr>
            </w:pPr>
            <w:r w:rsidRPr="00BD0FF5">
              <w:rPr>
                <w:sz w:val="22"/>
                <w:lang w:val="en-US"/>
              </w:rPr>
              <w:t>I don't know, but I think so</w:t>
            </w:r>
          </w:p>
        </w:tc>
        <w:tc>
          <w:tcPr>
            <w:tcW w:w="740" w:type="pct"/>
            <w:vAlign w:val="center"/>
          </w:tcPr>
          <w:p w14:paraId="445C2052"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46 (11.5%)</w:t>
            </w:r>
          </w:p>
        </w:tc>
        <w:tc>
          <w:tcPr>
            <w:tcW w:w="740" w:type="pct"/>
            <w:vAlign w:val="center"/>
          </w:tcPr>
          <w:p w14:paraId="1D50B1CC"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116 (15.6%)</w:t>
            </w:r>
          </w:p>
        </w:tc>
        <w:tc>
          <w:tcPr>
            <w:tcW w:w="740" w:type="pct"/>
            <w:vAlign w:val="center"/>
          </w:tcPr>
          <w:p w14:paraId="3BC1A7F1"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59 (16.9%)</w:t>
            </w:r>
          </w:p>
        </w:tc>
        <w:tc>
          <w:tcPr>
            <w:tcW w:w="739" w:type="pct"/>
            <w:vAlign w:val="center"/>
          </w:tcPr>
          <w:p w14:paraId="0F54914F"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34 (10.5%)</w:t>
            </w:r>
          </w:p>
        </w:tc>
      </w:tr>
      <w:tr w:rsidR="00BD0FF5" w:rsidRPr="00BD0FF5" w14:paraId="16085938" w14:textId="77777777" w:rsidTr="00FC4A55">
        <w:tc>
          <w:tcPr>
            <w:tcW w:w="2040" w:type="pct"/>
          </w:tcPr>
          <w:p w14:paraId="41119252" w14:textId="3F55BB16" w:rsidR="00BD0FF5" w:rsidRPr="00BD0FF5" w:rsidRDefault="00BD0FF5" w:rsidP="00BD0FF5">
            <w:pPr>
              <w:pStyle w:val="BodyText"/>
              <w:spacing w:before="0" w:after="0" w:line="276" w:lineRule="auto"/>
              <w:ind w:left="164" w:firstLine="0"/>
              <w:rPr>
                <w:rFonts w:cs="Times New Roman"/>
                <w:sz w:val="22"/>
                <w:lang w:val="en-US"/>
              </w:rPr>
            </w:pPr>
            <w:r w:rsidRPr="00BD0FF5">
              <w:rPr>
                <w:sz w:val="22"/>
                <w:lang w:val="en-US"/>
              </w:rPr>
              <w:t>I don't know, but I think not</w:t>
            </w:r>
          </w:p>
        </w:tc>
        <w:tc>
          <w:tcPr>
            <w:tcW w:w="740" w:type="pct"/>
            <w:vAlign w:val="center"/>
          </w:tcPr>
          <w:p w14:paraId="5A271952"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19 (4.7%)</w:t>
            </w:r>
          </w:p>
        </w:tc>
        <w:tc>
          <w:tcPr>
            <w:tcW w:w="740" w:type="pct"/>
            <w:vAlign w:val="center"/>
          </w:tcPr>
          <w:p w14:paraId="29034E36"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55 (7.4%)</w:t>
            </w:r>
          </w:p>
        </w:tc>
        <w:tc>
          <w:tcPr>
            <w:tcW w:w="740" w:type="pct"/>
            <w:vAlign w:val="center"/>
          </w:tcPr>
          <w:p w14:paraId="7EDC24E9"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17 (4.9%)</w:t>
            </w:r>
          </w:p>
        </w:tc>
        <w:tc>
          <w:tcPr>
            <w:tcW w:w="739" w:type="pct"/>
            <w:vAlign w:val="center"/>
          </w:tcPr>
          <w:p w14:paraId="5E8100CB"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28 (8.6%)</w:t>
            </w:r>
          </w:p>
        </w:tc>
      </w:tr>
      <w:tr w:rsidR="00BD0FF5" w:rsidRPr="00BD0FF5" w14:paraId="0DE61004" w14:textId="77777777" w:rsidTr="00FC4A55">
        <w:tc>
          <w:tcPr>
            <w:tcW w:w="2040" w:type="pct"/>
          </w:tcPr>
          <w:p w14:paraId="59537B48" w14:textId="610953FD" w:rsidR="00BD0FF5" w:rsidRPr="00BD0FF5" w:rsidRDefault="00BD0FF5" w:rsidP="00BD0FF5">
            <w:pPr>
              <w:pStyle w:val="BodyText"/>
              <w:spacing w:before="0" w:after="0" w:line="276" w:lineRule="auto"/>
              <w:ind w:firstLine="0"/>
              <w:rPr>
                <w:rFonts w:cs="Times New Roman"/>
                <w:sz w:val="22"/>
                <w:lang w:val="en-US"/>
              </w:rPr>
            </w:pPr>
            <w:r w:rsidRPr="00BD0FF5">
              <w:rPr>
                <w:sz w:val="22"/>
                <w:lang w:val="en-US"/>
              </w:rPr>
              <w:t>Family/Friends with COVID-19, n (%)</w:t>
            </w:r>
          </w:p>
        </w:tc>
        <w:tc>
          <w:tcPr>
            <w:tcW w:w="740" w:type="pct"/>
            <w:vAlign w:val="center"/>
          </w:tcPr>
          <w:p w14:paraId="72AD4D00" w14:textId="77777777" w:rsidR="00BD0FF5" w:rsidRPr="00BD0FF5" w:rsidRDefault="00BD0FF5" w:rsidP="00BD0FF5">
            <w:pPr>
              <w:pStyle w:val="BodyText"/>
              <w:spacing w:before="0" w:after="0" w:line="276" w:lineRule="auto"/>
              <w:ind w:firstLine="0"/>
              <w:jc w:val="center"/>
              <w:rPr>
                <w:rFonts w:cs="Times New Roman"/>
                <w:sz w:val="22"/>
                <w:lang w:val="en-US"/>
              </w:rPr>
            </w:pPr>
          </w:p>
        </w:tc>
        <w:tc>
          <w:tcPr>
            <w:tcW w:w="740" w:type="pct"/>
            <w:vAlign w:val="center"/>
          </w:tcPr>
          <w:p w14:paraId="7D6FDCA7" w14:textId="77777777" w:rsidR="00BD0FF5" w:rsidRPr="00BD0FF5" w:rsidRDefault="00BD0FF5" w:rsidP="00BD0FF5">
            <w:pPr>
              <w:pStyle w:val="BodyText"/>
              <w:spacing w:before="0" w:after="0" w:line="276" w:lineRule="auto"/>
              <w:ind w:firstLine="0"/>
              <w:jc w:val="center"/>
              <w:rPr>
                <w:rFonts w:cs="Times New Roman"/>
                <w:sz w:val="22"/>
                <w:lang w:val="en-US"/>
              </w:rPr>
            </w:pPr>
          </w:p>
        </w:tc>
        <w:tc>
          <w:tcPr>
            <w:tcW w:w="740" w:type="pct"/>
            <w:vAlign w:val="center"/>
          </w:tcPr>
          <w:p w14:paraId="4770E2FC" w14:textId="77777777" w:rsidR="00BD0FF5" w:rsidRPr="00BD0FF5" w:rsidRDefault="00BD0FF5" w:rsidP="00BD0FF5">
            <w:pPr>
              <w:pStyle w:val="BodyText"/>
              <w:spacing w:before="0" w:after="0" w:line="276" w:lineRule="auto"/>
              <w:ind w:firstLine="0"/>
              <w:jc w:val="center"/>
              <w:rPr>
                <w:rFonts w:cs="Times New Roman"/>
                <w:sz w:val="22"/>
                <w:lang w:val="en-US"/>
              </w:rPr>
            </w:pPr>
          </w:p>
        </w:tc>
        <w:tc>
          <w:tcPr>
            <w:tcW w:w="739" w:type="pct"/>
            <w:vAlign w:val="center"/>
          </w:tcPr>
          <w:p w14:paraId="50C0C22D" w14:textId="77777777" w:rsidR="00BD0FF5" w:rsidRPr="00BD0FF5" w:rsidRDefault="00BD0FF5" w:rsidP="00BD0FF5">
            <w:pPr>
              <w:pStyle w:val="BodyText"/>
              <w:spacing w:before="0" w:after="0" w:line="276" w:lineRule="auto"/>
              <w:ind w:firstLine="0"/>
              <w:jc w:val="center"/>
              <w:rPr>
                <w:rFonts w:cs="Times New Roman"/>
                <w:sz w:val="22"/>
                <w:lang w:val="en-US"/>
              </w:rPr>
            </w:pPr>
          </w:p>
        </w:tc>
      </w:tr>
      <w:tr w:rsidR="00BD0FF5" w:rsidRPr="00BD0FF5" w14:paraId="37A80A74" w14:textId="77777777" w:rsidTr="00FC4A55">
        <w:tc>
          <w:tcPr>
            <w:tcW w:w="2040" w:type="pct"/>
          </w:tcPr>
          <w:p w14:paraId="4E0130DC" w14:textId="05F1B03E"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Yes</w:t>
            </w:r>
          </w:p>
        </w:tc>
        <w:tc>
          <w:tcPr>
            <w:tcW w:w="740" w:type="pct"/>
            <w:vAlign w:val="center"/>
          </w:tcPr>
          <w:p w14:paraId="1EBC45BC"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382 (95.3%)</w:t>
            </w:r>
          </w:p>
        </w:tc>
        <w:tc>
          <w:tcPr>
            <w:tcW w:w="740" w:type="pct"/>
            <w:vAlign w:val="center"/>
          </w:tcPr>
          <w:p w14:paraId="37CC00A9"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690 (92.7%)</w:t>
            </w:r>
          </w:p>
        </w:tc>
        <w:tc>
          <w:tcPr>
            <w:tcW w:w="740" w:type="pct"/>
            <w:vAlign w:val="center"/>
          </w:tcPr>
          <w:p w14:paraId="28421230"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318 (90.9%)</w:t>
            </w:r>
          </w:p>
        </w:tc>
        <w:tc>
          <w:tcPr>
            <w:tcW w:w="739" w:type="pct"/>
            <w:vAlign w:val="center"/>
          </w:tcPr>
          <w:p w14:paraId="09C07729"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323 (99.4%)</w:t>
            </w:r>
          </w:p>
        </w:tc>
      </w:tr>
      <w:tr w:rsidR="00BD0FF5" w:rsidRPr="00BD0FF5" w14:paraId="38AFCA25" w14:textId="77777777" w:rsidTr="00FC4A55">
        <w:tc>
          <w:tcPr>
            <w:tcW w:w="2040" w:type="pct"/>
          </w:tcPr>
          <w:p w14:paraId="44A5E493" w14:textId="21850FC0" w:rsidR="00BD0FF5" w:rsidRPr="00BD0FF5" w:rsidRDefault="00BD0FF5" w:rsidP="00BD0FF5">
            <w:pPr>
              <w:pStyle w:val="BodyText"/>
              <w:spacing w:before="0" w:after="0" w:line="276" w:lineRule="auto"/>
              <w:ind w:left="164" w:firstLine="0"/>
              <w:rPr>
                <w:rFonts w:cs="Times New Roman"/>
                <w:sz w:val="22"/>
              </w:rPr>
            </w:pPr>
            <w:r w:rsidRPr="00BD0FF5">
              <w:rPr>
                <w:sz w:val="22"/>
                <w:lang w:val="en-US"/>
              </w:rPr>
              <w:t>No</w:t>
            </w:r>
          </w:p>
        </w:tc>
        <w:tc>
          <w:tcPr>
            <w:tcW w:w="740" w:type="pct"/>
            <w:vAlign w:val="center"/>
          </w:tcPr>
          <w:p w14:paraId="2B3EAC7A"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19 (4.7%)</w:t>
            </w:r>
          </w:p>
        </w:tc>
        <w:tc>
          <w:tcPr>
            <w:tcW w:w="740" w:type="pct"/>
            <w:vAlign w:val="center"/>
          </w:tcPr>
          <w:p w14:paraId="1E6B8C54"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54 (7.3%)</w:t>
            </w:r>
          </w:p>
        </w:tc>
        <w:tc>
          <w:tcPr>
            <w:tcW w:w="740" w:type="pct"/>
            <w:vAlign w:val="center"/>
          </w:tcPr>
          <w:p w14:paraId="1EF33B59"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32 (9.1%)</w:t>
            </w:r>
          </w:p>
        </w:tc>
        <w:tc>
          <w:tcPr>
            <w:tcW w:w="739" w:type="pct"/>
            <w:vAlign w:val="center"/>
          </w:tcPr>
          <w:p w14:paraId="74388E16"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 (.6%)</w:t>
            </w:r>
          </w:p>
        </w:tc>
      </w:tr>
      <w:tr w:rsidR="00BD0FF5" w:rsidRPr="00BD0FF5" w14:paraId="348A5370" w14:textId="77777777" w:rsidTr="00FC4A55">
        <w:tc>
          <w:tcPr>
            <w:tcW w:w="2040" w:type="pct"/>
          </w:tcPr>
          <w:p w14:paraId="4AEAB380" w14:textId="6051D71C" w:rsidR="00BD0FF5" w:rsidRPr="00BD0FF5" w:rsidRDefault="00BD0FF5" w:rsidP="00BD0FF5">
            <w:pPr>
              <w:pStyle w:val="BodyText"/>
              <w:spacing w:before="0" w:after="0" w:line="276" w:lineRule="auto"/>
              <w:ind w:firstLine="0"/>
              <w:rPr>
                <w:rFonts w:cs="Times New Roman"/>
                <w:sz w:val="22"/>
              </w:rPr>
            </w:pPr>
            <w:r w:rsidRPr="00BD0FF5">
              <w:rPr>
                <w:sz w:val="22"/>
                <w:lang w:val="en-US"/>
              </w:rPr>
              <w:t>Received the COVID-19 vaccine</w:t>
            </w:r>
          </w:p>
        </w:tc>
        <w:tc>
          <w:tcPr>
            <w:tcW w:w="740" w:type="pct"/>
            <w:vAlign w:val="center"/>
          </w:tcPr>
          <w:p w14:paraId="28F508F9"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5B65F945"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7218AA79" w14:textId="77777777" w:rsidR="00BD0FF5" w:rsidRPr="00BD0FF5" w:rsidRDefault="00BD0FF5" w:rsidP="00BD0FF5">
            <w:pPr>
              <w:pStyle w:val="BodyText"/>
              <w:spacing w:before="0" w:after="0" w:line="276" w:lineRule="auto"/>
              <w:ind w:firstLine="0"/>
              <w:jc w:val="center"/>
              <w:rPr>
                <w:rFonts w:cs="Times New Roman"/>
                <w:sz w:val="22"/>
              </w:rPr>
            </w:pPr>
          </w:p>
        </w:tc>
        <w:tc>
          <w:tcPr>
            <w:tcW w:w="739" w:type="pct"/>
            <w:vAlign w:val="center"/>
          </w:tcPr>
          <w:p w14:paraId="3750DF11" w14:textId="77777777" w:rsidR="00BD0FF5" w:rsidRPr="00BD0FF5" w:rsidRDefault="00BD0FF5" w:rsidP="00BD0FF5">
            <w:pPr>
              <w:pStyle w:val="BodyText"/>
              <w:spacing w:before="0" w:after="0" w:line="276" w:lineRule="auto"/>
              <w:ind w:firstLine="0"/>
              <w:jc w:val="center"/>
              <w:rPr>
                <w:rFonts w:cs="Times New Roman"/>
                <w:sz w:val="22"/>
              </w:rPr>
            </w:pPr>
          </w:p>
        </w:tc>
      </w:tr>
      <w:tr w:rsidR="00BD0FF5" w:rsidRPr="00BD0FF5" w14:paraId="0A665D28" w14:textId="77777777" w:rsidTr="00FC4A55">
        <w:tc>
          <w:tcPr>
            <w:tcW w:w="2040" w:type="pct"/>
          </w:tcPr>
          <w:p w14:paraId="39AFB55F" w14:textId="70C0A4B2" w:rsidR="00BD0FF5" w:rsidRPr="00BD0FF5" w:rsidRDefault="00BD0FF5" w:rsidP="00BD0FF5">
            <w:pPr>
              <w:pStyle w:val="BodyText"/>
              <w:spacing w:before="0" w:after="0" w:line="276" w:lineRule="auto"/>
              <w:ind w:left="171" w:firstLine="0"/>
              <w:rPr>
                <w:rFonts w:cs="Times New Roman"/>
                <w:sz w:val="22"/>
              </w:rPr>
            </w:pPr>
            <w:r w:rsidRPr="00BD0FF5">
              <w:rPr>
                <w:sz w:val="22"/>
                <w:lang w:val="en-US"/>
              </w:rPr>
              <w:t>Yes</w:t>
            </w:r>
          </w:p>
        </w:tc>
        <w:tc>
          <w:tcPr>
            <w:tcW w:w="740" w:type="pct"/>
            <w:vAlign w:val="center"/>
          </w:tcPr>
          <w:p w14:paraId="24CDD481"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394 (98.3%)</w:t>
            </w:r>
          </w:p>
        </w:tc>
        <w:tc>
          <w:tcPr>
            <w:tcW w:w="740" w:type="pct"/>
            <w:vAlign w:val="center"/>
          </w:tcPr>
          <w:p w14:paraId="075E2E49"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730 (98.1%)</w:t>
            </w:r>
          </w:p>
        </w:tc>
        <w:tc>
          <w:tcPr>
            <w:tcW w:w="740" w:type="pct"/>
            <w:vAlign w:val="center"/>
          </w:tcPr>
          <w:p w14:paraId="43225CB1"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346 (98.9%)</w:t>
            </w:r>
          </w:p>
        </w:tc>
        <w:tc>
          <w:tcPr>
            <w:tcW w:w="739" w:type="pct"/>
            <w:vAlign w:val="center"/>
          </w:tcPr>
          <w:p w14:paraId="184AD8A8"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320 (98.5%)</w:t>
            </w:r>
          </w:p>
        </w:tc>
      </w:tr>
      <w:tr w:rsidR="00BD0FF5" w:rsidRPr="00BD0FF5" w14:paraId="3A4BD685" w14:textId="77777777" w:rsidTr="00FC4A55">
        <w:tc>
          <w:tcPr>
            <w:tcW w:w="2040" w:type="pct"/>
          </w:tcPr>
          <w:p w14:paraId="14107CE2" w14:textId="73F3AA54" w:rsidR="00BD0FF5" w:rsidRPr="00BD0FF5" w:rsidRDefault="00BD0FF5" w:rsidP="00BD0FF5">
            <w:pPr>
              <w:pStyle w:val="BodyText"/>
              <w:spacing w:before="0" w:after="0" w:line="276" w:lineRule="auto"/>
              <w:ind w:left="171" w:firstLine="0"/>
              <w:rPr>
                <w:rFonts w:cs="Times New Roman"/>
                <w:sz w:val="22"/>
              </w:rPr>
            </w:pPr>
            <w:r w:rsidRPr="00BD0FF5">
              <w:rPr>
                <w:sz w:val="22"/>
                <w:lang w:val="en-US"/>
              </w:rPr>
              <w:t>No</w:t>
            </w:r>
          </w:p>
        </w:tc>
        <w:tc>
          <w:tcPr>
            <w:tcW w:w="740" w:type="pct"/>
            <w:vAlign w:val="center"/>
          </w:tcPr>
          <w:p w14:paraId="5793AA2A"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7 (1.7%)</w:t>
            </w:r>
          </w:p>
        </w:tc>
        <w:tc>
          <w:tcPr>
            <w:tcW w:w="740" w:type="pct"/>
            <w:vAlign w:val="center"/>
          </w:tcPr>
          <w:p w14:paraId="56F3F2B6"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14 (1.9%)</w:t>
            </w:r>
          </w:p>
        </w:tc>
        <w:tc>
          <w:tcPr>
            <w:tcW w:w="740" w:type="pct"/>
            <w:vAlign w:val="center"/>
          </w:tcPr>
          <w:p w14:paraId="67B307B5"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4 (1.1%)</w:t>
            </w:r>
          </w:p>
        </w:tc>
        <w:tc>
          <w:tcPr>
            <w:tcW w:w="739" w:type="pct"/>
            <w:vAlign w:val="center"/>
          </w:tcPr>
          <w:p w14:paraId="5A3B918E"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5 (1.5%)</w:t>
            </w:r>
          </w:p>
        </w:tc>
      </w:tr>
      <w:tr w:rsidR="00BD0FF5" w:rsidRPr="00BD0FF5" w14:paraId="7C54D191" w14:textId="77777777" w:rsidTr="00FC4A55">
        <w:tc>
          <w:tcPr>
            <w:tcW w:w="2040" w:type="pct"/>
          </w:tcPr>
          <w:p w14:paraId="0A716F4E" w14:textId="01402290" w:rsidR="00BD0FF5" w:rsidRPr="00BD0FF5" w:rsidRDefault="00BD0FF5" w:rsidP="00BD0FF5">
            <w:pPr>
              <w:pStyle w:val="BodyText"/>
              <w:spacing w:before="0" w:after="0" w:line="276" w:lineRule="auto"/>
              <w:ind w:firstLine="0"/>
              <w:rPr>
                <w:rFonts w:cs="Times New Roman"/>
                <w:sz w:val="22"/>
                <w:lang w:val="en-US"/>
              </w:rPr>
            </w:pPr>
            <w:r w:rsidRPr="00BD0FF5">
              <w:rPr>
                <w:sz w:val="22"/>
                <w:lang w:val="en-US"/>
              </w:rPr>
              <w:t>Received the full dose of vaccines</w:t>
            </w:r>
          </w:p>
        </w:tc>
        <w:tc>
          <w:tcPr>
            <w:tcW w:w="740" w:type="pct"/>
            <w:vAlign w:val="center"/>
          </w:tcPr>
          <w:p w14:paraId="3CC7C5A6" w14:textId="77777777" w:rsidR="00BD0FF5" w:rsidRPr="00BD0FF5" w:rsidRDefault="00BD0FF5" w:rsidP="00BD0FF5">
            <w:pPr>
              <w:pStyle w:val="BodyText"/>
              <w:spacing w:before="0" w:after="0" w:line="276" w:lineRule="auto"/>
              <w:ind w:firstLine="0"/>
              <w:jc w:val="center"/>
              <w:rPr>
                <w:rFonts w:cs="Times New Roman"/>
                <w:sz w:val="22"/>
                <w:lang w:val="en-US"/>
              </w:rPr>
            </w:pPr>
          </w:p>
        </w:tc>
        <w:tc>
          <w:tcPr>
            <w:tcW w:w="740" w:type="pct"/>
            <w:vAlign w:val="center"/>
          </w:tcPr>
          <w:p w14:paraId="56F641A0" w14:textId="77777777" w:rsidR="00BD0FF5" w:rsidRPr="00BD0FF5" w:rsidRDefault="00BD0FF5" w:rsidP="00BD0FF5">
            <w:pPr>
              <w:pStyle w:val="BodyText"/>
              <w:spacing w:before="0" w:after="0" w:line="276" w:lineRule="auto"/>
              <w:ind w:firstLine="0"/>
              <w:jc w:val="center"/>
              <w:rPr>
                <w:rFonts w:cs="Times New Roman"/>
                <w:sz w:val="22"/>
                <w:lang w:val="en-US"/>
              </w:rPr>
            </w:pPr>
          </w:p>
        </w:tc>
        <w:tc>
          <w:tcPr>
            <w:tcW w:w="740" w:type="pct"/>
            <w:vAlign w:val="center"/>
          </w:tcPr>
          <w:p w14:paraId="40408C8A" w14:textId="77777777" w:rsidR="00BD0FF5" w:rsidRPr="00BD0FF5" w:rsidRDefault="00BD0FF5" w:rsidP="00BD0FF5">
            <w:pPr>
              <w:pStyle w:val="BodyText"/>
              <w:spacing w:before="0" w:after="0" w:line="276" w:lineRule="auto"/>
              <w:ind w:firstLine="0"/>
              <w:jc w:val="center"/>
              <w:rPr>
                <w:rFonts w:cs="Times New Roman"/>
                <w:sz w:val="22"/>
                <w:lang w:val="en-US"/>
              </w:rPr>
            </w:pPr>
          </w:p>
        </w:tc>
        <w:tc>
          <w:tcPr>
            <w:tcW w:w="739" w:type="pct"/>
            <w:vAlign w:val="center"/>
          </w:tcPr>
          <w:p w14:paraId="075C55D0" w14:textId="77777777" w:rsidR="00BD0FF5" w:rsidRPr="00BD0FF5" w:rsidRDefault="00BD0FF5" w:rsidP="00BD0FF5">
            <w:pPr>
              <w:pStyle w:val="BodyText"/>
              <w:spacing w:before="0" w:after="0" w:line="276" w:lineRule="auto"/>
              <w:ind w:firstLine="0"/>
              <w:jc w:val="center"/>
              <w:rPr>
                <w:rFonts w:cs="Times New Roman"/>
                <w:sz w:val="22"/>
                <w:lang w:val="en-US"/>
              </w:rPr>
            </w:pPr>
          </w:p>
        </w:tc>
      </w:tr>
      <w:tr w:rsidR="00BD0FF5" w:rsidRPr="00BD0FF5" w14:paraId="6A4B8D5D" w14:textId="77777777" w:rsidTr="00FC4A55">
        <w:tc>
          <w:tcPr>
            <w:tcW w:w="2040" w:type="pct"/>
          </w:tcPr>
          <w:p w14:paraId="5CF8B30A" w14:textId="3E9DBF91" w:rsidR="00BD0FF5" w:rsidRPr="00BD0FF5" w:rsidRDefault="00BD0FF5" w:rsidP="00BD0FF5">
            <w:pPr>
              <w:pStyle w:val="BodyText"/>
              <w:spacing w:before="0" w:after="0" w:line="276" w:lineRule="auto"/>
              <w:ind w:left="171" w:firstLine="0"/>
              <w:rPr>
                <w:rFonts w:cs="Times New Roman"/>
                <w:sz w:val="22"/>
              </w:rPr>
            </w:pPr>
            <w:r w:rsidRPr="00BD0FF5">
              <w:rPr>
                <w:sz w:val="22"/>
                <w:lang w:val="en-US"/>
              </w:rPr>
              <w:t>Yes</w:t>
            </w:r>
          </w:p>
        </w:tc>
        <w:tc>
          <w:tcPr>
            <w:tcW w:w="740" w:type="pct"/>
            <w:vAlign w:val="center"/>
          </w:tcPr>
          <w:p w14:paraId="4BF98124"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386 (96.3%)</w:t>
            </w:r>
          </w:p>
        </w:tc>
        <w:tc>
          <w:tcPr>
            <w:tcW w:w="740" w:type="pct"/>
            <w:vAlign w:val="center"/>
          </w:tcPr>
          <w:p w14:paraId="3DDC1B3E"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699 (94%)</w:t>
            </w:r>
          </w:p>
        </w:tc>
        <w:tc>
          <w:tcPr>
            <w:tcW w:w="740" w:type="pct"/>
            <w:vAlign w:val="center"/>
          </w:tcPr>
          <w:p w14:paraId="400DF935"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342 (97.7%)</w:t>
            </w:r>
          </w:p>
        </w:tc>
        <w:tc>
          <w:tcPr>
            <w:tcW w:w="739" w:type="pct"/>
            <w:vAlign w:val="center"/>
          </w:tcPr>
          <w:p w14:paraId="731E3E5E"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309 (95.1%)</w:t>
            </w:r>
          </w:p>
        </w:tc>
      </w:tr>
      <w:tr w:rsidR="00BD0FF5" w:rsidRPr="00BD0FF5" w14:paraId="15CEF133" w14:textId="77777777" w:rsidTr="00FC4A55">
        <w:tc>
          <w:tcPr>
            <w:tcW w:w="2040" w:type="pct"/>
          </w:tcPr>
          <w:p w14:paraId="6F7B144E" w14:textId="38A78E9C" w:rsidR="00BD0FF5" w:rsidRPr="00BD0FF5" w:rsidRDefault="00BD0FF5" w:rsidP="00BD0FF5">
            <w:pPr>
              <w:pStyle w:val="BodyText"/>
              <w:spacing w:before="0" w:after="0" w:line="276" w:lineRule="auto"/>
              <w:ind w:left="171" w:firstLine="0"/>
              <w:rPr>
                <w:rFonts w:cs="Times New Roman"/>
                <w:sz w:val="22"/>
              </w:rPr>
            </w:pPr>
            <w:r w:rsidRPr="00BD0FF5">
              <w:rPr>
                <w:sz w:val="22"/>
                <w:lang w:val="en-US"/>
              </w:rPr>
              <w:t>No</w:t>
            </w:r>
          </w:p>
        </w:tc>
        <w:tc>
          <w:tcPr>
            <w:tcW w:w="740" w:type="pct"/>
            <w:vAlign w:val="center"/>
          </w:tcPr>
          <w:p w14:paraId="5FC6E746"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15 (3.7%)</w:t>
            </w:r>
          </w:p>
        </w:tc>
        <w:tc>
          <w:tcPr>
            <w:tcW w:w="740" w:type="pct"/>
            <w:vAlign w:val="center"/>
          </w:tcPr>
          <w:p w14:paraId="6CA35AD8"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45 (6%)</w:t>
            </w:r>
          </w:p>
        </w:tc>
        <w:tc>
          <w:tcPr>
            <w:tcW w:w="740" w:type="pct"/>
            <w:vAlign w:val="center"/>
          </w:tcPr>
          <w:p w14:paraId="51E0F852"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8 (2.3%)</w:t>
            </w:r>
          </w:p>
        </w:tc>
        <w:tc>
          <w:tcPr>
            <w:tcW w:w="739" w:type="pct"/>
            <w:vAlign w:val="center"/>
          </w:tcPr>
          <w:p w14:paraId="3EA33256"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16 (4.9%)</w:t>
            </w:r>
          </w:p>
        </w:tc>
      </w:tr>
      <w:tr w:rsidR="00BD0FF5" w:rsidRPr="00BD0FF5" w14:paraId="1AA2FE27" w14:textId="77777777" w:rsidTr="00FC4A55">
        <w:tc>
          <w:tcPr>
            <w:tcW w:w="2040" w:type="pct"/>
          </w:tcPr>
          <w:p w14:paraId="3F07F0D8" w14:textId="7A91B484" w:rsidR="00BD0FF5" w:rsidRPr="00BD0FF5" w:rsidRDefault="00BD0FF5" w:rsidP="00BD0FF5">
            <w:pPr>
              <w:pStyle w:val="BodyText"/>
              <w:spacing w:before="0" w:after="0" w:line="276" w:lineRule="auto"/>
              <w:ind w:firstLine="0"/>
              <w:rPr>
                <w:rFonts w:cs="Times New Roman"/>
                <w:sz w:val="22"/>
              </w:rPr>
            </w:pPr>
            <w:r w:rsidRPr="00BD0FF5">
              <w:rPr>
                <w:sz w:val="22"/>
                <w:lang w:val="en-US"/>
              </w:rPr>
              <w:t>Received the booster dose</w:t>
            </w:r>
          </w:p>
        </w:tc>
        <w:tc>
          <w:tcPr>
            <w:tcW w:w="740" w:type="pct"/>
            <w:vAlign w:val="center"/>
          </w:tcPr>
          <w:p w14:paraId="2EAF549A"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174D7263" w14:textId="77777777" w:rsidR="00BD0FF5" w:rsidRPr="00BD0FF5" w:rsidRDefault="00BD0FF5" w:rsidP="00BD0FF5">
            <w:pPr>
              <w:pStyle w:val="BodyText"/>
              <w:spacing w:before="0" w:after="0" w:line="276" w:lineRule="auto"/>
              <w:ind w:firstLine="0"/>
              <w:jc w:val="center"/>
              <w:rPr>
                <w:rFonts w:cs="Times New Roman"/>
                <w:sz w:val="22"/>
              </w:rPr>
            </w:pPr>
          </w:p>
        </w:tc>
        <w:tc>
          <w:tcPr>
            <w:tcW w:w="740" w:type="pct"/>
            <w:vAlign w:val="center"/>
          </w:tcPr>
          <w:p w14:paraId="1129FCA9" w14:textId="77777777" w:rsidR="00BD0FF5" w:rsidRPr="00BD0FF5" w:rsidRDefault="00BD0FF5" w:rsidP="00BD0FF5">
            <w:pPr>
              <w:pStyle w:val="BodyText"/>
              <w:spacing w:before="0" w:after="0" w:line="276" w:lineRule="auto"/>
              <w:ind w:firstLine="0"/>
              <w:jc w:val="center"/>
              <w:rPr>
                <w:rFonts w:cs="Times New Roman"/>
                <w:sz w:val="22"/>
              </w:rPr>
            </w:pPr>
          </w:p>
        </w:tc>
        <w:tc>
          <w:tcPr>
            <w:tcW w:w="739" w:type="pct"/>
            <w:vAlign w:val="center"/>
          </w:tcPr>
          <w:p w14:paraId="12CE97D2" w14:textId="77777777" w:rsidR="00BD0FF5" w:rsidRPr="00BD0FF5" w:rsidRDefault="00BD0FF5" w:rsidP="00BD0FF5">
            <w:pPr>
              <w:pStyle w:val="BodyText"/>
              <w:spacing w:before="0" w:after="0" w:line="276" w:lineRule="auto"/>
              <w:ind w:firstLine="0"/>
              <w:jc w:val="center"/>
              <w:rPr>
                <w:rFonts w:cs="Times New Roman"/>
                <w:sz w:val="22"/>
              </w:rPr>
            </w:pPr>
          </w:p>
        </w:tc>
      </w:tr>
      <w:tr w:rsidR="00BD0FF5" w:rsidRPr="00BD0FF5" w14:paraId="199EB56D" w14:textId="77777777" w:rsidTr="00FC4A55">
        <w:tc>
          <w:tcPr>
            <w:tcW w:w="2040" w:type="pct"/>
          </w:tcPr>
          <w:p w14:paraId="79FCCDBF" w14:textId="6C7A5D59" w:rsidR="00BD0FF5" w:rsidRPr="00BD0FF5" w:rsidRDefault="00BD0FF5" w:rsidP="00BD0FF5">
            <w:pPr>
              <w:pStyle w:val="BodyText"/>
              <w:spacing w:before="0" w:after="0" w:line="276" w:lineRule="auto"/>
              <w:ind w:left="171" w:firstLine="0"/>
              <w:rPr>
                <w:rFonts w:cs="Times New Roman"/>
                <w:sz w:val="22"/>
              </w:rPr>
            </w:pPr>
            <w:r w:rsidRPr="00BD0FF5">
              <w:rPr>
                <w:sz w:val="22"/>
                <w:lang w:val="en-US"/>
              </w:rPr>
              <w:t>Yes</w:t>
            </w:r>
          </w:p>
        </w:tc>
        <w:tc>
          <w:tcPr>
            <w:tcW w:w="740" w:type="pct"/>
            <w:vAlign w:val="center"/>
          </w:tcPr>
          <w:p w14:paraId="726DFF56"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338 (84.3%)</w:t>
            </w:r>
          </w:p>
        </w:tc>
        <w:tc>
          <w:tcPr>
            <w:tcW w:w="740" w:type="pct"/>
            <w:vAlign w:val="center"/>
          </w:tcPr>
          <w:p w14:paraId="00E97644"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498 (66.9%)</w:t>
            </w:r>
          </w:p>
        </w:tc>
        <w:tc>
          <w:tcPr>
            <w:tcW w:w="740" w:type="pct"/>
            <w:vAlign w:val="center"/>
          </w:tcPr>
          <w:p w14:paraId="176AB119"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290 (82.9%)</w:t>
            </w:r>
          </w:p>
        </w:tc>
        <w:tc>
          <w:tcPr>
            <w:tcW w:w="739" w:type="pct"/>
            <w:vAlign w:val="center"/>
          </w:tcPr>
          <w:p w14:paraId="7318CDDE"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195 (60%)</w:t>
            </w:r>
          </w:p>
        </w:tc>
      </w:tr>
      <w:tr w:rsidR="00BD0FF5" w:rsidRPr="00BD0FF5" w14:paraId="56D76542" w14:textId="77777777" w:rsidTr="00FC4A55">
        <w:tc>
          <w:tcPr>
            <w:tcW w:w="2040" w:type="pct"/>
          </w:tcPr>
          <w:p w14:paraId="78A2C487" w14:textId="3E7567A8" w:rsidR="00BD0FF5" w:rsidRPr="00BD0FF5" w:rsidRDefault="00BD0FF5" w:rsidP="00BD0FF5">
            <w:pPr>
              <w:pStyle w:val="BodyText"/>
              <w:spacing w:before="0" w:after="0" w:line="276" w:lineRule="auto"/>
              <w:ind w:left="171" w:firstLine="0"/>
              <w:rPr>
                <w:rFonts w:cs="Times New Roman"/>
                <w:sz w:val="22"/>
              </w:rPr>
            </w:pPr>
            <w:r w:rsidRPr="00BD0FF5">
              <w:rPr>
                <w:sz w:val="22"/>
                <w:lang w:val="en-US"/>
              </w:rPr>
              <w:t>No</w:t>
            </w:r>
          </w:p>
        </w:tc>
        <w:tc>
          <w:tcPr>
            <w:tcW w:w="740" w:type="pct"/>
            <w:vAlign w:val="center"/>
          </w:tcPr>
          <w:p w14:paraId="175A5626"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63 (15.7%)</w:t>
            </w:r>
          </w:p>
        </w:tc>
        <w:tc>
          <w:tcPr>
            <w:tcW w:w="740" w:type="pct"/>
            <w:vAlign w:val="center"/>
          </w:tcPr>
          <w:p w14:paraId="7FA7A0E1"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246 (33.1%)</w:t>
            </w:r>
          </w:p>
        </w:tc>
        <w:tc>
          <w:tcPr>
            <w:tcW w:w="740" w:type="pct"/>
            <w:vAlign w:val="center"/>
          </w:tcPr>
          <w:p w14:paraId="5CD3D6F7"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60 (17.1%)</w:t>
            </w:r>
          </w:p>
        </w:tc>
        <w:tc>
          <w:tcPr>
            <w:tcW w:w="739" w:type="pct"/>
            <w:vAlign w:val="center"/>
          </w:tcPr>
          <w:p w14:paraId="45EAAC0E"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130 (40%)</w:t>
            </w:r>
          </w:p>
        </w:tc>
      </w:tr>
      <w:tr w:rsidR="00BD0FF5" w:rsidRPr="00BD0FF5" w14:paraId="28A99978" w14:textId="77777777" w:rsidTr="00FC4A55">
        <w:tc>
          <w:tcPr>
            <w:tcW w:w="2040" w:type="pct"/>
          </w:tcPr>
          <w:p w14:paraId="20547C74" w14:textId="2DD0618A" w:rsidR="00BD0FF5" w:rsidRPr="00BD0FF5" w:rsidRDefault="00BD0FF5" w:rsidP="00BD0FF5">
            <w:pPr>
              <w:pStyle w:val="BodyText"/>
              <w:spacing w:before="0" w:after="0" w:line="276" w:lineRule="auto"/>
              <w:ind w:firstLine="0"/>
              <w:rPr>
                <w:rFonts w:cs="Times New Roman"/>
                <w:sz w:val="22"/>
                <w:lang w:val="en-US"/>
              </w:rPr>
            </w:pPr>
            <w:r w:rsidRPr="00BD0FF5">
              <w:rPr>
                <w:sz w:val="22"/>
                <w:lang w:val="en-US"/>
              </w:rPr>
              <w:t>Lost a family member due to COVID-19</w:t>
            </w:r>
          </w:p>
        </w:tc>
        <w:tc>
          <w:tcPr>
            <w:tcW w:w="740" w:type="pct"/>
            <w:vAlign w:val="center"/>
          </w:tcPr>
          <w:p w14:paraId="6437420F" w14:textId="77777777" w:rsidR="00BD0FF5" w:rsidRPr="00BD0FF5" w:rsidRDefault="00BD0FF5" w:rsidP="00BD0FF5">
            <w:pPr>
              <w:pStyle w:val="BodyText"/>
              <w:spacing w:before="0" w:after="0" w:line="276" w:lineRule="auto"/>
              <w:ind w:firstLine="0"/>
              <w:jc w:val="center"/>
              <w:rPr>
                <w:rFonts w:cs="Times New Roman"/>
                <w:sz w:val="22"/>
                <w:lang w:val="en-US"/>
              </w:rPr>
            </w:pPr>
          </w:p>
        </w:tc>
        <w:tc>
          <w:tcPr>
            <w:tcW w:w="740" w:type="pct"/>
            <w:vAlign w:val="center"/>
          </w:tcPr>
          <w:p w14:paraId="36EE2413" w14:textId="77777777" w:rsidR="00BD0FF5" w:rsidRPr="00BD0FF5" w:rsidRDefault="00BD0FF5" w:rsidP="00BD0FF5">
            <w:pPr>
              <w:pStyle w:val="BodyText"/>
              <w:spacing w:before="0" w:after="0" w:line="276" w:lineRule="auto"/>
              <w:ind w:firstLine="0"/>
              <w:jc w:val="center"/>
              <w:rPr>
                <w:rFonts w:cs="Times New Roman"/>
                <w:sz w:val="22"/>
                <w:lang w:val="en-US"/>
              </w:rPr>
            </w:pPr>
          </w:p>
        </w:tc>
        <w:tc>
          <w:tcPr>
            <w:tcW w:w="740" w:type="pct"/>
            <w:vAlign w:val="center"/>
          </w:tcPr>
          <w:p w14:paraId="68EAB295" w14:textId="77777777" w:rsidR="00BD0FF5" w:rsidRPr="00BD0FF5" w:rsidRDefault="00BD0FF5" w:rsidP="00BD0FF5">
            <w:pPr>
              <w:pStyle w:val="BodyText"/>
              <w:spacing w:before="0" w:after="0" w:line="276" w:lineRule="auto"/>
              <w:ind w:firstLine="0"/>
              <w:jc w:val="center"/>
              <w:rPr>
                <w:rFonts w:cs="Times New Roman"/>
                <w:sz w:val="22"/>
                <w:lang w:val="en-US"/>
              </w:rPr>
            </w:pPr>
          </w:p>
        </w:tc>
        <w:tc>
          <w:tcPr>
            <w:tcW w:w="739" w:type="pct"/>
            <w:vAlign w:val="center"/>
          </w:tcPr>
          <w:p w14:paraId="0ED1FB7D" w14:textId="77777777" w:rsidR="00BD0FF5" w:rsidRPr="00BD0FF5" w:rsidRDefault="00BD0FF5" w:rsidP="00BD0FF5">
            <w:pPr>
              <w:pStyle w:val="BodyText"/>
              <w:spacing w:before="0" w:after="0" w:line="276" w:lineRule="auto"/>
              <w:ind w:firstLine="0"/>
              <w:jc w:val="center"/>
              <w:rPr>
                <w:rFonts w:cs="Times New Roman"/>
                <w:sz w:val="22"/>
                <w:lang w:val="en-US"/>
              </w:rPr>
            </w:pPr>
          </w:p>
        </w:tc>
      </w:tr>
      <w:tr w:rsidR="00BD0FF5" w:rsidRPr="00BD0FF5" w14:paraId="01D29A4E" w14:textId="77777777" w:rsidTr="00FC4A55">
        <w:tc>
          <w:tcPr>
            <w:tcW w:w="2040" w:type="pct"/>
            <w:tcBorders>
              <w:bottom w:val="nil"/>
            </w:tcBorders>
          </w:tcPr>
          <w:p w14:paraId="0D7146C5" w14:textId="1B2869BC" w:rsidR="00BD0FF5" w:rsidRPr="00BD0FF5" w:rsidRDefault="00BD0FF5" w:rsidP="00BD0FF5">
            <w:pPr>
              <w:pStyle w:val="BodyText"/>
              <w:spacing w:before="0" w:after="0" w:line="276" w:lineRule="auto"/>
              <w:ind w:left="171" w:firstLine="0"/>
              <w:rPr>
                <w:rFonts w:cs="Times New Roman"/>
                <w:sz w:val="22"/>
              </w:rPr>
            </w:pPr>
            <w:r w:rsidRPr="00BD0FF5">
              <w:rPr>
                <w:sz w:val="22"/>
                <w:lang w:val="en-US"/>
              </w:rPr>
              <w:t>Yes</w:t>
            </w:r>
          </w:p>
        </w:tc>
        <w:tc>
          <w:tcPr>
            <w:tcW w:w="740" w:type="pct"/>
            <w:tcBorders>
              <w:bottom w:val="nil"/>
            </w:tcBorders>
            <w:vAlign w:val="center"/>
          </w:tcPr>
          <w:p w14:paraId="4DB4B38E"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219 (54.6%)</w:t>
            </w:r>
          </w:p>
        </w:tc>
        <w:tc>
          <w:tcPr>
            <w:tcW w:w="740" w:type="pct"/>
            <w:tcBorders>
              <w:bottom w:val="nil"/>
            </w:tcBorders>
            <w:vAlign w:val="center"/>
          </w:tcPr>
          <w:p w14:paraId="28592D13"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403 (54.2%)</w:t>
            </w:r>
          </w:p>
        </w:tc>
        <w:tc>
          <w:tcPr>
            <w:tcW w:w="740" w:type="pct"/>
            <w:tcBorders>
              <w:bottom w:val="nil"/>
            </w:tcBorders>
            <w:vAlign w:val="center"/>
          </w:tcPr>
          <w:p w14:paraId="0022E741"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222 (63.4%)</w:t>
            </w:r>
          </w:p>
        </w:tc>
        <w:tc>
          <w:tcPr>
            <w:tcW w:w="739" w:type="pct"/>
            <w:tcBorders>
              <w:bottom w:val="nil"/>
            </w:tcBorders>
            <w:vAlign w:val="center"/>
          </w:tcPr>
          <w:p w14:paraId="560E68AD"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191 (58.8%)</w:t>
            </w:r>
          </w:p>
        </w:tc>
      </w:tr>
      <w:tr w:rsidR="00BD0FF5" w:rsidRPr="00BD0FF5" w14:paraId="1BC799CD" w14:textId="77777777" w:rsidTr="00FC4A55">
        <w:tc>
          <w:tcPr>
            <w:tcW w:w="2040" w:type="pct"/>
            <w:tcBorders>
              <w:top w:val="nil"/>
              <w:bottom w:val="single" w:sz="4" w:space="0" w:color="auto"/>
            </w:tcBorders>
          </w:tcPr>
          <w:p w14:paraId="077661F4" w14:textId="087F9B90" w:rsidR="00BD0FF5" w:rsidRPr="00BD0FF5" w:rsidRDefault="00BD0FF5" w:rsidP="00BD0FF5">
            <w:pPr>
              <w:pStyle w:val="BodyText"/>
              <w:spacing w:before="0" w:after="0" w:line="276" w:lineRule="auto"/>
              <w:ind w:left="171" w:firstLine="0"/>
              <w:rPr>
                <w:rFonts w:cs="Times New Roman"/>
                <w:sz w:val="22"/>
              </w:rPr>
            </w:pPr>
            <w:r w:rsidRPr="00BD0FF5">
              <w:rPr>
                <w:sz w:val="22"/>
                <w:lang w:val="en-US"/>
              </w:rPr>
              <w:t>No</w:t>
            </w:r>
          </w:p>
        </w:tc>
        <w:tc>
          <w:tcPr>
            <w:tcW w:w="740" w:type="pct"/>
            <w:tcBorders>
              <w:top w:val="nil"/>
              <w:bottom w:val="single" w:sz="4" w:space="0" w:color="auto"/>
            </w:tcBorders>
            <w:vAlign w:val="center"/>
          </w:tcPr>
          <w:p w14:paraId="63988949"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182 (45.4%)</w:t>
            </w:r>
          </w:p>
        </w:tc>
        <w:tc>
          <w:tcPr>
            <w:tcW w:w="740" w:type="pct"/>
            <w:tcBorders>
              <w:top w:val="nil"/>
              <w:bottom w:val="single" w:sz="4" w:space="0" w:color="auto"/>
            </w:tcBorders>
            <w:vAlign w:val="center"/>
          </w:tcPr>
          <w:p w14:paraId="6DD79677"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341 (45.8%)</w:t>
            </w:r>
          </w:p>
        </w:tc>
        <w:tc>
          <w:tcPr>
            <w:tcW w:w="740" w:type="pct"/>
            <w:tcBorders>
              <w:top w:val="nil"/>
              <w:bottom w:val="single" w:sz="4" w:space="0" w:color="auto"/>
            </w:tcBorders>
            <w:vAlign w:val="center"/>
          </w:tcPr>
          <w:p w14:paraId="02B445CD"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128 (36.6%)</w:t>
            </w:r>
          </w:p>
        </w:tc>
        <w:tc>
          <w:tcPr>
            <w:tcW w:w="739" w:type="pct"/>
            <w:tcBorders>
              <w:top w:val="nil"/>
              <w:bottom w:val="single" w:sz="4" w:space="0" w:color="auto"/>
            </w:tcBorders>
            <w:vAlign w:val="center"/>
          </w:tcPr>
          <w:p w14:paraId="58E6729B" w14:textId="77777777" w:rsidR="00BD0FF5" w:rsidRPr="00BD0FF5" w:rsidRDefault="00BD0FF5" w:rsidP="00BD0FF5">
            <w:pPr>
              <w:pStyle w:val="BodyText"/>
              <w:spacing w:before="0" w:after="0" w:line="276" w:lineRule="auto"/>
              <w:ind w:firstLine="0"/>
              <w:jc w:val="center"/>
              <w:rPr>
                <w:rFonts w:cs="Times New Roman"/>
                <w:sz w:val="22"/>
              </w:rPr>
            </w:pPr>
            <w:r w:rsidRPr="00BD0FF5">
              <w:rPr>
                <w:rFonts w:cs="Times New Roman"/>
                <w:sz w:val="22"/>
              </w:rPr>
              <w:t>134 (41.2%)</w:t>
            </w:r>
          </w:p>
        </w:tc>
      </w:tr>
    </w:tbl>
    <w:p w14:paraId="536410C2" w14:textId="77777777" w:rsidR="00580749" w:rsidRPr="00C876F1" w:rsidRDefault="00580749" w:rsidP="00580749">
      <w:pPr>
        <w:spacing w:after="0" w:line="360" w:lineRule="auto"/>
        <w:rPr>
          <w:rFonts w:ascii="Times New Roman" w:hAnsi="Times New Roman" w:cs="Times New Roman"/>
          <w:color w:val="FF0000"/>
          <w:sz w:val="24"/>
          <w:szCs w:val="24"/>
          <w:lang w:val="es-ES"/>
        </w:rPr>
      </w:pPr>
    </w:p>
    <w:p w14:paraId="40E3C0A9" w14:textId="77777777" w:rsidR="00580749" w:rsidRPr="00C876F1" w:rsidRDefault="00580749" w:rsidP="00580749">
      <w:pPr>
        <w:spacing w:after="0" w:line="360" w:lineRule="auto"/>
        <w:rPr>
          <w:rFonts w:ascii="Times New Roman" w:hAnsi="Times New Roman" w:cs="Times New Roman"/>
          <w:color w:val="FF0000"/>
          <w:sz w:val="24"/>
          <w:szCs w:val="24"/>
          <w:lang w:val="es-ES"/>
        </w:rPr>
        <w:sectPr w:rsidR="00580749" w:rsidRPr="00C876F1" w:rsidSect="00C46831">
          <w:pgSz w:w="16838" w:h="11906" w:orient="landscape" w:code="9"/>
          <w:pgMar w:top="1701" w:right="1418" w:bottom="1701" w:left="1418" w:header="709" w:footer="709" w:gutter="0"/>
          <w:cols w:space="708"/>
          <w:docGrid w:linePitch="360"/>
        </w:sectPr>
      </w:pPr>
    </w:p>
    <w:p w14:paraId="7C62F998" w14:textId="5FD0F200" w:rsidR="00580749" w:rsidRPr="0099206E" w:rsidRDefault="00580749" w:rsidP="00580749">
      <w:pPr>
        <w:spacing w:after="0" w:line="360" w:lineRule="auto"/>
        <w:rPr>
          <w:rFonts w:ascii="Times New Roman" w:hAnsi="Times New Roman" w:cs="Times New Roman"/>
          <w:sz w:val="24"/>
          <w:szCs w:val="24"/>
        </w:rPr>
      </w:pPr>
      <w:r w:rsidRPr="0099206E">
        <w:rPr>
          <w:rFonts w:ascii="Times New Roman" w:hAnsi="Times New Roman" w:cs="Times New Roman"/>
          <w:sz w:val="24"/>
          <w:szCs w:val="24"/>
        </w:rPr>
        <w:lastRenderedPageBreak/>
        <w:t>Tabl</w:t>
      </w:r>
      <w:r w:rsidR="0099206E" w:rsidRPr="0099206E">
        <w:rPr>
          <w:rFonts w:ascii="Times New Roman" w:hAnsi="Times New Roman" w:cs="Times New Roman"/>
          <w:sz w:val="24"/>
          <w:szCs w:val="24"/>
        </w:rPr>
        <w:t>e</w:t>
      </w:r>
      <w:r w:rsidRPr="0099206E">
        <w:rPr>
          <w:rFonts w:ascii="Times New Roman" w:hAnsi="Times New Roman" w:cs="Times New Roman"/>
          <w:sz w:val="24"/>
          <w:szCs w:val="24"/>
        </w:rPr>
        <w:t xml:space="preserve"> 2</w:t>
      </w:r>
    </w:p>
    <w:p w14:paraId="7C0E3320" w14:textId="7E57DAB3" w:rsidR="00580749" w:rsidRPr="0099206E" w:rsidRDefault="0099206E" w:rsidP="00580749">
      <w:pPr>
        <w:spacing w:after="0" w:line="360" w:lineRule="auto"/>
        <w:rPr>
          <w:rFonts w:ascii="Times New Roman" w:hAnsi="Times New Roman" w:cs="Times New Roman"/>
          <w:i/>
          <w:sz w:val="24"/>
          <w:szCs w:val="24"/>
        </w:rPr>
      </w:pPr>
      <w:r w:rsidRPr="0099206E">
        <w:rPr>
          <w:rFonts w:ascii="Times New Roman" w:hAnsi="Times New Roman" w:cs="Times New Roman"/>
          <w:i/>
          <w:sz w:val="24"/>
          <w:szCs w:val="24"/>
        </w:rPr>
        <w:t>Descriptive analysis of the items in the studied countries.</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3"/>
        <w:gridCol w:w="1164"/>
        <w:gridCol w:w="986"/>
        <w:gridCol w:w="986"/>
        <w:gridCol w:w="986"/>
        <w:gridCol w:w="1019"/>
      </w:tblGrid>
      <w:tr w:rsidR="0099206E" w:rsidRPr="0099206E" w14:paraId="55A3B6DC" w14:textId="77777777" w:rsidTr="006B16F3">
        <w:trPr>
          <w:trHeight w:val="276"/>
          <w:tblHeader/>
        </w:trPr>
        <w:tc>
          <w:tcPr>
            <w:tcW w:w="1977" w:type="pct"/>
            <w:vMerge w:val="restart"/>
            <w:tcBorders>
              <w:top w:val="single" w:sz="4" w:space="0" w:color="auto"/>
            </w:tcBorders>
            <w:vAlign w:val="center"/>
          </w:tcPr>
          <w:p w14:paraId="47CC5D04" w14:textId="74D8532A" w:rsidR="00580749" w:rsidRPr="0099206E" w:rsidRDefault="0099206E" w:rsidP="006B16F3">
            <w:pPr>
              <w:pStyle w:val="BodyText"/>
              <w:spacing w:before="0" w:after="0" w:line="240" w:lineRule="auto"/>
              <w:ind w:firstLine="0"/>
              <w:rPr>
                <w:rFonts w:cs="Times New Roman"/>
                <w:szCs w:val="24"/>
              </w:rPr>
            </w:pPr>
            <w:r w:rsidRPr="0099206E">
              <w:rPr>
                <w:rFonts w:cs="Times New Roman"/>
                <w:szCs w:val="24"/>
              </w:rPr>
              <w:t>Country</w:t>
            </w:r>
          </w:p>
        </w:tc>
        <w:tc>
          <w:tcPr>
            <w:tcW w:w="684" w:type="pct"/>
            <w:vMerge w:val="restart"/>
            <w:tcBorders>
              <w:top w:val="single" w:sz="4" w:space="0" w:color="auto"/>
            </w:tcBorders>
            <w:vAlign w:val="center"/>
          </w:tcPr>
          <w:p w14:paraId="06194F2E" w14:textId="5C78105D" w:rsidR="00580749" w:rsidRPr="0099206E" w:rsidRDefault="0099206E" w:rsidP="006B16F3">
            <w:pPr>
              <w:pStyle w:val="BodyText"/>
              <w:spacing w:before="0" w:after="0" w:line="240" w:lineRule="auto"/>
              <w:ind w:firstLine="0"/>
              <w:jc w:val="center"/>
              <w:rPr>
                <w:rFonts w:cs="Times New Roman"/>
                <w:szCs w:val="24"/>
              </w:rPr>
            </w:pPr>
            <w:r w:rsidRPr="0099206E">
              <w:rPr>
                <w:rFonts w:cs="Times New Roman"/>
                <w:szCs w:val="24"/>
              </w:rPr>
              <w:t>I</w:t>
            </w:r>
            <w:r w:rsidR="00580749" w:rsidRPr="0099206E">
              <w:rPr>
                <w:rFonts w:cs="Times New Roman"/>
                <w:szCs w:val="24"/>
              </w:rPr>
              <w:t>tems</w:t>
            </w:r>
          </w:p>
        </w:tc>
        <w:tc>
          <w:tcPr>
            <w:tcW w:w="580" w:type="pct"/>
            <w:vMerge w:val="restart"/>
            <w:tcBorders>
              <w:top w:val="single" w:sz="4" w:space="0" w:color="auto"/>
            </w:tcBorders>
            <w:vAlign w:val="center"/>
          </w:tcPr>
          <w:p w14:paraId="13FF3A5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i/>
                <w:szCs w:val="24"/>
              </w:rPr>
              <w:t>M</w:t>
            </w:r>
          </w:p>
        </w:tc>
        <w:tc>
          <w:tcPr>
            <w:tcW w:w="580" w:type="pct"/>
            <w:vMerge w:val="restart"/>
            <w:tcBorders>
              <w:top w:val="single" w:sz="4" w:space="0" w:color="auto"/>
            </w:tcBorders>
            <w:vAlign w:val="center"/>
          </w:tcPr>
          <w:p w14:paraId="416D7F3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i/>
                <w:szCs w:val="24"/>
              </w:rPr>
              <w:t>SD</w:t>
            </w:r>
          </w:p>
        </w:tc>
        <w:tc>
          <w:tcPr>
            <w:tcW w:w="580" w:type="pct"/>
            <w:vMerge w:val="restart"/>
            <w:tcBorders>
              <w:top w:val="single" w:sz="4" w:space="0" w:color="auto"/>
            </w:tcBorders>
            <w:vAlign w:val="center"/>
          </w:tcPr>
          <w:p w14:paraId="20B5F42A"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i/>
                <w:szCs w:val="24"/>
              </w:rPr>
              <w:t>g1</w:t>
            </w:r>
          </w:p>
        </w:tc>
        <w:tc>
          <w:tcPr>
            <w:tcW w:w="599" w:type="pct"/>
            <w:vMerge w:val="restart"/>
            <w:tcBorders>
              <w:top w:val="single" w:sz="4" w:space="0" w:color="auto"/>
            </w:tcBorders>
            <w:vAlign w:val="center"/>
          </w:tcPr>
          <w:p w14:paraId="7F64B5E9"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i/>
                <w:szCs w:val="24"/>
              </w:rPr>
              <w:t>g2</w:t>
            </w:r>
          </w:p>
        </w:tc>
      </w:tr>
      <w:tr w:rsidR="0099206E" w:rsidRPr="0099206E" w14:paraId="2011E916" w14:textId="77777777" w:rsidTr="006B16F3">
        <w:trPr>
          <w:trHeight w:val="276"/>
          <w:tblHeader/>
        </w:trPr>
        <w:tc>
          <w:tcPr>
            <w:tcW w:w="1977" w:type="pct"/>
            <w:vMerge/>
            <w:tcBorders>
              <w:bottom w:val="single" w:sz="4" w:space="0" w:color="auto"/>
            </w:tcBorders>
            <w:vAlign w:val="center"/>
          </w:tcPr>
          <w:p w14:paraId="04AB02A6" w14:textId="77777777" w:rsidR="00580749" w:rsidRPr="0099206E" w:rsidRDefault="00580749" w:rsidP="006B16F3">
            <w:pPr>
              <w:pStyle w:val="BodyText"/>
              <w:spacing w:before="0" w:after="0" w:line="240" w:lineRule="auto"/>
              <w:ind w:firstLine="0"/>
              <w:rPr>
                <w:rFonts w:cs="Times New Roman"/>
                <w:szCs w:val="24"/>
              </w:rPr>
            </w:pPr>
          </w:p>
        </w:tc>
        <w:tc>
          <w:tcPr>
            <w:tcW w:w="684" w:type="pct"/>
            <w:vMerge/>
            <w:tcBorders>
              <w:bottom w:val="single" w:sz="4" w:space="0" w:color="auto"/>
            </w:tcBorders>
            <w:vAlign w:val="center"/>
          </w:tcPr>
          <w:p w14:paraId="2F913CEC" w14:textId="77777777" w:rsidR="00580749" w:rsidRPr="0099206E" w:rsidRDefault="00580749" w:rsidP="006B16F3">
            <w:pPr>
              <w:pStyle w:val="BodyText"/>
              <w:spacing w:before="0" w:after="0" w:line="240" w:lineRule="auto"/>
              <w:ind w:firstLine="0"/>
              <w:rPr>
                <w:rFonts w:cs="Times New Roman"/>
                <w:szCs w:val="24"/>
              </w:rPr>
            </w:pPr>
          </w:p>
        </w:tc>
        <w:tc>
          <w:tcPr>
            <w:tcW w:w="580" w:type="pct"/>
            <w:vMerge/>
            <w:tcBorders>
              <w:bottom w:val="single" w:sz="4" w:space="0" w:color="auto"/>
            </w:tcBorders>
            <w:vAlign w:val="center"/>
          </w:tcPr>
          <w:p w14:paraId="71DB006C" w14:textId="77777777" w:rsidR="00580749" w:rsidRPr="0099206E" w:rsidRDefault="00580749" w:rsidP="006B16F3">
            <w:pPr>
              <w:pStyle w:val="BodyText"/>
              <w:spacing w:before="0" w:after="0" w:line="240" w:lineRule="auto"/>
              <w:ind w:firstLine="0"/>
              <w:rPr>
                <w:rFonts w:cs="Times New Roman"/>
                <w:szCs w:val="24"/>
              </w:rPr>
            </w:pPr>
          </w:p>
        </w:tc>
        <w:tc>
          <w:tcPr>
            <w:tcW w:w="580" w:type="pct"/>
            <w:vMerge/>
            <w:tcBorders>
              <w:bottom w:val="single" w:sz="4" w:space="0" w:color="auto"/>
            </w:tcBorders>
            <w:vAlign w:val="center"/>
          </w:tcPr>
          <w:p w14:paraId="79AC3581" w14:textId="77777777" w:rsidR="00580749" w:rsidRPr="0099206E" w:rsidRDefault="00580749" w:rsidP="006B16F3">
            <w:pPr>
              <w:pStyle w:val="BodyText"/>
              <w:spacing w:before="0" w:after="0" w:line="240" w:lineRule="auto"/>
              <w:ind w:firstLine="0"/>
              <w:rPr>
                <w:rFonts w:cs="Times New Roman"/>
                <w:szCs w:val="24"/>
              </w:rPr>
            </w:pPr>
          </w:p>
        </w:tc>
        <w:tc>
          <w:tcPr>
            <w:tcW w:w="580" w:type="pct"/>
            <w:vMerge/>
            <w:tcBorders>
              <w:bottom w:val="single" w:sz="4" w:space="0" w:color="auto"/>
            </w:tcBorders>
            <w:vAlign w:val="center"/>
          </w:tcPr>
          <w:p w14:paraId="5E8D82E2" w14:textId="77777777" w:rsidR="00580749" w:rsidRPr="0099206E" w:rsidRDefault="00580749" w:rsidP="006B16F3">
            <w:pPr>
              <w:pStyle w:val="BodyText"/>
              <w:spacing w:before="0" w:after="0" w:line="240" w:lineRule="auto"/>
              <w:ind w:firstLine="0"/>
              <w:rPr>
                <w:rFonts w:cs="Times New Roman"/>
                <w:szCs w:val="24"/>
              </w:rPr>
            </w:pPr>
          </w:p>
        </w:tc>
        <w:tc>
          <w:tcPr>
            <w:tcW w:w="599" w:type="pct"/>
            <w:vMerge/>
            <w:tcBorders>
              <w:bottom w:val="single" w:sz="4" w:space="0" w:color="auto"/>
            </w:tcBorders>
            <w:vAlign w:val="center"/>
          </w:tcPr>
          <w:p w14:paraId="75E2FD07" w14:textId="77777777" w:rsidR="00580749" w:rsidRPr="0099206E" w:rsidRDefault="00580749" w:rsidP="006B16F3">
            <w:pPr>
              <w:pStyle w:val="BodyText"/>
              <w:spacing w:before="0" w:after="0" w:line="240" w:lineRule="auto"/>
              <w:ind w:firstLine="0"/>
              <w:rPr>
                <w:rFonts w:cs="Times New Roman"/>
                <w:szCs w:val="24"/>
              </w:rPr>
            </w:pPr>
          </w:p>
        </w:tc>
      </w:tr>
      <w:tr w:rsidR="0099206E" w:rsidRPr="0099206E" w14:paraId="658F9F60" w14:textId="77777777" w:rsidTr="006B16F3">
        <w:tc>
          <w:tcPr>
            <w:tcW w:w="1977" w:type="pct"/>
            <w:vAlign w:val="center"/>
          </w:tcPr>
          <w:p w14:paraId="6A27A810" w14:textId="77777777" w:rsidR="00580749" w:rsidRPr="0099206E" w:rsidRDefault="00580749" w:rsidP="006B16F3">
            <w:pPr>
              <w:pStyle w:val="BodyText"/>
              <w:spacing w:before="0" w:after="0" w:line="240" w:lineRule="auto"/>
              <w:ind w:firstLine="0"/>
              <w:rPr>
                <w:rFonts w:cs="Times New Roman"/>
                <w:szCs w:val="24"/>
              </w:rPr>
            </w:pPr>
            <w:r w:rsidRPr="0099206E">
              <w:rPr>
                <w:rFonts w:cs="Times New Roman"/>
                <w:szCs w:val="24"/>
              </w:rPr>
              <w:t>Ecuador (</w:t>
            </w:r>
            <w:r w:rsidRPr="0099206E">
              <w:rPr>
                <w:rFonts w:cs="Times New Roman"/>
                <w:i/>
                <w:szCs w:val="24"/>
              </w:rPr>
              <w:t>n</w:t>
            </w:r>
            <w:r w:rsidRPr="0099206E">
              <w:rPr>
                <w:rFonts w:cs="Times New Roman"/>
                <w:szCs w:val="24"/>
              </w:rPr>
              <w:t xml:space="preserve"> = 401)</w:t>
            </w:r>
          </w:p>
        </w:tc>
        <w:tc>
          <w:tcPr>
            <w:tcW w:w="684" w:type="pct"/>
            <w:vAlign w:val="center"/>
          </w:tcPr>
          <w:p w14:paraId="0E675B10"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w:t>
            </w:r>
          </w:p>
        </w:tc>
        <w:tc>
          <w:tcPr>
            <w:tcW w:w="580" w:type="pct"/>
            <w:vAlign w:val="center"/>
          </w:tcPr>
          <w:p w14:paraId="2E1D21D9"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2.89</w:t>
            </w:r>
          </w:p>
        </w:tc>
        <w:tc>
          <w:tcPr>
            <w:tcW w:w="580" w:type="pct"/>
            <w:vAlign w:val="center"/>
          </w:tcPr>
          <w:p w14:paraId="2EA83BAE"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1.72</w:t>
            </w:r>
          </w:p>
        </w:tc>
        <w:tc>
          <w:tcPr>
            <w:tcW w:w="580" w:type="pct"/>
            <w:vAlign w:val="center"/>
          </w:tcPr>
          <w:p w14:paraId="07063E62"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-.41</w:t>
            </w:r>
          </w:p>
        </w:tc>
        <w:tc>
          <w:tcPr>
            <w:tcW w:w="599" w:type="pct"/>
            <w:vAlign w:val="center"/>
          </w:tcPr>
          <w:p w14:paraId="1593E39C"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-1.06</w:t>
            </w:r>
          </w:p>
        </w:tc>
      </w:tr>
      <w:tr w:rsidR="0099206E" w:rsidRPr="0099206E" w14:paraId="54C8532A" w14:textId="77777777" w:rsidTr="006B16F3">
        <w:tc>
          <w:tcPr>
            <w:tcW w:w="1977" w:type="pct"/>
            <w:vAlign w:val="center"/>
          </w:tcPr>
          <w:p w14:paraId="51E21F8F"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6AE18A30"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w:t>
            </w:r>
          </w:p>
        </w:tc>
        <w:tc>
          <w:tcPr>
            <w:tcW w:w="580" w:type="pct"/>
            <w:vAlign w:val="center"/>
          </w:tcPr>
          <w:p w14:paraId="697F3A16"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3.32</w:t>
            </w:r>
          </w:p>
        </w:tc>
        <w:tc>
          <w:tcPr>
            <w:tcW w:w="580" w:type="pct"/>
            <w:vAlign w:val="center"/>
          </w:tcPr>
          <w:p w14:paraId="50E45880"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1.62</w:t>
            </w:r>
          </w:p>
        </w:tc>
        <w:tc>
          <w:tcPr>
            <w:tcW w:w="580" w:type="pct"/>
            <w:vAlign w:val="center"/>
          </w:tcPr>
          <w:p w14:paraId="6323FFAA"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-.73</w:t>
            </w:r>
          </w:p>
        </w:tc>
        <w:tc>
          <w:tcPr>
            <w:tcW w:w="599" w:type="pct"/>
            <w:vAlign w:val="center"/>
          </w:tcPr>
          <w:p w14:paraId="7713FC70"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-.56</w:t>
            </w:r>
          </w:p>
        </w:tc>
      </w:tr>
      <w:tr w:rsidR="0099206E" w:rsidRPr="0099206E" w14:paraId="5828F6E0" w14:textId="77777777" w:rsidTr="006B16F3">
        <w:tc>
          <w:tcPr>
            <w:tcW w:w="1977" w:type="pct"/>
            <w:vAlign w:val="center"/>
          </w:tcPr>
          <w:p w14:paraId="242B637A"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2F940468"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w:t>
            </w:r>
          </w:p>
        </w:tc>
        <w:tc>
          <w:tcPr>
            <w:tcW w:w="580" w:type="pct"/>
            <w:vAlign w:val="center"/>
          </w:tcPr>
          <w:p w14:paraId="5C79CF63"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2.97</w:t>
            </w:r>
          </w:p>
        </w:tc>
        <w:tc>
          <w:tcPr>
            <w:tcW w:w="580" w:type="pct"/>
            <w:vAlign w:val="center"/>
          </w:tcPr>
          <w:p w14:paraId="4815FF5A"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1.67</w:t>
            </w:r>
          </w:p>
        </w:tc>
        <w:tc>
          <w:tcPr>
            <w:tcW w:w="580" w:type="pct"/>
            <w:vAlign w:val="center"/>
          </w:tcPr>
          <w:p w14:paraId="0EF1F93D"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-.48</w:t>
            </w:r>
          </w:p>
        </w:tc>
        <w:tc>
          <w:tcPr>
            <w:tcW w:w="599" w:type="pct"/>
            <w:vAlign w:val="center"/>
          </w:tcPr>
          <w:p w14:paraId="73F34EF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-.96</w:t>
            </w:r>
          </w:p>
        </w:tc>
      </w:tr>
      <w:tr w:rsidR="0099206E" w:rsidRPr="0099206E" w14:paraId="72B712D2" w14:textId="77777777" w:rsidTr="006B16F3">
        <w:tc>
          <w:tcPr>
            <w:tcW w:w="1977" w:type="pct"/>
            <w:vAlign w:val="center"/>
          </w:tcPr>
          <w:p w14:paraId="3693E28A"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6266A8F0"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4</w:t>
            </w:r>
          </w:p>
        </w:tc>
        <w:tc>
          <w:tcPr>
            <w:tcW w:w="580" w:type="pct"/>
            <w:vAlign w:val="center"/>
          </w:tcPr>
          <w:p w14:paraId="176BF31B"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3.02</w:t>
            </w:r>
          </w:p>
        </w:tc>
        <w:tc>
          <w:tcPr>
            <w:tcW w:w="580" w:type="pct"/>
            <w:vAlign w:val="center"/>
          </w:tcPr>
          <w:p w14:paraId="235A0636"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1.63</w:t>
            </w:r>
          </w:p>
        </w:tc>
        <w:tc>
          <w:tcPr>
            <w:tcW w:w="580" w:type="pct"/>
            <w:vAlign w:val="center"/>
          </w:tcPr>
          <w:p w14:paraId="4FAD1052"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-.48</w:t>
            </w:r>
          </w:p>
        </w:tc>
        <w:tc>
          <w:tcPr>
            <w:tcW w:w="599" w:type="pct"/>
            <w:vAlign w:val="center"/>
          </w:tcPr>
          <w:p w14:paraId="3D57F74D"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-.87</w:t>
            </w:r>
          </w:p>
        </w:tc>
      </w:tr>
      <w:tr w:rsidR="0099206E" w:rsidRPr="0099206E" w14:paraId="2B1C0DD4" w14:textId="77777777" w:rsidTr="006B16F3">
        <w:tc>
          <w:tcPr>
            <w:tcW w:w="1977" w:type="pct"/>
            <w:vAlign w:val="center"/>
          </w:tcPr>
          <w:p w14:paraId="7459F7EC"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3A891FD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w:t>
            </w:r>
          </w:p>
        </w:tc>
        <w:tc>
          <w:tcPr>
            <w:tcW w:w="580" w:type="pct"/>
            <w:vAlign w:val="center"/>
          </w:tcPr>
          <w:p w14:paraId="3996F509"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3.12</w:t>
            </w:r>
          </w:p>
        </w:tc>
        <w:tc>
          <w:tcPr>
            <w:tcW w:w="580" w:type="pct"/>
            <w:vAlign w:val="center"/>
          </w:tcPr>
          <w:p w14:paraId="6F433F1F"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1.58</w:t>
            </w:r>
          </w:p>
        </w:tc>
        <w:tc>
          <w:tcPr>
            <w:tcW w:w="580" w:type="pct"/>
            <w:vAlign w:val="center"/>
          </w:tcPr>
          <w:p w14:paraId="01D974D6"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-.59</w:t>
            </w:r>
          </w:p>
        </w:tc>
        <w:tc>
          <w:tcPr>
            <w:tcW w:w="599" w:type="pct"/>
            <w:vAlign w:val="center"/>
          </w:tcPr>
          <w:p w14:paraId="0E63F0DD"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-.69</w:t>
            </w:r>
          </w:p>
        </w:tc>
      </w:tr>
      <w:tr w:rsidR="0099206E" w:rsidRPr="0099206E" w14:paraId="79A686F5" w14:textId="77777777" w:rsidTr="006B16F3">
        <w:tc>
          <w:tcPr>
            <w:tcW w:w="1977" w:type="pct"/>
            <w:vAlign w:val="center"/>
          </w:tcPr>
          <w:p w14:paraId="6E4B49B1"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5956F6AC"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6</w:t>
            </w:r>
          </w:p>
        </w:tc>
        <w:tc>
          <w:tcPr>
            <w:tcW w:w="580" w:type="pct"/>
            <w:vAlign w:val="center"/>
          </w:tcPr>
          <w:p w14:paraId="7842098F"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2.60</w:t>
            </w:r>
          </w:p>
        </w:tc>
        <w:tc>
          <w:tcPr>
            <w:tcW w:w="580" w:type="pct"/>
            <w:vAlign w:val="center"/>
          </w:tcPr>
          <w:p w14:paraId="1875B46E"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1.83</w:t>
            </w:r>
          </w:p>
        </w:tc>
        <w:tc>
          <w:tcPr>
            <w:tcW w:w="580" w:type="pct"/>
            <w:vAlign w:val="center"/>
          </w:tcPr>
          <w:p w14:paraId="76978EA3"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-.18</w:t>
            </w:r>
          </w:p>
        </w:tc>
        <w:tc>
          <w:tcPr>
            <w:tcW w:w="599" w:type="pct"/>
            <w:vAlign w:val="center"/>
          </w:tcPr>
          <w:p w14:paraId="2F4809A3"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-1.40</w:t>
            </w:r>
          </w:p>
        </w:tc>
      </w:tr>
      <w:tr w:rsidR="0099206E" w:rsidRPr="0099206E" w14:paraId="1F749399" w14:textId="77777777" w:rsidTr="006B16F3">
        <w:tc>
          <w:tcPr>
            <w:tcW w:w="1977" w:type="pct"/>
            <w:vAlign w:val="center"/>
          </w:tcPr>
          <w:p w14:paraId="04944F8E"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48BCB973"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7</w:t>
            </w:r>
          </w:p>
        </w:tc>
        <w:tc>
          <w:tcPr>
            <w:tcW w:w="580" w:type="pct"/>
            <w:vAlign w:val="center"/>
          </w:tcPr>
          <w:p w14:paraId="0B2359D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3.19</w:t>
            </w:r>
          </w:p>
        </w:tc>
        <w:tc>
          <w:tcPr>
            <w:tcW w:w="580" w:type="pct"/>
            <w:vAlign w:val="center"/>
          </w:tcPr>
          <w:p w14:paraId="6639E6D1"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1.68</w:t>
            </w:r>
          </w:p>
        </w:tc>
        <w:tc>
          <w:tcPr>
            <w:tcW w:w="580" w:type="pct"/>
            <w:vAlign w:val="center"/>
          </w:tcPr>
          <w:p w14:paraId="5658C0BB"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-.66</w:t>
            </w:r>
          </w:p>
        </w:tc>
        <w:tc>
          <w:tcPr>
            <w:tcW w:w="599" w:type="pct"/>
            <w:vAlign w:val="center"/>
          </w:tcPr>
          <w:p w14:paraId="25E6B9D9"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-.77</w:t>
            </w:r>
          </w:p>
        </w:tc>
      </w:tr>
      <w:tr w:rsidR="0099206E" w:rsidRPr="0099206E" w14:paraId="7F02B197" w14:textId="77777777" w:rsidTr="006B16F3">
        <w:tc>
          <w:tcPr>
            <w:tcW w:w="1977" w:type="pct"/>
            <w:vAlign w:val="center"/>
          </w:tcPr>
          <w:p w14:paraId="564F1F49"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34701108"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8</w:t>
            </w:r>
          </w:p>
        </w:tc>
        <w:tc>
          <w:tcPr>
            <w:tcW w:w="580" w:type="pct"/>
            <w:vAlign w:val="center"/>
          </w:tcPr>
          <w:p w14:paraId="4A4A2DC2"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3.01</w:t>
            </w:r>
          </w:p>
        </w:tc>
        <w:tc>
          <w:tcPr>
            <w:tcW w:w="580" w:type="pct"/>
            <w:vAlign w:val="center"/>
          </w:tcPr>
          <w:p w14:paraId="1ACA3AC1"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1.61</w:t>
            </w:r>
          </w:p>
        </w:tc>
        <w:tc>
          <w:tcPr>
            <w:tcW w:w="580" w:type="pct"/>
            <w:vAlign w:val="center"/>
          </w:tcPr>
          <w:p w14:paraId="5B3CB85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-.51</w:t>
            </w:r>
          </w:p>
        </w:tc>
        <w:tc>
          <w:tcPr>
            <w:tcW w:w="599" w:type="pct"/>
            <w:vAlign w:val="center"/>
          </w:tcPr>
          <w:p w14:paraId="437873E3"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-.80</w:t>
            </w:r>
          </w:p>
        </w:tc>
      </w:tr>
      <w:tr w:rsidR="0099206E" w:rsidRPr="0099206E" w14:paraId="20731897" w14:textId="77777777" w:rsidTr="006B16F3">
        <w:tc>
          <w:tcPr>
            <w:tcW w:w="1977" w:type="pct"/>
            <w:vAlign w:val="center"/>
          </w:tcPr>
          <w:p w14:paraId="2563DDCD" w14:textId="77777777" w:rsidR="00580749" w:rsidRPr="0099206E" w:rsidRDefault="00580749" w:rsidP="006B16F3">
            <w:pPr>
              <w:pStyle w:val="BodyText"/>
              <w:spacing w:before="0" w:after="0" w:line="240" w:lineRule="auto"/>
              <w:ind w:firstLine="0"/>
              <w:rPr>
                <w:rFonts w:cs="Times New Roman"/>
                <w:szCs w:val="24"/>
              </w:rPr>
            </w:pPr>
            <w:r w:rsidRPr="0099206E">
              <w:rPr>
                <w:rFonts w:cs="Times New Roman"/>
                <w:szCs w:val="24"/>
              </w:rPr>
              <w:t>Colombia (</w:t>
            </w:r>
            <w:r w:rsidRPr="0099206E">
              <w:rPr>
                <w:rFonts w:cs="Times New Roman"/>
                <w:i/>
                <w:szCs w:val="24"/>
              </w:rPr>
              <w:t>n</w:t>
            </w:r>
            <w:r w:rsidRPr="0099206E">
              <w:rPr>
                <w:rFonts w:cs="Times New Roman"/>
                <w:szCs w:val="24"/>
              </w:rPr>
              <w:t xml:space="preserve"> = 744)</w:t>
            </w:r>
          </w:p>
        </w:tc>
        <w:tc>
          <w:tcPr>
            <w:tcW w:w="684" w:type="pct"/>
            <w:vAlign w:val="center"/>
          </w:tcPr>
          <w:p w14:paraId="0340C357"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w:t>
            </w:r>
          </w:p>
        </w:tc>
        <w:tc>
          <w:tcPr>
            <w:tcW w:w="580" w:type="pct"/>
            <w:vAlign w:val="center"/>
          </w:tcPr>
          <w:p w14:paraId="6692871E"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2.86</w:t>
            </w:r>
          </w:p>
        </w:tc>
        <w:tc>
          <w:tcPr>
            <w:tcW w:w="580" w:type="pct"/>
            <w:vAlign w:val="center"/>
          </w:tcPr>
          <w:p w14:paraId="1E5671AE"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1.78</w:t>
            </w:r>
          </w:p>
        </w:tc>
        <w:tc>
          <w:tcPr>
            <w:tcW w:w="580" w:type="pct"/>
            <w:vAlign w:val="center"/>
          </w:tcPr>
          <w:p w14:paraId="7553DA47"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-.43</w:t>
            </w:r>
          </w:p>
        </w:tc>
        <w:tc>
          <w:tcPr>
            <w:tcW w:w="599" w:type="pct"/>
            <w:vAlign w:val="center"/>
          </w:tcPr>
          <w:p w14:paraId="2CE9CD3B"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-1.16</w:t>
            </w:r>
          </w:p>
        </w:tc>
      </w:tr>
      <w:tr w:rsidR="0099206E" w:rsidRPr="0099206E" w14:paraId="3A9BACAA" w14:textId="77777777" w:rsidTr="006B16F3">
        <w:tc>
          <w:tcPr>
            <w:tcW w:w="1977" w:type="pct"/>
            <w:vAlign w:val="center"/>
          </w:tcPr>
          <w:p w14:paraId="7A832F9F"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15C6CDA4"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w:t>
            </w:r>
          </w:p>
        </w:tc>
        <w:tc>
          <w:tcPr>
            <w:tcW w:w="580" w:type="pct"/>
            <w:vAlign w:val="center"/>
          </w:tcPr>
          <w:p w14:paraId="06CBCF31"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3.28</w:t>
            </w:r>
          </w:p>
        </w:tc>
        <w:tc>
          <w:tcPr>
            <w:tcW w:w="580" w:type="pct"/>
            <w:vAlign w:val="center"/>
          </w:tcPr>
          <w:p w14:paraId="53D850A2"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1.65</w:t>
            </w:r>
          </w:p>
        </w:tc>
        <w:tc>
          <w:tcPr>
            <w:tcW w:w="580" w:type="pct"/>
            <w:vAlign w:val="center"/>
          </w:tcPr>
          <w:p w14:paraId="2C9A3BC8"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-.79</w:t>
            </w:r>
          </w:p>
        </w:tc>
        <w:tc>
          <w:tcPr>
            <w:tcW w:w="599" w:type="pct"/>
            <w:vAlign w:val="center"/>
          </w:tcPr>
          <w:p w14:paraId="33F434D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-.52</w:t>
            </w:r>
          </w:p>
        </w:tc>
      </w:tr>
      <w:tr w:rsidR="0099206E" w:rsidRPr="0099206E" w14:paraId="3EA6A8B0" w14:textId="77777777" w:rsidTr="006B16F3">
        <w:tc>
          <w:tcPr>
            <w:tcW w:w="1977" w:type="pct"/>
            <w:vAlign w:val="center"/>
          </w:tcPr>
          <w:p w14:paraId="013BD512"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6F69C8CF"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w:t>
            </w:r>
          </w:p>
        </w:tc>
        <w:tc>
          <w:tcPr>
            <w:tcW w:w="580" w:type="pct"/>
            <w:vAlign w:val="center"/>
          </w:tcPr>
          <w:p w14:paraId="4849B306"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2.98</w:t>
            </w:r>
          </w:p>
        </w:tc>
        <w:tc>
          <w:tcPr>
            <w:tcW w:w="580" w:type="pct"/>
            <w:vAlign w:val="center"/>
          </w:tcPr>
          <w:p w14:paraId="4E65BBEE"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1.76</w:t>
            </w:r>
          </w:p>
        </w:tc>
        <w:tc>
          <w:tcPr>
            <w:tcW w:w="580" w:type="pct"/>
            <w:vAlign w:val="center"/>
          </w:tcPr>
          <w:p w14:paraId="2FE76FA1"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-.54</w:t>
            </w:r>
          </w:p>
        </w:tc>
        <w:tc>
          <w:tcPr>
            <w:tcW w:w="599" w:type="pct"/>
            <w:vAlign w:val="center"/>
          </w:tcPr>
          <w:p w14:paraId="5CB248FB"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-1.03</w:t>
            </w:r>
          </w:p>
        </w:tc>
      </w:tr>
      <w:tr w:rsidR="0099206E" w:rsidRPr="0099206E" w14:paraId="349435FB" w14:textId="77777777" w:rsidTr="006B16F3">
        <w:tc>
          <w:tcPr>
            <w:tcW w:w="1977" w:type="pct"/>
            <w:vAlign w:val="center"/>
          </w:tcPr>
          <w:p w14:paraId="1AA24A2C"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5F04327B"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4</w:t>
            </w:r>
          </w:p>
        </w:tc>
        <w:tc>
          <w:tcPr>
            <w:tcW w:w="580" w:type="pct"/>
            <w:vAlign w:val="center"/>
          </w:tcPr>
          <w:p w14:paraId="3F1170E0"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2.99</w:t>
            </w:r>
          </w:p>
        </w:tc>
        <w:tc>
          <w:tcPr>
            <w:tcW w:w="580" w:type="pct"/>
            <w:vAlign w:val="center"/>
          </w:tcPr>
          <w:p w14:paraId="1B241333"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1.66</w:t>
            </w:r>
          </w:p>
        </w:tc>
        <w:tc>
          <w:tcPr>
            <w:tcW w:w="580" w:type="pct"/>
            <w:vAlign w:val="center"/>
          </w:tcPr>
          <w:p w14:paraId="52014C7D"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-.56</w:t>
            </w:r>
          </w:p>
        </w:tc>
        <w:tc>
          <w:tcPr>
            <w:tcW w:w="599" w:type="pct"/>
            <w:vAlign w:val="center"/>
          </w:tcPr>
          <w:p w14:paraId="16E043C2"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-.86</w:t>
            </w:r>
          </w:p>
        </w:tc>
      </w:tr>
      <w:tr w:rsidR="0099206E" w:rsidRPr="0099206E" w14:paraId="5B7975BD" w14:textId="77777777" w:rsidTr="006B16F3">
        <w:tc>
          <w:tcPr>
            <w:tcW w:w="1977" w:type="pct"/>
            <w:vAlign w:val="center"/>
          </w:tcPr>
          <w:p w14:paraId="34E7A31E"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356993EF"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w:t>
            </w:r>
          </w:p>
        </w:tc>
        <w:tc>
          <w:tcPr>
            <w:tcW w:w="580" w:type="pct"/>
            <w:vAlign w:val="center"/>
          </w:tcPr>
          <w:p w14:paraId="2E5D1017"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3.04</w:t>
            </w:r>
          </w:p>
        </w:tc>
        <w:tc>
          <w:tcPr>
            <w:tcW w:w="580" w:type="pct"/>
            <w:vAlign w:val="center"/>
          </w:tcPr>
          <w:p w14:paraId="433F1B2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1.65</w:t>
            </w:r>
          </w:p>
        </w:tc>
        <w:tc>
          <w:tcPr>
            <w:tcW w:w="580" w:type="pct"/>
            <w:vAlign w:val="center"/>
          </w:tcPr>
          <w:p w14:paraId="67013DA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-.64</w:t>
            </w:r>
          </w:p>
        </w:tc>
        <w:tc>
          <w:tcPr>
            <w:tcW w:w="599" w:type="pct"/>
            <w:vAlign w:val="center"/>
          </w:tcPr>
          <w:p w14:paraId="35A6CFAA"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-.75</w:t>
            </w:r>
          </w:p>
        </w:tc>
      </w:tr>
      <w:tr w:rsidR="0099206E" w:rsidRPr="0099206E" w14:paraId="302A7342" w14:textId="77777777" w:rsidTr="006B16F3">
        <w:tc>
          <w:tcPr>
            <w:tcW w:w="1977" w:type="pct"/>
            <w:vAlign w:val="center"/>
          </w:tcPr>
          <w:p w14:paraId="5DA6AA5A"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5DE21E9A"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6</w:t>
            </w:r>
          </w:p>
        </w:tc>
        <w:tc>
          <w:tcPr>
            <w:tcW w:w="580" w:type="pct"/>
            <w:vAlign w:val="center"/>
          </w:tcPr>
          <w:p w14:paraId="46BCE6F7"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2.58</w:t>
            </w:r>
          </w:p>
        </w:tc>
        <w:tc>
          <w:tcPr>
            <w:tcW w:w="580" w:type="pct"/>
            <w:vAlign w:val="center"/>
          </w:tcPr>
          <w:p w14:paraId="57F5769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1.93</w:t>
            </w:r>
          </w:p>
        </w:tc>
        <w:tc>
          <w:tcPr>
            <w:tcW w:w="580" w:type="pct"/>
            <w:vAlign w:val="center"/>
          </w:tcPr>
          <w:p w14:paraId="7ED31EB2"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-.16</w:t>
            </w:r>
          </w:p>
        </w:tc>
        <w:tc>
          <w:tcPr>
            <w:tcW w:w="599" w:type="pct"/>
            <w:vAlign w:val="center"/>
          </w:tcPr>
          <w:p w14:paraId="044D9A70"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-1.50</w:t>
            </w:r>
          </w:p>
        </w:tc>
      </w:tr>
      <w:tr w:rsidR="0099206E" w:rsidRPr="0099206E" w14:paraId="24941BA0" w14:textId="77777777" w:rsidTr="006B16F3">
        <w:tc>
          <w:tcPr>
            <w:tcW w:w="1977" w:type="pct"/>
            <w:vAlign w:val="center"/>
          </w:tcPr>
          <w:p w14:paraId="67948A22"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48842E6A"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7</w:t>
            </w:r>
          </w:p>
        </w:tc>
        <w:tc>
          <w:tcPr>
            <w:tcW w:w="580" w:type="pct"/>
            <w:vAlign w:val="center"/>
          </w:tcPr>
          <w:p w14:paraId="11F58036"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3.17</w:t>
            </w:r>
          </w:p>
        </w:tc>
        <w:tc>
          <w:tcPr>
            <w:tcW w:w="580" w:type="pct"/>
            <w:vAlign w:val="center"/>
          </w:tcPr>
          <w:p w14:paraId="12445A1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1.71</w:t>
            </w:r>
          </w:p>
        </w:tc>
        <w:tc>
          <w:tcPr>
            <w:tcW w:w="580" w:type="pct"/>
            <w:vAlign w:val="center"/>
          </w:tcPr>
          <w:p w14:paraId="63408F86"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-.70</w:t>
            </w:r>
          </w:p>
        </w:tc>
        <w:tc>
          <w:tcPr>
            <w:tcW w:w="599" w:type="pct"/>
            <w:vAlign w:val="center"/>
          </w:tcPr>
          <w:p w14:paraId="3ECEF4DA"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-.75</w:t>
            </w:r>
          </w:p>
        </w:tc>
      </w:tr>
      <w:tr w:rsidR="0099206E" w:rsidRPr="0099206E" w14:paraId="0C4E48C8" w14:textId="77777777" w:rsidTr="006B16F3">
        <w:tc>
          <w:tcPr>
            <w:tcW w:w="1977" w:type="pct"/>
            <w:vAlign w:val="center"/>
          </w:tcPr>
          <w:p w14:paraId="60F48717"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1FEF5F84"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8</w:t>
            </w:r>
          </w:p>
        </w:tc>
        <w:tc>
          <w:tcPr>
            <w:tcW w:w="580" w:type="pct"/>
            <w:vAlign w:val="center"/>
          </w:tcPr>
          <w:p w14:paraId="3D2FFC7B"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2.96</w:t>
            </w:r>
          </w:p>
        </w:tc>
        <w:tc>
          <w:tcPr>
            <w:tcW w:w="580" w:type="pct"/>
            <w:vAlign w:val="center"/>
          </w:tcPr>
          <w:p w14:paraId="74F5D6FE"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1.73</w:t>
            </w:r>
          </w:p>
        </w:tc>
        <w:tc>
          <w:tcPr>
            <w:tcW w:w="580" w:type="pct"/>
            <w:vAlign w:val="center"/>
          </w:tcPr>
          <w:p w14:paraId="1645C616"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-.51</w:t>
            </w:r>
          </w:p>
        </w:tc>
        <w:tc>
          <w:tcPr>
            <w:tcW w:w="599" w:type="pct"/>
            <w:vAlign w:val="center"/>
          </w:tcPr>
          <w:p w14:paraId="0DCCFE8E"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-1.03</w:t>
            </w:r>
          </w:p>
        </w:tc>
      </w:tr>
      <w:tr w:rsidR="0099206E" w:rsidRPr="0099206E" w14:paraId="511016BE" w14:textId="77777777" w:rsidTr="006B16F3">
        <w:tc>
          <w:tcPr>
            <w:tcW w:w="1977" w:type="pct"/>
            <w:vAlign w:val="center"/>
          </w:tcPr>
          <w:p w14:paraId="324AE72A" w14:textId="44B83D0D" w:rsidR="00580749" w:rsidRPr="0099206E" w:rsidRDefault="00580749" w:rsidP="006B16F3">
            <w:pPr>
              <w:pStyle w:val="BodyText"/>
              <w:spacing w:before="0" w:after="0" w:line="240" w:lineRule="auto"/>
              <w:ind w:firstLine="0"/>
              <w:rPr>
                <w:rFonts w:cs="Times New Roman"/>
                <w:szCs w:val="24"/>
              </w:rPr>
            </w:pPr>
            <w:r w:rsidRPr="0099206E">
              <w:rPr>
                <w:rFonts w:cs="Times New Roman"/>
                <w:szCs w:val="24"/>
              </w:rPr>
              <w:t>Per</w:t>
            </w:r>
            <w:r w:rsidR="0099206E" w:rsidRPr="0099206E">
              <w:rPr>
                <w:rFonts w:cs="Times New Roman"/>
                <w:szCs w:val="24"/>
              </w:rPr>
              <w:t>u</w:t>
            </w:r>
            <w:r w:rsidRPr="0099206E">
              <w:rPr>
                <w:rFonts w:cs="Times New Roman"/>
                <w:szCs w:val="24"/>
              </w:rPr>
              <w:t xml:space="preserve"> (</w:t>
            </w:r>
            <w:r w:rsidRPr="0099206E">
              <w:rPr>
                <w:rFonts w:cs="Times New Roman"/>
                <w:i/>
                <w:szCs w:val="24"/>
              </w:rPr>
              <w:t>n</w:t>
            </w:r>
            <w:r w:rsidRPr="0099206E">
              <w:rPr>
                <w:rFonts w:cs="Times New Roman"/>
                <w:szCs w:val="24"/>
              </w:rPr>
              <w:t xml:space="preserve"> = 350)</w:t>
            </w:r>
          </w:p>
        </w:tc>
        <w:tc>
          <w:tcPr>
            <w:tcW w:w="684" w:type="pct"/>
            <w:vAlign w:val="center"/>
          </w:tcPr>
          <w:p w14:paraId="7E930D2C"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w:t>
            </w:r>
          </w:p>
        </w:tc>
        <w:tc>
          <w:tcPr>
            <w:tcW w:w="580" w:type="pct"/>
            <w:vAlign w:val="center"/>
          </w:tcPr>
          <w:p w14:paraId="6A6D45CC"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3.07</w:t>
            </w:r>
          </w:p>
        </w:tc>
        <w:tc>
          <w:tcPr>
            <w:tcW w:w="580" w:type="pct"/>
            <w:vAlign w:val="center"/>
          </w:tcPr>
          <w:p w14:paraId="7D1B83D7"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1.64</w:t>
            </w:r>
          </w:p>
        </w:tc>
        <w:tc>
          <w:tcPr>
            <w:tcW w:w="580" w:type="pct"/>
            <w:vAlign w:val="center"/>
          </w:tcPr>
          <w:p w14:paraId="239DBC0E"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-.56</w:t>
            </w:r>
          </w:p>
        </w:tc>
        <w:tc>
          <w:tcPr>
            <w:tcW w:w="599" w:type="pct"/>
            <w:vAlign w:val="center"/>
          </w:tcPr>
          <w:p w14:paraId="75441CC1"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-.79</w:t>
            </w:r>
          </w:p>
        </w:tc>
      </w:tr>
      <w:tr w:rsidR="0099206E" w:rsidRPr="0099206E" w14:paraId="50F1FE7E" w14:textId="77777777" w:rsidTr="006B16F3">
        <w:tc>
          <w:tcPr>
            <w:tcW w:w="1977" w:type="pct"/>
            <w:vAlign w:val="center"/>
          </w:tcPr>
          <w:p w14:paraId="71454FF6"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0B198183"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w:t>
            </w:r>
          </w:p>
        </w:tc>
        <w:tc>
          <w:tcPr>
            <w:tcW w:w="580" w:type="pct"/>
            <w:vAlign w:val="center"/>
          </w:tcPr>
          <w:p w14:paraId="6C8A3CDA"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3.43</w:t>
            </w:r>
          </w:p>
        </w:tc>
        <w:tc>
          <w:tcPr>
            <w:tcW w:w="580" w:type="pct"/>
            <w:vAlign w:val="center"/>
          </w:tcPr>
          <w:p w14:paraId="0E4D753A"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1.47</w:t>
            </w:r>
          </w:p>
        </w:tc>
        <w:tc>
          <w:tcPr>
            <w:tcW w:w="580" w:type="pct"/>
            <w:vAlign w:val="center"/>
          </w:tcPr>
          <w:p w14:paraId="4C96F9A0"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-.86</w:t>
            </w:r>
          </w:p>
        </w:tc>
        <w:tc>
          <w:tcPr>
            <w:tcW w:w="599" w:type="pct"/>
            <w:vAlign w:val="center"/>
          </w:tcPr>
          <w:p w14:paraId="56F35ADF"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-.15</w:t>
            </w:r>
          </w:p>
        </w:tc>
      </w:tr>
      <w:tr w:rsidR="0099206E" w:rsidRPr="0099206E" w14:paraId="4B662477" w14:textId="77777777" w:rsidTr="006B16F3">
        <w:tc>
          <w:tcPr>
            <w:tcW w:w="1977" w:type="pct"/>
            <w:vAlign w:val="center"/>
          </w:tcPr>
          <w:p w14:paraId="6EBD0DAC"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65C280E2"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w:t>
            </w:r>
          </w:p>
        </w:tc>
        <w:tc>
          <w:tcPr>
            <w:tcW w:w="580" w:type="pct"/>
            <w:vAlign w:val="center"/>
          </w:tcPr>
          <w:p w14:paraId="71D7529D"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3.07</w:t>
            </w:r>
          </w:p>
        </w:tc>
        <w:tc>
          <w:tcPr>
            <w:tcW w:w="580" w:type="pct"/>
            <w:vAlign w:val="center"/>
          </w:tcPr>
          <w:p w14:paraId="6C893C2E"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1.56</w:t>
            </w:r>
          </w:p>
        </w:tc>
        <w:tc>
          <w:tcPr>
            <w:tcW w:w="580" w:type="pct"/>
            <w:vAlign w:val="center"/>
          </w:tcPr>
          <w:p w14:paraId="67D6A752"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-.56</w:t>
            </w:r>
          </w:p>
        </w:tc>
        <w:tc>
          <w:tcPr>
            <w:tcW w:w="599" w:type="pct"/>
            <w:vAlign w:val="center"/>
          </w:tcPr>
          <w:p w14:paraId="30DDE34F"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-.72</w:t>
            </w:r>
          </w:p>
        </w:tc>
      </w:tr>
      <w:tr w:rsidR="0099206E" w:rsidRPr="0099206E" w14:paraId="6C4EA015" w14:textId="77777777" w:rsidTr="006B16F3">
        <w:tc>
          <w:tcPr>
            <w:tcW w:w="1977" w:type="pct"/>
            <w:vAlign w:val="center"/>
          </w:tcPr>
          <w:p w14:paraId="2891D01C"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7CE984B4"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4</w:t>
            </w:r>
          </w:p>
        </w:tc>
        <w:tc>
          <w:tcPr>
            <w:tcW w:w="580" w:type="pct"/>
            <w:vAlign w:val="center"/>
          </w:tcPr>
          <w:p w14:paraId="2594F8FC"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3.08</w:t>
            </w:r>
          </w:p>
        </w:tc>
        <w:tc>
          <w:tcPr>
            <w:tcW w:w="580" w:type="pct"/>
            <w:vAlign w:val="center"/>
          </w:tcPr>
          <w:p w14:paraId="5F209E4E"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1.47</w:t>
            </w:r>
          </w:p>
        </w:tc>
        <w:tc>
          <w:tcPr>
            <w:tcW w:w="580" w:type="pct"/>
            <w:vAlign w:val="center"/>
          </w:tcPr>
          <w:p w14:paraId="01661079"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-.56</w:t>
            </w:r>
          </w:p>
        </w:tc>
        <w:tc>
          <w:tcPr>
            <w:tcW w:w="599" w:type="pct"/>
            <w:vAlign w:val="center"/>
          </w:tcPr>
          <w:p w14:paraId="4392A848"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-.52</w:t>
            </w:r>
          </w:p>
        </w:tc>
      </w:tr>
      <w:tr w:rsidR="0099206E" w:rsidRPr="0099206E" w14:paraId="38EBB4F2" w14:textId="77777777" w:rsidTr="006B16F3">
        <w:tc>
          <w:tcPr>
            <w:tcW w:w="1977" w:type="pct"/>
            <w:vAlign w:val="center"/>
          </w:tcPr>
          <w:p w14:paraId="1F602756"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46D1E2B0"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w:t>
            </w:r>
          </w:p>
        </w:tc>
        <w:tc>
          <w:tcPr>
            <w:tcW w:w="580" w:type="pct"/>
            <w:vAlign w:val="center"/>
          </w:tcPr>
          <w:p w14:paraId="7CF2489C"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3.22</w:t>
            </w:r>
          </w:p>
        </w:tc>
        <w:tc>
          <w:tcPr>
            <w:tcW w:w="580" w:type="pct"/>
            <w:vAlign w:val="center"/>
          </w:tcPr>
          <w:p w14:paraId="75D87E3B"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1.48</w:t>
            </w:r>
          </w:p>
        </w:tc>
        <w:tc>
          <w:tcPr>
            <w:tcW w:w="580" w:type="pct"/>
            <w:vAlign w:val="center"/>
          </w:tcPr>
          <w:p w14:paraId="0D6F9D7D"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-.67</w:t>
            </w:r>
          </w:p>
        </w:tc>
        <w:tc>
          <w:tcPr>
            <w:tcW w:w="599" w:type="pct"/>
            <w:vAlign w:val="center"/>
          </w:tcPr>
          <w:p w14:paraId="0DF98839"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-.37</w:t>
            </w:r>
          </w:p>
        </w:tc>
      </w:tr>
      <w:tr w:rsidR="0099206E" w:rsidRPr="0099206E" w14:paraId="1F1D621D" w14:textId="77777777" w:rsidTr="006B16F3">
        <w:tc>
          <w:tcPr>
            <w:tcW w:w="1977" w:type="pct"/>
            <w:vAlign w:val="center"/>
          </w:tcPr>
          <w:p w14:paraId="45897145"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44CB373D"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6</w:t>
            </w:r>
          </w:p>
        </w:tc>
        <w:tc>
          <w:tcPr>
            <w:tcW w:w="580" w:type="pct"/>
            <w:vAlign w:val="center"/>
          </w:tcPr>
          <w:p w14:paraId="4312EA77"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2.83</w:t>
            </w:r>
          </w:p>
        </w:tc>
        <w:tc>
          <w:tcPr>
            <w:tcW w:w="580" w:type="pct"/>
            <w:vAlign w:val="center"/>
          </w:tcPr>
          <w:p w14:paraId="47B99FC3"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1.72</w:t>
            </w:r>
          </w:p>
        </w:tc>
        <w:tc>
          <w:tcPr>
            <w:tcW w:w="580" w:type="pct"/>
            <w:vAlign w:val="center"/>
          </w:tcPr>
          <w:p w14:paraId="3732CF16"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-.42</w:t>
            </w:r>
          </w:p>
        </w:tc>
        <w:tc>
          <w:tcPr>
            <w:tcW w:w="599" w:type="pct"/>
            <w:vAlign w:val="center"/>
          </w:tcPr>
          <w:p w14:paraId="333F5144"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-1.10</w:t>
            </w:r>
          </w:p>
        </w:tc>
      </w:tr>
      <w:tr w:rsidR="0099206E" w:rsidRPr="0099206E" w14:paraId="2C3BB0E1" w14:textId="77777777" w:rsidTr="006B16F3">
        <w:tc>
          <w:tcPr>
            <w:tcW w:w="1977" w:type="pct"/>
            <w:vAlign w:val="center"/>
          </w:tcPr>
          <w:p w14:paraId="4549C628"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3A43BB48"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7</w:t>
            </w:r>
          </w:p>
        </w:tc>
        <w:tc>
          <w:tcPr>
            <w:tcW w:w="580" w:type="pct"/>
            <w:vAlign w:val="center"/>
          </w:tcPr>
          <w:p w14:paraId="53748F53"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3.33</w:t>
            </w:r>
          </w:p>
        </w:tc>
        <w:tc>
          <w:tcPr>
            <w:tcW w:w="580" w:type="pct"/>
            <w:vAlign w:val="center"/>
          </w:tcPr>
          <w:p w14:paraId="39AB38A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1.53</w:t>
            </w:r>
          </w:p>
        </w:tc>
        <w:tc>
          <w:tcPr>
            <w:tcW w:w="580" w:type="pct"/>
            <w:vAlign w:val="center"/>
          </w:tcPr>
          <w:p w14:paraId="78A8F571"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-.65</w:t>
            </w:r>
          </w:p>
        </w:tc>
        <w:tc>
          <w:tcPr>
            <w:tcW w:w="599" w:type="pct"/>
            <w:vAlign w:val="center"/>
          </w:tcPr>
          <w:p w14:paraId="04DCF8A6"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-.56</w:t>
            </w:r>
          </w:p>
        </w:tc>
      </w:tr>
      <w:tr w:rsidR="0099206E" w:rsidRPr="0099206E" w14:paraId="4101EB95" w14:textId="77777777" w:rsidTr="006B16F3">
        <w:tc>
          <w:tcPr>
            <w:tcW w:w="1977" w:type="pct"/>
            <w:vAlign w:val="center"/>
          </w:tcPr>
          <w:p w14:paraId="08FD608A"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7B6D3578"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8</w:t>
            </w:r>
          </w:p>
        </w:tc>
        <w:tc>
          <w:tcPr>
            <w:tcW w:w="580" w:type="pct"/>
            <w:vAlign w:val="center"/>
          </w:tcPr>
          <w:p w14:paraId="27A9244C"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3.13</w:t>
            </w:r>
          </w:p>
        </w:tc>
        <w:tc>
          <w:tcPr>
            <w:tcW w:w="580" w:type="pct"/>
            <w:vAlign w:val="center"/>
          </w:tcPr>
          <w:p w14:paraId="1EE23A13"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1.53</w:t>
            </w:r>
          </w:p>
        </w:tc>
        <w:tc>
          <w:tcPr>
            <w:tcW w:w="580" w:type="pct"/>
            <w:vAlign w:val="center"/>
          </w:tcPr>
          <w:p w14:paraId="67DAA2CC"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-.59</w:t>
            </w:r>
          </w:p>
        </w:tc>
        <w:tc>
          <w:tcPr>
            <w:tcW w:w="599" w:type="pct"/>
            <w:vAlign w:val="center"/>
          </w:tcPr>
          <w:p w14:paraId="49A45948"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-.61</w:t>
            </w:r>
          </w:p>
        </w:tc>
      </w:tr>
      <w:tr w:rsidR="0099206E" w:rsidRPr="0099206E" w14:paraId="19FE9057" w14:textId="77777777" w:rsidTr="006B16F3">
        <w:tc>
          <w:tcPr>
            <w:tcW w:w="1977" w:type="pct"/>
            <w:vAlign w:val="center"/>
          </w:tcPr>
          <w:p w14:paraId="01B79776" w14:textId="77777777" w:rsidR="00580749" w:rsidRPr="0099206E" w:rsidRDefault="00580749" w:rsidP="006B16F3">
            <w:pPr>
              <w:pStyle w:val="BodyText"/>
              <w:spacing w:before="0" w:after="0" w:line="240" w:lineRule="auto"/>
              <w:ind w:firstLine="0"/>
              <w:rPr>
                <w:rFonts w:cs="Times New Roman"/>
                <w:szCs w:val="24"/>
              </w:rPr>
            </w:pPr>
            <w:r w:rsidRPr="0099206E">
              <w:rPr>
                <w:rFonts w:cs="Times New Roman"/>
                <w:szCs w:val="24"/>
              </w:rPr>
              <w:t>Bolivia (</w:t>
            </w:r>
            <w:r w:rsidRPr="0099206E">
              <w:rPr>
                <w:rFonts w:cs="Times New Roman"/>
                <w:i/>
                <w:szCs w:val="24"/>
              </w:rPr>
              <w:t>n</w:t>
            </w:r>
            <w:r w:rsidRPr="0099206E">
              <w:rPr>
                <w:rFonts w:cs="Times New Roman"/>
                <w:szCs w:val="24"/>
              </w:rPr>
              <w:t xml:space="preserve"> = 325)</w:t>
            </w:r>
          </w:p>
        </w:tc>
        <w:tc>
          <w:tcPr>
            <w:tcW w:w="684" w:type="pct"/>
            <w:vAlign w:val="center"/>
          </w:tcPr>
          <w:p w14:paraId="7B3A45A8"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w:t>
            </w:r>
          </w:p>
        </w:tc>
        <w:tc>
          <w:tcPr>
            <w:tcW w:w="580" w:type="pct"/>
            <w:vAlign w:val="center"/>
          </w:tcPr>
          <w:p w14:paraId="058F3C4B"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2.97</w:t>
            </w:r>
          </w:p>
        </w:tc>
        <w:tc>
          <w:tcPr>
            <w:tcW w:w="580" w:type="pct"/>
            <w:vAlign w:val="center"/>
          </w:tcPr>
          <w:p w14:paraId="6308AFD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1.61</w:t>
            </w:r>
          </w:p>
        </w:tc>
        <w:tc>
          <w:tcPr>
            <w:tcW w:w="580" w:type="pct"/>
            <w:vAlign w:val="center"/>
          </w:tcPr>
          <w:p w14:paraId="5F4E6D1F"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-.52</w:t>
            </w:r>
          </w:p>
        </w:tc>
        <w:tc>
          <w:tcPr>
            <w:tcW w:w="599" w:type="pct"/>
            <w:vAlign w:val="center"/>
          </w:tcPr>
          <w:p w14:paraId="5EBD29EF"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-.81</w:t>
            </w:r>
          </w:p>
        </w:tc>
      </w:tr>
      <w:tr w:rsidR="0099206E" w:rsidRPr="0099206E" w14:paraId="3CB480A9" w14:textId="77777777" w:rsidTr="006B16F3">
        <w:tc>
          <w:tcPr>
            <w:tcW w:w="1977" w:type="pct"/>
            <w:vAlign w:val="center"/>
          </w:tcPr>
          <w:p w14:paraId="55F41D44"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1113945F"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w:t>
            </w:r>
          </w:p>
        </w:tc>
        <w:tc>
          <w:tcPr>
            <w:tcW w:w="580" w:type="pct"/>
            <w:vAlign w:val="center"/>
          </w:tcPr>
          <w:p w14:paraId="372FABBF"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3.18</w:t>
            </w:r>
          </w:p>
        </w:tc>
        <w:tc>
          <w:tcPr>
            <w:tcW w:w="580" w:type="pct"/>
            <w:vAlign w:val="center"/>
          </w:tcPr>
          <w:p w14:paraId="3ADC90CF"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1.56</w:t>
            </w:r>
          </w:p>
        </w:tc>
        <w:tc>
          <w:tcPr>
            <w:tcW w:w="580" w:type="pct"/>
            <w:vAlign w:val="center"/>
          </w:tcPr>
          <w:p w14:paraId="3AAC278C"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-.57</w:t>
            </w:r>
          </w:p>
        </w:tc>
        <w:tc>
          <w:tcPr>
            <w:tcW w:w="599" w:type="pct"/>
            <w:vAlign w:val="center"/>
          </w:tcPr>
          <w:p w14:paraId="7975F13C"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-.68</w:t>
            </w:r>
          </w:p>
        </w:tc>
      </w:tr>
      <w:tr w:rsidR="0099206E" w:rsidRPr="0099206E" w14:paraId="10461D2D" w14:textId="77777777" w:rsidTr="006B16F3">
        <w:tc>
          <w:tcPr>
            <w:tcW w:w="1977" w:type="pct"/>
            <w:vAlign w:val="center"/>
          </w:tcPr>
          <w:p w14:paraId="73B8A297"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0D427AD6"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w:t>
            </w:r>
          </w:p>
        </w:tc>
        <w:tc>
          <w:tcPr>
            <w:tcW w:w="580" w:type="pct"/>
            <w:vAlign w:val="center"/>
          </w:tcPr>
          <w:p w14:paraId="4A6F2082"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2.67</w:t>
            </w:r>
          </w:p>
        </w:tc>
        <w:tc>
          <w:tcPr>
            <w:tcW w:w="580" w:type="pct"/>
            <w:vAlign w:val="center"/>
          </w:tcPr>
          <w:p w14:paraId="243F00FB"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1.71</w:t>
            </w:r>
          </w:p>
        </w:tc>
        <w:tc>
          <w:tcPr>
            <w:tcW w:w="580" w:type="pct"/>
            <w:vAlign w:val="center"/>
          </w:tcPr>
          <w:p w14:paraId="20156A49"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-.20</w:t>
            </w:r>
          </w:p>
        </w:tc>
        <w:tc>
          <w:tcPr>
            <w:tcW w:w="599" w:type="pct"/>
            <w:vAlign w:val="center"/>
          </w:tcPr>
          <w:p w14:paraId="709B48D6"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-1.24</w:t>
            </w:r>
          </w:p>
        </w:tc>
      </w:tr>
      <w:tr w:rsidR="0099206E" w:rsidRPr="0099206E" w14:paraId="45D8A51D" w14:textId="77777777" w:rsidTr="006B16F3">
        <w:tc>
          <w:tcPr>
            <w:tcW w:w="1977" w:type="pct"/>
            <w:vAlign w:val="center"/>
          </w:tcPr>
          <w:p w14:paraId="6CD9FC52"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01B1BFBE"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4</w:t>
            </w:r>
          </w:p>
        </w:tc>
        <w:tc>
          <w:tcPr>
            <w:tcW w:w="580" w:type="pct"/>
            <w:vAlign w:val="center"/>
          </w:tcPr>
          <w:p w14:paraId="1B158982"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2.72</w:t>
            </w:r>
          </w:p>
        </w:tc>
        <w:tc>
          <w:tcPr>
            <w:tcW w:w="580" w:type="pct"/>
            <w:vAlign w:val="center"/>
          </w:tcPr>
          <w:p w14:paraId="2448FD86"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1.64</w:t>
            </w:r>
          </w:p>
        </w:tc>
        <w:tc>
          <w:tcPr>
            <w:tcW w:w="580" w:type="pct"/>
            <w:vAlign w:val="center"/>
          </w:tcPr>
          <w:p w14:paraId="1F32B820"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-.28</w:t>
            </w:r>
          </w:p>
        </w:tc>
        <w:tc>
          <w:tcPr>
            <w:tcW w:w="599" w:type="pct"/>
            <w:vAlign w:val="center"/>
          </w:tcPr>
          <w:p w14:paraId="77CE712C"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-1.09</w:t>
            </w:r>
          </w:p>
        </w:tc>
      </w:tr>
      <w:tr w:rsidR="0099206E" w:rsidRPr="0099206E" w14:paraId="62C95DBA" w14:textId="77777777" w:rsidTr="006B16F3">
        <w:tc>
          <w:tcPr>
            <w:tcW w:w="1977" w:type="pct"/>
            <w:vAlign w:val="center"/>
          </w:tcPr>
          <w:p w14:paraId="23431464"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5F720569"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5</w:t>
            </w:r>
          </w:p>
        </w:tc>
        <w:tc>
          <w:tcPr>
            <w:tcW w:w="580" w:type="pct"/>
            <w:vAlign w:val="center"/>
          </w:tcPr>
          <w:p w14:paraId="3446791E"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2.82</w:t>
            </w:r>
          </w:p>
        </w:tc>
        <w:tc>
          <w:tcPr>
            <w:tcW w:w="580" w:type="pct"/>
            <w:vAlign w:val="center"/>
          </w:tcPr>
          <w:p w14:paraId="0EA143ED"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1.58</w:t>
            </w:r>
          </w:p>
        </w:tc>
        <w:tc>
          <w:tcPr>
            <w:tcW w:w="580" w:type="pct"/>
            <w:vAlign w:val="center"/>
          </w:tcPr>
          <w:p w14:paraId="5BB78E46"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-.39</w:t>
            </w:r>
          </w:p>
        </w:tc>
        <w:tc>
          <w:tcPr>
            <w:tcW w:w="599" w:type="pct"/>
            <w:vAlign w:val="center"/>
          </w:tcPr>
          <w:p w14:paraId="2BD9EF98"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-.89</w:t>
            </w:r>
          </w:p>
        </w:tc>
      </w:tr>
      <w:tr w:rsidR="0099206E" w:rsidRPr="0099206E" w14:paraId="2D88088E" w14:textId="77777777" w:rsidTr="006B16F3">
        <w:tc>
          <w:tcPr>
            <w:tcW w:w="1977" w:type="pct"/>
            <w:vAlign w:val="center"/>
          </w:tcPr>
          <w:p w14:paraId="621D9BA9"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24E97C3C"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6</w:t>
            </w:r>
          </w:p>
        </w:tc>
        <w:tc>
          <w:tcPr>
            <w:tcW w:w="580" w:type="pct"/>
            <w:vAlign w:val="center"/>
          </w:tcPr>
          <w:p w14:paraId="2C4FDB78"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2.10</w:t>
            </w:r>
          </w:p>
        </w:tc>
        <w:tc>
          <w:tcPr>
            <w:tcW w:w="580" w:type="pct"/>
            <w:vAlign w:val="center"/>
          </w:tcPr>
          <w:p w14:paraId="0EA363FD"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1.86</w:t>
            </w:r>
          </w:p>
        </w:tc>
        <w:tc>
          <w:tcPr>
            <w:tcW w:w="580" w:type="pct"/>
            <w:vAlign w:val="center"/>
          </w:tcPr>
          <w:p w14:paraId="2D3F88C6"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.27</w:t>
            </w:r>
          </w:p>
        </w:tc>
        <w:tc>
          <w:tcPr>
            <w:tcW w:w="599" w:type="pct"/>
            <w:vAlign w:val="center"/>
          </w:tcPr>
          <w:p w14:paraId="796EDFAE"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-1.36</w:t>
            </w:r>
          </w:p>
        </w:tc>
      </w:tr>
      <w:tr w:rsidR="0099206E" w:rsidRPr="0099206E" w14:paraId="7BDA43A2" w14:textId="77777777" w:rsidTr="006B16F3">
        <w:tc>
          <w:tcPr>
            <w:tcW w:w="1977" w:type="pct"/>
            <w:vAlign w:val="center"/>
          </w:tcPr>
          <w:p w14:paraId="56BCEA41" w14:textId="77777777" w:rsidR="00580749" w:rsidRPr="0099206E" w:rsidRDefault="00580749" w:rsidP="006B16F3">
            <w:pPr>
              <w:pStyle w:val="BodyText"/>
              <w:spacing w:before="0" w:after="0" w:line="240" w:lineRule="auto"/>
              <w:ind w:firstLine="0"/>
              <w:rPr>
                <w:rFonts w:cs="Times New Roman"/>
                <w:szCs w:val="24"/>
              </w:rPr>
            </w:pPr>
          </w:p>
        </w:tc>
        <w:tc>
          <w:tcPr>
            <w:tcW w:w="684" w:type="pct"/>
            <w:vAlign w:val="center"/>
          </w:tcPr>
          <w:p w14:paraId="2873A212"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7</w:t>
            </w:r>
          </w:p>
        </w:tc>
        <w:tc>
          <w:tcPr>
            <w:tcW w:w="580" w:type="pct"/>
            <w:vAlign w:val="center"/>
          </w:tcPr>
          <w:p w14:paraId="771D59F0"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3.02</w:t>
            </w:r>
          </w:p>
        </w:tc>
        <w:tc>
          <w:tcPr>
            <w:tcW w:w="580" w:type="pct"/>
            <w:vAlign w:val="center"/>
          </w:tcPr>
          <w:p w14:paraId="3C103E61"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1.67</w:t>
            </w:r>
          </w:p>
        </w:tc>
        <w:tc>
          <w:tcPr>
            <w:tcW w:w="580" w:type="pct"/>
            <w:vAlign w:val="center"/>
          </w:tcPr>
          <w:p w14:paraId="5635E22F"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-.48</w:t>
            </w:r>
          </w:p>
        </w:tc>
        <w:tc>
          <w:tcPr>
            <w:tcW w:w="599" w:type="pct"/>
            <w:vAlign w:val="center"/>
          </w:tcPr>
          <w:p w14:paraId="6C3301D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-.97</w:t>
            </w:r>
          </w:p>
        </w:tc>
      </w:tr>
      <w:tr w:rsidR="0099206E" w:rsidRPr="0099206E" w14:paraId="76CF6221" w14:textId="77777777" w:rsidTr="006B16F3">
        <w:tc>
          <w:tcPr>
            <w:tcW w:w="1977" w:type="pct"/>
            <w:tcBorders>
              <w:bottom w:val="single" w:sz="4" w:space="0" w:color="auto"/>
            </w:tcBorders>
            <w:vAlign w:val="center"/>
          </w:tcPr>
          <w:p w14:paraId="7F619668" w14:textId="77777777" w:rsidR="00580749" w:rsidRPr="0099206E" w:rsidRDefault="00580749" w:rsidP="006B16F3">
            <w:pPr>
              <w:pStyle w:val="BodyText"/>
              <w:spacing w:before="0" w:after="0" w:line="240" w:lineRule="auto"/>
              <w:ind w:firstLine="0"/>
              <w:rPr>
                <w:rFonts w:cs="Times New Roman"/>
                <w:szCs w:val="24"/>
              </w:rPr>
            </w:pPr>
          </w:p>
        </w:tc>
        <w:tc>
          <w:tcPr>
            <w:tcW w:w="684" w:type="pct"/>
            <w:tcBorders>
              <w:bottom w:val="single" w:sz="4" w:space="0" w:color="auto"/>
            </w:tcBorders>
            <w:vAlign w:val="center"/>
          </w:tcPr>
          <w:p w14:paraId="5DD41E06"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8</w:t>
            </w:r>
          </w:p>
        </w:tc>
        <w:tc>
          <w:tcPr>
            <w:tcW w:w="580" w:type="pct"/>
            <w:tcBorders>
              <w:bottom w:val="single" w:sz="4" w:space="0" w:color="auto"/>
            </w:tcBorders>
            <w:vAlign w:val="center"/>
          </w:tcPr>
          <w:p w14:paraId="2D90AAF7"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2.69</w:t>
            </w:r>
          </w:p>
        </w:tc>
        <w:tc>
          <w:tcPr>
            <w:tcW w:w="580" w:type="pct"/>
            <w:tcBorders>
              <w:bottom w:val="single" w:sz="4" w:space="0" w:color="auto"/>
            </w:tcBorders>
            <w:vAlign w:val="center"/>
          </w:tcPr>
          <w:p w14:paraId="21FB96F4"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1.67</w:t>
            </w:r>
          </w:p>
        </w:tc>
        <w:tc>
          <w:tcPr>
            <w:tcW w:w="580" w:type="pct"/>
            <w:tcBorders>
              <w:bottom w:val="single" w:sz="4" w:space="0" w:color="auto"/>
            </w:tcBorders>
            <w:vAlign w:val="center"/>
          </w:tcPr>
          <w:p w14:paraId="4BDAE49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-.23</w:t>
            </w:r>
          </w:p>
        </w:tc>
        <w:tc>
          <w:tcPr>
            <w:tcW w:w="599" w:type="pct"/>
            <w:tcBorders>
              <w:bottom w:val="single" w:sz="4" w:space="0" w:color="auto"/>
            </w:tcBorders>
            <w:vAlign w:val="center"/>
          </w:tcPr>
          <w:p w14:paraId="27800F15" w14:textId="77777777" w:rsidR="00580749" w:rsidRPr="0099206E" w:rsidRDefault="00580749" w:rsidP="006B16F3">
            <w:pPr>
              <w:pStyle w:val="BodyText"/>
              <w:spacing w:before="0" w:after="0" w:line="240" w:lineRule="auto"/>
              <w:ind w:firstLine="0"/>
              <w:jc w:val="center"/>
              <w:rPr>
                <w:rFonts w:cs="Times New Roman"/>
                <w:szCs w:val="24"/>
              </w:rPr>
            </w:pPr>
            <w:r w:rsidRPr="0099206E">
              <w:rPr>
                <w:rFonts w:cs="Times New Roman"/>
                <w:szCs w:val="24"/>
              </w:rPr>
              <w:t>-1.13</w:t>
            </w:r>
          </w:p>
        </w:tc>
      </w:tr>
    </w:tbl>
    <w:p w14:paraId="0CF49376" w14:textId="7C913C98" w:rsidR="00580749" w:rsidRPr="0099206E" w:rsidRDefault="00580749" w:rsidP="00580749">
      <w:pPr>
        <w:rPr>
          <w:rFonts w:ascii="Times New Roman" w:hAnsi="Times New Roman" w:cs="Times New Roman"/>
          <w:sz w:val="24"/>
          <w:szCs w:val="24"/>
        </w:rPr>
      </w:pPr>
      <w:r w:rsidRPr="0099206E">
        <w:rPr>
          <w:rFonts w:ascii="Times New Roman" w:hAnsi="Times New Roman" w:cs="Times New Roman"/>
          <w:sz w:val="24"/>
          <w:szCs w:val="24"/>
        </w:rPr>
        <w:t>Not</w:t>
      </w:r>
      <w:r w:rsidR="0099206E" w:rsidRPr="0099206E">
        <w:rPr>
          <w:rFonts w:ascii="Times New Roman" w:hAnsi="Times New Roman" w:cs="Times New Roman"/>
          <w:sz w:val="24"/>
          <w:szCs w:val="24"/>
        </w:rPr>
        <w:t>e</w:t>
      </w:r>
      <w:r w:rsidRPr="0099206E">
        <w:rPr>
          <w:rFonts w:ascii="Times New Roman" w:hAnsi="Times New Roman" w:cs="Times New Roman"/>
          <w:sz w:val="24"/>
          <w:szCs w:val="24"/>
        </w:rPr>
        <w:t xml:space="preserve">. </w:t>
      </w:r>
      <w:r w:rsidRPr="0099206E">
        <w:rPr>
          <w:rFonts w:ascii="Times New Roman" w:hAnsi="Times New Roman" w:cs="Times New Roman"/>
          <w:i/>
          <w:iCs/>
          <w:sz w:val="24"/>
          <w:szCs w:val="24"/>
        </w:rPr>
        <w:t>M</w:t>
      </w:r>
      <w:r w:rsidRPr="0099206E">
        <w:rPr>
          <w:rFonts w:ascii="Times New Roman" w:hAnsi="Times New Roman" w:cs="Times New Roman"/>
          <w:sz w:val="24"/>
          <w:szCs w:val="24"/>
        </w:rPr>
        <w:t xml:space="preserve">=Mean; </w:t>
      </w:r>
      <w:r w:rsidRPr="0099206E">
        <w:rPr>
          <w:rFonts w:ascii="Times New Roman" w:hAnsi="Times New Roman" w:cs="Times New Roman"/>
          <w:i/>
          <w:iCs/>
          <w:sz w:val="24"/>
          <w:szCs w:val="24"/>
        </w:rPr>
        <w:t>SD</w:t>
      </w:r>
      <w:r w:rsidRPr="0099206E">
        <w:rPr>
          <w:rFonts w:ascii="Times New Roman" w:hAnsi="Times New Roman" w:cs="Times New Roman"/>
          <w:sz w:val="24"/>
          <w:szCs w:val="24"/>
        </w:rPr>
        <w:t xml:space="preserve">=Standard Deviation; </w:t>
      </w:r>
      <w:r w:rsidRPr="0099206E">
        <w:rPr>
          <w:rFonts w:ascii="Times New Roman" w:hAnsi="Times New Roman" w:cs="Times New Roman"/>
          <w:i/>
          <w:iCs/>
          <w:sz w:val="24"/>
          <w:szCs w:val="24"/>
        </w:rPr>
        <w:t>g1</w:t>
      </w:r>
      <w:r w:rsidRPr="0099206E">
        <w:rPr>
          <w:rFonts w:ascii="Times New Roman" w:hAnsi="Times New Roman" w:cs="Times New Roman"/>
          <w:sz w:val="24"/>
          <w:szCs w:val="24"/>
        </w:rPr>
        <w:t>=</w:t>
      </w:r>
      <w:r w:rsidRPr="0099206E">
        <w:t xml:space="preserve"> </w:t>
      </w:r>
      <w:r w:rsidRPr="0099206E">
        <w:rPr>
          <w:rFonts w:ascii="Times New Roman" w:hAnsi="Times New Roman" w:cs="Times New Roman"/>
          <w:sz w:val="24"/>
          <w:szCs w:val="24"/>
        </w:rPr>
        <w:t xml:space="preserve">Skewness; </w:t>
      </w:r>
      <w:r w:rsidRPr="0099206E">
        <w:rPr>
          <w:rFonts w:ascii="Times New Roman" w:hAnsi="Times New Roman" w:cs="Times New Roman"/>
          <w:i/>
          <w:iCs/>
          <w:sz w:val="24"/>
          <w:szCs w:val="24"/>
        </w:rPr>
        <w:t>g2</w:t>
      </w:r>
      <w:r w:rsidRPr="0099206E">
        <w:rPr>
          <w:rFonts w:ascii="Times New Roman" w:hAnsi="Times New Roman" w:cs="Times New Roman"/>
          <w:sz w:val="24"/>
          <w:szCs w:val="24"/>
        </w:rPr>
        <w:t>=</w:t>
      </w:r>
      <w:r w:rsidRPr="0099206E">
        <w:t xml:space="preserve"> </w:t>
      </w:r>
      <w:r w:rsidRPr="0099206E">
        <w:rPr>
          <w:rFonts w:ascii="Times New Roman" w:hAnsi="Times New Roman" w:cs="Times New Roman"/>
          <w:sz w:val="24"/>
          <w:szCs w:val="24"/>
        </w:rPr>
        <w:t>Kurtosis;</w:t>
      </w:r>
    </w:p>
    <w:p w14:paraId="1DC9D8EE" w14:textId="77777777" w:rsidR="00580749" w:rsidRPr="00837443" w:rsidRDefault="00580749" w:rsidP="00580749">
      <w:pPr>
        <w:pStyle w:val="BodyText"/>
        <w:spacing w:before="0" w:after="0" w:line="360" w:lineRule="auto"/>
        <w:ind w:firstLine="0"/>
        <w:rPr>
          <w:rFonts w:cs="Times New Roman"/>
          <w:color w:val="FF0000"/>
          <w:szCs w:val="24"/>
        </w:rPr>
      </w:pPr>
    </w:p>
    <w:p w14:paraId="6393EBBD" w14:textId="77777777" w:rsidR="00580749" w:rsidRPr="00837443" w:rsidRDefault="00580749" w:rsidP="00580749">
      <w:pPr>
        <w:pStyle w:val="BodyText"/>
        <w:spacing w:before="0" w:after="0" w:line="360" w:lineRule="auto"/>
        <w:ind w:firstLine="0"/>
        <w:rPr>
          <w:rFonts w:cs="Times New Roman"/>
          <w:color w:val="FF0000"/>
          <w:szCs w:val="24"/>
        </w:rPr>
      </w:pPr>
    </w:p>
    <w:p w14:paraId="3CC7A43A" w14:textId="77777777" w:rsidR="00580749" w:rsidRPr="00837443" w:rsidRDefault="00580749" w:rsidP="00580749">
      <w:pPr>
        <w:pStyle w:val="BodyText"/>
        <w:spacing w:before="0" w:after="0" w:line="360" w:lineRule="auto"/>
        <w:ind w:firstLine="0"/>
        <w:rPr>
          <w:rFonts w:cs="Times New Roman"/>
          <w:color w:val="FF0000"/>
          <w:szCs w:val="24"/>
        </w:rPr>
      </w:pPr>
    </w:p>
    <w:p w14:paraId="51F4147E" w14:textId="77777777" w:rsidR="00580749" w:rsidRPr="00837443" w:rsidRDefault="00580749" w:rsidP="00580749">
      <w:pPr>
        <w:pStyle w:val="BodyText"/>
        <w:spacing w:before="0" w:after="0" w:line="360" w:lineRule="auto"/>
        <w:ind w:firstLine="0"/>
        <w:rPr>
          <w:rFonts w:cs="Times New Roman"/>
          <w:color w:val="FF0000"/>
          <w:szCs w:val="24"/>
        </w:rPr>
      </w:pPr>
    </w:p>
    <w:p w14:paraId="1BC3144C" w14:textId="77777777" w:rsidR="00580749" w:rsidRPr="00837443" w:rsidRDefault="00580749" w:rsidP="00580749">
      <w:pPr>
        <w:pStyle w:val="BodyText"/>
        <w:spacing w:before="0" w:after="0" w:line="360" w:lineRule="auto"/>
        <w:ind w:firstLine="0"/>
        <w:rPr>
          <w:rFonts w:cs="Times New Roman"/>
          <w:color w:val="FF0000"/>
          <w:szCs w:val="24"/>
        </w:rPr>
      </w:pPr>
    </w:p>
    <w:p w14:paraId="25EE5804" w14:textId="77777777" w:rsidR="00580749" w:rsidRPr="00837443" w:rsidRDefault="00580749" w:rsidP="00580749">
      <w:pPr>
        <w:pStyle w:val="BodyText"/>
        <w:spacing w:before="0" w:after="0" w:line="360" w:lineRule="auto"/>
        <w:ind w:firstLine="0"/>
        <w:rPr>
          <w:rFonts w:cs="Times New Roman"/>
          <w:color w:val="FF0000"/>
          <w:szCs w:val="24"/>
        </w:rPr>
      </w:pPr>
    </w:p>
    <w:p w14:paraId="43B351F7" w14:textId="77777777" w:rsidR="00580749" w:rsidRPr="00837443" w:rsidRDefault="00580749" w:rsidP="00580749">
      <w:pPr>
        <w:pStyle w:val="BodyText"/>
        <w:spacing w:before="0" w:after="0" w:line="360" w:lineRule="auto"/>
        <w:ind w:firstLine="0"/>
        <w:rPr>
          <w:rFonts w:cs="Times New Roman"/>
          <w:color w:val="FF0000"/>
          <w:szCs w:val="24"/>
        </w:rPr>
      </w:pPr>
    </w:p>
    <w:p w14:paraId="515C59A1" w14:textId="77777777" w:rsidR="00580749" w:rsidRPr="00837443" w:rsidRDefault="00580749" w:rsidP="00580749">
      <w:pPr>
        <w:pStyle w:val="BodyText"/>
        <w:spacing w:before="0" w:after="0" w:line="360" w:lineRule="auto"/>
        <w:ind w:firstLine="0"/>
        <w:rPr>
          <w:rFonts w:cs="Times New Roman"/>
          <w:color w:val="FF0000"/>
          <w:szCs w:val="24"/>
        </w:rPr>
        <w:sectPr w:rsidR="00580749" w:rsidRPr="00837443" w:rsidSect="00C46831">
          <w:pgSz w:w="11906" w:h="16838" w:code="9"/>
          <w:pgMar w:top="1418" w:right="1701" w:bottom="1418" w:left="1701" w:header="709" w:footer="709" w:gutter="0"/>
          <w:cols w:space="708"/>
          <w:docGrid w:linePitch="360"/>
        </w:sectPr>
      </w:pPr>
    </w:p>
    <w:p w14:paraId="5EE75AB7" w14:textId="26E42993" w:rsidR="00580749" w:rsidRPr="00E553E0" w:rsidRDefault="00580749" w:rsidP="00580749">
      <w:pPr>
        <w:pStyle w:val="BodyText"/>
        <w:spacing w:before="0" w:after="0" w:line="360" w:lineRule="auto"/>
        <w:ind w:firstLine="0"/>
        <w:rPr>
          <w:rFonts w:cs="Times New Roman"/>
          <w:szCs w:val="24"/>
        </w:rPr>
      </w:pPr>
      <w:r w:rsidRPr="00E553E0">
        <w:rPr>
          <w:rFonts w:cs="Times New Roman"/>
          <w:szCs w:val="24"/>
        </w:rPr>
        <w:lastRenderedPageBreak/>
        <w:t>Tabl</w:t>
      </w:r>
      <w:r w:rsidR="00E553E0" w:rsidRPr="00E553E0">
        <w:rPr>
          <w:rFonts w:cs="Times New Roman"/>
          <w:szCs w:val="24"/>
        </w:rPr>
        <w:t>e</w:t>
      </w:r>
      <w:r w:rsidRPr="00E553E0">
        <w:rPr>
          <w:rFonts w:cs="Times New Roman"/>
          <w:szCs w:val="24"/>
        </w:rPr>
        <w:t xml:space="preserve"> 3</w:t>
      </w:r>
    </w:p>
    <w:p w14:paraId="6C900787" w14:textId="641BC7E2" w:rsidR="00580749" w:rsidRPr="00E553E0" w:rsidRDefault="00E553E0" w:rsidP="00580749">
      <w:pPr>
        <w:pStyle w:val="BodyText"/>
        <w:spacing w:before="0" w:after="0" w:line="360" w:lineRule="auto"/>
        <w:ind w:firstLine="0"/>
        <w:rPr>
          <w:rFonts w:cs="Times New Roman"/>
          <w:i/>
          <w:szCs w:val="24"/>
        </w:rPr>
      </w:pPr>
      <w:r w:rsidRPr="00E553E0">
        <w:rPr>
          <w:rFonts w:cs="Times New Roman"/>
          <w:i/>
          <w:szCs w:val="24"/>
        </w:rPr>
        <w:t>Fit indices of different scale models in American countries.</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4"/>
        <w:gridCol w:w="2486"/>
        <w:gridCol w:w="1521"/>
        <w:gridCol w:w="787"/>
        <w:gridCol w:w="1101"/>
        <w:gridCol w:w="1101"/>
        <w:gridCol w:w="1101"/>
        <w:gridCol w:w="1537"/>
        <w:gridCol w:w="2694"/>
      </w:tblGrid>
      <w:tr w:rsidR="00E553E0" w:rsidRPr="00E553E0" w14:paraId="143A2171" w14:textId="77777777" w:rsidTr="006B16F3">
        <w:trPr>
          <w:trHeight w:val="317"/>
          <w:tblHeader/>
        </w:trPr>
        <w:tc>
          <w:tcPr>
            <w:tcW w:w="598" w:type="pct"/>
            <w:vMerge w:val="restart"/>
            <w:tcBorders>
              <w:top w:val="single" w:sz="4" w:space="0" w:color="auto"/>
              <w:bottom w:val="single" w:sz="4" w:space="0" w:color="auto"/>
            </w:tcBorders>
            <w:shd w:val="clear" w:color="auto" w:fill="auto"/>
            <w:vAlign w:val="center"/>
          </w:tcPr>
          <w:p w14:paraId="6C7DB935" w14:textId="1A1BA8B9"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Model</w:t>
            </w:r>
          </w:p>
        </w:tc>
        <w:tc>
          <w:tcPr>
            <w:tcW w:w="888" w:type="pct"/>
            <w:vMerge w:val="restart"/>
            <w:tcBorders>
              <w:top w:val="single" w:sz="4" w:space="0" w:color="auto"/>
              <w:bottom w:val="single" w:sz="4" w:space="0" w:color="auto"/>
            </w:tcBorders>
            <w:shd w:val="clear" w:color="auto" w:fill="auto"/>
            <w:vAlign w:val="center"/>
          </w:tcPr>
          <w:p w14:paraId="2E370723" w14:textId="636B1B86" w:rsidR="00580749" w:rsidRPr="00E553E0" w:rsidRDefault="00E553E0" w:rsidP="006B16F3">
            <w:pPr>
              <w:pStyle w:val="BodyText"/>
              <w:spacing w:before="0" w:after="0" w:line="276" w:lineRule="auto"/>
              <w:ind w:firstLine="0"/>
              <w:jc w:val="center"/>
              <w:rPr>
                <w:rFonts w:cs="Times New Roman"/>
                <w:sz w:val="22"/>
              </w:rPr>
            </w:pPr>
            <w:r w:rsidRPr="00E553E0">
              <w:rPr>
                <w:rFonts w:cs="Times New Roman"/>
                <w:sz w:val="22"/>
              </w:rPr>
              <w:t>Country</w:t>
            </w:r>
          </w:p>
        </w:tc>
        <w:tc>
          <w:tcPr>
            <w:tcW w:w="543" w:type="pct"/>
            <w:vMerge w:val="restart"/>
            <w:tcBorders>
              <w:top w:val="single" w:sz="4" w:space="0" w:color="auto"/>
              <w:bottom w:val="single" w:sz="4" w:space="0" w:color="auto"/>
            </w:tcBorders>
            <w:shd w:val="clear" w:color="auto" w:fill="auto"/>
            <w:vAlign w:val="center"/>
          </w:tcPr>
          <w:p w14:paraId="10199E50"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χ</w:t>
            </w:r>
            <w:r w:rsidRPr="00E553E0">
              <w:rPr>
                <w:rFonts w:cs="Times New Roman"/>
                <w:sz w:val="22"/>
                <w:vertAlign w:val="superscript"/>
              </w:rPr>
              <w:t>2</w:t>
            </w:r>
          </w:p>
        </w:tc>
        <w:tc>
          <w:tcPr>
            <w:tcW w:w="281" w:type="pct"/>
            <w:vMerge w:val="restart"/>
            <w:tcBorders>
              <w:top w:val="single" w:sz="4" w:space="0" w:color="auto"/>
              <w:bottom w:val="single" w:sz="4" w:space="0" w:color="auto"/>
            </w:tcBorders>
            <w:shd w:val="clear" w:color="auto" w:fill="auto"/>
            <w:vAlign w:val="center"/>
          </w:tcPr>
          <w:p w14:paraId="41DB1950"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df</w:t>
            </w:r>
          </w:p>
        </w:tc>
        <w:tc>
          <w:tcPr>
            <w:tcW w:w="393" w:type="pct"/>
            <w:vMerge w:val="restart"/>
            <w:tcBorders>
              <w:top w:val="single" w:sz="4" w:space="0" w:color="auto"/>
              <w:bottom w:val="single" w:sz="4" w:space="0" w:color="auto"/>
            </w:tcBorders>
            <w:shd w:val="clear" w:color="auto" w:fill="auto"/>
            <w:vAlign w:val="center"/>
          </w:tcPr>
          <w:p w14:paraId="0D66D906"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i/>
                <w:iCs/>
                <w:sz w:val="22"/>
              </w:rPr>
              <w:t>p</w:t>
            </w:r>
          </w:p>
        </w:tc>
        <w:tc>
          <w:tcPr>
            <w:tcW w:w="393" w:type="pct"/>
            <w:vMerge w:val="restart"/>
            <w:tcBorders>
              <w:top w:val="single" w:sz="4" w:space="0" w:color="auto"/>
              <w:bottom w:val="single" w:sz="4" w:space="0" w:color="auto"/>
            </w:tcBorders>
            <w:shd w:val="clear" w:color="auto" w:fill="auto"/>
            <w:vAlign w:val="center"/>
          </w:tcPr>
          <w:p w14:paraId="3DA06F2E"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CFI</w:t>
            </w:r>
          </w:p>
        </w:tc>
        <w:tc>
          <w:tcPr>
            <w:tcW w:w="393" w:type="pct"/>
            <w:vMerge w:val="restart"/>
            <w:tcBorders>
              <w:top w:val="single" w:sz="4" w:space="0" w:color="auto"/>
              <w:bottom w:val="single" w:sz="4" w:space="0" w:color="auto"/>
            </w:tcBorders>
            <w:shd w:val="clear" w:color="auto" w:fill="auto"/>
            <w:vAlign w:val="center"/>
          </w:tcPr>
          <w:p w14:paraId="4ED613CC"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TLI</w:t>
            </w:r>
          </w:p>
        </w:tc>
        <w:tc>
          <w:tcPr>
            <w:tcW w:w="549" w:type="pct"/>
            <w:vMerge w:val="restart"/>
            <w:tcBorders>
              <w:top w:val="single" w:sz="4" w:space="0" w:color="auto"/>
              <w:bottom w:val="single" w:sz="4" w:space="0" w:color="auto"/>
            </w:tcBorders>
            <w:shd w:val="clear" w:color="auto" w:fill="auto"/>
            <w:vAlign w:val="center"/>
          </w:tcPr>
          <w:p w14:paraId="05C25C05"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SRMR</w:t>
            </w:r>
          </w:p>
        </w:tc>
        <w:tc>
          <w:tcPr>
            <w:tcW w:w="962" w:type="pct"/>
            <w:vMerge w:val="restart"/>
            <w:tcBorders>
              <w:top w:val="single" w:sz="4" w:space="0" w:color="auto"/>
              <w:bottom w:val="single" w:sz="4" w:space="0" w:color="auto"/>
            </w:tcBorders>
            <w:shd w:val="clear" w:color="auto" w:fill="auto"/>
            <w:vAlign w:val="center"/>
          </w:tcPr>
          <w:p w14:paraId="0C50D64E"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RMSEA [90%CI]</w:t>
            </w:r>
          </w:p>
        </w:tc>
      </w:tr>
      <w:tr w:rsidR="00E553E0" w:rsidRPr="00E553E0" w14:paraId="5612DC1E" w14:textId="77777777" w:rsidTr="006B16F3">
        <w:trPr>
          <w:trHeight w:val="317"/>
          <w:tblHeader/>
        </w:trPr>
        <w:tc>
          <w:tcPr>
            <w:tcW w:w="598" w:type="pct"/>
            <w:vMerge/>
            <w:tcBorders>
              <w:bottom w:val="single" w:sz="4" w:space="0" w:color="auto"/>
            </w:tcBorders>
            <w:shd w:val="clear" w:color="auto" w:fill="auto"/>
            <w:vAlign w:val="center"/>
          </w:tcPr>
          <w:p w14:paraId="15219AE2" w14:textId="77777777" w:rsidR="00580749" w:rsidRPr="00E553E0" w:rsidRDefault="00580749" w:rsidP="006B16F3">
            <w:pPr>
              <w:pStyle w:val="BodyText"/>
              <w:spacing w:before="0" w:after="0" w:line="276" w:lineRule="auto"/>
              <w:ind w:firstLine="0"/>
              <w:jc w:val="center"/>
              <w:rPr>
                <w:rFonts w:cs="Times New Roman"/>
                <w:sz w:val="22"/>
              </w:rPr>
            </w:pPr>
          </w:p>
        </w:tc>
        <w:tc>
          <w:tcPr>
            <w:tcW w:w="888" w:type="pct"/>
            <w:vMerge/>
            <w:tcBorders>
              <w:bottom w:val="single" w:sz="4" w:space="0" w:color="auto"/>
            </w:tcBorders>
            <w:shd w:val="clear" w:color="auto" w:fill="auto"/>
            <w:vAlign w:val="center"/>
          </w:tcPr>
          <w:p w14:paraId="453F97BC" w14:textId="77777777" w:rsidR="00580749" w:rsidRPr="00E553E0" w:rsidRDefault="00580749" w:rsidP="006B16F3">
            <w:pPr>
              <w:pStyle w:val="BodyText"/>
              <w:spacing w:before="0" w:after="0" w:line="276" w:lineRule="auto"/>
              <w:ind w:firstLine="0"/>
              <w:jc w:val="center"/>
              <w:rPr>
                <w:rFonts w:cs="Times New Roman"/>
                <w:sz w:val="22"/>
              </w:rPr>
            </w:pPr>
          </w:p>
        </w:tc>
        <w:tc>
          <w:tcPr>
            <w:tcW w:w="543" w:type="pct"/>
            <w:vMerge/>
            <w:tcBorders>
              <w:bottom w:val="single" w:sz="4" w:space="0" w:color="auto"/>
            </w:tcBorders>
            <w:shd w:val="clear" w:color="auto" w:fill="auto"/>
            <w:vAlign w:val="center"/>
          </w:tcPr>
          <w:p w14:paraId="33ACD3A6" w14:textId="77777777" w:rsidR="00580749" w:rsidRPr="00E553E0" w:rsidRDefault="00580749" w:rsidP="006B16F3">
            <w:pPr>
              <w:pStyle w:val="BodyText"/>
              <w:spacing w:before="0" w:after="0" w:line="276" w:lineRule="auto"/>
              <w:ind w:firstLine="0"/>
              <w:jc w:val="center"/>
              <w:rPr>
                <w:rFonts w:cs="Times New Roman"/>
                <w:sz w:val="22"/>
              </w:rPr>
            </w:pPr>
          </w:p>
        </w:tc>
        <w:tc>
          <w:tcPr>
            <w:tcW w:w="281" w:type="pct"/>
            <w:vMerge/>
            <w:tcBorders>
              <w:bottom w:val="single" w:sz="4" w:space="0" w:color="auto"/>
            </w:tcBorders>
            <w:shd w:val="clear" w:color="auto" w:fill="auto"/>
            <w:vAlign w:val="center"/>
          </w:tcPr>
          <w:p w14:paraId="084064AB" w14:textId="77777777" w:rsidR="00580749" w:rsidRPr="00E553E0" w:rsidRDefault="00580749" w:rsidP="006B16F3">
            <w:pPr>
              <w:pStyle w:val="BodyText"/>
              <w:spacing w:before="0" w:after="0" w:line="276" w:lineRule="auto"/>
              <w:ind w:firstLine="0"/>
              <w:jc w:val="center"/>
              <w:rPr>
                <w:rFonts w:cs="Times New Roman"/>
                <w:sz w:val="22"/>
              </w:rPr>
            </w:pPr>
          </w:p>
        </w:tc>
        <w:tc>
          <w:tcPr>
            <w:tcW w:w="393" w:type="pct"/>
            <w:vMerge/>
            <w:tcBorders>
              <w:bottom w:val="single" w:sz="4" w:space="0" w:color="auto"/>
            </w:tcBorders>
            <w:shd w:val="clear" w:color="auto" w:fill="auto"/>
            <w:vAlign w:val="center"/>
          </w:tcPr>
          <w:p w14:paraId="2962B409" w14:textId="77777777" w:rsidR="00580749" w:rsidRPr="00E553E0" w:rsidRDefault="00580749" w:rsidP="006B16F3">
            <w:pPr>
              <w:pStyle w:val="BodyText"/>
              <w:spacing w:before="0" w:after="0" w:line="276" w:lineRule="auto"/>
              <w:ind w:firstLine="0"/>
              <w:jc w:val="center"/>
              <w:rPr>
                <w:rFonts w:cs="Times New Roman"/>
                <w:i/>
                <w:iCs/>
                <w:sz w:val="22"/>
              </w:rPr>
            </w:pPr>
          </w:p>
        </w:tc>
        <w:tc>
          <w:tcPr>
            <w:tcW w:w="393" w:type="pct"/>
            <w:vMerge/>
            <w:tcBorders>
              <w:bottom w:val="single" w:sz="4" w:space="0" w:color="auto"/>
            </w:tcBorders>
            <w:shd w:val="clear" w:color="auto" w:fill="auto"/>
            <w:vAlign w:val="center"/>
          </w:tcPr>
          <w:p w14:paraId="4AA194C9" w14:textId="77777777" w:rsidR="00580749" w:rsidRPr="00E553E0" w:rsidRDefault="00580749" w:rsidP="006B16F3">
            <w:pPr>
              <w:pStyle w:val="BodyText"/>
              <w:spacing w:before="0" w:after="0" w:line="276" w:lineRule="auto"/>
              <w:ind w:firstLine="0"/>
              <w:jc w:val="center"/>
              <w:rPr>
                <w:rFonts w:cs="Times New Roman"/>
                <w:sz w:val="22"/>
              </w:rPr>
            </w:pPr>
          </w:p>
        </w:tc>
        <w:tc>
          <w:tcPr>
            <w:tcW w:w="393" w:type="pct"/>
            <w:vMerge/>
            <w:tcBorders>
              <w:bottom w:val="single" w:sz="4" w:space="0" w:color="auto"/>
            </w:tcBorders>
            <w:shd w:val="clear" w:color="auto" w:fill="auto"/>
            <w:vAlign w:val="center"/>
          </w:tcPr>
          <w:p w14:paraId="33D5C2DB" w14:textId="77777777" w:rsidR="00580749" w:rsidRPr="00E553E0" w:rsidRDefault="00580749" w:rsidP="006B16F3">
            <w:pPr>
              <w:pStyle w:val="BodyText"/>
              <w:spacing w:before="0" w:after="0" w:line="276" w:lineRule="auto"/>
              <w:ind w:firstLine="0"/>
              <w:jc w:val="center"/>
              <w:rPr>
                <w:rFonts w:cs="Times New Roman"/>
                <w:sz w:val="22"/>
              </w:rPr>
            </w:pPr>
          </w:p>
        </w:tc>
        <w:tc>
          <w:tcPr>
            <w:tcW w:w="549" w:type="pct"/>
            <w:vMerge/>
            <w:tcBorders>
              <w:bottom w:val="single" w:sz="4" w:space="0" w:color="auto"/>
            </w:tcBorders>
            <w:shd w:val="clear" w:color="auto" w:fill="auto"/>
            <w:vAlign w:val="center"/>
          </w:tcPr>
          <w:p w14:paraId="2AA10B40" w14:textId="77777777" w:rsidR="00580749" w:rsidRPr="00E553E0" w:rsidRDefault="00580749" w:rsidP="006B16F3">
            <w:pPr>
              <w:pStyle w:val="BodyText"/>
              <w:spacing w:before="0" w:after="0" w:line="276" w:lineRule="auto"/>
              <w:ind w:firstLine="0"/>
              <w:jc w:val="center"/>
              <w:rPr>
                <w:rFonts w:cs="Times New Roman"/>
                <w:sz w:val="22"/>
              </w:rPr>
            </w:pPr>
          </w:p>
        </w:tc>
        <w:tc>
          <w:tcPr>
            <w:tcW w:w="962" w:type="pct"/>
            <w:vMerge/>
            <w:tcBorders>
              <w:bottom w:val="single" w:sz="4" w:space="0" w:color="auto"/>
            </w:tcBorders>
            <w:shd w:val="clear" w:color="auto" w:fill="auto"/>
            <w:vAlign w:val="center"/>
          </w:tcPr>
          <w:p w14:paraId="7F3958DC" w14:textId="77777777" w:rsidR="00580749" w:rsidRPr="00E553E0" w:rsidRDefault="00580749" w:rsidP="006B16F3">
            <w:pPr>
              <w:pStyle w:val="BodyText"/>
              <w:spacing w:before="0" w:after="0" w:line="276" w:lineRule="auto"/>
              <w:ind w:firstLine="0"/>
              <w:jc w:val="center"/>
              <w:rPr>
                <w:rFonts w:cs="Times New Roman"/>
                <w:sz w:val="22"/>
              </w:rPr>
            </w:pPr>
          </w:p>
        </w:tc>
      </w:tr>
      <w:tr w:rsidR="00E553E0" w:rsidRPr="00E553E0" w14:paraId="34C85366" w14:textId="77777777" w:rsidTr="006B16F3">
        <w:tc>
          <w:tcPr>
            <w:tcW w:w="598" w:type="pct"/>
            <w:tcBorders>
              <w:top w:val="single" w:sz="4" w:space="0" w:color="auto"/>
            </w:tcBorders>
            <w:shd w:val="clear" w:color="auto" w:fill="auto"/>
            <w:vAlign w:val="center"/>
          </w:tcPr>
          <w:p w14:paraId="2C934FD4"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w:t>
            </w:r>
          </w:p>
        </w:tc>
        <w:tc>
          <w:tcPr>
            <w:tcW w:w="888" w:type="pct"/>
            <w:tcBorders>
              <w:top w:val="single" w:sz="4" w:space="0" w:color="auto"/>
            </w:tcBorders>
            <w:shd w:val="clear" w:color="auto" w:fill="auto"/>
            <w:vAlign w:val="center"/>
          </w:tcPr>
          <w:p w14:paraId="2A6A4532" w14:textId="77777777" w:rsidR="00580749" w:rsidRPr="00E553E0" w:rsidRDefault="00580749" w:rsidP="006B16F3">
            <w:pPr>
              <w:pStyle w:val="BodyText"/>
              <w:spacing w:before="0" w:after="0" w:line="276" w:lineRule="auto"/>
              <w:ind w:firstLine="0"/>
              <w:rPr>
                <w:rFonts w:cs="Times New Roman"/>
                <w:sz w:val="22"/>
              </w:rPr>
            </w:pPr>
            <w:r w:rsidRPr="00E553E0">
              <w:rPr>
                <w:rFonts w:cs="Times New Roman"/>
                <w:sz w:val="22"/>
              </w:rPr>
              <w:t>Ecuador (7)</w:t>
            </w:r>
          </w:p>
        </w:tc>
        <w:tc>
          <w:tcPr>
            <w:tcW w:w="543" w:type="pct"/>
            <w:tcBorders>
              <w:top w:val="single" w:sz="4" w:space="0" w:color="auto"/>
            </w:tcBorders>
            <w:shd w:val="clear" w:color="auto" w:fill="auto"/>
            <w:vAlign w:val="center"/>
          </w:tcPr>
          <w:p w14:paraId="49ED4616"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42.68</w:t>
            </w:r>
          </w:p>
        </w:tc>
        <w:tc>
          <w:tcPr>
            <w:tcW w:w="281" w:type="pct"/>
            <w:tcBorders>
              <w:top w:val="single" w:sz="4" w:space="0" w:color="auto"/>
            </w:tcBorders>
            <w:shd w:val="clear" w:color="auto" w:fill="auto"/>
            <w:vAlign w:val="center"/>
          </w:tcPr>
          <w:p w14:paraId="2EA6994D"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14</w:t>
            </w:r>
          </w:p>
        </w:tc>
        <w:tc>
          <w:tcPr>
            <w:tcW w:w="393" w:type="pct"/>
            <w:tcBorders>
              <w:top w:val="single" w:sz="4" w:space="0" w:color="auto"/>
            </w:tcBorders>
            <w:shd w:val="clear" w:color="auto" w:fill="auto"/>
            <w:vAlign w:val="center"/>
          </w:tcPr>
          <w:p w14:paraId="4853FA9C"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&lt; .001</w:t>
            </w:r>
          </w:p>
        </w:tc>
        <w:tc>
          <w:tcPr>
            <w:tcW w:w="393" w:type="pct"/>
            <w:tcBorders>
              <w:top w:val="single" w:sz="4" w:space="0" w:color="auto"/>
            </w:tcBorders>
            <w:shd w:val="clear" w:color="auto" w:fill="auto"/>
            <w:vAlign w:val="center"/>
          </w:tcPr>
          <w:p w14:paraId="58C21221"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.98</w:t>
            </w:r>
          </w:p>
        </w:tc>
        <w:tc>
          <w:tcPr>
            <w:tcW w:w="393" w:type="pct"/>
            <w:tcBorders>
              <w:top w:val="single" w:sz="4" w:space="0" w:color="auto"/>
            </w:tcBorders>
            <w:shd w:val="clear" w:color="auto" w:fill="auto"/>
            <w:vAlign w:val="center"/>
          </w:tcPr>
          <w:p w14:paraId="283E6590"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.96</w:t>
            </w:r>
          </w:p>
        </w:tc>
        <w:tc>
          <w:tcPr>
            <w:tcW w:w="549" w:type="pct"/>
            <w:tcBorders>
              <w:top w:val="single" w:sz="4" w:space="0" w:color="auto"/>
            </w:tcBorders>
            <w:shd w:val="clear" w:color="auto" w:fill="auto"/>
            <w:vAlign w:val="center"/>
          </w:tcPr>
          <w:p w14:paraId="7CCB1C87"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.019</w:t>
            </w:r>
          </w:p>
        </w:tc>
        <w:tc>
          <w:tcPr>
            <w:tcW w:w="962" w:type="pct"/>
            <w:tcBorders>
              <w:top w:val="single" w:sz="4" w:space="0" w:color="auto"/>
            </w:tcBorders>
            <w:shd w:val="clear" w:color="auto" w:fill="auto"/>
          </w:tcPr>
          <w:p w14:paraId="1712515E"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.092 [.061 – .124]</w:t>
            </w:r>
          </w:p>
        </w:tc>
      </w:tr>
      <w:tr w:rsidR="00E553E0" w:rsidRPr="00E553E0" w14:paraId="2CB4DCF9" w14:textId="77777777" w:rsidTr="006B16F3">
        <w:tc>
          <w:tcPr>
            <w:tcW w:w="598" w:type="pct"/>
            <w:shd w:val="clear" w:color="auto" w:fill="auto"/>
            <w:vAlign w:val="center"/>
          </w:tcPr>
          <w:p w14:paraId="04343824" w14:textId="77777777" w:rsidR="00580749" w:rsidRPr="00E553E0" w:rsidRDefault="00580749" w:rsidP="006B16F3">
            <w:pPr>
              <w:pStyle w:val="BodyText"/>
              <w:spacing w:before="0" w:after="0" w:line="276" w:lineRule="auto"/>
              <w:ind w:firstLine="0"/>
              <w:jc w:val="center"/>
              <w:rPr>
                <w:rFonts w:cs="Times New Roman"/>
                <w:sz w:val="22"/>
              </w:rPr>
            </w:pPr>
          </w:p>
        </w:tc>
        <w:tc>
          <w:tcPr>
            <w:tcW w:w="888" w:type="pct"/>
            <w:shd w:val="clear" w:color="auto" w:fill="auto"/>
            <w:vAlign w:val="center"/>
          </w:tcPr>
          <w:p w14:paraId="625A6683" w14:textId="77777777" w:rsidR="00580749" w:rsidRPr="00E553E0" w:rsidRDefault="00580749" w:rsidP="006B16F3">
            <w:pPr>
              <w:pStyle w:val="BodyText"/>
              <w:spacing w:before="0" w:after="0" w:line="276" w:lineRule="auto"/>
              <w:ind w:firstLine="0"/>
              <w:rPr>
                <w:rFonts w:cs="Times New Roman"/>
                <w:sz w:val="22"/>
              </w:rPr>
            </w:pPr>
            <w:r w:rsidRPr="00E553E0">
              <w:rPr>
                <w:rFonts w:cs="Times New Roman"/>
                <w:sz w:val="22"/>
              </w:rPr>
              <w:t>Colombia (8)</w:t>
            </w:r>
          </w:p>
        </w:tc>
        <w:tc>
          <w:tcPr>
            <w:tcW w:w="543" w:type="pct"/>
            <w:shd w:val="clear" w:color="auto" w:fill="auto"/>
            <w:vAlign w:val="center"/>
          </w:tcPr>
          <w:p w14:paraId="411B9A96"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70.07</w:t>
            </w:r>
          </w:p>
        </w:tc>
        <w:tc>
          <w:tcPr>
            <w:tcW w:w="281" w:type="pct"/>
            <w:shd w:val="clear" w:color="auto" w:fill="auto"/>
            <w:vAlign w:val="center"/>
          </w:tcPr>
          <w:p w14:paraId="5B065504"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14</w:t>
            </w:r>
          </w:p>
        </w:tc>
        <w:tc>
          <w:tcPr>
            <w:tcW w:w="393" w:type="pct"/>
            <w:shd w:val="clear" w:color="auto" w:fill="auto"/>
            <w:vAlign w:val="center"/>
          </w:tcPr>
          <w:p w14:paraId="1CF86335"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&lt; .001</w:t>
            </w:r>
          </w:p>
        </w:tc>
        <w:tc>
          <w:tcPr>
            <w:tcW w:w="393" w:type="pct"/>
            <w:shd w:val="clear" w:color="auto" w:fill="auto"/>
            <w:vAlign w:val="center"/>
          </w:tcPr>
          <w:p w14:paraId="00029930"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.98</w:t>
            </w:r>
          </w:p>
        </w:tc>
        <w:tc>
          <w:tcPr>
            <w:tcW w:w="393" w:type="pct"/>
            <w:shd w:val="clear" w:color="auto" w:fill="auto"/>
            <w:vAlign w:val="center"/>
          </w:tcPr>
          <w:p w14:paraId="7EBB6B00"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.95</w:t>
            </w:r>
          </w:p>
        </w:tc>
        <w:tc>
          <w:tcPr>
            <w:tcW w:w="549" w:type="pct"/>
            <w:shd w:val="clear" w:color="auto" w:fill="auto"/>
            <w:vAlign w:val="center"/>
          </w:tcPr>
          <w:p w14:paraId="7704D16A"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.020</w:t>
            </w:r>
          </w:p>
        </w:tc>
        <w:tc>
          <w:tcPr>
            <w:tcW w:w="962" w:type="pct"/>
            <w:shd w:val="clear" w:color="auto" w:fill="auto"/>
            <w:vAlign w:val="center"/>
          </w:tcPr>
          <w:p w14:paraId="0EE2C539"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.096 [.074 – .118]</w:t>
            </w:r>
          </w:p>
        </w:tc>
      </w:tr>
      <w:tr w:rsidR="00E553E0" w:rsidRPr="00E553E0" w14:paraId="1F6DC26A" w14:textId="77777777" w:rsidTr="006B16F3">
        <w:tc>
          <w:tcPr>
            <w:tcW w:w="598" w:type="pct"/>
            <w:shd w:val="clear" w:color="auto" w:fill="auto"/>
            <w:vAlign w:val="center"/>
          </w:tcPr>
          <w:p w14:paraId="318DF7F4" w14:textId="77777777" w:rsidR="00580749" w:rsidRPr="00E553E0" w:rsidRDefault="00580749" w:rsidP="006B16F3">
            <w:pPr>
              <w:pStyle w:val="BodyText"/>
              <w:spacing w:before="0" w:after="0" w:line="276" w:lineRule="auto"/>
              <w:ind w:firstLine="0"/>
              <w:jc w:val="center"/>
              <w:rPr>
                <w:rFonts w:cs="Times New Roman"/>
                <w:sz w:val="22"/>
              </w:rPr>
            </w:pPr>
          </w:p>
        </w:tc>
        <w:tc>
          <w:tcPr>
            <w:tcW w:w="888" w:type="pct"/>
            <w:shd w:val="clear" w:color="auto" w:fill="auto"/>
            <w:vAlign w:val="center"/>
          </w:tcPr>
          <w:p w14:paraId="2E6E07A9" w14:textId="32A81003" w:rsidR="00580749" w:rsidRPr="00E553E0" w:rsidRDefault="00580749" w:rsidP="006B16F3">
            <w:pPr>
              <w:pStyle w:val="BodyText"/>
              <w:spacing w:before="0" w:after="0" w:line="276" w:lineRule="auto"/>
              <w:ind w:firstLine="0"/>
              <w:rPr>
                <w:rFonts w:cs="Times New Roman"/>
                <w:sz w:val="22"/>
              </w:rPr>
            </w:pPr>
            <w:r w:rsidRPr="00E553E0">
              <w:rPr>
                <w:rFonts w:cs="Times New Roman"/>
                <w:sz w:val="22"/>
              </w:rPr>
              <w:t>Per</w:t>
            </w:r>
            <w:r w:rsidR="00E553E0" w:rsidRPr="00E553E0">
              <w:rPr>
                <w:rFonts w:cs="Times New Roman"/>
                <w:sz w:val="22"/>
              </w:rPr>
              <w:t xml:space="preserve">u </w:t>
            </w:r>
            <w:r w:rsidRPr="00E553E0">
              <w:rPr>
                <w:rFonts w:cs="Times New Roman"/>
                <w:sz w:val="22"/>
              </w:rPr>
              <w:t>(9)</w:t>
            </w:r>
          </w:p>
        </w:tc>
        <w:tc>
          <w:tcPr>
            <w:tcW w:w="543" w:type="pct"/>
            <w:shd w:val="clear" w:color="auto" w:fill="auto"/>
            <w:vAlign w:val="center"/>
          </w:tcPr>
          <w:p w14:paraId="4E28A4D4"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38.63</w:t>
            </w:r>
          </w:p>
        </w:tc>
        <w:tc>
          <w:tcPr>
            <w:tcW w:w="281" w:type="pct"/>
            <w:shd w:val="clear" w:color="auto" w:fill="auto"/>
            <w:vAlign w:val="center"/>
          </w:tcPr>
          <w:p w14:paraId="084828F8"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14</w:t>
            </w:r>
          </w:p>
        </w:tc>
        <w:tc>
          <w:tcPr>
            <w:tcW w:w="393" w:type="pct"/>
            <w:shd w:val="clear" w:color="auto" w:fill="auto"/>
            <w:vAlign w:val="center"/>
          </w:tcPr>
          <w:p w14:paraId="53585E4D"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&lt; .001</w:t>
            </w:r>
          </w:p>
        </w:tc>
        <w:tc>
          <w:tcPr>
            <w:tcW w:w="393" w:type="pct"/>
            <w:shd w:val="clear" w:color="auto" w:fill="auto"/>
            <w:vAlign w:val="center"/>
          </w:tcPr>
          <w:p w14:paraId="00269042"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.98</w:t>
            </w:r>
          </w:p>
        </w:tc>
        <w:tc>
          <w:tcPr>
            <w:tcW w:w="393" w:type="pct"/>
            <w:shd w:val="clear" w:color="auto" w:fill="auto"/>
            <w:vAlign w:val="center"/>
          </w:tcPr>
          <w:p w14:paraId="6278F71C"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.96</w:t>
            </w:r>
          </w:p>
        </w:tc>
        <w:tc>
          <w:tcPr>
            <w:tcW w:w="549" w:type="pct"/>
            <w:shd w:val="clear" w:color="auto" w:fill="auto"/>
            <w:vAlign w:val="center"/>
          </w:tcPr>
          <w:p w14:paraId="55ACE3C9"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.020</w:t>
            </w:r>
          </w:p>
        </w:tc>
        <w:tc>
          <w:tcPr>
            <w:tcW w:w="962" w:type="pct"/>
            <w:shd w:val="clear" w:color="auto" w:fill="auto"/>
          </w:tcPr>
          <w:p w14:paraId="64AB6C7C"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.087 [.055 – .121]</w:t>
            </w:r>
          </w:p>
        </w:tc>
      </w:tr>
      <w:tr w:rsidR="00E553E0" w:rsidRPr="00E553E0" w14:paraId="0723DAA8" w14:textId="77777777" w:rsidTr="006B16F3">
        <w:tc>
          <w:tcPr>
            <w:tcW w:w="598" w:type="pct"/>
            <w:tcBorders>
              <w:bottom w:val="single" w:sz="4" w:space="0" w:color="auto"/>
            </w:tcBorders>
            <w:shd w:val="clear" w:color="auto" w:fill="auto"/>
            <w:vAlign w:val="center"/>
          </w:tcPr>
          <w:p w14:paraId="50C82F87" w14:textId="77777777" w:rsidR="00580749" w:rsidRPr="00E553E0" w:rsidRDefault="00580749" w:rsidP="006B16F3">
            <w:pPr>
              <w:pStyle w:val="BodyText"/>
              <w:spacing w:before="0" w:after="0" w:line="276" w:lineRule="auto"/>
              <w:ind w:firstLine="0"/>
              <w:jc w:val="center"/>
              <w:rPr>
                <w:rFonts w:cs="Times New Roman"/>
                <w:sz w:val="22"/>
              </w:rPr>
            </w:pPr>
          </w:p>
        </w:tc>
        <w:tc>
          <w:tcPr>
            <w:tcW w:w="888" w:type="pct"/>
            <w:tcBorders>
              <w:bottom w:val="single" w:sz="4" w:space="0" w:color="auto"/>
            </w:tcBorders>
            <w:shd w:val="clear" w:color="auto" w:fill="auto"/>
            <w:vAlign w:val="center"/>
          </w:tcPr>
          <w:p w14:paraId="2AD431C6" w14:textId="77777777" w:rsidR="00580749" w:rsidRPr="00E553E0" w:rsidRDefault="00580749" w:rsidP="006B16F3">
            <w:pPr>
              <w:pStyle w:val="BodyText"/>
              <w:spacing w:before="0" w:after="0" w:line="276" w:lineRule="auto"/>
              <w:ind w:firstLine="0"/>
              <w:rPr>
                <w:rFonts w:cs="Times New Roman"/>
                <w:sz w:val="22"/>
              </w:rPr>
            </w:pPr>
            <w:r w:rsidRPr="00E553E0">
              <w:rPr>
                <w:rFonts w:cs="Times New Roman"/>
                <w:sz w:val="22"/>
              </w:rPr>
              <w:t>Bolivia (14)</w:t>
            </w:r>
          </w:p>
        </w:tc>
        <w:tc>
          <w:tcPr>
            <w:tcW w:w="543" w:type="pct"/>
            <w:tcBorders>
              <w:bottom w:val="single" w:sz="4" w:space="0" w:color="auto"/>
            </w:tcBorders>
            <w:shd w:val="clear" w:color="auto" w:fill="auto"/>
            <w:vAlign w:val="center"/>
          </w:tcPr>
          <w:p w14:paraId="298649B4"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17.20</w:t>
            </w:r>
          </w:p>
        </w:tc>
        <w:tc>
          <w:tcPr>
            <w:tcW w:w="281" w:type="pct"/>
            <w:tcBorders>
              <w:bottom w:val="single" w:sz="4" w:space="0" w:color="auto"/>
            </w:tcBorders>
            <w:shd w:val="clear" w:color="auto" w:fill="auto"/>
            <w:vAlign w:val="center"/>
          </w:tcPr>
          <w:p w14:paraId="1FC650E4"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14</w:t>
            </w:r>
          </w:p>
        </w:tc>
        <w:tc>
          <w:tcPr>
            <w:tcW w:w="393" w:type="pct"/>
            <w:tcBorders>
              <w:bottom w:val="single" w:sz="4" w:space="0" w:color="auto"/>
            </w:tcBorders>
            <w:shd w:val="clear" w:color="auto" w:fill="auto"/>
            <w:vAlign w:val="center"/>
          </w:tcPr>
          <w:p w14:paraId="1619EDC8"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.245</w:t>
            </w:r>
          </w:p>
        </w:tc>
        <w:tc>
          <w:tcPr>
            <w:tcW w:w="393" w:type="pct"/>
            <w:tcBorders>
              <w:bottom w:val="single" w:sz="4" w:space="0" w:color="auto"/>
            </w:tcBorders>
            <w:shd w:val="clear" w:color="auto" w:fill="auto"/>
            <w:vAlign w:val="center"/>
          </w:tcPr>
          <w:p w14:paraId="7BC3D8E9"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.99</w:t>
            </w:r>
          </w:p>
        </w:tc>
        <w:tc>
          <w:tcPr>
            <w:tcW w:w="393" w:type="pct"/>
            <w:tcBorders>
              <w:bottom w:val="single" w:sz="4" w:space="0" w:color="auto"/>
            </w:tcBorders>
            <w:shd w:val="clear" w:color="auto" w:fill="auto"/>
            <w:vAlign w:val="center"/>
          </w:tcPr>
          <w:p w14:paraId="236558E2"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.99</w:t>
            </w:r>
          </w:p>
        </w:tc>
        <w:tc>
          <w:tcPr>
            <w:tcW w:w="549" w:type="pct"/>
            <w:tcBorders>
              <w:bottom w:val="single" w:sz="4" w:space="0" w:color="auto"/>
            </w:tcBorders>
            <w:shd w:val="clear" w:color="auto" w:fill="auto"/>
            <w:vAlign w:val="center"/>
          </w:tcPr>
          <w:p w14:paraId="020FA1DC"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.018</w:t>
            </w:r>
          </w:p>
        </w:tc>
        <w:tc>
          <w:tcPr>
            <w:tcW w:w="962" w:type="pct"/>
            <w:tcBorders>
              <w:bottom w:val="single" w:sz="4" w:space="0" w:color="auto"/>
            </w:tcBorders>
            <w:shd w:val="clear" w:color="auto" w:fill="auto"/>
          </w:tcPr>
          <w:p w14:paraId="2CC11A8A"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.033 [.000 – .079]</w:t>
            </w:r>
          </w:p>
        </w:tc>
      </w:tr>
      <w:tr w:rsidR="00E553E0" w:rsidRPr="00E553E0" w14:paraId="5A430E59" w14:textId="77777777" w:rsidTr="006B16F3">
        <w:tc>
          <w:tcPr>
            <w:tcW w:w="598" w:type="pct"/>
            <w:tcBorders>
              <w:top w:val="single" w:sz="4" w:space="0" w:color="auto"/>
            </w:tcBorders>
            <w:shd w:val="clear" w:color="auto" w:fill="auto"/>
            <w:vAlign w:val="center"/>
          </w:tcPr>
          <w:p w14:paraId="05882432"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2</w:t>
            </w:r>
          </w:p>
        </w:tc>
        <w:tc>
          <w:tcPr>
            <w:tcW w:w="888" w:type="pct"/>
            <w:tcBorders>
              <w:top w:val="single" w:sz="4" w:space="0" w:color="auto"/>
            </w:tcBorders>
            <w:shd w:val="clear" w:color="auto" w:fill="auto"/>
            <w:vAlign w:val="center"/>
          </w:tcPr>
          <w:p w14:paraId="52E13860" w14:textId="77777777" w:rsidR="00580749" w:rsidRPr="00E553E0" w:rsidRDefault="00580749" w:rsidP="006B16F3">
            <w:pPr>
              <w:pStyle w:val="BodyText"/>
              <w:spacing w:before="0" w:after="0" w:line="276" w:lineRule="auto"/>
              <w:ind w:firstLine="0"/>
              <w:rPr>
                <w:rFonts w:cs="Times New Roman"/>
                <w:sz w:val="22"/>
                <w:vertAlign w:val="superscript"/>
              </w:rPr>
            </w:pPr>
            <w:r w:rsidRPr="00E553E0">
              <w:rPr>
                <w:rFonts w:cs="Times New Roman"/>
                <w:sz w:val="22"/>
              </w:rPr>
              <w:t>Ecuador (7)</w:t>
            </w:r>
            <w:r w:rsidRPr="00E553E0">
              <w:rPr>
                <w:rFonts w:cs="Times New Roman"/>
                <w:sz w:val="22"/>
                <w:vertAlign w:val="superscript"/>
              </w:rPr>
              <w:t>a</w:t>
            </w:r>
          </w:p>
        </w:tc>
        <w:tc>
          <w:tcPr>
            <w:tcW w:w="543" w:type="pct"/>
            <w:tcBorders>
              <w:top w:val="single" w:sz="4" w:space="0" w:color="auto"/>
            </w:tcBorders>
            <w:shd w:val="clear" w:color="auto" w:fill="auto"/>
            <w:vAlign w:val="center"/>
          </w:tcPr>
          <w:p w14:paraId="253CAD25"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w:t>
            </w:r>
          </w:p>
        </w:tc>
        <w:tc>
          <w:tcPr>
            <w:tcW w:w="281" w:type="pct"/>
            <w:tcBorders>
              <w:top w:val="single" w:sz="4" w:space="0" w:color="auto"/>
            </w:tcBorders>
            <w:shd w:val="clear" w:color="auto" w:fill="auto"/>
            <w:vAlign w:val="center"/>
          </w:tcPr>
          <w:p w14:paraId="23CB17FE"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w:t>
            </w:r>
          </w:p>
        </w:tc>
        <w:tc>
          <w:tcPr>
            <w:tcW w:w="393" w:type="pct"/>
            <w:tcBorders>
              <w:top w:val="single" w:sz="4" w:space="0" w:color="auto"/>
            </w:tcBorders>
            <w:shd w:val="clear" w:color="auto" w:fill="auto"/>
            <w:vAlign w:val="center"/>
          </w:tcPr>
          <w:p w14:paraId="416443EA"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w:t>
            </w:r>
          </w:p>
        </w:tc>
        <w:tc>
          <w:tcPr>
            <w:tcW w:w="393" w:type="pct"/>
            <w:tcBorders>
              <w:top w:val="single" w:sz="4" w:space="0" w:color="auto"/>
            </w:tcBorders>
            <w:shd w:val="clear" w:color="auto" w:fill="auto"/>
            <w:vAlign w:val="center"/>
          </w:tcPr>
          <w:p w14:paraId="3E8E3D47"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w:t>
            </w:r>
          </w:p>
        </w:tc>
        <w:tc>
          <w:tcPr>
            <w:tcW w:w="393" w:type="pct"/>
            <w:tcBorders>
              <w:top w:val="single" w:sz="4" w:space="0" w:color="auto"/>
            </w:tcBorders>
            <w:shd w:val="clear" w:color="auto" w:fill="auto"/>
            <w:vAlign w:val="center"/>
          </w:tcPr>
          <w:p w14:paraId="71D19B64"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w:t>
            </w:r>
          </w:p>
        </w:tc>
        <w:tc>
          <w:tcPr>
            <w:tcW w:w="549" w:type="pct"/>
            <w:tcBorders>
              <w:top w:val="single" w:sz="4" w:space="0" w:color="auto"/>
            </w:tcBorders>
            <w:shd w:val="clear" w:color="auto" w:fill="auto"/>
            <w:vAlign w:val="center"/>
          </w:tcPr>
          <w:p w14:paraId="114339ED"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w:t>
            </w:r>
          </w:p>
        </w:tc>
        <w:tc>
          <w:tcPr>
            <w:tcW w:w="962" w:type="pct"/>
            <w:tcBorders>
              <w:top w:val="single" w:sz="4" w:space="0" w:color="auto"/>
            </w:tcBorders>
            <w:shd w:val="clear" w:color="auto" w:fill="auto"/>
            <w:vAlign w:val="center"/>
          </w:tcPr>
          <w:p w14:paraId="5B11F078"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w:t>
            </w:r>
          </w:p>
        </w:tc>
      </w:tr>
      <w:tr w:rsidR="00E553E0" w:rsidRPr="00E553E0" w14:paraId="3A55ABFC" w14:textId="77777777" w:rsidTr="006B16F3">
        <w:tc>
          <w:tcPr>
            <w:tcW w:w="598" w:type="pct"/>
            <w:shd w:val="clear" w:color="auto" w:fill="auto"/>
            <w:vAlign w:val="center"/>
          </w:tcPr>
          <w:p w14:paraId="598A559B" w14:textId="77777777" w:rsidR="00580749" w:rsidRPr="00E553E0" w:rsidRDefault="00580749" w:rsidP="006B16F3">
            <w:pPr>
              <w:pStyle w:val="BodyText"/>
              <w:spacing w:before="0" w:after="0" w:line="276" w:lineRule="auto"/>
              <w:ind w:firstLine="0"/>
              <w:jc w:val="center"/>
              <w:rPr>
                <w:rFonts w:cs="Times New Roman"/>
                <w:sz w:val="22"/>
              </w:rPr>
            </w:pPr>
          </w:p>
        </w:tc>
        <w:tc>
          <w:tcPr>
            <w:tcW w:w="888" w:type="pct"/>
            <w:shd w:val="clear" w:color="auto" w:fill="auto"/>
            <w:vAlign w:val="center"/>
          </w:tcPr>
          <w:p w14:paraId="2B02FD04" w14:textId="77777777" w:rsidR="00580749" w:rsidRPr="00E553E0" w:rsidRDefault="00580749" w:rsidP="006B16F3">
            <w:pPr>
              <w:pStyle w:val="BodyText"/>
              <w:spacing w:before="0" w:after="0" w:line="276" w:lineRule="auto"/>
              <w:ind w:firstLine="0"/>
              <w:rPr>
                <w:rFonts w:cs="Times New Roman"/>
                <w:sz w:val="22"/>
              </w:rPr>
            </w:pPr>
            <w:r w:rsidRPr="00E553E0">
              <w:rPr>
                <w:rFonts w:cs="Times New Roman"/>
                <w:sz w:val="22"/>
              </w:rPr>
              <w:t>Colombia (8)</w:t>
            </w:r>
          </w:p>
        </w:tc>
        <w:tc>
          <w:tcPr>
            <w:tcW w:w="543" w:type="pct"/>
            <w:shd w:val="clear" w:color="auto" w:fill="auto"/>
            <w:vAlign w:val="center"/>
          </w:tcPr>
          <w:p w14:paraId="2CB156E6"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58.83</w:t>
            </w:r>
          </w:p>
        </w:tc>
        <w:tc>
          <w:tcPr>
            <w:tcW w:w="281" w:type="pct"/>
            <w:shd w:val="clear" w:color="auto" w:fill="auto"/>
            <w:vAlign w:val="center"/>
          </w:tcPr>
          <w:p w14:paraId="2A5F843B"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12</w:t>
            </w:r>
          </w:p>
        </w:tc>
        <w:tc>
          <w:tcPr>
            <w:tcW w:w="393" w:type="pct"/>
            <w:shd w:val="clear" w:color="auto" w:fill="auto"/>
            <w:vAlign w:val="center"/>
          </w:tcPr>
          <w:p w14:paraId="2D609AA2"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&lt; .001</w:t>
            </w:r>
          </w:p>
        </w:tc>
        <w:tc>
          <w:tcPr>
            <w:tcW w:w="393" w:type="pct"/>
            <w:shd w:val="clear" w:color="auto" w:fill="auto"/>
            <w:vAlign w:val="center"/>
          </w:tcPr>
          <w:p w14:paraId="6E191277"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.98</w:t>
            </w:r>
          </w:p>
        </w:tc>
        <w:tc>
          <w:tcPr>
            <w:tcW w:w="393" w:type="pct"/>
            <w:shd w:val="clear" w:color="auto" w:fill="auto"/>
            <w:vAlign w:val="center"/>
          </w:tcPr>
          <w:p w14:paraId="52E6425C"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.95</w:t>
            </w:r>
          </w:p>
        </w:tc>
        <w:tc>
          <w:tcPr>
            <w:tcW w:w="549" w:type="pct"/>
            <w:shd w:val="clear" w:color="auto" w:fill="auto"/>
            <w:vAlign w:val="center"/>
          </w:tcPr>
          <w:p w14:paraId="668CA93F"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.020</w:t>
            </w:r>
          </w:p>
        </w:tc>
        <w:tc>
          <w:tcPr>
            <w:tcW w:w="962" w:type="pct"/>
            <w:shd w:val="clear" w:color="auto" w:fill="auto"/>
          </w:tcPr>
          <w:p w14:paraId="3D45D052"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.109 [.082 – .138]</w:t>
            </w:r>
          </w:p>
        </w:tc>
      </w:tr>
      <w:tr w:rsidR="00E553E0" w:rsidRPr="00E553E0" w14:paraId="46BAA473" w14:textId="77777777" w:rsidTr="006B16F3">
        <w:tc>
          <w:tcPr>
            <w:tcW w:w="598" w:type="pct"/>
            <w:shd w:val="clear" w:color="auto" w:fill="auto"/>
            <w:vAlign w:val="center"/>
          </w:tcPr>
          <w:p w14:paraId="03B3C65B" w14:textId="77777777" w:rsidR="00580749" w:rsidRPr="00E553E0" w:rsidRDefault="00580749" w:rsidP="006B16F3">
            <w:pPr>
              <w:pStyle w:val="BodyText"/>
              <w:spacing w:before="0" w:after="0" w:line="276" w:lineRule="auto"/>
              <w:ind w:firstLine="0"/>
              <w:jc w:val="center"/>
              <w:rPr>
                <w:rFonts w:cs="Times New Roman"/>
                <w:sz w:val="22"/>
              </w:rPr>
            </w:pPr>
          </w:p>
        </w:tc>
        <w:tc>
          <w:tcPr>
            <w:tcW w:w="888" w:type="pct"/>
            <w:shd w:val="clear" w:color="auto" w:fill="auto"/>
            <w:vAlign w:val="center"/>
          </w:tcPr>
          <w:p w14:paraId="22CD4270" w14:textId="038968D2" w:rsidR="00580749" w:rsidRPr="00E553E0" w:rsidRDefault="00580749" w:rsidP="006B16F3">
            <w:pPr>
              <w:pStyle w:val="BodyText"/>
              <w:spacing w:before="0" w:after="0" w:line="276" w:lineRule="auto"/>
              <w:ind w:firstLine="0"/>
              <w:rPr>
                <w:rFonts w:cs="Times New Roman"/>
                <w:sz w:val="22"/>
              </w:rPr>
            </w:pPr>
            <w:r w:rsidRPr="00E553E0">
              <w:rPr>
                <w:rFonts w:cs="Times New Roman"/>
                <w:sz w:val="22"/>
              </w:rPr>
              <w:t>Per</w:t>
            </w:r>
            <w:r w:rsidR="00E553E0" w:rsidRPr="00E553E0">
              <w:rPr>
                <w:rFonts w:cs="Times New Roman"/>
                <w:sz w:val="22"/>
              </w:rPr>
              <w:t xml:space="preserve">u </w:t>
            </w:r>
            <w:r w:rsidRPr="00E553E0">
              <w:rPr>
                <w:rFonts w:cs="Times New Roman"/>
                <w:sz w:val="22"/>
              </w:rPr>
              <w:t>(9)</w:t>
            </w:r>
          </w:p>
        </w:tc>
        <w:tc>
          <w:tcPr>
            <w:tcW w:w="543" w:type="pct"/>
            <w:shd w:val="clear" w:color="auto" w:fill="auto"/>
            <w:vAlign w:val="center"/>
          </w:tcPr>
          <w:p w14:paraId="377A9110"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28.88</w:t>
            </w:r>
          </w:p>
        </w:tc>
        <w:tc>
          <w:tcPr>
            <w:tcW w:w="281" w:type="pct"/>
            <w:shd w:val="clear" w:color="auto" w:fill="auto"/>
            <w:vAlign w:val="center"/>
          </w:tcPr>
          <w:p w14:paraId="741BEC80"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12</w:t>
            </w:r>
          </w:p>
        </w:tc>
        <w:tc>
          <w:tcPr>
            <w:tcW w:w="393" w:type="pct"/>
            <w:shd w:val="clear" w:color="auto" w:fill="auto"/>
            <w:vAlign w:val="center"/>
          </w:tcPr>
          <w:p w14:paraId="6E4CD499"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.004</w:t>
            </w:r>
          </w:p>
        </w:tc>
        <w:tc>
          <w:tcPr>
            <w:tcW w:w="393" w:type="pct"/>
            <w:shd w:val="clear" w:color="auto" w:fill="auto"/>
            <w:vAlign w:val="center"/>
          </w:tcPr>
          <w:p w14:paraId="1484D337"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.99</w:t>
            </w:r>
          </w:p>
        </w:tc>
        <w:tc>
          <w:tcPr>
            <w:tcW w:w="393" w:type="pct"/>
            <w:shd w:val="clear" w:color="auto" w:fill="auto"/>
            <w:vAlign w:val="center"/>
          </w:tcPr>
          <w:p w14:paraId="46A7B288"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.96</w:t>
            </w:r>
          </w:p>
        </w:tc>
        <w:tc>
          <w:tcPr>
            <w:tcW w:w="549" w:type="pct"/>
            <w:shd w:val="clear" w:color="auto" w:fill="auto"/>
            <w:vAlign w:val="center"/>
          </w:tcPr>
          <w:p w14:paraId="2A78E52C"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.020</w:t>
            </w:r>
          </w:p>
        </w:tc>
        <w:tc>
          <w:tcPr>
            <w:tcW w:w="962" w:type="pct"/>
            <w:shd w:val="clear" w:color="auto" w:fill="auto"/>
          </w:tcPr>
          <w:p w14:paraId="7AFC93AF"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.090 [.048 – .133]</w:t>
            </w:r>
          </w:p>
        </w:tc>
      </w:tr>
      <w:tr w:rsidR="00E553E0" w:rsidRPr="00E553E0" w14:paraId="31146B17" w14:textId="77777777" w:rsidTr="006B16F3">
        <w:tc>
          <w:tcPr>
            <w:tcW w:w="598" w:type="pct"/>
            <w:tcBorders>
              <w:bottom w:val="single" w:sz="4" w:space="0" w:color="auto"/>
            </w:tcBorders>
            <w:shd w:val="clear" w:color="auto" w:fill="auto"/>
            <w:vAlign w:val="center"/>
          </w:tcPr>
          <w:p w14:paraId="01439DA2" w14:textId="77777777" w:rsidR="00580749" w:rsidRPr="00E553E0" w:rsidRDefault="00580749" w:rsidP="006B16F3">
            <w:pPr>
              <w:pStyle w:val="BodyText"/>
              <w:spacing w:before="0" w:after="0" w:line="276" w:lineRule="auto"/>
              <w:ind w:firstLine="0"/>
              <w:jc w:val="center"/>
              <w:rPr>
                <w:rFonts w:cs="Times New Roman"/>
                <w:sz w:val="22"/>
              </w:rPr>
            </w:pPr>
          </w:p>
        </w:tc>
        <w:tc>
          <w:tcPr>
            <w:tcW w:w="888" w:type="pct"/>
            <w:tcBorders>
              <w:bottom w:val="single" w:sz="4" w:space="0" w:color="auto"/>
            </w:tcBorders>
            <w:shd w:val="clear" w:color="auto" w:fill="auto"/>
            <w:vAlign w:val="center"/>
          </w:tcPr>
          <w:p w14:paraId="1A02F8C4" w14:textId="77777777" w:rsidR="00580749" w:rsidRPr="00E553E0" w:rsidRDefault="00580749" w:rsidP="006B16F3">
            <w:pPr>
              <w:pStyle w:val="BodyText"/>
              <w:spacing w:before="0" w:after="0" w:line="276" w:lineRule="auto"/>
              <w:ind w:firstLine="0"/>
              <w:rPr>
                <w:rFonts w:cs="Times New Roman"/>
                <w:sz w:val="22"/>
              </w:rPr>
            </w:pPr>
            <w:r w:rsidRPr="00E553E0">
              <w:rPr>
                <w:rFonts w:cs="Times New Roman"/>
                <w:sz w:val="22"/>
              </w:rPr>
              <w:t>Bolivia (14)</w:t>
            </w:r>
          </w:p>
        </w:tc>
        <w:tc>
          <w:tcPr>
            <w:tcW w:w="543" w:type="pct"/>
            <w:tcBorders>
              <w:bottom w:val="single" w:sz="4" w:space="0" w:color="auto"/>
            </w:tcBorders>
            <w:shd w:val="clear" w:color="auto" w:fill="auto"/>
            <w:vAlign w:val="center"/>
          </w:tcPr>
          <w:p w14:paraId="7F0E316C"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15.97</w:t>
            </w:r>
          </w:p>
        </w:tc>
        <w:tc>
          <w:tcPr>
            <w:tcW w:w="281" w:type="pct"/>
            <w:tcBorders>
              <w:bottom w:val="single" w:sz="4" w:space="0" w:color="auto"/>
            </w:tcBorders>
            <w:shd w:val="clear" w:color="auto" w:fill="auto"/>
            <w:vAlign w:val="center"/>
          </w:tcPr>
          <w:p w14:paraId="5E8AE6BE"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12</w:t>
            </w:r>
          </w:p>
        </w:tc>
        <w:tc>
          <w:tcPr>
            <w:tcW w:w="393" w:type="pct"/>
            <w:tcBorders>
              <w:bottom w:val="single" w:sz="4" w:space="0" w:color="auto"/>
            </w:tcBorders>
            <w:shd w:val="clear" w:color="auto" w:fill="auto"/>
            <w:vAlign w:val="center"/>
          </w:tcPr>
          <w:p w14:paraId="11C2FBD7"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.192</w:t>
            </w:r>
          </w:p>
        </w:tc>
        <w:tc>
          <w:tcPr>
            <w:tcW w:w="393" w:type="pct"/>
            <w:tcBorders>
              <w:bottom w:val="single" w:sz="4" w:space="0" w:color="auto"/>
            </w:tcBorders>
            <w:shd w:val="clear" w:color="auto" w:fill="auto"/>
            <w:vAlign w:val="center"/>
          </w:tcPr>
          <w:p w14:paraId="00442167"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.99</w:t>
            </w:r>
          </w:p>
        </w:tc>
        <w:tc>
          <w:tcPr>
            <w:tcW w:w="393" w:type="pct"/>
            <w:tcBorders>
              <w:bottom w:val="single" w:sz="4" w:space="0" w:color="auto"/>
            </w:tcBorders>
            <w:shd w:val="clear" w:color="auto" w:fill="auto"/>
            <w:vAlign w:val="center"/>
          </w:tcPr>
          <w:p w14:paraId="50C22C08"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.99</w:t>
            </w:r>
          </w:p>
        </w:tc>
        <w:tc>
          <w:tcPr>
            <w:tcW w:w="549" w:type="pct"/>
            <w:tcBorders>
              <w:bottom w:val="single" w:sz="4" w:space="0" w:color="auto"/>
            </w:tcBorders>
            <w:shd w:val="clear" w:color="auto" w:fill="auto"/>
            <w:vAlign w:val="center"/>
          </w:tcPr>
          <w:p w14:paraId="442010EA"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.021</w:t>
            </w:r>
          </w:p>
        </w:tc>
        <w:tc>
          <w:tcPr>
            <w:tcW w:w="962" w:type="pct"/>
            <w:tcBorders>
              <w:bottom w:val="single" w:sz="4" w:space="0" w:color="auto"/>
            </w:tcBorders>
            <w:shd w:val="clear" w:color="auto" w:fill="auto"/>
          </w:tcPr>
          <w:p w14:paraId="1D35B95A"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.046 [.000 – .100]</w:t>
            </w:r>
          </w:p>
        </w:tc>
      </w:tr>
      <w:tr w:rsidR="00E553E0" w:rsidRPr="00E553E0" w14:paraId="7907C51B" w14:textId="77777777" w:rsidTr="006B16F3">
        <w:tc>
          <w:tcPr>
            <w:tcW w:w="598" w:type="pct"/>
            <w:tcBorders>
              <w:top w:val="single" w:sz="4" w:space="0" w:color="auto"/>
            </w:tcBorders>
            <w:shd w:val="clear" w:color="auto" w:fill="auto"/>
            <w:vAlign w:val="center"/>
          </w:tcPr>
          <w:p w14:paraId="775D3070"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3</w:t>
            </w:r>
          </w:p>
        </w:tc>
        <w:tc>
          <w:tcPr>
            <w:tcW w:w="888" w:type="pct"/>
            <w:tcBorders>
              <w:top w:val="single" w:sz="4" w:space="0" w:color="auto"/>
            </w:tcBorders>
            <w:shd w:val="clear" w:color="auto" w:fill="auto"/>
            <w:vAlign w:val="center"/>
          </w:tcPr>
          <w:p w14:paraId="4D1825C8" w14:textId="77777777" w:rsidR="00580749" w:rsidRPr="00E553E0" w:rsidRDefault="00580749" w:rsidP="006B16F3">
            <w:pPr>
              <w:pStyle w:val="BodyText"/>
              <w:spacing w:before="0" w:after="0" w:line="276" w:lineRule="auto"/>
              <w:ind w:firstLine="0"/>
              <w:rPr>
                <w:rFonts w:cs="Times New Roman"/>
                <w:sz w:val="22"/>
              </w:rPr>
            </w:pPr>
            <w:r w:rsidRPr="00E553E0">
              <w:rPr>
                <w:rFonts w:cs="Times New Roman"/>
                <w:sz w:val="22"/>
              </w:rPr>
              <w:t>Ecuador (7)</w:t>
            </w:r>
          </w:p>
        </w:tc>
        <w:tc>
          <w:tcPr>
            <w:tcW w:w="543" w:type="pct"/>
            <w:tcBorders>
              <w:top w:val="single" w:sz="4" w:space="0" w:color="auto"/>
            </w:tcBorders>
            <w:shd w:val="clear" w:color="auto" w:fill="auto"/>
            <w:vAlign w:val="center"/>
          </w:tcPr>
          <w:p w14:paraId="326E557B"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81.17</w:t>
            </w:r>
          </w:p>
        </w:tc>
        <w:tc>
          <w:tcPr>
            <w:tcW w:w="281" w:type="pct"/>
            <w:tcBorders>
              <w:top w:val="single" w:sz="4" w:space="0" w:color="auto"/>
            </w:tcBorders>
            <w:shd w:val="clear" w:color="auto" w:fill="auto"/>
            <w:vAlign w:val="center"/>
          </w:tcPr>
          <w:p w14:paraId="4DD211C5"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20</w:t>
            </w:r>
          </w:p>
        </w:tc>
        <w:tc>
          <w:tcPr>
            <w:tcW w:w="393" w:type="pct"/>
            <w:tcBorders>
              <w:top w:val="single" w:sz="4" w:space="0" w:color="auto"/>
            </w:tcBorders>
            <w:shd w:val="clear" w:color="auto" w:fill="auto"/>
            <w:vAlign w:val="center"/>
          </w:tcPr>
          <w:p w14:paraId="0F00945A"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&lt; .001</w:t>
            </w:r>
          </w:p>
        </w:tc>
        <w:tc>
          <w:tcPr>
            <w:tcW w:w="393" w:type="pct"/>
            <w:tcBorders>
              <w:top w:val="single" w:sz="4" w:space="0" w:color="auto"/>
            </w:tcBorders>
            <w:shd w:val="clear" w:color="auto" w:fill="auto"/>
            <w:vAlign w:val="center"/>
          </w:tcPr>
          <w:p w14:paraId="2447F5BF"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.96</w:t>
            </w:r>
          </w:p>
        </w:tc>
        <w:tc>
          <w:tcPr>
            <w:tcW w:w="393" w:type="pct"/>
            <w:tcBorders>
              <w:top w:val="single" w:sz="4" w:space="0" w:color="auto"/>
            </w:tcBorders>
            <w:shd w:val="clear" w:color="auto" w:fill="auto"/>
            <w:vAlign w:val="center"/>
          </w:tcPr>
          <w:p w14:paraId="77AB6AF0"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.95</w:t>
            </w:r>
          </w:p>
        </w:tc>
        <w:tc>
          <w:tcPr>
            <w:tcW w:w="549" w:type="pct"/>
            <w:tcBorders>
              <w:top w:val="single" w:sz="4" w:space="0" w:color="auto"/>
            </w:tcBorders>
            <w:shd w:val="clear" w:color="auto" w:fill="auto"/>
            <w:vAlign w:val="center"/>
          </w:tcPr>
          <w:p w14:paraId="06326F21"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.030</w:t>
            </w:r>
          </w:p>
        </w:tc>
        <w:tc>
          <w:tcPr>
            <w:tcW w:w="962" w:type="pct"/>
            <w:tcBorders>
              <w:top w:val="single" w:sz="4" w:space="0" w:color="auto"/>
            </w:tcBorders>
            <w:shd w:val="clear" w:color="auto" w:fill="auto"/>
          </w:tcPr>
          <w:p w14:paraId="57DDF4DE"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.114 [.089 – .141]</w:t>
            </w:r>
          </w:p>
        </w:tc>
      </w:tr>
      <w:tr w:rsidR="00E553E0" w:rsidRPr="00E553E0" w14:paraId="2B551853" w14:textId="77777777" w:rsidTr="006B16F3">
        <w:tc>
          <w:tcPr>
            <w:tcW w:w="598" w:type="pct"/>
            <w:shd w:val="clear" w:color="auto" w:fill="auto"/>
            <w:vAlign w:val="center"/>
          </w:tcPr>
          <w:p w14:paraId="3A21A28E" w14:textId="77777777" w:rsidR="00580749" w:rsidRPr="00E553E0" w:rsidRDefault="00580749" w:rsidP="006B16F3">
            <w:pPr>
              <w:pStyle w:val="BodyText"/>
              <w:spacing w:before="0" w:after="0" w:line="276" w:lineRule="auto"/>
              <w:ind w:firstLine="0"/>
              <w:jc w:val="center"/>
              <w:rPr>
                <w:rFonts w:cs="Times New Roman"/>
                <w:sz w:val="22"/>
              </w:rPr>
            </w:pPr>
          </w:p>
        </w:tc>
        <w:tc>
          <w:tcPr>
            <w:tcW w:w="888" w:type="pct"/>
            <w:shd w:val="clear" w:color="auto" w:fill="auto"/>
            <w:vAlign w:val="center"/>
          </w:tcPr>
          <w:p w14:paraId="37660444" w14:textId="77777777" w:rsidR="00580749" w:rsidRPr="00E553E0" w:rsidRDefault="00580749" w:rsidP="006B16F3">
            <w:pPr>
              <w:pStyle w:val="BodyText"/>
              <w:spacing w:before="0" w:after="0" w:line="276" w:lineRule="auto"/>
              <w:ind w:firstLine="0"/>
              <w:rPr>
                <w:rFonts w:cs="Times New Roman"/>
                <w:sz w:val="22"/>
              </w:rPr>
            </w:pPr>
            <w:r w:rsidRPr="00E553E0">
              <w:rPr>
                <w:rFonts w:cs="Times New Roman"/>
                <w:sz w:val="22"/>
              </w:rPr>
              <w:t>Colombia (8)</w:t>
            </w:r>
          </w:p>
        </w:tc>
        <w:tc>
          <w:tcPr>
            <w:tcW w:w="543" w:type="pct"/>
            <w:shd w:val="clear" w:color="auto" w:fill="auto"/>
            <w:vAlign w:val="center"/>
          </w:tcPr>
          <w:p w14:paraId="5FBE8702"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174.93</w:t>
            </w:r>
          </w:p>
        </w:tc>
        <w:tc>
          <w:tcPr>
            <w:tcW w:w="281" w:type="pct"/>
            <w:shd w:val="clear" w:color="auto" w:fill="auto"/>
            <w:vAlign w:val="center"/>
          </w:tcPr>
          <w:p w14:paraId="2B4E3D8E"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20</w:t>
            </w:r>
          </w:p>
        </w:tc>
        <w:tc>
          <w:tcPr>
            <w:tcW w:w="393" w:type="pct"/>
            <w:shd w:val="clear" w:color="auto" w:fill="auto"/>
            <w:vAlign w:val="center"/>
          </w:tcPr>
          <w:p w14:paraId="739C44A7"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&lt; .001</w:t>
            </w:r>
          </w:p>
        </w:tc>
        <w:tc>
          <w:tcPr>
            <w:tcW w:w="393" w:type="pct"/>
            <w:shd w:val="clear" w:color="auto" w:fill="auto"/>
            <w:vAlign w:val="center"/>
          </w:tcPr>
          <w:p w14:paraId="4D02B33A"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.94</w:t>
            </w:r>
          </w:p>
        </w:tc>
        <w:tc>
          <w:tcPr>
            <w:tcW w:w="393" w:type="pct"/>
            <w:shd w:val="clear" w:color="auto" w:fill="auto"/>
            <w:vAlign w:val="center"/>
          </w:tcPr>
          <w:p w14:paraId="7BA29BF2"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.92</w:t>
            </w:r>
          </w:p>
        </w:tc>
        <w:tc>
          <w:tcPr>
            <w:tcW w:w="549" w:type="pct"/>
            <w:shd w:val="clear" w:color="auto" w:fill="auto"/>
            <w:vAlign w:val="center"/>
          </w:tcPr>
          <w:p w14:paraId="284597FD"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.035</w:t>
            </w:r>
          </w:p>
        </w:tc>
        <w:tc>
          <w:tcPr>
            <w:tcW w:w="962" w:type="pct"/>
            <w:shd w:val="clear" w:color="auto" w:fill="auto"/>
          </w:tcPr>
          <w:p w14:paraId="10E48F2B"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.137 [.119 – .156]</w:t>
            </w:r>
          </w:p>
        </w:tc>
      </w:tr>
      <w:tr w:rsidR="00E553E0" w:rsidRPr="00E553E0" w14:paraId="06F0B344" w14:textId="77777777" w:rsidTr="006B16F3">
        <w:tc>
          <w:tcPr>
            <w:tcW w:w="598" w:type="pct"/>
            <w:shd w:val="clear" w:color="auto" w:fill="auto"/>
            <w:vAlign w:val="center"/>
          </w:tcPr>
          <w:p w14:paraId="7A92E85D" w14:textId="77777777" w:rsidR="00580749" w:rsidRPr="00E553E0" w:rsidRDefault="00580749" w:rsidP="006B16F3">
            <w:pPr>
              <w:pStyle w:val="BodyText"/>
              <w:spacing w:before="0" w:after="0" w:line="276" w:lineRule="auto"/>
              <w:ind w:firstLine="0"/>
              <w:jc w:val="center"/>
              <w:rPr>
                <w:rFonts w:cs="Times New Roman"/>
                <w:sz w:val="22"/>
              </w:rPr>
            </w:pPr>
          </w:p>
        </w:tc>
        <w:tc>
          <w:tcPr>
            <w:tcW w:w="888" w:type="pct"/>
            <w:shd w:val="clear" w:color="auto" w:fill="auto"/>
            <w:vAlign w:val="center"/>
          </w:tcPr>
          <w:p w14:paraId="70E92B2C" w14:textId="43D804C9" w:rsidR="00580749" w:rsidRPr="00E553E0" w:rsidRDefault="00580749" w:rsidP="006B16F3">
            <w:pPr>
              <w:pStyle w:val="BodyText"/>
              <w:spacing w:before="0" w:after="0" w:line="276" w:lineRule="auto"/>
              <w:ind w:firstLine="0"/>
              <w:rPr>
                <w:rFonts w:cs="Times New Roman"/>
                <w:sz w:val="22"/>
              </w:rPr>
            </w:pPr>
            <w:r w:rsidRPr="00E553E0">
              <w:rPr>
                <w:rFonts w:cs="Times New Roman"/>
                <w:sz w:val="22"/>
              </w:rPr>
              <w:t>Per</w:t>
            </w:r>
            <w:r w:rsidR="00E553E0" w:rsidRPr="00E553E0">
              <w:rPr>
                <w:rFonts w:cs="Times New Roman"/>
                <w:sz w:val="22"/>
              </w:rPr>
              <w:t xml:space="preserve">u </w:t>
            </w:r>
            <w:r w:rsidRPr="00E553E0">
              <w:rPr>
                <w:rFonts w:cs="Times New Roman"/>
                <w:sz w:val="22"/>
              </w:rPr>
              <w:t>(9)</w:t>
            </w:r>
          </w:p>
        </w:tc>
        <w:tc>
          <w:tcPr>
            <w:tcW w:w="543" w:type="pct"/>
            <w:shd w:val="clear" w:color="auto" w:fill="auto"/>
            <w:vAlign w:val="center"/>
          </w:tcPr>
          <w:p w14:paraId="3C2A2CB3"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78.47</w:t>
            </w:r>
          </w:p>
        </w:tc>
        <w:tc>
          <w:tcPr>
            <w:tcW w:w="281" w:type="pct"/>
            <w:shd w:val="clear" w:color="auto" w:fill="auto"/>
            <w:vAlign w:val="center"/>
          </w:tcPr>
          <w:p w14:paraId="3901904A"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20</w:t>
            </w:r>
          </w:p>
        </w:tc>
        <w:tc>
          <w:tcPr>
            <w:tcW w:w="393" w:type="pct"/>
            <w:shd w:val="clear" w:color="auto" w:fill="auto"/>
            <w:vAlign w:val="center"/>
          </w:tcPr>
          <w:p w14:paraId="0C0948BE"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&lt; .001</w:t>
            </w:r>
          </w:p>
        </w:tc>
        <w:tc>
          <w:tcPr>
            <w:tcW w:w="393" w:type="pct"/>
            <w:shd w:val="clear" w:color="auto" w:fill="auto"/>
            <w:vAlign w:val="center"/>
          </w:tcPr>
          <w:p w14:paraId="5B385D0A"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.96</w:t>
            </w:r>
          </w:p>
        </w:tc>
        <w:tc>
          <w:tcPr>
            <w:tcW w:w="393" w:type="pct"/>
            <w:shd w:val="clear" w:color="auto" w:fill="auto"/>
            <w:vAlign w:val="center"/>
          </w:tcPr>
          <w:p w14:paraId="1C56356E"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.94</w:t>
            </w:r>
          </w:p>
        </w:tc>
        <w:tc>
          <w:tcPr>
            <w:tcW w:w="549" w:type="pct"/>
            <w:shd w:val="clear" w:color="auto" w:fill="auto"/>
            <w:vAlign w:val="center"/>
          </w:tcPr>
          <w:p w14:paraId="324C8CE9"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.031</w:t>
            </w:r>
          </w:p>
        </w:tc>
        <w:tc>
          <w:tcPr>
            <w:tcW w:w="962" w:type="pct"/>
            <w:shd w:val="clear" w:color="auto" w:fill="auto"/>
          </w:tcPr>
          <w:p w14:paraId="3DC69937"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.116 [.090 – .144]</w:t>
            </w:r>
          </w:p>
        </w:tc>
      </w:tr>
      <w:tr w:rsidR="00E553E0" w:rsidRPr="00E553E0" w14:paraId="0F58495F" w14:textId="77777777" w:rsidTr="006B16F3">
        <w:tc>
          <w:tcPr>
            <w:tcW w:w="598" w:type="pct"/>
            <w:tcBorders>
              <w:bottom w:val="single" w:sz="4" w:space="0" w:color="auto"/>
            </w:tcBorders>
            <w:shd w:val="clear" w:color="auto" w:fill="auto"/>
            <w:vAlign w:val="center"/>
          </w:tcPr>
          <w:p w14:paraId="5B19FAD6" w14:textId="77777777" w:rsidR="00580749" w:rsidRPr="00E553E0" w:rsidRDefault="00580749" w:rsidP="006B16F3">
            <w:pPr>
              <w:pStyle w:val="BodyText"/>
              <w:spacing w:before="0" w:after="0" w:line="276" w:lineRule="auto"/>
              <w:ind w:firstLine="0"/>
              <w:jc w:val="center"/>
              <w:rPr>
                <w:rFonts w:cs="Times New Roman"/>
                <w:sz w:val="22"/>
              </w:rPr>
            </w:pPr>
          </w:p>
        </w:tc>
        <w:tc>
          <w:tcPr>
            <w:tcW w:w="888" w:type="pct"/>
            <w:tcBorders>
              <w:bottom w:val="single" w:sz="4" w:space="0" w:color="auto"/>
            </w:tcBorders>
            <w:shd w:val="clear" w:color="auto" w:fill="auto"/>
            <w:vAlign w:val="center"/>
          </w:tcPr>
          <w:p w14:paraId="0EB8DA5B" w14:textId="77777777" w:rsidR="00580749" w:rsidRPr="00E553E0" w:rsidRDefault="00580749" w:rsidP="006B16F3">
            <w:pPr>
              <w:pStyle w:val="BodyText"/>
              <w:spacing w:before="0" w:after="0" w:line="276" w:lineRule="auto"/>
              <w:ind w:firstLine="0"/>
              <w:rPr>
                <w:rFonts w:cs="Times New Roman"/>
                <w:sz w:val="22"/>
              </w:rPr>
            </w:pPr>
            <w:r w:rsidRPr="00E553E0">
              <w:rPr>
                <w:rFonts w:cs="Times New Roman"/>
                <w:sz w:val="22"/>
              </w:rPr>
              <w:t>Bolivia (14)</w:t>
            </w:r>
          </w:p>
        </w:tc>
        <w:tc>
          <w:tcPr>
            <w:tcW w:w="543" w:type="pct"/>
            <w:tcBorders>
              <w:bottom w:val="single" w:sz="4" w:space="0" w:color="auto"/>
            </w:tcBorders>
            <w:shd w:val="clear" w:color="auto" w:fill="auto"/>
            <w:vAlign w:val="center"/>
          </w:tcPr>
          <w:p w14:paraId="649D9D23"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91.32</w:t>
            </w:r>
          </w:p>
        </w:tc>
        <w:tc>
          <w:tcPr>
            <w:tcW w:w="281" w:type="pct"/>
            <w:tcBorders>
              <w:bottom w:val="single" w:sz="4" w:space="0" w:color="auto"/>
            </w:tcBorders>
            <w:shd w:val="clear" w:color="auto" w:fill="auto"/>
            <w:vAlign w:val="center"/>
          </w:tcPr>
          <w:p w14:paraId="0DA23DE1"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20</w:t>
            </w:r>
          </w:p>
        </w:tc>
        <w:tc>
          <w:tcPr>
            <w:tcW w:w="393" w:type="pct"/>
            <w:tcBorders>
              <w:bottom w:val="single" w:sz="4" w:space="0" w:color="auto"/>
            </w:tcBorders>
            <w:shd w:val="clear" w:color="auto" w:fill="auto"/>
            <w:vAlign w:val="center"/>
          </w:tcPr>
          <w:p w14:paraId="242CA560"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&lt; .001</w:t>
            </w:r>
          </w:p>
        </w:tc>
        <w:tc>
          <w:tcPr>
            <w:tcW w:w="393" w:type="pct"/>
            <w:tcBorders>
              <w:bottom w:val="single" w:sz="4" w:space="0" w:color="auto"/>
            </w:tcBorders>
            <w:shd w:val="clear" w:color="auto" w:fill="auto"/>
            <w:vAlign w:val="center"/>
          </w:tcPr>
          <w:p w14:paraId="5FD11609"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.93</w:t>
            </w:r>
          </w:p>
        </w:tc>
        <w:tc>
          <w:tcPr>
            <w:tcW w:w="393" w:type="pct"/>
            <w:tcBorders>
              <w:bottom w:val="single" w:sz="4" w:space="0" w:color="auto"/>
            </w:tcBorders>
            <w:shd w:val="clear" w:color="auto" w:fill="auto"/>
            <w:vAlign w:val="center"/>
          </w:tcPr>
          <w:p w14:paraId="73474004"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.89</w:t>
            </w:r>
          </w:p>
        </w:tc>
        <w:tc>
          <w:tcPr>
            <w:tcW w:w="549" w:type="pct"/>
            <w:tcBorders>
              <w:bottom w:val="single" w:sz="4" w:space="0" w:color="auto"/>
            </w:tcBorders>
            <w:shd w:val="clear" w:color="auto" w:fill="auto"/>
            <w:vAlign w:val="center"/>
          </w:tcPr>
          <w:p w14:paraId="0F6FD71C"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.045</w:t>
            </w:r>
          </w:p>
        </w:tc>
        <w:tc>
          <w:tcPr>
            <w:tcW w:w="962" w:type="pct"/>
            <w:tcBorders>
              <w:bottom w:val="single" w:sz="4" w:space="0" w:color="auto"/>
            </w:tcBorders>
            <w:shd w:val="clear" w:color="auto" w:fill="auto"/>
          </w:tcPr>
          <w:p w14:paraId="509C182D" w14:textId="77777777" w:rsidR="00580749" w:rsidRPr="00E553E0" w:rsidRDefault="00580749" w:rsidP="006B16F3">
            <w:pPr>
              <w:pStyle w:val="BodyText"/>
              <w:spacing w:before="0" w:after="0" w:line="276" w:lineRule="auto"/>
              <w:ind w:firstLine="0"/>
              <w:jc w:val="center"/>
              <w:rPr>
                <w:rFonts w:cs="Times New Roman"/>
                <w:sz w:val="22"/>
              </w:rPr>
            </w:pPr>
            <w:r w:rsidRPr="00E553E0">
              <w:rPr>
                <w:rFonts w:cs="Times New Roman"/>
                <w:sz w:val="22"/>
              </w:rPr>
              <w:t>.133 [.106 – .161]</w:t>
            </w:r>
          </w:p>
        </w:tc>
      </w:tr>
    </w:tbl>
    <w:p w14:paraId="49037EE1" w14:textId="226112CF" w:rsidR="00580749" w:rsidRPr="00E553E0" w:rsidRDefault="00580749" w:rsidP="00580749">
      <w:pPr>
        <w:pStyle w:val="BodyText"/>
        <w:spacing w:before="0" w:after="0" w:line="276" w:lineRule="auto"/>
        <w:ind w:firstLine="0"/>
        <w:rPr>
          <w:rFonts w:cs="Times New Roman"/>
          <w:sz w:val="22"/>
          <w:lang w:val="es-PE"/>
        </w:rPr>
      </w:pPr>
      <w:r w:rsidRPr="00E553E0">
        <w:rPr>
          <w:rFonts w:cs="Times New Roman"/>
          <w:sz w:val="22"/>
        </w:rPr>
        <w:t xml:space="preserve">Note. </w:t>
      </w:r>
      <w:r w:rsidRPr="00E553E0">
        <w:rPr>
          <w:rFonts w:cs="Times New Roman"/>
          <w:sz w:val="22"/>
          <w:vertAlign w:val="superscript"/>
        </w:rPr>
        <w:t xml:space="preserve">a </w:t>
      </w:r>
      <w:r w:rsidRPr="00E553E0">
        <w:rPr>
          <w:rFonts w:cs="Times New Roman"/>
          <w:sz w:val="22"/>
        </w:rPr>
        <w:t xml:space="preserve">= Negative Error Variances/variances are negative; χ2 = Chi square; df = degrees of freedom; SRMR: Standardized Root Mean Square Residual; TLI = Tucker-Lewis Index; CFI = Comparative Fit Index; RMSEA = Root Mean Square Error of Approximation; </w:t>
      </w:r>
      <w:r w:rsidRPr="00E553E0">
        <w:rPr>
          <w:rFonts w:cs="Times New Roman"/>
          <w:sz w:val="22"/>
          <w:lang w:val="es-PE"/>
        </w:rPr>
        <w:t>Model 1 = Related factors; Model 2 = Bi-factor modelo; Model 3 = Unidimensional model</w:t>
      </w:r>
    </w:p>
    <w:p w14:paraId="26274E83" w14:textId="77777777" w:rsidR="00580749" w:rsidRPr="00C876F1" w:rsidRDefault="00580749" w:rsidP="00580749">
      <w:pPr>
        <w:pStyle w:val="BodyText"/>
        <w:spacing w:before="0" w:after="0" w:line="360" w:lineRule="auto"/>
        <w:ind w:firstLine="0"/>
        <w:rPr>
          <w:rFonts w:cs="Times New Roman"/>
          <w:color w:val="FF0000"/>
          <w:szCs w:val="24"/>
          <w:lang w:val="es-PE"/>
        </w:rPr>
      </w:pPr>
    </w:p>
    <w:p w14:paraId="4CFBCA16" w14:textId="77777777" w:rsidR="00580749" w:rsidRPr="00C876F1" w:rsidRDefault="00580749" w:rsidP="00580749">
      <w:pPr>
        <w:pStyle w:val="BodyText"/>
        <w:spacing w:before="0" w:after="0" w:line="360" w:lineRule="auto"/>
        <w:ind w:firstLine="0"/>
        <w:rPr>
          <w:rFonts w:cs="Times New Roman"/>
          <w:color w:val="FF0000"/>
          <w:szCs w:val="24"/>
          <w:lang w:val="es-PE"/>
        </w:rPr>
      </w:pPr>
    </w:p>
    <w:p w14:paraId="7284874E" w14:textId="77777777" w:rsidR="00580749" w:rsidRPr="00C876F1" w:rsidRDefault="00580749" w:rsidP="00580749">
      <w:pPr>
        <w:pStyle w:val="BodyText"/>
        <w:spacing w:before="0" w:after="0" w:line="360" w:lineRule="auto"/>
        <w:ind w:firstLine="0"/>
        <w:rPr>
          <w:rFonts w:cs="Times New Roman"/>
          <w:color w:val="FF0000"/>
          <w:szCs w:val="24"/>
          <w:lang w:val="es-PE"/>
        </w:rPr>
      </w:pPr>
    </w:p>
    <w:p w14:paraId="6147A8F4" w14:textId="77777777" w:rsidR="00580749" w:rsidRPr="00C876F1" w:rsidRDefault="00580749" w:rsidP="00580749">
      <w:pPr>
        <w:pStyle w:val="BodyText"/>
        <w:spacing w:before="0" w:after="0" w:line="360" w:lineRule="auto"/>
        <w:ind w:firstLine="0"/>
        <w:rPr>
          <w:rFonts w:cs="Times New Roman"/>
          <w:color w:val="FF0000"/>
          <w:szCs w:val="24"/>
          <w:lang w:val="es-PE"/>
        </w:rPr>
      </w:pPr>
    </w:p>
    <w:p w14:paraId="15298EF5" w14:textId="77777777" w:rsidR="00580749" w:rsidRPr="00C876F1" w:rsidRDefault="00580749" w:rsidP="00580749">
      <w:pPr>
        <w:pStyle w:val="BodyText"/>
        <w:spacing w:before="0" w:after="0" w:line="360" w:lineRule="auto"/>
        <w:ind w:firstLine="0"/>
        <w:rPr>
          <w:rFonts w:cs="Times New Roman"/>
          <w:color w:val="FF0000"/>
          <w:szCs w:val="24"/>
          <w:lang w:val="es-PE"/>
        </w:rPr>
      </w:pPr>
    </w:p>
    <w:p w14:paraId="765DF935" w14:textId="77777777" w:rsidR="00580749" w:rsidRPr="00C876F1" w:rsidRDefault="00580749" w:rsidP="00580749">
      <w:pPr>
        <w:pStyle w:val="BodyText"/>
        <w:spacing w:before="0" w:after="0" w:line="360" w:lineRule="auto"/>
        <w:ind w:firstLine="0"/>
        <w:rPr>
          <w:rFonts w:cs="Times New Roman"/>
          <w:color w:val="FF0000"/>
          <w:szCs w:val="24"/>
          <w:lang w:val="es-PE"/>
        </w:rPr>
      </w:pPr>
    </w:p>
    <w:p w14:paraId="0E2E6CE7" w14:textId="30C7A3B7" w:rsidR="00580749" w:rsidRPr="009E66DE" w:rsidRDefault="00580749" w:rsidP="00580749">
      <w:pPr>
        <w:pStyle w:val="BodyText"/>
        <w:spacing w:before="0" w:after="0" w:line="360" w:lineRule="auto"/>
        <w:ind w:firstLine="0"/>
        <w:rPr>
          <w:rFonts w:cs="Times New Roman"/>
          <w:sz w:val="22"/>
          <w:lang w:val="es-PE"/>
        </w:rPr>
      </w:pPr>
      <w:r w:rsidRPr="009E66DE">
        <w:rPr>
          <w:rFonts w:cs="Times New Roman"/>
          <w:sz w:val="22"/>
          <w:lang w:val="es-PE"/>
        </w:rPr>
        <w:lastRenderedPageBreak/>
        <w:t>Tabl</w:t>
      </w:r>
      <w:r w:rsidR="009E66DE" w:rsidRPr="009E66DE">
        <w:rPr>
          <w:rFonts w:cs="Times New Roman"/>
          <w:sz w:val="22"/>
          <w:lang w:val="es-PE"/>
        </w:rPr>
        <w:t>e</w:t>
      </w:r>
      <w:r w:rsidRPr="009E66DE">
        <w:rPr>
          <w:rFonts w:cs="Times New Roman"/>
          <w:sz w:val="22"/>
          <w:lang w:val="es-PE"/>
        </w:rPr>
        <w:t xml:space="preserve"> 4</w:t>
      </w:r>
    </w:p>
    <w:p w14:paraId="26149D21" w14:textId="619F2E3D" w:rsidR="00580749" w:rsidRPr="009E66DE" w:rsidRDefault="009E66DE" w:rsidP="00580749">
      <w:pPr>
        <w:pStyle w:val="BodyText"/>
        <w:spacing w:before="0" w:after="0" w:line="360" w:lineRule="auto"/>
        <w:ind w:firstLine="0"/>
        <w:rPr>
          <w:rFonts w:cs="Times New Roman"/>
          <w:i/>
          <w:iCs/>
          <w:sz w:val="22"/>
        </w:rPr>
      </w:pPr>
      <w:r w:rsidRPr="009E66DE">
        <w:rPr>
          <w:rFonts w:cs="Times New Roman"/>
          <w:i/>
          <w:iCs/>
          <w:sz w:val="22"/>
        </w:rPr>
        <w:t>Factorial weights and reliability of model 1 items in different American countries.</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4"/>
        <w:gridCol w:w="541"/>
        <w:gridCol w:w="535"/>
        <w:gridCol w:w="540"/>
        <w:gridCol w:w="540"/>
        <w:gridCol w:w="540"/>
        <w:gridCol w:w="540"/>
        <w:gridCol w:w="540"/>
        <w:gridCol w:w="552"/>
        <w:gridCol w:w="983"/>
        <w:gridCol w:w="983"/>
        <w:gridCol w:w="983"/>
        <w:gridCol w:w="983"/>
        <w:gridCol w:w="983"/>
        <w:gridCol w:w="986"/>
        <w:gridCol w:w="540"/>
        <w:gridCol w:w="540"/>
        <w:gridCol w:w="496"/>
        <w:gridCol w:w="493"/>
      </w:tblGrid>
      <w:tr w:rsidR="009E66DE" w:rsidRPr="009E66DE" w14:paraId="480853C0" w14:textId="77777777" w:rsidTr="003C3079">
        <w:trPr>
          <w:tblHeader/>
        </w:trPr>
        <w:tc>
          <w:tcPr>
            <w:tcW w:w="608" w:type="pct"/>
            <w:vMerge w:val="restart"/>
            <w:tcBorders>
              <w:top w:val="single" w:sz="4" w:space="0" w:color="auto"/>
            </w:tcBorders>
          </w:tcPr>
          <w:p w14:paraId="7FDCD234" w14:textId="105608AF" w:rsidR="009E66DE" w:rsidRPr="009E66DE" w:rsidRDefault="009E66DE" w:rsidP="009E66DE">
            <w:pPr>
              <w:pStyle w:val="BodyText"/>
              <w:spacing w:before="0" w:after="0" w:line="276" w:lineRule="auto"/>
              <w:ind w:firstLine="0"/>
              <w:jc w:val="center"/>
              <w:rPr>
                <w:rFonts w:cs="Times New Roman"/>
                <w:sz w:val="22"/>
              </w:rPr>
            </w:pPr>
            <w:r w:rsidRPr="009E66DE">
              <w:rPr>
                <w:sz w:val="22"/>
              </w:rPr>
              <w:t>Country</w:t>
            </w:r>
          </w:p>
        </w:tc>
        <w:tc>
          <w:tcPr>
            <w:tcW w:w="1545" w:type="pct"/>
            <w:gridSpan w:val="8"/>
            <w:tcBorders>
              <w:top w:val="single" w:sz="4" w:space="0" w:color="auto"/>
              <w:bottom w:val="single" w:sz="4" w:space="0" w:color="auto"/>
            </w:tcBorders>
            <w:shd w:val="clear" w:color="auto" w:fill="auto"/>
          </w:tcPr>
          <w:p w14:paraId="5578FF37" w14:textId="10817221" w:rsidR="009E66DE" w:rsidRPr="009E66DE" w:rsidRDefault="009E66DE" w:rsidP="009E66DE">
            <w:pPr>
              <w:pStyle w:val="BodyText"/>
              <w:spacing w:before="0" w:after="0" w:line="276" w:lineRule="auto"/>
              <w:ind w:firstLine="0"/>
              <w:jc w:val="center"/>
              <w:rPr>
                <w:rFonts w:cs="Times New Roman"/>
                <w:sz w:val="22"/>
              </w:rPr>
            </w:pPr>
            <w:r w:rsidRPr="009E66DE">
              <w:rPr>
                <w:sz w:val="22"/>
              </w:rPr>
              <w:t>Factorial Weight (λ)</w:t>
            </w:r>
          </w:p>
        </w:tc>
        <w:tc>
          <w:tcPr>
            <w:tcW w:w="2107" w:type="pct"/>
            <w:gridSpan w:val="6"/>
            <w:tcBorders>
              <w:top w:val="single" w:sz="4" w:space="0" w:color="auto"/>
              <w:bottom w:val="single" w:sz="4" w:space="0" w:color="auto"/>
            </w:tcBorders>
            <w:shd w:val="clear" w:color="auto" w:fill="auto"/>
          </w:tcPr>
          <w:p w14:paraId="1DE3B13B" w14:textId="02A2BDBE" w:rsidR="009E66DE" w:rsidRPr="009E66DE" w:rsidRDefault="0006120C" w:rsidP="009E66DE">
            <w:pPr>
              <w:pStyle w:val="BodyText"/>
              <w:spacing w:before="0" w:after="0" w:line="276" w:lineRule="auto"/>
              <w:ind w:firstLine="0"/>
              <w:jc w:val="center"/>
              <w:rPr>
                <w:rFonts w:cs="Times New Roman"/>
                <w:sz w:val="22"/>
              </w:rPr>
            </w:pPr>
            <w:r w:rsidRPr="0006120C">
              <w:rPr>
                <w:sz w:val="22"/>
              </w:rPr>
              <w:t>Correlations between factors</w:t>
            </w:r>
          </w:p>
        </w:tc>
        <w:tc>
          <w:tcPr>
            <w:tcW w:w="739" w:type="pct"/>
            <w:gridSpan w:val="4"/>
            <w:tcBorders>
              <w:top w:val="single" w:sz="4" w:space="0" w:color="auto"/>
              <w:bottom w:val="single" w:sz="4" w:space="0" w:color="auto"/>
            </w:tcBorders>
            <w:shd w:val="clear" w:color="auto" w:fill="auto"/>
          </w:tcPr>
          <w:p w14:paraId="4312EC84" w14:textId="4CBCAF19" w:rsidR="009E66DE" w:rsidRPr="009E66DE" w:rsidRDefault="009E66DE" w:rsidP="009E66DE">
            <w:pPr>
              <w:pStyle w:val="BodyText"/>
              <w:spacing w:before="0" w:after="0" w:line="276" w:lineRule="auto"/>
              <w:ind w:firstLine="0"/>
              <w:jc w:val="center"/>
              <w:rPr>
                <w:rFonts w:cs="Times New Roman"/>
                <w:sz w:val="22"/>
              </w:rPr>
            </w:pPr>
            <w:r w:rsidRPr="009E66DE">
              <w:rPr>
                <w:sz w:val="22"/>
              </w:rPr>
              <w:t>Reliability (ω)</w:t>
            </w:r>
          </w:p>
        </w:tc>
      </w:tr>
      <w:tr w:rsidR="009E66DE" w:rsidRPr="009E66DE" w14:paraId="0BCD8B55" w14:textId="77777777" w:rsidTr="006B16F3">
        <w:trPr>
          <w:tblHeader/>
        </w:trPr>
        <w:tc>
          <w:tcPr>
            <w:tcW w:w="608" w:type="pct"/>
            <w:vMerge/>
            <w:tcBorders>
              <w:bottom w:val="single" w:sz="4" w:space="0" w:color="auto"/>
            </w:tcBorders>
            <w:vAlign w:val="center"/>
          </w:tcPr>
          <w:p w14:paraId="0281D7C0" w14:textId="77777777" w:rsidR="00580749" w:rsidRPr="009E66DE" w:rsidRDefault="00580749" w:rsidP="006B16F3">
            <w:pPr>
              <w:pStyle w:val="BodyText"/>
              <w:spacing w:before="0" w:after="0" w:line="276" w:lineRule="auto"/>
              <w:ind w:firstLine="0"/>
              <w:jc w:val="center"/>
              <w:rPr>
                <w:rFonts w:cs="Times New Roman"/>
                <w:sz w:val="22"/>
              </w:rPr>
            </w:pPr>
          </w:p>
        </w:tc>
        <w:tc>
          <w:tcPr>
            <w:tcW w:w="193" w:type="pct"/>
            <w:tcBorders>
              <w:top w:val="single" w:sz="4" w:space="0" w:color="auto"/>
              <w:bottom w:val="single" w:sz="4" w:space="0" w:color="auto"/>
            </w:tcBorders>
            <w:shd w:val="clear" w:color="auto" w:fill="auto"/>
            <w:vAlign w:val="center"/>
          </w:tcPr>
          <w:p w14:paraId="4A3EA2E9"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P4</w:t>
            </w:r>
          </w:p>
        </w:tc>
        <w:tc>
          <w:tcPr>
            <w:tcW w:w="191" w:type="pct"/>
            <w:tcBorders>
              <w:top w:val="single" w:sz="4" w:space="0" w:color="auto"/>
              <w:bottom w:val="single" w:sz="4" w:space="0" w:color="auto"/>
            </w:tcBorders>
            <w:shd w:val="clear" w:color="auto" w:fill="auto"/>
            <w:vAlign w:val="center"/>
          </w:tcPr>
          <w:p w14:paraId="5FFCAD65"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P8</w:t>
            </w:r>
          </w:p>
        </w:tc>
        <w:tc>
          <w:tcPr>
            <w:tcW w:w="193" w:type="pct"/>
            <w:tcBorders>
              <w:top w:val="single" w:sz="4" w:space="0" w:color="auto"/>
              <w:bottom w:val="single" w:sz="4" w:space="0" w:color="auto"/>
            </w:tcBorders>
            <w:shd w:val="clear" w:color="auto" w:fill="auto"/>
            <w:vAlign w:val="center"/>
          </w:tcPr>
          <w:p w14:paraId="7B94E9FC"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P1</w:t>
            </w:r>
          </w:p>
        </w:tc>
        <w:tc>
          <w:tcPr>
            <w:tcW w:w="193" w:type="pct"/>
            <w:tcBorders>
              <w:top w:val="single" w:sz="4" w:space="0" w:color="auto"/>
              <w:bottom w:val="single" w:sz="4" w:space="0" w:color="auto"/>
            </w:tcBorders>
            <w:shd w:val="clear" w:color="auto" w:fill="auto"/>
            <w:vAlign w:val="center"/>
          </w:tcPr>
          <w:p w14:paraId="1AE150C6"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P2</w:t>
            </w:r>
          </w:p>
        </w:tc>
        <w:tc>
          <w:tcPr>
            <w:tcW w:w="193" w:type="pct"/>
            <w:tcBorders>
              <w:top w:val="single" w:sz="4" w:space="0" w:color="auto"/>
              <w:bottom w:val="single" w:sz="4" w:space="0" w:color="auto"/>
            </w:tcBorders>
            <w:shd w:val="clear" w:color="auto" w:fill="auto"/>
            <w:vAlign w:val="center"/>
          </w:tcPr>
          <w:p w14:paraId="50E488E1"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P5</w:t>
            </w:r>
          </w:p>
        </w:tc>
        <w:tc>
          <w:tcPr>
            <w:tcW w:w="193" w:type="pct"/>
            <w:tcBorders>
              <w:top w:val="single" w:sz="4" w:space="0" w:color="auto"/>
              <w:bottom w:val="single" w:sz="4" w:space="0" w:color="auto"/>
            </w:tcBorders>
            <w:vAlign w:val="center"/>
          </w:tcPr>
          <w:p w14:paraId="6A640E7B"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P7</w:t>
            </w:r>
          </w:p>
        </w:tc>
        <w:tc>
          <w:tcPr>
            <w:tcW w:w="193" w:type="pct"/>
            <w:tcBorders>
              <w:top w:val="single" w:sz="4" w:space="0" w:color="auto"/>
              <w:bottom w:val="single" w:sz="4" w:space="0" w:color="auto"/>
            </w:tcBorders>
            <w:vAlign w:val="center"/>
          </w:tcPr>
          <w:p w14:paraId="1B8C705C"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P3</w:t>
            </w:r>
          </w:p>
        </w:tc>
        <w:tc>
          <w:tcPr>
            <w:tcW w:w="197" w:type="pct"/>
            <w:tcBorders>
              <w:top w:val="single" w:sz="4" w:space="0" w:color="auto"/>
              <w:bottom w:val="single" w:sz="4" w:space="0" w:color="auto"/>
            </w:tcBorders>
            <w:vAlign w:val="center"/>
          </w:tcPr>
          <w:p w14:paraId="75BF2D92"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P6</w:t>
            </w:r>
          </w:p>
        </w:tc>
        <w:tc>
          <w:tcPr>
            <w:tcW w:w="351" w:type="pct"/>
            <w:tcBorders>
              <w:top w:val="single" w:sz="4" w:space="0" w:color="auto"/>
              <w:bottom w:val="single" w:sz="4" w:space="0" w:color="auto"/>
            </w:tcBorders>
            <w:vAlign w:val="center"/>
          </w:tcPr>
          <w:p w14:paraId="42442410"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F1 – F2</w:t>
            </w:r>
          </w:p>
        </w:tc>
        <w:tc>
          <w:tcPr>
            <w:tcW w:w="351" w:type="pct"/>
            <w:tcBorders>
              <w:top w:val="single" w:sz="4" w:space="0" w:color="auto"/>
              <w:bottom w:val="single" w:sz="4" w:space="0" w:color="auto"/>
            </w:tcBorders>
            <w:vAlign w:val="center"/>
          </w:tcPr>
          <w:p w14:paraId="4B28548D"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F1 – F3</w:t>
            </w:r>
          </w:p>
        </w:tc>
        <w:tc>
          <w:tcPr>
            <w:tcW w:w="351" w:type="pct"/>
            <w:tcBorders>
              <w:top w:val="single" w:sz="4" w:space="0" w:color="auto"/>
              <w:bottom w:val="single" w:sz="4" w:space="0" w:color="auto"/>
            </w:tcBorders>
            <w:vAlign w:val="center"/>
          </w:tcPr>
          <w:p w14:paraId="65407DC9"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F1 – F4</w:t>
            </w:r>
          </w:p>
        </w:tc>
        <w:tc>
          <w:tcPr>
            <w:tcW w:w="351" w:type="pct"/>
            <w:tcBorders>
              <w:top w:val="single" w:sz="4" w:space="0" w:color="auto"/>
              <w:bottom w:val="single" w:sz="4" w:space="0" w:color="auto"/>
            </w:tcBorders>
            <w:vAlign w:val="center"/>
          </w:tcPr>
          <w:p w14:paraId="76267CAE"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F2 – F3</w:t>
            </w:r>
          </w:p>
        </w:tc>
        <w:tc>
          <w:tcPr>
            <w:tcW w:w="351" w:type="pct"/>
            <w:tcBorders>
              <w:top w:val="single" w:sz="4" w:space="0" w:color="auto"/>
              <w:bottom w:val="single" w:sz="4" w:space="0" w:color="auto"/>
            </w:tcBorders>
            <w:vAlign w:val="center"/>
          </w:tcPr>
          <w:p w14:paraId="3D8A184C"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F2 – F4</w:t>
            </w:r>
          </w:p>
        </w:tc>
        <w:tc>
          <w:tcPr>
            <w:tcW w:w="352" w:type="pct"/>
            <w:tcBorders>
              <w:top w:val="single" w:sz="4" w:space="0" w:color="auto"/>
              <w:bottom w:val="single" w:sz="4" w:space="0" w:color="auto"/>
            </w:tcBorders>
            <w:vAlign w:val="center"/>
          </w:tcPr>
          <w:p w14:paraId="75D2E376"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F3 – F4</w:t>
            </w:r>
          </w:p>
        </w:tc>
        <w:tc>
          <w:tcPr>
            <w:tcW w:w="193" w:type="pct"/>
            <w:tcBorders>
              <w:top w:val="single" w:sz="4" w:space="0" w:color="auto"/>
              <w:bottom w:val="single" w:sz="4" w:space="0" w:color="auto"/>
            </w:tcBorders>
            <w:shd w:val="clear" w:color="auto" w:fill="auto"/>
            <w:vAlign w:val="center"/>
          </w:tcPr>
          <w:p w14:paraId="366D2D7D"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F1</w:t>
            </w:r>
          </w:p>
        </w:tc>
        <w:tc>
          <w:tcPr>
            <w:tcW w:w="193" w:type="pct"/>
            <w:tcBorders>
              <w:top w:val="single" w:sz="4" w:space="0" w:color="auto"/>
              <w:bottom w:val="single" w:sz="4" w:space="0" w:color="auto"/>
            </w:tcBorders>
            <w:shd w:val="clear" w:color="auto" w:fill="auto"/>
            <w:vAlign w:val="center"/>
          </w:tcPr>
          <w:p w14:paraId="1576E58F"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F2</w:t>
            </w:r>
          </w:p>
        </w:tc>
        <w:tc>
          <w:tcPr>
            <w:tcW w:w="177" w:type="pct"/>
            <w:tcBorders>
              <w:top w:val="single" w:sz="4" w:space="0" w:color="auto"/>
              <w:bottom w:val="single" w:sz="4" w:space="0" w:color="auto"/>
            </w:tcBorders>
            <w:vAlign w:val="center"/>
          </w:tcPr>
          <w:p w14:paraId="0D516DED"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F3</w:t>
            </w:r>
          </w:p>
        </w:tc>
        <w:tc>
          <w:tcPr>
            <w:tcW w:w="176" w:type="pct"/>
            <w:tcBorders>
              <w:top w:val="single" w:sz="4" w:space="0" w:color="auto"/>
              <w:bottom w:val="single" w:sz="4" w:space="0" w:color="auto"/>
            </w:tcBorders>
            <w:vAlign w:val="center"/>
          </w:tcPr>
          <w:p w14:paraId="07F2E1D0"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F4</w:t>
            </w:r>
          </w:p>
        </w:tc>
      </w:tr>
      <w:tr w:rsidR="009E66DE" w:rsidRPr="009E66DE" w14:paraId="236EC63D" w14:textId="77777777" w:rsidTr="006B16F3">
        <w:tc>
          <w:tcPr>
            <w:tcW w:w="608" w:type="pct"/>
            <w:vAlign w:val="center"/>
          </w:tcPr>
          <w:p w14:paraId="6766FA24" w14:textId="77777777" w:rsidR="00580749" w:rsidRPr="009E66DE" w:rsidRDefault="00580749" w:rsidP="006B16F3">
            <w:pPr>
              <w:pStyle w:val="BodyText"/>
              <w:spacing w:before="0" w:after="0" w:line="276" w:lineRule="auto"/>
              <w:ind w:firstLine="0"/>
              <w:rPr>
                <w:rFonts w:cs="Times New Roman"/>
                <w:sz w:val="22"/>
                <w:vertAlign w:val="superscript"/>
              </w:rPr>
            </w:pPr>
            <w:r w:rsidRPr="009E66DE">
              <w:rPr>
                <w:rFonts w:cs="Times New Roman"/>
                <w:sz w:val="22"/>
              </w:rPr>
              <w:t>Ecuador (7)</w:t>
            </w:r>
          </w:p>
        </w:tc>
        <w:tc>
          <w:tcPr>
            <w:tcW w:w="193" w:type="pct"/>
            <w:shd w:val="clear" w:color="auto" w:fill="auto"/>
            <w:vAlign w:val="center"/>
          </w:tcPr>
          <w:p w14:paraId="7497351B"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.85</w:t>
            </w:r>
          </w:p>
        </w:tc>
        <w:tc>
          <w:tcPr>
            <w:tcW w:w="191" w:type="pct"/>
            <w:shd w:val="clear" w:color="auto" w:fill="auto"/>
            <w:vAlign w:val="center"/>
          </w:tcPr>
          <w:p w14:paraId="67DD3A94"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.81</w:t>
            </w:r>
          </w:p>
        </w:tc>
        <w:tc>
          <w:tcPr>
            <w:tcW w:w="193" w:type="pct"/>
            <w:shd w:val="clear" w:color="auto" w:fill="auto"/>
            <w:vAlign w:val="center"/>
          </w:tcPr>
          <w:p w14:paraId="2D1D1DA7"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.76</w:t>
            </w:r>
          </w:p>
        </w:tc>
        <w:tc>
          <w:tcPr>
            <w:tcW w:w="193" w:type="pct"/>
            <w:shd w:val="clear" w:color="auto" w:fill="auto"/>
            <w:vAlign w:val="center"/>
          </w:tcPr>
          <w:p w14:paraId="510759FF"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.91</w:t>
            </w:r>
          </w:p>
        </w:tc>
        <w:tc>
          <w:tcPr>
            <w:tcW w:w="193" w:type="pct"/>
            <w:shd w:val="clear" w:color="auto" w:fill="auto"/>
            <w:vAlign w:val="center"/>
          </w:tcPr>
          <w:p w14:paraId="22146CAC"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.92</w:t>
            </w:r>
          </w:p>
        </w:tc>
        <w:tc>
          <w:tcPr>
            <w:tcW w:w="193" w:type="pct"/>
            <w:vAlign w:val="center"/>
          </w:tcPr>
          <w:p w14:paraId="0499BE95"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.89</w:t>
            </w:r>
          </w:p>
        </w:tc>
        <w:tc>
          <w:tcPr>
            <w:tcW w:w="193" w:type="pct"/>
            <w:vAlign w:val="center"/>
          </w:tcPr>
          <w:p w14:paraId="1931012B"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.92</w:t>
            </w:r>
          </w:p>
        </w:tc>
        <w:tc>
          <w:tcPr>
            <w:tcW w:w="197" w:type="pct"/>
            <w:vAlign w:val="center"/>
          </w:tcPr>
          <w:p w14:paraId="08069A74"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.77</w:t>
            </w:r>
          </w:p>
        </w:tc>
        <w:tc>
          <w:tcPr>
            <w:tcW w:w="351" w:type="pct"/>
            <w:vAlign w:val="center"/>
          </w:tcPr>
          <w:p w14:paraId="006000BA"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.93</w:t>
            </w:r>
          </w:p>
        </w:tc>
        <w:tc>
          <w:tcPr>
            <w:tcW w:w="351" w:type="pct"/>
            <w:vAlign w:val="center"/>
          </w:tcPr>
          <w:p w14:paraId="7E0895F7"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.99</w:t>
            </w:r>
          </w:p>
        </w:tc>
        <w:tc>
          <w:tcPr>
            <w:tcW w:w="351" w:type="pct"/>
            <w:vAlign w:val="center"/>
          </w:tcPr>
          <w:p w14:paraId="2A6E1FFE"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.93</w:t>
            </w:r>
          </w:p>
        </w:tc>
        <w:tc>
          <w:tcPr>
            <w:tcW w:w="351" w:type="pct"/>
            <w:vAlign w:val="center"/>
          </w:tcPr>
          <w:p w14:paraId="5DCE0D7E"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.93</w:t>
            </w:r>
          </w:p>
        </w:tc>
        <w:tc>
          <w:tcPr>
            <w:tcW w:w="351" w:type="pct"/>
            <w:vAlign w:val="center"/>
          </w:tcPr>
          <w:p w14:paraId="44E879C8"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.82</w:t>
            </w:r>
          </w:p>
        </w:tc>
        <w:tc>
          <w:tcPr>
            <w:tcW w:w="352" w:type="pct"/>
            <w:vAlign w:val="center"/>
          </w:tcPr>
          <w:p w14:paraId="2594D3C9"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.90</w:t>
            </w:r>
          </w:p>
        </w:tc>
        <w:tc>
          <w:tcPr>
            <w:tcW w:w="193" w:type="pct"/>
            <w:shd w:val="clear" w:color="auto" w:fill="auto"/>
            <w:vAlign w:val="center"/>
          </w:tcPr>
          <w:p w14:paraId="598D8F99"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.82</w:t>
            </w:r>
          </w:p>
        </w:tc>
        <w:tc>
          <w:tcPr>
            <w:tcW w:w="193" w:type="pct"/>
            <w:shd w:val="clear" w:color="auto" w:fill="auto"/>
            <w:vAlign w:val="center"/>
          </w:tcPr>
          <w:p w14:paraId="26CAC8A9"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.82</w:t>
            </w:r>
          </w:p>
        </w:tc>
        <w:tc>
          <w:tcPr>
            <w:tcW w:w="177" w:type="pct"/>
            <w:vAlign w:val="center"/>
          </w:tcPr>
          <w:p w14:paraId="4C80BA55"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.90</w:t>
            </w:r>
          </w:p>
        </w:tc>
        <w:tc>
          <w:tcPr>
            <w:tcW w:w="176" w:type="pct"/>
            <w:vAlign w:val="center"/>
          </w:tcPr>
          <w:p w14:paraId="01793EE7"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.82</w:t>
            </w:r>
          </w:p>
        </w:tc>
      </w:tr>
      <w:tr w:rsidR="009E66DE" w:rsidRPr="009E66DE" w14:paraId="2C61CFE3" w14:textId="77777777" w:rsidTr="006B16F3">
        <w:tc>
          <w:tcPr>
            <w:tcW w:w="608" w:type="pct"/>
            <w:vAlign w:val="center"/>
          </w:tcPr>
          <w:p w14:paraId="6BB7CCFA" w14:textId="77777777" w:rsidR="00580749" w:rsidRPr="009E66DE" w:rsidRDefault="00580749" w:rsidP="006B16F3">
            <w:pPr>
              <w:pStyle w:val="BodyText"/>
              <w:spacing w:before="0" w:after="0" w:line="276" w:lineRule="auto"/>
              <w:ind w:firstLine="0"/>
              <w:rPr>
                <w:rFonts w:cs="Times New Roman"/>
                <w:sz w:val="22"/>
                <w:vertAlign w:val="superscript"/>
              </w:rPr>
            </w:pPr>
            <w:r w:rsidRPr="009E66DE">
              <w:rPr>
                <w:rFonts w:cs="Times New Roman"/>
                <w:sz w:val="22"/>
              </w:rPr>
              <w:t>Colombia (8)</w:t>
            </w:r>
          </w:p>
        </w:tc>
        <w:tc>
          <w:tcPr>
            <w:tcW w:w="193" w:type="pct"/>
            <w:shd w:val="clear" w:color="auto" w:fill="auto"/>
            <w:vAlign w:val="center"/>
          </w:tcPr>
          <w:p w14:paraId="053F8EB8"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.85</w:t>
            </w:r>
          </w:p>
        </w:tc>
        <w:tc>
          <w:tcPr>
            <w:tcW w:w="191" w:type="pct"/>
            <w:shd w:val="clear" w:color="auto" w:fill="auto"/>
            <w:vAlign w:val="center"/>
          </w:tcPr>
          <w:p w14:paraId="7252D653"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.87</w:t>
            </w:r>
          </w:p>
        </w:tc>
        <w:tc>
          <w:tcPr>
            <w:tcW w:w="193" w:type="pct"/>
            <w:shd w:val="clear" w:color="auto" w:fill="auto"/>
            <w:vAlign w:val="center"/>
          </w:tcPr>
          <w:p w14:paraId="6EF511CE"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.79</w:t>
            </w:r>
          </w:p>
        </w:tc>
        <w:tc>
          <w:tcPr>
            <w:tcW w:w="193" w:type="pct"/>
            <w:shd w:val="clear" w:color="auto" w:fill="auto"/>
            <w:vAlign w:val="center"/>
          </w:tcPr>
          <w:p w14:paraId="4AB8FC27"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.89</w:t>
            </w:r>
          </w:p>
        </w:tc>
        <w:tc>
          <w:tcPr>
            <w:tcW w:w="193" w:type="pct"/>
            <w:shd w:val="clear" w:color="auto" w:fill="auto"/>
            <w:vAlign w:val="center"/>
          </w:tcPr>
          <w:p w14:paraId="35AE48CC"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.90</w:t>
            </w:r>
          </w:p>
        </w:tc>
        <w:tc>
          <w:tcPr>
            <w:tcW w:w="193" w:type="pct"/>
            <w:vAlign w:val="center"/>
          </w:tcPr>
          <w:p w14:paraId="7A2B91C6"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.88</w:t>
            </w:r>
          </w:p>
        </w:tc>
        <w:tc>
          <w:tcPr>
            <w:tcW w:w="193" w:type="pct"/>
            <w:vAlign w:val="center"/>
          </w:tcPr>
          <w:p w14:paraId="748446B2"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.93</w:t>
            </w:r>
          </w:p>
        </w:tc>
        <w:tc>
          <w:tcPr>
            <w:tcW w:w="197" w:type="pct"/>
            <w:vAlign w:val="center"/>
          </w:tcPr>
          <w:p w14:paraId="11991EEA"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.79</w:t>
            </w:r>
          </w:p>
        </w:tc>
        <w:tc>
          <w:tcPr>
            <w:tcW w:w="351" w:type="pct"/>
            <w:vAlign w:val="center"/>
          </w:tcPr>
          <w:p w14:paraId="3A43C16A"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.84</w:t>
            </w:r>
          </w:p>
        </w:tc>
        <w:tc>
          <w:tcPr>
            <w:tcW w:w="351" w:type="pct"/>
            <w:vAlign w:val="center"/>
          </w:tcPr>
          <w:p w14:paraId="545FC125"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.97</w:t>
            </w:r>
          </w:p>
        </w:tc>
        <w:tc>
          <w:tcPr>
            <w:tcW w:w="351" w:type="pct"/>
            <w:vAlign w:val="center"/>
          </w:tcPr>
          <w:p w14:paraId="788186C6"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.88</w:t>
            </w:r>
          </w:p>
        </w:tc>
        <w:tc>
          <w:tcPr>
            <w:tcW w:w="351" w:type="pct"/>
            <w:vAlign w:val="center"/>
          </w:tcPr>
          <w:p w14:paraId="1C1C4E12"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.90</w:t>
            </w:r>
          </w:p>
        </w:tc>
        <w:tc>
          <w:tcPr>
            <w:tcW w:w="351" w:type="pct"/>
            <w:vAlign w:val="center"/>
          </w:tcPr>
          <w:p w14:paraId="04EBD100"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.83</w:t>
            </w:r>
          </w:p>
        </w:tc>
        <w:tc>
          <w:tcPr>
            <w:tcW w:w="352" w:type="pct"/>
            <w:vAlign w:val="center"/>
          </w:tcPr>
          <w:p w14:paraId="65BD92E9"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.88</w:t>
            </w:r>
          </w:p>
        </w:tc>
        <w:tc>
          <w:tcPr>
            <w:tcW w:w="193" w:type="pct"/>
            <w:shd w:val="clear" w:color="auto" w:fill="auto"/>
            <w:vAlign w:val="center"/>
          </w:tcPr>
          <w:p w14:paraId="34B9F167"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.85</w:t>
            </w:r>
          </w:p>
        </w:tc>
        <w:tc>
          <w:tcPr>
            <w:tcW w:w="193" w:type="pct"/>
            <w:shd w:val="clear" w:color="auto" w:fill="auto"/>
            <w:vAlign w:val="center"/>
          </w:tcPr>
          <w:p w14:paraId="5C6EC074"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.83</w:t>
            </w:r>
          </w:p>
        </w:tc>
        <w:tc>
          <w:tcPr>
            <w:tcW w:w="177" w:type="pct"/>
            <w:vAlign w:val="center"/>
          </w:tcPr>
          <w:p w14:paraId="1FD9F949"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.88</w:t>
            </w:r>
          </w:p>
        </w:tc>
        <w:tc>
          <w:tcPr>
            <w:tcW w:w="176" w:type="pct"/>
            <w:vAlign w:val="center"/>
          </w:tcPr>
          <w:p w14:paraId="083D2284"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.85</w:t>
            </w:r>
          </w:p>
        </w:tc>
      </w:tr>
      <w:tr w:rsidR="009E66DE" w:rsidRPr="009E66DE" w14:paraId="2258267A" w14:textId="77777777" w:rsidTr="006B16F3">
        <w:tc>
          <w:tcPr>
            <w:tcW w:w="608" w:type="pct"/>
            <w:vAlign w:val="center"/>
          </w:tcPr>
          <w:p w14:paraId="3F70F834" w14:textId="09917C48" w:rsidR="00580749" w:rsidRPr="009E66DE" w:rsidRDefault="00580749" w:rsidP="006B16F3">
            <w:pPr>
              <w:pStyle w:val="BodyText"/>
              <w:spacing w:before="0" w:after="0" w:line="276" w:lineRule="auto"/>
              <w:ind w:firstLine="0"/>
              <w:rPr>
                <w:rFonts w:cs="Times New Roman"/>
                <w:sz w:val="22"/>
              </w:rPr>
            </w:pPr>
            <w:r w:rsidRPr="009E66DE">
              <w:rPr>
                <w:rFonts w:cs="Times New Roman"/>
                <w:sz w:val="22"/>
              </w:rPr>
              <w:t>Per</w:t>
            </w:r>
            <w:r w:rsidR="009E66DE" w:rsidRPr="009E66DE">
              <w:rPr>
                <w:rFonts w:cs="Times New Roman"/>
                <w:sz w:val="22"/>
              </w:rPr>
              <w:t>u</w:t>
            </w:r>
            <w:r w:rsidRPr="009E66DE">
              <w:rPr>
                <w:rFonts w:cs="Times New Roman"/>
                <w:sz w:val="22"/>
              </w:rPr>
              <w:t xml:space="preserve"> (9)</w:t>
            </w:r>
          </w:p>
        </w:tc>
        <w:tc>
          <w:tcPr>
            <w:tcW w:w="193" w:type="pct"/>
            <w:shd w:val="clear" w:color="auto" w:fill="auto"/>
            <w:vAlign w:val="center"/>
          </w:tcPr>
          <w:p w14:paraId="6BEEBA54"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.86</w:t>
            </w:r>
          </w:p>
        </w:tc>
        <w:tc>
          <w:tcPr>
            <w:tcW w:w="191" w:type="pct"/>
            <w:shd w:val="clear" w:color="auto" w:fill="auto"/>
            <w:vAlign w:val="center"/>
          </w:tcPr>
          <w:p w14:paraId="406F27BF"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.84</w:t>
            </w:r>
          </w:p>
        </w:tc>
        <w:tc>
          <w:tcPr>
            <w:tcW w:w="193" w:type="pct"/>
            <w:shd w:val="clear" w:color="auto" w:fill="auto"/>
            <w:vAlign w:val="center"/>
          </w:tcPr>
          <w:p w14:paraId="03548E5A"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.80</w:t>
            </w:r>
          </w:p>
        </w:tc>
        <w:tc>
          <w:tcPr>
            <w:tcW w:w="193" w:type="pct"/>
            <w:shd w:val="clear" w:color="auto" w:fill="auto"/>
            <w:vAlign w:val="center"/>
          </w:tcPr>
          <w:p w14:paraId="5DE5BC81"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.89</w:t>
            </w:r>
          </w:p>
        </w:tc>
        <w:tc>
          <w:tcPr>
            <w:tcW w:w="193" w:type="pct"/>
            <w:shd w:val="clear" w:color="auto" w:fill="auto"/>
            <w:vAlign w:val="center"/>
          </w:tcPr>
          <w:p w14:paraId="517D8857"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.91</w:t>
            </w:r>
          </w:p>
        </w:tc>
        <w:tc>
          <w:tcPr>
            <w:tcW w:w="193" w:type="pct"/>
            <w:vAlign w:val="center"/>
          </w:tcPr>
          <w:p w14:paraId="57E45C87"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.92</w:t>
            </w:r>
          </w:p>
        </w:tc>
        <w:tc>
          <w:tcPr>
            <w:tcW w:w="193" w:type="pct"/>
            <w:vAlign w:val="center"/>
          </w:tcPr>
          <w:p w14:paraId="6EBE8899"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.87</w:t>
            </w:r>
          </w:p>
        </w:tc>
        <w:tc>
          <w:tcPr>
            <w:tcW w:w="197" w:type="pct"/>
            <w:vAlign w:val="center"/>
          </w:tcPr>
          <w:p w14:paraId="1E8B4275"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.82</w:t>
            </w:r>
          </w:p>
        </w:tc>
        <w:tc>
          <w:tcPr>
            <w:tcW w:w="351" w:type="pct"/>
            <w:vAlign w:val="center"/>
          </w:tcPr>
          <w:p w14:paraId="5F813321"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.88</w:t>
            </w:r>
          </w:p>
        </w:tc>
        <w:tc>
          <w:tcPr>
            <w:tcW w:w="351" w:type="pct"/>
            <w:vAlign w:val="center"/>
          </w:tcPr>
          <w:p w14:paraId="7A9374C4"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.95</w:t>
            </w:r>
          </w:p>
        </w:tc>
        <w:tc>
          <w:tcPr>
            <w:tcW w:w="351" w:type="pct"/>
            <w:vAlign w:val="center"/>
          </w:tcPr>
          <w:p w14:paraId="05F3861B"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.90</w:t>
            </w:r>
          </w:p>
        </w:tc>
        <w:tc>
          <w:tcPr>
            <w:tcW w:w="351" w:type="pct"/>
            <w:vAlign w:val="center"/>
          </w:tcPr>
          <w:p w14:paraId="6A6C79DF"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.89</w:t>
            </w:r>
          </w:p>
        </w:tc>
        <w:tc>
          <w:tcPr>
            <w:tcW w:w="351" w:type="pct"/>
            <w:vAlign w:val="center"/>
          </w:tcPr>
          <w:p w14:paraId="5E8C4577"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.84</w:t>
            </w:r>
          </w:p>
        </w:tc>
        <w:tc>
          <w:tcPr>
            <w:tcW w:w="352" w:type="pct"/>
            <w:vAlign w:val="center"/>
          </w:tcPr>
          <w:p w14:paraId="4651BDD2"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.91</w:t>
            </w:r>
          </w:p>
        </w:tc>
        <w:tc>
          <w:tcPr>
            <w:tcW w:w="193" w:type="pct"/>
            <w:shd w:val="clear" w:color="auto" w:fill="auto"/>
            <w:vAlign w:val="center"/>
          </w:tcPr>
          <w:p w14:paraId="48EC0817"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.84</w:t>
            </w:r>
          </w:p>
        </w:tc>
        <w:tc>
          <w:tcPr>
            <w:tcW w:w="193" w:type="pct"/>
            <w:shd w:val="clear" w:color="auto" w:fill="auto"/>
            <w:vAlign w:val="center"/>
          </w:tcPr>
          <w:p w14:paraId="21FF3C4A"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.83</w:t>
            </w:r>
          </w:p>
        </w:tc>
        <w:tc>
          <w:tcPr>
            <w:tcW w:w="177" w:type="pct"/>
            <w:vAlign w:val="center"/>
          </w:tcPr>
          <w:p w14:paraId="57B8A5DE"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.91</w:t>
            </w:r>
          </w:p>
        </w:tc>
        <w:tc>
          <w:tcPr>
            <w:tcW w:w="176" w:type="pct"/>
            <w:vAlign w:val="center"/>
          </w:tcPr>
          <w:p w14:paraId="61C01E52"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.83</w:t>
            </w:r>
          </w:p>
        </w:tc>
      </w:tr>
      <w:tr w:rsidR="009E66DE" w:rsidRPr="009E66DE" w14:paraId="6A8D92FF" w14:textId="77777777" w:rsidTr="006B16F3">
        <w:tc>
          <w:tcPr>
            <w:tcW w:w="608" w:type="pct"/>
            <w:tcBorders>
              <w:bottom w:val="single" w:sz="4" w:space="0" w:color="auto"/>
            </w:tcBorders>
            <w:vAlign w:val="center"/>
          </w:tcPr>
          <w:p w14:paraId="2AC8E55F" w14:textId="77777777" w:rsidR="00580749" w:rsidRPr="009E66DE" w:rsidRDefault="00580749" w:rsidP="006B16F3">
            <w:pPr>
              <w:pStyle w:val="BodyText"/>
              <w:spacing w:before="0" w:after="0" w:line="276" w:lineRule="auto"/>
              <w:ind w:firstLine="0"/>
              <w:rPr>
                <w:rFonts w:cs="Times New Roman"/>
                <w:sz w:val="22"/>
              </w:rPr>
            </w:pPr>
            <w:r w:rsidRPr="009E66DE">
              <w:rPr>
                <w:rFonts w:cs="Times New Roman"/>
                <w:sz w:val="22"/>
              </w:rPr>
              <w:t>Bolivia (14)</w:t>
            </w:r>
          </w:p>
        </w:tc>
        <w:tc>
          <w:tcPr>
            <w:tcW w:w="193" w:type="pct"/>
            <w:tcBorders>
              <w:bottom w:val="single" w:sz="4" w:space="0" w:color="auto"/>
            </w:tcBorders>
            <w:shd w:val="clear" w:color="auto" w:fill="auto"/>
            <w:vAlign w:val="center"/>
          </w:tcPr>
          <w:p w14:paraId="78143930"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.81</w:t>
            </w:r>
          </w:p>
        </w:tc>
        <w:tc>
          <w:tcPr>
            <w:tcW w:w="191" w:type="pct"/>
            <w:tcBorders>
              <w:bottom w:val="single" w:sz="4" w:space="0" w:color="auto"/>
            </w:tcBorders>
            <w:shd w:val="clear" w:color="auto" w:fill="auto"/>
            <w:vAlign w:val="center"/>
          </w:tcPr>
          <w:p w14:paraId="3AE2D1CF"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.83</w:t>
            </w:r>
          </w:p>
        </w:tc>
        <w:tc>
          <w:tcPr>
            <w:tcW w:w="193" w:type="pct"/>
            <w:tcBorders>
              <w:bottom w:val="single" w:sz="4" w:space="0" w:color="auto"/>
            </w:tcBorders>
            <w:shd w:val="clear" w:color="auto" w:fill="auto"/>
            <w:vAlign w:val="center"/>
          </w:tcPr>
          <w:p w14:paraId="2A97D747"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.80</w:t>
            </w:r>
          </w:p>
        </w:tc>
        <w:tc>
          <w:tcPr>
            <w:tcW w:w="193" w:type="pct"/>
            <w:tcBorders>
              <w:bottom w:val="single" w:sz="4" w:space="0" w:color="auto"/>
            </w:tcBorders>
            <w:shd w:val="clear" w:color="auto" w:fill="auto"/>
            <w:vAlign w:val="center"/>
          </w:tcPr>
          <w:p w14:paraId="1E2A99E8"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.89</w:t>
            </w:r>
          </w:p>
        </w:tc>
        <w:tc>
          <w:tcPr>
            <w:tcW w:w="193" w:type="pct"/>
            <w:tcBorders>
              <w:bottom w:val="single" w:sz="4" w:space="0" w:color="auto"/>
            </w:tcBorders>
            <w:shd w:val="clear" w:color="auto" w:fill="auto"/>
            <w:vAlign w:val="center"/>
          </w:tcPr>
          <w:p w14:paraId="635F2E53"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.85</w:t>
            </w:r>
          </w:p>
        </w:tc>
        <w:tc>
          <w:tcPr>
            <w:tcW w:w="193" w:type="pct"/>
            <w:tcBorders>
              <w:bottom w:val="single" w:sz="4" w:space="0" w:color="auto"/>
            </w:tcBorders>
            <w:vAlign w:val="center"/>
          </w:tcPr>
          <w:p w14:paraId="55810636"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.82</w:t>
            </w:r>
          </w:p>
        </w:tc>
        <w:tc>
          <w:tcPr>
            <w:tcW w:w="193" w:type="pct"/>
            <w:tcBorders>
              <w:bottom w:val="single" w:sz="4" w:space="0" w:color="auto"/>
            </w:tcBorders>
            <w:vAlign w:val="center"/>
          </w:tcPr>
          <w:p w14:paraId="51D81A36"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.87</w:t>
            </w:r>
          </w:p>
        </w:tc>
        <w:tc>
          <w:tcPr>
            <w:tcW w:w="197" w:type="pct"/>
            <w:tcBorders>
              <w:bottom w:val="single" w:sz="4" w:space="0" w:color="auto"/>
            </w:tcBorders>
            <w:vAlign w:val="center"/>
          </w:tcPr>
          <w:p w14:paraId="6A72663A"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.75</w:t>
            </w:r>
          </w:p>
        </w:tc>
        <w:tc>
          <w:tcPr>
            <w:tcW w:w="351" w:type="pct"/>
            <w:tcBorders>
              <w:bottom w:val="single" w:sz="4" w:space="0" w:color="auto"/>
            </w:tcBorders>
            <w:vAlign w:val="center"/>
          </w:tcPr>
          <w:p w14:paraId="41C8AC64"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.71</w:t>
            </w:r>
          </w:p>
        </w:tc>
        <w:tc>
          <w:tcPr>
            <w:tcW w:w="351" w:type="pct"/>
            <w:tcBorders>
              <w:bottom w:val="single" w:sz="4" w:space="0" w:color="auto"/>
            </w:tcBorders>
            <w:vAlign w:val="center"/>
          </w:tcPr>
          <w:p w14:paraId="4A8A52B1"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.89</w:t>
            </w:r>
          </w:p>
        </w:tc>
        <w:tc>
          <w:tcPr>
            <w:tcW w:w="351" w:type="pct"/>
            <w:tcBorders>
              <w:bottom w:val="single" w:sz="4" w:space="0" w:color="auto"/>
            </w:tcBorders>
            <w:vAlign w:val="center"/>
          </w:tcPr>
          <w:p w14:paraId="37932C63"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.81</w:t>
            </w:r>
          </w:p>
        </w:tc>
        <w:tc>
          <w:tcPr>
            <w:tcW w:w="351" w:type="pct"/>
            <w:tcBorders>
              <w:bottom w:val="single" w:sz="4" w:space="0" w:color="auto"/>
            </w:tcBorders>
            <w:vAlign w:val="center"/>
          </w:tcPr>
          <w:p w14:paraId="241AB4DF"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.79</w:t>
            </w:r>
          </w:p>
        </w:tc>
        <w:tc>
          <w:tcPr>
            <w:tcW w:w="351" w:type="pct"/>
            <w:tcBorders>
              <w:bottom w:val="single" w:sz="4" w:space="0" w:color="auto"/>
            </w:tcBorders>
            <w:vAlign w:val="center"/>
          </w:tcPr>
          <w:p w14:paraId="2F999FDC"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.78</w:t>
            </w:r>
          </w:p>
        </w:tc>
        <w:tc>
          <w:tcPr>
            <w:tcW w:w="352" w:type="pct"/>
            <w:tcBorders>
              <w:bottom w:val="single" w:sz="4" w:space="0" w:color="auto"/>
            </w:tcBorders>
            <w:vAlign w:val="center"/>
          </w:tcPr>
          <w:p w14:paraId="33969463"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.84</w:t>
            </w:r>
          </w:p>
        </w:tc>
        <w:tc>
          <w:tcPr>
            <w:tcW w:w="193" w:type="pct"/>
            <w:tcBorders>
              <w:bottom w:val="single" w:sz="4" w:space="0" w:color="auto"/>
            </w:tcBorders>
            <w:shd w:val="clear" w:color="auto" w:fill="auto"/>
            <w:vAlign w:val="center"/>
          </w:tcPr>
          <w:p w14:paraId="32C76F29"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.80</w:t>
            </w:r>
          </w:p>
        </w:tc>
        <w:tc>
          <w:tcPr>
            <w:tcW w:w="193" w:type="pct"/>
            <w:tcBorders>
              <w:bottom w:val="single" w:sz="4" w:space="0" w:color="auto"/>
            </w:tcBorders>
            <w:shd w:val="clear" w:color="auto" w:fill="auto"/>
            <w:vAlign w:val="center"/>
          </w:tcPr>
          <w:p w14:paraId="28003F87"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.83</w:t>
            </w:r>
          </w:p>
        </w:tc>
        <w:tc>
          <w:tcPr>
            <w:tcW w:w="177" w:type="pct"/>
            <w:tcBorders>
              <w:bottom w:val="single" w:sz="4" w:space="0" w:color="auto"/>
            </w:tcBorders>
            <w:vAlign w:val="center"/>
          </w:tcPr>
          <w:p w14:paraId="2C91EA65"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.82</w:t>
            </w:r>
          </w:p>
        </w:tc>
        <w:tc>
          <w:tcPr>
            <w:tcW w:w="176" w:type="pct"/>
            <w:tcBorders>
              <w:bottom w:val="single" w:sz="4" w:space="0" w:color="auto"/>
            </w:tcBorders>
            <w:vAlign w:val="center"/>
          </w:tcPr>
          <w:p w14:paraId="74DA020D" w14:textId="77777777" w:rsidR="00580749" w:rsidRPr="009E66DE" w:rsidRDefault="00580749" w:rsidP="006B16F3">
            <w:pPr>
              <w:pStyle w:val="BodyText"/>
              <w:spacing w:before="0" w:after="0" w:line="276" w:lineRule="auto"/>
              <w:ind w:firstLine="0"/>
              <w:jc w:val="center"/>
              <w:rPr>
                <w:rFonts w:cs="Times New Roman"/>
                <w:sz w:val="22"/>
              </w:rPr>
            </w:pPr>
            <w:r w:rsidRPr="009E66DE">
              <w:rPr>
                <w:rFonts w:cs="Times New Roman"/>
                <w:sz w:val="22"/>
              </w:rPr>
              <w:t>.79</w:t>
            </w:r>
          </w:p>
        </w:tc>
      </w:tr>
    </w:tbl>
    <w:p w14:paraId="32670DA9" w14:textId="76122C72" w:rsidR="00580749" w:rsidRPr="009E66DE" w:rsidRDefault="009E66DE" w:rsidP="00580749">
      <w:pPr>
        <w:pStyle w:val="BodyText"/>
        <w:spacing w:before="0" w:after="0" w:line="360" w:lineRule="auto"/>
        <w:ind w:firstLine="0"/>
        <w:rPr>
          <w:rFonts w:cs="Times New Roman"/>
          <w:sz w:val="22"/>
        </w:rPr>
      </w:pPr>
      <w:r w:rsidRPr="009E66DE">
        <w:rPr>
          <w:rFonts w:cs="Times New Roman"/>
          <w:sz w:val="22"/>
        </w:rPr>
        <w:t>F1 = Relationship with Others; F2 = Life Values; F3 = Personal Beliefs; F4 = Spiritual Changes</w:t>
      </w:r>
      <w:r w:rsidR="00EF46D5">
        <w:rPr>
          <w:rFonts w:cs="Times New Roman"/>
          <w:sz w:val="22"/>
        </w:rPr>
        <w:t xml:space="preserve">; </w:t>
      </w:r>
      <w:r w:rsidR="00EF46D5" w:rsidRPr="00E553E0">
        <w:rPr>
          <w:rFonts w:cs="Times New Roman"/>
          <w:sz w:val="22"/>
          <w:lang w:val="es-PE"/>
        </w:rPr>
        <w:t>ω</w:t>
      </w:r>
      <w:r w:rsidR="00EF46D5" w:rsidRPr="00E553E0">
        <w:rPr>
          <w:rFonts w:cs="Times New Roman"/>
          <w:sz w:val="22"/>
        </w:rPr>
        <w:t xml:space="preserve"> = Omega de McDonald</w:t>
      </w:r>
    </w:p>
    <w:p w14:paraId="3683C7F7" w14:textId="77777777" w:rsidR="00580749" w:rsidRPr="009E66DE" w:rsidRDefault="00580749" w:rsidP="00580749">
      <w:pPr>
        <w:pStyle w:val="BodyText"/>
        <w:spacing w:before="0" w:after="0" w:line="360" w:lineRule="auto"/>
        <w:ind w:firstLine="0"/>
        <w:rPr>
          <w:rFonts w:cs="Times New Roman"/>
          <w:szCs w:val="24"/>
        </w:rPr>
      </w:pPr>
    </w:p>
    <w:p w14:paraId="789B11B7" w14:textId="77777777" w:rsidR="00580749" w:rsidRPr="009E66DE" w:rsidRDefault="00580749" w:rsidP="00580749">
      <w:pPr>
        <w:pStyle w:val="BodyText"/>
        <w:spacing w:before="0" w:after="0" w:line="360" w:lineRule="auto"/>
        <w:ind w:firstLine="0"/>
        <w:rPr>
          <w:rFonts w:cs="Times New Roman"/>
          <w:color w:val="FF0000"/>
          <w:szCs w:val="24"/>
        </w:rPr>
      </w:pPr>
    </w:p>
    <w:p w14:paraId="70038227" w14:textId="77777777" w:rsidR="00580749" w:rsidRPr="009E66DE" w:rsidRDefault="00580749" w:rsidP="00580749">
      <w:pPr>
        <w:pStyle w:val="BodyText"/>
        <w:spacing w:before="0" w:after="0" w:line="360" w:lineRule="auto"/>
        <w:ind w:firstLine="0"/>
        <w:rPr>
          <w:rFonts w:cs="Times New Roman"/>
          <w:color w:val="FF0000"/>
          <w:szCs w:val="24"/>
        </w:rPr>
      </w:pPr>
    </w:p>
    <w:p w14:paraId="51A508EE" w14:textId="77777777" w:rsidR="00580749" w:rsidRPr="009E66DE" w:rsidRDefault="00580749" w:rsidP="00580749">
      <w:pPr>
        <w:pStyle w:val="BodyText"/>
        <w:spacing w:before="0" w:after="0" w:line="360" w:lineRule="auto"/>
        <w:ind w:firstLine="0"/>
        <w:rPr>
          <w:rFonts w:cs="Times New Roman"/>
          <w:sz w:val="22"/>
        </w:rPr>
      </w:pPr>
    </w:p>
    <w:p w14:paraId="4354688E" w14:textId="34A014DE" w:rsidR="00580749" w:rsidRPr="009E66DE" w:rsidRDefault="00580749" w:rsidP="00580749">
      <w:pPr>
        <w:pStyle w:val="BodyText"/>
        <w:spacing w:before="0" w:after="0" w:line="360" w:lineRule="auto"/>
        <w:ind w:firstLine="0"/>
        <w:rPr>
          <w:rFonts w:cs="Times New Roman"/>
          <w:sz w:val="22"/>
        </w:rPr>
      </w:pPr>
      <w:bookmarkStart w:id="0" w:name="_Hlk157503331"/>
      <w:r w:rsidRPr="009E66DE">
        <w:rPr>
          <w:rFonts w:cs="Times New Roman"/>
          <w:sz w:val="22"/>
        </w:rPr>
        <w:t>Tabl</w:t>
      </w:r>
      <w:r w:rsidR="009E66DE" w:rsidRPr="009E66DE">
        <w:rPr>
          <w:rFonts w:cs="Times New Roman"/>
          <w:sz w:val="22"/>
        </w:rPr>
        <w:t>e</w:t>
      </w:r>
      <w:r w:rsidRPr="009E66DE">
        <w:rPr>
          <w:rFonts w:cs="Times New Roman"/>
          <w:sz w:val="22"/>
        </w:rPr>
        <w:t xml:space="preserve"> 5</w:t>
      </w:r>
    </w:p>
    <w:p w14:paraId="183BDE1D" w14:textId="236DE2E3" w:rsidR="00580749" w:rsidRPr="009E66DE" w:rsidRDefault="009E66DE" w:rsidP="00580749">
      <w:pPr>
        <w:pStyle w:val="BodyText"/>
        <w:spacing w:before="0" w:after="0" w:line="360" w:lineRule="auto"/>
        <w:ind w:firstLine="0"/>
        <w:rPr>
          <w:rFonts w:cs="Times New Roman"/>
          <w:i/>
          <w:sz w:val="22"/>
        </w:rPr>
      </w:pPr>
      <w:r w:rsidRPr="009E66DE">
        <w:rPr>
          <w:rFonts w:cs="Times New Roman"/>
          <w:i/>
          <w:sz w:val="22"/>
        </w:rPr>
        <w:t>Factorial invariance models of the scale in member countries of the Andean Community.</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9"/>
        <w:gridCol w:w="821"/>
        <w:gridCol w:w="546"/>
        <w:gridCol w:w="601"/>
        <w:gridCol w:w="828"/>
        <w:gridCol w:w="559"/>
        <w:gridCol w:w="601"/>
        <w:gridCol w:w="2471"/>
        <w:gridCol w:w="711"/>
        <w:gridCol w:w="541"/>
        <w:gridCol w:w="601"/>
        <w:gridCol w:w="700"/>
        <w:gridCol w:w="1116"/>
      </w:tblGrid>
      <w:tr w:rsidR="009E66DE" w:rsidRPr="009E66DE" w14:paraId="547F1577" w14:textId="77777777" w:rsidTr="009D1F34">
        <w:tc>
          <w:tcPr>
            <w:tcW w:w="0" w:type="auto"/>
            <w:tcBorders>
              <w:top w:val="single" w:sz="4" w:space="0" w:color="auto"/>
              <w:bottom w:val="single" w:sz="4" w:space="0" w:color="auto"/>
            </w:tcBorders>
          </w:tcPr>
          <w:p w14:paraId="4BC4BFCC" w14:textId="285113A7" w:rsidR="009E66DE" w:rsidRPr="009E66DE" w:rsidRDefault="009E66DE" w:rsidP="009E66DE">
            <w:pPr>
              <w:pStyle w:val="BodyText"/>
              <w:spacing w:before="0" w:after="0" w:line="240" w:lineRule="auto"/>
              <w:ind w:firstLine="0"/>
              <w:rPr>
                <w:rFonts w:cs="Times New Roman"/>
                <w:sz w:val="22"/>
              </w:rPr>
            </w:pPr>
            <w:r w:rsidRPr="009E66DE">
              <w:rPr>
                <w:sz w:val="22"/>
              </w:rPr>
              <w:t>Models of Invariance:</w:t>
            </w:r>
          </w:p>
        </w:tc>
        <w:tc>
          <w:tcPr>
            <w:tcW w:w="0" w:type="auto"/>
            <w:tcBorders>
              <w:top w:val="single" w:sz="4" w:space="0" w:color="auto"/>
              <w:bottom w:val="single" w:sz="4" w:space="0" w:color="auto"/>
            </w:tcBorders>
            <w:vAlign w:val="center"/>
          </w:tcPr>
          <w:p w14:paraId="55FED6F7" w14:textId="77777777" w:rsidR="009E66DE" w:rsidRPr="009E66DE" w:rsidRDefault="009E66DE" w:rsidP="009E66DE">
            <w:pPr>
              <w:pStyle w:val="BodyText"/>
              <w:spacing w:before="0" w:after="0" w:line="240" w:lineRule="auto"/>
              <w:ind w:firstLine="0"/>
              <w:jc w:val="center"/>
              <w:rPr>
                <w:rFonts w:cs="Times New Roman"/>
                <w:sz w:val="22"/>
                <w:vertAlign w:val="superscript"/>
              </w:rPr>
            </w:pPr>
            <w:r w:rsidRPr="009E66DE">
              <w:rPr>
                <w:rFonts w:cs="Times New Roman"/>
                <w:sz w:val="22"/>
              </w:rPr>
              <w:t>χ</w:t>
            </w:r>
            <w:r w:rsidRPr="009E66DE">
              <w:rPr>
                <w:rFonts w:cs="Times New Roman"/>
                <w:sz w:val="22"/>
                <w:vertAlign w:val="superscript"/>
              </w:rPr>
              <w:t>2</w:t>
            </w:r>
          </w:p>
        </w:tc>
        <w:tc>
          <w:tcPr>
            <w:tcW w:w="0" w:type="auto"/>
            <w:tcBorders>
              <w:top w:val="single" w:sz="4" w:space="0" w:color="auto"/>
              <w:bottom w:val="single" w:sz="4" w:space="0" w:color="auto"/>
            </w:tcBorders>
            <w:vAlign w:val="center"/>
          </w:tcPr>
          <w:p w14:paraId="2C89A41D"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df</w:t>
            </w:r>
          </w:p>
        </w:tc>
        <w:tc>
          <w:tcPr>
            <w:tcW w:w="0" w:type="auto"/>
            <w:tcBorders>
              <w:top w:val="single" w:sz="4" w:space="0" w:color="auto"/>
              <w:bottom w:val="single" w:sz="4" w:space="0" w:color="auto"/>
            </w:tcBorders>
            <w:vAlign w:val="center"/>
          </w:tcPr>
          <w:p w14:paraId="3769B2F8" w14:textId="77777777" w:rsidR="009E66DE" w:rsidRPr="009E66DE" w:rsidRDefault="009E66DE" w:rsidP="009E66DE">
            <w:pPr>
              <w:pStyle w:val="BodyText"/>
              <w:spacing w:before="0" w:after="0" w:line="240" w:lineRule="auto"/>
              <w:ind w:firstLine="0"/>
              <w:jc w:val="center"/>
              <w:rPr>
                <w:rFonts w:cs="Times New Roman"/>
                <w:i/>
                <w:iCs/>
                <w:sz w:val="22"/>
              </w:rPr>
            </w:pPr>
            <w:r w:rsidRPr="009E66DE">
              <w:rPr>
                <w:rFonts w:cs="Times New Roman"/>
                <w:i/>
                <w:iCs/>
                <w:sz w:val="22"/>
              </w:rPr>
              <w:t>p</w:t>
            </w:r>
          </w:p>
        </w:tc>
        <w:tc>
          <w:tcPr>
            <w:tcW w:w="0" w:type="auto"/>
            <w:tcBorders>
              <w:top w:val="single" w:sz="4" w:space="0" w:color="auto"/>
              <w:bottom w:val="single" w:sz="4" w:space="0" w:color="auto"/>
            </w:tcBorders>
            <w:vAlign w:val="center"/>
          </w:tcPr>
          <w:p w14:paraId="6D03A40A"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SRMR</w:t>
            </w:r>
          </w:p>
        </w:tc>
        <w:tc>
          <w:tcPr>
            <w:tcW w:w="0" w:type="auto"/>
            <w:tcBorders>
              <w:top w:val="single" w:sz="4" w:space="0" w:color="auto"/>
              <w:bottom w:val="single" w:sz="4" w:space="0" w:color="auto"/>
            </w:tcBorders>
          </w:tcPr>
          <w:p w14:paraId="3FB90C91"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TLI</w:t>
            </w:r>
          </w:p>
        </w:tc>
        <w:tc>
          <w:tcPr>
            <w:tcW w:w="0" w:type="auto"/>
            <w:tcBorders>
              <w:top w:val="single" w:sz="4" w:space="0" w:color="auto"/>
              <w:bottom w:val="single" w:sz="4" w:space="0" w:color="auto"/>
            </w:tcBorders>
          </w:tcPr>
          <w:p w14:paraId="3923F71C"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CFI</w:t>
            </w:r>
          </w:p>
        </w:tc>
        <w:tc>
          <w:tcPr>
            <w:tcW w:w="0" w:type="auto"/>
            <w:tcBorders>
              <w:top w:val="single" w:sz="4" w:space="0" w:color="auto"/>
              <w:bottom w:val="single" w:sz="4" w:space="0" w:color="auto"/>
            </w:tcBorders>
            <w:vAlign w:val="center"/>
          </w:tcPr>
          <w:p w14:paraId="33CBBE3F"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RMSEA [90%CI]</w:t>
            </w:r>
          </w:p>
        </w:tc>
        <w:tc>
          <w:tcPr>
            <w:tcW w:w="0" w:type="auto"/>
            <w:tcBorders>
              <w:top w:val="single" w:sz="4" w:space="0" w:color="auto"/>
              <w:bottom w:val="single" w:sz="4" w:space="0" w:color="auto"/>
            </w:tcBorders>
            <w:vAlign w:val="center"/>
          </w:tcPr>
          <w:p w14:paraId="2A4E3EE5"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Δχ</w:t>
            </w:r>
            <w:r w:rsidRPr="009E66DE">
              <w:rPr>
                <w:rFonts w:cs="Times New Roman"/>
                <w:sz w:val="22"/>
                <w:vertAlign w:val="superscript"/>
              </w:rPr>
              <w:t>2</w:t>
            </w:r>
          </w:p>
        </w:tc>
        <w:tc>
          <w:tcPr>
            <w:tcW w:w="0" w:type="auto"/>
            <w:tcBorders>
              <w:top w:val="single" w:sz="4" w:space="0" w:color="auto"/>
              <w:bottom w:val="single" w:sz="4" w:space="0" w:color="auto"/>
            </w:tcBorders>
            <w:vAlign w:val="center"/>
          </w:tcPr>
          <w:p w14:paraId="16CFA006"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Δdf</w:t>
            </w:r>
          </w:p>
        </w:tc>
        <w:tc>
          <w:tcPr>
            <w:tcW w:w="0" w:type="auto"/>
            <w:tcBorders>
              <w:top w:val="single" w:sz="4" w:space="0" w:color="auto"/>
              <w:bottom w:val="single" w:sz="4" w:space="0" w:color="auto"/>
            </w:tcBorders>
          </w:tcPr>
          <w:p w14:paraId="363ACEF0" w14:textId="77777777" w:rsidR="009E66DE" w:rsidRPr="009E66DE" w:rsidRDefault="009E66DE" w:rsidP="009E66DE">
            <w:pPr>
              <w:pStyle w:val="BodyText"/>
              <w:spacing w:before="0" w:after="0" w:line="240" w:lineRule="auto"/>
              <w:ind w:firstLine="0"/>
              <w:jc w:val="center"/>
              <w:rPr>
                <w:rFonts w:cs="Times New Roman"/>
                <w:i/>
                <w:iCs/>
                <w:sz w:val="22"/>
              </w:rPr>
            </w:pPr>
            <w:r w:rsidRPr="009E66DE">
              <w:rPr>
                <w:rFonts w:cs="Times New Roman"/>
                <w:i/>
                <w:iCs/>
                <w:sz w:val="22"/>
              </w:rPr>
              <w:t>p</w:t>
            </w:r>
          </w:p>
        </w:tc>
        <w:tc>
          <w:tcPr>
            <w:tcW w:w="0" w:type="auto"/>
            <w:tcBorders>
              <w:top w:val="single" w:sz="4" w:space="0" w:color="auto"/>
              <w:bottom w:val="single" w:sz="4" w:space="0" w:color="auto"/>
            </w:tcBorders>
            <w:vAlign w:val="center"/>
          </w:tcPr>
          <w:p w14:paraId="09218EFA"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ΔCFI</w:t>
            </w:r>
          </w:p>
        </w:tc>
        <w:tc>
          <w:tcPr>
            <w:tcW w:w="0" w:type="auto"/>
            <w:tcBorders>
              <w:top w:val="single" w:sz="4" w:space="0" w:color="auto"/>
              <w:bottom w:val="single" w:sz="4" w:space="0" w:color="auto"/>
            </w:tcBorders>
            <w:vAlign w:val="center"/>
          </w:tcPr>
          <w:p w14:paraId="6776D2BA"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ΔRMSEA</w:t>
            </w:r>
          </w:p>
        </w:tc>
      </w:tr>
      <w:tr w:rsidR="009E66DE" w:rsidRPr="009E66DE" w14:paraId="570590AF" w14:textId="77777777" w:rsidTr="009D1F34">
        <w:tc>
          <w:tcPr>
            <w:tcW w:w="0" w:type="auto"/>
          </w:tcPr>
          <w:p w14:paraId="2A6765A7" w14:textId="469AFA5B" w:rsidR="009E66DE" w:rsidRPr="009E66DE" w:rsidRDefault="009E66DE" w:rsidP="009E66DE">
            <w:pPr>
              <w:pStyle w:val="BodyText"/>
              <w:spacing w:before="0" w:after="0" w:line="240" w:lineRule="auto"/>
              <w:ind w:firstLine="0"/>
              <w:rPr>
                <w:rFonts w:cs="Times New Roman"/>
                <w:sz w:val="22"/>
              </w:rPr>
            </w:pPr>
            <w:r w:rsidRPr="009E66DE">
              <w:rPr>
                <w:sz w:val="22"/>
              </w:rPr>
              <w:t>Configural</w:t>
            </w:r>
          </w:p>
        </w:tc>
        <w:tc>
          <w:tcPr>
            <w:tcW w:w="0" w:type="auto"/>
            <w:vAlign w:val="center"/>
          </w:tcPr>
          <w:p w14:paraId="5BB36EF7"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170.59</w:t>
            </w:r>
          </w:p>
        </w:tc>
        <w:tc>
          <w:tcPr>
            <w:tcW w:w="0" w:type="auto"/>
            <w:vAlign w:val="center"/>
          </w:tcPr>
          <w:p w14:paraId="0DB4D585"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56</w:t>
            </w:r>
          </w:p>
        </w:tc>
        <w:tc>
          <w:tcPr>
            <w:tcW w:w="0" w:type="auto"/>
            <w:vAlign w:val="center"/>
          </w:tcPr>
          <w:p w14:paraId="6D701659"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.000</w:t>
            </w:r>
          </w:p>
        </w:tc>
        <w:tc>
          <w:tcPr>
            <w:tcW w:w="0" w:type="auto"/>
            <w:vAlign w:val="center"/>
          </w:tcPr>
          <w:p w14:paraId="001635AB"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.019</w:t>
            </w:r>
          </w:p>
        </w:tc>
        <w:tc>
          <w:tcPr>
            <w:tcW w:w="0" w:type="auto"/>
            <w:vAlign w:val="center"/>
          </w:tcPr>
          <w:p w14:paraId="6F1592CC"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.97</w:t>
            </w:r>
          </w:p>
        </w:tc>
        <w:tc>
          <w:tcPr>
            <w:tcW w:w="0" w:type="auto"/>
            <w:vAlign w:val="center"/>
          </w:tcPr>
          <w:p w14:paraId="29AD865C"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.984</w:t>
            </w:r>
          </w:p>
        </w:tc>
        <w:tc>
          <w:tcPr>
            <w:tcW w:w="0" w:type="auto"/>
            <w:vAlign w:val="center"/>
          </w:tcPr>
          <w:p w14:paraId="01084E6B"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.085 [90%CI .078 ‒ .092]</w:t>
            </w:r>
          </w:p>
        </w:tc>
        <w:tc>
          <w:tcPr>
            <w:tcW w:w="0" w:type="auto"/>
            <w:vAlign w:val="center"/>
          </w:tcPr>
          <w:p w14:paraId="36B50DED"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w:t>
            </w:r>
          </w:p>
        </w:tc>
        <w:tc>
          <w:tcPr>
            <w:tcW w:w="0" w:type="auto"/>
            <w:vAlign w:val="center"/>
          </w:tcPr>
          <w:p w14:paraId="5AE419A2"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w:t>
            </w:r>
          </w:p>
        </w:tc>
        <w:tc>
          <w:tcPr>
            <w:tcW w:w="0" w:type="auto"/>
            <w:vAlign w:val="center"/>
          </w:tcPr>
          <w:p w14:paraId="7BB84DAA"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w:t>
            </w:r>
          </w:p>
        </w:tc>
        <w:tc>
          <w:tcPr>
            <w:tcW w:w="0" w:type="auto"/>
            <w:vAlign w:val="center"/>
          </w:tcPr>
          <w:p w14:paraId="68886F96"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w:t>
            </w:r>
          </w:p>
        </w:tc>
        <w:tc>
          <w:tcPr>
            <w:tcW w:w="0" w:type="auto"/>
            <w:vAlign w:val="center"/>
          </w:tcPr>
          <w:p w14:paraId="552DBF02"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w:t>
            </w:r>
          </w:p>
        </w:tc>
      </w:tr>
      <w:tr w:rsidR="009E66DE" w:rsidRPr="009E66DE" w14:paraId="0727B746" w14:textId="77777777" w:rsidTr="009D1F34">
        <w:tc>
          <w:tcPr>
            <w:tcW w:w="0" w:type="auto"/>
          </w:tcPr>
          <w:p w14:paraId="0B8C6511" w14:textId="42A1BD49" w:rsidR="009E66DE" w:rsidRPr="009E66DE" w:rsidRDefault="009E66DE" w:rsidP="009E66DE">
            <w:pPr>
              <w:pStyle w:val="BodyText"/>
              <w:spacing w:before="0" w:after="0" w:line="240" w:lineRule="auto"/>
              <w:ind w:firstLine="0"/>
              <w:rPr>
                <w:rFonts w:cs="Times New Roman"/>
                <w:sz w:val="22"/>
              </w:rPr>
            </w:pPr>
            <w:r w:rsidRPr="009E66DE">
              <w:rPr>
                <w:sz w:val="22"/>
              </w:rPr>
              <w:t>Metric</w:t>
            </w:r>
          </w:p>
        </w:tc>
        <w:tc>
          <w:tcPr>
            <w:tcW w:w="0" w:type="auto"/>
            <w:vAlign w:val="center"/>
          </w:tcPr>
          <w:p w14:paraId="240DE856"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193.21</w:t>
            </w:r>
          </w:p>
        </w:tc>
        <w:tc>
          <w:tcPr>
            <w:tcW w:w="0" w:type="auto"/>
            <w:vAlign w:val="center"/>
          </w:tcPr>
          <w:p w14:paraId="4496F6B2"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68</w:t>
            </w:r>
          </w:p>
        </w:tc>
        <w:tc>
          <w:tcPr>
            <w:tcW w:w="0" w:type="auto"/>
            <w:vAlign w:val="center"/>
          </w:tcPr>
          <w:p w14:paraId="6E82E121"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.000</w:t>
            </w:r>
          </w:p>
        </w:tc>
        <w:tc>
          <w:tcPr>
            <w:tcW w:w="0" w:type="auto"/>
            <w:vAlign w:val="center"/>
          </w:tcPr>
          <w:p w14:paraId="2E03A05B"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.024</w:t>
            </w:r>
          </w:p>
        </w:tc>
        <w:tc>
          <w:tcPr>
            <w:tcW w:w="0" w:type="auto"/>
            <w:vAlign w:val="center"/>
          </w:tcPr>
          <w:p w14:paraId="5C2B9627"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.97</w:t>
            </w:r>
          </w:p>
        </w:tc>
        <w:tc>
          <w:tcPr>
            <w:tcW w:w="0" w:type="auto"/>
            <w:vAlign w:val="center"/>
          </w:tcPr>
          <w:p w14:paraId="0F2C40DF"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.984</w:t>
            </w:r>
          </w:p>
        </w:tc>
        <w:tc>
          <w:tcPr>
            <w:tcW w:w="0" w:type="auto"/>
            <w:vAlign w:val="center"/>
          </w:tcPr>
          <w:p w14:paraId="2FC1514D"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.077 [90%CI .076 ‒ .088]</w:t>
            </w:r>
          </w:p>
        </w:tc>
        <w:tc>
          <w:tcPr>
            <w:tcW w:w="0" w:type="auto"/>
            <w:vAlign w:val="center"/>
          </w:tcPr>
          <w:p w14:paraId="2658C9D8"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12.11</w:t>
            </w:r>
          </w:p>
        </w:tc>
        <w:tc>
          <w:tcPr>
            <w:tcW w:w="0" w:type="auto"/>
            <w:vAlign w:val="center"/>
          </w:tcPr>
          <w:p w14:paraId="37443943"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12</w:t>
            </w:r>
          </w:p>
        </w:tc>
        <w:tc>
          <w:tcPr>
            <w:tcW w:w="0" w:type="auto"/>
          </w:tcPr>
          <w:p w14:paraId="4F55985B"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.436</w:t>
            </w:r>
          </w:p>
        </w:tc>
        <w:tc>
          <w:tcPr>
            <w:tcW w:w="0" w:type="auto"/>
            <w:vAlign w:val="center"/>
          </w:tcPr>
          <w:p w14:paraId="21C2ACCF"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.000</w:t>
            </w:r>
          </w:p>
        </w:tc>
        <w:tc>
          <w:tcPr>
            <w:tcW w:w="0" w:type="auto"/>
            <w:vAlign w:val="center"/>
          </w:tcPr>
          <w:p w14:paraId="446C3B32"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-.008</w:t>
            </w:r>
          </w:p>
        </w:tc>
      </w:tr>
      <w:tr w:rsidR="009E66DE" w:rsidRPr="009E66DE" w14:paraId="58C63F6B" w14:textId="77777777" w:rsidTr="009D1F34">
        <w:tc>
          <w:tcPr>
            <w:tcW w:w="0" w:type="auto"/>
          </w:tcPr>
          <w:p w14:paraId="19AE9E32" w14:textId="396C2922" w:rsidR="009E66DE" w:rsidRPr="009E66DE" w:rsidRDefault="009E66DE" w:rsidP="009E66DE">
            <w:pPr>
              <w:pStyle w:val="BodyText"/>
              <w:spacing w:before="0" w:after="0" w:line="240" w:lineRule="auto"/>
              <w:ind w:firstLine="0"/>
              <w:rPr>
                <w:rFonts w:cs="Times New Roman"/>
                <w:sz w:val="22"/>
              </w:rPr>
            </w:pPr>
            <w:r w:rsidRPr="009E66DE">
              <w:rPr>
                <w:sz w:val="22"/>
              </w:rPr>
              <w:t>Scalar</w:t>
            </w:r>
          </w:p>
        </w:tc>
        <w:tc>
          <w:tcPr>
            <w:tcW w:w="0" w:type="auto"/>
            <w:vAlign w:val="center"/>
          </w:tcPr>
          <w:p w14:paraId="5AF7AC9E"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218.89</w:t>
            </w:r>
          </w:p>
        </w:tc>
        <w:tc>
          <w:tcPr>
            <w:tcW w:w="0" w:type="auto"/>
            <w:vAlign w:val="center"/>
          </w:tcPr>
          <w:p w14:paraId="6AA61C09"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80</w:t>
            </w:r>
          </w:p>
        </w:tc>
        <w:tc>
          <w:tcPr>
            <w:tcW w:w="0" w:type="auto"/>
            <w:vAlign w:val="center"/>
          </w:tcPr>
          <w:p w14:paraId="018E8207"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.000</w:t>
            </w:r>
          </w:p>
        </w:tc>
        <w:tc>
          <w:tcPr>
            <w:tcW w:w="0" w:type="auto"/>
            <w:vAlign w:val="center"/>
          </w:tcPr>
          <w:p w14:paraId="531F0A94"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.026</w:t>
            </w:r>
          </w:p>
        </w:tc>
        <w:tc>
          <w:tcPr>
            <w:tcW w:w="0" w:type="auto"/>
            <w:vAlign w:val="center"/>
          </w:tcPr>
          <w:p w14:paraId="68E5A6E8"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.98</w:t>
            </w:r>
          </w:p>
        </w:tc>
        <w:tc>
          <w:tcPr>
            <w:tcW w:w="0" w:type="auto"/>
            <w:vAlign w:val="center"/>
          </w:tcPr>
          <w:p w14:paraId="4D41011A"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.983</w:t>
            </w:r>
          </w:p>
        </w:tc>
        <w:tc>
          <w:tcPr>
            <w:tcW w:w="0" w:type="auto"/>
            <w:vAlign w:val="center"/>
          </w:tcPr>
          <w:p w14:paraId="51D40EB9"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.073 [90%CI .086 ‒ .097]</w:t>
            </w:r>
          </w:p>
        </w:tc>
        <w:tc>
          <w:tcPr>
            <w:tcW w:w="0" w:type="auto"/>
            <w:vAlign w:val="center"/>
          </w:tcPr>
          <w:p w14:paraId="4F45A599"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22.12</w:t>
            </w:r>
          </w:p>
        </w:tc>
        <w:tc>
          <w:tcPr>
            <w:tcW w:w="0" w:type="auto"/>
            <w:vAlign w:val="center"/>
          </w:tcPr>
          <w:p w14:paraId="3DEEC8FB"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12</w:t>
            </w:r>
          </w:p>
        </w:tc>
        <w:tc>
          <w:tcPr>
            <w:tcW w:w="0" w:type="auto"/>
          </w:tcPr>
          <w:p w14:paraId="0CA11C54"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.036</w:t>
            </w:r>
          </w:p>
        </w:tc>
        <w:tc>
          <w:tcPr>
            <w:tcW w:w="0" w:type="auto"/>
            <w:vAlign w:val="center"/>
          </w:tcPr>
          <w:p w14:paraId="1BC87F83"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-.001</w:t>
            </w:r>
          </w:p>
        </w:tc>
        <w:tc>
          <w:tcPr>
            <w:tcW w:w="0" w:type="auto"/>
            <w:vAlign w:val="center"/>
          </w:tcPr>
          <w:p w14:paraId="75D07285"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-.004</w:t>
            </w:r>
          </w:p>
        </w:tc>
      </w:tr>
      <w:tr w:rsidR="009E66DE" w:rsidRPr="009E66DE" w14:paraId="2843E234" w14:textId="77777777" w:rsidTr="009D1F34">
        <w:tc>
          <w:tcPr>
            <w:tcW w:w="0" w:type="auto"/>
            <w:tcBorders>
              <w:bottom w:val="single" w:sz="4" w:space="0" w:color="auto"/>
            </w:tcBorders>
          </w:tcPr>
          <w:p w14:paraId="487BC350" w14:textId="232ED388" w:rsidR="009E66DE" w:rsidRPr="009E66DE" w:rsidRDefault="009E66DE" w:rsidP="009E66DE">
            <w:pPr>
              <w:pStyle w:val="BodyText"/>
              <w:spacing w:before="0" w:after="0" w:line="240" w:lineRule="auto"/>
              <w:ind w:firstLine="0"/>
              <w:rPr>
                <w:rFonts w:cs="Times New Roman"/>
                <w:sz w:val="22"/>
              </w:rPr>
            </w:pPr>
            <w:r w:rsidRPr="009E66DE">
              <w:rPr>
                <w:sz w:val="22"/>
              </w:rPr>
              <w:t>Strict</w:t>
            </w:r>
          </w:p>
        </w:tc>
        <w:tc>
          <w:tcPr>
            <w:tcW w:w="0" w:type="auto"/>
            <w:tcBorders>
              <w:bottom w:val="single" w:sz="4" w:space="0" w:color="auto"/>
            </w:tcBorders>
            <w:vAlign w:val="center"/>
          </w:tcPr>
          <w:p w14:paraId="4F00ACED"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260.61</w:t>
            </w:r>
          </w:p>
        </w:tc>
        <w:tc>
          <w:tcPr>
            <w:tcW w:w="0" w:type="auto"/>
            <w:tcBorders>
              <w:bottom w:val="single" w:sz="4" w:space="0" w:color="auto"/>
            </w:tcBorders>
            <w:vAlign w:val="center"/>
          </w:tcPr>
          <w:p w14:paraId="67F6EA45"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104</w:t>
            </w:r>
          </w:p>
        </w:tc>
        <w:tc>
          <w:tcPr>
            <w:tcW w:w="0" w:type="auto"/>
            <w:tcBorders>
              <w:bottom w:val="single" w:sz="4" w:space="0" w:color="auto"/>
            </w:tcBorders>
            <w:vAlign w:val="center"/>
          </w:tcPr>
          <w:p w14:paraId="068641AC"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.000</w:t>
            </w:r>
          </w:p>
        </w:tc>
        <w:tc>
          <w:tcPr>
            <w:tcW w:w="0" w:type="auto"/>
            <w:tcBorders>
              <w:bottom w:val="single" w:sz="4" w:space="0" w:color="auto"/>
            </w:tcBorders>
            <w:vAlign w:val="center"/>
          </w:tcPr>
          <w:p w14:paraId="67920679"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.027</w:t>
            </w:r>
          </w:p>
        </w:tc>
        <w:tc>
          <w:tcPr>
            <w:tcW w:w="0" w:type="auto"/>
            <w:tcBorders>
              <w:bottom w:val="single" w:sz="4" w:space="0" w:color="auto"/>
            </w:tcBorders>
            <w:vAlign w:val="center"/>
          </w:tcPr>
          <w:p w14:paraId="680F497D"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.98</w:t>
            </w:r>
          </w:p>
        </w:tc>
        <w:tc>
          <w:tcPr>
            <w:tcW w:w="0" w:type="auto"/>
            <w:tcBorders>
              <w:bottom w:val="single" w:sz="4" w:space="0" w:color="auto"/>
            </w:tcBorders>
            <w:vAlign w:val="center"/>
          </w:tcPr>
          <w:p w14:paraId="2D833214"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.979</w:t>
            </w:r>
          </w:p>
        </w:tc>
        <w:tc>
          <w:tcPr>
            <w:tcW w:w="0" w:type="auto"/>
            <w:tcBorders>
              <w:bottom w:val="single" w:sz="4" w:space="0" w:color="auto"/>
            </w:tcBorders>
            <w:vAlign w:val="center"/>
          </w:tcPr>
          <w:p w14:paraId="1D24F1CC"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.072 [90%CI .089 ‒ .098]</w:t>
            </w:r>
          </w:p>
        </w:tc>
        <w:tc>
          <w:tcPr>
            <w:tcW w:w="0" w:type="auto"/>
            <w:tcBorders>
              <w:bottom w:val="single" w:sz="4" w:space="0" w:color="auto"/>
            </w:tcBorders>
            <w:vAlign w:val="center"/>
          </w:tcPr>
          <w:p w14:paraId="2D5CF25B"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47.34</w:t>
            </w:r>
          </w:p>
        </w:tc>
        <w:tc>
          <w:tcPr>
            <w:tcW w:w="0" w:type="auto"/>
            <w:tcBorders>
              <w:bottom w:val="single" w:sz="4" w:space="0" w:color="auto"/>
            </w:tcBorders>
            <w:vAlign w:val="center"/>
          </w:tcPr>
          <w:p w14:paraId="61CA5F54"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24</w:t>
            </w:r>
          </w:p>
        </w:tc>
        <w:tc>
          <w:tcPr>
            <w:tcW w:w="0" w:type="auto"/>
            <w:tcBorders>
              <w:bottom w:val="single" w:sz="4" w:space="0" w:color="auto"/>
            </w:tcBorders>
          </w:tcPr>
          <w:p w14:paraId="2BB8044A"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.003</w:t>
            </w:r>
          </w:p>
        </w:tc>
        <w:tc>
          <w:tcPr>
            <w:tcW w:w="0" w:type="auto"/>
            <w:tcBorders>
              <w:bottom w:val="single" w:sz="4" w:space="0" w:color="auto"/>
            </w:tcBorders>
            <w:vAlign w:val="center"/>
          </w:tcPr>
          <w:p w14:paraId="4D895E81"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-.004</w:t>
            </w:r>
          </w:p>
        </w:tc>
        <w:tc>
          <w:tcPr>
            <w:tcW w:w="0" w:type="auto"/>
            <w:tcBorders>
              <w:bottom w:val="single" w:sz="4" w:space="0" w:color="auto"/>
            </w:tcBorders>
            <w:vAlign w:val="center"/>
          </w:tcPr>
          <w:p w14:paraId="29FB499D" w14:textId="77777777" w:rsidR="009E66DE" w:rsidRPr="009E66DE" w:rsidRDefault="009E66DE" w:rsidP="009E66DE">
            <w:pPr>
              <w:pStyle w:val="BodyText"/>
              <w:spacing w:before="0" w:after="0" w:line="240" w:lineRule="auto"/>
              <w:ind w:firstLine="0"/>
              <w:jc w:val="center"/>
              <w:rPr>
                <w:rFonts w:cs="Times New Roman"/>
                <w:sz w:val="22"/>
              </w:rPr>
            </w:pPr>
            <w:r w:rsidRPr="009E66DE">
              <w:rPr>
                <w:rFonts w:cs="Times New Roman"/>
                <w:sz w:val="22"/>
              </w:rPr>
              <w:t>-.002</w:t>
            </w:r>
          </w:p>
        </w:tc>
      </w:tr>
      <w:bookmarkEnd w:id="0"/>
    </w:tbl>
    <w:p w14:paraId="4F49BA62" w14:textId="77777777" w:rsidR="00580749" w:rsidRPr="009E66DE" w:rsidRDefault="00580749" w:rsidP="00580749">
      <w:pPr>
        <w:pStyle w:val="BodyText"/>
        <w:spacing w:before="0" w:after="0" w:line="360" w:lineRule="auto"/>
        <w:ind w:firstLine="0"/>
        <w:rPr>
          <w:rFonts w:cs="Times New Roman"/>
          <w:sz w:val="22"/>
          <w:lang w:val="es-ES"/>
        </w:rPr>
      </w:pPr>
    </w:p>
    <w:p w14:paraId="5A80251B" w14:textId="77777777" w:rsidR="00580749" w:rsidRPr="00C876F1" w:rsidRDefault="00580749" w:rsidP="00580749">
      <w:pPr>
        <w:spacing w:after="0" w:line="480" w:lineRule="auto"/>
        <w:rPr>
          <w:rFonts w:ascii="Times New Roman" w:hAnsi="Times New Roman" w:cs="Times New Roman"/>
          <w:color w:val="FF0000"/>
          <w:sz w:val="24"/>
          <w:szCs w:val="24"/>
          <w:lang w:val="es-ES"/>
        </w:rPr>
        <w:sectPr w:rsidR="00580749" w:rsidRPr="00C876F1" w:rsidSect="00C46831">
          <w:pgSz w:w="16838" w:h="11906" w:orient="landscape" w:code="9"/>
          <w:pgMar w:top="1701" w:right="1418" w:bottom="1701" w:left="1418" w:header="709" w:footer="709" w:gutter="0"/>
          <w:cols w:space="708"/>
          <w:docGrid w:linePitch="360"/>
        </w:sectPr>
      </w:pPr>
    </w:p>
    <w:p w14:paraId="395FBA52" w14:textId="4972FD0D" w:rsidR="00580749" w:rsidRPr="009E66DE" w:rsidRDefault="00580749" w:rsidP="00580749">
      <w:pPr>
        <w:spacing w:after="0" w:line="360" w:lineRule="auto"/>
        <w:rPr>
          <w:rFonts w:ascii="Times New Roman" w:hAnsi="Times New Roman" w:cs="Times New Roman"/>
        </w:rPr>
      </w:pPr>
      <w:r w:rsidRPr="009E66DE">
        <w:rPr>
          <w:rFonts w:ascii="Times New Roman" w:hAnsi="Times New Roman" w:cs="Times New Roman"/>
        </w:rPr>
        <w:lastRenderedPageBreak/>
        <w:t>Tabl</w:t>
      </w:r>
      <w:r w:rsidR="009E66DE" w:rsidRPr="009E66DE">
        <w:rPr>
          <w:rFonts w:ascii="Times New Roman" w:hAnsi="Times New Roman" w:cs="Times New Roman"/>
        </w:rPr>
        <w:t>e</w:t>
      </w:r>
      <w:r w:rsidRPr="009E66DE">
        <w:rPr>
          <w:rFonts w:ascii="Times New Roman" w:hAnsi="Times New Roman" w:cs="Times New Roman"/>
        </w:rPr>
        <w:t xml:space="preserve"> 6</w:t>
      </w:r>
    </w:p>
    <w:p w14:paraId="1EAE440E" w14:textId="77777777" w:rsidR="009E66DE" w:rsidRPr="009E66DE" w:rsidRDefault="009E66DE" w:rsidP="009E66DE">
      <w:pPr>
        <w:spacing w:after="0" w:line="360" w:lineRule="auto"/>
        <w:rPr>
          <w:rFonts w:ascii="Times New Roman" w:hAnsi="Times New Roman" w:cs="Times New Roman"/>
          <w:i/>
        </w:rPr>
      </w:pPr>
      <w:r w:rsidRPr="009E66DE">
        <w:rPr>
          <w:rFonts w:ascii="Times New Roman" w:hAnsi="Times New Roman" w:cs="Times New Roman"/>
          <w:i/>
        </w:rPr>
        <w:t>Parameters and factorial weights of items in the four-factor GRM model.</w:t>
      </w:r>
    </w:p>
    <w:tbl>
      <w:tblPr>
        <w:tblStyle w:val="Tablanormal21"/>
        <w:tblW w:w="5000" w:type="pct"/>
        <w:tblBorders>
          <w:top w:val="none" w:sz="0" w:space="0" w:color="auto"/>
          <w:bottom w:val="none" w:sz="0" w:space="0" w:color="auto"/>
        </w:tblBorders>
        <w:tblLook w:val="0000" w:firstRow="0" w:lastRow="0" w:firstColumn="0" w:lastColumn="0" w:noHBand="0" w:noVBand="0"/>
      </w:tblPr>
      <w:tblGrid>
        <w:gridCol w:w="2578"/>
        <w:gridCol w:w="989"/>
        <w:gridCol w:w="899"/>
        <w:gridCol w:w="821"/>
        <w:gridCol w:w="821"/>
        <w:gridCol w:w="821"/>
        <w:gridCol w:w="907"/>
        <w:gridCol w:w="907"/>
        <w:gridCol w:w="907"/>
        <w:gridCol w:w="776"/>
        <w:gridCol w:w="829"/>
        <w:gridCol w:w="686"/>
        <w:gridCol w:w="686"/>
        <w:gridCol w:w="686"/>
        <w:gridCol w:w="689"/>
      </w:tblGrid>
      <w:tr w:rsidR="009E66DE" w:rsidRPr="009E66DE" w14:paraId="3D4D1427" w14:textId="77777777" w:rsidTr="00766D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21" w:type="pct"/>
            <w:vMerge w:val="restart"/>
            <w:tcBorders>
              <w:top w:val="single" w:sz="4" w:space="0" w:color="auto"/>
              <w:left w:val="none" w:sz="0" w:space="0" w:color="auto"/>
              <w:bottom w:val="none" w:sz="0" w:space="0" w:color="auto"/>
              <w:right w:val="none" w:sz="0" w:space="0" w:color="auto"/>
            </w:tcBorders>
            <w:vAlign w:val="center"/>
          </w:tcPr>
          <w:p w14:paraId="2CF0D34A"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rPr>
            </w:pPr>
            <w:r w:rsidRPr="009E66DE">
              <w:rPr>
                <w:rFonts w:ascii="Times New Roman" w:hAnsi="Times New Roman" w:cs="Times New Roman"/>
                <w:lang w:val="en-US"/>
              </w:rPr>
              <w:t>Model</w:t>
            </w:r>
          </w:p>
        </w:tc>
        <w:tc>
          <w:tcPr>
            <w:cnfStyle w:val="000001000000" w:firstRow="0" w:lastRow="0" w:firstColumn="0" w:lastColumn="0" w:oddVBand="0" w:evenVBand="1" w:oddHBand="0" w:evenHBand="0" w:firstRowFirstColumn="0" w:firstRowLastColumn="0" w:lastRowFirstColumn="0" w:lastRowLastColumn="0"/>
            <w:tcW w:w="353" w:type="pct"/>
            <w:vMerge w:val="restart"/>
            <w:tcBorders>
              <w:top w:val="single" w:sz="4" w:space="0" w:color="auto"/>
              <w:left w:val="none" w:sz="0" w:space="0" w:color="auto"/>
              <w:bottom w:val="none" w:sz="0" w:space="0" w:color="auto"/>
              <w:right w:val="none" w:sz="0" w:space="0" w:color="auto"/>
            </w:tcBorders>
            <w:vAlign w:val="center"/>
          </w:tcPr>
          <w:p w14:paraId="2DE69B65"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rPr>
            </w:pPr>
            <w:r w:rsidRPr="009E66DE">
              <w:rPr>
                <w:rFonts w:ascii="Times New Roman" w:hAnsi="Times New Roman" w:cs="Times New Roman"/>
                <w:lang w:val="en-US"/>
              </w:rPr>
              <w:t>Item</w:t>
            </w:r>
          </w:p>
        </w:tc>
        <w:tc>
          <w:tcPr>
            <w:cnfStyle w:val="000010000000" w:firstRow="0" w:lastRow="0" w:firstColumn="0" w:lastColumn="0" w:oddVBand="1" w:evenVBand="0" w:oddHBand="0" w:evenHBand="0" w:firstRowFirstColumn="0" w:firstRowLastColumn="0" w:lastRowFirstColumn="0" w:lastRowLastColumn="0"/>
            <w:tcW w:w="2745" w:type="pct"/>
            <w:gridSpan w:val="9"/>
            <w:tcBorders>
              <w:top w:val="single" w:sz="4" w:space="0" w:color="auto"/>
              <w:left w:val="none" w:sz="0" w:space="0" w:color="auto"/>
              <w:bottom w:val="none" w:sz="0" w:space="0" w:color="auto"/>
              <w:right w:val="none" w:sz="0" w:space="0" w:color="auto"/>
            </w:tcBorders>
            <w:vAlign w:val="center"/>
          </w:tcPr>
          <w:p w14:paraId="02E43F8C" w14:textId="6027039A" w:rsidR="00580749" w:rsidRPr="009E66DE" w:rsidRDefault="009E66DE" w:rsidP="006B16F3">
            <w:pPr>
              <w:autoSpaceDE w:val="0"/>
              <w:autoSpaceDN w:val="0"/>
              <w:adjustRightInd w:val="0"/>
              <w:spacing w:line="360" w:lineRule="auto"/>
              <w:ind w:right="62"/>
              <w:jc w:val="center"/>
              <w:rPr>
                <w:rFonts w:ascii="Times New Roman" w:hAnsi="Times New Roman" w:cs="Times New Roman"/>
              </w:rPr>
            </w:pPr>
            <w:r w:rsidRPr="009E66DE">
              <w:rPr>
                <w:rFonts w:ascii="Times New Roman" w:hAnsi="Times New Roman" w:cs="Times New Roman"/>
                <w:lang w:val="en-US"/>
              </w:rPr>
              <w:t>Item parameters</w:t>
            </w:r>
          </w:p>
        </w:tc>
        <w:tc>
          <w:tcPr>
            <w:cnfStyle w:val="000001000000" w:firstRow="0" w:lastRow="0" w:firstColumn="0" w:lastColumn="0" w:oddVBand="0" w:evenVBand="1" w:oddHBand="0" w:evenHBand="0" w:firstRowFirstColumn="0" w:firstRowLastColumn="0" w:lastRowFirstColumn="0" w:lastRowLastColumn="0"/>
            <w:tcW w:w="981" w:type="pct"/>
            <w:gridSpan w:val="4"/>
            <w:tcBorders>
              <w:top w:val="single" w:sz="4" w:space="0" w:color="auto"/>
              <w:left w:val="none" w:sz="0" w:space="0" w:color="auto"/>
              <w:bottom w:val="none" w:sz="0" w:space="0" w:color="auto"/>
              <w:right w:val="none" w:sz="0" w:space="0" w:color="auto"/>
            </w:tcBorders>
            <w:vAlign w:val="center"/>
          </w:tcPr>
          <w:p w14:paraId="096686C6" w14:textId="59157876" w:rsidR="00580749" w:rsidRPr="009E66DE" w:rsidRDefault="009E66DE" w:rsidP="006B16F3">
            <w:pPr>
              <w:autoSpaceDE w:val="0"/>
              <w:autoSpaceDN w:val="0"/>
              <w:adjustRightInd w:val="0"/>
              <w:spacing w:line="360" w:lineRule="auto"/>
              <w:ind w:left="60" w:right="62"/>
              <w:jc w:val="center"/>
              <w:rPr>
                <w:rFonts w:ascii="Times New Roman" w:hAnsi="Times New Roman" w:cs="Times New Roman"/>
              </w:rPr>
            </w:pPr>
            <w:r w:rsidRPr="009E66DE">
              <w:rPr>
                <w:rFonts w:ascii="Times New Roman" w:hAnsi="Times New Roman" w:cs="Times New Roman"/>
                <w:lang w:val="en-US"/>
              </w:rPr>
              <w:t>Factorial weights</w:t>
            </w:r>
          </w:p>
        </w:tc>
      </w:tr>
      <w:tr w:rsidR="009E66DE" w:rsidRPr="009E66DE" w14:paraId="136946AF" w14:textId="77777777" w:rsidTr="00766DD1">
        <w:tc>
          <w:tcPr>
            <w:cnfStyle w:val="000010000000" w:firstRow="0" w:lastRow="0" w:firstColumn="0" w:lastColumn="0" w:oddVBand="1" w:evenVBand="0" w:oddHBand="0" w:evenHBand="0" w:firstRowFirstColumn="0" w:firstRowLastColumn="0" w:lastRowFirstColumn="0" w:lastRowLastColumn="0"/>
            <w:tcW w:w="921" w:type="pct"/>
            <w:vMerge/>
            <w:tcBorders>
              <w:left w:val="none" w:sz="0" w:space="0" w:color="auto"/>
              <w:bottom w:val="single" w:sz="4" w:space="0" w:color="auto"/>
              <w:right w:val="none" w:sz="0" w:space="0" w:color="auto"/>
            </w:tcBorders>
            <w:vAlign w:val="center"/>
          </w:tcPr>
          <w:p w14:paraId="510AEBCF"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rPr>
            </w:pPr>
          </w:p>
        </w:tc>
        <w:tc>
          <w:tcPr>
            <w:cnfStyle w:val="000001000000" w:firstRow="0" w:lastRow="0" w:firstColumn="0" w:lastColumn="0" w:oddVBand="0" w:evenVBand="1" w:oddHBand="0" w:evenHBand="0" w:firstRowFirstColumn="0" w:firstRowLastColumn="0" w:lastRowFirstColumn="0" w:lastRowLastColumn="0"/>
            <w:tcW w:w="353" w:type="pct"/>
            <w:vMerge/>
            <w:tcBorders>
              <w:left w:val="none" w:sz="0" w:space="0" w:color="auto"/>
              <w:bottom w:val="single" w:sz="4" w:space="0" w:color="auto"/>
              <w:right w:val="none" w:sz="0" w:space="0" w:color="auto"/>
            </w:tcBorders>
            <w:vAlign w:val="center"/>
          </w:tcPr>
          <w:p w14:paraId="2B0531FA"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321" w:type="pct"/>
            <w:tcBorders>
              <w:left w:val="none" w:sz="0" w:space="0" w:color="auto"/>
              <w:bottom w:val="single" w:sz="4" w:space="0" w:color="auto"/>
              <w:right w:val="none" w:sz="0" w:space="0" w:color="auto"/>
            </w:tcBorders>
            <w:vAlign w:val="center"/>
          </w:tcPr>
          <w:p w14:paraId="015B0C21"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a1</w:t>
            </w:r>
          </w:p>
        </w:tc>
        <w:tc>
          <w:tcPr>
            <w:cnfStyle w:val="000001000000" w:firstRow="0" w:lastRow="0" w:firstColumn="0" w:lastColumn="0" w:oddVBand="0" w:evenVBand="1" w:oddHBand="0" w:evenHBand="0" w:firstRowFirstColumn="0" w:firstRowLastColumn="0" w:lastRowFirstColumn="0" w:lastRowLastColumn="0"/>
            <w:tcW w:w="293" w:type="pct"/>
            <w:tcBorders>
              <w:left w:val="none" w:sz="0" w:space="0" w:color="auto"/>
              <w:bottom w:val="single" w:sz="4" w:space="0" w:color="auto"/>
              <w:right w:val="none" w:sz="0" w:space="0" w:color="auto"/>
            </w:tcBorders>
            <w:vAlign w:val="center"/>
          </w:tcPr>
          <w:p w14:paraId="1CED0C55"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a2</w:t>
            </w:r>
          </w:p>
        </w:tc>
        <w:tc>
          <w:tcPr>
            <w:cnfStyle w:val="000010000000" w:firstRow="0" w:lastRow="0" w:firstColumn="0" w:lastColumn="0" w:oddVBand="1" w:evenVBand="0" w:oddHBand="0" w:evenHBand="0" w:firstRowFirstColumn="0" w:firstRowLastColumn="0" w:lastRowFirstColumn="0" w:lastRowLastColumn="0"/>
            <w:tcW w:w="293" w:type="pct"/>
            <w:tcBorders>
              <w:left w:val="none" w:sz="0" w:space="0" w:color="auto"/>
              <w:bottom w:val="single" w:sz="4" w:space="0" w:color="auto"/>
              <w:right w:val="none" w:sz="0" w:space="0" w:color="auto"/>
            </w:tcBorders>
            <w:vAlign w:val="center"/>
          </w:tcPr>
          <w:p w14:paraId="4CFED127"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a3</w:t>
            </w:r>
          </w:p>
        </w:tc>
        <w:tc>
          <w:tcPr>
            <w:cnfStyle w:val="000001000000" w:firstRow="0" w:lastRow="0" w:firstColumn="0" w:lastColumn="0" w:oddVBand="0" w:evenVBand="1" w:oddHBand="0" w:evenHBand="0" w:firstRowFirstColumn="0" w:firstRowLastColumn="0" w:lastRowFirstColumn="0" w:lastRowLastColumn="0"/>
            <w:tcW w:w="293" w:type="pct"/>
            <w:tcBorders>
              <w:left w:val="none" w:sz="0" w:space="0" w:color="auto"/>
              <w:bottom w:val="single" w:sz="4" w:space="0" w:color="auto"/>
              <w:right w:val="none" w:sz="0" w:space="0" w:color="auto"/>
            </w:tcBorders>
            <w:vAlign w:val="center"/>
          </w:tcPr>
          <w:p w14:paraId="66AA93F4"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a4</w:t>
            </w:r>
          </w:p>
        </w:tc>
        <w:tc>
          <w:tcPr>
            <w:cnfStyle w:val="000010000000" w:firstRow="0" w:lastRow="0" w:firstColumn="0" w:lastColumn="0" w:oddVBand="1" w:evenVBand="0" w:oddHBand="0" w:evenHBand="0" w:firstRowFirstColumn="0" w:firstRowLastColumn="0" w:lastRowFirstColumn="0" w:lastRowLastColumn="0"/>
            <w:tcW w:w="324" w:type="pct"/>
            <w:tcBorders>
              <w:left w:val="none" w:sz="0" w:space="0" w:color="auto"/>
              <w:bottom w:val="single" w:sz="4" w:space="0" w:color="auto"/>
              <w:right w:val="none" w:sz="0" w:space="0" w:color="auto"/>
            </w:tcBorders>
            <w:vAlign w:val="center"/>
          </w:tcPr>
          <w:p w14:paraId="38FAE470"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b</w:t>
            </w:r>
            <w:r w:rsidRPr="009E66DE">
              <w:rPr>
                <w:rFonts w:ascii="Times New Roman" w:hAnsi="Times New Roman" w:cs="Times New Roman"/>
                <w:vertAlign w:val="subscript"/>
                <w:lang w:val="en-US"/>
              </w:rPr>
              <w:t>1</w:t>
            </w:r>
          </w:p>
        </w:tc>
        <w:tc>
          <w:tcPr>
            <w:cnfStyle w:val="000001000000" w:firstRow="0" w:lastRow="0" w:firstColumn="0" w:lastColumn="0" w:oddVBand="0" w:evenVBand="1" w:oddHBand="0" w:evenHBand="0" w:firstRowFirstColumn="0" w:firstRowLastColumn="0" w:lastRowFirstColumn="0" w:lastRowLastColumn="0"/>
            <w:tcW w:w="324" w:type="pct"/>
            <w:tcBorders>
              <w:left w:val="none" w:sz="0" w:space="0" w:color="auto"/>
              <w:bottom w:val="single" w:sz="4" w:space="0" w:color="auto"/>
              <w:right w:val="none" w:sz="0" w:space="0" w:color="auto"/>
            </w:tcBorders>
            <w:vAlign w:val="center"/>
          </w:tcPr>
          <w:p w14:paraId="0C1A6CA4"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vertAlign w:val="subscript"/>
                <w:lang w:val="en-US"/>
              </w:rPr>
            </w:pPr>
            <w:r w:rsidRPr="009E66DE">
              <w:rPr>
                <w:rFonts w:ascii="Times New Roman" w:hAnsi="Times New Roman" w:cs="Times New Roman"/>
                <w:lang w:val="en-US"/>
              </w:rPr>
              <w:t>b</w:t>
            </w:r>
            <w:r w:rsidRPr="009E66DE">
              <w:rPr>
                <w:rFonts w:ascii="Times New Roman" w:hAnsi="Times New Roman" w:cs="Times New Roman"/>
                <w:vertAlign w:val="subscript"/>
                <w:lang w:val="en-US"/>
              </w:rPr>
              <w:t>2</w:t>
            </w:r>
          </w:p>
        </w:tc>
        <w:tc>
          <w:tcPr>
            <w:cnfStyle w:val="000010000000" w:firstRow="0" w:lastRow="0" w:firstColumn="0" w:lastColumn="0" w:oddVBand="1" w:evenVBand="0" w:oddHBand="0" w:evenHBand="0" w:firstRowFirstColumn="0" w:firstRowLastColumn="0" w:lastRowFirstColumn="0" w:lastRowLastColumn="0"/>
            <w:tcW w:w="324" w:type="pct"/>
            <w:tcBorders>
              <w:left w:val="none" w:sz="0" w:space="0" w:color="auto"/>
              <w:bottom w:val="single" w:sz="4" w:space="0" w:color="auto"/>
              <w:right w:val="none" w:sz="0" w:space="0" w:color="auto"/>
            </w:tcBorders>
            <w:vAlign w:val="center"/>
          </w:tcPr>
          <w:p w14:paraId="6CC67BC9"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vertAlign w:val="subscript"/>
                <w:lang w:val="en-US"/>
              </w:rPr>
            </w:pPr>
            <w:r w:rsidRPr="009E66DE">
              <w:rPr>
                <w:rFonts w:ascii="Times New Roman" w:hAnsi="Times New Roman" w:cs="Times New Roman"/>
                <w:lang w:val="en-US"/>
              </w:rPr>
              <w:t>b</w:t>
            </w:r>
            <w:r w:rsidRPr="009E66DE">
              <w:rPr>
                <w:rFonts w:ascii="Times New Roman" w:hAnsi="Times New Roman" w:cs="Times New Roman"/>
                <w:vertAlign w:val="subscript"/>
                <w:lang w:val="en-US"/>
              </w:rPr>
              <w:t>3</w:t>
            </w:r>
          </w:p>
        </w:tc>
        <w:tc>
          <w:tcPr>
            <w:cnfStyle w:val="000001000000" w:firstRow="0" w:lastRow="0" w:firstColumn="0" w:lastColumn="0" w:oddVBand="0" w:evenVBand="1" w:oddHBand="0" w:evenHBand="0" w:firstRowFirstColumn="0" w:firstRowLastColumn="0" w:lastRowFirstColumn="0" w:lastRowLastColumn="0"/>
            <w:tcW w:w="277" w:type="pct"/>
            <w:tcBorders>
              <w:left w:val="none" w:sz="0" w:space="0" w:color="auto"/>
              <w:bottom w:val="single" w:sz="4" w:space="0" w:color="auto"/>
              <w:right w:val="none" w:sz="0" w:space="0" w:color="auto"/>
            </w:tcBorders>
            <w:vAlign w:val="center"/>
          </w:tcPr>
          <w:p w14:paraId="1587AE4E"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vertAlign w:val="subscript"/>
              </w:rPr>
            </w:pPr>
            <w:r w:rsidRPr="009E66DE">
              <w:rPr>
                <w:rFonts w:ascii="Times New Roman" w:hAnsi="Times New Roman" w:cs="Times New Roman"/>
              </w:rPr>
              <w:t>b</w:t>
            </w:r>
            <w:r w:rsidRPr="009E66DE">
              <w:rPr>
                <w:rFonts w:ascii="Times New Roman" w:hAnsi="Times New Roman" w:cs="Times New Roman"/>
                <w:vertAlign w:val="subscript"/>
              </w:rPr>
              <w:t>4</w:t>
            </w:r>
          </w:p>
        </w:tc>
        <w:tc>
          <w:tcPr>
            <w:cnfStyle w:val="000010000000" w:firstRow="0" w:lastRow="0" w:firstColumn="0" w:lastColumn="0" w:oddVBand="1" w:evenVBand="0" w:oddHBand="0" w:evenHBand="0" w:firstRowFirstColumn="0" w:firstRowLastColumn="0" w:lastRowFirstColumn="0" w:lastRowLastColumn="0"/>
            <w:tcW w:w="296" w:type="pct"/>
            <w:tcBorders>
              <w:left w:val="none" w:sz="0" w:space="0" w:color="auto"/>
              <w:bottom w:val="single" w:sz="4" w:space="0" w:color="auto"/>
              <w:right w:val="none" w:sz="0" w:space="0" w:color="auto"/>
            </w:tcBorders>
            <w:vAlign w:val="center"/>
          </w:tcPr>
          <w:p w14:paraId="1136A98D"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vertAlign w:val="subscript"/>
              </w:rPr>
            </w:pPr>
            <w:r w:rsidRPr="009E66DE">
              <w:rPr>
                <w:rFonts w:ascii="Times New Roman" w:hAnsi="Times New Roman" w:cs="Times New Roman"/>
              </w:rPr>
              <w:t>b</w:t>
            </w:r>
            <w:r w:rsidRPr="009E66DE">
              <w:rPr>
                <w:rFonts w:ascii="Times New Roman" w:hAnsi="Times New Roman" w:cs="Times New Roman"/>
                <w:vertAlign w:val="subscript"/>
              </w:rPr>
              <w:t>5</w:t>
            </w:r>
          </w:p>
        </w:tc>
        <w:tc>
          <w:tcPr>
            <w:cnfStyle w:val="000001000000" w:firstRow="0" w:lastRow="0" w:firstColumn="0" w:lastColumn="0" w:oddVBand="0" w:evenVBand="1" w:oddHBand="0" w:evenHBand="0" w:firstRowFirstColumn="0" w:firstRowLastColumn="0" w:lastRowFirstColumn="0" w:lastRowLastColumn="0"/>
            <w:tcW w:w="245" w:type="pct"/>
            <w:tcBorders>
              <w:left w:val="none" w:sz="0" w:space="0" w:color="auto"/>
              <w:bottom w:val="single" w:sz="4" w:space="0" w:color="auto"/>
              <w:right w:val="none" w:sz="0" w:space="0" w:color="auto"/>
            </w:tcBorders>
            <w:vAlign w:val="center"/>
          </w:tcPr>
          <w:p w14:paraId="79133713"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rPr>
            </w:pPr>
            <w:r w:rsidRPr="009E66DE">
              <w:rPr>
                <w:rFonts w:ascii="Times New Roman" w:hAnsi="Times New Roman" w:cs="Times New Roman"/>
              </w:rPr>
              <w:t>F1</w:t>
            </w:r>
          </w:p>
        </w:tc>
        <w:tc>
          <w:tcPr>
            <w:cnfStyle w:val="000010000000" w:firstRow="0" w:lastRow="0" w:firstColumn="0" w:lastColumn="0" w:oddVBand="1" w:evenVBand="0" w:oddHBand="0" w:evenHBand="0" w:firstRowFirstColumn="0" w:firstRowLastColumn="0" w:lastRowFirstColumn="0" w:lastRowLastColumn="0"/>
            <w:tcW w:w="245" w:type="pct"/>
            <w:tcBorders>
              <w:left w:val="none" w:sz="0" w:space="0" w:color="auto"/>
              <w:bottom w:val="single" w:sz="4" w:space="0" w:color="auto"/>
              <w:right w:val="none" w:sz="0" w:space="0" w:color="auto"/>
            </w:tcBorders>
            <w:vAlign w:val="center"/>
          </w:tcPr>
          <w:p w14:paraId="7134BE39"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rPr>
            </w:pPr>
            <w:r w:rsidRPr="009E66DE">
              <w:rPr>
                <w:rFonts w:ascii="Times New Roman" w:hAnsi="Times New Roman" w:cs="Times New Roman"/>
              </w:rPr>
              <w:t>F2</w:t>
            </w:r>
          </w:p>
        </w:tc>
        <w:tc>
          <w:tcPr>
            <w:cnfStyle w:val="000001000000" w:firstRow="0" w:lastRow="0" w:firstColumn="0" w:lastColumn="0" w:oddVBand="0" w:evenVBand="1" w:oddHBand="0" w:evenHBand="0" w:firstRowFirstColumn="0" w:firstRowLastColumn="0" w:lastRowFirstColumn="0" w:lastRowLastColumn="0"/>
            <w:tcW w:w="245" w:type="pct"/>
            <w:tcBorders>
              <w:left w:val="none" w:sz="0" w:space="0" w:color="auto"/>
              <w:bottom w:val="single" w:sz="4" w:space="0" w:color="auto"/>
              <w:right w:val="none" w:sz="0" w:space="0" w:color="auto"/>
            </w:tcBorders>
            <w:vAlign w:val="center"/>
          </w:tcPr>
          <w:p w14:paraId="0F728752"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rPr>
            </w:pPr>
            <w:r w:rsidRPr="009E66DE">
              <w:rPr>
                <w:rFonts w:ascii="Times New Roman" w:hAnsi="Times New Roman" w:cs="Times New Roman"/>
              </w:rPr>
              <w:t>F3</w:t>
            </w:r>
          </w:p>
        </w:tc>
        <w:tc>
          <w:tcPr>
            <w:cnfStyle w:val="000010000000" w:firstRow="0" w:lastRow="0" w:firstColumn="0" w:lastColumn="0" w:oddVBand="1" w:evenVBand="0" w:oddHBand="0" w:evenHBand="0" w:firstRowFirstColumn="0" w:firstRowLastColumn="0" w:lastRowFirstColumn="0" w:lastRowLastColumn="0"/>
            <w:tcW w:w="246" w:type="pct"/>
            <w:tcBorders>
              <w:left w:val="none" w:sz="0" w:space="0" w:color="auto"/>
              <w:bottom w:val="single" w:sz="4" w:space="0" w:color="auto"/>
              <w:right w:val="none" w:sz="0" w:space="0" w:color="auto"/>
            </w:tcBorders>
            <w:vAlign w:val="center"/>
          </w:tcPr>
          <w:p w14:paraId="37BE1CF2"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rPr>
            </w:pPr>
            <w:r w:rsidRPr="009E66DE">
              <w:rPr>
                <w:rFonts w:ascii="Times New Roman" w:hAnsi="Times New Roman" w:cs="Times New Roman"/>
              </w:rPr>
              <w:t>F4</w:t>
            </w:r>
          </w:p>
        </w:tc>
      </w:tr>
      <w:tr w:rsidR="009E66DE" w:rsidRPr="009E66DE" w14:paraId="406AE97B" w14:textId="77777777" w:rsidTr="00766D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21" w:type="pct"/>
            <w:vMerge w:val="restart"/>
            <w:tcBorders>
              <w:top w:val="single" w:sz="4" w:space="0" w:color="auto"/>
              <w:left w:val="none" w:sz="0" w:space="0" w:color="auto"/>
              <w:bottom w:val="none" w:sz="0" w:space="0" w:color="auto"/>
              <w:right w:val="none" w:sz="0" w:space="0" w:color="auto"/>
            </w:tcBorders>
            <w:vAlign w:val="center"/>
          </w:tcPr>
          <w:p w14:paraId="48C96816" w14:textId="57543F46" w:rsidR="00580749" w:rsidRPr="009E66DE" w:rsidRDefault="009E66DE"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Relationship with others</w:t>
            </w:r>
          </w:p>
        </w:tc>
        <w:tc>
          <w:tcPr>
            <w:cnfStyle w:val="000001000000" w:firstRow="0" w:lastRow="0" w:firstColumn="0" w:lastColumn="0" w:oddVBand="0" w:evenVBand="1" w:oddHBand="0" w:evenHBand="0" w:firstRowFirstColumn="0" w:firstRowLastColumn="0" w:lastRowFirstColumn="0" w:lastRowLastColumn="0"/>
            <w:tcW w:w="353" w:type="pct"/>
            <w:tcBorders>
              <w:top w:val="single" w:sz="4" w:space="0" w:color="auto"/>
              <w:left w:val="none" w:sz="0" w:space="0" w:color="auto"/>
              <w:bottom w:val="none" w:sz="0" w:space="0" w:color="auto"/>
              <w:right w:val="none" w:sz="0" w:space="0" w:color="auto"/>
            </w:tcBorders>
            <w:vAlign w:val="center"/>
          </w:tcPr>
          <w:p w14:paraId="71AAFCE4"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4</w:t>
            </w:r>
          </w:p>
        </w:tc>
        <w:tc>
          <w:tcPr>
            <w:cnfStyle w:val="000010000000" w:firstRow="0" w:lastRow="0" w:firstColumn="0" w:lastColumn="0" w:oddVBand="1" w:evenVBand="0" w:oddHBand="0" w:evenHBand="0" w:firstRowFirstColumn="0" w:firstRowLastColumn="0" w:lastRowFirstColumn="0" w:lastRowLastColumn="0"/>
            <w:tcW w:w="321" w:type="pct"/>
            <w:tcBorders>
              <w:top w:val="single" w:sz="4" w:space="0" w:color="auto"/>
              <w:left w:val="none" w:sz="0" w:space="0" w:color="auto"/>
              <w:bottom w:val="none" w:sz="0" w:space="0" w:color="auto"/>
              <w:right w:val="none" w:sz="0" w:space="0" w:color="auto"/>
            </w:tcBorders>
            <w:vAlign w:val="center"/>
          </w:tcPr>
          <w:p w14:paraId="47B49C0E"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3.44</w:t>
            </w:r>
          </w:p>
        </w:tc>
        <w:tc>
          <w:tcPr>
            <w:cnfStyle w:val="000001000000" w:firstRow="0" w:lastRow="0" w:firstColumn="0" w:lastColumn="0" w:oddVBand="0" w:evenVBand="1" w:oddHBand="0" w:evenHBand="0" w:firstRowFirstColumn="0" w:firstRowLastColumn="0" w:lastRowFirstColumn="0" w:lastRowLastColumn="0"/>
            <w:tcW w:w="293" w:type="pct"/>
            <w:tcBorders>
              <w:top w:val="single" w:sz="4" w:space="0" w:color="auto"/>
              <w:left w:val="none" w:sz="0" w:space="0" w:color="auto"/>
              <w:bottom w:val="none" w:sz="0" w:space="0" w:color="auto"/>
              <w:right w:val="none" w:sz="0" w:space="0" w:color="auto"/>
            </w:tcBorders>
            <w:vAlign w:val="center"/>
          </w:tcPr>
          <w:p w14:paraId="76D3AE35"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10000000" w:firstRow="0" w:lastRow="0" w:firstColumn="0" w:lastColumn="0" w:oddVBand="1" w:evenVBand="0" w:oddHBand="0" w:evenHBand="0" w:firstRowFirstColumn="0" w:firstRowLastColumn="0" w:lastRowFirstColumn="0" w:lastRowLastColumn="0"/>
            <w:tcW w:w="293" w:type="pct"/>
            <w:tcBorders>
              <w:top w:val="single" w:sz="4" w:space="0" w:color="auto"/>
              <w:left w:val="none" w:sz="0" w:space="0" w:color="auto"/>
              <w:bottom w:val="none" w:sz="0" w:space="0" w:color="auto"/>
              <w:right w:val="none" w:sz="0" w:space="0" w:color="auto"/>
            </w:tcBorders>
            <w:vAlign w:val="center"/>
          </w:tcPr>
          <w:p w14:paraId="31CF2163"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01000000" w:firstRow="0" w:lastRow="0" w:firstColumn="0" w:lastColumn="0" w:oddVBand="0" w:evenVBand="1" w:oddHBand="0" w:evenHBand="0" w:firstRowFirstColumn="0" w:firstRowLastColumn="0" w:lastRowFirstColumn="0" w:lastRowLastColumn="0"/>
            <w:tcW w:w="293" w:type="pct"/>
            <w:tcBorders>
              <w:top w:val="single" w:sz="4" w:space="0" w:color="auto"/>
              <w:left w:val="none" w:sz="0" w:space="0" w:color="auto"/>
              <w:bottom w:val="none" w:sz="0" w:space="0" w:color="auto"/>
              <w:right w:val="none" w:sz="0" w:space="0" w:color="auto"/>
            </w:tcBorders>
            <w:vAlign w:val="center"/>
          </w:tcPr>
          <w:p w14:paraId="7240AFCC"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10000000" w:firstRow="0" w:lastRow="0" w:firstColumn="0" w:lastColumn="0" w:oddVBand="1" w:evenVBand="0" w:oddHBand="0" w:evenHBand="0" w:firstRowFirstColumn="0" w:firstRowLastColumn="0" w:lastRowFirstColumn="0" w:lastRowLastColumn="0"/>
            <w:tcW w:w="324" w:type="pct"/>
            <w:tcBorders>
              <w:top w:val="single" w:sz="4" w:space="0" w:color="auto"/>
              <w:left w:val="none" w:sz="0" w:space="0" w:color="auto"/>
              <w:bottom w:val="none" w:sz="0" w:space="0" w:color="auto"/>
              <w:right w:val="none" w:sz="0" w:space="0" w:color="auto"/>
            </w:tcBorders>
            <w:vAlign w:val="center"/>
          </w:tcPr>
          <w:p w14:paraId="36A52756"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-3.24</w:t>
            </w:r>
          </w:p>
        </w:tc>
        <w:tc>
          <w:tcPr>
            <w:cnfStyle w:val="000001000000" w:firstRow="0" w:lastRow="0" w:firstColumn="0" w:lastColumn="0" w:oddVBand="0" w:evenVBand="1" w:oddHBand="0" w:evenHBand="0" w:firstRowFirstColumn="0" w:firstRowLastColumn="0" w:lastRowFirstColumn="0" w:lastRowLastColumn="0"/>
            <w:tcW w:w="324" w:type="pct"/>
            <w:tcBorders>
              <w:top w:val="single" w:sz="4" w:space="0" w:color="auto"/>
              <w:left w:val="none" w:sz="0" w:space="0" w:color="auto"/>
              <w:bottom w:val="none" w:sz="0" w:space="0" w:color="auto"/>
              <w:right w:val="none" w:sz="0" w:space="0" w:color="auto"/>
            </w:tcBorders>
            <w:vAlign w:val="center"/>
          </w:tcPr>
          <w:p w14:paraId="78E2DC64"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-.59</w:t>
            </w:r>
          </w:p>
        </w:tc>
        <w:tc>
          <w:tcPr>
            <w:cnfStyle w:val="000010000000" w:firstRow="0" w:lastRow="0" w:firstColumn="0" w:lastColumn="0" w:oddVBand="1" w:evenVBand="0" w:oddHBand="0" w:evenHBand="0" w:firstRowFirstColumn="0" w:firstRowLastColumn="0" w:lastRowFirstColumn="0" w:lastRowLastColumn="0"/>
            <w:tcW w:w="324" w:type="pct"/>
            <w:tcBorders>
              <w:top w:val="single" w:sz="4" w:space="0" w:color="auto"/>
              <w:left w:val="none" w:sz="0" w:space="0" w:color="auto"/>
              <w:bottom w:val="none" w:sz="0" w:space="0" w:color="auto"/>
              <w:right w:val="none" w:sz="0" w:space="0" w:color="auto"/>
            </w:tcBorders>
            <w:vAlign w:val="center"/>
          </w:tcPr>
          <w:p w14:paraId="322DD37A"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1.51</w:t>
            </w:r>
          </w:p>
        </w:tc>
        <w:tc>
          <w:tcPr>
            <w:cnfStyle w:val="000001000000" w:firstRow="0" w:lastRow="0" w:firstColumn="0" w:lastColumn="0" w:oddVBand="0" w:evenVBand="1" w:oddHBand="0" w:evenHBand="0" w:firstRowFirstColumn="0" w:firstRowLastColumn="0" w:lastRowFirstColumn="0" w:lastRowLastColumn="0"/>
            <w:tcW w:w="277" w:type="pct"/>
            <w:tcBorders>
              <w:top w:val="single" w:sz="4" w:space="0" w:color="auto"/>
              <w:left w:val="none" w:sz="0" w:space="0" w:color="auto"/>
              <w:bottom w:val="none" w:sz="0" w:space="0" w:color="auto"/>
              <w:right w:val="none" w:sz="0" w:space="0" w:color="auto"/>
            </w:tcBorders>
            <w:vAlign w:val="center"/>
          </w:tcPr>
          <w:p w14:paraId="2316BF92"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3.07</w:t>
            </w:r>
          </w:p>
        </w:tc>
        <w:tc>
          <w:tcPr>
            <w:cnfStyle w:val="000010000000" w:firstRow="0" w:lastRow="0" w:firstColumn="0" w:lastColumn="0" w:oddVBand="1" w:evenVBand="0" w:oddHBand="0" w:evenHBand="0" w:firstRowFirstColumn="0" w:firstRowLastColumn="0" w:lastRowFirstColumn="0" w:lastRowLastColumn="0"/>
            <w:tcW w:w="296" w:type="pct"/>
            <w:tcBorders>
              <w:top w:val="single" w:sz="4" w:space="0" w:color="auto"/>
              <w:left w:val="none" w:sz="0" w:space="0" w:color="auto"/>
              <w:bottom w:val="none" w:sz="0" w:space="0" w:color="auto"/>
              <w:right w:val="none" w:sz="0" w:space="0" w:color="auto"/>
            </w:tcBorders>
            <w:vAlign w:val="center"/>
          </w:tcPr>
          <w:p w14:paraId="3AC00C1F"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4.59</w:t>
            </w:r>
          </w:p>
        </w:tc>
        <w:tc>
          <w:tcPr>
            <w:cnfStyle w:val="000001000000" w:firstRow="0" w:lastRow="0" w:firstColumn="0" w:lastColumn="0" w:oddVBand="0" w:evenVBand="1" w:oddHBand="0" w:evenHBand="0" w:firstRowFirstColumn="0" w:firstRowLastColumn="0" w:lastRowFirstColumn="0" w:lastRowLastColumn="0"/>
            <w:tcW w:w="245" w:type="pct"/>
            <w:tcBorders>
              <w:top w:val="single" w:sz="4" w:space="0" w:color="auto"/>
              <w:left w:val="none" w:sz="0" w:space="0" w:color="auto"/>
              <w:bottom w:val="none" w:sz="0" w:space="0" w:color="auto"/>
              <w:right w:val="none" w:sz="0" w:space="0" w:color="auto"/>
            </w:tcBorders>
            <w:vAlign w:val="center"/>
          </w:tcPr>
          <w:p w14:paraId="749DD10F"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.90</w:t>
            </w:r>
          </w:p>
        </w:tc>
        <w:tc>
          <w:tcPr>
            <w:cnfStyle w:val="000010000000" w:firstRow="0" w:lastRow="0" w:firstColumn="0" w:lastColumn="0" w:oddVBand="1" w:evenVBand="0" w:oddHBand="0" w:evenHBand="0" w:firstRowFirstColumn="0" w:firstRowLastColumn="0" w:lastRowFirstColumn="0" w:lastRowLastColumn="0"/>
            <w:tcW w:w="245" w:type="pct"/>
            <w:tcBorders>
              <w:top w:val="single" w:sz="4" w:space="0" w:color="auto"/>
              <w:left w:val="none" w:sz="0" w:space="0" w:color="auto"/>
              <w:bottom w:val="none" w:sz="0" w:space="0" w:color="auto"/>
              <w:right w:val="none" w:sz="0" w:space="0" w:color="auto"/>
            </w:tcBorders>
            <w:vAlign w:val="center"/>
          </w:tcPr>
          <w:p w14:paraId="656A1772"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01000000" w:firstRow="0" w:lastRow="0" w:firstColumn="0" w:lastColumn="0" w:oddVBand="0" w:evenVBand="1" w:oddHBand="0" w:evenHBand="0" w:firstRowFirstColumn="0" w:firstRowLastColumn="0" w:lastRowFirstColumn="0" w:lastRowLastColumn="0"/>
            <w:tcW w:w="245" w:type="pct"/>
            <w:tcBorders>
              <w:top w:val="single" w:sz="4" w:space="0" w:color="auto"/>
              <w:left w:val="none" w:sz="0" w:space="0" w:color="auto"/>
              <w:bottom w:val="none" w:sz="0" w:space="0" w:color="auto"/>
              <w:right w:val="none" w:sz="0" w:space="0" w:color="auto"/>
            </w:tcBorders>
            <w:vAlign w:val="center"/>
          </w:tcPr>
          <w:p w14:paraId="321258F1"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10000000" w:firstRow="0" w:lastRow="0" w:firstColumn="0" w:lastColumn="0" w:oddVBand="1" w:evenVBand="0" w:oddHBand="0" w:evenHBand="0" w:firstRowFirstColumn="0" w:firstRowLastColumn="0" w:lastRowFirstColumn="0" w:lastRowLastColumn="0"/>
            <w:tcW w:w="246" w:type="pct"/>
            <w:tcBorders>
              <w:top w:val="single" w:sz="4" w:space="0" w:color="auto"/>
              <w:left w:val="none" w:sz="0" w:space="0" w:color="auto"/>
              <w:bottom w:val="none" w:sz="0" w:space="0" w:color="auto"/>
              <w:right w:val="none" w:sz="0" w:space="0" w:color="auto"/>
            </w:tcBorders>
            <w:vAlign w:val="center"/>
          </w:tcPr>
          <w:p w14:paraId="04EAD7F1"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r>
      <w:tr w:rsidR="009E66DE" w:rsidRPr="009E66DE" w14:paraId="33334706" w14:textId="77777777" w:rsidTr="00766DD1">
        <w:tc>
          <w:tcPr>
            <w:cnfStyle w:val="000010000000" w:firstRow="0" w:lastRow="0" w:firstColumn="0" w:lastColumn="0" w:oddVBand="1" w:evenVBand="0" w:oddHBand="0" w:evenHBand="0" w:firstRowFirstColumn="0" w:firstRowLastColumn="0" w:lastRowFirstColumn="0" w:lastRowLastColumn="0"/>
            <w:tcW w:w="921" w:type="pct"/>
            <w:vMerge/>
            <w:tcBorders>
              <w:left w:val="none" w:sz="0" w:space="0" w:color="auto"/>
              <w:right w:val="none" w:sz="0" w:space="0" w:color="auto"/>
            </w:tcBorders>
            <w:vAlign w:val="center"/>
          </w:tcPr>
          <w:p w14:paraId="608BDE9C"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p>
        </w:tc>
        <w:tc>
          <w:tcPr>
            <w:cnfStyle w:val="000001000000" w:firstRow="0" w:lastRow="0" w:firstColumn="0" w:lastColumn="0" w:oddVBand="0" w:evenVBand="1" w:oddHBand="0" w:evenHBand="0" w:firstRowFirstColumn="0" w:firstRowLastColumn="0" w:lastRowFirstColumn="0" w:lastRowLastColumn="0"/>
            <w:tcW w:w="353" w:type="pct"/>
            <w:tcBorders>
              <w:left w:val="none" w:sz="0" w:space="0" w:color="auto"/>
              <w:right w:val="none" w:sz="0" w:space="0" w:color="auto"/>
            </w:tcBorders>
            <w:vAlign w:val="center"/>
          </w:tcPr>
          <w:p w14:paraId="70E7F916"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8</w:t>
            </w:r>
          </w:p>
        </w:tc>
        <w:tc>
          <w:tcPr>
            <w:cnfStyle w:val="000010000000" w:firstRow="0" w:lastRow="0" w:firstColumn="0" w:lastColumn="0" w:oddVBand="1" w:evenVBand="0" w:oddHBand="0" w:evenHBand="0" w:firstRowFirstColumn="0" w:firstRowLastColumn="0" w:lastRowFirstColumn="0" w:lastRowLastColumn="0"/>
            <w:tcW w:w="321" w:type="pct"/>
            <w:tcBorders>
              <w:left w:val="none" w:sz="0" w:space="0" w:color="auto"/>
              <w:right w:val="none" w:sz="0" w:space="0" w:color="auto"/>
            </w:tcBorders>
            <w:vAlign w:val="center"/>
          </w:tcPr>
          <w:p w14:paraId="0E4BA8D9"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3.34</w:t>
            </w:r>
          </w:p>
        </w:tc>
        <w:tc>
          <w:tcPr>
            <w:cnfStyle w:val="000001000000" w:firstRow="0" w:lastRow="0" w:firstColumn="0" w:lastColumn="0" w:oddVBand="0" w:evenVBand="1" w:oddHBand="0" w:evenHBand="0" w:firstRowFirstColumn="0" w:firstRowLastColumn="0" w:lastRowFirstColumn="0" w:lastRowLastColumn="0"/>
            <w:tcW w:w="293" w:type="pct"/>
            <w:tcBorders>
              <w:left w:val="none" w:sz="0" w:space="0" w:color="auto"/>
              <w:right w:val="none" w:sz="0" w:space="0" w:color="auto"/>
            </w:tcBorders>
            <w:vAlign w:val="center"/>
          </w:tcPr>
          <w:p w14:paraId="07993705"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10000000" w:firstRow="0" w:lastRow="0" w:firstColumn="0" w:lastColumn="0" w:oddVBand="1" w:evenVBand="0" w:oddHBand="0" w:evenHBand="0" w:firstRowFirstColumn="0" w:firstRowLastColumn="0" w:lastRowFirstColumn="0" w:lastRowLastColumn="0"/>
            <w:tcW w:w="293" w:type="pct"/>
            <w:tcBorders>
              <w:left w:val="none" w:sz="0" w:space="0" w:color="auto"/>
              <w:right w:val="none" w:sz="0" w:space="0" w:color="auto"/>
            </w:tcBorders>
            <w:vAlign w:val="center"/>
          </w:tcPr>
          <w:p w14:paraId="1BE07869"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01000000" w:firstRow="0" w:lastRow="0" w:firstColumn="0" w:lastColumn="0" w:oddVBand="0" w:evenVBand="1" w:oddHBand="0" w:evenHBand="0" w:firstRowFirstColumn="0" w:firstRowLastColumn="0" w:lastRowFirstColumn="0" w:lastRowLastColumn="0"/>
            <w:tcW w:w="293" w:type="pct"/>
            <w:tcBorders>
              <w:left w:val="none" w:sz="0" w:space="0" w:color="auto"/>
              <w:right w:val="none" w:sz="0" w:space="0" w:color="auto"/>
            </w:tcBorders>
            <w:vAlign w:val="center"/>
          </w:tcPr>
          <w:p w14:paraId="0D781376"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10000000" w:firstRow="0" w:lastRow="0" w:firstColumn="0" w:lastColumn="0" w:oddVBand="1" w:evenVBand="0" w:oddHBand="0" w:evenHBand="0" w:firstRowFirstColumn="0" w:firstRowLastColumn="0" w:lastRowFirstColumn="0" w:lastRowLastColumn="0"/>
            <w:tcW w:w="324" w:type="pct"/>
            <w:tcBorders>
              <w:left w:val="none" w:sz="0" w:space="0" w:color="auto"/>
              <w:right w:val="none" w:sz="0" w:space="0" w:color="auto"/>
            </w:tcBorders>
            <w:vAlign w:val="center"/>
          </w:tcPr>
          <w:p w14:paraId="528F5C00"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-2.95</w:t>
            </w:r>
          </w:p>
        </w:tc>
        <w:tc>
          <w:tcPr>
            <w:cnfStyle w:val="000001000000" w:firstRow="0" w:lastRow="0" w:firstColumn="0" w:lastColumn="0" w:oddVBand="0" w:evenVBand="1" w:oddHBand="0" w:evenHBand="0" w:firstRowFirstColumn="0" w:firstRowLastColumn="0" w:lastRowFirstColumn="0" w:lastRowLastColumn="0"/>
            <w:tcW w:w="324" w:type="pct"/>
            <w:tcBorders>
              <w:left w:val="none" w:sz="0" w:space="0" w:color="auto"/>
              <w:right w:val="none" w:sz="0" w:space="0" w:color="auto"/>
            </w:tcBorders>
            <w:vAlign w:val="center"/>
          </w:tcPr>
          <w:p w14:paraId="60C94670"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-.49</w:t>
            </w:r>
          </w:p>
        </w:tc>
        <w:tc>
          <w:tcPr>
            <w:cnfStyle w:val="000010000000" w:firstRow="0" w:lastRow="0" w:firstColumn="0" w:lastColumn="0" w:oddVBand="1" w:evenVBand="0" w:oddHBand="0" w:evenHBand="0" w:firstRowFirstColumn="0" w:firstRowLastColumn="0" w:lastRowFirstColumn="0" w:lastRowLastColumn="0"/>
            <w:tcW w:w="324" w:type="pct"/>
            <w:tcBorders>
              <w:left w:val="none" w:sz="0" w:space="0" w:color="auto"/>
              <w:right w:val="none" w:sz="0" w:space="0" w:color="auto"/>
            </w:tcBorders>
            <w:vAlign w:val="center"/>
          </w:tcPr>
          <w:p w14:paraId="24A019BF"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1.37</w:t>
            </w:r>
          </w:p>
        </w:tc>
        <w:tc>
          <w:tcPr>
            <w:cnfStyle w:val="000001000000" w:firstRow="0" w:lastRow="0" w:firstColumn="0" w:lastColumn="0" w:oddVBand="0" w:evenVBand="1" w:oddHBand="0" w:evenHBand="0" w:firstRowFirstColumn="0" w:firstRowLastColumn="0" w:lastRowFirstColumn="0" w:lastRowLastColumn="0"/>
            <w:tcW w:w="277" w:type="pct"/>
            <w:tcBorders>
              <w:left w:val="none" w:sz="0" w:space="0" w:color="auto"/>
              <w:right w:val="none" w:sz="0" w:space="0" w:color="auto"/>
            </w:tcBorders>
            <w:vAlign w:val="center"/>
          </w:tcPr>
          <w:p w14:paraId="2D086CCF"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2.89</w:t>
            </w:r>
          </w:p>
        </w:tc>
        <w:tc>
          <w:tcPr>
            <w:cnfStyle w:val="000010000000" w:firstRow="0" w:lastRow="0" w:firstColumn="0" w:lastColumn="0" w:oddVBand="1" w:evenVBand="0" w:oddHBand="0" w:evenHBand="0" w:firstRowFirstColumn="0" w:firstRowLastColumn="0" w:lastRowFirstColumn="0" w:lastRowLastColumn="0"/>
            <w:tcW w:w="296" w:type="pct"/>
            <w:tcBorders>
              <w:left w:val="none" w:sz="0" w:space="0" w:color="auto"/>
              <w:right w:val="none" w:sz="0" w:space="0" w:color="auto"/>
            </w:tcBorders>
            <w:vAlign w:val="center"/>
          </w:tcPr>
          <w:p w14:paraId="3743126C"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4.21</w:t>
            </w:r>
          </w:p>
        </w:tc>
        <w:tc>
          <w:tcPr>
            <w:cnfStyle w:val="000001000000" w:firstRow="0" w:lastRow="0" w:firstColumn="0" w:lastColumn="0" w:oddVBand="0" w:evenVBand="1" w:oddHBand="0" w:evenHBand="0" w:firstRowFirstColumn="0" w:firstRowLastColumn="0" w:lastRowFirstColumn="0" w:lastRowLastColumn="0"/>
            <w:tcW w:w="245" w:type="pct"/>
            <w:tcBorders>
              <w:left w:val="none" w:sz="0" w:space="0" w:color="auto"/>
              <w:right w:val="none" w:sz="0" w:space="0" w:color="auto"/>
            </w:tcBorders>
            <w:vAlign w:val="center"/>
          </w:tcPr>
          <w:p w14:paraId="23268F2E"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.89</w:t>
            </w:r>
          </w:p>
        </w:tc>
        <w:tc>
          <w:tcPr>
            <w:cnfStyle w:val="000010000000" w:firstRow="0" w:lastRow="0" w:firstColumn="0" w:lastColumn="0" w:oddVBand="1" w:evenVBand="0" w:oddHBand="0" w:evenHBand="0" w:firstRowFirstColumn="0" w:firstRowLastColumn="0" w:lastRowFirstColumn="0" w:lastRowLastColumn="0"/>
            <w:tcW w:w="245" w:type="pct"/>
            <w:tcBorders>
              <w:left w:val="none" w:sz="0" w:space="0" w:color="auto"/>
              <w:right w:val="none" w:sz="0" w:space="0" w:color="auto"/>
            </w:tcBorders>
            <w:vAlign w:val="center"/>
          </w:tcPr>
          <w:p w14:paraId="194F984D"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01000000" w:firstRow="0" w:lastRow="0" w:firstColumn="0" w:lastColumn="0" w:oddVBand="0" w:evenVBand="1" w:oddHBand="0" w:evenHBand="0" w:firstRowFirstColumn="0" w:firstRowLastColumn="0" w:lastRowFirstColumn="0" w:lastRowLastColumn="0"/>
            <w:tcW w:w="245" w:type="pct"/>
            <w:tcBorders>
              <w:left w:val="none" w:sz="0" w:space="0" w:color="auto"/>
              <w:right w:val="none" w:sz="0" w:space="0" w:color="auto"/>
            </w:tcBorders>
            <w:vAlign w:val="center"/>
          </w:tcPr>
          <w:p w14:paraId="1D928B7B"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10000000" w:firstRow="0" w:lastRow="0" w:firstColumn="0" w:lastColumn="0" w:oddVBand="1" w:evenVBand="0" w:oddHBand="0" w:evenHBand="0" w:firstRowFirstColumn="0" w:firstRowLastColumn="0" w:lastRowFirstColumn="0" w:lastRowLastColumn="0"/>
            <w:tcW w:w="246" w:type="pct"/>
            <w:tcBorders>
              <w:left w:val="none" w:sz="0" w:space="0" w:color="auto"/>
              <w:right w:val="none" w:sz="0" w:space="0" w:color="auto"/>
            </w:tcBorders>
            <w:vAlign w:val="center"/>
          </w:tcPr>
          <w:p w14:paraId="19FDA86E"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r>
      <w:tr w:rsidR="009E66DE" w:rsidRPr="009E66DE" w14:paraId="47BE3717" w14:textId="77777777" w:rsidTr="00766D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21" w:type="pct"/>
            <w:vMerge w:val="restart"/>
            <w:tcBorders>
              <w:top w:val="none" w:sz="0" w:space="0" w:color="auto"/>
              <w:left w:val="none" w:sz="0" w:space="0" w:color="auto"/>
              <w:bottom w:val="none" w:sz="0" w:space="0" w:color="auto"/>
              <w:right w:val="none" w:sz="0" w:space="0" w:color="auto"/>
            </w:tcBorders>
            <w:vAlign w:val="center"/>
          </w:tcPr>
          <w:p w14:paraId="51387A75" w14:textId="2323E9DD" w:rsidR="00580749" w:rsidRPr="009E66DE" w:rsidRDefault="009E66DE"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Life values</w:t>
            </w:r>
          </w:p>
        </w:tc>
        <w:tc>
          <w:tcPr>
            <w:cnfStyle w:val="000001000000" w:firstRow="0" w:lastRow="0" w:firstColumn="0" w:lastColumn="0" w:oddVBand="0" w:evenVBand="1"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vAlign w:val="center"/>
          </w:tcPr>
          <w:p w14:paraId="7EBECD11"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1</w:t>
            </w:r>
          </w:p>
        </w:tc>
        <w:tc>
          <w:tcPr>
            <w:cnfStyle w:val="000010000000" w:firstRow="0" w:lastRow="0" w:firstColumn="0" w:lastColumn="0" w:oddVBand="1" w:evenVBand="0" w:oddHBand="0" w:evenHBand="0" w:firstRowFirstColumn="0" w:firstRowLastColumn="0" w:lastRowFirstColumn="0" w:lastRowLastColumn="0"/>
            <w:tcW w:w="321" w:type="pct"/>
            <w:tcBorders>
              <w:top w:val="none" w:sz="0" w:space="0" w:color="auto"/>
              <w:left w:val="none" w:sz="0" w:space="0" w:color="auto"/>
              <w:bottom w:val="none" w:sz="0" w:space="0" w:color="auto"/>
              <w:right w:val="none" w:sz="0" w:space="0" w:color="auto"/>
            </w:tcBorders>
            <w:vAlign w:val="center"/>
          </w:tcPr>
          <w:p w14:paraId="78CDFAF6"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01000000" w:firstRow="0" w:lastRow="0" w:firstColumn="0" w:lastColumn="0" w:oddVBand="0" w:evenVBand="1" w:oddHBand="0" w:evenHBand="0" w:firstRowFirstColumn="0" w:firstRowLastColumn="0" w:lastRowFirstColumn="0" w:lastRowLastColumn="0"/>
            <w:tcW w:w="293" w:type="pct"/>
            <w:tcBorders>
              <w:top w:val="none" w:sz="0" w:space="0" w:color="auto"/>
              <w:left w:val="none" w:sz="0" w:space="0" w:color="auto"/>
              <w:bottom w:val="none" w:sz="0" w:space="0" w:color="auto"/>
              <w:right w:val="none" w:sz="0" w:space="0" w:color="auto"/>
            </w:tcBorders>
            <w:vAlign w:val="center"/>
          </w:tcPr>
          <w:p w14:paraId="11219DE4"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2.78</w:t>
            </w:r>
          </w:p>
        </w:tc>
        <w:tc>
          <w:tcPr>
            <w:cnfStyle w:val="000010000000" w:firstRow="0" w:lastRow="0" w:firstColumn="0" w:lastColumn="0" w:oddVBand="1" w:evenVBand="0" w:oddHBand="0" w:evenHBand="0" w:firstRowFirstColumn="0" w:firstRowLastColumn="0" w:lastRowFirstColumn="0" w:lastRowLastColumn="0"/>
            <w:tcW w:w="293" w:type="pct"/>
            <w:tcBorders>
              <w:top w:val="none" w:sz="0" w:space="0" w:color="auto"/>
              <w:left w:val="none" w:sz="0" w:space="0" w:color="auto"/>
              <w:bottom w:val="none" w:sz="0" w:space="0" w:color="auto"/>
              <w:right w:val="none" w:sz="0" w:space="0" w:color="auto"/>
            </w:tcBorders>
            <w:vAlign w:val="center"/>
          </w:tcPr>
          <w:p w14:paraId="51B2E44E"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01000000" w:firstRow="0" w:lastRow="0" w:firstColumn="0" w:lastColumn="0" w:oddVBand="0" w:evenVBand="1" w:oddHBand="0" w:evenHBand="0" w:firstRowFirstColumn="0" w:firstRowLastColumn="0" w:lastRowFirstColumn="0" w:lastRowLastColumn="0"/>
            <w:tcW w:w="293" w:type="pct"/>
            <w:tcBorders>
              <w:top w:val="none" w:sz="0" w:space="0" w:color="auto"/>
              <w:left w:val="none" w:sz="0" w:space="0" w:color="auto"/>
              <w:bottom w:val="none" w:sz="0" w:space="0" w:color="auto"/>
              <w:right w:val="none" w:sz="0" w:space="0" w:color="auto"/>
            </w:tcBorders>
            <w:vAlign w:val="center"/>
          </w:tcPr>
          <w:p w14:paraId="56ED722E"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10000000" w:firstRow="0" w:lastRow="0" w:firstColumn="0" w:lastColumn="0" w:oddVBand="1" w:evenVBand="0" w:oddHBand="0" w:evenHBand="0" w:firstRowFirstColumn="0" w:firstRowLastColumn="0" w:lastRowFirstColumn="0" w:lastRowLastColumn="0"/>
            <w:tcW w:w="324" w:type="pct"/>
            <w:tcBorders>
              <w:top w:val="none" w:sz="0" w:space="0" w:color="auto"/>
              <w:left w:val="none" w:sz="0" w:space="0" w:color="auto"/>
              <w:bottom w:val="none" w:sz="0" w:space="0" w:color="auto"/>
              <w:right w:val="none" w:sz="0" w:space="0" w:color="auto"/>
            </w:tcBorders>
            <w:vAlign w:val="center"/>
          </w:tcPr>
          <w:p w14:paraId="6E42337D"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-2.45</w:t>
            </w:r>
          </w:p>
        </w:tc>
        <w:tc>
          <w:tcPr>
            <w:cnfStyle w:val="000001000000" w:firstRow="0" w:lastRow="0" w:firstColumn="0" w:lastColumn="0" w:oddVBand="0" w:evenVBand="1" w:oddHBand="0" w:evenHBand="0" w:firstRowFirstColumn="0" w:firstRowLastColumn="0" w:lastRowFirstColumn="0" w:lastRowLastColumn="0"/>
            <w:tcW w:w="324" w:type="pct"/>
            <w:tcBorders>
              <w:top w:val="none" w:sz="0" w:space="0" w:color="auto"/>
              <w:left w:val="none" w:sz="0" w:space="0" w:color="auto"/>
              <w:bottom w:val="none" w:sz="0" w:space="0" w:color="auto"/>
              <w:right w:val="none" w:sz="0" w:space="0" w:color="auto"/>
            </w:tcBorders>
            <w:vAlign w:val="center"/>
          </w:tcPr>
          <w:p w14:paraId="7CBE2802"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-.42</w:t>
            </w:r>
          </w:p>
        </w:tc>
        <w:tc>
          <w:tcPr>
            <w:cnfStyle w:val="000010000000" w:firstRow="0" w:lastRow="0" w:firstColumn="0" w:lastColumn="0" w:oddVBand="1" w:evenVBand="0" w:oddHBand="0" w:evenHBand="0" w:firstRowFirstColumn="0" w:firstRowLastColumn="0" w:lastRowFirstColumn="0" w:lastRowLastColumn="0"/>
            <w:tcW w:w="324" w:type="pct"/>
            <w:tcBorders>
              <w:top w:val="none" w:sz="0" w:space="0" w:color="auto"/>
              <w:left w:val="none" w:sz="0" w:space="0" w:color="auto"/>
              <w:bottom w:val="none" w:sz="0" w:space="0" w:color="auto"/>
              <w:right w:val="none" w:sz="0" w:space="0" w:color="auto"/>
            </w:tcBorders>
            <w:vAlign w:val="center"/>
          </w:tcPr>
          <w:p w14:paraId="2611E09F"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1.42</w:t>
            </w:r>
          </w:p>
        </w:tc>
        <w:tc>
          <w:tcPr>
            <w:cnfStyle w:val="000001000000" w:firstRow="0" w:lastRow="0" w:firstColumn="0" w:lastColumn="0" w:oddVBand="0" w:evenVBand="1" w:oddHBand="0" w:evenHBand="0" w:firstRowFirstColumn="0" w:firstRowLastColumn="0" w:lastRowFirstColumn="0" w:lastRowLastColumn="0"/>
            <w:tcW w:w="277" w:type="pct"/>
            <w:tcBorders>
              <w:top w:val="none" w:sz="0" w:space="0" w:color="auto"/>
              <w:left w:val="none" w:sz="0" w:space="0" w:color="auto"/>
              <w:bottom w:val="none" w:sz="0" w:space="0" w:color="auto"/>
              <w:right w:val="none" w:sz="0" w:space="0" w:color="auto"/>
            </w:tcBorders>
            <w:vAlign w:val="center"/>
          </w:tcPr>
          <w:p w14:paraId="16E2EC09"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2.34</w:t>
            </w:r>
          </w:p>
        </w:tc>
        <w:tc>
          <w:tcPr>
            <w:cnfStyle w:val="000010000000" w:firstRow="0" w:lastRow="0" w:firstColumn="0" w:lastColumn="0" w:oddVBand="1" w:evenVBand="0" w:oddHBand="0" w:evenHBand="0" w:firstRowFirstColumn="0" w:firstRowLastColumn="0" w:lastRowFirstColumn="0" w:lastRowLastColumn="0"/>
            <w:tcW w:w="296" w:type="pct"/>
            <w:tcBorders>
              <w:top w:val="none" w:sz="0" w:space="0" w:color="auto"/>
              <w:left w:val="none" w:sz="0" w:space="0" w:color="auto"/>
              <w:bottom w:val="none" w:sz="0" w:space="0" w:color="auto"/>
              <w:right w:val="none" w:sz="0" w:space="0" w:color="auto"/>
            </w:tcBorders>
            <w:vAlign w:val="center"/>
          </w:tcPr>
          <w:p w14:paraId="1A85D88F"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3.41</w:t>
            </w:r>
          </w:p>
        </w:tc>
        <w:tc>
          <w:tcPr>
            <w:cnfStyle w:val="000001000000" w:firstRow="0" w:lastRow="0" w:firstColumn="0" w:lastColumn="0" w:oddVBand="0" w:evenVBand="1" w:oddHBand="0" w:evenHBand="0" w:firstRowFirstColumn="0" w:firstRowLastColumn="0" w:lastRowFirstColumn="0" w:lastRowLastColumn="0"/>
            <w:tcW w:w="245" w:type="pct"/>
            <w:tcBorders>
              <w:top w:val="none" w:sz="0" w:space="0" w:color="auto"/>
              <w:left w:val="none" w:sz="0" w:space="0" w:color="auto"/>
              <w:bottom w:val="none" w:sz="0" w:space="0" w:color="auto"/>
              <w:right w:val="none" w:sz="0" w:space="0" w:color="auto"/>
            </w:tcBorders>
            <w:vAlign w:val="center"/>
          </w:tcPr>
          <w:p w14:paraId="1BD19DC6"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10000000" w:firstRow="0" w:lastRow="0" w:firstColumn="0" w:lastColumn="0" w:oddVBand="1" w:evenVBand="0" w:oddHBand="0" w:evenHBand="0" w:firstRowFirstColumn="0" w:firstRowLastColumn="0" w:lastRowFirstColumn="0" w:lastRowLastColumn="0"/>
            <w:tcW w:w="245" w:type="pct"/>
            <w:tcBorders>
              <w:top w:val="none" w:sz="0" w:space="0" w:color="auto"/>
              <w:left w:val="none" w:sz="0" w:space="0" w:color="auto"/>
              <w:bottom w:val="none" w:sz="0" w:space="0" w:color="auto"/>
              <w:right w:val="none" w:sz="0" w:space="0" w:color="auto"/>
            </w:tcBorders>
            <w:vAlign w:val="center"/>
          </w:tcPr>
          <w:p w14:paraId="539E74C5"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.85</w:t>
            </w:r>
          </w:p>
        </w:tc>
        <w:tc>
          <w:tcPr>
            <w:cnfStyle w:val="000001000000" w:firstRow="0" w:lastRow="0" w:firstColumn="0" w:lastColumn="0" w:oddVBand="0" w:evenVBand="1" w:oddHBand="0" w:evenHBand="0" w:firstRowFirstColumn="0" w:firstRowLastColumn="0" w:lastRowFirstColumn="0" w:lastRowLastColumn="0"/>
            <w:tcW w:w="245" w:type="pct"/>
            <w:tcBorders>
              <w:top w:val="none" w:sz="0" w:space="0" w:color="auto"/>
              <w:left w:val="none" w:sz="0" w:space="0" w:color="auto"/>
              <w:bottom w:val="none" w:sz="0" w:space="0" w:color="auto"/>
              <w:right w:val="none" w:sz="0" w:space="0" w:color="auto"/>
            </w:tcBorders>
            <w:vAlign w:val="center"/>
          </w:tcPr>
          <w:p w14:paraId="00F27A1E"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10000000" w:firstRow="0" w:lastRow="0" w:firstColumn="0" w:lastColumn="0" w:oddVBand="1" w:evenVBand="0" w:oddHBand="0" w:evenHBand="0" w:firstRowFirstColumn="0" w:firstRowLastColumn="0" w:lastRowFirstColumn="0" w:lastRowLastColumn="0"/>
            <w:tcW w:w="246" w:type="pct"/>
            <w:tcBorders>
              <w:top w:val="none" w:sz="0" w:space="0" w:color="auto"/>
              <w:left w:val="none" w:sz="0" w:space="0" w:color="auto"/>
              <w:bottom w:val="none" w:sz="0" w:space="0" w:color="auto"/>
              <w:right w:val="none" w:sz="0" w:space="0" w:color="auto"/>
            </w:tcBorders>
            <w:vAlign w:val="center"/>
          </w:tcPr>
          <w:p w14:paraId="71438E7D"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r>
      <w:tr w:rsidR="009E66DE" w:rsidRPr="009E66DE" w14:paraId="7ED43A6B" w14:textId="77777777" w:rsidTr="00766DD1">
        <w:tc>
          <w:tcPr>
            <w:cnfStyle w:val="000010000000" w:firstRow="0" w:lastRow="0" w:firstColumn="0" w:lastColumn="0" w:oddVBand="1" w:evenVBand="0" w:oddHBand="0" w:evenHBand="0" w:firstRowFirstColumn="0" w:firstRowLastColumn="0" w:lastRowFirstColumn="0" w:lastRowLastColumn="0"/>
            <w:tcW w:w="921" w:type="pct"/>
            <w:vMerge/>
            <w:tcBorders>
              <w:left w:val="none" w:sz="0" w:space="0" w:color="auto"/>
              <w:right w:val="none" w:sz="0" w:space="0" w:color="auto"/>
            </w:tcBorders>
            <w:vAlign w:val="center"/>
          </w:tcPr>
          <w:p w14:paraId="67543F1A"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p>
        </w:tc>
        <w:tc>
          <w:tcPr>
            <w:cnfStyle w:val="000001000000" w:firstRow="0" w:lastRow="0" w:firstColumn="0" w:lastColumn="0" w:oddVBand="0" w:evenVBand="1" w:oddHBand="0" w:evenHBand="0" w:firstRowFirstColumn="0" w:firstRowLastColumn="0" w:lastRowFirstColumn="0" w:lastRowLastColumn="0"/>
            <w:tcW w:w="353" w:type="pct"/>
            <w:tcBorders>
              <w:left w:val="none" w:sz="0" w:space="0" w:color="auto"/>
              <w:right w:val="none" w:sz="0" w:space="0" w:color="auto"/>
            </w:tcBorders>
            <w:vAlign w:val="center"/>
          </w:tcPr>
          <w:p w14:paraId="2605A8CE"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2</w:t>
            </w:r>
          </w:p>
        </w:tc>
        <w:tc>
          <w:tcPr>
            <w:cnfStyle w:val="000010000000" w:firstRow="0" w:lastRow="0" w:firstColumn="0" w:lastColumn="0" w:oddVBand="1" w:evenVBand="0" w:oddHBand="0" w:evenHBand="0" w:firstRowFirstColumn="0" w:firstRowLastColumn="0" w:lastRowFirstColumn="0" w:lastRowLastColumn="0"/>
            <w:tcW w:w="321" w:type="pct"/>
            <w:tcBorders>
              <w:left w:val="none" w:sz="0" w:space="0" w:color="auto"/>
              <w:right w:val="none" w:sz="0" w:space="0" w:color="auto"/>
            </w:tcBorders>
            <w:vAlign w:val="center"/>
          </w:tcPr>
          <w:p w14:paraId="4229B0F1"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01000000" w:firstRow="0" w:lastRow="0" w:firstColumn="0" w:lastColumn="0" w:oddVBand="0" w:evenVBand="1" w:oddHBand="0" w:evenHBand="0" w:firstRowFirstColumn="0" w:firstRowLastColumn="0" w:lastRowFirstColumn="0" w:lastRowLastColumn="0"/>
            <w:tcW w:w="293" w:type="pct"/>
            <w:tcBorders>
              <w:left w:val="none" w:sz="0" w:space="0" w:color="auto"/>
              <w:right w:val="none" w:sz="0" w:space="0" w:color="auto"/>
            </w:tcBorders>
            <w:vAlign w:val="center"/>
          </w:tcPr>
          <w:p w14:paraId="5475D9AD"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4.21</w:t>
            </w:r>
          </w:p>
        </w:tc>
        <w:tc>
          <w:tcPr>
            <w:cnfStyle w:val="000010000000" w:firstRow="0" w:lastRow="0" w:firstColumn="0" w:lastColumn="0" w:oddVBand="1" w:evenVBand="0" w:oddHBand="0" w:evenHBand="0" w:firstRowFirstColumn="0" w:firstRowLastColumn="0" w:lastRowFirstColumn="0" w:lastRowLastColumn="0"/>
            <w:tcW w:w="293" w:type="pct"/>
            <w:tcBorders>
              <w:left w:val="none" w:sz="0" w:space="0" w:color="auto"/>
              <w:right w:val="none" w:sz="0" w:space="0" w:color="auto"/>
            </w:tcBorders>
            <w:vAlign w:val="center"/>
          </w:tcPr>
          <w:p w14:paraId="482CB0AB"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01000000" w:firstRow="0" w:lastRow="0" w:firstColumn="0" w:lastColumn="0" w:oddVBand="0" w:evenVBand="1" w:oddHBand="0" w:evenHBand="0" w:firstRowFirstColumn="0" w:firstRowLastColumn="0" w:lastRowFirstColumn="0" w:lastRowLastColumn="0"/>
            <w:tcW w:w="293" w:type="pct"/>
            <w:tcBorders>
              <w:left w:val="none" w:sz="0" w:space="0" w:color="auto"/>
              <w:right w:val="none" w:sz="0" w:space="0" w:color="auto"/>
            </w:tcBorders>
            <w:vAlign w:val="center"/>
          </w:tcPr>
          <w:p w14:paraId="75825C65"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10000000" w:firstRow="0" w:lastRow="0" w:firstColumn="0" w:lastColumn="0" w:oddVBand="1" w:evenVBand="0" w:oddHBand="0" w:evenHBand="0" w:firstRowFirstColumn="0" w:firstRowLastColumn="0" w:lastRowFirstColumn="0" w:lastRowLastColumn="0"/>
            <w:tcW w:w="324" w:type="pct"/>
            <w:tcBorders>
              <w:left w:val="none" w:sz="0" w:space="0" w:color="auto"/>
              <w:right w:val="none" w:sz="0" w:space="0" w:color="auto"/>
            </w:tcBorders>
            <w:vAlign w:val="center"/>
          </w:tcPr>
          <w:p w14:paraId="251F8B73"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-2.56</w:t>
            </w:r>
          </w:p>
        </w:tc>
        <w:tc>
          <w:tcPr>
            <w:cnfStyle w:val="000001000000" w:firstRow="0" w:lastRow="0" w:firstColumn="0" w:lastColumn="0" w:oddVBand="0" w:evenVBand="1" w:oddHBand="0" w:evenHBand="0" w:firstRowFirstColumn="0" w:firstRowLastColumn="0" w:lastRowFirstColumn="0" w:lastRowLastColumn="0"/>
            <w:tcW w:w="324" w:type="pct"/>
            <w:tcBorders>
              <w:left w:val="none" w:sz="0" w:space="0" w:color="auto"/>
              <w:right w:val="none" w:sz="0" w:space="0" w:color="auto"/>
            </w:tcBorders>
            <w:vAlign w:val="center"/>
          </w:tcPr>
          <w:p w14:paraId="46357EE3"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.25</w:t>
            </w:r>
          </w:p>
        </w:tc>
        <w:tc>
          <w:tcPr>
            <w:cnfStyle w:val="000010000000" w:firstRow="0" w:lastRow="0" w:firstColumn="0" w:lastColumn="0" w:oddVBand="1" w:evenVBand="0" w:oddHBand="0" w:evenHBand="0" w:firstRowFirstColumn="0" w:firstRowLastColumn="0" w:lastRowFirstColumn="0" w:lastRowLastColumn="0"/>
            <w:tcW w:w="324" w:type="pct"/>
            <w:tcBorders>
              <w:left w:val="none" w:sz="0" w:space="0" w:color="auto"/>
              <w:right w:val="none" w:sz="0" w:space="0" w:color="auto"/>
            </w:tcBorders>
            <w:vAlign w:val="center"/>
          </w:tcPr>
          <w:p w14:paraId="0D51A894"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2.72</w:t>
            </w:r>
          </w:p>
        </w:tc>
        <w:tc>
          <w:tcPr>
            <w:cnfStyle w:val="000001000000" w:firstRow="0" w:lastRow="0" w:firstColumn="0" w:lastColumn="0" w:oddVBand="0" w:evenVBand="1" w:oddHBand="0" w:evenHBand="0" w:firstRowFirstColumn="0" w:firstRowLastColumn="0" w:lastRowFirstColumn="0" w:lastRowLastColumn="0"/>
            <w:tcW w:w="277" w:type="pct"/>
            <w:tcBorders>
              <w:left w:val="none" w:sz="0" w:space="0" w:color="auto"/>
              <w:right w:val="none" w:sz="0" w:space="0" w:color="auto"/>
            </w:tcBorders>
            <w:vAlign w:val="center"/>
          </w:tcPr>
          <w:p w14:paraId="10BCEEA4"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4.45</w:t>
            </w:r>
          </w:p>
        </w:tc>
        <w:tc>
          <w:tcPr>
            <w:cnfStyle w:val="000010000000" w:firstRow="0" w:lastRow="0" w:firstColumn="0" w:lastColumn="0" w:oddVBand="1" w:evenVBand="0" w:oddHBand="0" w:evenHBand="0" w:firstRowFirstColumn="0" w:firstRowLastColumn="0" w:lastRowFirstColumn="0" w:lastRowLastColumn="0"/>
            <w:tcW w:w="296" w:type="pct"/>
            <w:tcBorders>
              <w:left w:val="none" w:sz="0" w:space="0" w:color="auto"/>
              <w:right w:val="none" w:sz="0" w:space="0" w:color="auto"/>
            </w:tcBorders>
            <w:vAlign w:val="center"/>
          </w:tcPr>
          <w:p w14:paraId="3B1BB7E2"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6.17</w:t>
            </w:r>
          </w:p>
        </w:tc>
        <w:tc>
          <w:tcPr>
            <w:cnfStyle w:val="000001000000" w:firstRow="0" w:lastRow="0" w:firstColumn="0" w:lastColumn="0" w:oddVBand="0" w:evenVBand="1" w:oddHBand="0" w:evenHBand="0" w:firstRowFirstColumn="0" w:firstRowLastColumn="0" w:lastRowFirstColumn="0" w:lastRowLastColumn="0"/>
            <w:tcW w:w="245" w:type="pct"/>
            <w:tcBorders>
              <w:left w:val="none" w:sz="0" w:space="0" w:color="auto"/>
              <w:right w:val="none" w:sz="0" w:space="0" w:color="auto"/>
            </w:tcBorders>
            <w:vAlign w:val="center"/>
          </w:tcPr>
          <w:p w14:paraId="316A3CAF"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10000000" w:firstRow="0" w:lastRow="0" w:firstColumn="0" w:lastColumn="0" w:oddVBand="1" w:evenVBand="0" w:oddHBand="0" w:evenHBand="0" w:firstRowFirstColumn="0" w:firstRowLastColumn="0" w:lastRowFirstColumn="0" w:lastRowLastColumn="0"/>
            <w:tcW w:w="245" w:type="pct"/>
            <w:tcBorders>
              <w:left w:val="none" w:sz="0" w:space="0" w:color="auto"/>
              <w:right w:val="none" w:sz="0" w:space="0" w:color="auto"/>
            </w:tcBorders>
            <w:vAlign w:val="center"/>
          </w:tcPr>
          <w:p w14:paraId="53A6C869"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.93</w:t>
            </w:r>
          </w:p>
        </w:tc>
        <w:tc>
          <w:tcPr>
            <w:cnfStyle w:val="000001000000" w:firstRow="0" w:lastRow="0" w:firstColumn="0" w:lastColumn="0" w:oddVBand="0" w:evenVBand="1" w:oddHBand="0" w:evenHBand="0" w:firstRowFirstColumn="0" w:firstRowLastColumn="0" w:lastRowFirstColumn="0" w:lastRowLastColumn="0"/>
            <w:tcW w:w="245" w:type="pct"/>
            <w:tcBorders>
              <w:left w:val="none" w:sz="0" w:space="0" w:color="auto"/>
              <w:right w:val="none" w:sz="0" w:space="0" w:color="auto"/>
            </w:tcBorders>
            <w:vAlign w:val="center"/>
          </w:tcPr>
          <w:p w14:paraId="40633EE2"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10000000" w:firstRow="0" w:lastRow="0" w:firstColumn="0" w:lastColumn="0" w:oddVBand="1" w:evenVBand="0" w:oddHBand="0" w:evenHBand="0" w:firstRowFirstColumn="0" w:firstRowLastColumn="0" w:lastRowFirstColumn="0" w:lastRowLastColumn="0"/>
            <w:tcW w:w="246" w:type="pct"/>
            <w:tcBorders>
              <w:left w:val="none" w:sz="0" w:space="0" w:color="auto"/>
              <w:right w:val="none" w:sz="0" w:space="0" w:color="auto"/>
            </w:tcBorders>
            <w:vAlign w:val="center"/>
          </w:tcPr>
          <w:p w14:paraId="3A703CAB"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r>
      <w:tr w:rsidR="009E66DE" w:rsidRPr="009E66DE" w14:paraId="6AF800AA" w14:textId="77777777" w:rsidTr="00766DD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21" w:type="pct"/>
            <w:vMerge w:val="restart"/>
            <w:tcBorders>
              <w:top w:val="none" w:sz="0" w:space="0" w:color="auto"/>
              <w:left w:val="none" w:sz="0" w:space="0" w:color="auto"/>
              <w:bottom w:val="none" w:sz="0" w:space="0" w:color="auto"/>
              <w:right w:val="none" w:sz="0" w:space="0" w:color="auto"/>
            </w:tcBorders>
            <w:vAlign w:val="center"/>
          </w:tcPr>
          <w:p w14:paraId="2ED213F5" w14:textId="0F46892A" w:rsidR="00580749" w:rsidRPr="009E66DE" w:rsidRDefault="009E66DE"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Personal beliefs</w:t>
            </w:r>
          </w:p>
        </w:tc>
        <w:tc>
          <w:tcPr>
            <w:cnfStyle w:val="000001000000" w:firstRow="0" w:lastRow="0" w:firstColumn="0" w:lastColumn="0" w:oddVBand="0" w:evenVBand="1"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vAlign w:val="center"/>
          </w:tcPr>
          <w:p w14:paraId="4C5465DC"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5</w:t>
            </w:r>
          </w:p>
        </w:tc>
        <w:tc>
          <w:tcPr>
            <w:cnfStyle w:val="000010000000" w:firstRow="0" w:lastRow="0" w:firstColumn="0" w:lastColumn="0" w:oddVBand="1" w:evenVBand="0" w:oddHBand="0" w:evenHBand="0" w:firstRowFirstColumn="0" w:firstRowLastColumn="0" w:lastRowFirstColumn="0" w:lastRowLastColumn="0"/>
            <w:tcW w:w="321" w:type="pct"/>
            <w:tcBorders>
              <w:top w:val="none" w:sz="0" w:space="0" w:color="auto"/>
              <w:left w:val="none" w:sz="0" w:space="0" w:color="auto"/>
              <w:bottom w:val="none" w:sz="0" w:space="0" w:color="auto"/>
              <w:right w:val="none" w:sz="0" w:space="0" w:color="auto"/>
            </w:tcBorders>
            <w:vAlign w:val="center"/>
          </w:tcPr>
          <w:p w14:paraId="5CD48A2D"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01000000" w:firstRow="0" w:lastRow="0" w:firstColumn="0" w:lastColumn="0" w:oddVBand="0" w:evenVBand="1" w:oddHBand="0" w:evenHBand="0" w:firstRowFirstColumn="0" w:firstRowLastColumn="0" w:lastRowFirstColumn="0" w:lastRowLastColumn="0"/>
            <w:tcW w:w="293" w:type="pct"/>
            <w:tcBorders>
              <w:top w:val="none" w:sz="0" w:space="0" w:color="auto"/>
              <w:left w:val="none" w:sz="0" w:space="0" w:color="auto"/>
              <w:bottom w:val="none" w:sz="0" w:space="0" w:color="auto"/>
              <w:right w:val="none" w:sz="0" w:space="0" w:color="auto"/>
            </w:tcBorders>
            <w:vAlign w:val="center"/>
          </w:tcPr>
          <w:p w14:paraId="60C5D7B5"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10000000" w:firstRow="0" w:lastRow="0" w:firstColumn="0" w:lastColumn="0" w:oddVBand="1" w:evenVBand="0" w:oddHBand="0" w:evenHBand="0" w:firstRowFirstColumn="0" w:firstRowLastColumn="0" w:lastRowFirstColumn="0" w:lastRowLastColumn="0"/>
            <w:tcW w:w="293" w:type="pct"/>
            <w:tcBorders>
              <w:top w:val="none" w:sz="0" w:space="0" w:color="auto"/>
              <w:left w:val="none" w:sz="0" w:space="0" w:color="auto"/>
              <w:bottom w:val="none" w:sz="0" w:space="0" w:color="auto"/>
              <w:right w:val="none" w:sz="0" w:space="0" w:color="auto"/>
            </w:tcBorders>
            <w:vAlign w:val="center"/>
          </w:tcPr>
          <w:p w14:paraId="20F12228"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4.47</w:t>
            </w:r>
          </w:p>
        </w:tc>
        <w:tc>
          <w:tcPr>
            <w:cnfStyle w:val="000001000000" w:firstRow="0" w:lastRow="0" w:firstColumn="0" w:lastColumn="0" w:oddVBand="0" w:evenVBand="1" w:oddHBand="0" w:evenHBand="0" w:firstRowFirstColumn="0" w:firstRowLastColumn="0" w:lastRowFirstColumn="0" w:lastRowLastColumn="0"/>
            <w:tcW w:w="293" w:type="pct"/>
            <w:tcBorders>
              <w:top w:val="none" w:sz="0" w:space="0" w:color="auto"/>
              <w:left w:val="none" w:sz="0" w:space="0" w:color="auto"/>
              <w:bottom w:val="none" w:sz="0" w:space="0" w:color="auto"/>
              <w:right w:val="none" w:sz="0" w:space="0" w:color="auto"/>
            </w:tcBorders>
            <w:vAlign w:val="center"/>
          </w:tcPr>
          <w:p w14:paraId="5DB8257B"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10000000" w:firstRow="0" w:lastRow="0" w:firstColumn="0" w:lastColumn="0" w:oddVBand="1" w:evenVBand="0" w:oddHBand="0" w:evenHBand="0" w:firstRowFirstColumn="0" w:firstRowLastColumn="0" w:lastRowFirstColumn="0" w:lastRowLastColumn="0"/>
            <w:tcW w:w="324" w:type="pct"/>
            <w:tcBorders>
              <w:top w:val="none" w:sz="0" w:space="0" w:color="auto"/>
              <w:left w:val="none" w:sz="0" w:space="0" w:color="auto"/>
              <w:bottom w:val="none" w:sz="0" w:space="0" w:color="auto"/>
              <w:right w:val="none" w:sz="0" w:space="0" w:color="auto"/>
            </w:tcBorders>
            <w:vAlign w:val="center"/>
          </w:tcPr>
          <w:p w14:paraId="7C82CE6D"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-3.88</w:t>
            </w:r>
          </w:p>
        </w:tc>
        <w:tc>
          <w:tcPr>
            <w:cnfStyle w:val="000001000000" w:firstRow="0" w:lastRow="0" w:firstColumn="0" w:lastColumn="0" w:oddVBand="0" w:evenVBand="1" w:oddHBand="0" w:evenHBand="0" w:firstRowFirstColumn="0" w:firstRowLastColumn="0" w:lastRowFirstColumn="0" w:lastRowLastColumn="0"/>
            <w:tcW w:w="324" w:type="pct"/>
            <w:tcBorders>
              <w:top w:val="none" w:sz="0" w:space="0" w:color="auto"/>
              <w:left w:val="none" w:sz="0" w:space="0" w:color="auto"/>
              <w:bottom w:val="none" w:sz="0" w:space="0" w:color="auto"/>
              <w:right w:val="none" w:sz="0" w:space="0" w:color="auto"/>
            </w:tcBorders>
            <w:vAlign w:val="center"/>
          </w:tcPr>
          <w:p w14:paraId="41361745"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-.51</w:t>
            </w:r>
          </w:p>
        </w:tc>
        <w:tc>
          <w:tcPr>
            <w:cnfStyle w:val="000010000000" w:firstRow="0" w:lastRow="0" w:firstColumn="0" w:lastColumn="0" w:oddVBand="1" w:evenVBand="0" w:oddHBand="0" w:evenHBand="0" w:firstRowFirstColumn="0" w:firstRowLastColumn="0" w:lastRowFirstColumn="0" w:lastRowLastColumn="0"/>
            <w:tcW w:w="324" w:type="pct"/>
            <w:tcBorders>
              <w:top w:val="none" w:sz="0" w:space="0" w:color="auto"/>
              <w:left w:val="none" w:sz="0" w:space="0" w:color="auto"/>
              <w:bottom w:val="none" w:sz="0" w:space="0" w:color="auto"/>
              <w:right w:val="none" w:sz="0" w:space="0" w:color="auto"/>
            </w:tcBorders>
            <w:vAlign w:val="center"/>
          </w:tcPr>
          <w:p w14:paraId="53278CA7"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2.21</w:t>
            </w:r>
          </w:p>
        </w:tc>
        <w:tc>
          <w:tcPr>
            <w:cnfStyle w:val="000001000000" w:firstRow="0" w:lastRow="0" w:firstColumn="0" w:lastColumn="0" w:oddVBand="0" w:evenVBand="1" w:oddHBand="0" w:evenHBand="0" w:firstRowFirstColumn="0" w:firstRowLastColumn="0" w:lastRowFirstColumn="0" w:lastRowLastColumn="0"/>
            <w:tcW w:w="277" w:type="pct"/>
            <w:tcBorders>
              <w:top w:val="none" w:sz="0" w:space="0" w:color="auto"/>
              <w:left w:val="none" w:sz="0" w:space="0" w:color="auto"/>
              <w:bottom w:val="none" w:sz="0" w:space="0" w:color="auto"/>
              <w:right w:val="none" w:sz="0" w:space="0" w:color="auto"/>
            </w:tcBorders>
            <w:vAlign w:val="center"/>
          </w:tcPr>
          <w:p w14:paraId="2F4BD3A9"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4.16</w:t>
            </w:r>
          </w:p>
        </w:tc>
        <w:tc>
          <w:tcPr>
            <w:cnfStyle w:val="000010000000" w:firstRow="0" w:lastRow="0" w:firstColumn="0" w:lastColumn="0" w:oddVBand="1" w:evenVBand="0" w:oddHBand="0" w:evenHBand="0" w:firstRowFirstColumn="0" w:firstRowLastColumn="0" w:lastRowFirstColumn="0" w:lastRowLastColumn="0"/>
            <w:tcW w:w="296" w:type="pct"/>
            <w:tcBorders>
              <w:top w:val="none" w:sz="0" w:space="0" w:color="auto"/>
              <w:left w:val="none" w:sz="0" w:space="0" w:color="auto"/>
              <w:bottom w:val="none" w:sz="0" w:space="0" w:color="auto"/>
              <w:right w:val="none" w:sz="0" w:space="0" w:color="auto"/>
            </w:tcBorders>
            <w:vAlign w:val="center"/>
          </w:tcPr>
          <w:p w14:paraId="0B03D0F1"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5.94</w:t>
            </w:r>
          </w:p>
        </w:tc>
        <w:tc>
          <w:tcPr>
            <w:cnfStyle w:val="000001000000" w:firstRow="0" w:lastRow="0" w:firstColumn="0" w:lastColumn="0" w:oddVBand="0" w:evenVBand="1" w:oddHBand="0" w:evenHBand="0" w:firstRowFirstColumn="0" w:firstRowLastColumn="0" w:lastRowFirstColumn="0" w:lastRowLastColumn="0"/>
            <w:tcW w:w="245" w:type="pct"/>
            <w:tcBorders>
              <w:top w:val="none" w:sz="0" w:space="0" w:color="auto"/>
              <w:left w:val="none" w:sz="0" w:space="0" w:color="auto"/>
              <w:bottom w:val="none" w:sz="0" w:space="0" w:color="auto"/>
              <w:right w:val="none" w:sz="0" w:space="0" w:color="auto"/>
            </w:tcBorders>
            <w:vAlign w:val="center"/>
          </w:tcPr>
          <w:p w14:paraId="2C735929"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10000000" w:firstRow="0" w:lastRow="0" w:firstColumn="0" w:lastColumn="0" w:oddVBand="1" w:evenVBand="0" w:oddHBand="0" w:evenHBand="0" w:firstRowFirstColumn="0" w:firstRowLastColumn="0" w:lastRowFirstColumn="0" w:lastRowLastColumn="0"/>
            <w:tcW w:w="245" w:type="pct"/>
            <w:tcBorders>
              <w:top w:val="none" w:sz="0" w:space="0" w:color="auto"/>
              <w:left w:val="none" w:sz="0" w:space="0" w:color="auto"/>
              <w:bottom w:val="none" w:sz="0" w:space="0" w:color="auto"/>
              <w:right w:val="none" w:sz="0" w:space="0" w:color="auto"/>
            </w:tcBorders>
            <w:vAlign w:val="center"/>
          </w:tcPr>
          <w:p w14:paraId="603048CB"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01000000" w:firstRow="0" w:lastRow="0" w:firstColumn="0" w:lastColumn="0" w:oddVBand="0" w:evenVBand="1" w:oddHBand="0" w:evenHBand="0" w:firstRowFirstColumn="0" w:firstRowLastColumn="0" w:lastRowFirstColumn="0" w:lastRowLastColumn="0"/>
            <w:tcW w:w="245" w:type="pct"/>
            <w:tcBorders>
              <w:top w:val="none" w:sz="0" w:space="0" w:color="auto"/>
              <w:left w:val="none" w:sz="0" w:space="0" w:color="auto"/>
              <w:bottom w:val="none" w:sz="0" w:space="0" w:color="auto"/>
              <w:right w:val="none" w:sz="0" w:space="0" w:color="auto"/>
            </w:tcBorders>
            <w:vAlign w:val="center"/>
          </w:tcPr>
          <w:p w14:paraId="376577DA"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.94</w:t>
            </w:r>
          </w:p>
        </w:tc>
        <w:tc>
          <w:tcPr>
            <w:cnfStyle w:val="000010000000" w:firstRow="0" w:lastRow="0" w:firstColumn="0" w:lastColumn="0" w:oddVBand="1" w:evenVBand="0" w:oddHBand="0" w:evenHBand="0" w:firstRowFirstColumn="0" w:firstRowLastColumn="0" w:lastRowFirstColumn="0" w:lastRowLastColumn="0"/>
            <w:tcW w:w="246" w:type="pct"/>
            <w:tcBorders>
              <w:top w:val="none" w:sz="0" w:space="0" w:color="auto"/>
              <w:left w:val="none" w:sz="0" w:space="0" w:color="auto"/>
              <w:bottom w:val="none" w:sz="0" w:space="0" w:color="auto"/>
              <w:right w:val="none" w:sz="0" w:space="0" w:color="auto"/>
            </w:tcBorders>
            <w:vAlign w:val="center"/>
          </w:tcPr>
          <w:p w14:paraId="4AB3B372"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r>
      <w:tr w:rsidR="009E66DE" w:rsidRPr="009E66DE" w14:paraId="68012F58" w14:textId="77777777" w:rsidTr="00766DD1">
        <w:tc>
          <w:tcPr>
            <w:cnfStyle w:val="000010000000" w:firstRow="0" w:lastRow="0" w:firstColumn="0" w:lastColumn="0" w:oddVBand="1" w:evenVBand="0" w:oddHBand="0" w:evenHBand="0" w:firstRowFirstColumn="0" w:firstRowLastColumn="0" w:lastRowFirstColumn="0" w:lastRowLastColumn="0"/>
            <w:tcW w:w="921" w:type="pct"/>
            <w:vMerge/>
            <w:tcBorders>
              <w:left w:val="none" w:sz="0" w:space="0" w:color="auto"/>
              <w:right w:val="none" w:sz="0" w:space="0" w:color="auto"/>
            </w:tcBorders>
            <w:vAlign w:val="center"/>
          </w:tcPr>
          <w:p w14:paraId="473E7B4F"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p>
        </w:tc>
        <w:tc>
          <w:tcPr>
            <w:cnfStyle w:val="000001000000" w:firstRow="0" w:lastRow="0" w:firstColumn="0" w:lastColumn="0" w:oddVBand="0" w:evenVBand="1" w:oddHBand="0" w:evenHBand="0" w:firstRowFirstColumn="0" w:firstRowLastColumn="0" w:lastRowFirstColumn="0" w:lastRowLastColumn="0"/>
            <w:tcW w:w="353" w:type="pct"/>
            <w:tcBorders>
              <w:left w:val="none" w:sz="0" w:space="0" w:color="auto"/>
              <w:right w:val="none" w:sz="0" w:space="0" w:color="auto"/>
            </w:tcBorders>
            <w:vAlign w:val="center"/>
          </w:tcPr>
          <w:p w14:paraId="430D61C9"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7</w:t>
            </w:r>
          </w:p>
        </w:tc>
        <w:tc>
          <w:tcPr>
            <w:cnfStyle w:val="000010000000" w:firstRow="0" w:lastRow="0" w:firstColumn="0" w:lastColumn="0" w:oddVBand="1" w:evenVBand="0" w:oddHBand="0" w:evenHBand="0" w:firstRowFirstColumn="0" w:firstRowLastColumn="0" w:lastRowFirstColumn="0" w:lastRowLastColumn="0"/>
            <w:tcW w:w="321" w:type="pct"/>
            <w:tcBorders>
              <w:left w:val="none" w:sz="0" w:space="0" w:color="auto"/>
              <w:right w:val="none" w:sz="0" w:space="0" w:color="auto"/>
            </w:tcBorders>
            <w:vAlign w:val="center"/>
          </w:tcPr>
          <w:p w14:paraId="736D3EEC"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01000000" w:firstRow="0" w:lastRow="0" w:firstColumn="0" w:lastColumn="0" w:oddVBand="0" w:evenVBand="1" w:oddHBand="0" w:evenHBand="0" w:firstRowFirstColumn="0" w:firstRowLastColumn="0" w:lastRowFirstColumn="0" w:lastRowLastColumn="0"/>
            <w:tcW w:w="293" w:type="pct"/>
            <w:tcBorders>
              <w:left w:val="none" w:sz="0" w:space="0" w:color="auto"/>
              <w:right w:val="none" w:sz="0" w:space="0" w:color="auto"/>
            </w:tcBorders>
            <w:vAlign w:val="center"/>
          </w:tcPr>
          <w:p w14:paraId="4113DAF2"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10000000" w:firstRow="0" w:lastRow="0" w:firstColumn="0" w:lastColumn="0" w:oddVBand="1" w:evenVBand="0" w:oddHBand="0" w:evenHBand="0" w:firstRowFirstColumn="0" w:firstRowLastColumn="0" w:lastRowFirstColumn="0" w:lastRowLastColumn="0"/>
            <w:tcW w:w="293" w:type="pct"/>
            <w:tcBorders>
              <w:left w:val="none" w:sz="0" w:space="0" w:color="auto"/>
              <w:right w:val="none" w:sz="0" w:space="0" w:color="auto"/>
            </w:tcBorders>
            <w:vAlign w:val="center"/>
          </w:tcPr>
          <w:p w14:paraId="31C34F74"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4.08</w:t>
            </w:r>
          </w:p>
        </w:tc>
        <w:tc>
          <w:tcPr>
            <w:cnfStyle w:val="000001000000" w:firstRow="0" w:lastRow="0" w:firstColumn="0" w:lastColumn="0" w:oddVBand="0" w:evenVBand="1" w:oddHBand="0" w:evenHBand="0" w:firstRowFirstColumn="0" w:firstRowLastColumn="0" w:lastRowFirstColumn="0" w:lastRowLastColumn="0"/>
            <w:tcW w:w="293" w:type="pct"/>
            <w:tcBorders>
              <w:left w:val="none" w:sz="0" w:space="0" w:color="auto"/>
              <w:right w:val="none" w:sz="0" w:space="0" w:color="auto"/>
            </w:tcBorders>
            <w:vAlign w:val="center"/>
          </w:tcPr>
          <w:p w14:paraId="2CCBF14E"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10000000" w:firstRow="0" w:lastRow="0" w:firstColumn="0" w:lastColumn="0" w:oddVBand="1" w:evenVBand="0" w:oddHBand="0" w:evenHBand="0" w:firstRowFirstColumn="0" w:firstRowLastColumn="0" w:lastRowFirstColumn="0" w:lastRowLastColumn="0"/>
            <w:tcW w:w="324" w:type="pct"/>
            <w:tcBorders>
              <w:left w:val="none" w:sz="0" w:space="0" w:color="auto"/>
              <w:right w:val="none" w:sz="0" w:space="0" w:color="auto"/>
            </w:tcBorders>
            <w:vAlign w:val="center"/>
          </w:tcPr>
          <w:p w14:paraId="26F500D9"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-2.67</w:t>
            </w:r>
          </w:p>
        </w:tc>
        <w:tc>
          <w:tcPr>
            <w:cnfStyle w:val="000001000000" w:firstRow="0" w:lastRow="0" w:firstColumn="0" w:lastColumn="0" w:oddVBand="0" w:evenVBand="1" w:oddHBand="0" w:evenHBand="0" w:firstRowFirstColumn="0" w:firstRowLastColumn="0" w:lastRowFirstColumn="0" w:lastRowLastColumn="0"/>
            <w:tcW w:w="324" w:type="pct"/>
            <w:tcBorders>
              <w:left w:val="none" w:sz="0" w:space="0" w:color="auto"/>
              <w:right w:val="none" w:sz="0" w:space="0" w:color="auto"/>
            </w:tcBorders>
            <w:vAlign w:val="center"/>
          </w:tcPr>
          <w:p w14:paraId="202E5190"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.02</w:t>
            </w:r>
          </w:p>
        </w:tc>
        <w:tc>
          <w:tcPr>
            <w:cnfStyle w:val="000010000000" w:firstRow="0" w:lastRow="0" w:firstColumn="0" w:lastColumn="0" w:oddVBand="1" w:evenVBand="0" w:oddHBand="0" w:evenHBand="0" w:firstRowFirstColumn="0" w:firstRowLastColumn="0" w:lastRowFirstColumn="0" w:lastRowLastColumn="0"/>
            <w:tcW w:w="324" w:type="pct"/>
            <w:tcBorders>
              <w:left w:val="none" w:sz="0" w:space="0" w:color="auto"/>
              <w:right w:val="none" w:sz="0" w:space="0" w:color="auto"/>
            </w:tcBorders>
            <w:vAlign w:val="center"/>
          </w:tcPr>
          <w:p w14:paraId="2BFBB4CA"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2.11</w:t>
            </w:r>
          </w:p>
        </w:tc>
        <w:tc>
          <w:tcPr>
            <w:cnfStyle w:val="000001000000" w:firstRow="0" w:lastRow="0" w:firstColumn="0" w:lastColumn="0" w:oddVBand="0" w:evenVBand="1" w:oddHBand="0" w:evenHBand="0" w:firstRowFirstColumn="0" w:firstRowLastColumn="0" w:lastRowFirstColumn="0" w:lastRowLastColumn="0"/>
            <w:tcW w:w="277" w:type="pct"/>
            <w:tcBorders>
              <w:left w:val="none" w:sz="0" w:space="0" w:color="auto"/>
              <w:right w:val="none" w:sz="0" w:space="0" w:color="auto"/>
            </w:tcBorders>
            <w:vAlign w:val="center"/>
          </w:tcPr>
          <w:p w14:paraId="72537B0D"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3.83</w:t>
            </w:r>
          </w:p>
        </w:tc>
        <w:tc>
          <w:tcPr>
            <w:cnfStyle w:val="000010000000" w:firstRow="0" w:lastRow="0" w:firstColumn="0" w:lastColumn="0" w:oddVBand="1" w:evenVBand="0" w:oddHBand="0" w:evenHBand="0" w:firstRowFirstColumn="0" w:firstRowLastColumn="0" w:lastRowFirstColumn="0" w:lastRowLastColumn="0"/>
            <w:tcW w:w="296" w:type="pct"/>
            <w:tcBorders>
              <w:left w:val="none" w:sz="0" w:space="0" w:color="auto"/>
              <w:right w:val="none" w:sz="0" w:space="0" w:color="auto"/>
            </w:tcBorders>
            <w:vAlign w:val="center"/>
          </w:tcPr>
          <w:p w14:paraId="07A4A17B"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5.38</w:t>
            </w:r>
          </w:p>
        </w:tc>
        <w:tc>
          <w:tcPr>
            <w:cnfStyle w:val="000001000000" w:firstRow="0" w:lastRow="0" w:firstColumn="0" w:lastColumn="0" w:oddVBand="0" w:evenVBand="1" w:oddHBand="0" w:evenHBand="0" w:firstRowFirstColumn="0" w:firstRowLastColumn="0" w:lastRowFirstColumn="0" w:lastRowLastColumn="0"/>
            <w:tcW w:w="245" w:type="pct"/>
            <w:tcBorders>
              <w:left w:val="none" w:sz="0" w:space="0" w:color="auto"/>
              <w:right w:val="none" w:sz="0" w:space="0" w:color="auto"/>
            </w:tcBorders>
            <w:vAlign w:val="center"/>
          </w:tcPr>
          <w:p w14:paraId="51D3939F"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10000000" w:firstRow="0" w:lastRow="0" w:firstColumn="0" w:lastColumn="0" w:oddVBand="1" w:evenVBand="0" w:oddHBand="0" w:evenHBand="0" w:firstRowFirstColumn="0" w:firstRowLastColumn="0" w:lastRowFirstColumn="0" w:lastRowLastColumn="0"/>
            <w:tcW w:w="245" w:type="pct"/>
            <w:tcBorders>
              <w:left w:val="none" w:sz="0" w:space="0" w:color="auto"/>
              <w:right w:val="none" w:sz="0" w:space="0" w:color="auto"/>
            </w:tcBorders>
            <w:vAlign w:val="center"/>
          </w:tcPr>
          <w:p w14:paraId="3CD30D7C"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01000000" w:firstRow="0" w:lastRow="0" w:firstColumn="0" w:lastColumn="0" w:oddVBand="0" w:evenVBand="1" w:oddHBand="0" w:evenHBand="0" w:firstRowFirstColumn="0" w:firstRowLastColumn="0" w:lastRowFirstColumn="0" w:lastRowLastColumn="0"/>
            <w:tcW w:w="245" w:type="pct"/>
            <w:tcBorders>
              <w:left w:val="none" w:sz="0" w:space="0" w:color="auto"/>
              <w:right w:val="none" w:sz="0" w:space="0" w:color="auto"/>
            </w:tcBorders>
            <w:vAlign w:val="center"/>
          </w:tcPr>
          <w:p w14:paraId="07B915E8"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.92</w:t>
            </w:r>
          </w:p>
        </w:tc>
        <w:tc>
          <w:tcPr>
            <w:cnfStyle w:val="000010000000" w:firstRow="0" w:lastRow="0" w:firstColumn="0" w:lastColumn="0" w:oddVBand="1" w:evenVBand="0" w:oddHBand="0" w:evenHBand="0" w:firstRowFirstColumn="0" w:firstRowLastColumn="0" w:lastRowFirstColumn="0" w:lastRowLastColumn="0"/>
            <w:tcW w:w="246" w:type="pct"/>
            <w:tcBorders>
              <w:left w:val="none" w:sz="0" w:space="0" w:color="auto"/>
              <w:right w:val="none" w:sz="0" w:space="0" w:color="auto"/>
            </w:tcBorders>
            <w:vAlign w:val="center"/>
          </w:tcPr>
          <w:p w14:paraId="628A202C"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r>
      <w:tr w:rsidR="009E66DE" w:rsidRPr="009E66DE" w14:paraId="03CC040E" w14:textId="77777777" w:rsidTr="00766DD1">
        <w:trPr>
          <w:cnfStyle w:val="000000100000" w:firstRow="0" w:lastRow="0" w:firstColumn="0" w:lastColumn="0" w:oddVBand="0" w:evenVBand="0" w:oddHBand="1" w:evenHBand="0" w:firstRowFirstColumn="0" w:firstRowLastColumn="0" w:lastRowFirstColumn="0" w:lastRowLastColumn="0"/>
          <w:trHeight w:val="66"/>
        </w:trPr>
        <w:tc>
          <w:tcPr>
            <w:cnfStyle w:val="000010000000" w:firstRow="0" w:lastRow="0" w:firstColumn="0" w:lastColumn="0" w:oddVBand="1" w:evenVBand="0" w:oddHBand="0" w:evenHBand="0" w:firstRowFirstColumn="0" w:firstRowLastColumn="0" w:lastRowFirstColumn="0" w:lastRowLastColumn="0"/>
            <w:tcW w:w="921" w:type="pct"/>
            <w:vMerge w:val="restart"/>
            <w:tcBorders>
              <w:top w:val="none" w:sz="0" w:space="0" w:color="auto"/>
              <w:left w:val="none" w:sz="0" w:space="0" w:color="auto"/>
              <w:bottom w:val="none" w:sz="0" w:space="0" w:color="auto"/>
              <w:right w:val="none" w:sz="0" w:space="0" w:color="auto"/>
            </w:tcBorders>
            <w:vAlign w:val="center"/>
          </w:tcPr>
          <w:p w14:paraId="10822A5F" w14:textId="4B935B0C" w:rsidR="00580749" w:rsidRPr="009E66DE" w:rsidRDefault="009E66DE"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Spiritual changes</w:t>
            </w:r>
          </w:p>
        </w:tc>
        <w:tc>
          <w:tcPr>
            <w:cnfStyle w:val="000001000000" w:firstRow="0" w:lastRow="0" w:firstColumn="0" w:lastColumn="0" w:oddVBand="0" w:evenVBand="1" w:oddHBand="0" w:evenHBand="0" w:firstRowFirstColumn="0" w:firstRowLastColumn="0" w:lastRowFirstColumn="0" w:lastRowLastColumn="0"/>
            <w:tcW w:w="353" w:type="pct"/>
            <w:tcBorders>
              <w:top w:val="none" w:sz="0" w:space="0" w:color="auto"/>
              <w:left w:val="none" w:sz="0" w:space="0" w:color="auto"/>
              <w:bottom w:val="none" w:sz="0" w:space="0" w:color="auto"/>
              <w:right w:val="none" w:sz="0" w:space="0" w:color="auto"/>
            </w:tcBorders>
            <w:vAlign w:val="center"/>
          </w:tcPr>
          <w:p w14:paraId="6CA04B76"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3</w:t>
            </w:r>
          </w:p>
        </w:tc>
        <w:tc>
          <w:tcPr>
            <w:cnfStyle w:val="000010000000" w:firstRow="0" w:lastRow="0" w:firstColumn="0" w:lastColumn="0" w:oddVBand="1" w:evenVBand="0" w:oddHBand="0" w:evenHBand="0" w:firstRowFirstColumn="0" w:firstRowLastColumn="0" w:lastRowFirstColumn="0" w:lastRowLastColumn="0"/>
            <w:tcW w:w="321" w:type="pct"/>
            <w:tcBorders>
              <w:top w:val="none" w:sz="0" w:space="0" w:color="auto"/>
              <w:left w:val="none" w:sz="0" w:space="0" w:color="auto"/>
              <w:bottom w:val="none" w:sz="0" w:space="0" w:color="auto"/>
              <w:right w:val="none" w:sz="0" w:space="0" w:color="auto"/>
            </w:tcBorders>
            <w:vAlign w:val="center"/>
          </w:tcPr>
          <w:p w14:paraId="5C7BDC9C"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01000000" w:firstRow="0" w:lastRow="0" w:firstColumn="0" w:lastColumn="0" w:oddVBand="0" w:evenVBand="1" w:oddHBand="0" w:evenHBand="0" w:firstRowFirstColumn="0" w:firstRowLastColumn="0" w:lastRowFirstColumn="0" w:lastRowLastColumn="0"/>
            <w:tcW w:w="293" w:type="pct"/>
            <w:tcBorders>
              <w:top w:val="none" w:sz="0" w:space="0" w:color="auto"/>
              <w:left w:val="none" w:sz="0" w:space="0" w:color="auto"/>
              <w:bottom w:val="none" w:sz="0" w:space="0" w:color="auto"/>
              <w:right w:val="none" w:sz="0" w:space="0" w:color="auto"/>
            </w:tcBorders>
            <w:vAlign w:val="center"/>
          </w:tcPr>
          <w:p w14:paraId="16CB387F"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10000000" w:firstRow="0" w:lastRow="0" w:firstColumn="0" w:lastColumn="0" w:oddVBand="1" w:evenVBand="0" w:oddHBand="0" w:evenHBand="0" w:firstRowFirstColumn="0" w:firstRowLastColumn="0" w:lastRowFirstColumn="0" w:lastRowLastColumn="0"/>
            <w:tcW w:w="293" w:type="pct"/>
            <w:tcBorders>
              <w:top w:val="none" w:sz="0" w:space="0" w:color="auto"/>
              <w:left w:val="none" w:sz="0" w:space="0" w:color="auto"/>
              <w:bottom w:val="none" w:sz="0" w:space="0" w:color="auto"/>
              <w:right w:val="none" w:sz="0" w:space="0" w:color="auto"/>
            </w:tcBorders>
            <w:vAlign w:val="center"/>
          </w:tcPr>
          <w:p w14:paraId="0D43223A"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01000000" w:firstRow="0" w:lastRow="0" w:firstColumn="0" w:lastColumn="0" w:oddVBand="0" w:evenVBand="1" w:oddHBand="0" w:evenHBand="0" w:firstRowFirstColumn="0" w:firstRowLastColumn="0" w:lastRowFirstColumn="0" w:lastRowLastColumn="0"/>
            <w:tcW w:w="293" w:type="pct"/>
            <w:tcBorders>
              <w:top w:val="none" w:sz="0" w:space="0" w:color="auto"/>
              <w:left w:val="none" w:sz="0" w:space="0" w:color="auto"/>
              <w:bottom w:val="none" w:sz="0" w:space="0" w:color="auto"/>
              <w:right w:val="none" w:sz="0" w:space="0" w:color="auto"/>
            </w:tcBorders>
            <w:vAlign w:val="center"/>
          </w:tcPr>
          <w:p w14:paraId="6384C67D"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4.45</w:t>
            </w:r>
          </w:p>
        </w:tc>
        <w:tc>
          <w:tcPr>
            <w:cnfStyle w:val="000010000000" w:firstRow="0" w:lastRow="0" w:firstColumn="0" w:lastColumn="0" w:oddVBand="1" w:evenVBand="0" w:oddHBand="0" w:evenHBand="0" w:firstRowFirstColumn="0" w:firstRowLastColumn="0" w:lastRowFirstColumn="0" w:lastRowLastColumn="0"/>
            <w:tcW w:w="324" w:type="pct"/>
            <w:tcBorders>
              <w:top w:val="none" w:sz="0" w:space="0" w:color="auto"/>
              <w:left w:val="none" w:sz="0" w:space="0" w:color="auto"/>
              <w:bottom w:val="none" w:sz="0" w:space="0" w:color="auto"/>
              <w:right w:val="none" w:sz="0" w:space="0" w:color="auto"/>
            </w:tcBorders>
            <w:vAlign w:val="center"/>
          </w:tcPr>
          <w:p w14:paraId="77BF84D2"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-3.73</w:t>
            </w:r>
          </w:p>
        </w:tc>
        <w:tc>
          <w:tcPr>
            <w:cnfStyle w:val="000001000000" w:firstRow="0" w:lastRow="0" w:firstColumn="0" w:lastColumn="0" w:oddVBand="0" w:evenVBand="1" w:oddHBand="0" w:evenHBand="0" w:firstRowFirstColumn="0" w:firstRowLastColumn="0" w:lastRowFirstColumn="0" w:lastRowLastColumn="0"/>
            <w:tcW w:w="324" w:type="pct"/>
            <w:tcBorders>
              <w:top w:val="none" w:sz="0" w:space="0" w:color="auto"/>
              <w:left w:val="none" w:sz="0" w:space="0" w:color="auto"/>
              <w:bottom w:val="none" w:sz="0" w:space="0" w:color="auto"/>
              <w:right w:val="none" w:sz="0" w:space="0" w:color="auto"/>
            </w:tcBorders>
            <w:vAlign w:val="center"/>
          </w:tcPr>
          <w:p w14:paraId="09575D36"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-.64</w:t>
            </w:r>
          </w:p>
        </w:tc>
        <w:tc>
          <w:tcPr>
            <w:cnfStyle w:val="000010000000" w:firstRow="0" w:lastRow="0" w:firstColumn="0" w:lastColumn="0" w:oddVBand="1" w:evenVBand="0" w:oddHBand="0" w:evenHBand="0" w:firstRowFirstColumn="0" w:firstRowLastColumn="0" w:lastRowFirstColumn="0" w:lastRowLastColumn="0"/>
            <w:tcW w:w="324" w:type="pct"/>
            <w:tcBorders>
              <w:top w:val="none" w:sz="0" w:space="0" w:color="auto"/>
              <w:left w:val="none" w:sz="0" w:space="0" w:color="auto"/>
              <w:bottom w:val="none" w:sz="0" w:space="0" w:color="auto"/>
              <w:right w:val="none" w:sz="0" w:space="0" w:color="auto"/>
            </w:tcBorders>
            <w:vAlign w:val="center"/>
          </w:tcPr>
          <w:p w14:paraId="779F89E6"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1.70</w:t>
            </w:r>
          </w:p>
        </w:tc>
        <w:tc>
          <w:tcPr>
            <w:cnfStyle w:val="000001000000" w:firstRow="0" w:lastRow="0" w:firstColumn="0" w:lastColumn="0" w:oddVBand="0" w:evenVBand="1" w:oddHBand="0" w:evenHBand="0" w:firstRowFirstColumn="0" w:firstRowLastColumn="0" w:lastRowFirstColumn="0" w:lastRowLastColumn="0"/>
            <w:tcW w:w="277" w:type="pct"/>
            <w:tcBorders>
              <w:top w:val="none" w:sz="0" w:space="0" w:color="auto"/>
              <w:left w:val="none" w:sz="0" w:space="0" w:color="auto"/>
              <w:bottom w:val="none" w:sz="0" w:space="0" w:color="auto"/>
              <w:right w:val="none" w:sz="0" w:space="0" w:color="auto"/>
            </w:tcBorders>
            <w:vAlign w:val="center"/>
          </w:tcPr>
          <w:p w14:paraId="3E7A3FFB"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3.38</w:t>
            </w:r>
          </w:p>
        </w:tc>
        <w:tc>
          <w:tcPr>
            <w:cnfStyle w:val="000010000000" w:firstRow="0" w:lastRow="0" w:firstColumn="0" w:lastColumn="0" w:oddVBand="1" w:evenVBand="0" w:oddHBand="0" w:evenHBand="0" w:firstRowFirstColumn="0" w:firstRowLastColumn="0" w:lastRowFirstColumn="0" w:lastRowLastColumn="0"/>
            <w:tcW w:w="296" w:type="pct"/>
            <w:tcBorders>
              <w:top w:val="none" w:sz="0" w:space="0" w:color="auto"/>
              <w:left w:val="none" w:sz="0" w:space="0" w:color="auto"/>
              <w:bottom w:val="none" w:sz="0" w:space="0" w:color="auto"/>
              <w:right w:val="none" w:sz="0" w:space="0" w:color="auto"/>
            </w:tcBorders>
            <w:vAlign w:val="center"/>
          </w:tcPr>
          <w:p w14:paraId="72F54ABC"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5.21</w:t>
            </w:r>
          </w:p>
        </w:tc>
        <w:tc>
          <w:tcPr>
            <w:cnfStyle w:val="000001000000" w:firstRow="0" w:lastRow="0" w:firstColumn="0" w:lastColumn="0" w:oddVBand="0" w:evenVBand="1" w:oddHBand="0" w:evenHBand="0" w:firstRowFirstColumn="0" w:firstRowLastColumn="0" w:lastRowFirstColumn="0" w:lastRowLastColumn="0"/>
            <w:tcW w:w="245" w:type="pct"/>
            <w:tcBorders>
              <w:top w:val="none" w:sz="0" w:space="0" w:color="auto"/>
              <w:left w:val="none" w:sz="0" w:space="0" w:color="auto"/>
              <w:bottom w:val="none" w:sz="0" w:space="0" w:color="auto"/>
              <w:right w:val="none" w:sz="0" w:space="0" w:color="auto"/>
            </w:tcBorders>
            <w:vAlign w:val="center"/>
          </w:tcPr>
          <w:p w14:paraId="4741043C"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10000000" w:firstRow="0" w:lastRow="0" w:firstColumn="0" w:lastColumn="0" w:oddVBand="1" w:evenVBand="0" w:oddHBand="0" w:evenHBand="0" w:firstRowFirstColumn="0" w:firstRowLastColumn="0" w:lastRowFirstColumn="0" w:lastRowLastColumn="0"/>
            <w:tcW w:w="245" w:type="pct"/>
            <w:tcBorders>
              <w:top w:val="none" w:sz="0" w:space="0" w:color="auto"/>
              <w:left w:val="none" w:sz="0" w:space="0" w:color="auto"/>
              <w:bottom w:val="none" w:sz="0" w:space="0" w:color="auto"/>
              <w:right w:val="none" w:sz="0" w:space="0" w:color="auto"/>
            </w:tcBorders>
            <w:vAlign w:val="center"/>
          </w:tcPr>
          <w:p w14:paraId="244C480B"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01000000" w:firstRow="0" w:lastRow="0" w:firstColumn="0" w:lastColumn="0" w:oddVBand="0" w:evenVBand="1" w:oddHBand="0" w:evenHBand="0" w:firstRowFirstColumn="0" w:firstRowLastColumn="0" w:lastRowFirstColumn="0" w:lastRowLastColumn="0"/>
            <w:tcW w:w="245" w:type="pct"/>
            <w:tcBorders>
              <w:top w:val="none" w:sz="0" w:space="0" w:color="auto"/>
              <w:left w:val="none" w:sz="0" w:space="0" w:color="auto"/>
              <w:bottom w:val="none" w:sz="0" w:space="0" w:color="auto"/>
              <w:right w:val="none" w:sz="0" w:space="0" w:color="auto"/>
            </w:tcBorders>
            <w:vAlign w:val="center"/>
          </w:tcPr>
          <w:p w14:paraId="1D748419"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10000000" w:firstRow="0" w:lastRow="0" w:firstColumn="0" w:lastColumn="0" w:oddVBand="1" w:evenVBand="0" w:oddHBand="0" w:evenHBand="0" w:firstRowFirstColumn="0" w:firstRowLastColumn="0" w:lastRowFirstColumn="0" w:lastRowLastColumn="0"/>
            <w:tcW w:w="246" w:type="pct"/>
            <w:tcBorders>
              <w:top w:val="none" w:sz="0" w:space="0" w:color="auto"/>
              <w:left w:val="none" w:sz="0" w:space="0" w:color="auto"/>
              <w:bottom w:val="none" w:sz="0" w:space="0" w:color="auto"/>
              <w:right w:val="none" w:sz="0" w:space="0" w:color="auto"/>
            </w:tcBorders>
            <w:vAlign w:val="center"/>
          </w:tcPr>
          <w:p w14:paraId="19FC6C1B"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.93</w:t>
            </w:r>
          </w:p>
        </w:tc>
      </w:tr>
      <w:tr w:rsidR="009E66DE" w:rsidRPr="009E66DE" w14:paraId="228AD224" w14:textId="77777777" w:rsidTr="00766DD1">
        <w:tc>
          <w:tcPr>
            <w:cnfStyle w:val="000010000000" w:firstRow="0" w:lastRow="0" w:firstColumn="0" w:lastColumn="0" w:oddVBand="1" w:evenVBand="0" w:oddHBand="0" w:evenHBand="0" w:firstRowFirstColumn="0" w:firstRowLastColumn="0" w:lastRowFirstColumn="0" w:lastRowLastColumn="0"/>
            <w:tcW w:w="921" w:type="pct"/>
            <w:vMerge/>
            <w:tcBorders>
              <w:left w:val="none" w:sz="0" w:space="0" w:color="auto"/>
              <w:bottom w:val="single" w:sz="4" w:space="0" w:color="auto"/>
              <w:right w:val="none" w:sz="0" w:space="0" w:color="auto"/>
            </w:tcBorders>
            <w:vAlign w:val="center"/>
          </w:tcPr>
          <w:p w14:paraId="44C4420F"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p>
        </w:tc>
        <w:tc>
          <w:tcPr>
            <w:cnfStyle w:val="000001000000" w:firstRow="0" w:lastRow="0" w:firstColumn="0" w:lastColumn="0" w:oddVBand="0" w:evenVBand="1" w:oddHBand="0" w:evenHBand="0" w:firstRowFirstColumn="0" w:firstRowLastColumn="0" w:lastRowFirstColumn="0" w:lastRowLastColumn="0"/>
            <w:tcW w:w="353" w:type="pct"/>
            <w:tcBorders>
              <w:left w:val="none" w:sz="0" w:space="0" w:color="auto"/>
              <w:bottom w:val="single" w:sz="4" w:space="0" w:color="auto"/>
              <w:right w:val="none" w:sz="0" w:space="0" w:color="auto"/>
            </w:tcBorders>
            <w:vAlign w:val="center"/>
          </w:tcPr>
          <w:p w14:paraId="38272366"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6</w:t>
            </w:r>
          </w:p>
        </w:tc>
        <w:tc>
          <w:tcPr>
            <w:cnfStyle w:val="000010000000" w:firstRow="0" w:lastRow="0" w:firstColumn="0" w:lastColumn="0" w:oddVBand="1" w:evenVBand="0" w:oddHBand="0" w:evenHBand="0" w:firstRowFirstColumn="0" w:firstRowLastColumn="0" w:lastRowFirstColumn="0" w:lastRowLastColumn="0"/>
            <w:tcW w:w="321" w:type="pct"/>
            <w:tcBorders>
              <w:left w:val="none" w:sz="0" w:space="0" w:color="auto"/>
              <w:bottom w:val="single" w:sz="4" w:space="0" w:color="auto"/>
              <w:right w:val="none" w:sz="0" w:space="0" w:color="auto"/>
            </w:tcBorders>
            <w:vAlign w:val="center"/>
          </w:tcPr>
          <w:p w14:paraId="5085D3C0"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01000000" w:firstRow="0" w:lastRow="0" w:firstColumn="0" w:lastColumn="0" w:oddVBand="0" w:evenVBand="1" w:oddHBand="0" w:evenHBand="0" w:firstRowFirstColumn="0" w:firstRowLastColumn="0" w:lastRowFirstColumn="0" w:lastRowLastColumn="0"/>
            <w:tcW w:w="293" w:type="pct"/>
            <w:tcBorders>
              <w:left w:val="none" w:sz="0" w:space="0" w:color="auto"/>
              <w:bottom w:val="single" w:sz="4" w:space="0" w:color="auto"/>
              <w:right w:val="none" w:sz="0" w:space="0" w:color="auto"/>
            </w:tcBorders>
            <w:vAlign w:val="center"/>
          </w:tcPr>
          <w:p w14:paraId="39194278"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10000000" w:firstRow="0" w:lastRow="0" w:firstColumn="0" w:lastColumn="0" w:oddVBand="1" w:evenVBand="0" w:oddHBand="0" w:evenHBand="0" w:firstRowFirstColumn="0" w:firstRowLastColumn="0" w:lastRowFirstColumn="0" w:lastRowLastColumn="0"/>
            <w:tcW w:w="293" w:type="pct"/>
            <w:tcBorders>
              <w:left w:val="none" w:sz="0" w:space="0" w:color="auto"/>
              <w:bottom w:val="single" w:sz="4" w:space="0" w:color="auto"/>
              <w:right w:val="none" w:sz="0" w:space="0" w:color="auto"/>
            </w:tcBorders>
            <w:vAlign w:val="center"/>
          </w:tcPr>
          <w:p w14:paraId="1917C7A5"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.00</w:t>
            </w:r>
          </w:p>
        </w:tc>
        <w:tc>
          <w:tcPr>
            <w:cnfStyle w:val="000001000000" w:firstRow="0" w:lastRow="0" w:firstColumn="0" w:lastColumn="0" w:oddVBand="0" w:evenVBand="1" w:oddHBand="0" w:evenHBand="0" w:firstRowFirstColumn="0" w:firstRowLastColumn="0" w:lastRowFirstColumn="0" w:lastRowLastColumn="0"/>
            <w:tcW w:w="293" w:type="pct"/>
            <w:tcBorders>
              <w:left w:val="none" w:sz="0" w:space="0" w:color="auto"/>
              <w:bottom w:val="single" w:sz="4" w:space="0" w:color="auto"/>
              <w:right w:val="none" w:sz="0" w:space="0" w:color="auto"/>
            </w:tcBorders>
            <w:vAlign w:val="center"/>
          </w:tcPr>
          <w:p w14:paraId="4052B472"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2.75</w:t>
            </w:r>
          </w:p>
        </w:tc>
        <w:tc>
          <w:tcPr>
            <w:cnfStyle w:val="000010000000" w:firstRow="0" w:lastRow="0" w:firstColumn="0" w:lastColumn="0" w:oddVBand="1" w:evenVBand="0" w:oddHBand="0" w:evenHBand="0" w:firstRowFirstColumn="0" w:firstRowLastColumn="0" w:lastRowFirstColumn="0" w:lastRowLastColumn="0"/>
            <w:tcW w:w="324" w:type="pct"/>
            <w:tcBorders>
              <w:left w:val="none" w:sz="0" w:space="0" w:color="auto"/>
              <w:bottom w:val="single" w:sz="4" w:space="0" w:color="auto"/>
              <w:right w:val="none" w:sz="0" w:space="0" w:color="auto"/>
            </w:tcBorders>
            <w:vAlign w:val="center"/>
          </w:tcPr>
          <w:p w14:paraId="3FE15966"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-2.65</w:t>
            </w:r>
          </w:p>
        </w:tc>
        <w:tc>
          <w:tcPr>
            <w:cnfStyle w:val="000001000000" w:firstRow="0" w:lastRow="0" w:firstColumn="0" w:lastColumn="0" w:oddVBand="0" w:evenVBand="1" w:oddHBand="0" w:evenHBand="0" w:firstRowFirstColumn="0" w:firstRowLastColumn="0" w:lastRowFirstColumn="0" w:lastRowLastColumn="0"/>
            <w:tcW w:w="324" w:type="pct"/>
            <w:tcBorders>
              <w:left w:val="none" w:sz="0" w:space="0" w:color="auto"/>
              <w:bottom w:val="single" w:sz="4" w:space="0" w:color="auto"/>
              <w:right w:val="none" w:sz="0" w:space="0" w:color="auto"/>
            </w:tcBorders>
            <w:vAlign w:val="center"/>
          </w:tcPr>
          <w:p w14:paraId="432F6BAE"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-.84</w:t>
            </w:r>
          </w:p>
        </w:tc>
        <w:tc>
          <w:tcPr>
            <w:cnfStyle w:val="000010000000" w:firstRow="0" w:lastRow="0" w:firstColumn="0" w:lastColumn="0" w:oddVBand="1" w:evenVBand="0" w:oddHBand="0" w:evenHBand="0" w:firstRowFirstColumn="0" w:firstRowLastColumn="0" w:lastRowFirstColumn="0" w:lastRowLastColumn="0"/>
            <w:tcW w:w="324" w:type="pct"/>
            <w:tcBorders>
              <w:left w:val="none" w:sz="0" w:space="0" w:color="auto"/>
              <w:bottom w:val="single" w:sz="4" w:space="0" w:color="auto"/>
              <w:right w:val="none" w:sz="0" w:space="0" w:color="auto"/>
            </w:tcBorders>
            <w:vAlign w:val="center"/>
          </w:tcPr>
          <w:p w14:paraId="0D42D2F2"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.47</w:t>
            </w:r>
          </w:p>
        </w:tc>
        <w:tc>
          <w:tcPr>
            <w:cnfStyle w:val="000001000000" w:firstRow="0" w:lastRow="0" w:firstColumn="0" w:lastColumn="0" w:oddVBand="0" w:evenVBand="1" w:oddHBand="0" w:evenHBand="0" w:firstRowFirstColumn="0" w:firstRowLastColumn="0" w:lastRowFirstColumn="0" w:lastRowLastColumn="0"/>
            <w:tcW w:w="277" w:type="pct"/>
            <w:tcBorders>
              <w:left w:val="none" w:sz="0" w:space="0" w:color="auto"/>
              <w:bottom w:val="single" w:sz="4" w:space="0" w:color="auto"/>
              <w:right w:val="none" w:sz="0" w:space="0" w:color="auto"/>
            </w:tcBorders>
            <w:vAlign w:val="center"/>
          </w:tcPr>
          <w:p w14:paraId="57A3547F"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1.31</w:t>
            </w:r>
          </w:p>
        </w:tc>
        <w:tc>
          <w:tcPr>
            <w:cnfStyle w:val="000010000000" w:firstRow="0" w:lastRow="0" w:firstColumn="0" w:lastColumn="0" w:oddVBand="1" w:evenVBand="0" w:oddHBand="0" w:evenHBand="0" w:firstRowFirstColumn="0" w:firstRowLastColumn="0" w:lastRowFirstColumn="0" w:lastRowLastColumn="0"/>
            <w:tcW w:w="296" w:type="pct"/>
            <w:tcBorders>
              <w:left w:val="none" w:sz="0" w:space="0" w:color="auto"/>
              <w:bottom w:val="single" w:sz="4" w:space="0" w:color="auto"/>
              <w:right w:val="none" w:sz="0" w:space="0" w:color="auto"/>
            </w:tcBorders>
            <w:vAlign w:val="center"/>
          </w:tcPr>
          <w:p w14:paraId="2FED6A06"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2.29</w:t>
            </w:r>
          </w:p>
        </w:tc>
        <w:tc>
          <w:tcPr>
            <w:cnfStyle w:val="000001000000" w:firstRow="0" w:lastRow="0" w:firstColumn="0" w:lastColumn="0" w:oddVBand="0" w:evenVBand="1" w:oddHBand="0" w:evenHBand="0" w:firstRowFirstColumn="0" w:firstRowLastColumn="0" w:lastRowFirstColumn="0" w:lastRowLastColumn="0"/>
            <w:tcW w:w="245" w:type="pct"/>
            <w:tcBorders>
              <w:left w:val="none" w:sz="0" w:space="0" w:color="auto"/>
              <w:bottom w:val="single" w:sz="4" w:space="0" w:color="auto"/>
              <w:right w:val="none" w:sz="0" w:space="0" w:color="auto"/>
            </w:tcBorders>
            <w:vAlign w:val="center"/>
          </w:tcPr>
          <w:p w14:paraId="42093282"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10000000" w:firstRow="0" w:lastRow="0" w:firstColumn="0" w:lastColumn="0" w:oddVBand="1" w:evenVBand="0" w:oddHBand="0" w:evenHBand="0" w:firstRowFirstColumn="0" w:firstRowLastColumn="0" w:lastRowFirstColumn="0" w:lastRowLastColumn="0"/>
            <w:tcW w:w="245" w:type="pct"/>
            <w:tcBorders>
              <w:left w:val="none" w:sz="0" w:space="0" w:color="auto"/>
              <w:bottom w:val="single" w:sz="4" w:space="0" w:color="auto"/>
              <w:right w:val="none" w:sz="0" w:space="0" w:color="auto"/>
            </w:tcBorders>
            <w:vAlign w:val="center"/>
          </w:tcPr>
          <w:p w14:paraId="75E38641"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01000000" w:firstRow="0" w:lastRow="0" w:firstColumn="0" w:lastColumn="0" w:oddVBand="0" w:evenVBand="1" w:oddHBand="0" w:evenHBand="0" w:firstRowFirstColumn="0" w:firstRowLastColumn="0" w:lastRowFirstColumn="0" w:lastRowLastColumn="0"/>
            <w:tcW w:w="245" w:type="pct"/>
            <w:tcBorders>
              <w:left w:val="none" w:sz="0" w:space="0" w:color="auto"/>
              <w:bottom w:val="single" w:sz="4" w:space="0" w:color="auto"/>
              <w:right w:val="none" w:sz="0" w:space="0" w:color="auto"/>
            </w:tcBorders>
            <w:vAlign w:val="center"/>
          </w:tcPr>
          <w:p w14:paraId="34A2746F"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w:t>
            </w:r>
          </w:p>
        </w:tc>
        <w:tc>
          <w:tcPr>
            <w:cnfStyle w:val="000010000000" w:firstRow="0" w:lastRow="0" w:firstColumn="0" w:lastColumn="0" w:oddVBand="1" w:evenVBand="0" w:oddHBand="0" w:evenHBand="0" w:firstRowFirstColumn="0" w:firstRowLastColumn="0" w:lastRowFirstColumn="0" w:lastRowLastColumn="0"/>
            <w:tcW w:w="246" w:type="pct"/>
            <w:tcBorders>
              <w:left w:val="none" w:sz="0" w:space="0" w:color="auto"/>
              <w:bottom w:val="single" w:sz="4" w:space="0" w:color="auto"/>
              <w:right w:val="none" w:sz="0" w:space="0" w:color="auto"/>
            </w:tcBorders>
            <w:vAlign w:val="center"/>
          </w:tcPr>
          <w:p w14:paraId="575993E0" w14:textId="77777777" w:rsidR="00580749" w:rsidRPr="009E66DE" w:rsidRDefault="00580749" w:rsidP="006B16F3">
            <w:pPr>
              <w:autoSpaceDE w:val="0"/>
              <w:autoSpaceDN w:val="0"/>
              <w:adjustRightInd w:val="0"/>
              <w:spacing w:line="360" w:lineRule="auto"/>
              <w:ind w:left="60" w:right="62"/>
              <w:jc w:val="center"/>
              <w:rPr>
                <w:rFonts w:ascii="Times New Roman" w:hAnsi="Times New Roman" w:cs="Times New Roman"/>
                <w:lang w:val="en-US"/>
              </w:rPr>
            </w:pPr>
            <w:r w:rsidRPr="009E66DE">
              <w:rPr>
                <w:rFonts w:ascii="Times New Roman" w:hAnsi="Times New Roman" w:cs="Times New Roman"/>
                <w:lang w:val="en-US"/>
              </w:rPr>
              <w:t>.85</w:t>
            </w:r>
          </w:p>
        </w:tc>
      </w:tr>
    </w:tbl>
    <w:p w14:paraId="6A4177F5" w14:textId="4F8B3AF6" w:rsidR="00EF2709" w:rsidRPr="009E66DE" w:rsidRDefault="009E66DE" w:rsidP="009E66DE">
      <w:pPr>
        <w:pStyle w:val="BodyText"/>
        <w:spacing w:before="0" w:after="0" w:line="276" w:lineRule="auto"/>
        <w:ind w:firstLine="0"/>
        <w:rPr>
          <w:rFonts w:cs="Times New Roman"/>
          <w:sz w:val="22"/>
        </w:rPr>
      </w:pPr>
      <w:r w:rsidRPr="009E66DE">
        <w:rPr>
          <w:rFonts w:cs="Times New Roman"/>
          <w:i/>
          <w:sz w:val="22"/>
        </w:rPr>
        <w:t>Note: a= discrimination parameters; b= difficulty parameters; F1 = Relationship with Others; F2 = Life Values; F3 = Personal Beliefs; F4 = Spiritual Changes</w:t>
      </w:r>
    </w:p>
    <w:sectPr w:rsidR="00EF2709" w:rsidRPr="009E66DE" w:rsidSect="00580749">
      <w:pgSz w:w="16838" w:h="11906" w:orient="landscape"/>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12AA2"/>
    <w:multiLevelType w:val="hybridMultilevel"/>
    <w:tmpl w:val="C6EE1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9564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removePersonalInformation/>
  <w:removeDateAndTim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82"/>
    <w:rsid w:val="0000370C"/>
    <w:rsid w:val="00023907"/>
    <w:rsid w:val="000351E1"/>
    <w:rsid w:val="00044963"/>
    <w:rsid w:val="0006120C"/>
    <w:rsid w:val="000612BA"/>
    <w:rsid w:val="00067E0C"/>
    <w:rsid w:val="000738AC"/>
    <w:rsid w:val="0008740C"/>
    <w:rsid w:val="000A08E4"/>
    <w:rsid w:val="000A385C"/>
    <w:rsid w:val="000A4622"/>
    <w:rsid w:val="000B6013"/>
    <w:rsid w:val="000D35CE"/>
    <w:rsid w:val="000E0B70"/>
    <w:rsid w:val="000E4203"/>
    <w:rsid w:val="000F235B"/>
    <w:rsid w:val="00100CF8"/>
    <w:rsid w:val="0010454A"/>
    <w:rsid w:val="00106B14"/>
    <w:rsid w:val="00111DCE"/>
    <w:rsid w:val="00115694"/>
    <w:rsid w:val="00134141"/>
    <w:rsid w:val="00134180"/>
    <w:rsid w:val="0013467F"/>
    <w:rsid w:val="00134F16"/>
    <w:rsid w:val="001374A4"/>
    <w:rsid w:val="00173765"/>
    <w:rsid w:val="00196739"/>
    <w:rsid w:val="001A0D59"/>
    <w:rsid w:val="001A4D7D"/>
    <w:rsid w:val="001A7C30"/>
    <w:rsid w:val="001D19FF"/>
    <w:rsid w:val="001F43D7"/>
    <w:rsid w:val="0021279D"/>
    <w:rsid w:val="00213054"/>
    <w:rsid w:val="00214177"/>
    <w:rsid w:val="002266C1"/>
    <w:rsid w:val="00233263"/>
    <w:rsid w:val="00233C81"/>
    <w:rsid w:val="002626EA"/>
    <w:rsid w:val="00263AC4"/>
    <w:rsid w:val="002813D8"/>
    <w:rsid w:val="002A213B"/>
    <w:rsid w:val="002A5FD5"/>
    <w:rsid w:val="002B3813"/>
    <w:rsid w:val="002C1026"/>
    <w:rsid w:val="002D6D28"/>
    <w:rsid w:val="002E2113"/>
    <w:rsid w:val="002E6196"/>
    <w:rsid w:val="002F199D"/>
    <w:rsid w:val="00305DE0"/>
    <w:rsid w:val="00320C4A"/>
    <w:rsid w:val="00325262"/>
    <w:rsid w:val="003311C0"/>
    <w:rsid w:val="00334297"/>
    <w:rsid w:val="0033452D"/>
    <w:rsid w:val="003359D7"/>
    <w:rsid w:val="00384104"/>
    <w:rsid w:val="00386D4D"/>
    <w:rsid w:val="00390A90"/>
    <w:rsid w:val="003A1DCB"/>
    <w:rsid w:val="003A714E"/>
    <w:rsid w:val="003C3B4C"/>
    <w:rsid w:val="003C4DA4"/>
    <w:rsid w:val="003C53D3"/>
    <w:rsid w:val="003E19AF"/>
    <w:rsid w:val="003E6FF2"/>
    <w:rsid w:val="003F68B2"/>
    <w:rsid w:val="003F73AD"/>
    <w:rsid w:val="004133C8"/>
    <w:rsid w:val="00413E14"/>
    <w:rsid w:val="00426520"/>
    <w:rsid w:val="0043611C"/>
    <w:rsid w:val="00464175"/>
    <w:rsid w:val="00482335"/>
    <w:rsid w:val="004A206F"/>
    <w:rsid w:val="004A3060"/>
    <w:rsid w:val="004B06CE"/>
    <w:rsid w:val="004B13E7"/>
    <w:rsid w:val="004C5220"/>
    <w:rsid w:val="004C5E7E"/>
    <w:rsid w:val="004E0394"/>
    <w:rsid w:val="004E354C"/>
    <w:rsid w:val="00535120"/>
    <w:rsid w:val="0055318F"/>
    <w:rsid w:val="00556375"/>
    <w:rsid w:val="00572C3C"/>
    <w:rsid w:val="00580749"/>
    <w:rsid w:val="00582955"/>
    <w:rsid w:val="005A3B12"/>
    <w:rsid w:val="005B4021"/>
    <w:rsid w:val="005C36E2"/>
    <w:rsid w:val="005C6352"/>
    <w:rsid w:val="005D16AD"/>
    <w:rsid w:val="006118CC"/>
    <w:rsid w:val="006134DA"/>
    <w:rsid w:val="006252AA"/>
    <w:rsid w:val="00627858"/>
    <w:rsid w:val="00642D7E"/>
    <w:rsid w:val="00646064"/>
    <w:rsid w:val="0064774E"/>
    <w:rsid w:val="006523BA"/>
    <w:rsid w:val="00653159"/>
    <w:rsid w:val="00653EB0"/>
    <w:rsid w:val="00662098"/>
    <w:rsid w:val="006748BB"/>
    <w:rsid w:val="00693813"/>
    <w:rsid w:val="006947AA"/>
    <w:rsid w:val="00694882"/>
    <w:rsid w:val="006B04CD"/>
    <w:rsid w:val="006C3C12"/>
    <w:rsid w:val="006D46ED"/>
    <w:rsid w:val="006F05BB"/>
    <w:rsid w:val="006F3CE2"/>
    <w:rsid w:val="0071065C"/>
    <w:rsid w:val="0073358C"/>
    <w:rsid w:val="00741B7A"/>
    <w:rsid w:val="00762C8A"/>
    <w:rsid w:val="00766DD1"/>
    <w:rsid w:val="00776076"/>
    <w:rsid w:val="00782008"/>
    <w:rsid w:val="0079102B"/>
    <w:rsid w:val="0079543A"/>
    <w:rsid w:val="007A3A81"/>
    <w:rsid w:val="007C47CF"/>
    <w:rsid w:val="007D1FDA"/>
    <w:rsid w:val="007E7571"/>
    <w:rsid w:val="00807F3F"/>
    <w:rsid w:val="00812BC3"/>
    <w:rsid w:val="00822E00"/>
    <w:rsid w:val="00837443"/>
    <w:rsid w:val="008409A2"/>
    <w:rsid w:val="0085788E"/>
    <w:rsid w:val="00857DC1"/>
    <w:rsid w:val="00884573"/>
    <w:rsid w:val="00896801"/>
    <w:rsid w:val="008A58DC"/>
    <w:rsid w:val="008D3E64"/>
    <w:rsid w:val="008D4CE7"/>
    <w:rsid w:val="008E4770"/>
    <w:rsid w:val="008F1684"/>
    <w:rsid w:val="00905D0F"/>
    <w:rsid w:val="00915A8B"/>
    <w:rsid w:val="00922D0C"/>
    <w:rsid w:val="009245FF"/>
    <w:rsid w:val="00936CCE"/>
    <w:rsid w:val="00945B14"/>
    <w:rsid w:val="00957677"/>
    <w:rsid w:val="00962476"/>
    <w:rsid w:val="00966CFF"/>
    <w:rsid w:val="00974B9F"/>
    <w:rsid w:val="00981FDB"/>
    <w:rsid w:val="00984CBC"/>
    <w:rsid w:val="0099206E"/>
    <w:rsid w:val="00992E8E"/>
    <w:rsid w:val="009A1782"/>
    <w:rsid w:val="009A4267"/>
    <w:rsid w:val="009B0BE2"/>
    <w:rsid w:val="009B6875"/>
    <w:rsid w:val="009D63FF"/>
    <w:rsid w:val="009E55CD"/>
    <w:rsid w:val="009E66DE"/>
    <w:rsid w:val="00A0052F"/>
    <w:rsid w:val="00A10013"/>
    <w:rsid w:val="00A306D6"/>
    <w:rsid w:val="00A31EA2"/>
    <w:rsid w:val="00A32DBE"/>
    <w:rsid w:val="00A32EF5"/>
    <w:rsid w:val="00A37420"/>
    <w:rsid w:val="00A40B97"/>
    <w:rsid w:val="00A45DE5"/>
    <w:rsid w:val="00A4657E"/>
    <w:rsid w:val="00A57456"/>
    <w:rsid w:val="00A64877"/>
    <w:rsid w:val="00A64DD4"/>
    <w:rsid w:val="00A705ED"/>
    <w:rsid w:val="00A75B8D"/>
    <w:rsid w:val="00A85CEE"/>
    <w:rsid w:val="00A91025"/>
    <w:rsid w:val="00AA2982"/>
    <w:rsid w:val="00AA39E0"/>
    <w:rsid w:val="00AD43D7"/>
    <w:rsid w:val="00AD567B"/>
    <w:rsid w:val="00AF4B06"/>
    <w:rsid w:val="00B016BC"/>
    <w:rsid w:val="00B056FD"/>
    <w:rsid w:val="00B16FFE"/>
    <w:rsid w:val="00B46277"/>
    <w:rsid w:val="00B5191A"/>
    <w:rsid w:val="00B66FD4"/>
    <w:rsid w:val="00B6794C"/>
    <w:rsid w:val="00B83BEA"/>
    <w:rsid w:val="00B95269"/>
    <w:rsid w:val="00B96D05"/>
    <w:rsid w:val="00BA35B0"/>
    <w:rsid w:val="00BC4C8F"/>
    <w:rsid w:val="00BD0FF5"/>
    <w:rsid w:val="00BE6D04"/>
    <w:rsid w:val="00C04F23"/>
    <w:rsid w:val="00C12519"/>
    <w:rsid w:val="00C12DAE"/>
    <w:rsid w:val="00C15735"/>
    <w:rsid w:val="00C27E28"/>
    <w:rsid w:val="00C63DB6"/>
    <w:rsid w:val="00C67432"/>
    <w:rsid w:val="00C72504"/>
    <w:rsid w:val="00C81F3A"/>
    <w:rsid w:val="00C876F1"/>
    <w:rsid w:val="00CB61F7"/>
    <w:rsid w:val="00CB6366"/>
    <w:rsid w:val="00CC0B7A"/>
    <w:rsid w:val="00CC0F54"/>
    <w:rsid w:val="00CE1F45"/>
    <w:rsid w:val="00D01D8C"/>
    <w:rsid w:val="00D13EF2"/>
    <w:rsid w:val="00D30761"/>
    <w:rsid w:val="00D31DCC"/>
    <w:rsid w:val="00D32130"/>
    <w:rsid w:val="00D471C5"/>
    <w:rsid w:val="00D65568"/>
    <w:rsid w:val="00D70302"/>
    <w:rsid w:val="00D718E6"/>
    <w:rsid w:val="00D7384B"/>
    <w:rsid w:val="00D90B35"/>
    <w:rsid w:val="00DA4A4E"/>
    <w:rsid w:val="00DC595B"/>
    <w:rsid w:val="00DD7364"/>
    <w:rsid w:val="00DE7A33"/>
    <w:rsid w:val="00DF482A"/>
    <w:rsid w:val="00DF6C1D"/>
    <w:rsid w:val="00E05711"/>
    <w:rsid w:val="00E15FFD"/>
    <w:rsid w:val="00E222F1"/>
    <w:rsid w:val="00E53168"/>
    <w:rsid w:val="00E553E0"/>
    <w:rsid w:val="00E760F3"/>
    <w:rsid w:val="00E80202"/>
    <w:rsid w:val="00E8614E"/>
    <w:rsid w:val="00EA4D05"/>
    <w:rsid w:val="00ED769E"/>
    <w:rsid w:val="00EE14C2"/>
    <w:rsid w:val="00EE537A"/>
    <w:rsid w:val="00EF2709"/>
    <w:rsid w:val="00EF46D5"/>
    <w:rsid w:val="00EF5976"/>
    <w:rsid w:val="00EF5E88"/>
    <w:rsid w:val="00F03417"/>
    <w:rsid w:val="00F0474C"/>
    <w:rsid w:val="00F14F22"/>
    <w:rsid w:val="00F1620C"/>
    <w:rsid w:val="00F24065"/>
    <w:rsid w:val="00F31104"/>
    <w:rsid w:val="00F31B64"/>
    <w:rsid w:val="00F472B7"/>
    <w:rsid w:val="00F567E2"/>
    <w:rsid w:val="00F56C67"/>
    <w:rsid w:val="00F654E3"/>
    <w:rsid w:val="00F71D57"/>
    <w:rsid w:val="00FA5702"/>
    <w:rsid w:val="00FA6181"/>
    <w:rsid w:val="00FB1EE4"/>
    <w:rsid w:val="00FC2CD2"/>
    <w:rsid w:val="00FC5106"/>
    <w:rsid w:val="00FD7D9E"/>
    <w:rsid w:val="00FE0D20"/>
    <w:rsid w:val="00FF0560"/>
    <w:rsid w:val="00FF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3E2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E6FF2"/>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_Text"/>
    <w:basedOn w:val="Normal"/>
    <w:qFormat/>
    <w:rsid w:val="003E6FF2"/>
    <w:pPr>
      <w:spacing w:before="120" w:after="120" w:line="480" w:lineRule="auto"/>
      <w:ind w:firstLine="284"/>
    </w:pPr>
    <w:rPr>
      <w:rFonts w:ascii="Times New Roman" w:hAnsi="Times New Roman"/>
      <w:sz w:val="24"/>
    </w:rPr>
  </w:style>
  <w:style w:type="table" w:customStyle="1" w:styleId="Tablanormal21">
    <w:name w:val="Tabla normal 21"/>
    <w:basedOn w:val="Tablanormal"/>
    <w:uiPriority w:val="42"/>
    <w:rsid w:val="003E6FF2"/>
    <w:pPr>
      <w:spacing w:after="0" w:line="240" w:lineRule="auto"/>
    </w:pPr>
    <w:rPr>
      <w:lang w:val="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nculo">
    <w:name w:val="Hyperlink"/>
    <w:basedOn w:val="Fuentedeprrafopredeter"/>
    <w:uiPriority w:val="99"/>
    <w:unhideWhenUsed/>
    <w:rsid w:val="003E6FF2"/>
    <w:rPr>
      <w:color w:val="0563C1" w:themeColor="hyperlink"/>
      <w:u w:val="single"/>
    </w:rPr>
  </w:style>
  <w:style w:type="character" w:customStyle="1" w:styleId="Mencinsinresolver1">
    <w:name w:val="Mención sin resolver1"/>
    <w:basedOn w:val="Fuentedeprrafopredeter"/>
    <w:uiPriority w:val="99"/>
    <w:semiHidden/>
    <w:unhideWhenUsed/>
    <w:rsid w:val="003E6FF2"/>
    <w:rPr>
      <w:color w:val="605E5C"/>
      <w:shd w:val="clear" w:color="auto" w:fill="E1DFDD"/>
    </w:rPr>
  </w:style>
  <w:style w:type="paragraph" w:styleId="Prrafodelista">
    <w:name w:val="List Paragraph"/>
    <w:basedOn w:val="Normal"/>
    <w:uiPriority w:val="34"/>
    <w:qFormat/>
    <w:rsid w:val="003E6FF2"/>
    <w:pPr>
      <w:ind w:left="720"/>
      <w:contextualSpacing/>
    </w:pPr>
    <w:rPr>
      <w:lang w:val="es-PE"/>
    </w:rPr>
  </w:style>
  <w:style w:type="character" w:styleId="Refdecomentario">
    <w:name w:val="annotation reference"/>
    <w:basedOn w:val="Fuentedeprrafopredeter"/>
    <w:uiPriority w:val="99"/>
    <w:semiHidden/>
    <w:unhideWhenUsed/>
    <w:rsid w:val="003E6FF2"/>
    <w:rPr>
      <w:sz w:val="16"/>
      <w:szCs w:val="16"/>
    </w:rPr>
  </w:style>
  <w:style w:type="paragraph" w:styleId="Textocomentario">
    <w:name w:val="annotation text"/>
    <w:basedOn w:val="Normal"/>
    <w:link w:val="TextocomentarioCar"/>
    <w:uiPriority w:val="99"/>
    <w:semiHidden/>
    <w:unhideWhenUsed/>
    <w:rsid w:val="003E6FF2"/>
    <w:pPr>
      <w:spacing w:line="240" w:lineRule="auto"/>
    </w:pPr>
    <w:rPr>
      <w:sz w:val="20"/>
      <w:szCs w:val="20"/>
      <w:lang w:val="es-PE"/>
    </w:rPr>
  </w:style>
  <w:style w:type="character" w:customStyle="1" w:styleId="TextocomentarioCar">
    <w:name w:val="Texto comentario Car"/>
    <w:basedOn w:val="Fuentedeprrafopredeter"/>
    <w:link w:val="Textocomentario"/>
    <w:uiPriority w:val="99"/>
    <w:semiHidden/>
    <w:rsid w:val="003E6FF2"/>
    <w:rPr>
      <w:sz w:val="20"/>
      <w:szCs w:val="20"/>
      <w:lang w:val="es-PE"/>
    </w:rPr>
  </w:style>
  <w:style w:type="paragraph" w:styleId="Asuntodelcomentario">
    <w:name w:val="annotation subject"/>
    <w:basedOn w:val="Textocomentario"/>
    <w:next w:val="Textocomentario"/>
    <w:link w:val="AsuntodelcomentarioCar"/>
    <w:uiPriority w:val="99"/>
    <w:semiHidden/>
    <w:unhideWhenUsed/>
    <w:rsid w:val="003E6FF2"/>
    <w:rPr>
      <w:b/>
      <w:bCs/>
    </w:rPr>
  </w:style>
  <w:style w:type="character" w:customStyle="1" w:styleId="AsuntodelcomentarioCar">
    <w:name w:val="Asunto del comentario Car"/>
    <w:basedOn w:val="TextocomentarioCar"/>
    <w:link w:val="Asuntodelcomentario"/>
    <w:uiPriority w:val="99"/>
    <w:semiHidden/>
    <w:rsid w:val="003E6FF2"/>
    <w:rPr>
      <w:b/>
      <w:bCs/>
      <w:sz w:val="20"/>
      <w:szCs w:val="20"/>
      <w:lang w:val="es-PE"/>
    </w:rPr>
  </w:style>
  <w:style w:type="paragraph" w:styleId="Textodeglobo">
    <w:name w:val="Balloon Text"/>
    <w:basedOn w:val="Normal"/>
    <w:link w:val="TextodegloboCar"/>
    <w:uiPriority w:val="99"/>
    <w:semiHidden/>
    <w:unhideWhenUsed/>
    <w:rsid w:val="003E6FF2"/>
    <w:pPr>
      <w:spacing w:after="0" w:line="240" w:lineRule="auto"/>
    </w:pPr>
    <w:rPr>
      <w:rFonts w:ascii="Segoe UI" w:hAnsi="Segoe UI" w:cs="Segoe UI"/>
      <w:sz w:val="18"/>
      <w:szCs w:val="18"/>
      <w:lang w:val="es-PE"/>
    </w:rPr>
  </w:style>
  <w:style w:type="character" w:customStyle="1" w:styleId="TextodegloboCar">
    <w:name w:val="Texto de globo Car"/>
    <w:basedOn w:val="Fuentedeprrafopredeter"/>
    <w:link w:val="Textodeglobo"/>
    <w:uiPriority w:val="99"/>
    <w:semiHidden/>
    <w:rsid w:val="003E6FF2"/>
    <w:rPr>
      <w:rFonts w:ascii="Segoe UI" w:hAnsi="Segoe UI" w:cs="Segoe UI"/>
      <w:sz w:val="18"/>
      <w:szCs w:val="18"/>
      <w:lang w:val="es-PE"/>
    </w:rPr>
  </w:style>
  <w:style w:type="character" w:customStyle="1" w:styleId="hlfld-contribauthor">
    <w:name w:val="hlfld-contribauthor"/>
    <w:basedOn w:val="Fuentedeprrafopredeter"/>
    <w:rsid w:val="003E6FF2"/>
  </w:style>
  <w:style w:type="character" w:customStyle="1" w:styleId="nlmgiven-names">
    <w:name w:val="nlm_given-names"/>
    <w:basedOn w:val="Fuentedeprrafopredeter"/>
    <w:rsid w:val="003E6FF2"/>
  </w:style>
  <w:style w:type="character" w:customStyle="1" w:styleId="nlmyear">
    <w:name w:val="nlm_year"/>
    <w:basedOn w:val="Fuentedeprrafopredeter"/>
    <w:rsid w:val="003E6FF2"/>
  </w:style>
  <w:style w:type="character" w:customStyle="1" w:styleId="nlmarticle-title">
    <w:name w:val="nlm_article-title"/>
    <w:basedOn w:val="Fuentedeprrafopredeter"/>
    <w:rsid w:val="003E6FF2"/>
  </w:style>
  <w:style w:type="character" w:customStyle="1" w:styleId="nlmfpage">
    <w:name w:val="nlm_fpage"/>
    <w:basedOn w:val="Fuentedeprrafopredeter"/>
    <w:rsid w:val="003E6FF2"/>
  </w:style>
  <w:style w:type="character" w:customStyle="1" w:styleId="nlmlpage">
    <w:name w:val="nlm_lpage"/>
    <w:basedOn w:val="Fuentedeprrafopredeter"/>
    <w:rsid w:val="003E6FF2"/>
  </w:style>
  <w:style w:type="character" w:customStyle="1" w:styleId="nlmpub-id">
    <w:name w:val="nlm_pub-id"/>
    <w:basedOn w:val="Fuentedeprrafopredeter"/>
    <w:rsid w:val="003E6FF2"/>
  </w:style>
  <w:style w:type="character" w:customStyle="1" w:styleId="authors">
    <w:name w:val="authors"/>
    <w:basedOn w:val="Fuentedeprrafopredeter"/>
    <w:rsid w:val="003E6FF2"/>
  </w:style>
  <w:style w:type="character" w:customStyle="1" w:styleId="Fecha1">
    <w:name w:val="Fecha1"/>
    <w:basedOn w:val="Fuentedeprrafopredeter"/>
    <w:rsid w:val="003E6FF2"/>
  </w:style>
  <w:style w:type="character" w:customStyle="1" w:styleId="arttitle">
    <w:name w:val="art_title"/>
    <w:basedOn w:val="Fuentedeprrafopredeter"/>
    <w:rsid w:val="003E6FF2"/>
  </w:style>
  <w:style w:type="character" w:customStyle="1" w:styleId="serialtitle">
    <w:name w:val="serial_title"/>
    <w:basedOn w:val="Fuentedeprrafopredeter"/>
    <w:rsid w:val="003E6FF2"/>
  </w:style>
  <w:style w:type="character" w:customStyle="1" w:styleId="volumeissue">
    <w:name w:val="volume_issue"/>
    <w:basedOn w:val="Fuentedeprrafopredeter"/>
    <w:rsid w:val="003E6FF2"/>
  </w:style>
  <w:style w:type="character" w:customStyle="1" w:styleId="pagerange">
    <w:name w:val="page_range"/>
    <w:basedOn w:val="Fuentedeprrafopredeter"/>
    <w:rsid w:val="003E6FF2"/>
  </w:style>
  <w:style w:type="character" w:customStyle="1" w:styleId="doilink">
    <w:name w:val="doi_link"/>
    <w:basedOn w:val="Fuentedeprrafopredeter"/>
    <w:rsid w:val="003E6FF2"/>
  </w:style>
  <w:style w:type="paragraph" w:styleId="Encabezado">
    <w:name w:val="header"/>
    <w:basedOn w:val="Normal"/>
    <w:link w:val="EncabezadoCar"/>
    <w:uiPriority w:val="99"/>
    <w:unhideWhenUsed/>
    <w:rsid w:val="003E6FF2"/>
    <w:pPr>
      <w:tabs>
        <w:tab w:val="center" w:pos="4252"/>
        <w:tab w:val="right" w:pos="8504"/>
      </w:tabs>
      <w:spacing w:after="0" w:line="240" w:lineRule="auto"/>
    </w:pPr>
    <w:rPr>
      <w:lang w:val="es-PE"/>
    </w:rPr>
  </w:style>
  <w:style w:type="character" w:customStyle="1" w:styleId="EncabezadoCar">
    <w:name w:val="Encabezado Car"/>
    <w:basedOn w:val="Fuentedeprrafopredeter"/>
    <w:link w:val="Encabezado"/>
    <w:uiPriority w:val="99"/>
    <w:rsid w:val="003E6FF2"/>
    <w:rPr>
      <w:lang w:val="es-PE"/>
    </w:rPr>
  </w:style>
  <w:style w:type="paragraph" w:styleId="Piedepgina">
    <w:name w:val="footer"/>
    <w:basedOn w:val="Normal"/>
    <w:link w:val="PiedepginaCar"/>
    <w:uiPriority w:val="99"/>
    <w:unhideWhenUsed/>
    <w:rsid w:val="003E6FF2"/>
    <w:pPr>
      <w:tabs>
        <w:tab w:val="center" w:pos="4252"/>
        <w:tab w:val="right" w:pos="8504"/>
      </w:tabs>
      <w:spacing w:after="0" w:line="240" w:lineRule="auto"/>
    </w:pPr>
    <w:rPr>
      <w:lang w:val="es-PE"/>
    </w:rPr>
  </w:style>
  <w:style w:type="character" w:customStyle="1" w:styleId="PiedepginaCar">
    <w:name w:val="Pie de página Car"/>
    <w:basedOn w:val="Fuentedeprrafopredeter"/>
    <w:link w:val="Piedepgina"/>
    <w:uiPriority w:val="99"/>
    <w:rsid w:val="003E6FF2"/>
    <w:rPr>
      <w:lang w:val="es-PE"/>
    </w:rPr>
  </w:style>
  <w:style w:type="character" w:styleId="Textoennegrita">
    <w:name w:val="Strong"/>
    <w:basedOn w:val="Fuentedeprrafopredeter"/>
    <w:uiPriority w:val="22"/>
    <w:qFormat/>
    <w:rsid w:val="009E66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5C41D-F182-48F7-A7AD-884244B6C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26</Pages>
  <Words>8994</Words>
  <Characters>51543</Characters>
  <Application>Microsoft Office Word</Application>
  <DocSecurity>0</DocSecurity>
  <Lines>1713</Lines>
  <Paragraphs>935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25</cp:revision>
  <dcterms:created xsi:type="dcterms:W3CDTF">2024-06-03T13:24:00Z</dcterms:created>
  <dcterms:modified xsi:type="dcterms:W3CDTF">2024-09-10T00:45:00Z</dcterms:modified>
</cp:coreProperties>
</file>