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header1.xml" ContentType="application/vnd.openxmlformats-officedocument.wordprocessingml.header+xml"/>
  <Override PartName="/word/document.xml" ContentType="application/vnd.openxmlformats-officedocument.wordprocessingml.document.main+xml"/>
  <Override PartName="/word/footer3.xml" ContentType="application/vnd.openxmlformats-officedocument.wordprocessingml.footer+xml"/>
  <Override PartName="/word/media/image1.png" ContentType="image/png"/>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spacing w:lineRule="auto" w:line="240" w:before="0" w:after="0"/>
        <w:ind w:hanging="0" w:left="0" w:right="0"/>
        <w:jc w:val="center"/>
        <w:rPr>
          <w:rFonts w:ascii="Times New Roman" w:hAnsi="Times New Roman" w:eastAsia="Times New Roman" w:cs="Times New Roman"/>
          <w:b/>
          <w:i w:val="false"/>
          <w:i w:val="false"/>
          <w:caps w:val="false"/>
          <w:smallCaps w:val="false"/>
          <w:strike w:val="false"/>
          <w:dstrike w:val="false"/>
          <w:color w:val="000000"/>
          <w:position w:val="0"/>
          <w:sz w:val="36"/>
          <w:sz w:val="36"/>
          <w:szCs w:val="36"/>
          <w:u w:val="none"/>
          <w:shd w:fill="auto" w:val="clear"/>
          <w:vertAlign w:val="baseline"/>
        </w:rPr>
      </w:pPr>
      <w:r>
        <w:rPr>
          <w:rFonts w:eastAsia="Times New Roman" w:cs="Times New Roman"/>
          <w:b/>
          <w:i w:val="false"/>
          <w:caps w:val="false"/>
          <w:smallCaps w:val="false"/>
          <w:strike w:val="false"/>
          <w:dstrike w:val="false"/>
          <w:color w:val="000000"/>
          <w:position w:val="0"/>
          <w:sz w:val="36"/>
          <w:sz w:val="36"/>
          <w:szCs w:val="36"/>
          <w:u w:val="none"/>
          <w:shd w:fill="auto" w:val="clear"/>
          <w:vertAlign w:val="baseline"/>
        </w:rPr>
        <w:t xml:space="preserve"> </w:t>
      </w:r>
      <w:r>
        <w:rPr>
          <w:rFonts w:eastAsia="Times New Roman" w:cs="Times New Roman"/>
          <w:b/>
          <w:i w:val="false"/>
          <w:caps w:val="false"/>
          <w:smallCaps w:val="false"/>
          <w:strike w:val="false"/>
          <w:dstrike w:val="false"/>
          <w:color w:val="000000"/>
          <w:position w:val="0"/>
          <w:sz w:val="36"/>
          <w:sz w:val="36"/>
          <w:szCs w:val="36"/>
          <w:u w:val="none"/>
          <w:shd w:fill="auto" w:val="clear"/>
          <w:vertAlign w:val="baseline"/>
        </w:rPr>
        <w:t xml:space="preserve">Mental Toughness and Sport Motivation: What Matters Most in Predicting Sport-Related Anxiety Among Highly Active Adult Esport Players? </w:t>
      </w:r>
    </w:p>
    <w:p>
      <w:pPr>
        <w:pStyle w:val="normal1"/>
        <w:pageBreakBefore w:val="false"/>
        <w:rPr>
          <w:b/>
        </w:rPr>
      </w:pPr>
      <w:r>
        <w:rPr>
          <w:b/>
        </w:rPr>
      </w:r>
    </w:p>
    <w:p>
      <w:pPr>
        <w:pStyle w:val="normal1"/>
        <w:pageBreakBefore w:val="false"/>
        <w:rPr>
          <w:rFonts w:ascii="Times" w:hAnsi="Times" w:eastAsia="Times" w:cs="Times"/>
          <w:i/>
          <w:i/>
          <w:sz w:val="28"/>
          <w:szCs w:val="28"/>
        </w:rPr>
      </w:pPr>
      <w:r>
        <w:rPr>
          <w:rFonts w:eastAsia="Times" w:cs="Times" w:ascii="Times" w:hAnsi="Times"/>
          <w:i/>
          <w:sz w:val="28"/>
          <w:szCs w:val="28"/>
        </w:rPr>
        <mc:AlternateContent>
          <mc:Choice Requires="wps">
            <w:drawing>
              <wp:anchor behindDoc="0" distT="12700" distB="13335" distL="12700" distR="13335" simplePos="0" locked="0" layoutInCell="1" allowOverlap="1" relativeHeight="3">
                <wp:simplePos x="0" y="0"/>
                <wp:positionH relativeFrom="column">
                  <wp:posOffset>0</wp:posOffset>
                </wp:positionH>
                <wp:positionV relativeFrom="paragraph">
                  <wp:posOffset>55880</wp:posOffset>
                </wp:positionV>
                <wp:extent cx="6172200" cy="25400"/>
                <wp:effectExtent l="12700" t="12700" r="13335" b="13335"/>
                <wp:wrapNone/>
                <wp:docPr id="1" name="Shape1"/>
                <a:graphic xmlns:a="http://schemas.openxmlformats.org/drawingml/2006/main">
                  <a:graphicData uri="http://schemas.microsoft.com/office/word/2010/wordprocessingShape">
                    <wps:wsp>
                      <wps:cNvSpPr/>
                      <wps:spPr>
                        <a:xfrm>
                          <a:off x="0" y="0"/>
                          <a:ext cx="6172200" cy="25560"/>
                        </a:xfrm>
                        <a:prstGeom prst="straightConnector1">
                          <a:avLst/>
                        </a:prstGeom>
                        <a:noFill/>
                        <a:ln w="25560">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Shape1" path="m0,0l-2147483648,-2147483647e" stroked="t" o:allowincell="f" style="position:absolute;margin-left:0pt;margin-top:4.4pt;width:485.95pt;height:1.95pt;mso-wrap-style:none;v-text-anchor:middle" type="_x0000_t32">
                <v:fill o:detectmouseclick="t" on="false"/>
                <v:stroke color="black" weight="25560" joinstyle="round" endcap="flat"/>
                <w10:wrap type="none"/>
              </v:shape>
            </w:pict>
          </mc:Fallback>
        </mc:AlternateContent>
      </w:r>
    </w:p>
    <w:p>
      <w:pPr>
        <w:pStyle w:val="normal1"/>
        <w:pageBreakBefore w:val="false"/>
        <w:rPr>
          <w:b/>
          <w:sz w:val="20"/>
          <w:szCs w:val="20"/>
        </w:rPr>
      </w:pPr>
      <w:r>
        <w:rPr>
          <w:b/>
          <w:sz w:val="20"/>
          <w:szCs w:val="20"/>
        </w:rPr>
      </w:r>
    </w:p>
    <w:p>
      <w:pPr>
        <w:pStyle w:val="normal1"/>
        <w:keepNext w:val="false"/>
        <w:keepLines w:val="false"/>
        <w:pageBreakBefore w:val="false"/>
        <w:widowControl/>
        <w:spacing w:lineRule="auto" w:line="240" w:before="0" w:after="120"/>
        <w:ind w:hanging="0" w:left="0" w:right="0"/>
        <w:jc w:val="center"/>
        <w:rPr>
          <w:rFonts w:ascii="Times New Roman" w:hAnsi="Times New Roman" w:eastAsia="Times New Roman" w:cs="Times New Roman"/>
          <w:b/>
          <w:i w:val="false"/>
          <w:i w:val="false"/>
          <w:smallCaps/>
          <w:strike w:val="false"/>
          <w:dstrike w:val="false"/>
          <w:color w:val="000000"/>
          <w:position w:val="0"/>
          <w:sz w:val="20"/>
          <w:sz w:val="20"/>
          <w:szCs w:val="20"/>
          <w:u w:val="none"/>
          <w:shd w:fill="auto" w:val="clear"/>
          <w:vertAlign w:val="baseline"/>
        </w:rPr>
      </w:pPr>
      <w:r>
        <w:rPr>
          <w:rFonts w:eastAsia="Times New Roman" w:cs="Times New Roman"/>
          <w:b/>
          <w:i w:val="false"/>
          <w:smallCaps/>
          <w:strike w:val="false"/>
          <w:dstrike w:val="false"/>
          <w:color w:val="000000"/>
          <w:position w:val="0"/>
          <w:sz w:val="20"/>
          <w:sz w:val="20"/>
          <w:szCs w:val="20"/>
          <w:u w:val="none"/>
          <w:shd w:fill="auto" w:val="clear"/>
          <w:vertAlign w:val="baseline"/>
        </w:rPr>
        <w:t>Abstract</w:t>
      </w:r>
    </w:p>
    <w:p>
      <w:pPr>
        <w:pStyle w:val="normal1"/>
        <w:pageBreakBefore w:val="false"/>
        <w:jc w:val="both"/>
        <w:rPr>
          <w:highlight w:val="none"/>
          <w:shd w:fill="auto" w:val="clear"/>
        </w:rPr>
      </w:pPr>
      <w:r>
        <w:rPr>
          <w:sz w:val="20"/>
          <w:szCs w:val="20"/>
          <w:shd w:fill="auto" w:val="clear"/>
        </w:rPr>
        <w:t>The present study examined the relationship between mental toughness, sport motivation, and sport anxiety in a sample of 106 highly active adult esports players (94 males and 12 females) with ages ranging from 18 to 30 years (</w:t>
      </w:r>
      <w:r>
        <w:rPr>
          <w:i/>
          <w:iCs/>
          <w:sz w:val="20"/>
          <w:szCs w:val="20"/>
          <w:shd w:fill="auto" w:val="clear"/>
        </w:rPr>
        <w:t>M</w:t>
      </w:r>
      <w:r>
        <w:rPr>
          <w:sz w:val="20"/>
          <w:szCs w:val="20"/>
          <w:shd w:fill="auto" w:val="clear"/>
        </w:rPr>
        <w:t xml:space="preserve"> = 22.3, </w:t>
      </w:r>
      <w:r>
        <w:rPr>
          <w:i/>
          <w:iCs/>
          <w:sz w:val="20"/>
          <w:szCs w:val="20"/>
          <w:shd w:fill="auto" w:val="clear"/>
        </w:rPr>
        <w:t>SD</w:t>
      </w:r>
      <w:r>
        <w:rPr>
          <w:sz w:val="20"/>
          <w:szCs w:val="20"/>
          <w:shd w:fill="auto" w:val="clear"/>
        </w:rPr>
        <w:t xml:space="preserve"> = 3.3), who engaged in games such as League of Legends. Participants completed the Mental Toughness Inventory (MTI), the Sport Motivation Scale (SMS), and the Sport Anxiety Scale-2 (SAS-2). The results of the correlation analysis indicated that mental toughness was negatively associated with concentration distraction. Intrinsic motivation showed a positive association with worry, whereas extrinsic motivation was positively related to concentration distraction. Moreover, amotivation sub-scale correlated with both increased somatic anxiety and concentration distraction. Furthermore, results of conducting regression analyses indicated that amotivation was the only significant predictor of somatic anxiety and concentration disruption, whereas intrinsic motivation was the only significant predictor of worry. Findings emphasize that motivational factors, rather than mental toughness, are more significant in accounting for sport-related anxiety among highly active esports players.</w:t>
      </w:r>
    </w:p>
    <w:p>
      <w:pPr>
        <w:pStyle w:val="normal1"/>
        <w:pageBreakBefore w:val="false"/>
        <w:rPr>
          <w:sz w:val="20"/>
          <w:szCs w:val="20"/>
        </w:rPr>
      </w:pPr>
      <w:r>
        <w:rPr>
          <w:sz w:val="20"/>
          <w:szCs w:val="20"/>
        </w:rPr>
      </w:r>
    </w:p>
    <w:p>
      <w:pPr>
        <w:pStyle w:val="normal1"/>
        <w:pageBreakBefore w:val="false"/>
        <w:rPr>
          <w:b/>
          <w:sz w:val="20"/>
          <w:szCs w:val="20"/>
        </w:rPr>
      </w:pPr>
      <w:r>
        <w:rPr>
          <w:b/>
          <w:sz w:val="20"/>
          <w:szCs w:val="20"/>
        </w:rPr>
        <w:t>Keywords</w:t>
      </w:r>
    </w:p>
    <w:p>
      <w:pPr>
        <w:pStyle w:val="normal1"/>
        <w:jc w:val="both"/>
        <w:rPr>
          <w:sz w:val="20"/>
          <w:szCs w:val="20"/>
        </w:rPr>
      </w:pPr>
      <w:r>
        <w:rPr>
          <w:sz w:val="20"/>
          <w:szCs w:val="20"/>
        </w:rPr>
        <w:t>esports; motivation; anxiety; mental toughness; sports</w:t>
      </w:r>
    </w:p>
    <w:p>
      <w:pPr>
        <w:pStyle w:val="normal1"/>
        <w:pageBreakBefore w:val="false"/>
        <w:jc w:val="both"/>
        <w:rPr>
          <w:sz w:val="20"/>
          <w:szCs w:val="20"/>
        </w:rPr>
      </w:pPr>
      <w:r>
        <w:rPr>
          <w:sz w:val="20"/>
          <w:szCs w:val="20"/>
        </w:rPr>
      </w:r>
    </w:p>
    <w:p>
      <w:pPr>
        <w:pStyle w:val="normal1"/>
        <w:jc w:val="both"/>
        <w:rPr>
          <w:sz w:val="20"/>
          <w:szCs w:val="20"/>
          <w:highlight w:val="none"/>
          <w:shd w:fill="auto" w:val="clear"/>
        </w:rPr>
      </w:pPr>
      <w:r>
        <w:rPr>
          <w:sz w:val="20"/>
          <w:szCs w:val="20"/>
          <w:shd w:fill="auto" w:val="clear"/>
        </w:rPr>
        <w:t>El presente estudio examinó la relación entre la fortaleza mental, la motivación deportiva y la ansiedad competitiva en una muestra de 106 jugadores adultos de esports altamente activos (94 hombres y 12 mujeres), con edades comprendidas entre 18 y 30 años (</w:t>
      </w:r>
      <w:r>
        <w:rPr>
          <w:i/>
          <w:iCs/>
          <w:sz w:val="20"/>
          <w:szCs w:val="20"/>
          <w:shd w:fill="auto" w:val="clear"/>
        </w:rPr>
        <w:t>M</w:t>
      </w:r>
      <w:r>
        <w:rPr>
          <w:sz w:val="20"/>
          <w:szCs w:val="20"/>
          <w:shd w:fill="auto" w:val="clear"/>
        </w:rPr>
        <w:t xml:space="preserve"> = 22.3, </w:t>
      </w:r>
      <w:r>
        <w:rPr>
          <w:i/>
          <w:iCs/>
          <w:sz w:val="20"/>
          <w:szCs w:val="20"/>
          <w:shd w:fill="auto" w:val="clear"/>
        </w:rPr>
        <w:t>SD</w:t>
      </w:r>
      <w:r>
        <w:rPr>
          <w:sz w:val="20"/>
          <w:szCs w:val="20"/>
          <w:shd w:fill="auto" w:val="clear"/>
        </w:rPr>
        <w:t xml:space="preserve"> = 3.3), que participan en videojuegos como </w:t>
      </w:r>
      <w:r>
        <w:rPr>
          <w:i/>
          <w:iCs/>
          <w:sz w:val="20"/>
          <w:szCs w:val="20"/>
          <w:shd w:fill="auto" w:val="clear"/>
        </w:rPr>
        <w:t>League of Legends</w:t>
      </w:r>
      <w:r>
        <w:rPr>
          <w:sz w:val="20"/>
          <w:szCs w:val="20"/>
          <w:shd w:fill="auto" w:val="clear"/>
        </w:rPr>
        <w:t>. Los participantes completaron el Inventario de Fortaleza Mental (MTI), la Escala de Motivación Deportiva (SMS) y la Escala de Ansiedad en el Deporte-2 (SAS-2). Los resultados del análisis de correlación indicaron que la fortaleza mental estaba negativamente asociada con la desconcentración. La motivación intrínseca mostró una asociación positiva con la preocupación, mientras que la motivación extrínseca se relacionó positivamente con la desconcentración. Además, la subescala de amotivación se correlacionó tanto con un aumento de la ansiedad somática como con la desconcentración. Además, los resultados de los análisis de regresión indicaron que la amotivación era el único predictor significativo de la ansiedad somática y de la desconcentración, mientras que la motivación intrínseca fue el único predictor significativo de la preocupación. Los hallazgos subrayan que los factores motivacionales, en lugar de la fortaleza mental, son más significativos para explicar la ansiedad relacionada con el deporte entre los jugadores de esports altamente activos.</w:t>
      </w:r>
    </w:p>
    <w:p>
      <w:pPr>
        <w:pStyle w:val="normal1"/>
        <w:pageBreakBefore w:val="false"/>
        <w:rPr>
          <w:sz w:val="20"/>
          <w:szCs w:val="20"/>
        </w:rPr>
      </w:pPr>
      <w:r>
        <w:rPr>
          <w:sz w:val="20"/>
          <w:szCs w:val="20"/>
        </w:rPr>
      </w:r>
    </w:p>
    <w:p>
      <w:pPr>
        <w:pStyle w:val="normal1"/>
        <w:pageBreakBefore w:val="false"/>
        <w:jc w:val="both"/>
        <w:rPr>
          <w:b/>
          <w:sz w:val="20"/>
          <w:szCs w:val="20"/>
        </w:rPr>
      </w:pPr>
      <w:r>
        <w:rPr>
          <w:b/>
          <w:sz w:val="20"/>
          <w:szCs w:val="20"/>
        </w:rPr>
        <w:t>Palabras clave</w:t>
      </w:r>
    </w:p>
    <w:p>
      <w:pPr>
        <w:pStyle w:val="normal1"/>
        <w:jc w:val="both"/>
        <w:rPr>
          <w:sz w:val="20"/>
          <w:szCs w:val="20"/>
        </w:rPr>
      </w:pPr>
      <w:r>
        <w:drawing>
          <wp:anchor behindDoc="0" distT="0" distB="0" distL="0" distR="0" simplePos="0" locked="0" layoutInCell="1" allowOverlap="1" relativeHeight="2">
            <wp:simplePos x="0" y="0"/>
            <wp:positionH relativeFrom="column">
              <wp:posOffset>5400675</wp:posOffset>
            </wp:positionH>
            <wp:positionV relativeFrom="paragraph">
              <wp:posOffset>635</wp:posOffset>
            </wp:positionV>
            <wp:extent cx="396240" cy="259080"/>
            <wp:effectExtent l="0" t="0" r="0" b="0"/>
            <wp:wrapNone/>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396240" cy="259080"/>
                    </a:xfrm>
                    <a:prstGeom prst="rect">
                      <a:avLst/>
                    </a:prstGeom>
                  </pic:spPr>
                </pic:pic>
              </a:graphicData>
            </a:graphic>
          </wp:anchor>
        </w:drawing>
      </w:r>
      <w:r>
        <w:rPr>
          <w:sz w:val="20"/>
          <w:szCs w:val="20"/>
        </w:rPr>
        <w:t>esports; motivación; ansiedad; fortaleza mental; deportes</w:t>
      </w:r>
    </w:p>
    <w:p>
      <w:pPr>
        <w:pStyle w:val="normal1"/>
        <w:pageBreakBefore w:val="false"/>
        <w:rPr>
          <w:b/>
        </w:rPr>
      </w:pPr>
      <w:r>
        <w:rPr>
          <w:b/>
        </w:rPr>
      </w:r>
    </w:p>
    <w:p>
      <w:pPr>
        <w:pStyle w:val="normal1"/>
        <w:keepNext w:val="false"/>
        <w:keepLines w:val="false"/>
        <w:pageBreakBefore w:val="false"/>
        <w:widowControl/>
        <w:spacing w:lineRule="auto" w:line="240" w:before="0" w:after="0"/>
        <w:ind w:hanging="0" w:left="0" w:right="0"/>
        <w:jc w:val="center"/>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Fortaleza mental y motivación deportiva: ¿Qué es lo más importante para predecir la ansiedad competitiva entre los jugadores adultos de Esports altamente activos?</w:t>
      </w:r>
    </w:p>
    <w:p>
      <w:pPr>
        <w:pStyle w:val="normal1"/>
        <w:widowControl/>
        <w:spacing w:lineRule="auto" w:line="240" w:before="0" w:after="0"/>
        <w:ind w:hanging="0" w:left="0" w:right="0"/>
        <w:jc w:val="center"/>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spacing w:lineRule="auto" w:line="240" w:before="0" w:after="0"/>
        <w:ind w:hanging="0" w:left="0" w:right="0"/>
        <w:jc w:val="center"/>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Introduction</w:t>
      </w:r>
    </w:p>
    <w:p>
      <w:pPr>
        <w:pStyle w:val="normal1"/>
        <w:keepNext w:val="false"/>
        <w:keepLines w:val="false"/>
        <w:pageBreakBefore w:val="false"/>
        <w:widowControl/>
        <w:spacing w:lineRule="auto" w:line="36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Although there is no universally accepted definition of mental toughness (Jones et al., 2002), it is generally believed to involve a sense of control and confidence in achieving goals even in the context of stress and adversity (Gucciardi et al., 2015). That said, findings from studies have generally indicated that mental toughness represents a positive attribute in diverse contexts (e.g., education, work, &amp; learning; Gucciardi, 2017; Lin et al., 2017). For example, Gucciardi et al. (2015) found that mental toughness in young adult college students was associated with greater positive emotions and less negative emotions. Noteworthy, a growing interest among researchers has been a focus on the examination of mental toughness and psychological health in the context of sport. For example, in a study of cross-country runners, Mahoney et al. (2014) found that greater mental toughness was positively associated with positive affect, and negatively associated with negative affect.  Similarly, in a sample of young elite athletes participating in diverse sport activities (e.g., soccer, tennis, judo, swimming), Gerber et al. (2018) found that greater mental toughness was concurrently associated with less burnout and depressive symptoms. </w:t>
      </w:r>
    </w:p>
    <w:p>
      <w:pPr>
        <w:pStyle w:val="normal1"/>
        <w:widowControl/>
        <w:spacing w:lineRule="auto" w:line="360" w:before="0" w:after="0"/>
        <w:ind w:firstLine="708"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However, beyond mental toughness, some researchers have also pointed to the potential importance of sport motivation in predicting psychological health in athletes. For example, in a study of competitive golfers, Schaefer et al. (2016) found some evidence to suggest that sport anxiety was predicted by both sport motivation and mental toughness. Unfortunately, these researchers did not distinguish between the potential role of different aspects of sport motivation. For example, with regard to sport motivation, as measured by their Sport Motivation Scale or SMS, Pelletier et al. (1995) distinguish between intrinsic motivation, namely, participating in the activity purely for personal pleasure (e.g., feeling satisfaction, personal growth), extrinsic motivation, namely, participating in the activity as a means to an end (e.g., for prestige, to be liked by others), and amotivation, namely, being undecided about participating or not participating in the activity (e.g., lacking control or reason to continue the activity). Accordingly, it would be useful to determine the relative contributions of mental toughness and different sport motivations in predicting sport anxiety.</w:t>
      </w:r>
    </w:p>
    <w:p>
      <w:pPr>
        <w:pStyle w:val="normal1"/>
        <w:widowControl/>
        <w:spacing w:lineRule="auto" w:line="360" w:before="0" w:after="0"/>
        <w:ind w:firstLine="708"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t xml:space="preserve">As noted by Leis and Lautenbach (2020), there has been increasing interest and research focused on understanding psychological health among those who participate in competitive electronic sport or esport (e.g., Legend of Leagues [LoL] &amp; Counter-Strike: Global Offensive [CS: GO]). For example, in a study of esport athletes, Poulus et al. (2020) found that overall mental toughness was positively associated with stressor control. However, other studies have pointed to the importance of considering motivational factors among esport players (e.g., Bányai et al., 2019). To date, however, no study has examined the role of mental toughness and motivational factors as predictors of psychological health in esport players. </w:t>
      </w:r>
    </w:p>
    <w:p>
      <w:pPr>
        <w:pStyle w:val="normal1"/>
        <w:widowControl/>
        <w:spacing w:lineRule="auto" w:line="36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t xml:space="preserve">Given these concerns, the present study was conducted to explore the relative contributions of mental toughness and sport motivation as predictors of concurrent sport anxiety (e.g., worry, somatic anxiety; Smith et al., 2006) in a sample of highly active adult esport players. Based on prior research findings (e.g., Schaefer et al., 2016), we expected to find evidence consistent with the notion that mental toughness and sport motivation are important predictors of anxiety in esport players. </w:t>
      </w:r>
    </w:p>
    <w:p>
      <w:pPr>
        <w:pStyle w:val="normal1"/>
        <w:keepNext w:val="false"/>
        <w:keepLines w:val="false"/>
        <w:pageBreakBefore w:val="false"/>
        <w:widowControl/>
        <w:spacing w:lineRule="auto" w:line="360" w:before="0" w:after="0"/>
        <w:ind w:firstLine="708"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spacing w:lineRule="auto" w:line="240" w:before="0" w:after="0"/>
        <w:ind w:hanging="0" w:left="0" w:right="0"/>
        <w:jc w:val="center"/>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Method</w:t>
      </w:r>
    </w:p>
    <w:p>
      <w:pPr>
        <w:pStyle w:val="normal1"/>
        <w:keepNext w:val="false"/>
        <w:keepLines w:val="false"/>
        <w:pageBreakBefore w:val="false"/>
        <w:widowControl/>
        <w:spacing w:lineRule="auto" w:line="360" w:before="0" w:after="0"/>
        <w:ind w:hanging="0" w:left="0" w:right="0"/>
        <w:jc w:val="both"/>
        <w:rPr>
          <w:rFonts w:ascii="Times New Roman" w:hAnsi="Times New Roman" w:eastAsia="Times New Roman" w:cs="Times New Roman"/>
          <w:b/>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caps w:val="false"/>
          <w:smallCaps w:val="false"/>
          <w:strike w:val="false"/>
          <w:dstrike w:val="false"/>
          <w:color w:val="000000"/>
          <w:position w:val="0"/>
          <w:sz w:val="24"/>
          <w:sz w:val="24"/>
          <w:szCs w:val="24"/>
          <w:u w:val="none"/>
          <w:shd w:fill="auto" w:val="clear"/>
          <w:vertAlign w:val="baseline"/>
        </w:rPr>
        <w:t>Participants</w:t>
      </w:r>
    </w:p>
    <w:p>
      <w:pPr>
        <w:pStyle w:val="normal1"/>
        <w:keepNext w:val="false"/>
        <w:keepLines w:val="false"/>
        <w:pageBreakBefore w:val="false"/>
        <w:widowControl/>
        <w:spacing w:lineRule="auto" w:line="36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bCs/>
          <w:i w:val="false"/>
          <w:caps w:val="false"/>
          <w:smallCaps w:val="false"/>
          <w:strike w:val="false"/>
          <w:dstrike w:val="false"/>
          <w:color w:val="000000"/>
          <w:position w:val="0"/>
          <w:sz w:val="24"/>
          <w:sz w:val="24"/>
          <w:szCs w:val="24"/>
          <w:u w:val="none"/>
          <w:shd w:fill="auto" w:val="clear"/>
          <w:vertAlign w:val="baseline"/>
        </w:rPr>
        <w:tab/>
        <w:t xml:space="preserve">From a larger sample of 359 Argentinian esport players, the present sample of esport players were those who scored “high” (above the total sample mean) on the daily number of hours they played one of two globally popular esport games, namely, LOL and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CS:GO. This resulted in our current sample of 106 (94 male &amp; 12 female) highly active esport players. Age ranged from 18 to 30 years of age, with an average of 22.3 years (</w:t>
      </w:r>
      <w:r>
        <w:rPr>
          <w:rFonts w:eastAsia="Times New Roman" w:cs="Times New Roman"/>
          <w:b w:val="false"/>
          <w:i/>
          <w:iCs/>
          <w:caps w:val="false"/>
          <w:smallCaps w:val="false"/>
          <w:strike w:val="false"/>
          <w:dstrike w:val="false"/>
          <w:color w:val="000000"/>
          <w:position w:val="0"/>
          <w:sz w:val="24"/>
          <w:sz w:val="24"/>
          <w:szCs w:val="24"/>
          <w:u w:val="none"/>
          <w:shd w:fill="auto" w:val="clear"/>
          <w:vertAlign w:val="baseline"/>
        </w:rPr>
        <w:t>SD</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 3.3). This sample indicated that they played an average of 6.4 days a week (</w:t>
      </w:r>
      <w:r>
        <w:rPr>
          <w:rFonts w:eastAsia="Times New Roman" w:cs="Times New Roman"/>
          <w:b w:val="false"/>
          <w:i/>
          <w:iCs/>
          <w:caps w:val="false"/>
          <w:smallCaps w:val="false"/>
          <w:strike w:val="false"/>
          <w:dstrike w:val="false"/>
          <w:color w:val="000000"/>
          <w:position w:val="0"/>
          <w:sz w:val="24"/>
          <w:sz w:val="24"/>
          <w:szCs w:val="24"/>
          <w:u w:val="none"/>
          <w:shd w:fill="auto" w:val="clear"/>
          <w:vertAlign w:val="baseline"/>
        </w:rPr>
        <w:t>SD</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 1.08) and played an average of 7.13 hours a day (</w:t>
      </w:r>
      <w:r>
        <w:rPr>
          <w:rFonts w:eastAsia="Times New Roman" w:cs="Times New Roman"/>
          <w:b w:val="false"/>
          <w:i/>
          <w:iCs/>
          <w:caps w:val="false"/>
          <w:smallCaps w:val="false"/>
          <w:strike w:val="false"/>
          <w:dstrike w:val="false"/>
          <w:color w:val="000000"/>
          <w:position w:val="0"/>
          <w:sz w:val="24"/>
          <w:sz w:val="24"/>
          <w:szCs w:val="24"/>
          <w:u w:val="none"/>
          <w:shd w:fill="auto" w:val="clear"/>
          <w:vertAlign w:val="baseline"/>
        </w:rPr>
        <w:t>SD</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 2.17).</w:t>
      </w:r>
    </w:p>
    <w:p>
      <w:pPr>
        <w:pStyle w:val="normal1"/>
        <w:keepNext w:val="false"/>
        <w:keepLines w:val="false"/>
        <w:pageBreakBefore w:val="false"/>
        <w:widowControl/>
        <w:spacing w:lineRule="auto" w:line="360" w:before="0" w:after="0"/>
        <w:ind w:hanging="0" w:left="0" w:right="0"/>
        <w:jc w:val="both"/>
        <w:rPr>
          <w:rFonts w:ascii="Times New Roman" w:hAnsi="Times New Roman" w:eastAsia="Times New Roman" w:cs="Times New Roman"/>
          <w:b/>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caps w:val="false"/>
          <w:smallCaps w:val="false"/>
          <w:strike w:val="false"/>
          <w:dstrike w:val="false"/>
          <w:color w:val="000000"/>
          <w:position w:val="0"/>
          <w:sz w:val="24"/>
          <w:sz w:val="24"/>
          <w:szCs w:val="24"/>
          <w:u w:val="none"/>
          <w:shd w:fill="auto" w:val="clear"/>
          <w:vertAlign w:val="baseline"/>
        </w:rPr>
        <w:t>Materials</w:t>
      </w:r>
    </w:p>
    <w:p>
      <w:pPr>
        <w:pStyle w:val="normal1"/>
        <w:keepNext w:val="false"/>
        <w:keepLines w:val="false"/>
        <w:pageBreakBefore w:val="false"/>
        <w:widowControl/>
        <w:spacing w:lineRule="auto" w:line="36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rPr>
        <w:t>Mental Toughness</w:t>
      </w:r>
    </w:p>
    <w:p>
      <w:pPr>
        <w:pStyle w:val="normal1"/>
        <w:widowControl/>
        <w:spacing w:lineRule="auto" w:line="36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t>The Mental Toughness Inventory (MTI; Gucciardi et al., 2015) was used to assess for mental toughness. The MTI is an 8-item measure of mental toughness (e.g., “I believe in my ability to achieve my goals”). Respondents are asked to indicate their level of agreement with each item statement regarding how they typically think, feel, and behave as an athlete across a 7-point Likert-type scale, ranging from 1 (</w:t>
      </w:r>
      <w:r>
        <w:rPr>
          <w:rFonts w:eastAsia="Times New Roman" w:cs="Times New Roman"/>
          <w:b w:val="false"/>
          <w:i/>
          <w:iCs/>
          <w:caps w:val="false"/>
          <w:smallCaps w:val="false"/>
          <w:strike w:val="false"/>
          <w:dstrike w:val="false"/>
          <w:color w:val="000000"/>
          <w:position w:val="0"/>
          <w:sz w:val="24"/>
          <w:sz w:val="24"/>
          <w:szCs w:val="24"/>
          <w:u w:val="none"/>
          <w:shd w:fill="auto" w:val="clear"/>
          <w:vertAlign w:val="baseline"/>
        </w:rPr>
        <w:t>false, 100% of the time</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to 7 (</w:t>
      </w:r>
      <w:r>
        <w:rPr>
          <w:rFonts w:eastAsia="Times New Roman" w:cs="Times New Roman"/>
          <w:b w:val="false"/>
          <w:i/>
          <w:iCs/>
          <w:caps w:val="false"/>
          <w:smallCaps w:val="false"/>
          <w:strike w:val="false"/>
          <w:dstrike w:val="false"/>
          <w:color w:val="000000"/>
          <w:position w:val="0"/>
          <w:sz w:val="24"/>
          <w:sz w:val="24"/>
          <w:szCs w:val="24"/>
          <w:u w:val="none"/>
          <w:shd w:fill="auto" w:val="clear"/>
          <w:vertAlign w:val="baseline"/>
        </w:rPr>
        <w:t>true, 100% of the time</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Higher scores on the MTI indicate greater mental toughness. In the present study, Cronbach’s alpha was α = .76. </w:t>
      </w:r>
    </w:p>
    <w:p>
      <w:pPr>
        <w:pStyle w:val="normal1"/>
        <w:widowControl/>
        <w:spacing w:lineRule="auto" w:line="36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rPr>
        <w:t>Sport motivation</w:t>
      </w:r>
    </w:p>
    <w:p>
      <w:pPr>
        <w:pStyle w:val="normal1"/>
        <w:widowControl/>
        <w:spacing w:lineRule="auto" w:line="36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rPr>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The Sport Motivation Scale (SMS; Pelletier et al., 1995) was used to assess for sport motivation. The SMS is a 28-item measure of individual differences in intrinsic motivation (e.g., “For the pleasure I feel in living exciting experiences”), extrinsic motivation (e.g., “For the prestige of being an athlete”), and amotivation (e.g., “I used to have good reasons for doing sports, but now I am asking myself if I should continue doing it”). Respondents are asked to indicate their level of agreement with each item statement regarding why they practice their sport across a 7-point Likert-type scale, ranging from 1 (</w:t>
      </w:r>
      <w:r>
        <w:rPr>
          <w:rFonts w:eastAsia="Times New Roman" w:cs="Times New Roman"/>
          <w:b w:val="false"/>
          <w:i/>
          <w:iCs/>
          <w:caps w:val="false"/>
          <w:smallCaps w:val="false"/>
          <w:strike w:val="false"/>
          <w:dstrike w:val="false"/>
          <w:color w:val="000000"/>
          <w:position w:val="0"/>
          <w:sz w:val="24"/>
          <w:sz w:val="24"/>
          <w:szCs w:val="24"/>
          <w:u w:val="none"/>
          <w:shd w:fill="auto" w:val="clear"/>
          <w:vertAlign w:val="baseline"/>
        </w:rPr>
        <w:t>does not correspond at all</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to 7 (</w:t>
      </w:r>
      <w:r>
        <w:rPr>
          <w:rFonts w:eastAsia="Times New Roman" w:cs="Times New Roman"/>
          <w:b w:val="false"/>
          <w:i/>
          <w:iCs/>
          <w:caps w:val="false"/>
          <w:smallCaps w:val="false"/>
          <w:strike w:val="false"/>
          <w:dstrike w:val="false"/>
          <w:color w:val="000000"/>
          <w:position w:val="0"/>
          <w:sz w:val="24"/>
          <w:sz w:val="24"/>
          <w:szCs w:val="24"/>
          <w:u w:val="none"/>
          <w:shd w:fill="auto" w:val="clear"/>
          <w:vertAlign w:val="baseline"/>
        </w:rPr>
        <w:t>corresponds exactly</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Higher scores on any of the SMS scales indicate greater levels of that motivation (or lack of motivation) on that scale. Cronbach's alpha coefficients were 0.91 for the intrinsic motivation subscale, 0.89 for the extrinsic motivation subscale, and 0.62 for the amotivation subscale.</w:t>
      </w:r>
    </w:p>
    <w:p>
      <w:pPr>
        <w:pStyle w:val="normal1"/>
        <w:widowControl/>
        <w:spacing w:lineRule="auto" w:line="36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rPr>
        <w:t>Sport anxiety</w:t>
      </w:r>
    </w:p>
    <w:p>
      <w:pPr>
        <w:pStyle w:val="normal1"/>
        <w:widowControl/>
        <w:spacing w:lineRule="auto" w:line="360" w:before="0" w:after="0"/>
        <w:ind w:firstLine="708"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The Sport Anxiety Scale-2 (SAS-2; Smith et al., 2006) was used to assess for sport anxiety. The SAS-2 is a 15-item measure of sport anxiety across three dimensions, namely, somatic anxiety (e.g., “I feel tense in my stomach”), worry (e.g., “I worry that I will not play well”), and concentration disruption (e.g., “I cannot think clearly during the game”). Respondents are asked to indicate how they usually feel before or while competing in sport for each item statement across a 4-point Likert-type scale, ranging from 1 (</w:t>
      </w:r>
      <w:r>
        <w:rPr>
          <w:rFonts w:eastAsia="Times New Roman" w:cs="Times New Roman"/>
          <w:b w:val="false"/>
          <w:i/>
          <w:iCs/>
          <w:caps w:val="false"/>
          <w:smallCaps w:val="false"/>
          <w:strike w:val="false"/>
          <w:dstrike w:val="false"/>
          <w:color w:val="000000"/>
          <w:position w:val="0"/>
          <w:sz w:val="24"/>
          <w:sz w:val="24"/>
          <w:szCs w:val="24"/>
          <w:u w:val="none"/>
          <w:shd w:fill="auto" w:val="clear"/>
          <w:vertAlign w:val="baseline"/>
        </w:rPr>
        <w:t>not at all</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to 4 (</w:t>
      </w:r>
      <w:r>
        <w:rPr>
          <w:rFonts w:eastAsia="Times New Roman" w:cs="Times New Roman"/>
          <w:b w:val="false"/>
          <w:i/>
          <w:iCs/>
          <w:caps w:val="false"/>
          <w:smallCaps w:val="false"/>
          <w:strike w:val="false"/>
          <w:dstrike w:val="false"/>
          <w:color w:val="000000"/>
          <w:position w:val="0"/>
          <w:sz w:val="24"/>
          <w:sz w:val="24"/>
          <w:szCs w:val="24"/>
          <w:u w:val="none"/>
          <w:shd w:fill="auto" w:val="clear"/>
          <w:vertAlign w:val="baseline"/>
        </w:rPr>
        <w:t>very much</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Higher scores on any of the SAS-2 scales indicate greater levels of sport-related anxiety on that scale. In the present study, internal consistency coefficients ranged from 0.73 to 0.87.</w:t>
      </w:r>
    </w:p>
    <w:p>
      <w:pPr>
        <w:pStyle w:val="normal1"/>
        <w:keepNext w:val="false"/>
        <w:keepLines w:val="false"/>
        <w:pageBreakBefore w:val="false"/>
        <w:widowControl/>
        <w:spacing w:lineRule="auto" w:line="360" w:before="0" w:after="0"/>
        <w:ind w:hanging="0" w:left="0" w:right="0"/>
        <w:jc w:val="both"/>
        <w:rPr>
          <w:rFonts w:ascii="Times New Roman" w:hAnsi="Times New Roman" w:eastAsia="Times New Roman" w:cs="Times New Roman"/>
          <w:b/>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caps w:val="false"/>
          <w:smallCaps w:val="false"/>
          <w:strike w:val="false"/>
          <w:dstrike w:val="false"/>
          <w:color w:val="000000"/>
          <w:position w:val="0"/>
          <w:sz w:val="24"/>
          <w:sz w:val="24"/>
          <w:szCs w:val="24"/>
          <w:u w:val="none"/>
          <w:shd w:fill="auto" w:val="clear"/>
          <w:vertAlign w:val="baseline"/>
        </w:rPr>
        <w:t xml:space="preserve">Procedure </w:t>
      </w:r>
    </w:p>
    <w:p>
      <w:pPr>
        <w:pStyle w:val="normal1"/>
        <w:keepNext w:val="false"/>
        <w:keepLines w:val="false"/>
        <w:pageBreakBefore w:val="false"/>
        <w:widowControl/>
        <w:spacing w:lineRule="auto" w:line="36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bCs/>
          <w:i w:val="false"/>
          <w:caps w:val="false"/>
          <w:smallCaps w:val="false"/>
          <w:strike w:val="false"/>
          <w:dstrike w:val="false"/>
          <w:color w:val="000000"/>
          <w:position w:val="0"/>
          <w:sz w:val="24"/>
          <w:sz w:val="24"/>
          <w:szCs w:val="24"/>
          <w:u w:val="none"/>
          <w:shd w:fill="auto" w:val="clear"/>
          <w:vertAlign w:val="baseline"/>
        </w:rPr>
        <w:tab/>
      </w:r>
      <w:r>
        <w:rPr>
          <w:rFonts w:eastAsia="Cambria" w:cs="Times New Roman"/>
          <w:b w:val="false"/>
          <w:bCs/>
          <w:i w:val="false"/>
          <w:caps w:val="false"/>
          <w:smallCaps w:val="false"/>
          <w:strike w:val="false"/>
          <w:dstrike w:val="false"/>
          <w:color w:val="000000"/>
          <w:position w:val="0"/>
          <w:sz w:val="24"/>
          <w:sz w:val="24"/>
          <w:szCs w:val="24"/>
          <w:u w:val="none"/>
          <w:shd w:fill="auto" w:val="clear"/>
          <w:vertAlign w:val="baseline"/>
        </w:rPr>
        <w:t xml:space="preserve">Approval for the study was obtained by the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Argentine University of Business (UADE), being part of an approved project (A21S18) </w:t>
      </w:r>
      <w:r>
        <w:rPr>
          <w:rFonts w:eastAsia="Cambria" w:cs="Times New Roman"/>
          <w:b w:val="false"/>
          <w:i w:val="false"/>
          <w:caps w:val="false"/>
          <w:smallCaps w:val="false"/>
          <w:strike w:val="false"/>
          <w:dstrike w:val="false"/>
          <w:color w:val="000000"/>
          <w:position w:val="0"/>
          <w:sz w:val="24"/>
          <w:sz w:val="24"/>
          <w:szCs w:val="24"/>
          <w:u w:val="none"/>
          <w:shd w:fill="auto" w:val="clear"/>
          <w:vertAlign w:val="baseline"/>
        </w:rPr>
        <w:t>prior</w:t>
      </w:r>
      <w:r>
        <w:rPr>
          <w:rFonts w:eastAsia="Cambria" w:cs="Times New Roman"/>
          <w:b w:val="false"/>
          <w:bCs/>
          <w:i w:val="false"/>
          <w:caps w:val="false"/>
          <w:smallCaps w:val="false"/>
          <w:strike w:val="false"/>
          <w:dstrike w:val="false"/>
          <w:color w:val="000000"/>
          <w:position w:val="0"/>
          <w:sz w:val="24"/>
          <w:sz w:val="24"/>
          <w:szCs w:val="24"/>
          <w:u w:val="none"/>
          <w:shd w:fill="auto" w:val="clear"/>
          <w:vertAlign w:val="baseline"/>
        </w:rPr>
        <w:t xml:space="preserve"> to data collection. All participants were contacted via social networks (i.e., Facebook, Instagram), where they were invited to complete an online survey. As a first step, participants were informed of the study and accepted informed consent, before accessing the survey. Confidentiality was ensured and no identifying information was collected. </w:t>
      </w:r>
    </w:p>
    <w:p>
      <w:pPr>
        <w:pStyle w:val="normal1"/>
        <w:keepNext w:val="false"/>
        <w:keepLines w:val="false"/>
        <w:pageBreakBefore w:val="false"/>
        <w:widowControl/>
        <w:spacing w:lineRule="auto" w:line="360" w:before="0" w:after="0"/>
        <w:ind w:hanging="0" w:left="0" w:right="0"/>
        <w:jc w:val="both"/>
        <w:rPr>
          <w:highlight w:val="none"/>
          <w:shd w:fill="auto" w:val="clear"/>
        </w:rPr>
      </w:pPr>
      <w:r>
        <w:rPr>
          <w:rFonts w:eastAsia="Times New Roman" w:cs="Times New Roman"/>
          <w:b/>
          <w:i/>
          <w:caps w:val="false"/>
          <w:smallCaps w:val="false"/>
          <w:strike w:val="false"/>
          <w:dstrike w:val="false"/>
          <w:color w:val="000000"/>
          <w:position w:val="0"/>
          <w:sz w:val="24"/>
          <w:sz w:val="24"/>
          <w:szCs w:val="24"/>
          <w:u w:val="none"/>
          <w:shd w:fill="auto" w:val="clear"/>
          <w:vertAlign w:val="baseline"/>
        </w:rPr>
        <w:t>Data analysis</w:t>
      </w:r>
    </w:p>
    <w:p>
      <w:pPr>
        <w:pStyle w:val="normal1"/>
        <w:keepNext w:val="false"/>
        <w:keepLines w:val="false"/>
        <w:pageBreakBefore w:val="false"/>
        <w:widowControl/>
        <w:spacing w:lineRule="auto" w:line="360" w:before="0" w:after="0"/>
        <w:ind w:firstLine="708" w:left="0" w:right="0"/>
        <w:jc w:val="both"/>
        <w:rPr>
          <w:highlight w:val="none"/>
          <w:shd w:fill="auto" w:val="clear"/>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All analyses were conducted using SPSS version 23. Descriptive statistics were first computed to summarize the data (e.g., mean, standard deviation). Following this, a Pearson correlation analysis was conducted to assess the relationships between the variables. In addition, hierarchical regression analyses were performed to assess how mental toughness and various facets of sport motivation predict sport anxiety, while controlling for demographic factors such as age and race.</w:t>
      </w:r>
    </w:p>
    <w:p>
      <w:pPr>
        <w:pStyle w:val="normal1"/>
        <w:keepNext w:val="false"/>
        <w:keepLines w:val="false"/>
        <w:pageBreakBefore w:val="false"/>
        <w:widowControl/>
        <w:spacing w:lineRule="auto" w:line="360" w:before="0" w:after="0"/>
        <w:ind w:hanging="0" w:left="0" w:right="0"/>
        <w:jc w:val="both"/>
        <w:rPr>
          <w:rFonts w:ascii="Times New Roman" w:hAnsi="Times New Roman" w:eastAsia="Times New Roman" w:cs="Times New Roman"/>
          <w:b/>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caps w:val="false"/>
          <w:smallCaps w:val="false"/>
          <w:strike w:val="false"/>
          <w:dstrike w:val="false"/>
          <w:color w:val="000000"/>
          <w:position w:val="0"/>
          <w:sz w:val="24"/>
          <w:sz w:val="24"/>
          <w:szCs w:val="24"/>
          <w:u w:val="none"/>
          <w:shd w:fill="auto" w:val="clear"/>
          <w:vertAlign w:val="baseline"/>
        </w:rPr>
      </w:r>
    </w:p>
    <w:p>
      <w:pPr>
        <w:pStyle w:val="normal1"/>
        <w:widowControl/>
        <w:spacing w:lineRule="auto" w:line="360" w:before="0" w:after="0"/>
        <w:ind w:hanging="0" w:left="0" w:right="0"/>
        <w:jc w:val="both"/>
        <w:rPr>
          <w:rFonts w:ascii="Times New Roman" w:hAnsi="Times New Roman" w:eastAsia="Times New Roman" w:cs="Times New Roman"/>
          <w:b/>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spacing w:lineRule="auto" w:line="240" w:before="0" w:after="0"/>
        <w:ind w:hanging="0" w:left="0" w:right="0"/>
        <w:jc w:val="center"/>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Results</w:t>
      </w:r>
    </w:p>
    <w:p>
      <w:pPr>
        <w:pStyle w:val="normal1"/>
        <w:keepNext w:val="false"/>
        <w:keepLines w:val="false"/>
        <w:pageBreakBefore w:val="false"/>
        <w:widowControl/>
        <w:spacing w:lineRule="auto" w:line="36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t xml:space="preserve">Correlations among the present set of study variables among highly active adult esport players are presented in </w:t>
      </w: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Table 1</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As the table shows, mental toughness was significantly associated with less concentration disruption. Similarly, facets of sport motivation were also found to be associated with sport worry. For example, intrinsic motivation was significantly associated with greater worry, whereas extrinsic motivation was significantly associated with greater concentration disruption. Amotivation was significantly associated with both greater somatic anxiety and concentration disruption.</w:t>
      </w:r>
    </w:p>
    <w:tbl>
      <w:tblPr>
        <w:tblW w:w="9585" w:type="dxa"/>
        <w:jc w:val="left"/>
        <w:tblInd w:w="55" w:type="dxa"/>
        <w:tblLayout w:type="fixed"/>
        <w:tblCellMar>
          <w:top w:w="55" w:type="dxa"/>
          <w:left w:w="55" w:type="dxa"/>
          <w:bottom w:w="55" w:type="dxa"/>
          <w:right w:w="55" w:type="dxa"/>
        </w:tblCellMar>
      </w:tblPr>
      <w:tblGrid>
        <w:gridCol w:w="2840"/>
        <w:gridCol w:w="1469"/>
        <w:gridCol w:w="726"/>
        <w:gridCol w:w="845"/>
        <w:gridCol w:w="785"/>
        <w:gridCol w:w="726"/>
        <w:gridCol w:w="927"/>
        <w:gridCol w:w="755"/>
        <w:gridCol w:w="511"/>
      </w:tblGrid>
      <w:tr>
        <w:trPr/>
        <w:tc>
          <w:tcPr>
            <w:tcW w:w="9584" w:type="dxa"/>
            <w:gridSpan w:val="9"/>
            <w:tcBorders>
              <w:bottom w:val="single" w:sz="4" w:space="0" w:color="000000"/>
            </w:tcBorders>
          </w:tcPr>
          <w:p>
            <w:pPr>
              <w:pStyle w:val="TableContents"/>
              <w:rPr>
                <w:sz w:val="24"/>
                <w:szCs w:val="24"/>
              </w:rPr>
            </w:pPr>
            <w:r>
              <w:rPr>
                <w:sz w:val="24"/>
                <w:szCs w:val="24"/>
              </w:rPr>
              <w:t>Table 1</w:t>
            </w:r>
          </w:p>
          <w:p>
            <w:pPr>
              <w:pStyle w:val="Normal"/>
              <w:spacing w:lineRule="auto" w:line="276"/>
              <w:rPr>
                <w:sz w:val="24"/>
                <w:szCs w:val="24"/>
              </w:rPr>
            </w:pPr>
            <w:r>
              <w:rPr>
                <w:i/>
                <w:sz w:val="24"/>
                <w:szCs w:val="24"/>
              </w:rPr>
              <w:t>Zero-Order Correlations for All Study Measures in Highly Active Adult Esport Players</w:t>
            </w:r>
          </w:p>
        </w:tc>
      </w:tr>
      <w:tr>
        <w:trPr/>
        <w:tc>
          <w:tcPr>
            <w:tcW w:w="2840" w:type="dxa"/>
            <w:tcBorders>
              <w:bottom w:val="single" w:sz="4" w:space="0" w:color="000000"/>
            </w:tcBorders>
          </w:tcPr>
          <w:p>
            <w:pPr>
              <w:pStyle w:val="TableContents"/>
              <w:rPr>
                <w:sz w:val="24"/>
                <w:szCs w:val="24"/>
              </w:rPr>
            </w:pPr>
            <w:r>
              <w:rPr>
                <w:sz w:val="24"/>
                <w:szCs w:val="24"/>
              </w:rPr>
            </w:r>
          </w:p>
        </w:tc>
        <w:tc>
          <w:tcPr>
            <w:tcW w:w="1469" w:type="dxa"/>
            <w:tcBorders>
              <w:bottom w:val="single" w:sz="4" w:space="0" w:color="000000"/>
            </w:tcBorders>
          </w:tcPr>
          <w:p>
            <w:pPr>
              <w:pStyle w:val="TableContents"/>
              <w:jc w:val="center"/>
              <w:rPr>
                <w:sz w:val="24"/>
                <w:szCs w:val="24"/>
              </w:rPr>
            </w:pPr>
            <w:r>
              <w:rPr>
                <w:sz w:val="24"/>
                <w:szCs w:val="24"/>
              </w:rPr>
              <w:t>M (SD)</w:t>
            </w:r>
          </w:p>
        </w:tc>
        <w:tc>
          <w:tcPr>
            <w:tcW w:w="726" w:type="dxa"/>
            <w:tcBorders>
              <w:bottom w:val="single" w:sz="4" w:space="0" w:color="000000"/>
            </w:tcBorders>
          </w:tcPr>
          <w:p>
            <w:pPr>
              <w:pStyle w:val="TableContents"/>
              <w:jc w:val="center"/>
              <w:rPr>
                <w:sz w:val="24"/>
                <w:szCs w:val="24"/>
              </w:rPr>
            </w:pPr>
            <w:r>
              <w:rPr>
                <w:sz w:val="24"/>
                <w:szCs w:val="24"/>
              </w:rPr>
              <w:t>1</w:t>
            </w:r>
          </w:p>
        </w:tc>
        <w:tc>
          <w:tcPr>
            <w:tcW w:w="845" w:type="dxa"/>
            <w:tcBorders>
              <w:bottom w:val="single" w:sz="4" w:space="0" w:color="000000"/>
            </w:tcBorders>
          </w:tcPr>
          <w:p>
            <w:pPr>
              <w:pStyle w:val="TableContents"/>
              <w:jc w:val="center"/>
              <w:rPr>
                <w:sz w:val="24"/>
                <w:szCs w:val="24"/>
              </w:rPr>
            </w:pPr>
            <w:r>
              <w:rPr>
                <w:sz w:val="24"/>
                <w:szCs w:val="24"/>
              </w:rPr>
              <w:t>2</w:t>
            </w:r>
          </w:p>
        </w:tc>
        <w:tc>
          <w:tcPr>
            <w:tcW w:w="785" w:type="dxa"/>
            <w:tcBorders>
              <w:bottom w:val="single" w:sz="4" w:space="0" w:color="000000"/>
            </w:tcBorders>
          </w:tcPr>
          <w:p>
            <w:pPr>
              <w:pStyle w:val="TableContents"/>
              <w:jc w:val="center"/>
              <w:rPr>
                <w:sz w:val="24"/>
                <w:szCs w:val="24"/>
              </w:rPr>
            </w:pPr>
            <w:r>
              <w:rPr>
                <w:sz w:val="24"/>
                <w:szCs w:val="24"/>
              </w:rPr>
              <w:t>3</w:t>
            </w:r>
          </w:p>
        </w:tc>
        <w:tc>
          <w:tcPr>
            <w:tcW w:w="726" w:type="dxa"/>
            <w:tcBorders>
              <w:bottom w:val="single" w:sz="4" w:space="0" w:color="000000"/>
            </w:tcBorders>
          </w:tcPr>
          <w:p>
            <w:pPr>
              <w:pStyle w:val="TableContents"/>
              <w:jc w:val="center"/>
              <w:rPr>
                <w:sz w:val="24"/>
                <w:szCs w:val="24"/>
              </w:rPr>
            </w:pPr>
            <w:r>
              <w:rPr>
                <w:sz w:val="24"/>
                <w:szCs w:val="24"/>
              </w:rPr>
              <w:t>4</w:t>
            </w:r>
          </w:p>
        </w:tc>
        <w:tc>
          <w:tcPr>
            <w:tcW w:w="927" w:type="dxa"/>
            <w:tcBorders>
              <w:bottom w:val="single" w:sz="4" w:space="0" w:color="000000"/>
            </w:tcBorders>
          </w:tcPr>
          <w:p>
            <w:pPr>
              <w:pStyle w:val="TableContents"/>
              <w:jc w:val="center"/>
              <w:rPr>
                <w:sz w:val="24"/>
                <w:szCs w:val="24"/>
              </w:rPr>
            </w:pPr>
            <w:r>
              <w:rPr>
                <w:sz w:val="24"/>
                <w:szCs w:val="24"/>
              </w:rPr>
              <w:t>5</w:t>
            </w:r>
          </w:p>
        </w:tc>
        <w:tc>
          <w:tcPr>
            <w:tcW w:w="755" w:type="dxa"/>
            <w:tcBorders>
              <w:bottom w:val="single" w:sz="4" w:space="0" w:color="000000"/>
            </w:tcBorders>
          </w:tcPr>
          <w:p>
            <w:pPr>
              <w:pStyle w:val="TableContents"/>
              <w:jc w:val="center"/>
              <w:rPr>
                <w:sz w:val="24"/>
                <w:szCs w:val="24"/>
              </w:rPr>
            </w:pPr>
            <w:r>
              <w:rPr>
                <w:sz w:val="24"/>
                <w:szCs w:val="24"/>
              </w:rPr>
              <w:t>6</w:t>
            </w:r>
          </w:p>
        </w:tc>
        <w:tc>
          <w:tcPr>
            <w:tcW w:w="511" w:type="dxa"/>
            <w:tcBorders>
              <w:bottom w:val="single" w:sz="4" w:space="0" w:color="000000"/>
            </w:tcBorders>
          </w:tcPr>
          <w:p>
            <w:pPr>
              <w:pStyle w:val="TableContents"/>
              <w:jc w:val="center"/>
              <w:rPr>
                <w:sz w:val="24"/>
                <w:szCs w:val="24"/>
              </w:rPr>
            </w:pPr>
            <w:r>
              <w:rPr>
                <w:sz w:val="24"/>
                <w:szCs w:val="24"/>
              </w:rPr>
              <w:t>7</w:t>
            </w:r>
          </w:p>
        </w:tc>
      </w:tr>
      <w:tr>
        <w:trPr/>
        <w:tc>
          <w:tcPr>
            <w:tcW w:w="2840" w:type="dxa"/>
            <w:tcBorders/>
            <w:tcMar>
              <w:top w:w="0" w:type="dxa"/>
              <w:left w:w="0" w:type="dxa"/>
              <w:bottom w:w="0" w:type="dxa"/>
              <w:right w:w="0" w:type="dxa"/>
            </w:tcMar>
          </w:tcPr>
          <w:p>
            <w:pPr>
              <w:pStyle w:val="TableContents"/>
              <w:rPr>
                <w:sz w:val="24"/>
                <w:szCs w:val="24"/>
              </w:rPr>
            </w:pPr>
            <w:r>
              <w:rPr>
                <w:sz w:val="24"/>
                <w:szCs w:val="24"/>
              </w:rPr>
              <w:t>1. Mental Toughness</w:t>
            </w:r>
          </w:p>
        </w:tc>
        <w:tc>
          <w:tcPr>
            <w:tcW w:w="1469" w:type="dxa"/>
            <w:tcBorders/>
            <w:tcMar>
              <w:top w:w="0" w:type="dxa"/>
              <w:left w:w="0" w:type="dxa"/>
              <w:bottom w:w="0" w:type="dxa"/>
              <w:right w:w="0" w:type="dxa"/>
            </w:tcMar>
          </w:tcPr>
          <w:p>
            <w:pPr>
              <w:pStyle w:val="TableContents"/>
              <w:jc w:val="center"/>
              <w:rPr>
                <w:sz w:val="24"/>
                <w:szCs w:val="24"/>
              </w:rPr>
            </w:pPr>
            <w:r>
              <w:rPr>
                <w:sz w:val="24"/>
                <w:szCs w:val="24"/>
              </w:rPr>
              <w:t>41.05 (6.01)</w:t>
            </w:r>
          </w:p>
        </w:tc>
        <w:tc>
          <w:tcPr>
            <w:tcW w:w="726" w:type="dxa"/>
            <w:tcBorders/>
            <w:tcMar>
              <w:top w:w="0" w:type="dxa"/>
              <w:left w:w="0" w:type="dxa"/>
              <w:bottom w:w="0" w:type="dxa"/>
              <w:right w:w="0" w:type="dxa"/>
            </w:tcMar>
          </w:tcPr>
          <w:p>
            <w:pPr>
              <w:pStyle w:val="TableContents"/>
              <w:jc w:val="center"/>
              <w:rPr>
                <w:sz w:val="24"/>
                <w:szCs w:val="24"/>
              </w:rPr>
            </w:pPr>
            <w:r>
              <w:rPr>
                <w:sz w:val="24"/>
                <w:szCs w:val="24"/>
              </w:rPr>
              <w:t>-</w:t>
            </w:r>
          </w:p>
        </w:tc>
        <w:tc>
          <w:tcPr>
            <w:tcW w:w="845" w:type="dxa"/>
            <w:tcBorders/>
            <w:tcMar>
              <w:top w:w="0" w:type="dxa"/>
              <w:left w:w="0" w:type="dxa"/>
              <w:bottom w:w="0" w:type="dxa"/>
              <w:right w:w="0" w:type="dxa"/>
            </w:tcMar>
          </w:tcPr>
          <w:p>
            <w:pPr>
              <w:pStyle w:val="TableContents"/>
              <w:jc w:val="center"/>
              <w:rPr>
                <w:sz w:val="24"/>
                <w:szCs w:val="24"/>
              </w:rPr>
            </w:pPr>
            <w:r>
              <w:rPr>
                <w:sz w:val="24"/>
                <w:szCs w:val="24"/>
              </w:rPr>
            </w:r>
          </w:p>
        </w:tc>
        <w:tc>
          <w:tcPr>
            <w:tcW w:w="785" w:type="dxa"/>
            <w:tcBorders/>
            <w:tcMar>
              <w:top w:w="0" w:type="dxa"/>
              <w:left w:w="0" w:type="dxa"/>
              <w:bottom w:w="0" w:type="dxa"/>
              <w:right w:w="0" w:type="dxa"/>
            </w:tcMar>
          </w:tcPr>
          <w:p>
            <w:pPr>
              <w:pStyle w:val="TableContents"/>
              <w:jc w:val="center"/>
              <w:rPr>
                <w:sz w:val="24"/>
                <w:szCs w:val="24"/>
              </w:rPr>
            </w:pPr>
            <w:r>
              <w:rPr>
                <w:sz w:val="24"/>
                <w:szCs w:val="24"/>
              </w:rPr>
            </w:r>
          </w:p>
        </w:tc>
        <w:tc>
          <w:tcPr>
            <w:tcW w:w="726" w:type="dxa"/>
            <w:tcBorders/>
            <w:tcMar>
              <w:top w:w="0" w:type="dxa"/>
              <w:left w:w="0" w:type="dxa"/>
              <w:bottom w:w="0" w:type="dxa"/>
              <w:right w:w="0" w:type="dxa"/>
            </w:tcMar>
          </w:tcPr>
          <w:p>
            <w:pPr>
              <w:pStyle w:val="TableContents"/>
              <w:jc w:val="center"/>
              <w:rPr>
                <w:sz w:val="24"/>
                <w:szCs w:val="24"/>
              </w:rPr>
            </w:pPr>
            <w:r>
              <w:rPr>
                <w:sz w:val="24"/>
                <w:szCs w:val="24"/>
              </w:rPr>
            </w:r>
          </w:p>
        </w:tc>
        <w:tc>
          <w:tcPr>
            <w:tcW w:w="927" w:type="dxa"/>
            <w:tcBorders/>
            <w:tcMar>
              <w:top w:w="0" w:type="dxa"/>
              <w:left w:w="0" w:type="dxa"/>
              <w:bottom w:w="0" w:type="dxa"/>
              <w:right w:w="0" w:type="dxa"/>
            </w:tcMar>
          </w:tcPr>
          <w:p>
            <w:pPr>
              <w:pStyle w:val="TableContents"/>
              <w:jc w:val="center"/>
              <w:rPr>
                <w:sz w:val="24"/>
                <w:szCs w:val="24"/>
              </w:rPr>
            </w:pPr>
            <w:r>
              <w:rPr>
                <w:sz w:val="24"/>
                <w:szCs w:val="24"/>
              </w:rPr>
            </w:r>
          </w:p>
        </w:tc>
        <w:tc>
          <w:tcPr>
            <w:tcW w:w="755" w:type="dxa"/>
            <w:tcBorders/>
            <w:tcMar>
              <w:top w:w="0" w:type="dxa"/>
              <w:left w:w="0" w:type="dxa"/>
              <w:bottom w:w="0" w:type="dxa"/>
              <w:right w:w="0" w:type="dxa"/>
            </w:tcMar>
          </w:tcPr>
          <w:p>
            <w:pPr>
              <w:pStyle w:val="TableContents"/>
              <w:jc w:val="center"/>
              <w:rPr>
                <w:sz w:val="24"/>
                <w:szCs w:val="24"/>
              </w:rPr>
            </w:pPr>
            <w:r>
              <w:rPr>
                <w:sz w:val="24"/>
                <w:szCs w:val="24"/>
              </w:rPr>
            </w:r>
          </w:p>
        </w:tc>
        <w:tc>
          <w:tcPr>
            <w:tcW w:w="511" w:type="dxa"/>
            <w:tcBorders/>
            <w:tcMar>
              <w:top w:w="0" w:type="dxa"/>
              <w:left w:w="0" w:type="dxa"/>
              <w:bottom w:w="0" w:type="dxa"/>
              <w:right w:w="0" w:type="dxa"/>
            </w:tcMar>
          </w:tcPr>
          <w:p>
            <w:pPr>
              <w:pStyle w:val="TableContents"/>
              <w:jc w:val="center"/>
              <w:rPr>
                <w:sz w:val="24"/>
                <w:szCs w:val="24"/>
              </w:rPr>
            </w:pPr>
            <w:r>
              <w:rPr>
                <w:sz w:val="24"/>
                <w:szCs w:val="24"/>
              </w:rPr>
            </w:r>
          </w:p>
        </w:tc>
      </w:tr>
      <w:tr>
        <w:trPr/>
        <w:tc>
          <w:tcPr>
            <w:tcW w:w="2840" w:type="dxa"/>
            <w:tcBorders/>
            <w:tcMar>
              <w:top w:w="0" w:type="dxa"/>
              <w:left w:w="0" w:type="dxa"/>
              <w:bottom w:w="0" w:type="dxa"/>
              <w:right w:w="0" w:type="dxa"/>
            </w:tcMar>
          </w:tcPr>
          <w:p>
            <w:pPr>
              <w:pStyle w:val="TableContents"/>
              <w:rPr>
                <w:sz w:val="24"/>
                <w:szCs w:val="24"/>
              </w:rPr>
            </w:pPr>
            <w:r>
              <w:rPr>
                <w:sz w:val="24"/>
                <w:szCs w:val="24"/>
              </w:rPr>
              <w:t>2. Intrinsic Motivation</w:t>
            </w:r>
          </w:p>
        </w:tc>
        <w:tc>
          <w:tcPr>
            <w:tcW w:w="1469" w:type="dxa"/>
            <w:tcBorders/>
            <w:tcMar>
              <w:top w:w="0" w:type="dxa"/>
              <w:left w:w="0" w:type="dxa"/>
              <w:bottom w:w="0" w:type="dxa"/>
              <w:right w:w="0" w:type="dxa"/>
            </w:tcMar>
          </w:tcPr>
          <w:p>
            <w:pPr>
              <w:pStyle w:val="TableContents"/>
              <w:jc w:val="center"/>
              <w:rPr>
                <w:sz w:val="24"/>
                <w:szCs w:val="24"/>
              </w:rPr>
            </w:pPr>
            <w:r>
              <w:rPr>
                <w:sz w:val="24"/>
                <w:szCs w:val="24"/>
              </w:rPr>
              <w:t>57.78 (13.48)</w:t>
            </w:r>
          </w:p>
        </w:tc>
        <w:tc>
          <w:tcPr>
            <w:tcW w:w="726" w:type="dxa"/>
            <w:tcBorders/>
            <w:tcMar>
              <w:top w:w="0" w:type="dxa"/>
              <w:left w:w="0" w:type="dxa"/>
              <w:bottom w:w="0" w:type="dxa"/>
              <w:right w:w="0" w:type="dxa"/>
            </w:tcMar>
          </w:tcPr>
          <w:p>
            <w:pPr>
              <w:pStyle w:val="TableContents"/>
              <w:jc w:val="center"/>
              <w:rPr>
                <w:sz w:val="24"/>
                <w:szCs w:val="24"/>
              </w:rPr>
            </w:pPr>
            <w:r>
              <w:rPr>
                <w:sz w:val="24"/>
                <w:szCs w:val="24"/>
              </w:rPr>
              <w:t>.50***</w:t>
            </w:r>
          </w:p>
        </w:tc>
        <w:tc>
          <w:tcPr>
            <w:tcW w:w="845" w:type="dxa"/>
            <w:tcBorders/>
            <w:tcMar>
              <w:top w:w="0" w:type="dxa"/>
              <w:left w:w="0" w:type="dxa"/>
              <w:bottom w:w="0" w:type="dxa"/>
              <w:right w:w="0" w:type="dxa"/>
            </w:tcMar>
          </w:tcPr>
          <w:p>
            <w:pPr>
              <w:pStyle w:val="TableContents"/>
              <w:jc w:val="center"/>
              <w:rPr>
                <w:sz w:val="24"/>
                <w:szCs w:val="24"/>
              </w:rPr>
            </w:pPr>
            <w:r>
              <w:rPr>
                <w:sz w:val="24"/>
                <w:szCs w:val="24"/>
              </w:rPr>
              <w:t>-</w:t>
            </w:r>
          </w:p>
        </w:tc>
        <w:tc>
          <w:tcPr>
            <w:tcW w:w="785" w:type="dxa"/>
            <w:tcBorders/>
            <w:tcMar>
              <w:top w:w="0" w:type="dxa"/>
              <w:left w:w="0" w:type="dxa"/>
              <w:bottom w:w="0" w:type="dxa"/>
              <w:right w:w="0" w:type="dxa"/>
            </w:tcMar>
          </w:tcPr>
          <w:p>
            <w:pPr>
              <w:pStyle w:val="TableContents"/>
              <w:jc w:val="center"/>
              <w:rPr>
                <w:sz w:val="24"/>
                <w:szCs w:val="24"/>
              </w:rPr>
            </w:pPr>
            <w:r>
              <w:rPr>
                <w:sz w:val="24"/>
                <w:szCs w:val="24"/>
              </w:rPr>
            </w:r>
          </w:p>
        </w:tc>
        <w:tc>
          <w:tcPr>
            <w:tcW w:w="726" w:type="dxa"/>
            <w:tcBorders/>
            <w:tcMar>
              <w:top w:w="0" w:type="dxa"/>
              <w:left w:w="0" w:type="dxa"/>
              <w:bottom w:w="0" w:type="dxa"/>
              <w:right w:w="0" w:type="dxa"/>
            </w:tcMar>
          </w:tcPr>
          <w:p>
            <w:pPr>
              <w:pStyle w:val="TableContents"/>
              <w:jc w:val="center"/>
              <w:rPr>
                <w:sz w:val="24"/>
                <w:szCs w:val="24"/>
              </w:rPr>
            </w:pPr>
            <w:r>
              <w:rPr>
                <w:sz w:val="24"/>
                <w:szCs w:val="24"/>
              </w:rPr>
            </w:r>
          </w:p>
        </w:tc>
        <w:tc>
          <w:tcPr>
            <w:tcW w:w="927" w:type="dxa"/>
            <w:tcBorders/>
            <w:tcMar>
              <w:top w:w="0" w:type="dxa"/>
              <w:left w:w="0" w:type="dxa"/>
              <w:bottom w:w="0" w:type="dxa"/>
              <w:right w:w="0" w:type="dxa"/>
            </w:tcMar>
          </w:tcPr>
          <w:p>
            <w:pPr>
              <w:pStyle w:val="TableContents"/>
              <w:jc w:val="center"/>
              <w:rPr>
                <w:sz w:val="24"/>
                <w:szCs w:val="24"/>
              </w:rPr>
            </w:pPr>
            <w:r>
              <w:rPr>
                <w:sz w:val="24"/>
                <w:szCs w:val="24"/>
              </w:rPr>
            </w:r>
          </w:p>
        </w:tc>
        <w:tc>
          <w:tcPr>
            <w:tcW w:w="755" w:type="dxa"/>
            <w:tcBorders/>
            <w:tcMar>
              <w:top w:w="0" w:type="dxa"/>
              <w:left w:w="0" w:type="dxa"/>
              <w:bottom w:w="0" w:type="dxa"/>
              <w:right w:w="0" w:type="dxa"/>
            </w:tcMar>
          </w:tcPr>
          <w:p>
            <w:pPr>
              <w:pStyle w:val="TableContents"/>
              <w:jc w:val="center"/>
              <w:rPr>
                <w:sz w:val="24"/>
                <w:szCs w:val="24"/>
              </w:rPr>
            </w:pPr>
            <w:r>
              <w:rPr>
                <w:sz w:val="24"/>
                <w:szCs w:val="24"/>
              </w:rPr>
            </w:r>
          </w:p>
        </w:tc>
        <w:tc>
          <w:tcPr>
            <w:tcW w:w="511" w:type="dxa"/>
            <w:tcBorders/>
            <w:tcMar>
              <w:top w:w="0" w:type="dxa"/>
              <w:left w:w="0" w:type="dxa"/>
              <w:bottom w:w="0" w:type="dxa"/>
              <w:right w:w="0" w:type="dxa"/>
            </w:tcMar>
          </w:tcPr>
          <w:p>
            <w:pPr>
              <w:pStyle w:val="TableContents"/>
              <w:jc w:val="center"/>
              <w:rPr>
                <w:sz w:val="24"/>
                <w:szCs w:val="24"/>
              </w:rPr>
            </w:pPr>
            <w:r>
              <w:rPr>
                <w:sz w:val="24"/>
                <w:szCs w:val="24"/>
              </w:rPr>
            </w:r>
          </w:p>
        </w:tc>
      </w:tr>
      <w:tr>
        <w:trPr/>
        <w:tc>
          <w:tcPr>
            <w:tcW w:w="2840" w:type="dxa"/>
            <w:tcBorders/>
            <w:tcMar>
              <w:top w:w="0" w:type="dxa"/>
              <w:left w:w="0" w:type="dxa"/>
              <w:bottom w:w="0" w:type="dxa"/>
              <w:right w:w="0" w:type="dxa"/>
            </w:tcMar>
          </w:tcPr>
          <w:p>
            <w:pPr>
              <w:pStyle w:val="TableContents"/>
              <w:rPr>
                <w:sz w:val="24"/>
                <w:szCs w:val="24"/>
              </w:rPr>
            </w:pPr>
            <w:r>
              <w:rPr>
                <w:sz w:val="24"/>
                <w:szCs w:val="24"/>
              </w:rPr>
              <w:t>3. Extrinsic Motivation</w:t>
            </w:r>
          </w:p>
        </w:tc>
        <w:tc>
          <w:tcPr>
            <w:tcW w:w="1469" w:type="dxa"/>
            <w:tcBorders/>
            <w:tcMar>
              <w:top w:w="0" w:type="dxa"/>
              <w:left w:w="0" w:type="dxa"/>
              <w:bottom w:w="0" w:type="dxa"/>
              <w:right w:w="0" w:type="dxa"/>
            </w:tcMar>
          </w:tcPr>
          <w:p>
            <w:pPr>
              <w:pStyle w:val="TableContents"/>
              <w:jc w:val="center"/>
              <w:rPr>
                <w:sz w:val="24"/>
                <w:szCs w:val="24"/>
              </w:rPr>
            </w:pPr>
            <w:r>
              <w:rPr>
                <w:sz w:val="24"/>
                <w:szCs w:val="24"/>
              </w:rPr>
              <w:t>39.43 (14.28)</w:t>
            </w:r>
          </w:p>
        </w:tc>
        <w:tc>
          <w:tcPr>
            <w:tcW w:w="726" w:type="dxa"/>
            <w:tcBorders/>
            <w:tcMar>
              <w:top w:w="0" w:type="dxa"/>
              <w:left w:w="0" w:type="dxa"/>
              <w:bottom w:w="0" w:type="dxa"/>
              <w:right w:w="0" w:type="dxa"/>
            </w:tcMar>
          </w:tcPr>
          <w:p>
            <w:pPr>
              <w:pStyle w:val="TableContents"/>
              <w:jc w:val="center"/>
              <w:rPr>
                <w:sz w:val="24"/>
                <w:szCs w:val="24"/>
              </w:rPr>
            </w:pPr>
            <w:r>
              <w:rPr>
                <w:sz w:val="24"/>
                <w:szCs w:val="24"/>
              </w:rPr>
              <w:t>.26**</w:t>
            </w:r>
          </w:p>
        </w:tc>
        <w:tc>
          <w:tcPr>
            <w:tcW w:w="845" w:type="dxa"/>
            <w:tcBorders/>
            <w:tcMar>
              <w:top w:w="0" w:type="dxa"/>
              <w:left w:w="0" w:type="dxa"/>
              <w:bottom w:w="0" w:type="dxa"/>
              <w:right w:w="0" w:type="dxa"/>
            </w:tcMar>
          </w:tcPr>
          <w:p>
            <w:pPr>
              <w:pStyle w:val="TableContents"/>
              <w:jc w:val="center"/>
              <w:rPr>
                <w:sz w:val="24"/>
                <w:szCs w:val="24"/>
              </w:rPr>
            </w:pPr>
            <w:r>
              <w:rPr>
                <w:sz w:val="24"/>
                <w:szCs w:val="24"/>
              </w:rPr>
              <w:t>.41***</w:t>
            </w:r>
          </w:p>
        </w:tc>
        <w:tc>
          <w:tcPr>
            <w:tcW w:w="785" w:type="dxa"/>
            <w:tcBorders/>
            <w:tcMar>
              <w:top w:w="0" w:type="dxa"/>
              <w:left w:w="0" w:type="dxa"/>
              <w:bottom w:w="0" w:type="dxa"/>
              <w:right w:w="0" w:type="dxa"/>
            </w:tcMar>
          </w:tcPr>
          <w:p>
            <w:pPr>
              <w:pStyle w:val="TableContents"/>
              <w:jc w:val="center"/>
              <w:rPr>
                <w:sz w:val="24"/>
                <w:szCs w:val="24"/>
              </w:rPr>
            </w:pPr>
            <w:r>
              <w:rPr>
                <w:sz w:val="24"/>
                <w:szCs w:val="24"/>
              </w:rPr>
              <w:t>-</w:t>
            </w:r>
          </w:p>
        </w:tc>
        <w:tc>
          <w:tcPr>
            <w:tcW w:w="726" w:type="dxa"/>
            <w:tcBorders/>
            <w:tcMar>
              <w:top w:w="0" w:type="dxa"/>
              <w:left w:w="0" w:type="dxa"/>
              <w:bottom w:w="0" w:type="dxa"/>
              <w:right w:w="0" w:type="dxa"/>
            </w:tcMar>
          </w:tcPr>
          <w:p>
            <w:pPr>
              <w:pStyle w:val="TableContents"/>
              <w:jc w:val="center"/>
              <w:rPr>
                <w:sz w:val="24"/>
                <w:szCs w:val="24"/>
              </w:rPr>
            </w:pPr>
            <w:r>
              <w:rPr>
                <w:sz w:val="24"/>
                <w:szCs w:val="24"/>
              </w:rPr>
            </w:r>
          </w:p>
        </w:tc>
        <w:tc>
          <w:tcPr>
            <w:tcW w:w="927" w:type="dxa"/>
            <w:tcBorders/>
            <w:tcMar>
              <w:top w:w="0" w:type="dxa"/>
              <w:left w:w="0" w:type="dxa"/>
              <w:bottom w:w="0" w:type="dxa"/>
              <w:right w:w="0" w:type="dxa"/>
            </w:tcMar>
          </w:tcPr>
          <w:p>
            <w:pPr>
              <w:pStyle w:val="TableContents"/>
              <w:jc w:val="center"/>
              <w:rPr>
                <w:sz w:val="24"/>
                <w:szCs w:val="24"/>
              </w:rPr>
            </w:pPr>
            <w:r>
              <w:rPr>
                <w:sz w:val="24"/>
                <w:szCs w:val="24"/>
              </w:rPr>
            </w:r>
          </w:p>
        </w:tc>
        <w:tc>
          <w:tcPr>
            <w:tcW w:w="755" w:type="dxa"/>
            <w:tcBorders/>
            <w:tcMar>
              <w:top w:w="0" w:type="dxa"/>
              <w:left w:w="0" w:type="dxa"/>
              <w:bottom w:w="0" w:type="dxa"/>
              <w:right w:w="0" w:type="dxa"/>
            </w:tcMar>
          </w:tcPr>
          <w:p>
            <w:pPr>
              <w:pStyle w:val="TableContents"/>
              <w:jc w:val="center"/>
              <w:rPr>
                <w:sz w:val="24"/>
                <w:szCs w:val="24"/>
              </w:rPr>
            </w:pPr>
            <w:r>
              <w:rPr>
                <w:sz w:val="24"/>
                <w:szCs w:val="24"/>
              </w:rPr>
            </w:r>
          </w:p>
        </w:tc>
        <w:tc>
          <w:tcPr>
            <w:tcW w:w="511" w:type="dxa"/>
            <w:tcBorders/>
            <w:tcMar>
              <w:top w:w="0" w:type="dxa"/>
              <w:left w:w="0" w:type="dxa"/>
              <w:bottom w:w="0" w:type="dxa"/>
              <w:right w:w="0" w:type="dxa"/>
            </w:tcMar>
          </w:tcPr>
          <w:p>
            <w:pPr>
              <w:pStyle w:val="TableContents"/>
              <w:jc w:val="center"/>
              <w:rPr>
                <w:sz w:val="24"/>
                <w:szCs w:val="24"/>
              </w:rPr>
            </w:pPr>
            <w:r>
              <w:rPr>
                <w:sz w:val="24"/>
                <w:szCs w:val="24"/>
              </w:rPr>
            </w:r>
          </w:p>
        </w:tc>
      </w:tr>
      <w:tr>
        <w:trPr/>
        <w:tc>
          <w:tcPr>
            <w:tcW w:w="2840" w:type="dxa"/>
            <w:tcBorders/>
            <w:tcMar>
              <w:top w:w="0" w:type="dxa"/>
              <w:left w:w="0" w:type="dxa"/>
              <w:bottom w:w="0" w:type="dxa"/>
              <w:right w:w="0" w:type="dxa"/>
            </w:tcMar>
          </w:tcPr>
          <w:p>
            <w:pPr>
              <w:pStyle w:val="TableContents"/>
              <w:rPr>
                <w:sz w:val="24"/>
                <w:szCs w:val="24"/>
              </w:rPr>
            </w:pPr>
            <w:r>
              <w:rPr>
                <w:sz w:val="24"/>
                <w:szCs w:val="24"/>
              </w:rPr>
              <w:t>4. Amotivation</w:t>
            </w:r>
          </w:p>
        </w:tc>
        <w:tc>
          <w:tcPr>
            <w:tcW w:w="1469" w:type="dxa"/>
            <w:tcBorders/>
            <w:tcMar>
              <w:top w:w="0" w:type="dxa"/>
              <w:left w:w="0" w:type="dxa"/>
              <w:bottom w:w="0" w:type="dxa"/>
              <w:right w:w="0" w:type="dxa"/>
            </w:tcMar>
          </w:tcPr>
          <w:p>
            <w:pPr>
              <w:pStyle w:val="TableContents"/>
              <w:jc w:val="center"/>
              <w:rPr>
                <w:sz w:val="24"/>
                <w:szCs w:val="24"/>
              </w:rPr>
            </w:pPr>
            <w:r>
              <w:rPr>
                <w:sz w:val="24"/>
                <w:szCs w:val="24"/>
              </w:rPr>
              <w:t>9.07 (3.72)</w:t>
            </w:r>
          </w:p>
        </w:tc>
        <w:tc>
          <w:tcPr>
            <w:tcW w:w="726" w:type="dxa"/>
            <w:tcBorders/>
            <w:tcMar>
              <w:top w:w="0" w:type="dxa"/>
              <w:left w:w="0" w:type="dxa"/>
              <w:bottom w:w="0" w:type="dxa"/>
              <w:right w:w="0" w:type="dxa"/>
            </w:tcMar>
          </w:tcPr>
          <w:p>
            <w:pPr>
              <w:pStyle w:val="TableContents"/>
              <w:jc w:val="center"/>
              <w:rPr>
                <w:sz w:val="24"/>
                <w:szCs w:val="24"/>
              </w:rPr>
            </w:pPr>
            <w:r>
              <w:rPr>
                <w:sz w:val="24"/>
                <w:szCs w:val="24"/>
              </w:rPr>
              <w:t>-.28**</w:t>
            </w:r>
          </w:p>
        </w:tc>
        <w:tc>
          <w:tcPr>
            <w:tcW w:w="845" w:type="dxa"/>
            <w:tcBorders/>
            <w:tcMar>
              <w:top w:w="0" w:type="dxa"/>
              <w:left w:w="0" w:type="dxa"/>
              <w:bottom w:w="0" w:type="dxa"/>
              <w:right w:w="0" w:type="dxa"/>
            </w:tcMar>
          </w:tcPr>
          <w:p>
            <w:pPr>
              <w:pStyle w:val="TableContents"/>
              <w:jc w:val="center"/>
              <w:rPr>
                <w:sz w:val="24"/>
                <w:szCs w:val="24"/>
              </w:rPr>
            </w:pPr>
            <w:r>
              <w:rPr>
                <w:sz w:val="24"/>
                <w:szCs w:val="24"/>
              </w:rPr>
              <w:t>-.04</w:t>
            </w:r>
          </w:p>
        </w:tc>
        <w:tc>
          <w:tcPr>
            <w:tcW w:w="785" w:type="dxa"/>
            <w:tcBorders/>
            <w:tcMar>
              <w:top w:w="0" w:type="dxa"/>
              <w:left w:w="0" w:type="dxa"/>
              <w:bottom w:w="0" w:type="dxa"/>
              <w:right w:w="0" w:type="dxa"/>
            </w:tcMar>
          </w:tcPr>
          <w:p>
            <w:pPr>
              <w:pStyle w:val="TableContents"/>
              <w:jc w:val="center"/>
              <w:rPr>
                <w:sz w:val="24"/>
                <w:szCs w:val="24"/>
              </w:rPr>
            </w:pPr>
            <w:r>
              <w:rPr>
                <w:sz w:val="24"/>
                <w:szCs w:val="24"/>
              </w:rPr>
              <w:t>.30**</w:t>
            </w:r>
          </w:p>
        </w:tc>
        <w:tc>
          <w:tcPr>
            <w:tcW w:w="726" w:type="dxa"/>
            <w:tcBorders/>
            <w:tcMar>
              <w:top w:w="0" w:type="dxa"/>
              <w:left w:w="0" w:type="dxa"/>
              <w:bottom w:w="0" w:type="dxa"/>
              <w:right w:w="0" w:type="dxa"/>
            </w:tcMar>
          </w:tcPr>
          <w:p>
            <w:pPr>
              <w:pStyle w:val="TableContents"/>
              <w:jc w:val="center"/>
              <w:rPr>
                <w:sz w:val="24"/>
                <w:szCs w:val="24"/>
              </w:rPr>
            </w:pPr>
            <w:r>
              <w:rPr>
                <w:sz w:val="24"/>
                <w:szCs w:val="24"/>
              </w:rPr>
              <w:t>-</w:t>
            </w:r>
          </w:p>
        </w:tc>
        <w:tc>
          <w:tcPr>
            <w:tcW w:w="927" w:type="dxa"/>
            <w:tcBorders/>
            <w:tcMar>
              <w:top w:w="0" w:type="dxa"/>
              <w:left w:w="0" w:type="dxa"/>
              <w:bottom w:w="0" w:type="dxa"/>
              <w:right w:w="0" w:type="dxa"/>
            </w:tcMar>
          </w:tcPr>
          <w:p>
            <w:pPr>
              <w:pStyle w:val="TableContents"/>
              <w:jc w:val="center"/>
              <w:rPr>
                <w:sz w:val="24"/>
                <w:szCs w:val="24"/>
              </w:rPr>
            </w:pPr>
            <w:r>
              <w:rPr>
                <w:sz w:val="24"/>
                <w:szCs w:val="24"/>
              </w:rPr>
            </w:r>
          </w:p>
        </w:tc>
        <w:tc>
          <w:tcPr>
            <w:tcW w:w="755" w:type="dxa"/>
            <w:tcBorders/>
            <w:tcMar>
              <w:top w:w="0" w:type="dxa"/>
              <w:left w:w="0" w:type="dxa"/>
              <w:bottom w:w="0" w:type="dxa"/>
              <w:right w:w="0" w:type="dxa"/>
            </w:tcMar>
          </w:tcPr>
          <w:p>
            <w:pPr>
              <w:pStyle w:val="TableContents"/>
              <w:jc w:val="center"/>
              <w:rPr>
                <w:sz w:val="24"/>
                <w:szCs w:val="24"/>
              </w:rPr>
            </w:pPr>
            <w:r>
              <w:rPr>
                <w:sz w:val="24"/>
                <w:szCs w:val="24"/>
              </w:rPr>
            </w:r>
          </w:p>
        </w:tc>
        <w:tc>
          <w:tcPr>
            <w:tcW w:w="511" w:type="dxa"/>
            <w:tcBorders/>
            <w:tcMar>
              <w:top w:w="0" w:type="dxa"/>
              <w:left w:w="0" w:type="dxa"/>
              <w:bottom w:w="0" w:type="dxa"/>
              <w:right w:w="0" w:type="dxa"/>
            </w:tcMar>
          </w:tcPr>
          <w:p>
            <w:pPr>
              <w:pStyle w:val="TableContents"/>
              <w:jc w:val="center"/>
              <w:rPr>
                <w:sz w:val="24"/>
                <w:szCs w:val="24"/>
              </w:rPr>
            </w:pPr>
            <w:r>
              <w:rPr>
                <w:sz w:val="24"/>
                <w:szCs w:val="24"/>
              </w:rPr>
            </w:r>
          </w:p>
        </w:tc>
      </w:tr>
      <w:tr>
        <w:trPr/>
        <w:tc>
          <w:tcPr>
            <w:tcW w:w="2840" w:type="dxa"/>
            <w:tcBorders/>
            <w:tcMar>
              <w:top w:w="0" w:type="dxa"/>
              <w:left w:w="0" w:type="dxa"/>
              <w:bottom w:w="0" w:type="dxa"/>
              <w:right w:w="0" w:type="dxa"/>
            </w:tcMar>
          </w:tcPr>
          <w:p>
            <w:pPr>
              <w:pStyle w:val="TableContents"/>
              <w:rPr>
                <w:sz w:val="24"/>
                <w:szCs w:val="24"/>
              </w:rPr>
            </w:pPr>
            <w:r>
              <w:rPr>
                <w:sz w:val="24"/>
                <w:szCs w:val="24"/>
              </w:rPr>
              <w:t>5. Somatic Anxiety</w:t>
            </w:r>
          </w:p>
        </w:tc>
        <w:tc>
          <w:tcPr>
            <w:tcW w:w="1469" w:type="dxa"/>
            <w:tcBorders/>
            <w:tcMar>
              <w:top w:w="0" w:type="dxa"/>
              <w:left w:w="0" w:type="dxa"/>
              <w:bottom w:w="0" w:type="dxa"/>
              <w:right w:w="0" w:type="dxa"/>
            </w:tcMar>
          </w:tcPr>
          <w:p>
            <w:pPr>
              <w:pStyle w:val="TableContents"/>
              <w:jc w:val="center"/>
              <w:rPr>
                <w:sz w:val="24"/>
                <w:szCs w:val="24"/>
              </w:rPr>
            </w:pPr>
            <w:r>
              <w:rPr>
                <w:sz w:val="24"/>
                <w:szCs w:val="24"/>
              </w:rPr>
              <w:t>8.68 (2.86)</w:t>
            </w:r>
          </w:p>
        </w:tc>
        <w:tc>
          <w:tcPr>
            <w:tcW w:w="726" w:type="dxa"/>
            <w:tcBorders/>
            <w:tcMar>
              <w:top w:w="0" w:type="dxa"/>
              <w:left w:w="0" w:type="dxa"/>
              <w:bottom w:w="0" w:type="dxa"/>
              <w:right w:w="0" w:type="dxa"/>
            </w:tcMar>
          </w:tcPr>
          <w:p>
            <w:pPr>
              <w:pStyle w:val="TableContents"/>
              <w:jc w:val="center"/>
              <w:rPr>
                <w:sz w:val="24"/>
                <w:szCs w:val="24"/>
              </w:rPr>
            </w:pPr>
            <w:r>
              <w:rPr>
                <w:sz w:val="24"/>
                <w:szCs w:val="24"/>
              </w:rPr>
              <w:t>-.14</w:t>
            </w:r>
          </w:p>
        </w:tc>
        <w:tc>
          <w:tcPr>
            <w:tcW w:w="845" w:type="dxa"/>
            <w:tcBorders/>
            <w:tcMar>
              <w:top w:w="0" w:type="dxa"/>
              <w:left w:w="0" w:type="dxa"/>
              <w:bottom w:w="0" w:type="dxa"/>
              <w:right w:w="0" w:type="dxa"/>
            </w:tcMar>
          </w:tcPr>
          <w:p>
            <w:pPr>
              <w:pStyle w:val="TableContents"/>
              <w:jc w:val="center"/>
              <w:rPr>
                <w:sz w:val="24"/>
                <w:szCs w:val="24"/>
              </w:rPr>
            </w:pPr>
            <w:r>
              <w:rPr>
                <w:sz w:val="24"/>
                <w:szCs w:val="24"/>
              </w:rPr>
              <w:t>-.11</w:t>
            </w:r>
          </w:p>
        </w:tc>
        <w:tc>
          <w:tcPr>
            <w:tcW w:w="785" w:type="dxa"/>
            <w:tcBorders/>
            <w:tcMar>
              <w:top w:w="0" w:type="dxa"/>
              <w:left w:w="0" w:type="dxa"/>
              <w:bottom w:w="0" w:type="dxa"/>
              <w:right w:w="0" w:type="dxa"/>
            </w:tcMar>
          </w:tcPr>
          <w:p>
            <w:pPr>
              <w:pStyle w:val="TableContents"/>
              <w:jc w:val="center"/>
              <w:rPr>
                <w:sz w:val="24"/>
                <w:szCs w:val="24"/>
              </w:rPr>
            </w:pPr>
            <w:r>
              <w:rPr>
                <w:sz w:val="24"/>
                <w:szCs w:val="24"/>
              </w:rPr>
              <w:t>.16</w:t>
            </w:r>
          </w:p>
        </w:tc>
        <w:tc>
          <w:tcPr>
            <w:tcW w:w="726" w:type="dxa"/>
            <w:tcBorders/>
            <w:tcMar>
              <w:top w:w="0" w:type="dxa"/>
              <w:left w:w="0" w:type="dxa"/>
              <w:bottom w:w="0" w:type="dxa"/>
              <w:right w:w="0" w:type="dxa"/>
            </w:tcMar>
          </w:tcPr>
          <w:p>
            <w:pPr>
              <w:pStyle w:val="TableContents"/>
              <w:jc w:val="center"/>
              <w:rPr>
                <w:sz w:val="24"/>
                <w:szCs w:val="24"/>
              </w:rPr>
            </w:pPr>
            <w:r>
              <w:rPr>
                <w:sz w:val="24"/>
                <w:szCs w:val="24"/>
              </w:rPr>
              <w:t>.48***</w:t>
            </w:r>
          </w:p>
        </w:tc>
        <w:tc>
          <w:tcPr>
            <w:tcW w:w="927" w:type="dxa"/>
            <w:tcBorders/>
            <w:tcMar>
              <w:top w:w="0" w:type="dxa"/>
              <w:left w:w="0" w:type="dxa"/>
              <w:bottom w:w="0" w:type="dxa"/>
              <w:right w:w="0" w:type="dxa"/>
            </w:tcMar>
          </w:tcPr>
          <w:p>
            <w:pPr>
              <w:pStyle w:val="TableContents"/>
              <w:jc w:val="center"/>
              <w:rPr>
                <w:sz w:val="24"/>
                <w:szCs w:val="24"/>
              </w:rPr>
            </w:pPr>
            <w:r>
              <w:rPr>
                <w:sz w:val="24"/>
                <w:szCs w:val="24"/>
              </w:rPr>
              <w:t>-</w:t>
            </w:r>
          </w:p>
        </w:tc>
        <w:tc>
          <w:tcPr>
            <w:tcW w:w="755" w:type="dxa"/>
            <w:tcBorders/>
            <w:tcMar>
              <w:top w:w="0" w:type="dxa"/>
              <w:left w:w="0" w:type="dxa"/>
              <w:bottom w:w="0" w:type="dxa"/>
              <w:right w:w="0" w:type="dxa"/>
            </w:tcMar>
          </w:tcPr>
          <w:p>
            <w:pPr>
              <w:pStyle w:val="TableContents"/>
              <w:jc w:val="center"/>
              <w:rPr>
                <w:sz w:val="24"/>
                <w:szCs w:val="24"/>
              </w:rPr>
            </w:pPr>
            <w:r>
              <w:rPr>
                <w:sz w:val="24"/>
                <w:szCs w:val="24"/>
              </w:rPr>
            </w:r>
          </w:p>
        </w:tc>
        <w:tc>
          <w:tcPr>
            <w:tcW w:w="511" w:type="dxa"/>
            <w:tcBorders/>
            <w:tcMar>
              <w:top w:w="0" w:type="dxa"/>
              <w:left w:w="0" w:type="dxa"/>
              <w:bottom w:w="0" w:type="dxa"/>
              <w:right w:w="0" w:type="dxa"/>
            </w:tcMar>
          </w:tcPr>
          <w:p>
            <w:pPr>
              <w:pStyle w:val="TableContents"/>
              <w:jc w:val="center"/>
              <w:rPr>
                <w:sz w:val="24"/>
                <w:szCs w:val="24"/>
              </w:rPr>
            </w:pPr>
            <w:r>
              <w:rPr>
                <w:sz w:val="24"/>
                <w:szCs w:val="24"/>
              </w:rPr>
            </w:r>
          </w:p>
        </w:tc>
      </w:tr>
      <w:tr>
        <w:trPr/>
        <w:tc>
          <w:tcPr>
            <w:tcW w:w="2840" w:type="dxa"/>
            <w:tcBorders/>
            <w:tcMar>
              <w:top w:w="0" w:type="dxa"/>
              <w:left w:w="0" w:type="dxa"/>
              <w:bottom w:w="0" w:type="dxa"/>
              <w:right w:w="0" w:type="dxa"/>
            </w:tcMar>
          </w:tcPr>
          <w:p>
            <w:pPr>
              <w:pStyle w:val="TableContents"/>
              <w:rPr>
                <w:sz w:val="24"/>
                <w:szCs w:val="24"/>
              </w:rPr>
            </w:pPr>
            <w:r>
              <w:rPr>
                <w:sz w:val="24"/>
                <w:szCs w:val="24"/>
              </w:rPr>
              <w:t>6. Worry</w:t>
            </w:r>
          </w:p>
        </w:tc>
        <w:tc>
          <w:tcPr>
            <w:tcW w:w="1469" w:type="dxa"/>
            <w:tcBorders/>
            <w:tcMar>
              <w:top w:w="0" w:type="dxa"/>
              <w:left w:w="0" w:type="dxa"/>
              <w:bottom w:w="0" w:type="dxa"/>
              <w:right w:w="0" w:type="dxa"/>
            </w:tcMar>
          </w:tcPr>
          <w:p>
            <w:pPr>
              <w:pStyle w:val="TableContents"/>
              <w:jc w:val="center"/>
              <w:rPr>
                <w:sz w:val="24"/>
                <w:szCs w:val="24"/>
              </w:rPr>
            </w:pPr>
            <w:r>
              <w:rPr>
                <w:sz w:val="24"/>
                <w:szCs w:val="24"/>
              </w:rPr>
              <w:t>13.20 (4.10)</w:t>
            </w:r>
          </w:p>
        </w:tc>
        <w:tc>
          <w:tcPr>
            <w:tcW w:w="726" w:type="dxa"/>
            <w:tcBorders/>
            <w:tcMar>
              <w:top w:w="0" w:type="dxa"/>
              <w:left w:w="0" w:type="dxa"/>
              <w:bottom w:w="0" w:type="dxa"/>
              <w:right w:w="0" w:type="dxa"/>
            </w:tcMar>
          </w:tcPr>
          <w:p>
            <w:pPr>
              <w:pStyle w:val="TableContents"/>
              <w:jc w:val="center"/>
              <w:rPr>
                <w:sz w:val="24"/>
                <w:szCs w:val="24"/>
              </w:rPr>
            </w:pPr>
            <w:r>
              <w:rPr>
                <w:sz w:val="24"/>
                <w:szCs w:val="24"/>
              </w:rPr>
              <w:t>-.02</w:t>
            </w:r>
          </w:p>
        </w:tc>
        <w:tc>
          <w:tcPr>
            <w:tcW w:w="845" w:type="dxa"/>
            <w:tcBorders/>
            <w:tcMar>
              <w:top w:w="0" w:type="dxa"/>
              <w:left w:w="0" w:type="dxa"/>
              <w:bottom w:w="0" w:type="dxa"/>
              <w:right w:w="0" w:type="dxa"/>
            </w:tcMar>
          </w:tcPr>
          <w:p>
            <w:pPr>
              <w:pStyle w:val="TableContents"/>
              <w:jc w:val="center"/>
              <w:rPr>
                <w:sz w:val="24"/>
                <w:szCs w:val="24"/>
              </w:rPr>
            </w:pPr>
            <w:r>
              <w:rPr>
                <w:sz w:val="24"/>
                <w:szCs w:val="24"/>
              </w:rPr>
              <w:t>.29***</w:t>
            </w:r>
          </w:p>
        </w:tc>
        <w:tc>
          <w:tcPr>
            <w:tcW w:w="785" w:type="dxa"/>
            <w:tcBorders/>
            <w:tcMar>
              <w:top w:w="0" w:type="dxa"/>
              <w:left w:w="0" w:type="dxa"/>
              <w:bottom w:w="0" w:type="dxa"/>
              <w:right w:w="0" w:type="dxa"/>
            </w:tcMar>
          </w:tcPr>
          <w:p>
            <w:pPr>
              <w:pStyle w:val="TableContents"/>
              <w:jc w:val="center"/>
              <w:rPr>
                <w:sz w:val="24"/>
                <w:szCs w:val="24"/>
              </w:rPr>
            </w:pPr>
            <w:r>
              <w:rPr>
                <w:sz w:val="24"/>
                <w:szCs w:val="24"/>
              </w:rPr>
              <w:t>.11</w:t>
            </w:r>
          </w:p>
        </w:tc>
        <w:tc>
          <w:tcPr>
            <w:tcW w:w="726" w:type="dxa"/>
            <w:tcBorders/>
            <w:tcMar>
              <w:top w:w="0" w:type="dxa"/>
              <w:left w:w="0" w:type="dxa"/>
              <w:bottom w:w="0" w:type="dxa"/>
              <w:right w:w="0" w:type="dxa"/>
            </w:tcMar>
          </w:tcPr>
          <w:p>
            <w:pPr>
              <w:pStyle w:val="TableContents"/>
              <w:jc w:val="center"/>
              <w:rPr>
                <w:sz w:val="24"/>
                <w:szCs w:val="24"/>
              </w:rPr>
            </w:pPr>
            <w:r>
              <w:rPr>
                <w:sz w:val="24"/>
                <w:szCs w:val="24"/>
              </w:rPr>
              <w:t>.17†</w:t>
            </w:r>
          </w:p>
        </w:tc>
        <w:tc>
          <w:tcPr>
            <w:tcW w:w="927" w:type="dxa"/>
            <w:tcBorders/>
            <w:tcMar>
              <w:top w:w="0" w:type="dxa"/>
              <w:left w:w="0" w:type="dxa"/>
              <w:bottom w:w="0" w:type="dxa"/>
              <w:right w:w="0" w:type="dxa"/>
            </w:tcMar>
          </w:tcPr>
          <w:p>
            <w:pPr>
              <w:pStyle w:val="TableContents"/>
              <w:jc w:val="center"/>
              <w:rPr>
                <w:sz w:val="24"/>
                <w:szCs w:val="24"/>
              </w:rPr>
            </w:pPr>
            <w:r>
              <w:rPr>
                <w:sz w:val="24"/>
                <w:szCs w:val="24"/>
              </w:rPr>
              <w:t>.25**</w:t>
            </w:r>
          </w:p>
        </w:tc>
        <w:tc>
          <w:tcPr>
            <w:tcW w:w="755" w:type="dxa"/>
            <w:tcBorders/>
            <w:tcMar>
              <w:top w:w="0" w:type="dxa"/>
              <w:left w:w="0" w:type="dxa"/>
              <w:bottom w:w="0" w:type="dxa"/>
              <w:right w:w="0" w:type="dxa"/>
            </w:tcMar>
          </w:tcPr>
          <w:p>
            <w:pPr>
              <w:pStyle w:val="TableContents"/>
              <w:jc w:val="center"/>
              <w:rPr>
                <w:sz w:val="24"/>
                <w:szCs w:val="24"/>
              </w:rPr>
            </w:pPr>
            <w:r>
              <w:rPr>
                <w:sz w:val="24"/>
                <w:szCs w:val="24"/>
              </w:rPr>
              <w:t>-</w:t>
            </w:r>
          </w:p>
        </w:tc>
        <w:tc>
          <w:tcPr>
            <w:tcW w:w="511" w:type="dxa"/>
            <w:tcBorders/>
            <w:tcMar>
              <w:top w:w="0" w:type="dxa"/>
              <w:left w:w="0" w:type="dxa"/>
              <w:bottom w:w="0" w:type="dxa"/>
              <w:right w:w="0" w:type="dxa"/>
            </w:tcMar>
          </w:tcPr>
          <w:p>
            <w:pPr>
              <w:pStyle w:val="TableContents"/>
              <w:jc w:val="center"/>
              <w:rPr>
                <w:sz w:val="24"/>
                <w:szCs w:val="24"/>
              </w:rPr>
            </w:pPr>
            <w:r>
              <w:rPr>
                <w:sz w:val="24"/>
                <w:szCs w:val="24"/>
              </w:rPr>
            </w:r>
          </w:p>
        </w:tc>
      </w:tr>
      <w:tr>
        <w:trPr/>
        <w:tc>
          <w:tcPr>
            <w:tcW w:w="2840" w:type="dxa"/>
            <w:tcBorders>
              <w:bottom w:val="single" w:sz="4" w:space="0" w:color="000000"/>
            </w:tcBorders>
          </w:tcPr>
          <w:p>
            <w:pPr>
              <w:pStyle w:val="TableContents"/>
              <w:rPr>
                <w:sz w:val="24"/>
                <w:szCs w:val="24"/>
              </w:rPr>
            </w:pPr>
            <w:r>
              <w:rPr>
                <w:sz w:val="24"/>
                <w:szCs w:val="24"/>
              </w:rPr>
              <w:t>7. Concentration Disruption</w:t>
            </w:r>
          </w:p>
        </w:tc>
        <w:tc>
          <w:tcPr>
            <w:tcW w:w="1469" w:type="dxa"/>
            <w:tcBorders>
              <w:bottom w:val="single" w:sz="4" w:space="0" w:color="000000"/>
            </w:tcBorders>
          </w:tcPr>
          <w:p>
            <w:pPr>
              <w:pStyle w:val="TableContents"/>
              <w:jc w:val="center"/>
              <w:rPr>
                <w:sz w:val="24"/>
                <w:szCs w:val="24"/>
              </w:rPr>
            </w:pPr>
            <w:r>
              <w:rPr>
                <w:sz w:val="24"/>
                <w:szCs w:val="24"/>
              </w:rPr>
              <w:t>8.92 (2.66)</w:t>
            </w:r>
          </w:p>
        </w:tc>
        <w:tc>
          <w:tcPr>
            <w:tcW w:w="726" w:type="dxa"/>
            <w:tcBorders>
              <w:bottom w:val="single" w:sz="4" w:space="0" w:color="000000"/>
            </w:tcBorders>
          </w:tcPr>
          <w:p>
            <w:pPr>
              <w:pStyle w:val="TableContents"/>
              <w:jc w:val="center"/>
              <w:rPr>
                <w:sz w:val="24"/>
                <w:szCs w:val="24"/>
              </w:rPr>
            </w:pPr>
            <w:r>
              <w:rPr>
                <w:sz w:val="24"/>
                <w:szCs w:val="24"/>
              </w:rPr>
              <w:t>-.24*</w:t>
            </w:r>
          </w:p>
        </w:tc>
        <w:tc>
          <w:tcPr>
            <w:tcW w:w="845" w:type="dxa"/>
            <w:tcBorders>
              <w:bottom w:val="single" w:sz="4" w:space="0" w:color="000000"/>
            </w:tcBorders>
          </w:tcPr>
          <w:p>
            <w:pPr>
              <w:pStyle w:val="TableContents"/>
              <w:jc w:val="center"/>
              <w:rPr>
                <w:sz w:val="24"/>
                <w:szCs w:val="24"/>
              </w:rPr>
            </w:pPr>
            <w:r>
              <w:rPr>
                <w:sz w:val="24"/>
                <w:szCs w:val="24"/>
              </w:rPr>
              <w:t>-.02</w:t>
            </w:r>
          </w:p>
        </w:tc>
        <w:tc>
          <w:tcPr>
            <w:tcW w:w="785" w:type="dxa"/>
            <w:tcBorders>
              <w:bottom w:val="single" w:sz="4" w:space="0" w:color="000000"/>
            </w:tcBorders>
          </w:tcPr>
          <w:p>
            <w:pPr>
              <w:pStyle w:val="TableContents"/>
              <w:jc w:val="center"/>
              <w:rPr>
                <w:sz w:val="24"/>
                <w:szCs w:val="24"/>
              </w:rPr>
            </w:pPr>
            <w:r>
              <w:rPr>
                <w:sz w:val="24"/>
                <w:szCs w:val="24"/>
              </w:rPr>
              <w:t>.21*</w:t>
            </w:r>
          </w:p>
        </w:tc>
        <w:tc>
          <w:tcPr>
            <w:tcW w:w="726" w:type="dxa"/>
            <w:tcBorders>
              <w:bottom w:val="single" w:sz="4" w:space="0" w:color="000000"/>
            </w:tcBorders>
          </w:tcPr>
          <w:p>
            <w:pPr>
              <w:pStyle w:val="TableContents"/>
              <w:jc w:val="center"/>
              <w:rPr>
                <w:sz w:val="24"/>
                <w:szCs w:val="24"/>
              </w:rPr>
            </w:pPr>
            <w:r>
              <w:rPr>
                <w:sz w:val="24"/>
                <w:szCs w:val="24"/>
              </w:rPr>
              <w:t>.45**</w:t>
            </w:r>
          </w:p>
        </w:tc>
        <w:tc>
          <w:tcPr>
            <w:tcW w:w="927" w:type="dxa"/>
            <w:tcBorders>
              <w:bottom w:val="single" w:sz="4" w:space="0" w:color="000000"/>
            </w:tcBorders>
          </w:tcPr>
          <w:p>
            <w:pPr>
              <w:pStyle w:val="TableContents"/>
              <w:jc w:val="center"/>
              <w:rPr>
                <w:sz w:val="24"/>
                <w:szCs w:val="24"/>
              </w:rPr>
            </w:pPr>
            <w:r>
              <w:rPr>
                <w:sz w:val="24"/>
                <w:szCs w:val="24"/>
              </w:rPr>
              <w:t>.39***</w:t>
            </w:r>
          </w:p>
        </w:tc>
        <w:tc>
          <w:tcPr>
            <w:tcW w:w="755" w:type="dxa"/>
            <w:tcBorders>
              <w:bottom w:val="single" w:sz="4" w:space="0" w:color="000000"/>
            </w:tcBorders>
          </w:tcPr>
          <w:p>
            <w:pPr>
              <w:pStyle w:val="TableContents"/>
              <w:jc w:val="center"/>
              <w:rPr>
                <w:sz w:val="24"/>
                <w:szCs w:val="24"/>
              </w:rPr>
            </w:pPr>
            <w:r>
              <w:rPr>
                <w:sz w:val="24"/>
                <w:szCs w:val="24"/>
              </w:rPr>
              <w:t>.29**</w:t>
            </w:r>
          </w:p>
        </w:tc>
        <w:tc>
          <w:tcPr>
            <w:tcW w:w="511" w:type="dxa"/>
            <w:tcBorders>
              <w:bottom w:val="single" w:sz="4" w:space="0" w:color="000000"/>
            </w:tcBorders>
          </w:tcPr>
          <w:p>
            <w:pPr>
              <w:pStyle w:val="TableContents"/>
              <w:jc w:val="center"/>
              <w:rPr>
                <w:sz w:val="24"/>
                <w:szCs w:val="24"/>
              </w:rPr>
            </w:pPr>
            <w:r>
              <w:rPr>
                <w:sz w:val="24"/>
                <w:szCs w:val="24"/>
              </w:rPr>
              <w:t>-</w:t>
            </w:r>
          </w:p>
        </w:tc>
      </w:tr>
      <w:tr>
        <w:trPr/>
        <w:tc>
          <w:tcPr>
            <w:tcW w:w="9584" w:type="dxa"/>
            <w:gridSpan w:val="9"/>
            <w:tcBorders/>
            <w:tcMar>
              <w:top w:w="0" w:type="dxa"/>
              <w:left w:w="0" w:type="dxa"/>
              <w:bottom w:w="0" w:type="dxa"/>
              <w:right w:w="0" w:type="dxa"/>
            </w:tcMar>
          </w:tcPr>
          <w:p>
            <w:pPr>
              <w:pStyle w:val="Normal"/>
              <w:tabs>
                <w:tab w:val="clear" w:pos="720"/>
                <w:tab w:val="left" w:pos="360" w:leader="none"/>
              </w:tabs>
              <w:spacing w:lineRule="auto" w:line="480"/>
              <w:rPr/>
            </w:pPr>
            <w:r>
              <w:rPr>
                <w:i/>
              </w:rPr>
              <w:t>Notes</w:t>
            </w:r>
            <w:r>
              <w:rPr/>
              <w:t xml:space="preserve">. </w:t>
            </w:r>
            <w:r>
              <w:rPr>
                <w:i/>
                <w:iCs/>
              </w:rPr>
              <w:t>N</w:t>
            </w:r>
            <w:r>
              <w:rPr/>
              <w:t xml:space="preserve"> = 106. †</w:t>
            </w:r>
            <w:r>
              <w:rPr>
                <w:i/>
                <w:iCs/>
              </w:rPr>
              <w:t>p</w:t>
            </w:r>
            <w:r>
              <w:rPr/>
              <w:t xml:space="preserve"> &lt; .01,*</w:t>
            </w:r>
            <w:r>
              <w:rPr>
                <w:i/>
                <w:iCs/>
              </w:rPr>
              <w:t>p</w:t>
            </w:r>
            <w:r>
              <w:rPr/>
              <w:t xml:space="preserve"> &lt; .05, **</w:t>
            </w:r>
            <w:r>
              <w:rPr>
                <w:i/>
                <w:iCs/>
              </w:rPr>
              <w:t>p</w:t>
            </w:r>
            <w:r>
              <w:rPr/>
              <w:t xml:space="preserve"> &lt; .01, ***</w:t>
            </w:r>
            <w:r>
              <w:rPr>
                <w:i/>
                <w:iCs/>
              </w:rPr>
              <w:t>p</w:t>
            </w:r>
            <w:r>
              <w:rPr/>
              <w:t xml:space="preserve"> &lt; .001.</w:t>
            </w:r>
          </w:p>
        </w:tc>
      </w:tr>
    </w:tbl>
    <w:p>
      <w:pPr>
        <w:pStyle w:val="normal1"/>
        <w:rPr/>
      </w:pPr>
      <w:r>
        <w:rPr/>
      </w:r>
    </w:p>
    <w:p>
      <w:pPr>
        <w:pStyle w:val="normal1"/>
        <w:widowControl/>
        <w:spacing w:lineRule="auto" w:line="360" w:before="0" w:after="0"/>
        <w:ind w:firstLine="708"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To examine mental toughness and facets of sport motivation as predictors of sport anxiety among highly active adult esport players, we conducted a hierarchical regression analysis in which demographic factors were included as a set in Step 1, followed by mental toughness and facets of sport motivation as a sport predictor set in Step 2. The results of these analyses are presented in </w:t>
      </w: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Table 2</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As this table shows, in predicting somatic worry, the sport predictor set accounted for a large (</w:t>
      </w:r>
      <w:r>
        <w:rPr>
          <w:rFonts w:eastAsia="Times New Roman" w:cs="Times New Roman"/>
          <w:b w:val="false"/>
          <w:i/>
          <w:iCs/>
          <w:caps w:val="false"/>
          <w:smallCaps w:val="false"/>
          <w:strike w:val="false"/>
          <w:dstrike w:val="false"/>
          <w:color w:val="000000"/>
          <w:position w:val="0"/>
          <w:sz w:val="24"/>
          <w:sz w:val="24"/>
          <w:szCs w:val="24"/>
          <w:u w:val="none"/>
          <w:shd w:fill="auto" w:val="clear"/>
          <w:vertAlign w:val="baseline"/>
        </w:rPr>
        <w:t>f</w:t>
      </w:r>
      <w:r>
        <w:rPr>
          <w:rFonts w:eastAsia="Times New Roman" w:cs="Times New Roman"/>
          <w:b w:val="false"/>
          <w:i w:val="false"/>
          <w:caps w:val="false"/>
          <w:smallCaps w:val="false"/>
          <w:strike w:val="false"/>
          <w:dstrike w:val="false"/>
          <w:color w:val="000000"/>
          <w:sz w:val="24"/>
          <w:szCs w:val="24"/>
          <w:u w:val="none"/>
          <w:shd w:fill="auto" w:val="clear"/>
          <w:vertAlign w:val="superscript"/>
        </w:rPr>
        <w:t>2</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 .33) 25% of unique variance in somatic anxiety, independent of demographic factors. Within the sport predictor set, amotivation emerged as the only significant predictor (</w:t>
      </w:r>
      <w:r>
        <w:rPr>
          <w:rFonts w:eastAsia="Symbol" w:cs="Symbol" w:ascii="Symbol" w:hAnsi="Symbol"/>
          <w:b w:val="false"/>
          <w:i/>
          <w:iCs/>
          <w:caps w:val="false"/>
          <w:smallCaps w:val="false"/>
          <w:strike w:val="false"/>
          <w:dstrike w:val="false"/>
          <w:color w:val="000000"/>
          <w:position w:val="0"/>
          <w:sz w:val="24"/>
          <w:sz w:val="24"/>
          <w:szCs w:val="24"/>
          <w:u w:val="none"/>
          <w:shd w:fill="auto" w:val="clear"/>
          <w:vertAlign w:val="baseline"/>
        </w:rPr>
        <w:sym w:font="Symbol" w:char="f062"/>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 .47, </w:t>
      </w:r>
      <w:r>
        <w:rPr>
          <w:rFonts w:eastAsia="Times New Roman" w:cs="Times New Roman"/>
          <w:b w:val="false"/>
          <w:i/>
          <w:iCs/>
          <w:caps w:val="false"/>
          <w:smallCaps w:val="false"/>
          <w:strike w:val="false"/>
          <w:dstrike w:val="false"/>
          <w:color w:val="000000"/>
          <w:position w:val="0"/>
          <w:sz w:val="24"/>
          <w:sz w:val="24"/>
          <w:szCs w:val="24"/>
          <w:u w:val="none"/>
          <w:shd w:fill="auto" w:val="clear"/>
          <w:vertAlign w:val="baseline"/>
        </w:rPr>
        <w:t>p</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&lt; .001). In predicting worry, the sport predictor set accounted for a medium-large (</w:t>
      </w:r>
      <w:r>
        <w:rPr>
          <w:rFonts w:eastAsia="Times New Roman" w:cs="Times New Roman"/>
          <w:b w:val="false"/>
          <w:i/>
          <w:iCs/>
          <w:caps w:val="false"/>
          <w:smallCaps w:val="false"/>
          <w:strike w:val="false"/>
          <w:dstrike w:val="false"/>
          <w:color w:val="000000"/>
          <w:position w:val="0"/>
          <w:sz w:val="24"/>
          <w:sz w:val="24"/>
          <w:szCs w:val="24"/>
          <w:u w:val="none"/>
          <w:shd w:fill="auto" w:val="clear"/>
          <w:vertAlign w:val="baseline"/>
        </w:rPr>
        <w:t>f</w:t>
      </w:r>
      <w:r>
        <w:rPr>
          <w:rFonts w:eastAsia="Times New Roman" w:cs="Times New Roman"/>
          <w:b w:val="false"/>
          <w:i w:val="false"/>
          <w:caps w:val="false"/>
          <w:smallCaps w:val="false"/>
          <w:strike w:val="false"/>
          <w:dstrike w:val="false"/>
          <w:color w:val="000000"/>
          <w:sz w:val="24"/>
          <w:szCs w:val="24"/>
          <w:u w:val="none"/>
          <w:shd w:fill="auto" w:val="clear"/>
          <w:vertAlign w:val="superscript"/>
        </w:rPr>
        <w:t>2</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 .18) 15% of unique variance in worry, independent of demographic factors. Within the sport predictor set, intrinsic motivation emerged as the only significant predictor (</w:t>
      </w:r>
      <w:r>
        <w:rPr>
          <w:rFonts w:eastAsia="Symbol" w:cs="Symbol" w:ascii="Symbol" w:hAnsi="Symbol"/>
          <w:b w:val="false"/>
          <w:i/>
          <w:iCs/>
          <w:caps w:val="false"/>
          <w:smallCaps w:val="false"/>
          <w:strike w:val="false"/>
          <w:dstrike w:val="false"/>
          <w:color w:val="000000"/>
          <w:position w:val="0"/>
          <w:sz w:val="24"/>
          <w:sz w:val="24"/>
          <w:szCs w:val="24"/>
          <w:u w:val="none"/>
          <w:shd w:fill="auto" w:val="clear"/>
          <w:vertAlign w:val="baseline"/>
        </w:rPr>
        <w:sym w:font="Symbol" w:char="f062"/>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 .42, </w:t>
      </w:r>
      <w:r>
        <w:rPr>
          <w:rFonts w:eastAsia="Times New Roman" w:cs="Times New Roman"/>
          <w:b w:val="false"/>
          <w:i/>
          <w:iCs/>
          <w:caps w:val="false"/>
          <w:smallCaps w:val="false"/>
          <w:strike w:val="false"/>
          <w:dstrike w:val="false"/>
          <w:color w:val="000000"/>
          <w:position w:val="0"/>
          <w:sz w:val="24"/>
          <w:sz w:val="24"/>
          <w:szCs w:val="24"/>
          <w:u w:val="none"/>
          <w:shd w:fill="auto" w:val="clear"/>
          <w:vertAlign w:val="baseline"/>
        </w:rPr>
        <w:t>p</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&lt; .001). Finally, in predicting concentration disruption, the sport predictor set accounted for a medium-large (</w:t>
      </w:r>
      <w:r>
        <w:rPr>
          <w:rFonts w:eastAsia="Times New Roman" w:cs="Times New Roman"/>
          <w:b w:val="false"/>
          <w:i/>
          <w:iCs/>
          <w:caps w:val="false"/>
          <w:smallCaps w:val="false"/>
          <w:strike w:val="false"/>
          <w:dstrike w:val="false"/>
          <w:color w:val="000000"/>
          <w:position w:val="0"/>
          <w:sz w:val="24"/>
          <w:sz w:val="24"/>
          <w:szCs w:val="24"/>
          <w:u w:val="none"/>
          <w:shd w:fill="auto" w:val="clear"/>
          <w:vertAlign w:val="baseline"/>
        </w:rPr>
        <w:t>f</w:t>
      </w:r>
      <w:r>
        <w:rPr>
          <w:rFonts w:eastAsia="Times New Roman" w:cs="Times New Roman"/>
          <w:b w:val="false"/>
          <w:i w:val="false"/>
          <w:caps w:val="false"/>
          <w:smallCaps w:val="false"/>
          <w:strike w:val="false"/>
          <w:dstrike w:val="false"/>
          <w:color w:val="000000"/>
          <w:sz w:val="24"/>
          <w:szCs w:val="24"/>
          <w:u w:val="none"/>
          <w:shd w:fill="auto" w:val="clear"/>
          <w:vertAlign w:val="superscript"/>
        </w:rPr>
        <w:t>2</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 .30) 23% of unique variance in concentration disruption, independent of demographic factors. Within the sport predictor set, amotivation emerged as a significant predictor (</w:t>
      </w:r>
      <w:r>
        <w:rPr>
          <w:rFonts w:eastAsia="Symbol" w:cs="Symbol" w:ascii="Symbol" w:hAnsi="Symbol"/>
          <w:b w:val="false"/>
          <w:i/>
          <w:iCs/>
          <w:caps w:val="false"/>
          <w:smallCaps w:val="false"/>
          <w:strike w:val="false"/>
          <w:dstrike w:val="false"/>
          <w:color w:val="000000"/>
          <w:position w:val="0"/>
          <w:sz w:val="24"/>
          <w:sz w:val="24"/>
          <w:szCs w:val="24"/>
          <w:u w:val="none"/>
          <w:shd w:fill="auto" w:val="clear"/>
          <w:vertAlign w:val="baseline"/>
        </w:rPr>
        <w:sym w:font="Symbol" w:char="f062"/>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 .35, </w:t>
      </w:r>
      <w:r>
        <w:rPr>
          <w:rFonts w:eastAsia="Times New Roman" w:cs="Times New Roman"/>
          <w:b w:val="false"/>
          <w:i/>
          <w:iCs/>
          <w:caps w:val="false"/>
          <w:smallCaps w:val="false"/>
          <w:strike w:val="false"/>
          <w:dstrike w:val="false"/>
          <w:color w:val="000000"/>
          <w:position w:val="0"/>
          <w:sz w:val="24"/>
          <w:sz w:val="24"/>
          <w:szCs w:val="24"/>
          <w:u w:val="none"/>
          <w:shd w:fill="auto" w:val="clear"/>
          <w:vertAlign w:val="baseline"/>
        </w:rPr>
        <w:t>p</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&lt; .001), followed marginally by mental toughness (</w:t>
      </w:r>
      <w:r>
        <w:rPr>
          <w:rFonts w:eastAsia="Symbol" w:cs="Symbol" w:ascii="Symbol" w:hAnsi="Symbol"/>
          <w:b w:val="false"/>
          <w:i/>
          <w:iCs/>
          <w:caps w:val="false"/>
          <w:smallCaps w:val="false"/>
          <w:strike w:val="false"/>
          <w:dstrike w:val="false"/>
          <w:color w:val="000000"/>
          <w:position w:val="0"/>
          <w:sz w:val="24"/>
          <w:sz w:val="24"/>
          <w:szCs w:val="24"/>
          <w:u w:val="none"/>
          <w:shd w:fill="auto" w:val="clear"/>
          <w:vertAlign w:val="baseline"/>
        </w:rPr>
        <w:sym w:font="Symbol" w:char="f062"/>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 -.19, </w:t>
      </w:r>
      <w:r>
        <w:rPr>
          <w:rFonts w:eastAsia="Times New Roman" w:cs="Times New Roman"/>
          <w:b w:val="false"/>
          <w:i/>
          <w:iCs/>
          <w:caps w:val="false"/>
          <w:smallCaps w:val="false"/>
          <w:strike w:val="false"/>
          <w:dstrike w:val="false"/>
          <w:color w:val="000000"/>
          <w:position w:val="0"/>
          <w:sz w:val="24"/>
          <w:sz w:val="24"/>
          <w:szCs w:val="24"/>
          <w:u w:val="none"/>
          <w:shd w:fill="auto" w:val="clear"/>
          <w:vertAlign w:val="baseline"/>
        </w:rPr>
        <w:t>p</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&lt; .10).</w:t>
      </w:r>
    </w:p>
    <w:p>
      <w:pPr>
        <w:pStyle w:val="normal1"/>
        <w:widowControl/>
        <w:spacing w:lineRule="auto" w:line="36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pacing w:lineRule="auto" w:line="36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pacing w:lineRule="auto" w:line="36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W w:w="5000" w:type="pct"/>
        <w:jc w:val="left"/>
        <w:tblInd w:w="55" w:type="dxa"/>
        <w:tblLayout w:type="fixed"/>
        <w:tblCellMar>
          <w:top w:w="55" w:type="dxa"/>
          <w:left w:w="55" w:type="dxa"/>
          <w:bottom w:w="55" w:type="dxa"/>
          <w:right w:w="55" w:type="dxa"/>
        </w:tblCellMar>
      </w:tblPr>
      <w:tblGrid>
        <w:gridCol w:w="4309"/>
        <w:gridCol w:w="1524"/>
        <w:gridCol w:w="683"/>
        <w:gridCol w:w="972"/>
        <w:gridCol w:w="1872"/>
      </w:tblGrid>
      <w:tr>
        <w:trPr/>
        <w:tc>
          <w:tcPr>
            <w:tcW w:w="9360" w:type="dxa"/>
            <w:gridSpan w:val="5"/>
            <w:tcBorders>
              <w:bottom w:val="single" w:sz="4" w:space="0" w:color="000000"/>
            </w:tcBorders>
          </w:tcPr>
          <w:p>
            <w:pPr>
              <w:pStyle w:val="Normal"/>
              <w:spacing w:lineRule="exact" w:line="360"/>
              <w:rPr>
                <w:b w:val="false"/>
                <w:bCs w:val="false"/>
              </w:rPr>
            </w:pPr>
            <w:r>
              <w:rPr>
                <w:b w:val="false"/>
                <w:bCs w:val="false"/>
                <w:color w:val="000000"/>
              </w:rPr>
              <w:t>Table 2</w:t>
            </w:r>
          </w:p>
          <w:p>
            <w:pPr>
              <w:pStyle w:val="Normal"/>
              <w:spacing w:lineRule="exact" w:line="360"/>
              <w:rPr>
                <w:i/>
                <w:i/>
                <w:iCs/>
                <w:color w:val="000000"/>
              </w:rPr>
            </w:pPr>
            <w:r>
              <w:rPr>
                <w:i/>
                <w:iCs/>
                <w:color w:val="000000"/>
              </w:rPr>
              <w:t>Results of hierarchical regression analyses showing the amount of unique variance in sport anxiety accounted for by mental toughness and sport motivation in highly active esport players, controlling for demographic factors</w:t>
            </w:r>
          </w:p>
        </w:tc>
      </w:tr>
      <w:tr>
        <w:trPr/>
        <w:tc>
          <w:tcPr>
            <w:tcW w:w="4309" w:type="dxa"/>
            <w:tcBorders>
              <w:bottom w:val="single" w:sz="4" w:space="0" w:color="000000"/>
            </w:tcBorders>
          </w:tcPr>
          <w:p>
            <w:pPr>
              <w:pStyle w:val="Normal"/>
              <w:tabs>
                <w:tab w:val="clear" w:pos="720"/>
                <w:tab w:val="left" w:pos="3870" w:leader="none"/>
                <w:tab w:val="left" w:pos="5400" w:leader="none"/>
                <w:tab w:val="left" w:pos="6840" w:leader="none"/>
                <w:tab w:val="left" w:pos="8730" w:leader="none"/>
              </w:tabs>
              <w:spacing w:lineRule="auto" w:line="276"/>
              <w:rPr>
                <w:color w:val="000000"/>
              </w:rPr>
            </w:pPr>
            <w:r>
              <w:rPr/>
              <w:t>Sport anxiety symptoms</w:t>
            </w:r>
            <w:r>
              <w:rPr>
                <w:color w:val="000000"/>
              </w:rPr>
              <w:t>/predictors</w:t>
            </w:r>
          </w:p>
        </w:tc>
        <w:tc>
          <w:tcPr>
            <w:tcW w:w="1524" w:type="dxa"/>
            <w:tcBorders>
              <w:bottom w:val="single" w:sz="4" w:space="0" w:color="000000"/>
            </w:tcBorders>
            <w:vAlign w:val="center"/>
          </w:tcPr>
          <w:p>
            <w:pPr>
              <w:pStyle w:val="Normal"/>
              <w:tabs>
                <w:tab w:val="clear" w:pos="720"/>
                <w:tab w:val="left" w:pos="3870" w:leader="none"/>
                <w:tab w:val="left" w:pos="5400" w:leader="none"/>
                <w:tab w:val="left" w:pos="6840" w:leader="none"/>
                <w:tab w:val="left" w:pos="8730" w:leader="none"/>
              </w:tabs>
              <w:spacing w:lineRule="auto" w:line="276"/>
              <w:jc w:val="center"/>
              <w:rPr/>
            </w:pPr>
            <w:r>
              <w:rPr>
                <w:rFonts w:eastAsia="Symbol" w:cs="Symbol" w:ascii="Symbol" w:hAnsi="Symbol"/>
                <w:color w:val="000000"/>
              </w:rPr>
              <w:sym w:font="Symbol" w:char="f062"/>
            </w:r>
          </w:p>
        </w:tc>
        <w:tc>
          <w:tcPr>
            <w:tcW w:w="683" w:type="dxa"/>
            <w:tcBorders>
              <w:bottom w:val="single" w:sz="4" w:space="0" w:color="000000"/>
            </w:tcBorders>
            <w:vAlign w:val="center"/>
          </w:tcPr>
          <w:p>
            <w:pPr>
              <w:pStyle w:val="Normal"/>
              <w:tabs>
                <w:tab w:val="clear" w:pos="720"/>
                <w:tab w:val="left" w:pos="3870" w:leader="none"/>
                <w:tab w:val="left" w:pos="5400" w:leader="none"/>
                <w:tab w:val="left" w:pos="6840" w:leader="none"/>
                <w:tab w:val="left" w:pos="8730" w:leader="none"/>
              </w:tabs>
              <w:spacing w:lineRule="auto" w:line="276"/>
              <w:jc w:val="center"/>
              <w:rPr/>
            </w:pPr>
            <w:r>
              <w:rPr>
                <w:i/>
                <w:color w:val="000000"/>
              </w:rPr>
              <w:t>R</w:t>
            </w:r>
            <w:r>
              <w:rPr>
                <w:i/>
                <w:color w:val="000000"/>
                <w:vertAlign w:val="superscript"/>
              </w:rPr>
              <w:t>2</w:t>
            </w:r>
          </w:p>
        </w:tc>
        <w:tc>
          <w:tcPr>
            <w:tcW w:w="972" w:type="dxa"/>
            <w:tcBorders>
              <w:bottom w:val="single" w:sz="4" w:space="0" w:color="000000"/>
            </w:tcBorders>
            <w:vAlign w:val="center"/>
          </w:tcPr>
          <w:p>
            <w:pPr>
              <w:pStyle w:val="Normal"/>
              <w:tabs>
                <w:tab w:val="clear" w:pos="720"/>
                <w:tab w:val="left" w:pos="3870" w:leader="none"/>
                <w:tab w:val="left" w:pos="5400" w:leader="none"/>
                <w:tab w:val="left" w:pos="6840" w:leader="none"/>
                <w:tab w:val="left" w:pos="8730" w:leader="none"/>
              </w:tabs>
              <w:spacing w:lineRule="auto" w:line="276"/>
              <w:jc w:val="center"/>
              <w:rPr/>
            </w:pPr>
            <w:r>
              <w:rPr>
                <w:i/>
                <w:color w:val="000000"/>
              </w:rPr>
              <w:t>R</w:t>
            </w:r>
            <w:r>
              <w:rPr>
                <w:i/>
                <w:color w:val="000000"/>
                <w:vertAlign w:val="superscript"/>
              </w:rPr>
              <w:t>2</w:t>
            </w:r>
          </w:p>
        </w:tc>
        <w:tc>
          <w:tcPr>
            <w:tcW w:w="1872" w:type="dxa"/>
            <w:tcBorders>
              <w:bottom w:val="single" w:sz="4" w:space="0" w:color="000000"/>
            </w:tcBorders>
            <w:vAlign w:val="center"/>
          </w:tcPr>
          <w:p>
            <w:pPr>
              <w:pStyle w:val="Normal"/>
              <w:tabs>
                <w:tab w:val="clear" w:pos="720"/>
                <w:tab w:val="left" w:pos="3870" w:leader="none"/>
                <w:tab w:val="left" w:pos="5400" w:leader="none"/>
                <w:tab w:val="left" w:pos="6840" w:leader="none"/>
                <w:tab w:val="left" w:pos="8730" w:leader="none"/>
              </w:tabs>
              <w:spacing w:lineRule="auto" w:line="276"/>
              <w:jc w:val="center"/>
              <w:rPr/>
            </w:pPr>
            <w:r>
              <w:rPr>
                <w:i/>
                <w:color w:val="000000"/>
              </w:rPr>
              <w:t>F</w:t>
            </w:r>
          </w:p>
        </w:tc>
      </w:tr>
      <w:tr>
        <w:trPr/>
        <w:tc>
          <w:tcPr>
            <w:tcW w:w="4309" w:type="dxa"/>
            <w:tcBorders/>
            <w:tcMar>
              <w:top w:w="0" w:type="dxa"/>
              <w:left w:w="0" w:type="dxa"/>
              <w:bottom w:w="0" w:type="dxa"/>
              <w:right w:w="0" w:type="dxa"/>
            </w:tcMar>
          </w:tcPr>
          <w:p>
            <w:pPr>
              <w:pStyle w:val="TableContents"/>
              <w:rPr>
                <w:b/>
                <w:bCs/>
              </w:rPr>
            </w:pPr>
            <w:r>
              <w:rPr>
                <w:b/>
                <w:bCs/>
              </w:rPr>
              <w:t>Somatic anxiety</w:t>
            </w:r>
          </w:p>
        </w:tc>
        <w:tc>
          <w:tcPr>
            <w:tcW w:w="1524" w:type="dxa"/>
            <w:tcBorders/>
            <w:tcMar>
              <w:top w:w="0" w:type="dxa"/>
              <w:left w:w="0" w:type="dxa"/>
              <w:bottom w:w="0" w:type="dxa"/>
              <w:right w:w="0" w:type="dxa"/>
            </w:tcMar>
            <w:vAlign w:val="center"/>
          </w:tcPr>
          <w:p>
            <w:pPr>
              <w:pStyle w:val="TableContents"/>
              <w:jc w:val="center"/>
              <w:rPr/>
            </w:pPr>
            <w:r>
              <w:rPr/>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widowControl w:val="false"/>
              <w:suppressLineNumbers/>
              <w:suppressAutoHyphens w:val="true"/>
              <w:overflowPunct w:val="false"/>
              <w:bidi w:val="0"/>
              <w:spacing w:before="0" w:after="0"/>
              <w:ind w:hanging="0" w:left="567" w:right="0"/>
              <w:jc w:val="left"/>
              <w:rPr/>
            </w:pPr>
            <w:r>
              <w:rPr/>
              <w:t>Step 1: Demographics</w:t>
            </w:r>
          </w:p>
        </w:tc>
        <w:tc>
          <w:tcPr>
            <w:tcW w:w="1524" w:type="dxa"/>
            <w:tcBorders/>
            <w:tcMar>
              <w:top w:w="0" w:type="dxa"/>
              <w:left w:w="0" w:type="dxa"/>
              <w:bottom w:w="0" w:type="dxa"/>
              <w:right w:w="0" w:type="dxa"/>
            </w:tcMar>
            <w:vAlign w:val="center"/>
          </w:tcPr>
          <w:p>
            <w:pPr>
              <w:pStyle w:val="TableContents"/>
              <w:jc w:val="center"/>
              <w:rPr/>
            </w:pPr>
            <w:r>
              <w:rPr/>
            </w:r>
          </w:p>
        </w:tc>
        <w:tc>
          <w:tcPr>
            <w:tcW w:w="683" w:type="dxa"/>
            <w:tcBorders/>
            <w:tcMar>
              <w:top w:w="0" w:type="dxa"/>
              <w:left w:w="0" w:type="dxa"/>
              <w:bottom w:w="0" w:type="dxa"/>
              <w:right w:w="0" w:type="dxa"/>
            </w:tcMar>
            <w:vAlign w:val="center"/>
          </w:tcPr>
          <w:p>
            <w:pPr>
              <w:pStyle w:val="TableContents"/>
              <w:jc w:val="center"/>
              <w:rPr/>
            </w:pPr>
            <w:r>
              <w:rPr/>
              <w:t>.02</w:t>
            </w:r>
          </w:p>
        </w:tc>
        <w:tc>
          <w:tcPr>
            <w:tcW w:w="972" w:type="dxa"/>
            <w:tcBorders/>
            <w:tcMar>
              <w:top w:w="0" w:type="dxa"/>
              <w:left w:w="0" w:type="dxa"/>
              <w:bottom w:w="0" w:type="dxa"/>
              <w:right w:w="0" w:type="dxa"/>
            </w:tcMar>
            <w:vAlign w:val="center"/>
          </w:tcPr>
          <w:p>
            <w:pPr>
              <w:pStyle w:val="TableContents"/>
              <w:jc w:val="center"/>
              <w:rPr/>
            </w:pPr>
            <w:r>
              <w:rPr/>
              <w:t>--</w:t>
            </w:r>
          </w:p>
        </w:tc>
        <w:tc>
          <w:tcPr>
            <w:tcW w:w="1872" w:type="dxa"/>
            <w:tcBorders/>
            <w:tcMar>
              <w:top w:w="0" w:type="dxa"/>
              <w:left w:w="0" w:type="dxa"/>
              <w:bottom w:w="0" w:type="dxa"/>
              <w:right w:w="0" w:type="dxa"/>
            </w:tcMar>
            <w:vAlign w:val="center"/>
          </w:tcPr>
          <w:p>
            <w:pPr>
              <w:pStyle w:val="TableContents"/>
              <w:jc w:val="center"/>
              <w:rPr/>
            </w:pPr>
            <w:r>
              <w:rPr/>
              <w:t>.93</w:t>
            </w:r>
          </w:p>
        </w:tc>
      </w:tr>
      <w:tr>
        <w:trPr/>
        <w:tc>
          <w:tcPr>
            <w:tcW w:w="4309" w:type="dxa"/>
            <w:tcBorders/>
            <w:tcMar>
              <w:top w:w="0" w:type="dxa"/>
              <w:left w:w="0" w:type="dxa"/>
              <w:bottom w:w="0" w:type="dxa"/>
              <w:right w:w="0" w:type="dxa"/>
            </w:tcMar>
          </w:tcPr>
          <w:p>
            <w:pPr>
              <w:pStyle w:val="TableContents"/>
              <w:widowControl w:val="false"/>
              <w:suppressLineNumbers/>
              <w:suppressAutoHyphens w:val="true"/>
              <w:overflowPunct w:val="false"/>
              <w:bidi w:val="0"/>
              <w:spacing w:before="0" w:after="0"/>
              <w:ind w:hanging="0" w:left="850" w:right="0"/>
              <w:jc w:val="left"/>
              <w:rPr/>
            </w:pPr>
            <w:r>
              <w:rPr/>
              <w:t>Age</w:t>
            </w:r>
          </w:p>
        </w:tc>
        <w:tc>
          <w:tcPr>
            <w:tcW w:w="1524" w:type="dxa"/>
            <w:tcBorders/>
            <w:tcMar>
              <w:top w:w="0" w:type="dxa"/>
              <w:left w:w="0" w:type="dxa"/>
              <w:bottom w:w="0" w:type="dxa"/>
              <w:right w:w="0" w:type="dxa"/>
            </w:tcMar>
            <w:vAlign w:val="center"/>
          </w:tcPr>
          <w:p>
            <w:pPr>
              <w:pStyle w:val="TableContents"/>
              <w:jc w:val="center"/>
              <w:rPr/>
            </w:pPr>
            <w:r>
              <w:rPr/>
              <w:t>-.11</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widowControl w:val="false"/>
              <w:suppressLineNumbers/>
              <w:suppressAutoHyphens w:val="true"/>
              <w:overflowPunct w:val="false"/>
              <w:bidi w:val="0"/>
              <w:spacing w:before="0" w:after="0"/>
              <w:ind w:hanging="0" w:left="850" w:right="0"/>
              <w:jc w:val="left"/>
              <w:rPr/>
            </w:pPr>
            <w:r>
              <w:rPr/>
              <w:t>Race</w:t>
            </w:r>
          </w:p>
        </w:tc>
        <w:tc>
          <w:tcPr>
            <w:tcW w:w="1524" w:type="dxa"/>
            <w:tcBorders/>
            <w:tcMar>
              <w:top w:w="0" w:type="dxa"/>
              <w:left w:w="0" w:type="dxa"/>
              <w:bottom w:w="0" w:type="dxa"/>
              <w:right w:w="0" w:type="dxa"/>
            </w:tcMar>
            <w:vAlign w:val="center"/>
          </w:tcPr>
          <w:p>
            <w:pPr>
              <w:pStyle w:val="TableContents"/>
              <w:jc w:val="center"/>
              <w:rPr/>
            </w:pPr>
            <w:r>
              <w:rPr/>
              <w:t>.06</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widowControl w:val="false"/>
              <w:suppressLineNumbers/>
              <w:suppressAutoHyphens w:val="true"/>
              <w:overflowPunct w:val="false"/>
              <w:bidi w:val="0"/>
              <w:spacing w:before="0" w:after="0"/>
              <w:ind w:hanging="0" w:left="567" w:right="0"/>
              <w:jc w:val="left"/>
              <w:rPr>
                <w:rFonts w:ascii="Times New Roman" w:hAnsi="Times New Roman" w:eastAsia="Times New Roman" w:cs="Times New Roman"/>
                <w:color w:val="auto"/>
                <w:kern w:val="0"/>
                <w:sz w:val="24"/>
                <w:szCs w:val="24"/>
                <w:lang w:val="es-AR" w:eastAsia="es-ES_tradnl" w:bidi="hi-IN"/>
              </w:rPr>
            </w:pPr>
            <w:r>
              <w:rPr>
                <w:rFonts w:eastAsia="Times New Roman" w:cs="Times New Roman"/>
                <w:color w:val="auto"/>
                <w:kern w:val="0"/>
                <w:sz w:val="24"/>
                <w:szCs w:val="24"/>
                <w:lang w:val="es-AR" w:eastAsia="es-ES_tradnl" w:bidi="hi-IN"/>
              </w:rPr>
              <w:t>Step 2: Sport predictors</w:t>
            </w:r>
          </w:p>
        </w:tc>
        <w:tc>
          <w:tcPr>
            <w:tcW w:w="1524" w:type="dxa"/>
            <w:tcBorders/>
            <w:tcMar>
              <w:top w:w="0" w:type="dxa"/>
              <w:left w:w="0" w:type="dxa"/>
              <w:bottom w:w="0" w:type="dxa"/>
              <w:right w:w="0" w:type="dxa"/>
            </w:tcMar>
            <w:vAlign w:val="center"/>
          </w:tcPr>
          <w:p>
            <w:pPr>
              <w:pStyle w:val="TableContents"/>
              <w:jc w:val="center"/>
              <w:rPr/>
            </w:pPr>
            <w:r>
              <w:rPr/>
            </w:r>
          </w:p>
        </w:tc>
        <w:tc>
          <w:tcPr>
            <w:tcW w:w="683" w:type="dxa"/>
            <w:tcBorders/>
            <w:tcMar>
              <w:top w:w="0" w:type="dxa"/>
              <w:left w:w="0" w:type="dxa"/>
              <w:bottom w:w="0" w:type="dxa"/>
              <w:right w:w="0" w:type="dxa"/>
            </w:tcMar>
            <w:vAlign w:val="center"/>
          </w:tcPr>
          <w:p>
            <w:pPr>
              <w:pStyle w:val="TableContents"/>
              <w:jc w:val="center"/>
              <w:rPr/>
            </w:pPr>
            <w:r>
              <w:rPr/>
              <w:t>.27</w:t>
            </w:r>
          </w:p>
        </w:tc>
        <w:tc>
          <w:tcPr>
            <w:tcW w:w="972" w:type="dxa"/>
            <w:tcBorders/>
            <w:tcMar>
              <w:top w:w="0" w:type="dxa"/>
              <w:left w:w="0" w:type="dxa"/>
              <w:bottom w:w="0" w:type="dxa"/>
              <w:right w:w="0" w:type="dxa"/>
            </w:tcMar>
            <w:vAlign w:val="center"/>
          </w:tcPr>
          <w:p>
            <w:pPr>
              <w:pStyle w:val="TableContents"/>
              <w:jc w:val="center"/>
              <w:rPr/>
            </w:pPr>
            <w:r>
              <w:rPr/>
              <w:t>.25</w:t>
            </w:r>
          </w:p>
        </w:tc>
        <w:tc>
          <w:tcPr>
            <w:tcW w:w="1872" w:type="dxa"/>
            <w:tcBorders/>
            <w:tcMar>
              <w:top w:w="0" w:type="dxa"/>
              <w:left w:w="0" w:type="dxa"/>
              <w:bottom w:w="0" w:type="dxa"/>
              <w:right w:w="0" w:type="dxa"/>
            </w:tcMar>
            <w:vAlign w:val="center"/>
          </w:tcPr>
          <w:p>
            <w:pPr>
              <w:pStyle w:val="TableContents"/>
              <w:jc w:val="center"/>
              <w:rPr/>
            </w:pPr>
            <w:r>
              <w:rPr/>
              <w:t>8.43***</w:t>
            </w:r>
          </w:p>
        </w:tc>
      </w:tr>
      <w:tr>
        <w:trPr/>
        <w:tc>
          <w:tcPr>
            <w:tcW w:w="4309" w:type="dxa"/>
            <w:tcBorders/>
            <w:tcMar>
              <w:top w:w="0" w:type="dxa"/>
              <w:left w:w="0" w:type="dxa"/>
              <w:bottom w:w="0" w:type="dxa"/>
              <w:right w:w="0" w:type="dxa"/>
            </w:tcMar>
          </w:tcPr>
          <w:p>
            <w:pPr>
              <w:pStyle w:val="TableContents"/>
              <w:widowControl w:val="false"/>
              <w:suppressLineNumbers/>
              <w:tabs>
                <w:tab w:val="clear" w:pos="720"/>
                <w:tab w:val="left" w:pos="847" w:leader="none"/>
              </w:tabs>
              <w:suppressAutoHyphens w:val="true"/>
              <w:overflowPunct w:val="false"/>
              <w:bidi w:val="0"/>
              <w:spacing w:before="0" w:after="0"/>
              <w:ind w:hanging="0" w:left="850" w:right="0"/>
              <w:jc w:val="left"/>
              <w:rPr>
                <w:rFonts w:ascii="Times New Roman" w:hAnsi="Times New Roman" w:eastAsia="Times New Roman" w:cs="Times New Roman"/>
                <w:color w:val="auto"/>
                <w:kern w:val="0"/>
                <w:sz w:val="24"/>
                <w:szCs w:val="24"/>
                <w:lang w:val="es-AR" w:eastAsia="es-ES_tradnl" w:bidi="hi-IN"/>
              </w:rPr>
            </w:pPr>
            <w:r>
              <w:rPr>
                <w:rFonts w:eastAsia="Times New Roman" w:cs="Times New Roman"/>
                <w:color w:val="auto"/>
                <w:kern w:val="0"/>
                <w:sz w:val="24"/>
                <w:szCs w:val="24"/>
                <w:lang w:val="es-AR" w:eastAsia="es-ES_tradnl" w:bidi="hi-IN"/>
              </w:rPr>
              <w:t>Mental toughness</w:t>
            </w:r>
          </w:p>
        </w:tc>
        <w:tc>
          <w:tcPr>
            <w:tcW w:w="1524" w:type="dxa"/>
            <w:tcBorders/>
            <w:tcMar>
              <w:top w:w="0" w:type="dxa"/>
              <w:left w:w="0" w:type="dxa"/>
              <w:bottom w:w="0" w:type="dxa"/>
              <w:right w:w="0" w:type="dxa"/>
            </w:tcMar>
            <w:vAlign w:val="center"/>
          </w:tcPr>
          <w:p>
            <w:pPr>
              <w:pStyle w:val="TableContents"/>
              <w:jc w:val="center"/>
              <w:rPr/>
            </w:pPr>
            <w:r>
              <w:rPr/>
              <w:t>.05</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widowControl w:val="false"/>
              <w:suppressLineNumbers/>
              <w:tabs>
                <w:tab w:val="clear" w:pos="720"/>
                <w:tab w:val="left" w:pos="847" w:leader="none"/>
              </w:tabs>
              <w:suppressAutoHyphens w:val="true"/>
              <w:overflowPunct w:val="false"/>
              <w:bidi w:val="0"/>
              <w:spacing w:before="0" w:after="0"/>
              <w:ind w:hanging="0" w:left="850" w:right="0"/>
              <w:jc w:val="left"/>
              <w:rPr>
                <w:rFonts w:ascii="Times New Roman" w:hAnsi="Times New Roman" w:eastAsia="Times New Roman" w:cs="Times New Roman"/>
                <w:color w:val="auto"/>
                <w:kern w:val="0"/>
                <w:sz w:val="24"/>
                <w:szCs w:val="24"/>
                <w:lang w:val="es-AR" w:eastAsia="es-ES_tradnl" w:bidi="hi-IN"/>
              </w:rPr>
            </w:pPr>
            <w:r>
              <w:rPr>
                <w:rFonts w:eastAsia="Times New Roman" w:cs="Times New Roman"/>
                <w:color w:val="auto"/>
                <w:kern w:val="0"/>
                <w:sz w:val="24"/>
                <w:szCs w:val="24"/>
                <w:lang w:val="es-AR" w:eastAsia="es-ES_tradnl" w:bidi="hi-IN"/>
              </w:rPr>
              <w:t>Intrinsic motivation</w:t>
            </w:r>
          </w:p>
        </w:tc>
        <w:tc>
          <w:tcPr>
            <w:tcW w:w="1524" w:type="dxa"/>
            <w:tcBorders/>
            <w:tcMar>
              <w:top w:w="0" w:type="dxa"/>
              <w:left w:w="0" w:type="dxa"/>
              <w:bottom w:w="0" w:type="dxa"/>
              <w:right w:w="0" w:type="dxa"/>
            </w:tcMar>
            <w:vAlign w:val="center"/>
          </w:tcPr>
          <w:p>
            <w:pPr>
              <w:pStyle w:val="TableContents"/>
              <w:jc w:val="center"/>
              <w:rPr/>
            </w:pPr>
            <w:r>
              <w:rPr/>
              <w:t>-.15</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widowControl w:val="false"/>
              <w:suppressLineNumbers/>
              <w:tabs>
                <w:tab w:val="clear" w:pos="720"/>
                <w:tab w:val="left" w:pos="847" w:leader="none"/>
              </w:tabs>
              <w:suppressAutoHyphens w:val="true"/>
              <w:overflowPunct w:val="false"/>
              <w:bidi w:val="0"/>
              <w:spacing w:before="0" w:after="0"/>
              <w:ind w:hanging="0" w:left="850" w:right="0"/>
              <w:jc w:val="left"/>
              <w:rPr>
                <w:rFonts w:ascii="Times New Roman" w:hAnsi="Times New Roman" w:eastAsia="Times New Roman" w:cs="Times New Roman"/>
                <w:color w:val="auto"/>
                <w:kern w:val="0"/>
                <w:sz w:val="24"/>
                <w:szCs w:val="24"/>
                <w:lang w:val="es-AR" w:eastAsia="es-ES_tradnl" w:bidi="hi-IN"/>
              </w:rPr>
            </w:pPr>
            <w:r>
              <w:rPr>
                <w:rFonts w:eastAsia="Times New Roman" w:cs="Times New Roman"/>
                <w:color w:val="auto"/>
                <w:kern w:val="0"/>
                <w:sz w:val="24"/>
                <w:szCs w:val="24"/>
                <w:lang w:val="es-AR" w:eastAsia="es-ES_tradnl" w:bidi="hi-IN"/>
              </w:rPr>
              <w:t>Extrinsic motivation</w:t>
            </w:r>
          </w:p>
        </w:tc>
        <w:tc>
          <w:tcPr>
            <w:tcW w:w="1524" w:type="dxa"/>
            <w:tcBorders/>
            <w:tcMar>
              <w:top w:w="0" w:type="dxa"/>
              <w:left w:w="0" w:type="dxa"/>
              <w:bottom w:w="0" w:type="dxa"/>
              <w:right w:w="0" w:type="dxa"/>
            </w:tcMar>
            <w:vAlign w:val="center"/>
          </w:tcPr>
          <w:p>
            <w:pPr>
              <w:pStyle w:val="TableContents"/>
              <w:jc w:val="center"/>
              <w:rPr/>
            </w:pPr>
            <w:r>
              <w:rPr/>
              <w:t>.07</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widowControl w:val="false"/>
              <w:suppressLineNumbers/>
              <w:tabs>
                <w:tab w:val="clear" w:pos="720"/>
                <w:tab w:val="left" w:pos="847" w:leader="none"/>
              </w:tabs>
              <w:suppressAutoHyphens w:val="true"/>
              <w:overflowPunct w:val="false"/>
              <w:bidi w:val="0"/>
              <w:spacing w:before="0" w:after="0"/>
              <w:ind w:hanging="0" w:left="850" w:right="0"/>
              <w:jc w:val="left"/>
              <w:rPr/>
            </w:pPr>
            <w:r>
              <w:rPr/>
              <w:t>Amotivation</w:t>
            </w:r>
          </w:p>
        </w:tc>
        <w:tc>
          <w:tcPr>
            <w:tcW w:w="1524" w:type="dxa"/>
            <w:tcBorders/>
            <w:tcMar>
              <w:top w:w="0" w:type="dxa"/>
              <w:left w:w="0" w:type="dxa"/>
              <w:bottom w:w="0" w:type="dxa"/>
              <w:right w:w="0" w:type="dxa"/>
            </w:tcMar>
            <w:vAlign w:val="center"/>
          </w:tcPr>
          <w:p>
            <w:pPr>
              <w:pStyle w:val="TableContents"/>
              <w:jc w:val="center"/>
              <w:rPr/>
            </w:pPr>
            <w:r>
              <w:rPr/>
              <w:t>.47***</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rPr>
                <w:b/>
                <w:bCs/>
              </w:rPr>
            </w:pPr>
            <w:r>
              <w:rPr>
                <w:b/>
                <w:bCs/>
              </w:rPr>
              <w:t>Worry</w:t>
            </w:r>
          </w:p>
        </w:tc>
        <w:tc>
          <w:tcPr>
            <w:tcW w:w="1524" w:type="dxa"/>
            <w:tcBorders/>
            <w:tcMar>
              <w:top w:w="0" w:type="dxa"/>
              <w:left w:w="0" w:type="dxa"/>
              <w:bottom w:w="0" w:type="dxa"/>
              <w:right w:w="0" w:type="dxa"/>
            </w:tcMar>
            <w:vAlign w:val="center"/>
          </w:tcPr>
          <w:p>
            <w:pPr>
              <w:pStyle w:val="TableContents"/>
              <w:jc w:val="center"/>
              <w:rPr/>
            </w:pPr>
            <w:r>
              <w:rPr/>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widowControl w:val="false"/>
              <w:suppressLineNumbers/>
              <w:suppressAutoHyphens w:val="true"/>
              <w:overflowPunct w:val="false"/>
              <w:bidi w:val="0"/>
              <w:spacing w:before="0" w:after="0"/>
              <w:ind w:hanging="0" w:left="567" w:right="0"/>
              <w:jc w:val="left"/>
              <w:rPr/>
            </w:pPr>
            <w:r>
              <w:rPr/>
              <w:t>Step 1: Demographics</w:t>
            </w:r>
          </w:p>
        </w:tc>
        <w:tc>
          <w:tcPr>
            <w:tcW w:w="1524" w:type="dxa"/>
            <w:tcBorders/>
            <w:tcMar>
              <w:top w:w="0" w:type="dxa"/>
              <w:left w:w="0" w:type="dxa"/>
              <w:bottom w:w="0" w:type="dxa"/>
              <w:right w:w="0" w:type="dxa"/>
            </w:tcMar>
            <w:vAlign w:val="center"/>
          </w:tcPr>
          <w:p>
            <w:pPr>
              <w:pStyle w:val="TableContents"/>
              <w:jc w:val="center"/>
              <w:rPr/>
            </w:pPr>
            <w:r>
              <w:rPr/>
            </w:r>
          </w:p>
        </w:tc>
        <w:tc>
          <w:tcPr>
            <w:tcW w:w="683" w:type="dxa"/>
            <w:tcBorders/>
            <w:tcMar>
              <w:top w:w="0" w:type="dxa"/>
              <w:left w:w="0" w:type="dxa"/>
              <w:bottom w:w="0" w:type="dxa"/>
              <w:right w:w="0" w:type="dxa"/>
            </w:tcMar>
            <w:vAlign w:val="center"/>
          </w:tcPr>
          <w:p>
            <w:pPr>
              <w:pStyle w:val="TableContents"/>
              <w:jc w:val="center"/>
              <w:rPr/>
            </w:pPr>
            <w:r>
              <w:rPr/>
              <w:t>.04</w:t>
            </w:r>
          </w:p>
        </w:tc>
        <w:tc>
          <w:tcPr>
            <w:tcW w:w="972" w:type="dxa"/>
            <w:tcBorders/>
            <w:tcMar>
              <w:top w:w="0" w:type="dxa"/>
              <w:left w:w="0" w:type="dxa"/>
              <w:bottom w:w="0" w:type="dxa"/>
              <w:right w:w="0" w:type="dxa"/>
            </w:tcMar>
            <w:vAlign w:val="center"/>
          </w:tcPr>
          <w:p>
            <w:pPr>
              <w:pStyle w:val="TableContents"/>
              <w:jc w:val="center"/>
              <w:rPr/>
            </w:pPr>
            <w:r>
              <w:rPr/>
              <w:t>--</w:t>
            </w:r>
          </w:p>
        </w:tc>
        <w:tc>
          <w:tcPr>
            <w:tcW w:w="1872" w:type="dxa"/>
            <w:tcBorders/>
            <w:tcMar>
              <w:top w:w="0" w:type="dxa"/>
              <w:left w:w="0" w:type="dxa"/>
              <w:bottom w:w="0" w:type="dxa"/>
              <w:right w:w="0" w:type="dxa"/>
            </w:tcMar>
            <w:vAlign w:val="center"/>
          </w:tcPr>
          <w:p>
            <w:pPr>
              <w:pStyle w:val="TableContents"/>
              <w:jc w:val="center"/>
              <w:rPr/>
            </w:pPr>
            <w:r>
              <w:rPr/>
              <w:t>1.98</w:t>
            </w:r>
          </w:p>
        </w:tc>
      </w:tr>
      <w:tr>
        <w:trPr/>
        <w:tc>
          <w:tcPr>
            <w:tcW w:w="4309" w:type="dxa"/>
            <w:tcBorders/>
            <w:tcMar>
              <w:top w:w="0" w:type="dxa"/>
              <w:left w:w="0" w:type="dxa"/>
              <w:bottom w:w="0" w:type="dxa"/>
              <w:right w:w="0" w:type="dxa"/>
            </w:tcMar>
          </w:tcPr>
          <w:p>
            <w:pPr>
              <w:pStyle w:val="TableContents"/>
              <w:widowControl w:val="false"/>
              <w:suppressLineNumbers/>
              <w:suppressAutoHyphens w:val="true"/>
              <w:overflowPunct w:val="false"/>
              <w:bidi w:val="0"/>
              <w:spacing w:before="0" w:after="0"/>
              <w:ind w:hanging="0" w:left="850" w:right="0"/>
              <w:jc w:val="left"/>
              <w:rPr/>
            </w:pPr>
            <w:r>
              <w:rPr/>
              <w:t>Age</w:t>
            </w:r>
          </w:p>
        </w:tc>
        <w:tc>
          <w:tcPr>
            <w:tcW w:w="1524" w:type="dxa"/>
            <w:tcBorders/>
            <w:tcMar>
              <w:top w:w="0" w:type="dxa"/>
              <w:left w:w="0" w:type="dxa"/>
              <w:bottom w:w="0" w:type="dxa"/>
              <w:right w:w="0" w:type="dxa"/>
            </w:tcMar>
            <w:vAlign w:val="center"/>
          </w:tcPr>
          <w:p>
            <w:pPr>
              <w:pStyle w:val="TableContents"/>
              <w:jc w:val="center"/>
              <w:rPr/>
            </w:pPr>
            <w:r>
              <w:rPr/>
              <w:t>-.17</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widowControl w:val="false"/>
              <w:suppressLineNumbers/>
              <w:suppressAutoHyphens w:val="true"/>
              <w:overflowPunct w:val="false"/>
              <w:bidi w:val="0"/>
              <w:spacing w:before="0" w:after="0"/>
              <w:ind w:hanging="0" w:left="850" w:right="0"/>
              <w:jc w:val="left"/>
              <w:rPr/>
            </w:pPr>
            <w:r>
              <w:rPr/>
              <w:t>Race</w:t>
            </w:r>
          </w:p>
        </w:tc>
        <w:tc>
          <w:tcPr>
            <w:tcW w:w="1524" w:type="dxa"/>
            <w:tcBorders/>
            <w:tcMar>
              <w:top w:w="0" w:type="dxa"/>
              <w:left w:w="0" w:type="dxa"/>
              <w:bottom w:w="0" w:type="dxa"/>
              <w:right w:w="0" w:type="dxa"/>
            </w:tcMar>
            <w:vAlign w:val="center"/>
          </w:tcPr>
          <w:p>
            <w:pPr>
              <w:pStyle w:val="TableContents"/>
              <w:jc w:val="center"/>
              <w:rPr/>
            </w:pPr>
            <w:r>
              <w:rPr/>
              <w:t>.08</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widowControl w:val="false"/>
              <w:suppressLineNumbers/>
              <w:suppressAutoHyphens w:val="true"/>
              <w:overflowPunct w:val="false"/>
              <w:bidi w:val="0"/>
              <w:spacing w:before="0" w:after="0"/>
              <w:ind w:hanging="0" w:left="567" w:right="0"/>
              <w:jc w:val="left"/>
              <w:rPr>
                <w:rFonts w:ascii="Times New Roman" w:hAnsi="Times New Roman" w:eastAsia="Times New Roman" w:cs="Times New Roman"/>
                <w:color w:val="auto"/>
                <w:kern w:val="0"/>
                <w:sz w:val="24"/>
                <w:szCs w:val="24"/>
                <w:lang w:val="es-AR" w:eastAsia="es-ES_tradnl" w:bidi="hi-IN"/>
              </w:rPr>
            </w:pPr>
            <w:r>
              <w:rPr>
                <w:rFonts w:eastAsia="Times New Roman" w:cs="Times New Roman"/>
                <w:color w:val="auto"/>
                <w:kern w:val="0"/>
                <w:sz w:val="24"/>
                <w:szCs w:val="24"/>
                <w:lang w:val="es-AR" w:eastAsia="es-ES_tradnl" w:bidi="hi-IN"/>
              </w:rPr>
              <w:t>Step 2: Sport predictors</w:t>
            </w:r>
          </w:p>
        </w:tc>
        <w:tc>
          <w:tcPr>
            <w:tcW w:w="1524" w:type="dxa"/>
            <w:tcBorders/>
            <w:tcMar>
              <w:top w:w="0" w:type="dxa"/>
              <w:left w:w="0" w:type="dxa"/>
              <w:bottom w:w="0" w:type="dxa"/>
              <w:right w:w="0" w:type="dxa"/>
            </w:tcMar>
            <w:vAlign w:val="center"/>
          </w:tcPr>
          <w:p>
            <w:pPr>
              <w:pStyle w:val="TableContents"/>
              <w:jc w:val="center"/>
              <w:rPr/>
            </w:pPr>
            <w:r>
              <w:rPr/>
            </w:r>
          </w:p>
        </w:tc>
        <w:tc>
          <w:tcPr>
            <w:tcW w:w="683" w:type="dxa"/>
            <w:tcBorders/>
            <w:tcMar>
              <w:top w:w="0" w:type="dxa"/>
              <w:left w:w="0" w:type="dxa"/>
              <w:bottom w:w="0" w:type="dxa"/>
              <w:right w:w="0" w:type="dxa"/>
            </w:tcMar>
            <w:vAlign w:val="center"/>
          </w:tcPr>
          <w:p>
            <w:pPr>
              <w:pStyle w:val="TableContents"/>
              <w:jc w:val="center"/>
              <w:rPr/>
            </w:pPr>
            <w:r>
              <w:rPr/>
              <w:t>.18</w:t>
            </w:r>
          </w:p>
        </w:tc>
        <w:tc>
          <w:tcPr>
            <w:tcW w:w="972" w:type="dxa"/>
            <w:tcBorders/>
            <w:tcMar>
              <w:top w:w="0" w:type="dxa"/>
              <w:left w:w="0" w:type="dxa"/>
              <w:bottom w:w="0" w:type="dxa"/>
              <w:right w:w="0" w:type="dxa"/>
            </w:tcMar>
            <w:vAlign w:val="center"/>
          </w:tcPr>
          <w:p>
            <w:pPr>
              <w:pStyle w:val="TableContents"/>
              <w:jc w:val="center"/>
              <w:rPr/>
            </w:pPr>
            <w:r>
              <w:rPr/>
              <w:t>.15</w:t>
            </w:r>
          </w:p>
        </w:tc>
        <w:tc>
          <w:tcPr>
            <w:tcW w:w="1872" w:type="dxa"/>
            <w:tcBorders/>
            <w:tcMar>
              <w:top w:w="0" w:type="dxa"/>
              <w:left w:w="0" w:type="dxa"/>
              <w:bottom w:w="0" w:type="dxa"/>
              <w:right w:w="0" w:type="dxa"/>
            </w:tcMar>
            <w:vAlign w:val="center"/>
          </w:tcPr>
          <w:p>
            <w:pPr>
              <w:pStyle w:val="TableContents"/>
              <w:jc w:val="center"/>
              <w:rPr/>
            </w:pPr>
            <w:r>
              <w:rPr/>
              <w:t>4.46**</w:t>
            </w:r>
          </w:p>
        </w:tc>
      </w:tr>
      <w:tr>
        <w:trPr/>
        <w:tc>
          <w:tcPr>
            <w:tcW w:w="4309" w:type="dxa"/>
            <w:tcBorders/>
            <w:tcMar>
              <w:top w:w="0" w:type="dxa"/>
              <w:left w:w="0" w:type="dxa"/>
              <w:bottom w:w="0" w:type="dxa"/>
              <w:right w:w="0" w:type="dxa"/>
            </w:tcMar>
          </w:tcPr>
          <w:p>
            <w:pPr>
              <w:pStyle w:val="TableContents"/>
              <w:widowControl w:val="false"/>
              <w:suppressLineNumbers/>
              <w:tabs>
                <w:tab w:val="clear" w:pos="720"/>
                <w:tab w:val="left" w:pos="847" w:leader="none"/>
              </w:tabs>
              <w:suppressAutoHyphens w:val="true"/>
              <w:overflowPunct w:val="false"/>
              <w:bidi w:val="0"/>
              <w:spacing w:before="0" w:after="0"/>
              <w:ind w:hanging="0" w:left="850" w:right="0"/>
              <w:jc w:val="left"/>
              <w:rPr>
                <w:rFonts w:ascii="Times New Roman" w:hAnsi="Times New Roman" w:eastAsia="Times New Roman" w:cs="Times New Roman"/>
                <w:color w:val="auto"/>
                <w:kern w:val="0"/>
                <w:sz w:val="24"/>
                <w:szCs w:val="24"/>
                <w:lang w:val="es-AR" w:eastAsia="es-ES_tradnl" w:bidi="hi-IN"/>
              </w:rPr>
            </w:pPr>
            <w:r>
              <w:rPr>
                <w:rFonts w:eastAsia="Times New Roman" w:cs="Times New Roman"/>
                <w:color w:val="auto"/>
                <w:kern w:val="0"/>
                <w:sz w:val="24"/>
                <w:szCs w:val="24"/>
                <w:lang w:val="es-AR" w:eastAsia="es-ES_tradnl" w:bidi="hi-IN"/>
              </w:rPr>
              <w:t>Mental toughness</w:t>
            </w:r>
          </w:p>
        </w:tc>
        <w:tc>
          <w:tcPr>
            <w:tcW w:w="1524" w:type="dxa"/>
            <w:tcBorders/>
            <w:tcMar>
              <w:top w:w="0" w:type="dxa"/>
              <w:left w:w="0" w:type="dxa"/>
              <w:bottom w:w="0" w:type="dxa"/>
              <w:right w:w="0" w:type="dxa"/>
            </w:tcMar>
            <w:vAlign w:val="center"/>
          </w:tcPr>
          <w:p>
            <w:pPr>
              <w:pStyle w:val="TableContents"/>
              <w:jc w:val="center"/>
              <w:rPr/>
            </w:pPr>
            <w:r>
              <w:rPr/>
              <w:t>-.16</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widowControl w:val="false"/>
              <w:suppressLineNumbers/>
              <w:tabs>
                <w:tab w:val="clear" w:pos="720"/>
                <w:tab w:val="left" w:pos="847" w:leader="none"/>
              </w:tabs>
              <w:suppressAutoHyphens w:val="true"/>
              <w:overflowPunct w:val="false"/>
              <w:bidi w:val="0"/>
              <w:spacing w:before="0" w:after="0"/>
              <w:ind w:hanging="0" w:left="850" w:right="0"/>
              <w:jc w:val="left"/>
              <w:rPr>
                <w:rFonts w:ascii="Times New Roman" w:hAnsi="Times New Roman" w:eastAsia="Times New Roman" w:cs="Times New Roman"/>
                <w:color w:val="auto"/>
                <w:kern w:val="0"/>
                <w:sz w:val="24"/>
                <w:szCs w:val="24"/>
                <w:lang w:val="es-AR" w:eastAsia="es-ES_tradnl" w:bidi="hi-IN"/>
              </w:rPr>
            </w:pPr>
            <w:r>
              <w:rPr>
                <w:rFonts w:eastAsia="Times New Roman" w:cs="Times New Roman"/>
                <w:color w:val="auto"/>
                <w:kern w:val="0"/>
                <w:sz w:val="24"/>
                <w:szCs w:val="24"/>
                <w:lang w:val="es-AR" w:eastAsia="es-ES_tradnl" w:bidi="hi-IN"/>
              </w:rPr>
              <w:t>Intrinsic motivation</w:t>
            </w:r>
          </w:p>
        </w:tc>
        <w:tc>
          <w:tcPr>
            <w:tcW w:w="1524" w:type="dxa"/>
            <w:tcBorders/>
            <w:tcMar>
              <w:top w:w="0" w:type="dxa"/>
              <w:left w:w="0" w:type="dxa"/>
              <w:bottom w:w="0" w:type="dxa"/>
              <w:right w:w="0" w:type="dxa"/>
            </w:tcMar>
            <w:vAlign w:val="center"/>
          </w:tcPr>
          <w:p>
            <w:pPr>
              <w:pStyle w:val="TableContents"/>
              <w:jc w:val="center"/>
              <w:rPr/>
            </w:pPr>
            <w:r>
              <w:rPr/>
              <w:t>.42***</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widowControl w:val="false"/>
              <w:suppressLineNumbers/>
              <w:tabs>
                <w:tab w:val="clear" w:pos="720"/>
                <w:tab w:val="left" w:pos="847" w:leader="none"/>
              </w:tabs>
              <w:suppressAutoHyphens w:val="true"/>
              <w:overflowPunct w:val="false"/>
              <w:bidi w:val="0"/>
              <w:spacing w:before="0" w:after="0"/>
              <w:ind w:hanging="0" w:left="850" w:right="0"/>
              <w:jc w:val="left"/>
              <w:rPr>
                <w:rFonts w:ascii="Times New Roman" w:hAnsi="Times New Roman" w:eastAsia="Times New Roman" w:cs="Times New Roman"/>
                <w:color w:val="auto"/>
                <w:kern w:val="0"/>
                <w:sz w:val="24"/>
                <w:szCs w:val="24"/>
                <w:lang w:val="es-AR" w:eastAsia="es-ES_tradnl" w:bidi="hi-IN"/>
              </w:rPr>
            </w:pPr>
            <w:r>
              <w:rPr>
                <w:rFonts w:eastAsia="Times New Roman" w:cs="Times New Roman"/>
                <w:color w:val="auto"/>
                <w:kern w:val="0"/>
                <w:sz w:val="24"/>
                <w:szCs w:val="24"/>
                <w:lang w:val="es-AR" w:eastAsia="es-ES_tradnl" w:bidi="hi-IN"/>
              </w:rPr>
              <w:t>Extrinsic motivation</w:t>
            </w:r>
          </w:p>
        </w:tc>
        <w:tc>
          <w:tcPr>
            <w:tcW w:w="1524" w:type="dxa"/>
            <w:tcBorders/>
            <w:tcMar>
              <w:top w:w="0" w:type="dxa"/>
              <w:left w:w="0" w:type="dxa"/>
              <w:bottom w:w="0" w:type="dxa"/>
              <w:right w:w="0" w:type="dxa"/>
            </w:tcMar>
            <w:vAlign w:val="center"/>
          </w:tcPr>
          <w:p>
            <w:pPr>
              <w:pStyle w:val="TableContents"/>
              <w:jc w:val="center"/>
              <w:rPr/>
            </w:pPr>
            <w:r>
              <w:rPr/>
              <w:t>-.05</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widowControl w:val="false"/>
              <w:suppressLineNumbers/>
              <w:tabs>
                <w:tab w:val="clear" w:pos="720"/>
                <w:tab w:val="left" w:pos="847" w:leader="none"/>
              </w:tabs>
              <w:suppressAutoHyphens w:val="true"/>
              <w:overflowPunct w:val="false"/>
              <w:bidi w:val="0"/>
              <w:spacing w:before="0" w:after="0"/>
              <w:ind w:hanging="0" w:left="850" w:right="0"/>
              <w:jc w:val="left"/>
              <w:rPr/>
            </w:pPr>
            <w:r>
              <w:rPr/>
              <w:t>Amotivation</w:t>
            </w:r>
          </w:p>
        </w:tc>
        <w:tc>
          <w:tcPr>
            <w:tcW w:w="1524" w:type="dxa"/>
            <w:tcBorders/>
            <w:tcMar>
              <w:top w:w="0" w:type="dxa"/>
              <w:left w:w="0" w:type="dxa"/>
              <w:bottom w:w="0" w:type="dxa"/>
              <w:right w:w="0" w:type="dxa"/>
            </w:tcMar>
            <w:vAlign w:val="center"/>
          </w:tcPr>
          <w:p>
            <w:pPr>
              <w:pStyle w:val="TableContents"/>
              <w:jc w:val="center"/>
              <w:rPr/>
            </w:pPr>
            <w:r>
              <w:rPr/>
              <w:t>.16</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rPr>
                <w:b/>
                <w:bCs/>
              </w:rPr>
            </w:pPr>
            <w:r>
              <w:rPr>
                <w:b/>
                <w:bCs/>
              </w:rPr>
              <w:t>Concentration disruption</w:t>
            </w:r>
          </w:p>
        </w:tc>
        <w:tc>
          <w:tcPr>
            <w:tcW w:w="1524" w:type="dxa"/>
            <w:tcBorders/>
            <w:tcMar>
              <w:top w:w="0" w:type="dxa"/>
              <w:left w:w="0" w:type="dxa"/>
              <w:bottom w:w="0" w:type="dxa"/>
              <w:right w:w="0" w:type="dxa"/>
            </w:tcMar>
            <w:vAlign w:val="center"/>
          </w:tcPr>
          <w:p>
            <w:pPr>
              <w:pStyle w:val="TableContents"/>
              <w:jc w:val="center"/>
              <w:rPr/>
            </w:pPr>
            <w:r>
              <w:rPr/>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widowControl w:val="false"/>
              <w:suppressLineNumbers/>
              <w:suppressAutoHyphens w:val="true"/>
              <w:overflowPunct w:val="false"/>
              <w:bidi w:val="0"/>
              <w:spacing w:before="0" w:after="0"/>
              <w:ind w:hanging="0" w:left="567" w:right="0"/>
              <w:jc w:val="left"/>
              <w:rPr/>
            </w:pPr>
            <w:r>
              <w:rPr/>
              <w:t>Step 1: Demographics</w:t>
            </w:r>
          </w:p>
        </w:tc>
        <w:tc>
          <w:tcPr>
            <w:tcW w:w="1524" w:type="dxa"/>
            <w:tcBorders/>
            <w:tcMar>
              <w:top w:w="0" w:type="dxa"/>
              <w:left w:w="0" w:type="dxa"/>
              <w:bottom w:w="0" w:type="dxa"/>
              <w:right w:w="0" w:type="dxa"/>
            </w:tcMar>
            <w:vAlign w:val="center"/>
          </w:tcPr>
          <w:p>
            <w:pPr>
              <w:pStyle w:val="TableContents"/>
              <w:jc w:val="center"/>
              <w:rPr/>
            </w:pPr>
            <w:r>
              <w:rPr/>
            </w:r>
          </w:p>
        </w:tc>
        <w:tc>
          <w:tcPr>
            <w:tcW w:w="683" w:type="dxa"/>
            <w:tcBorders/>
            <w:tcMar>
              <w:top w:w="0" w:type="dxa"/>
              <w:left w:w="0" w:type="dxa"/>
              <w:bottom w:w="0" w:type="dxa"/>
              <w:right w:w="0" w:type="dxa"/>
            </w:tcMar>
            <w:vAlign w:val="center"/>
          </w:tcPr>
          <w:p>
            <w:pPr>
              <w:pStyle w:val="TableContents"/>
              <w:jc w:val="center"/>
              <w:rPr/>
            </w:pPr>
            <w:r>
              <w:rPr/>
              <w:t>.00</w:t>
            </w:r>
          </w:p>
        </w:tc>
        <w:tc>
          <w:tcPr>
            <w:tcW w:w="972" w:type="dxa"/>
            <w:tcBorders/>
            <w:tcMar>
              <w:top w:w="0" w:type="dxa"/>
              <w:left w:w="0" w:type="dxa"/>
              <w:bottom w:w="0" w:type="dxa"/>
              <w:right w:w="0" w:type="dxa"/>
            </w:tcMar>
            <w:vAlign w:val="center"/>
          </w:tcPr>
          <w:p>
            <w:pPr>
              <w:pStyle w:val="TableContents"/>
              <w:jc w:val="center"/>
              <w:rPr/>
            </w:pPr>
            <w:r>
              <w:rPr/>
              <w:t>--</w:t>
            </w:r>
          </w:p>
        </w:tc>
        <w:tc>
          <w:tcPr>
            <w:tcW w:w="1872" w:type="dxa"/>
            <w:tcBorders/>
            <w:tcMar>
              <w:top w:w="0" w:type="dxa"/>
              <w:left w:w="0" w:type="dxa"/>
              <w:bottom w:w="0" w:type="dxa"/>
              <w:right w:w="0" w:type="dxa"/>
            </w:tcMar>
            <w:vAlign w:val="center"/>
          </w:tcPr>
          <w:p>
            <w:pPr>
              <w:pStyle w:val="TableContents"/>
              <w:jc w:val="center"/>
              <w:rPr/>
            </w:pPr>
            <w:r>
              <w:rPr/>
              <w:t>.13</w:t>
            </w:r>
          </w:p>
        </w:tc>
      </w:tr>
      <w:tr>
        <w:trPr/>
        <w:tc>
          <w:tcPr>
            <w:tcW w:w="4309" w:type="dxa"/>
            <w:tcBorders/>
            <w:tcMar>
              <w:top w:w="0" w:type="dxa"/>
              <w:left w:w="0" w:type="dxa"/>
              <w:bottom w:w="0" w:type="dxa"/>
              <w:right w:w="0" w:type="dxa"/>
            </w:tcMar>
          </w:tcPr>
          <w:p>
            <w:pPr>
              <w:pStyle w:val="TableContents"/>
              <w:widowControl w:val="false"/>
              <w:suppressLineNumbers/>
              <w:suppressAutoHyphens w:val="true"/>
              <w:overflowPunct w:val="false"/>
              <w:bidi w:val="0"/>
              <w:spacing w:before="0" w:after="0"/>
              <w:ind w:hanging="0" w:left="850" w:right="0"/>
              <w:jc w:val="left"/>
              <w:rPr/>
            </w:pPr>
            <w:r>
              <w:rPr/>
              <w:t>Age</w:t>
            </w:r>
          </w:p>
        </w:tc>
        <w:tc>
          <w:tcPr>
            <w:tcW w:w="1524" w:type="dxa"/>
            <w:tcBorders/>
            <w:tcMar>
              <w:top w:w="0" w:type="dxa"/>
              <w:left w:w="0" w:type="dxa"/>
              <w:bottom w:w="0" w:type="dxa"/>
              <w:right w:w="0" w:type="dxa"/>
            </w:tcMar>
            <w:vAlign w:val="center"/>
          </w:tcPr>
          <w:p>
            <w:pPr>
              <w:pStyle w:val="TableContents"/>
              <w:jc w:val="center"/>
              <w:rPr/>
            </w:pPr>
            <w:r>
              <w:rPr/>
              <w:t>-.05</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widowControl w:val="false"/>
              <w:suppressLineNumbers/>
              <w:suppressAutoHyphens w:val="true"/>
              <w:overflowPunct w:val="false"/>
              <w:bidi w:val="0"/>
              <w:spacing w:before="0" w:after="0"/>
              <w:ind w:hanging="0" w:left="850" w:right="0"/>
              <w:jc w:val="left"/>
              <w:rPr/>
            </w:pPr>
            <w:r>
              <w:rPr/>
              <w:t>Race</w:t>
            </w:r>
          </w:p>
        </w:tc>
        <w:tc>
          <w:tcPr>
            <w:tcW w:w="1524" w:type="dxa"/>
            <w:tcBorders/>
            <w:tcMar>
              <w:top w:w="0" w:type="dxa"/>
              <w:left w:w="0" w:type="dxa"/>
              <w:bottom w:w="0" w:type="dxa"/>
              <w:right w:w="0" w:type="dxa"/>
            </w:tcMar>
            <w:vAlign w:val="center"/>
          </w:tcPr>
          <w:p>
            <w:pPr>
              <w:pStyle w:val="TableContents"/>
              <w:jc w:val="center"/>
              <w:rPr/>
            </w:pPr>
            <w:r>
              <w:rPr/>
              <w:t>.02</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widowControl w:val="false"/>
              <w:suppressLineNumbers/>
              <w:suppressAutoHyphens w:val="true"/>
              <w:overflowPunct w:val="false"/>
              <w:bidi w:val="0"/>
              <w:spacing w:before="0" w:after="0"/>
              <w:ind w:hanging="0" w:left="567" w:right="0"/>
              <w:jc w:val="left"/>
              <w:rPr>
                <w:rFonts w:ascii="Times New Roman" w:hAnsi="Times New Roman" w:eastAsia="Times New Roman" w:cs="Times New Roman"/>
                <w:color w:val="auto"/>
                <w:kern w:val="0"/>
                <w:sz w:val="24"/>
                <w:szCs w:val="24"/>
                <w:lang w:val="es-AR" w:eastAsia="es-ES_tradnl" w:bidi="hi-IN"/>
              </w:rPr>
            </w:pPr>
            <w:r>
              <w:rPr>
                <w:rFonts w:eastAsia="Times New Roman" w:cs="Times New Roman"/>
                <w:color w:val="auto"/>
                <w:kern w:val="0"/>
                <w:sz w:val="24"/>
                <w:szCs w:val="24"/>
                <w:lang w:val="es-AR" w:eastAsia="es-ES_tradnl" w:bidi="hi-IN"/>
              </w:rPr>
              <w:t>Step 2: Sport predictors</w:t>
            </w:r>
          </w:p>
        </w:tc>
        <w:tc>
          <w:tcPr>
            <w:tcW w:w="1524" w:type="dxa"/>
            <w:tcBorders/>
            <w:tcMar>
              <w:top w:w="0" w:type="dxa"/>
              <w:left w:w="0" w:type="dxa"/>
              <w:bottom w:w="0" w:type="dxa"/>
              <w:right w:w="0" w:type="dxa"/>
            </w:tcMar>
            <w:vAlign w:val="center"/>
          </w:tcPr>
          <w:p>
            <w:pPr>
              <w:pStyle w:val="TableContents"/>
              <w:jc w:val="center"/>
              <w:rPr/>
            </w:pPr>
            <w:r>
              <w:rPr/>
            </w:r>
          </w:p>
        </w:tc>
        <w:tc>
          <w:tcPr>
            <w:tcW w:w="683" w:type="dxa"/>
            <w:tcBorders/>
            <w:tcMar>
              <w:top w:w="0" w:type="dxa"/>
              <w:left w:w="0" w:type="dxa"/>
              <w:bottom w:w="0" w:type="dxa"/>
              <w:right w:w="0" w:type="dxa"/>
            </w:tcMar>
            <w:vAlign w:val="center"/>
          </w:tcPr>
          <w:p>
            <w:pPr>
              <w:pStyle w:val="TableContents"/>
              <w:jc w:val="center"/>
              <w:rPr/>
            </w:pPr>
            <w:r>
              <w:rPr/>
              <w:t>.24</w:t>
            </w:r>
          </w:p>
        </w:tc>
        <w:tc>
          <w:tcPr>
            <w:tcW w:w="972" w:type="dxa"/>
            <w:tcBorders/>
            <w:tcMar>
              <w:top w:w="0" w:type="dxa"/>
              <w:left w:w="0" w:type="dxa"/>
              <w:bottom w:w="0" w:type="dxa"/>
              <w:right w:w="0" w:type="dxa"/>
            </w:tcMar>
            <w:vAlign w:val="center"/>
          </w:tcPr>
          <w:p>
            <w:pPr>
              <w:pStyle w:val="TableContents"/>
              <w:jc w:val="center"/>
              <w:rPr/>
            </w:pPr>
            <w:r>
              <w:rPr/>
              <w:t>.23</w:t>
            </w:r>
          </w:p>
        </w:tc>
        <w:tc>
          <w:tcPr>
            <w:tcW w:w="1872" w:type="dxa"/>
            <w:tcBorders/>
            <w:tcMar>
              <w:top w:w="0" w:type="dxa"/>
              <w:left w:w="0" w:type="dxa"/>
              <w:bottom w:w="0" w:type="dxa"/>
              <w:right w:w="0" w:type="dxa"/>
            </w:tcMar>
            <w:vAlign w:val="center"/>
          </w:tcPr>
          <w:p>
            <w:pPr>
              <w:pStyle w:val="TableContents"/>
              <w:jc w:val="center"/>
              <w:rPr/>
            </w:pPr>
            <w:r>
              <w:rPr/>
              <w:t>7.51***</w:t>
            </w:r>
          </w:p>
        </w:tc>
      </w:tr>
      <w:tr>
        <w:trPr/>
        <w:tc>
          <w:tcPr>
            <w:tcW w:w="4309" w:type="dxa"/>
            <w:tcBorders/>
            <w:tcMar>
              <w:top w:w="0" w:type="dxa"/>
              <w:left w:w="0" w:type="dxa"/>
              <w:bottom w:w="0" w:type="dxa"/>
              <w:right w:w="0" w:type="dxa"/>
            </w:tcMar>
          </w:tcPr>
          <w:p>
            <w:pPr>
              <w:pStyle w:val="TableContents"/>
              <w:widowControl w:val="false"/>
              <w:suppressLineNumbers/>
              <w:tabs>
                <w:tab w:val="clear" w:pos="720"/>
                <w:tab w:val="left" w:pos="847" w:leader="none"/>
              </w:tabs>
              <w:suppressAutoHyphens w:val="true"/>
              <w:overflowPunct w:val="false"/>
              <w:bidi w:val="0"/>
              <w:spacing w:before="0" w:after="0"/>
              <w:ind w:hanging="0" w:left="850" w:right="0"/>
              <w:jc w:val="left"/>
              <w:rPr>
                <w:rFonts w:ascii="Times New Roman" w:hAnsi="Times New Roman" w:eastAsia="Times New Roman" w:cs="Times New Roman"/>
                <w:color w:val="auto"/>
                <w:kern w:val="0"/>
                <w:sz w:val="24"/>
                <w:szCs w:val="24"/>
                <w:lang w:val="es-AR" w:eastAsia="es-ES_tradnl" w:bidi="hi-IN"/>
              </w:rPr>
            </w:pPr>
            <w:r>
              <w:rPr>
                <w:rFonts w:eastAsia="Times New Roman" w:cs="Times New Roman"/>
                <w:color w:val="auto"/>
                <w:kern w:val="0"/>
                <w:sz w:val="24"/>
                <w:szCs w:val="24"/>
                <w:lang w:val="es-AR" w:eastAsia="es-ES_tradnl" w:bidi="hi-IN"/>
              </w:rPr>
              <w:t>Mental toughness</w:t>
            </w:r>
          </w:p>
        </w:tc>
        <w:tc>
          <w:tcPr>
            <w:tcW w:w="1524" w:type="dxa"/>
            <w:tcBorders/>
            <w:tcMar>
              <w:top w:w="0" w:type="dxa"/>
              <w:left w:w="0" w:type="dxa"/>
              <w:bottom w:w="0" w:type="dxa"/>
              <w:right w:w="0" w:type="dxa"/>
            </w:tcMar>
            <w:vAlign w:val="center"/>
          </w:tcPr>
          <w:p>
            <w:pPr>
              <w:pStyle w:val="TableContents"/>
              <w:jc w:val="center"/>
              <w:rPr/>
            </w:pPr>
            <w:r>
              <w:rPr/>
              <w:t>-.19†</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widowControl w:val="false"/>
              <w:suppressLineNumbers/>
              <w:tabs>
                <w:tab w:val="clear" w:pos="720"/>
                <w:tab w:val="left" w:pos="847" w:leader="none"/>
              </w:tabs>
              <w:suppressAutoHyphens w:val="true"/>
              <w:overflowPunct w:val="false"/>
              <w:bidi w:val="0"/>
              <w:spacing w:before="0" w:after="0"/>
              <w:ind w:hanging="0" w:left="850" w:right="0"/>
              <w:jc w:val="left"/>
              <w:rPr>
                <w:rFonts w:ascii="Times New Roman" w:hAnsi="Times New Roman" w:eastAsia="Times New Roman" w:cs="Times New Roman"/>
                <w:color w:val="auto"/>
                <w:kern w:val="0"/>
                <w:sz w:val="24"/>
                <w:szCs w:val="24"/>
                <w:lang w:val="es-AR" w:eastAsia="es-ES_tradnl" w:bidi="hi-IN"/>
              </w:rPr>
            </w:pPr>
            <w:r>
              <w:rPr>
                <w:rFonts w:eastAsia="Times New Roman" w:cs="Times New Roman"/>
                <w:color w:val="auto"/>
                <w:kern w:val="0"/>
                <w:sz w:val="24"/>
                <w:szCs w:val="24"/>
                <w:lang w:val="es-AR" w:eastAsia="es-ES_tradnl" w:bidi="hi-IN"/>
              </w:rPr>
              <w:t>Intrinsic motivation</w:t>
            </w:r>
          </w:p>
        </w:tc>
        <w:tc>
          <w:tcPr>
            <w:tcW w:w="1524" w:type="dxa"/>
            <w:tcBorders/>
            <w:tcMar>
              <w:top w:w="0" w:type="dxa"/>
              <w:left w:w="0" w:type="dxa"/>
              <w:bottom w:w="0" w:type="dxa"/>
              <w:right w:w="0" w:type="dxa"/>
            </w:tcMar>
            <w:vAlign w:val="center"/>
          </w:tcPr>
          <w:p>
            <w:pPr>
              <w:pStyle w:val="TableContents"/>
              <w:jc w:val="center"/>
              <w:rPr/>
            </w:pPr>
            <w:r>
              <w:rPr/>
              <w:t>.03</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widowControl w:val="false"/>
              <w:suppressLineNumbers/>
              <w:tabs>
                <w:tab w:val="clear" w:pos="720"/>
                <w:tab w:val="left" w:pos="847" w:leader="none"/>
              </w:tabs>
              <w:suppressAutoHyphens w:val="true"/>
              <w:overflowPunct w:val="false"/>
              <w:bidi w:val="0"/>
              <w:spacing w:before="0" w:after="0"/>
              <w:ind w:hanging="0" w:left="850" w:right="0"/>
              <w:jc w:val="left"/>
              <w:rPr>
                <w:rFonts w:ascii="Times New Roman" w:hAnsi="Times New Roman" w:eastAsia="Times New Roman" w:cs="Times New Roman"/>
                <w:color w:val="auto"/>
                <w:kern w:val="0"/>
                <w:sz w:val="24"/>
                <w:szCs w:val="24"/>
                <w:lang w:val="es-AR" w:eastAsia="es-ES_tradnl" w:bidi="hi-IN"/>
              </w:rPr>
            </w:pPr>
            <w:r>
              <w:rPr>
                <w:rFonts w:eastAsia="Times New Roman" w:cs="Times New Roman"/>
                <w:color w:val="auto"/>
                <w:kern w:val="0"/>
                <w:sz w:val="24"/>
                <w:szCs w:val="24"/>
                <w:lang w:val="es-AR" w:eastAsia="es-ES_tradnl" w:bidi="hi-IN"/>
              </w:rPr>
              <w:t>Extrinsic motivation</w:t>
            </w:r>
          </w:p>
        </w:tc>
        <w:tc>
          <w:tcPr>
            <w:tcW w:w="1524" w:type="dxa"/>
            <w:tcBorders/>
            <w:tcMar>
              <w:top w:w="0" w:type="dxa"/>
              <w:left w:w="0" w:type="dxa"/>
              <w:bottom w:w="0" w:type="dxa"/>
              <w:right w:w="0" w:type="dxa"/>
            </w:tcMar>
            <w:vAlign w:val="center"/>
          </w:tcPr>
          <w:p>
            <w:pPr>
              <w:pStyle w:val="TableContents"/>
              <w:jc w:val="center"/>
              <w:rPr/>
            </w:pPr>
            <w:r>
              <w:rPr/>
              <w:t>.35***</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bottom w:val="single" w:sz="4" w:space="0" w:color="000000"/>
            </w:tcBorders>
          </w:tcPr>
          <w:p>
            <w:pPr>
              <w:pStyle w:val="TableContents"/>
              <w:widowControl w:val="false"/>
              <w:suppressLineNumbers/>
              <w:tabs>
                <w:tab w:val="clear" w:pos="720"/>
                <w:tab w:val="left" w:pos="847" w:leader="none"/>
              </w:tabs>
              <w:suppressAutoHyphens w:val="true"/>
              <w:overflowPunct w:val="false"/>
              <w:bidi w:val="0"/>
              <w:spacing w:before="0" w:after="0"/>
              <w:ind w:hanging="0" w:left="850" w:right="0"/>
              <w:jc w:val="left"/>
              <w:rPr/>
            </w:pPr>
            <w:r>
              <w:rPr/>
              <w:t>Amotivation</w:t>
            </w:r>
          </w:p>
        </w:tc>
        <w:tc>
          <w:tcPr>
            <w:tcW w:w="1524" w:type="dxa"/>
            <w:tcBorders>
              <w:bottom w:val="single" w:sz="4" w:space="0" w:color="000000"/>
            </w:tcBorders>
            <w:vAlign w:val="center"/>
          </w:tcPr>
          <w:p>
            <w:pPr>
              <w:pStyle w:val="TableContents"/>
              <w:jc w:val="center"/>
              <w:rPr/>
            </w:pPr>
            <w:r>
              <w:rPr/>
            </w:r>
          </w:p>
        </w:tc>
        <w:tc>
          <w:tcPr>
            <w:tcW w:w="683" w:type="dxa"/>
            <w:tcBorders>
              <w:bottom w:val="single" w:sz="4" w:space="0" w:color="000000"/>
            </w:tcBorders>
            <w:vAlign w:val="center"/>
          </w:tcPr>
          <w:p>
            <w:pPr>
              <w:pStyle w:val="TableContents"/>
              <w:jc w:val="center"/>
              <w:rPr/>
            </w:pPr>
            <w:r>
              <w:rPr/>
            </w:r>
          </w:p>
        </w:tc>
        <w:tc>
          <w:tcPr>
            <w:tcW w:w="972" w:type="dxa"/>
            <w:tcBorders>
              <w:bottom w:val="single" w:sz="4" w:space="0" w:color="000000"/>
            </w:tcBorders>
            <w:vAlign w:val="center"/>
          </w:tcPr>
          <w:p>
            <w:pPr>
              <w:pStyle w:val="TableContents"/>
              <w:jc w:val="center"/>
              <w:rPr/>
            </w:pPr>
            <w:r>
              <w:rPr/>
            </w:r>
          </w:p>
        </w:tc>
        <w:tc>
          <w:tcPr>
            <w:tcW w:w="1872" w:type="dxa"/>
            <w:tcBorders>
              <w:bottom w:val="single" w:sz="4" w:space="0" w:color="000000"/>
            </w:tcBorders>
            <w:vAlign w:val="center"/>
          </w:tcPr>
          <w:p>
            <w:pPr>
              <w:pStyle w:val="TableContents"/>
              <w:jc w:val="center"/>
              <w:rPr/>
            </w:pPr>
            <w:r>
              <w:rPr/>
            </w:r>
          </w:p>
        </w:tc>
      </w:tr>
      <w:tr>
        <w:trPr/>
        <w:tc>
          <w:tcPr>
            <w:tcW w:w="9360" w:type="dxa"/>
            <w:gridSpan w:val="5"/>
            <w:tcBorders/>
            <w:tcMar>
              <w:top w:w="0" w:type="dxa"/>
              <w:left w:w="0" w:type="dxa"/>
              <w:bottom w:w="0" w:type="dxa"/>
              <w:right w:w="0" w:type="dxa"/>
            </w:tcMar>
          </w:tcPr>
          <w:p>
            <w:pPr>
              <w:pStyle w:val="Normal"/>
              <w:tabs>
                <w:tab w:val="clear" w:pos="720"/>
                <w:tab w:val="decimal" w:pos="3420" w:leader="none"/>
                <w:tab w:val="decimal" w:pos="4860" w:leader="none"/>
                <w:tab w:val="decimal" w:pos="6300" w:leader="none"/>
                <w:tab w:val="decimal" w:pos="7920" w:leader="none"/>
              </w:tabs>
              <w:spacing w:lineRule="auto" w:line="276" w:before="0" w:after="0"/>
              <w:contextualSpacing/>
              <w:rPr>
                <w:i/>
                <w:i/>
              </w:rPr>
            </w:pPr>
            <w:r>
              <w:rPr>
                <w:bCs/>
                <w:i/>
              </w:rPr>
              <w:t>Note</w:t>
            </w:r>
            <w:r>
              <w:rPr>
                <w:bCs/>
              </w:rPr>
              <w:t xml:space="preserve">. </w:t>
            </w:r>
            <w:r>
              <w:rPr>
                <w:bCs/>
                <w:i/>
              </w:rPr>
              <w:t xml:space="preserve">N </w:t>
            </w:r>
            <w:r>
              <w:rPr>
                <w:bCs/>
              </w:rPr>
              <w:t xml:space="preserve">= 106. </w:t>
            </w:r>
            <w:r>
              <w:rPr/>
              <w:t>†</w:t>
            </w:r>
            <w:r>
              <w:rPr>
                <w:i/>
                <w:iCs/>
              </w:rPr>
              <w:t>p</w:t>
            </w:r>
            <w:r>
              <w:rPr/>
              <w:t xml:space="preserve"> &lt; .10, **</w:t>
            </w:r>
            <w:r>
              <w:rPr>
                <w:i/>
              </w:rPr>
              <w:t>p</w:t>
            </w:r>
            <w:r>
              <w:rPr/>
              <w:t xml:space="preserve"> ≤ .01, ***</w:t>
            </w:r>
            <w:r>
              <w:rPr>
                <w:i/>
              </w:rPr>
              <w:t>p</w:t>
            </w:r>
            <w:r>
              <w:rPr>
                <w:iCs/>
              </w:rPr>
              <w:t xml:space="preserve"> &lt; .001.</w:t>
            </w:r>
          </w:p>
        </w:tc>
      </w:tr>
    </w:tbl>
    <w:p>
      <w:pPr>
        <w:pStyle w:val="normal1"/>
        <w:widowControl/>
        <w:spacing w:lineRule="auto" w:line="36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spacing w:lineRule="auto" w:line="240" w:before="0" w:after="0"/>
        <w:ind w:hanging="0" w:left="0" w:right="0"/>
        <w:jc w:val="center"/>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Discussion</w:t>
      </w:r>
    </w:p>
    <w:p>
      <w:pPr>
        <w:pStyle w:val="normal1"/>
        <w:keepNext w:val="false"/>
        <w:keepLines w:val="false"/>
        <w:pageBreakBefore w:val="false"/>
        <w:widowControl/>
        <w:spacing w:lineRule="auto" w:line="36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t>The present study set out to examine the relationship between mental toughness, sport motivation, and sport anxiety among highly active esport players. Consistent with the notion that mental toughness represents a positive construct, we found that mental toughness among esport players was associated with less concentration disruption. In contrast, significant correlations found in the present study involving facets of sport motivation were consistently associated with greater sport-related anxiety. This suggests that for esport players, higher levels of sport motivation, including amotivation, may not necessarily involve a positive process. Moreover</w:t>
      </w:r>
      <w:r>
        <w:rPr/>
        <w:t xml:space="preserve">, when examining which factor might be most important in predicting sport anxiety among highly active esport players, a consistent pattern emerged: motivation matters more than mental toughness. Specifically, the results showed that amotivation was the only significant, and positive, predictor of somatic anxiety and concentration disruption, while intrinsic motivation was the only significant predictor of worry, which was also positive. These findings point to at least two important considerations. </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spacing w:lineRule="auto" w:line="360"/>
        <w:ind w:hanging="0" w:left="0"/>
        <w:jc w:val="both"/>
        <w:outlineLvl w:val="0"/>
        <w:rPr/>
      </w:pPr>
      <w:r>
        <w:rPr/>
        <w:tab/>
        <w:t>First, our finding that mental toughness did not emerge as a significant unique predictor seems to be inconsistent with prior research findings showing that mental toughness is associated with less negative emotions and greater positive emotions (e.g., Gucciardi et al., 2015; Mahoney et al., 2014). One possible explanation for this is that there may be important cultural differences that shape or influence the function of mental toughness in adults. For example, a majority of the published studies conducted on mental toughness have been based on WEIRD adult populations (e.g., United Kingdom, Australia, Germany, United States, &amp; Spain; Henrich et al., 2010), compared to non-WEIRD populations (as in the present Argentinian sample of adult esport players). Alternatively, it may be that mental toughness is simply not a central factor when it comes to esport, compared to traditional sport (e.g., tennis, golfing, soccer). One, or both, of these possibilities, need to be considered in future studies.</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spacing w:lineRule="auto" w:line="360"/>
        <w:ind w:hanging="0" w:left="0"/>
        <w:jc w:val="both"/>
        <w:outlineLvl w:val="0"/>
        <w:rPr/>
      </w:pPr>
      <w:r>
        <w:rPr/>
        <w:tab/>
        <w:t xml:space="preserve">Second, the finding that amotivation was </w:t>
      </w:r>
      <w:r>
        <w:rPr>
          <w:i w:val="false"/>
          <w:iCs w:val="false"/>
        </w:rPr>
        <w:t>positively</w:t>
      </w:r>
      <w:r>
        <w:rPr/>
        <w:t xml:space="preserve"> associated with sport-related anxiety (viz., somatic anxiety &amp; concentration disruption) in highly active esport players is not surprising. Indeed, Pelletier et al. (1995) also found that amotivation was also positively associated with distraction among college athletes. Thus, amotivation appears to represent a common dysfunctional process across those who participate in esport and traditional sport. However, the finding that intrinsic motivation also seemed to reflect a dysfunctional process seems unexpected at first. For example, Blecharz et al. (2015) found that intrinsic motivation among professional athletes was positively associated with self-efficacy and performance satisfaction. However, it may be that intrinsic motivation functions to generate modest levels of worry or excitement that in turn reflects the profile of an esport player that is engaged in the game at hand.  Given that we did not include a measure of engagement, it would be useful in future studies to determine if sport worry mediates the potential positive relationship between intrinsic motivation and sport engagement among esport players.</w:t>
      </w:r>
    </w:p>
    <w:p>
      <w:pPr>
        <w:pStyle w:val="normal1"/>
        <w:widowControl/>
        <w:spacing w:lineRule="auto" w:line="360" w:before="0" w:after="0"/>
        <w:ind w:firstLine="708" w:left="0" w:right="0"/>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t>Overall, the present study provides further evidence for the potential value of studying traditional sport-related processes and outcomes in those who participate in esport. Alternatively, beyond traditional sport variables, it would also be useful to determine if there are unique esport-related constructs that might enhance our understanding of esport players or athletes. For example, physicality might play a much lesser role for esport players, than non-physical attributes (e.g., grit, optimism, hope). Thus, building on the present findings, future studies might seek to determine if the inclusion of other important variables can further contribute to our understanding of those who participate in esport.</w:t>
      </w:r>
      <w:r>
        <w:br w:type="page"/>
      </w:r>
    </w:p>
    <w:p>
      <w:pPr>
        <w:pStyle w:val="normal1"/>
        <w:keepNext w:val="false"/>
        <w:keepLines w:val="false"/>
        <w:widowControl/>
        <w:spacing w:lineRule="auto" w:line="240" w:before="0" w:after="0"/>
        <w:ind w:hanging="0" w:left="0" w:right="0"/>
        <w:jc w:val="center"/>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References</w:t>
      </w:r>
    </w:p>
    <w:p>
      <w:pPr>
        <w:pStyle w:val="Normal"/>
        <w:ind w:hanging="720" w:left="720"/>
        <w:rPr/>
      </w:pPr>
      <w:r>
        <w:rPr>
          <w:b w:val="false"/>
          <w:bCs w:val="false"/>
        </w:rPr>
        <w:t xml:space="preserve">Bányai, F., Griffiths, M. D., Király, O, &amp; Demetrovics, Z. (2019). The psychology of esports: A systematic review. </w:t>
      </w:r>
      <w:r>
        <w:rPr>
          <w:b w:val="false"/>
          <w:bCs w:val="false"/>
          <w:i/>
          <w:iCs/>
        </w:rPr>
        <w:t>Journal of Gambling Studies</w:t>
      </w:r>
      <w:r>
        <w:rPr>
          <w:b w:val="false"/>
          <w:bCs w:val="false"/>
        </w:rPr>
        <w:t xml:space="preserve">, </w:t>
      </w:r>
      <w:r>
        <w:rPr>
          <w:b w:val="false"/>
          <w:bCs w:val="false"/>
          <w:i/>
          <w:iCs/>
        </w:rPr>
        <w:t>35</w:t>
      </w:r>
      <w:r>
        <w:rPr>
          <w:b w:val="false"/>
          <w:bCs w:val="false"/>
        </w:rPr>
        <w:t xml:space="preserve">(2), 351-365. </w:t>
      </w:r>
      <w:r>
        <w:rPr>
          <w:rStyle w:val="Hyperlink"/>
          <w:rFonts w:eastAsia="Times New Roman" w:cs="Times New Roman"/>
          <w:b w:val="false"/>
          <w:bCs w:val="false"/>
          <w:lang w:val="es-AR" w:eastAsia="es-ES_tradnl"/>
        </w:rPr>
        <w:t>https://doi.org/</w:t>
      </w:r>
      <w:hyperlink r:id="rId3" w:tgtFrame="_blank">
        <w:r>
          <w:rPr>
            <w:rStyle w:val="Hyperlink"/>
            <w:rFonts w:eastAsia="Times New Roman" w:cs="Times New Roman"/>
            <w:b w:val="false"/>
            <w:bCs w:val="false"/>
            <w:lang w:val="es-AR" w:eastAsia="es-ES_tradnl"/>
          </w:rPr>
          <w:t>10.1007/s10899-018-9763-1</w:t>
        </w:r>
      </w:hyperlink>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b w:val="false"/>
          <w:bCs w:val="false"/>
        </w:rPr>
      </w:pPr>
      <w:r>
        <w:rPr>
          <w:b w:val="false"/>
          <w:bCs w:val="false"/>
        </w:rPr>
        <w:t xml:space="preserve">Blecharz, J., Horodyska, K., Zarychta, K., Adamiec, A., &amp; Luszczynska, A. (2015). Intrinsic motivation predicting performance satisfaction in athletes: Further psychometric evaluations of the Sport Motivation Scale-6. </w:t>
      </w:r>
      <w:r>
        <w:rPr>
          <w:b w:val="false"/>
          <w:bCs w:val="false"/>
          <w:i/>
          <w:iCs/>
        </w:rPr>
        <w:t>Polish Psychological Bulletin</w:t>
      </w:r>
      <w:r>
        <w:rPr>
          <w:b w:val="false"/>
          <w:bCs w:val="false"/>
        </w:rPr>
        <w:t xml:space="preserve">, </w:t>
      </w:r>
      <w:r>
        <w:rPr>
          <w:b w:val="false"/>
          <w:bCs w:val="false"/>
          <w:i/>
          <w:iCs/>
        </w:rPr>
        <w:t>46</w:t>
      </w:r>
      <w:r>
        <w:rPr>
          <w:b w:val="false"/>
          <w:bCs w:val="false"/>
        </w:rPr>
        <w:t xml:space="preserve">(2), 309-319.  </w:t>
      </w:r>
      <w:hyperlink r:id="rId4" w:tgtFrame="_blank">
        <w:r>
          <w:rPr>
            <w:rStyle w:val="Hyperlink"/>
            <w:b w:val="false"/>
            <w:bCs w:val="false"/>
          </w:rPr>
          <w:t>https://doi.org/10.1515/ppb-2015-0037</w:t>
        </w:r>
      </w:hyperlink>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pPr>
      <w:r>
        <w:rPr>
          <w:b w:val="false"/>
          <w:bCs w:val="false"/>
        </w:rPr>
        <w:t xml:space="preserve">Gerber, M., Best, S., Meerstetter, F., Walter, M., Ludyga, S., Brand, S., Bianchi, R., Madigan, D. J., Isoard-Gautheur, S., &amp; Gustafsson, H. (2018). Effects of stress and mental toughness on burnout and depressive symptoms: A prospective study with young elite athletes. </w:t>
      </w:r>
      <w:r>
        <w:rPr>
          <w:b w:val="false"/>
          <w:bCs w:val="false"/>
          <w:i/>
          <w:iCs/>
        </w:rPr>
        <w:t>Journal of Science and Medicine in Sport</w:t>
      </w:r>
      <w:r>
        <w:rPr>
          <w:b w:val="false"/>
          <w:bCs w:val="false"/>
        </w:rPr>
        <w:t xml:space="preserve">, </w:t>
      </w:r>
      <w:r>
        <w:rPr>
          <w:b w:val="false"/>
          <w:bCs w:val="false"/>
          <w:i/>
          <w:iCs/>
        </w:rPr>
        <w:t>21</w:t>
      </w:r>
      <w:r>
        <w:rPr>
          <w:b w:val="false"/>
          <w:bCs w:val="false"/>
        </w:rPr>
        <w:t xml:space="preserve">(12), 1200-1205. </w:t>
      </w:r>
      <w:hyperlink r:id="rId5">
        <w:r>
          <w:rPr>
            <w:rStyle w:val="Hyperlink"/>
            <w:rFonts w:eastAsia="Times New Roman" w:cs="Times New Roman"/>
            <w:b w:val="false"/>
            <w:bCs w:val="false"/>
            <w:lang w:val="es-AR" w:eastAsia="es-ES_tradnl"/>
          </w:rPr>
          <w:t>https://doi.org/10.1016/j.jsams.2018.05.01</w:t>
        </w:r>
      </w:hyperlink>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pPr>
      <w:r>
        <w:rPr>
          <w:b w:val="false"/>
          <w:bCs w:val="false"/>
        </w:rPr>
        <w:t xml:space="preserve">Gucciardi, D. F. (2017). Mental toughness: Progress and prospects. </w:t>
      </w:r>
      <w:r>
        <w:rPr>
          <w:b w:val="false"/>
          <w:bCs w:val="false"/>
          <w:i/>
          <w:iCs/>
        </w:rPr>
        <w:t>Current Opinion in Psychology</w:t>
      </w:r>
      <w:r>
        <w:rPr>
          <w:b w:val="false"/>
          <w:bCs w:val="false"/>
        </w:rPr>
        <w:t xml:space="preserve">, </w:t>
      </w:r>
      <w:r>
        <w:rPr>
          <w:b w:val="false"/>
          <w:bCs w:val="false"/>
          <w:i/>
          <w:iCs/>
        </w:rPr>
        <w:t>16</w:t>
      </w:r>
      <w:r>
        <w:rPr>
          <w:b w:val="false"/>
          <w:bCs w:val="false"/>
        </w:rPr>
        <w:t xml:space="preserve">, 17-23. </w:t>
      </w:r>
      <w:r>
        <w:rPr>
          <w:rStyle w:val="Hyperlink"/>
          <w:rFonts w:eastAsia="Times New Roman" w:cs="Times New Roman"/>
          <w:b w:val="false"/>
          <w:bCs w:val="false"/>
          <w:lang w:val="es-AR" w:eastAsia="es-ES_tradnl"/>
        </w:rPr>
        <w:t>https://doi.org/</w:t>
      </w:r>
      <w:hyperlink r:id="rId6" w:tgtFrame="http://dx.doi.org.proxy.lib.umich.edu/10.1016/j.copsyc.2017.03.010">
        <w:r>
          <w:rPr>
            <w:rStyle w:val="ListLabel3"/>
            <w:rFonts w:eastAsia="Times New Roman" w:cs="Times New Roman"/>
            <w:b w:val="false"/>
            <w:bCs w:val="false"/>
            <w:color w:val="0000FF"/>
            <w:u w:val="single"/>
            <w:lang w:val="es-AR" w:eastAsia="es-ES_tradnl"/>
          </w:rPr>
          <w:t>10.1016/j.copsyc.2017.03.01</w:t>
        </w:r>
      </w:hyperlink>
      <w:r>
        <w:rPr>
          <w:rStyle w:val="Hyperlink"/>
          <w:rFonts w:eastAsia="Times New Roman" w:cs="Times New Roman"/>
          <w:b w:val="false"/>
          <w:bCs w:val="false"/>
          <w:color w:val="0000FF"/>
          <w:lang w:val="es-AR" w:eastAsia="es-ES_tradnl"/>
        </w:rPr>
        <w:t>0</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pPr>
      <w:r>
        <w:rPr>
          <w:b w:val="false"/>
          <w:bCs w:val="false"/>
        </w:rPr>
        <w:t xml:space="preserve">Gucciardi, D. F., Hanton, S., Gordon, S., Mallett, C. J., &amp; Temby, P. (2015). The concept of mental toughness: Tests of dimensionality, nomological network, and traitness. </w:t>
      </w:r>
      <w:r>
        <w:rPr>
          <w:b w:val="false"/>
          <w:bCs w:val="false"/>
          <w:i/>
          <w:iCs/>
        </w:rPr>
        <w:t>Journal of Personality</w:t>
      </w:r>
      <w:r>
        <w:rPr>
          <w:b w:val="false"/>
          <w:bCs w:val="false"/>
        </w:rPr>
        <w:t xml:space="preserve">, </w:t>
      </w:r>
      <w:r>
        <w:rPr>
          <w:b w:val="false"/>
          <w:bCs w:val="false"/>
          <w:i/>
          <w:iCs/>
        </w:rPr>
        <w:t>83</w:t>
      </w:r>
      <w:r>
        <w:rPr>
          <w:b w:val="false"/>
          <w:bCs w:val="false"/>
        </w:rPr>
        <w:t xml:space="preserve">(1), 26-44. </w:t>
      </w:r>
      <w:r>
        <w:rPr>
          <w:rStyle w:val="Hyperlink"/>
          <w:rFonts w:eastAsia="Times New Roman" w:cs="Times New Roman"/>
          <w:b w:val="false"/>
          <w:bCs w:val="false"/>
          <w:lang w:val="es-AR" w:eastAsia="es-ES_tradnl"/>
        </w:rPr>
        <w:t>https://doi.org/10.1111/jopy.12079</w:t>
      </w:r>
    </w:p>
    <w:p>
      <w:pPr>
        <w:pStyle w:val="Normal"/>
        <w:ind w:hanging="720" w:left="720"/>
        <w:rPr/>
      </w:pPr>
      <w:r>
        <w:rPr>
          <w:b w:val="false"/>
          <w:bCs w:val="false"/>
        </w:rPr>
        <w:t xml:space="preserve">Henrich, J., Heine, S. J., &amp; Norenzayan, A. (2010). The weirdest people in the world? </w:t>
      </w:r>
      <w:r>
        <w:rPr>
          <w:b w:val="false"/>
          <w:bCs w:val="false"/>
          <w:i/>
          <w:iCs/>
        </w:rPr>
        <w:t>Behavioral and Brain Sciences</w:t>
      </w:r>
      <w:r>
        <w:rPr>
          <w:b w:val="false"/>
          <w:bCs w:val="false"/>
        </w:rPr>
        <w:t xml:space="preserve">, </w:t>
      </w:r>
      <w:r>
        <w:rPr>
          <w:b w:val="false"/>
          <w:bCs w:val="false"/>
          <w:i/>
          <w:iCs/>
        </w:rPr>
        <w:t>33</w:t>
      </w:r>
      <w:r>
        <w:rPr>
          <w:b w:val="false"/>
          <w:bCs w:val="false"/>
        </w:rPr>
        <w:t>(2-3), 61-83.</w:t>
      </w:r>
      <w:r>
        <w:rPr>
          <w:b w:val="false"/>
          <w:bCs w:val="false"/>
          <w:color w:themeColor="dark1" w:val="000000"/>
        </w:rPr>
        <w:t xml:space="preserve"> </w:t>
      </w:r>
      <w:r>
        <w:rPr>
          <w:rStyle w:val="Hyperlink"/>
          <w:rFonts w:eastAsia="Times New Roman" w:cs="Times New Roman"/>
          <w:b w:val="false"/>
          <w:bCs w:val="false"/>
          <w:lang w:val="es-AR" w:eastAsia="es-ES_tradnl"/>
        </w:rPr>
        <w:t>https://doi.org/10.1017/S0140525X0999152X</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pPr>
      <w:r>
        <w:rPr>
          <w:b w:val="false"/>
          <w:bCs w:val="false"/>
        </w:rPr>
        <w:t xml:space="preserve">Jones, G., Hanton, S., &amp; Connaughton, D. (2002). What is this thing called mental toughness? An investigation of elite sport performers. </w:t>
      </w:r>
      <w:r>
        <w:rPr>
          <w:b w:val="false"/>
          <w:bCs w:val="false"/>
          <w:i/>
          <w:iCs/>
        </w:rPr>
        <w:t>Journal of Applied Sport Psychology</w:t>
      </w:r>
      <w:r>
        <w:rPr>
          <w:b w:val="false"/>
          <w:bCs w:val="false"/>
        </w:rPr>
        <w:t xml:space="preserve">, </w:t>
      </w:r>
      <w:r>
        <w:rPr>
          <w:b w:val="false"/>
          <w:bCs w:val="false"/>
          <w:i/>
          <w:iCs/>
        </w:rPr>
        <w:t>14</w:t>
      </w:r>
      <w:r>
        <w:rPr>
          <w:b w:val="false"/>
          <w:bCs w:val="false"/>
        </w:rPr>
        <w:t>(3), 205-218.</w:t>
      </w:r>
      <w:r>
        <w:rPr>
          <w:rFonts w:cs="Open Sans" w:ascii="Open Sans" w:hAnsi="Open Sans"/>
          <w:b w:val="false"/>
          <w:bCs w:val="false"/>
          <w:color w:val="333333"/>
          <w:sz w:val="20"/>
          <w:szCs w:val="20"/>
        </w:rPr>
        <w:t xml:space="preserve"> </w:t>
      </w:r>
      <w:hyperlink r:id="rId7">
        <w:r>
          <w:rPr>
            <w:rStyle w:val="Hyperlink"/>
            <w:rFonts w:eastAsia="Times New Roman" w:cs="Times New Roman"/>
            <w:b w:val="false"/>
            <w:bCs w:val="false"/>
            <w:lang w:val="es-AR" w:eastAsia="es-ES_tradnl"/>
          </w:rPr>
          <w:t>https://doi.org/10.1080/10413200290103509</w:t>
        </w:r>
      </w:hyperlink>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pPr>
      <w:r>
        <w:rPr>
          <w:rStyle w:val="Hyperlink"/>
          <w:b w:val="false"/>
          <w:bCs w:val="false"/>
          <w:color w:themeColor="dark1" w:val="000000"/>
          <w:u w:val="none"/>
        </w:rPr>
        <w:t xml:space="preserve">Leis, O., &amp; Lautenbach, F. (2020). Psychological and physiological stress in non-competitive and competitive esports settings: A systematic review. </w:t>
      </w:r>
      <w:r>
        <w:rPr>
          <w:rStyle w:val="Hyperlink"/>
          <w:b w:val="false"/>
          <w:bCs w:val="false"/>
          <w:i/>
          <w:iCs/>
          <w:color w:themeColor="dark1" w:val="000000"/>
          <w:u w:val="none"/>
        </w:rPr>
        <w:t>Psychology of Sport &amp; Exercise</w:t>
      </w:r>
      <w:r>
        <w:rPr>
          <w:rStyle w:val="Hyperlink"/>
          <w:b w:val="false"/>
          <w:bCs w:val="false"/>
          <w:color w:themeColor="dark1" w:val="000000"/>
          <w:u w:val="none"/>
        </w:rPr>
        <w:t xml:space="preserve">, </w:t>
      </w:r>
      <w:r>
        <w:rPr>
          <w:rStyle w:val="Hyperlink"/>
          <w:b w:val="false"/>
          <w:bCs w:val="false"/>
          <w:i/>
          <w:iCs/>
          <w:color w:themeColor="dark1" w:val="000000"/>
          <w:u w:val="none"/>
        </w:rPr>
        <w:t>51</w:t>
      </w:r>
      <w:r>
        <w:rPr>
          <w:rStyle w:val="Hyperlink"/>
          <w:b w:val="false"/>
          <w:bCs w:val="false"/>
          <w:color w:themeColor="dark1" w:val="000000"/>
          <w:u w:val="none"/>
        </w:rPr>
        <w:t xml:space="preserve">, 101738. </w:t>
      </w:r>
      <w:hyperlink r:id="rId8">
        <w:r>
          <w:rPr>
            <w:rStyle w:val="Hyperlink"/>
          </w:rPr>
          <w:t>https://doi.org/10.1016/j.psychsport.2020.101738</w:t>
        </w:r>
      </w:hyperlink>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pPr>
      <w:r>
        <w:rPr>
          <w:b w:val="false"/>
          <w:bCs w:val="false"/>
        </w:rPr>
        <w:t xml:space="preserve">Lin, Y., Mutz, J., Clough, P. J., &amp; Papageorgiou, K. A. (2017). Mental toughness and individual differences in learning, education and work performance, psychological well-being, and personality: A systematic review. </w:t>
      </w:r>
      <w:r>
        <w:rPr>
          <w:b w:val="false"/>
          <w:bCs w:val="false"/>
          <w:i/>
          <w:iCs/>
        </w:rPr>
        <w:t>Frontiers in Psychology</w:t>
      </w:r>
      <w:r>
        <w:rPr>
          <w:b w:val="false"/>
          <w:bCs w:val="false"/>
        </w:rPr>
        <w:t xml:space="preserve">, </w:t>
      </w:r>
      <w:r>
        <w:rPr>
          <w:b w:val="false"/>
          <w:bCs w:val="false"/>
          <w:i/>
          <w:iCs/>
        </w:rPr>
        <w:t>8</w:t>
      </w:r>
      <w:r>
        <w:rPr>
          <w:b w:val="false"/>
          <w:bCs w:val="false"/>
        </w:rPr>
        <w:t xml:space="preserve">. ArtID: 1345. </w:t>
      </w:r>
      <w:r>
        <w:rPr>
          <w:rStyle w:val="Hyperlink"/>
          <w:rFonts w:eastAsia="Times New Roman" w:cs="Times New Roman"/>
          <w:b w:val="false"/>
          <w:bCs w:val="false"/>
          <w:lang w:val="es-AR" w:eastAsia="es-ES_tradnl"/>
        </w:rPr>
        <w:t>https://doi.org/10.3389/fpsyg.2017.01345</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pPr>
      <w:r>
        <w:rPr>
          <w:b w:val="false"/>
          <w:bCs w:val="false"/>
        </w:rPr>
        <w:t xml:space="preserve">Mahoney, J. W., Gucciardi, D. F., Ntoumanis, N., &amp; Mallet, C. J. (2014). Mental toughness in sport: Motivational antecedents and associations with performance and psychological health. </w:t>
      </w:r>
      <w:r>
        <w:rPr>
          <w:b w:val="false"/>
          <w:bCs w:val="false"/>
          <w:i/>
          <w:iCs/>
        </w:rPr>
        <w:t>Journal of Sport &amp; Exercise Psychology</w:t>
      </w:r>
      <w:r>
        <w:rPr>
          <w:b w:val="false"/>
          <w:bCs w:val="false"/>
        </w:rPr>
        <w:t xml:space="preserve">, </w:t>
      </w:r>
      <w:r>
        <w:rPr>
          <w:b w:val="false"/>
          <w:bCs w:val="false"/>
          <w:i/>
          <w:iCs/>
        </w:rPr>
        <w:t>36</w:t>
      </w:r>
      <w:r>
        <w:rPr>
          <w:b w:val="false"/>
          <w:bCs w:val="false"/>
        </w:rPr>
        <w:t xml:space="preserve">(3), 281-292. </w:t>
      </w:r>
      <w:hyperlink r:id="rId9">
        <w:r>
          <w:rPr>
            <w:rStyle w:val="Hyperlink"/>
            <w:rFonts w:eastAsia="Times New Roman" w:cs="Times New Roman"/>
            <w:b w:val="false"/>
            <w:bCs w:val="false"/>
            <w:lang w:val="es-AR" w:eastAsia="es-ES_tradnl"/>
          </w:rPr>
          <w:t>https://doi.org/10.1123/jsep.2013-0260</w:t>
        </w:r>
      </w:hyperlink>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b w:val="false"/>
          <w:bCs w:val="false"/>
        </w:rPr>
      </w:pPr>
      <w:r>
        <w:rPr>
          <w:b w:val="false"/>
          <w:bCs w:val="false"/>
          <w:color w:themeColor="dark1" w:val="000000"/>
          <w:shd w:fill="FFFFFF" w:val="clear"/>
        </w:rPr>
        <w:t xml:space="preserve">Pelletier, L. G., Fortier, M. S., Vallerand, R. J., Tuson, K. M., Brière, N. M., &amp; Blais, M. R. (1995). Toward a new measure of intrinsic motivation, extrinsic motivation, and amotivation in sports: The Sport Motivation Scale (SMS). </w:t>
      </w:r>
      <w:r>
        <w:rPr>
          <w:b w:val="false"/>
          <w:bCs w:val="false"/>
          <w:i/>
          <w:iCs/>
          <w:color w:themeColor="dark1" w:val="000000"/>
          <w:shd w:fill="FFFFFF" w:val="clear"/>
        </w:rPr>
        <w:t>Journal of Sport &amp; Exercise Psychology</w:t>
      </w:r>
      <w:r>
        <w:rPr>
          <w:b w:val="false"/>
          <w:bCs w:val="false"/>
          <w:color w:themeColor="dark1" w:val="000000"/>
          <w:shd w:fill="FFFFFF" w:val="clear"/>
        </w:rPr>
        <w:t xml:space="preserve">, </w:t>
      </w:r>
      <w:r>
        <w:rPr>
          <w:b w:val="false"/>
          <w:bCs w:val="false"/>
          <w:i/>
          <w:iCs/>
          <w:color w:themeColor="dark1" w:val="000000"/>
          <w:shd w:fill="FFFFFF" w:val="clear"/>
        </w:rPr>
        <w:t>17</w:t>
      </w:r>
      <w:r>
        <w:rPr>
          <w:b w:val="false"/>
          <w:bCs w:val="false"/>
          <w:color w:themeColor="dark1" w:val="000000"/>
          <w:shd w:fill="FFFFFF" w:val="clear"/>
        </w:rPr>
        <w:t xml:space="preserve">(1), 35-53. </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pPr>
      <w:r>
        <w:rPr>
          <w:b w:val="false"/>
          <w:bCs w:val="false"/>
          <w:color w:themeColor="dark1" w:val="000000"/>
          <w:shd w:fill="FFFFFF" w:val="clear"/>
        </w:rPr>
        <w:t xml:space="preserve">Poulus, D., Coulter, T. J., Trotter, M. G., &amp; Polman, R. (2020). Stress and coping in esports and the influence of mental toughness. Frontiers in Psychology, 11. ArtID: 638. </w:t>
      </w:r>
      <w:hyperlink r:id="rId10">
        <w:r>
          <w:rPr>
            <w:rStyle w:val="Hyperlink"/>
            <w:rFonts w:eastAsia="Times New Roman" w:cs="Times New Roman"/>
            <w:b w:val="false"/>
            <w:bCs w:val="false"/>
            <w:lang w:val="es-AR" w:eastAsia="es-ES_tradnl"/>
          </w:rPr>
          <w:t>https://doi.org/10.3389/fpsyg.2020.00628</w:t>
        </w:r>
      </w:hyperlink>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pPr>
      <w:r>
        <w:rPr>
          <w:b w:val="false"/>
          <w:bCs w:val="false"/>
          <w:color w:themeColor="dark1" w:val="000000"/>
          <w:shd w:fill="FFFFFF" w:val="clear"/>
        </w:rPr>
        <w:t xml:space="preserve">Schaefer, J., Vella, S. A., Allen, M. S., &amp; Magee, C. A. (2016). Competition anxiety, motivation, and mental toughness in golf. </w:t>
      </w:r>
      <w:r>
        <w:rPr>
          <w:b w:val="false"/>
          <w:bCs w:val="false"/>
          <w:i/>
          <w:iCs/>
          <w:color w:themeColor="dark1" w:val="000000"/>
          <w:shd w:fill="FFFFFF" w:val="clear"/>
        </w:rPr>
        <w:t>Journal of Applied Sport Psychology</w:t>
      </w:r>
      <w:r>
        <w:rPr>
          <w:b w:val="false"/>
          <w:bCs w:val="false"/>
          <w:color w:themeColor="dark1" w:val="000000"/>
          <w:shd w:fill="FFFFFF" w:val="clear"/>
        </w:rPr>
        <w:t xml:space="preserve">, </w:t>
      </w:r>
      <w:r>
        <w:rPr>
          <w:b w:val="false"/>
          <w:bCs w:val="false"/>
          <w:i/>
          <w:iCs/>
          <w:color w:themeColor="dark1" w:val="000000"/>
          <w:shd w:fill="FFFFFF" w:val="clear"/>
        </w:rPr>
        <w:t>28</w:t>
      </w:r>
      <w:r>
        <w:rPr>
          <w:b w:val="false"/>
          <w:bCs w:val="false"/>
          <w:color w:themeColor="dark1" w:val="000000"/>
          <w:shd w:fill="FFFFFF" w:val="clear"/>
        </w:rPr>
        <w:t>(3), 309-320.</w:t>
      </w:r>
      <w:r>
        <w:rPr>
          <w:rFonts w:cs="Open Sans" w:ascii="Open Sans" w:hAnsi="Open Sans"/>
          <w:b w:val="false"/>
          <w:bCs w:val="false"/>
          <w:color w:val="333333"/>
          <w:sz w:val="20"/>
          <w:szCs w:val="20"/>
        </w:rPr>
        <w:t xml:space="preserve"> </w:t>
      </w:r>
      <w:hyperlink r:id="rId11">
        <w:r>
          <w:rPr>
            <w:rStyle w:val="Hyperlink"/>
            <w:b w:val="false"/>
            <w:bCs w:val="false"/>
          </w:rPr>
          <w:t>https://doi.org/10.1080/10413200.2016.1162219</w:t>
        </w:r>
      </w:hyperlink>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rStyle w:val="Hyperlink"/>
          <w:b w:val="false"/>
          <w:bCs w:val="false"/>
        </w:rPr>
      </w:pPr>
      <w:r>
        <w:rPr>
          <w:b w:val="false"/>
          <w:bCs w:val="false"/>
        </w:rPr>
      </w:r>
    </w:p>
    <w:p>
      <w:pPr>
        <w:pStyle w:val="normal1"/>
        <w:pageBreakBefore w:val="false"/>
        <w:ind w:hanging="720" w:left="720"/>
        <w:jc w:val="both"/>
        <w:rPr/>
      </w:pPr>
      <w:r>
        <w:rPr/>
      </w:r>
    </w:p>
    <w:p>
      <w:pPr>
        <w:pStyle w:val="normal1"/>
        <w:pageBreakBefore w:val="false"/>
        <w:ind w:hanging="720" w:left="720"/>
        <w:jc w:val="both"/>
        <w:rPr/>
      </w:pPr>
      <w:r>
        <w:rPr/>
      </w:r>
    </w:p>
    <w:p>
      <w:pPr>
        <w:pStyle w:val="normal1"/>
        <w:pageBreakBefore w:val="false"/>
        <w:ind w:hanging="720" w:left="720"/>
        <w:jc w:val="both"/>
        <w:rPr/>
      </w:pPr>
      <w:r>
        <w:rPr/>
      </w:r>
    </w:p>
    <w:p>
      <w:pPr>
        <w:pStyle w:val="normal1"/>
        <w:pageBreakBefore w:val="false"/>
        <w:shd w:val="clear" w:fill="FFFFFF"/>
        <w:jc w:val="right"/>
        <w:rPr>
          <w:i/>
          <w:i/>
          <w:sz w:val="20"/>
          <w:szCs w:val="20"/>
        </w:rPr>
      </w:pPr>
      <w:r>
        <w:rPr>
          <w:i/>
          <w:sz w:val="20"/>
          <w:szCs w:val="20"/>
        </w:rPr>
        <w:t xml:space="preserve">Received: </w:t>
      </w:r>
    </w:p>
    <w:p>
      <w:pPr>
        <w:pStyle w:val="normal1"/>
        <w:pageBreakBefore w:val="false"/>
        <w:shd w:val="clear" w:fill="FFFFFF"/>
        <w:jc w:val="right"/>
        <w:rPr>
          <w:i/>
          <w:i/>
          <w:sz w:val="20"/>
          <w:szCs w:val="20"/>
        </w:rPr>
      </w:pPr>
      <w:r>
        <w:rPr>
          <w:i/>
          <w:sz w:val="20"/>
          <w:szCs w:val="20"/>
        </w:rPr>
        <w:t>Accepted:</w:t>
      </w:r>
      <w:r>
        <w:rPr>
          <w:rFonts w:eastAsia="Quattrocento Sans" w:cs="Quattrocento Sans" w:ascii="Quattrocento Sans" w:hAnsi="Quattrocento Sans"/>
          <w:sz w:val="21"/>
          <w:szCs w:val="21"/>
          <w:shd w:fill="FFFFFF" w:val="clear"/>
        </w:rPr>
        <w:t xml:space="preserve"> </w:t>
      </w:r>
    </w:p>
    <w:sectPr>
      <w:headerReference w:type="even" r:id="rId12"/>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swiss"/>
    <w:pitch w:val="variable"/>
  </w:font>
  <w:font w:name="Calibri Light">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libri">
    <w:charset w:val="01"/>
    <w:family w:val="roman"/>
    <w:pitch w:val="variable"/>
  </w:font>
  <w:font w:name="Times">
    <w:altName w:val="Times New Roman"/>
    <w:charset w:val="01"/>
    <w:family w:val="roman"/>
    <w:pitch w:val="variable"/>
  </w:font>
  <w:font w:name="Georgia">
    <w:charset w:val="01"/>
    <w:family w:val="roman"/>
    <w:pitch w:val="variable"/>
  </w:font>
  <w:font w:name="Open Sans">
    <w:charset w:val="01"/>
    <w:family w:val="roman"/>
    <w:pitch w:val="variable"/>
  </w:font>
  <w:font w:name="Quattrocento San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游明朝体" w:cs="Arial Unicode MS"/>
        <w:sz w:val="24"/>
        <w:szCs w:val="24"/>
        <w:lang w:val="en-US" w:eastAsia="ja-JP"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es-AR" w:eastAsia="es-ES_tradnl"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link w:val="Ttulo2Car"/>
    <w:qFormat/>
    <w:pPr>
      <w:keepNext w:val="true"/>
      <w:keepLines/>
      <w:spacing w:before="40" w:after="0"/>
      <w:outlineLvl w:val="1"/>
    </w:pPr>
    <w:rPr>
      <w:rFonts w:ascii="Calibri Light" w:hAnsi="Calibri Light" w:eastAsia="游明朝体" w:cs="Arial Unicode MS"/>
      <w:color w:themeColor="accent1" w:themeShade="bf" w:val="2F5496"/>
      <w:sz w:val="26"/>
      <w:szCs w:val="2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name w:val="Default Paragraph Font"/>
    <w:qFormat/>
    <w:rPr/>
  </w:style>
  <w:style w:type="character" w:styleId="EncabezadoCar">
    <w:name w:val="Encabezado Car"/>
    <w:basedOn w:val="DefaultParagraphFont"/>
    <w:link w:val="Header"/>
    <w:qFormat/>
    <w:rPr/>
  </w:style>
  <w:style w:type="character" w:styleId="PiedepginaCar">
    <w:name w:val="Pie de página Car"/>
    <w:basedOn w:val="DefaultParagraphFont"/>
    <w:link w:val="Footer"/>
    <w:qFormat/>
    <w:rPr/>
  </w:style>
  <w:style w:type="character" w:styleId="label3">
    <w:name w:val="label3"/>
    <w:basedOn w:val="DefaultParagraphFont"/>
    <w:qFormat/>
    <w:rPr/>
  </w:style>
  <w:style w:type="character" w:styleId="TextonotapieCar">
    <w:name w:val="Texto nota pie Car"/>
    <w:basedOn w:val="DefaultParagraphFont"/>
    <w:link w:val="FootnoteText"/>
    <w:qFormat/>
    <w:rPr>
      <w:rFonts w:ascii="Times New Roman" w:hAnsi="Times New Roman" w:eastAsia="Times New Roman" w:cs="Times New Roman"/>
      <w:sz w:val="20"/>
      <w:szCs w:val="20"/>
      <w:lang w:val="es-ES_tradnl" w:eastAsia="es-ES_tradnl"/>
    </w:rPr>
  </w:style>
  <w:style w:type="character" w:styleId="FootnoteCharacters">
    <w:name w:val="Footnote Characters"/>
    <w:basedOn w:val="DefaultParagraphFont"/>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5">
    <w:name w:val="Footnote Characters5"/>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TextoindependienteCar">
    <w:name w:val="Texto independiente Car"/>
    <w:basedOn w:val="DefaultParagraphFont"/>
    <w:qFormat/>
    <w:rPr>
      <w:rFonts w:ascii="Times New Roman" w:hAnsi="Times New Roman" w:eastAsia="Times New Roman" w:cs="Times New Roman"/>
      <w:szCs w:val="20"/>
    </w:rPr>
  </w:style>
  <w:style w:type="character" w:styleId="TextonotaalfinalCar">
    <w:name w:val="Texto nota al final Car"/>
    <w:basedOn w:val="DefaultParagraphFont"/>
    <w:link w:val="EndnoteText"/>
    <w:qFormat/>
    <w:rPr>
      <w:rFonts w:ascii="Times New Roman" w:hAnsi="Times New Roman" w:eastAsia="Times New Roman" w:cs="Times New Roman"/>
      <w:sz w:val="20"/>
      <w:szCs w:val="20"/>
      <w:lang w:val="es-ES_tradnl" w:eastAsia="es-ES_tradnl"/>
    </w:rPr>
  </w:style>
  <w:style w:type="character" w:styleId="EndnoteCharacters">
    <w:name w:val="Endnote Characters"/>
    <w:basedOn w:val="DefaultParagraphFont"/>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5">
    <w:name w:val="Endnote Characters5"/>
    <w:qFormat/>
    <w:rPr>
      <w:vertAlign w:val="superscript"/>
    </w:rPr>
  </w:style>
  <w:style w:type="character" w:styleId="EndnoteReference">
    <w:name w:val="Endnote Reference"/>
    <w:rPr>
      <w:vertAlign w:val="superscript"/>
    </w:rPr>
  </w:style>
  <w:style w:type="character" w:styleId="Hyperlink">
    <w:name w:val="Hyperlink"/>
    <w:basedOn w:val="DefaultParagraphFont"/>
    <w:rPr>
      <w:color w:val="0000FF"/>
      <w:u w:val="single"/>
    </w:rPr>
  </w:style>
  <w:style w:type="character" w:styleId="TextodegloboCar">
    <w:name w:val="Texto de globo Car"/>
    <w:basedOn w:val="DefaultParagraphFont"/>
    <w:link w:val="BalloonText"/>
    <w:qFormat/>
    <w:rPr>
      <w:rFonts w:ascii="Times New Roman" w:hAnsi="Times New Roman" w:eastAsia="Times New Roman" w:cs="Times New Roman"/>
      <w:sz w:val="18"/>
      <w:szCs w:val="18"/>
      <w:lang w:val="es-ES_tradnl" w:eastAsia="es-ES_tradnl"/>
    </w:rPr>
  </w:style>
  <w:style w:type="character" w:styleId="TtulosinternosCar">
    <w:name w:val="Títulos internos Car"/>
    <w:basedOn w:val="DefaultParagraphFont"/>
    <w:link w:val="Ttulosinternos"/>
    <w:qFormat/>
    <w:rPr>
      <w:rFonts w:ascii="Times New Roman" w:hAnsi="Times New Roman" w:eastAsia="Times New Roman" w:cs="Times New Roman"/>
      <w:b/>
    </w:rPr>
  </w:style>
  <w:style w:type="character" w:styleId="Ttulo2Car">
    <w:name w:val="Título 2 Car"/>
    <w:basedOn w:val="DefaultParagraphFont"/>
    <w:link w:val="Heading2"/>
    <w:qFormat/>
    <w:rPr>
      <w:rFonts w:ascii="Calibri Light" w:hAnsi="Calibri Light" w:eastAsia="游明朝体" w:cs="Arial Unicode MS"/>
      <w:color w:themeColor="accent1" w:themeShade="bf" w:val="2F5496"/>
      <w:sz w:val="26"/>
      <w:szCs w:val="26"/>
      <w:lang w:val="es-ES_tradnl" w:eastAsia="es-ES_tradnl"/>
    </w:rPr>
  </w:style>
  <w:style w:type="character" w:styleId="TitulodeartculoCar">
    <w:name w:val="Titulo de artículo Car"/>
    <w:basedOn w:val="DefaultParagraphFont"/>
    <w:link w:val="Titulodeartculo"/>
    <w:qFormat/>
    <w:rPr>
      <w:rFonts w:ascii="Times New Roman" w:hAnsi="Times New Roman" w:eastAsia="Times New Roman" w:cs="Times New Roman"/>
      <w:b/>
      <w:sz w:val="36"/>
      <w:szCs w:val="36"/>
      <w:lang w:val="es-ES_tradnl" w:eastAsia="es-ES_tradnl"/>
    </w:rPr>
  </w:style>
  <w:style w:type="character" w:styleId="TtuloprincipiodeartculoCar">
    <w:name w:val="Título principio de artículo Car"/>
    <w:basedOn w:val="DefaultParagraphFont"/>
    <w:link w:val="Ttuloprincipiodeartculo"/>
    <w:qFormat/>
    <w:rPr>
      <w:rFonts w:ascii="Times New Roman" w:hAnsi="Times New Roman" w:eastAsia="Times New Roman" w:cs="Times New Roman"/>
      <w:lang w:val="pt-BR" w:eastAsia="es-ES_tradnl"/>
    </w:rPr>
  </w:style>
  <w:style w:type="character" w:styleId="TtuloResumenCar">
    <w:name w:val="Título Resumen Car"/>
    <w:basedOn w:val="DefaultParagraphFont"/>
    <w:link w:val="TtuloResumen"/>
    <w:qFormat/>
    <w:rPr>
      <w:rFonts w:ascii="Times New Roman" w:hAnsi="Times New Roman" w:eastAsia="Times New Roman" w:cs="Times New Roman"/>
      <w:b/>
      <w:smallCaps/>
      <w:sz w:val="20"/>
      <w:szCs w:val="20"/>
      <w:lang w:val="pt-BR" w:eastAsia="es-ES_tradnl"/>
    </w:rPr>
  </w:style>
  <w:style w:type="character" w:styleId="UnresolvedMention">
    <w:name w:val="Unresolved Mention"/>
    <w:basedOn w:val="DefaultParagraphFont"/>
    <w:qFormat/>
    <w:rPr>
      <w:color w:val="605E5C"/>
      <w:shd w:fill="E1DFDD" w:val="clear"/>
    </w:rPr>
  </w:style>
  <w:style w:type="character" w:styleId="SubtituloInterno1Car">
    <w:name w:val="Subtitulo Interno 1 Car"/>
    <w:basedOn w:val="DefaultParagraphFont"/>
    <w:link w:val="SubtituloInterno1"/>
    <w:qFormat/>
    <w:rPr>
      <w:rFonts w:ascii="Times New Roman" w:hAnsi="Times New Roman" w:eastAsia="Times New Roman" w:cs="Times New Roman"/>
      <w:i/>
      <w:lang w:val="es-AR"/>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游ゴシック体" w:cs="Arial Unicode MS"/>
      <w:sz w:val="28"/>
      <w:szCs w:val="28"/>
    </w:rPr>
  </w:style>
  <w:style w:type="paragraph" w:styleId="BodyText">
    <w:name w:val="Body Text"/>
    <w:basedOn w:val="normal1"/>
    <w:link w:val="TextoindependienteCar"/>
    <w:pPr>
      <w:spacing w:lineRule="auto" w:line="480"/>
      <w:ind w:firstLine="540"/>
    </w:pPr>
    <w:rPr>
      <w:szCs w:val="20"/>
      <w:lang w:val="en-US" w:eastAsia="en-U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normal1">
    <w:name w:val="normal1"/>
    <w:qFormat/>
    <w:pPr>
      <w:widowControl/>
      <w:suppressAutoHyphens w:val="true"/>
      <w:overflowPunct w:val="false"/>
      <w:bidi w:val="0"/>
      <w:spacing w:before="0" w:after="0"/>
      <w:jc w:val="left"/>
    </w:pPr>
    <w:rPr>
      <w:rFonts w:ascii="Times New Roman" w:hAnsi="Times New Roman" w:eastAsia="游明朝体" w:cs="Arial Unicode MS"/>
      <w:color w:val="auto"/>
      <w:kern w:val="0"/>
      <w:sz w:val="24"/>
      <w:szCs w:val="24"/>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HeaderandFooter">
    <w:name w:val="Header and Footer"/>
    <w:basedOn w:val="Normal"/>
    <w:qFormat/>
    <w:pPr/>
    <w:rPr/>
  </w:style>
  <w:style w:type="paragraph" w:styleId="Header">
    <w:name w:val="Header"/>
    <w:basedOn w:val="normal1"/>
    <w:link w:val="EncabezadoCar"/>
    <w:pPr>
      <w:tabs>
        <w:tab w:val="clear" w:pos="720"/>
        <w:tab w:val="center" w:pos="4680" w:leader="none"/>
        <w:tab w:val="right" w:pos="9360" w:leader="none"/>
      </w:tabs>
    </w:pPr>
    <w:rPr>
      <w:rFonts w:ascii="Calibri" w:hAnsi="Calibri" w:eastAsia="Calibri" w:cs="Arial Unicode MS"/>
      <w:lang w:val="en-US" w:eastAsia="en-US"/>
    </w:rPr>
  </w:style>
  <w:style w:type="paragraph" w:styleId="Footer">
    <w:name w:val="Footer"/>
    <w:basedOn w:val="normal1"/>
    <w:link w:val="PiedepginaCar"/>
    <w:pPr>
      <w:tabs>
        <w:tab w:val="clear" w:pos="720"/>
        <w:tab w:val="center" w:pos="4680" w:leader="none"/>
        <w:tab w:val="right" w:pos="9360" w:leader="none"/>
      </w:tabs>
    </w:pPr>
    <w:rPr>
      <w:rFonts w:ascii="Calibri" w:hAnsi="Calibri" w:eastAsia="Calibri" w:cs="Arial Unicode MS"/>
      <w:lang w:val="en-US" w:eastAsia="en-US"/>
    </w:rPr>
  </w:style>
  <w:style w:type="paragraph" w:styleId="FootnoteText">
    <w:name w:val="Footnote Text"/>
    <w:basedOn w:val="normal1"/>
    <w:link w:val="TextonotapieCar"/>
    <w:pPr/>
    <w:rPr>
      <w:sz w:val="20"/>
      <w:szCs w:val="20"/>
    </w:rPr>
  </w:style>
  <w:style w:type="paragraph" w:styleId="EndNoteBibliography">
    <w:name w:val="EndNote Bibliography"/>
    <w:basedOn w:val="normal1"/>
    <w:qFormat/>
    <w:pPr>
      <w:spacing w:before="0" w:after="200"/>
    </w:pPr>
    <w:rPr>
      <w:rFonts w:ascii="Calibri" w:hAnsi="Calibri"/>
      <w:sz w:val="22"/>
      <w:szCs w:val="22"/>
      <w:lang w:val="es-ES" w:eastAsia="es-ES"/>
    </w:rPr>
  </w:style>
  <w:style w:type="paragraph" w:styleId="EndnoteText">
    <w:name w:val="Endnote Text"/>
    <w:basedOn w:val="normal1"/>
    <w:link w:val="TextonotaalfinalCar"/>
    <w:pPr/>
    <w:rPr>
      <w:sz w:val="20"/>
      <w:szCs w:val="20"/>
    </w:rPr>
  </w:style>
  <w:style w:type="paragraph" w:styleId="BalloonText">
    <w:name w:val="Balloon Text"/>
    <w:basedOn w:val="normal1"/>
    <w:link w:val="TextodegloboCar"/>
    <w:qFormat/>
    <w:pPr/>
    <w:rPr>
      <w:sz w:val="18"/>
      <w:szCs w:val="18"/>
    </w:rPr>
  </w:style>
  <w:style w:type="paragraph" w:styleId="Referencias">
    <w:name w:val="Referencias"/>
    <w:basedOn w:val="normal1"/>
    <w:qFormat/>
    <w:pPr>
      <w:ind w:hanging="720" w:left="720"/>
      <w:jc w:val="both"/>
    </w:pPr>
    <w:rPr>
      <w:lang w:val="en-US"/>
    </w:rPr>
  </w:style>
  <w:style w:type="paragraph" w:styleId="Prrafocomn">
    <w:name w:val="Párrafo común"/>
    <w:basedOn w:val="normal1"/>
    <w:qFormat/>
    <w:pPr>
      <w:spacing w:lineRule="auto" w:line="360" w:before="0" w:after="0"/>
      <w:ind w:firstLine="708"/>
      <w:contextualSpacing/>
      <w:jc w:val="both"/>
    </w:pPr>
    <w:rPr>
      <w:lang w:val="en-US"/>
    </w:rPr>
  </w:style>
  <w:style w:type="paragraph" w:styleId="Ttulosinternos">
    <w:name w:val="Títulos internos"/>
    <w:basedOn w:val="normal1"/>
    <w:link w:val="TtulosinternosCar"/>
    <w:autoRedefine/>
    <w:qFormat/>
    <w:pPr>
      <w:spacing w:before="280" w:after="280"/>
      <w:jc w:val="center"/>
      <w:outlineLvl w:val="0"/>
    </w:pPr>
    <w:rPr>
      <w:b/>
      <w:lang w:val="en-US" w:eastAsia="en-US"/>
    </w:rPr>
  </w:style>
  <w:style w:type="paragraph" w:styleId="SubtituloInterno">
    <w:name w:val="Subtitulo Interno"/>
    <w:basedOn w:val="normal1"/>
    <w:autoRedefine/>
    <w:qFormat/>
    <w:pPr>
      <w:spacing w:lineRule="auto" w:line="360" w:before="280" w:after="280"/>
      <w:contextualSpacing/>
      <w:jc w:val="both"/>
      <w:outlineLvl w:val="1"/>
    </w:pPr>
    <w:rPr>
      <w:b/>
      <w:i/>
      <w:lang w:val="en-US"/>
    </w:rPr>
  </w:style>
  <w:style w:type="paragraph" w:styleId="TtuloResumen">
    <w:name w:val="Título Resumen"/>
    <w:basedOn w:val="normal1"/>
    <w:link w:val="TtuloResumenCar"/>
    <w:autoRedefine/>
    <w:qFormat/>
    <w:pPr>
      <w:spacing w:before="0" w:after="120"/>
      <w:jc w:val="center"/>
      <w:outlineLvl w:val="0"/>
    </w:pPr>
    <w:rPr>
      <w:b/>
      <w:smallCaps/>
      <w:sz w:val="20"/>
      <w:szCs w:val="20"/>
      <w:lang w:val="pt-BR"/>
    </w:rPr>
  </w:style>
  <w:style w:type="paragraph" w:styleId="Resumen">
    <w:name w:val="Resumen"/>
    <w:basedOn w:val="normal1"/>
    <w:autoRedefine/>
    <w:qFormat/>
    <w:pPr>
      <w:jc w:val="both"/>
    </w:pPr>
    <w:rPr>
      <w:sz w:val="20"/>
      <w:szCs w:val="20"/>
      <w:lang w:val="pt-BR"/>
    </w:rPr>
  </w:style>
  <w:style w:type="paragraph" w:styleId="Ttulodepalabrasclave">
    <w:name w:val="Título de palabras clave"/>
    <w:basedOn w:val="normal1"/>
    <w:qFormat/>
    <w:pPr/>
    <w:rPr>
      <w:b/>
      <w:sz w:val="20"/>
      <w:szCs w:val="20"/>
      <w:lang w:val="en-US"/>
    </w:rPr>
  </w:style>
  <w:style w:type="paragraph" w:styleId="Palabrasclave">
    <w:name w:val="Palabras clave"/>
    <w:basedOn w:val="normal1"/>
    <w:qFormat/>
    <w:pPr>
      <w:jc w:val="both"/>
    </w:pPr>
    <w:rPr>
      <w:bCs/>
      <w:sz w:val="20"/>
      <w:szCs w:val="20"/>
    </w:rPr>
  </w:style>
  <w:style w:type="paragraph" w:styleId="Notaalpie1erapgina">
    <w:name w:val="Nota al pie 1era página"/>
    <w:basedOn w:val="normal1"/>
    <w:qFormat/>
    <w:pPr/>
    <w:rPr>
      <w:rFonts w:ascii="Times" w:hAnsi="Times"/>
      <w:sz w:val="16"/>
      <w:szCs w:val="16"/>
      <w:lang w:val="pt-BR"/>
    </w:rPr>
  </w:style>
  <w:style w:type="paragraph" w:styleId="NombresAutores">
    <w:name w:val="Nombres Autores"/>
    <w:basedOn w:val="normal1"/>
    <w:qFormat/>
    <w:pPr/>
    <w:rPr>
      <w:b/>
      <w:color w:val="222222"/>
      <w:sz w:val="28"/>
      <w:szCs w:val="28"/>
      <w:lang w:val="pt-BR"/>
    </w:rPr>
  </w:style>
  <w:style w:type="paragraph" w:styleId="Instituciones">
    <w:name w:val="Instituciones"/>
    <w:basedOn w:val="normal1"/>
    <w:qFormat/>
    <w:pPr/>
    <w:rPr>
      <w:i/>
      <w:sz w:val="28"/>
      <w:szCs w:val="28"/>
      <w:lang w:val="pt-BR"/>
    </w:rPr>
  </w:style>
  <w:style w:type="paragraph" w:styleId="Titulodeartculo">
    <w:name w:val="Titulo de artículo"/>
    <w:basedOn w:val="normal1"/>
    <w:link w:val="TitulodeartculoCar"/>
    <w:autoRedefine/>
    <w:qFormat/>
    <w:pPr>
      <w:jc w:val="center"/>
      <w:outlineLvl w:val="0"/>
    </w:pPr>
    <w:rPr>
      <w:b/>
      <w:sz w:val="36"/>
      <w:szCs w:val="36"/>
    </w:rPr>
  </w:style>
  <w:style w:type="paragraph" w:styleId="RecibidoAceptado">
    <w:name w:val="Recibido/Aceptado"/>
    <w:basedOn w:val="normal1"/>
    <w:qFormat/>
    <w:pPr>
      <w:shd w:val="clear" w:fill="FFFFFF"/>
      <w:jc w:val="right"/>
    </w:pPr>
    <w:rPr>
      <w:i/>
      <w:iCs/>
      <w:sz w:val="20"/>
      <w:szCs w:val="20"/>
      <w:lang w:val="pt-BR"/>
    </w:rPr>
  </w:style>
  <w:style w:type="paragraph" w:styleId="Ttuloprincipiodeartculo">
    <w:name w:val="Título principio de artículo"/>
    <w:basedOn w:val="normal1"/>
    <w:link w:val="TtuloprincipiodeartculoCar"/>
    <w:autoRedefine/>
    <w:qFormat/>
    <w:pPr>
      <w:jc w:val="center"/>
      <w:outlineLvl w:val="0"/>
    </w:pPr>
    <w:rPr>
      <w:lang w:val="pt-BR"/>
    </w:rPr>
  </w:style>
  <w:style w:type="paragraph" w:styleId="NormalWeb">
    <w:name w:val="Normal (Web)"/>
    <w:basedOn w:val="normal1"/>
    <w:qFormat/>
    <w:pPr/>
    <w:rPr/>
  </w:style>
  <w:style w:type="paragraph" w:styleId="SubtituloInterno1">
    <w:name w:val="Subtitulo Interno 1"/>
    <w:basedOn w:val="SubtituloInterno"/>
    <w:link w:val="SubtituloInterno1Car"/>
    <w:qFormat/>
    <w:pPr>
      <w:outlineLvl w:val="2"/>
    </w:pPr>
    <w:rPr>
      <w:b w:val="false"/>
      <w:lang w:val="es-AR" w:eastAsia="en-US"/>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doi.org/10.1007/s10899-018-9763-1" TargetMode="External"/><Relationship Id="rId4" Type="http://schemas.openxmlformats.org/officeDocument/2006/relationships/hyperlink" Target="http://dx.doi.org/10.1515/ppb-2015-0037" TargetMode="External"/><Relationship Id="rId5" Type="http://schemas.openxmlformats.org/officeDocument/2006/relationships/hyperlink" Target="https://doi.org/10.1016/j.jsams.2018.05.01" TargetMode="External"/><Relationship Id="rId6" Type="http://schemas.openxmlformats.org/officeDocument/2006/relationships/hyperlink" Target="http://dx.doi.org.proxy.lib.umich.edu/10.1016/j.copsyc.2017.03.010" TargetMode="External"/><Relationship Id="rId7" Type="http://schemas.openxmlformats.org/officeDocument/2006/relationships/hyperlink" Target="https://doi.org/10.1080/10413200290103509" TargetMode="External"/><Relationship Id="rId8" Type="http://schemas.openxmlformats.org/officeDocument/2006/relationships/hyperlink" Target="https://doi.org/10.1016/j.psychsport.2020.101738" TargetMode="External"/><Relationship Id="rId9" Type="http://schemas.openxmlformats.org/officeDocument/2006/relationships/hyperlink" Target="https://doi.org/10.1123/jsep.2013-0260" TargetMode="External"/><Relationship Id="rId10" Type="http://schemas.openxmlformats.org/officeDocument/2006/relationships/hyperlink" Target="https://doi.org/10.3389/fpsyg.2020.00628" TargetMode="External"/><Relationship Id="rId11" Type="http://schemas.openxmlformats.org/officeDocument/2006/relationships/hyperlink" Target="https://doi.org/10.1080/10413200.2016.1162219"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973</TotalTime>
  <Application>LibreOffice/24.2.4.2$MacOSX_X86_64 LibreOffice_project/51a6219feb6075d9a4c46691dcfe0cd9c4fff3c2</Application>
  <AppVersion>15.0000</AppVersion>
  <Pages>10</Pages>
  <Words>3124</Words>
  <Characters>18232</Characters>
  <CharactersWithSpaces>21204</CharactersWithSpaces>
  <Paragraphs>175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2020-09-09T19:59:00Z</dcterms:created>
  <dc:creator>Microsoft Office User</dc:creator>
  <dc:description/>
  <dc:language>en-US</dc:language>
  <cp:lastModifiedBy/>
  <dcterms:modified xsi:type="dcterms:W3CDTF">2024-08-11T18:33:29Z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