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A2D445" w14:textId="77777777" w:rsidR="000B505F" w:rsidRDefault="00000000">
      <w:pPr>
        <w:shd w:val="clear" w:color="auto" w:fill="FFFFFF"/>
        <w:spacing w:line="360" w:lineRule="auto"/>
        <w:ind w:firstLine="0"/>
        <w:jc w:val="center"/>
        <w:rPr>
          <w:b/>
          <w:color w:val="000000"/>
        </w:rPr>
      </w:pPr>
      <w:r>
        <w:rPr>
          <w:b/>
          <w:color w:val="000000"/>
        </w:rPr>
        <w:t>Moral Wrongness of Relationship Behaviors Scale-Brazilian Version</w:t>
      </w:r>
    </w:p>
    <w:p w14:paraId="3DB64BFC" w14:textId="77777777" w:rsidR="000B505F" w:rsidRDefault="00000000">
      <w:pPr>
        <w:shd w:val="clear" w:color="auto" w:fill="FFFFFF"/>
        <w:spacing w:line="360" w:lineRule="auto"/>
        <w:ind w:firstLine="0"/>
        <w:jc w:val="center"/>
        <w:rPr>
          <w:color w:val="000000"/>
        </w:rPr>
      </w:pPr>
      <w:r>
        <w:rPr>
          <w:b/>
          <w:color w:val="000000"/>
        </w:rPr>
        <w:t>Abstract</w:t>
      </w:r>
    </w:p>
    <w:p w14:paraId="158DD233" w14:textId="77777777" w:rsidR="000B505F" w:rsidRDefault="00000000">
      <w:pPr>
        <w:shd w:val="clear" w:color="auto" w:fill="FFFFFF"/>
        <w:spacing w:line="360" w:lineRule="auto"/>
        <w:ind w:firstLine="0"/>
      </w:pPr>
      <w:r>
        <w:t>In general, people use Moral Foundations to judge behaviors in romantic relationships. To measure these foundations in the Brazilian context, this study adapted the Moral Wrongness of Relationship Behaviors Scale. The items, translated from English to Portuguese, were evaluated by four expert judges using the Content Validity Coefficient and were deemed appropriate. The study involved 402 heterosexual individuals living with their partners in Rio de Janeiro. Confirmatory Factor Analyses indicated better fit indexes for a three-factor model. The scores revealed that women judged ambiguous behaviors related to Sexual Threat less severely and Privacy Violations more severely than men. Overall, the instrument demonstrated adequate psychometric properties and holds potential as a measure for clinicians and researchers in this area. Future studies are expected to confirm these findings with larger and more representative samples of the Brazilian population.</w:t>
      </w:r>
    </w:p>
    <w:p w14:paraId="7CC5A539" w14:textId="77777777" w:rsidR="000B505F" w:rsidRDefault="00000000">
      <w:pPr>
        <w:shd w:val="clear" w:color="auto" w:fill="FFFFFF"/>
        <w:spacing w:line="360" w:lineRule="auto"/>
        <w:ind w:firstLine="709"/>
        <w:rPr>
          <w:color w:val="000000"/>
        </w:rPr>
      </w:pPr>
      <w:r>
        <w:rPr>
          <w:i/>
          <w:color w:val="000000"/>
        </w:rPr>
        <w:t xml:space="preserve">Keywords: </w:t>
      </w:r>
      <w:r>
        <w:rPr>
          <w:color w:val="000000"/>
        </w:rPr>
        <w:t>moral judgment; romantic relationships; social behavior; validation; psychometrics</w:t>
      </w:r>
    </w:p>
    <w:p w14:paraId="45606C79" w14:textId="77777777" w:rsidR="000B505F" w:rsidRDefault="00000000">
      <w:pPr>
        <w:shd w:val="clear" w:color="auto" w:fill="FFFFFF"/>
        <w:spacing w:line="360" w:lineRule="auto"/>
        <w:ind w:firstLine="0"/>
        <w:jc w:val="center"/>
        <w:rPr>
          <w:b/>
        </w:rPr>
      </w:pPr>
      <w:r>
        <w:rPr>
          <w:b/>
        </w:rPr>
        <w:t>Moral Wrongness of Relationship Behaviors Scale-</w:t>
      </w:r>
      <w:proofErr w:type="spellStart"/>
      <w:r>
        <w:rPr>
          <w:b/>
        </w:rPr>
        <w:t>Versão</w:t>
      </w:r>
      <w:proofErr w:type="spellEnd"/>
      <w:r>
        <w:rPr>
          <w:b/>
        </w:rPr>
        <w:t xml:space="preserve"> Brasileira</w:t>
      </w:r>
    </w:p>
    <w:p w14:paraId="1F2E4609" w14:textId="77777777" w:rsidR="000B505F" w:rsidRDefault="00000000">
      <w:pPr>
        <w:shd w:val="clear" w:color="auto" w:fill="FFFFFF"/>
        <w:spacing w:line="360" w:lineRule="auto"/>
        <w:ind w:firstLine="0"/>
        <w:jc w:val="center"/>
        <w:rPr>
          <w:b/>
          <w:color w:val="000000"/>
        </w:rPr>
      </w:pPr>
      <w:proofErr w:type="spellStart"/>
      <w:r>
        <w:rPr>
          <w:b/>
          <w:color w:val="000000"/>
        </w:rPr>
        <w:t>Resumo</w:t>
      </w:r>
      <w:proofErr w:type="spellEnd"/>
    </w:p>
    <w:p w14:paraId="4D418635" w14:textId="77777777" w:rsidR="000B505F" w:rsidRDefault="00000000">
      <w:pPr>
        <w:shd w:val="clear" w:color="auto" w:fill="FFFFFF"/>
        <w:spacing w:line="360" w:lineRule="auto"/>
        <w:ind w:firstLine="0"/>
        <w:rPr>
          <w:color w:val="000000"/>
        </w:rPr>
      </w:pPr>
      <w:r>
        <w:rPr>
          <w:color w:val="000000"/>
        </w:rPr>
        <w:t xml:space="preserve">Em </w:t>
      </w:r>
      <w:proofErr w:type="spellStart"/>
      <w:r>
        <w:rPr>
          <w:color w:val="000000"/>
        </w:rPr>
        <w:t>geral</w:t>
      </w:r>
      <w:proofErr w:type="spellEnd"/>
      <w:r>
        <w:rPr>
          <w:color w:val="000000"/>
        </w:rPr>
        <w:t xml:space="preserve">, as </w:t>
      </w:r>
      <w:proofErr w:type="spellStart"/>
      <w:r>
        <w:rPr>
          <w:color w:val="000000"/>
        </w:rPr>
        <w:t>pessoas</w:t>
      </w:r>
      <w:proofErr w:type="spellEnd"/>
      <w:r>
        <w:rPr>
          <w:color w:val="000000"/>
        </w:rPr>
        <w:t xml:space="preserve"> </w:t>
      </w:r>
      <w:proofErr w:type="spellStart"/>
      <w:r>
        <w:rPr>
          <w:color w:val="000000"/>
        </w:rPr>
        <w:t>são</w:t>
      </w:r>
      <w:proofErr w:type="spellEnd"/>
      <w:r>
        <w:rPr>
          <w:color w:val="000000"/>
        </w:rPr>
        <w:t xml:space="preserve"> </w:t>
      </w:r>
      <w:proofErr w:type="spellStart"/>
      <w:r>
        <w:rPr>
          <w:color w:val="000000"/>
        </w:rPr>
        <w:t>norteadas</w:t>
      </w:r>
      <w:proofErr w:type="spellEnd"/>
      <w:r>
        <w:rPr>
          <w:color w:val="000000"/>
        </w:rPr>
        <w:t xml:space="preserve"> </w:t>
      </w:r>
      <w:proofErr w:type="spellStart"/>
      <w:r>
        <w:rPr>
          <w:color w:val="000000"/>
        </w:rPr>
        <w:t>por</w:t>
      </w:r>
      <w:proofErr w:type="spellEnd"/>
      <w:r>
        <w:rPr>
          <w:color w:val="000000"/>
        </w:rPr>
        <w:t xml:space="preserve"> </w:t>
      </w:r>
      <w:proofErr w:type="spellStart"/>
      <w:r>
        <w:rPr>
          <w:color w:val="000000"/>
        </w:rPr>
        <w:t>Fundamentos</w:t>
      </w:r>
      <w:proofErr w:type="spellEnd"/>
      <w:r>
        <w:rPr>
          <w:color w:val="000000"/>
        </w:rPr>
        <w:t xml:space="preserve"> Morais para </w:t>
      </w:r>
      <w:proofErr w:type="spellStart"/>
      <w:r>
        <w:rPr>
          <w:color w:val="000000"/>
        </w:rPr>
        <w:t>julgar</w:t>
      </w:r>
      <w:proofErr w:type="spellEnd"/>
      <w:r>
        <w:rPr>
          <w:color w:val="000000"/>
        </w:rPr>
        <w:t xml:space="preserve"> </w:t>
      </w:r>
      <w:proofErr w:type="spellStart"/>
      <w:r>
        <w:rPr>
          <w:color w:val="000000"/>
        </w:rPr>
        <w:t>comportamentos</w:t>
      </w:r>
      <w:proofErr w:type="spellEnd"/>
      <w:r>
        <w:rPr>
          <w:color w:val="000000"/>
        </w:rPr>
        <w:t xml:space="preserve"> </w:t>
      </w:r>
      <w:proofErr w:type="spellStart"/>
      <w:r>
        <w:rPr>
          <w:color w:val="000000"/>
        </w:rPr>
        <w:t>em</w:t>
      </w:r>
      <w:proofErr w:type="spellEnd"/>
      <w:r>
        <w:rPr>
          <w:color w:val="000000"/>
        </w:rPr>
        <w:t xml:space="preserve"> </w:t>
      </w:r>
      <w:proofErr w:type="spellStart"/>
      <w:r>
        <w:rPr>
          <w:color w:val="000000"/>
        </w:rPr>
        <w:t>relacionamentos</w:t>
      </w:r>
      <w:proofErr w:type="spellEnd"/>
      <w:r>
        <w:rPr>
          <w:color w:val="000000"/>
        </w:rPr>
        <w:t xml:space="preserve"> </w:t>
      </w:r>
      <w:proofErr w:type="spellStart"/>
      <w:r>
        <w:rPr>
          <w:color w:val="000000"/>
        </w:rPr>
        <w:t>românticos</w:t>
      </w:r>
      <w:proofErr w:type="spellEnd"/>
      <w:r>
        <w:rPr>
          <w:color w:val="000000"/>
        </w:rPr>
        <w:t xml:space="preserve">. Para </w:t>
      </w:r>
      <w:proofErr w:type="spellStart"/>
      <w:r>
        <w:rPr>
          <w:color w:val="000000"/>
        </w:rPr>
        <w:t>mensurá-los</w:t>
      </w:r>
      <w:proofErr w:type="spellEnd"/>
      <w:r>
        <w:rPr>
          <w:color w:val="000000"/>
        </w:rPr>
        <w:t xml:space="preserve"> no </w:t>
      </w:r>
      <w:proofErr w:type="spellStart"/>
      <w:r>
        <w:rPr>
          <w:color w:val="000000"/>
        </w:rPr>
        <w:t>contexto</w:t>
      </w:r>
      <w:proofErr w:type="spellEnd"/>
      <w:r>
        <w:rPr>
          <w:color w:val="000000"/>
        </w:rPr>
        <w:t xml:space="preserve"> </w:t>
      </w:r>
      <w:proofErr w:type="spellStart"/>
      <w:r>
        <w:rPr>
          <w:color w:val="000000"/>
        </w:rPr>
        <w:t>brasileiro</w:t>
      </w:r>
      <w:proofErr w:type="spellEnd"/>
      <w:r>
        <w:rPr>
          <w:color w:val="000000"/>
        </w:rPr>
        <w:t xml:space="preserve">, </w:t>
      </w:r>
      <w:proofErr w:type="spellStart"/>
      <w:r>
        <w:rPr>
          <w:color w:val="000000"/>
        </w:rPr>
        <w:t>este</w:t>
      </w:r>
      <w:proofErr w:type="spellEnd"/>
      <w:r>
        <w:rPr>
          <w:color w:val="000000"/>
        </w:rPr>
        <w:t xml:space="preserve"> </w:t>
      </w:r>
      <w:proofErr w:type="spellStart"/>
      <w:r>
        <w:rPr>
          <w:color w:val="000000"/>
        </w:rPr>
        <w:t>estudo</w:t>
      </w:r>
      <w:proofErr w:type="spellEnd"/>
      <w:r>
        <w:rPr>
          <w:color w:val="000000"/>
        </w:rPr>
        <w:t xml:space="preserve"> </w:t>
      </w:r>
      <w:proofErr w:type="spellStart"/>
      <w:r>
        <w:rPr>
          <w:color w:val="000000"/>
        </w:rPr>
        <w:t>adaptou</w:t>
      </w:r>
      <w:proofErr w:type="spellEnd"/>
      <w:r>
        <w:rPr>
          <w:color w:val="000000"/>
        </w:rPr>
        <w:t xml:space="preserve"> a </w:t>
      </w:r>
      <w:r>
        <w:rPr>
          <w:i/>
          <w:color w:val="000000"/>
        </w:rPr>
        <w:t>Moral Wrongness of Relationship Behaviors Scale</w:t>
      </w:r>
      <w:r>
        <w:rPr>
          <w:color w:val="000000"/>
        </w:rPr>
        <w:t xml:space="preserve">. </w:t>
      </w:r>
      <w:proofErr w:type="spellStart"/>
      <w:r>
        <w:rPr>
          <w:color w:val="000000"/>
        </w:rPr>
        <w:t>Os</w:t>
      </w:r>
      <w:proofErr w:type="spellEnd"/>
      <w:r>
        <w:rPr>
          <w:color w:val="000000"/>
        </w:rPr>
        <w:t xml:space="preserve"> </w:t>
      </w:r>
      <w:proofErr w:type="spellStart"/>
      <w:r>
        <w:rPr>
          <w:color w:val="000000"/>
        </w:rPr>
        <w:t>itens</w:t>
      </w:r>
      <w:proofErr w:type="spellEnd"/>
      <w:r>
        <w:rPr>
          <w:color w:val="000000"/>
        </w:rPr>
        <w:t xml:space="preserve"> do </w:t>
      </w:r>
      <w:proofErr w:type="spellStart"/>
      <w:r>
        <w:rPr>
          <w:color w:val="000000"/>
        </w:rPr>
        <w:t>instrumento</w:t>
      </w:r>
      <w:proofErr w:type="spellEnd"/>
      <w:r>
        <w:rPr>
          <w:color w:val="000000"/>
        </w:rPr>
        <w:t xml:space="preserve">, </w:t>
      </w:r>
      <w:proofErr w:type="spellStart"/>
      <w:r>
        <w:rPr>
          <w:color w:val="000000"/>
        </w:rPr>
        <w:t>traduzidos</w:t>
      </w:r>
      <w:proofErr w:type="spellEnd"/>
      <w:r>
        <w:rPr>
          <w:color w:val="000000"/>
        </w:rPr>
        <w:t xml:space="preserve"> do </w:t>
      </w:r>
      <w:proofErr w:type="spellStart"/>
      <w:r>
        <w:rPr>
          <w:color w:val="000000"/>
        </w:rPr>
        <w:t>inglês</w:t>
      </w:r>
      <w:proofErr w:type="spellEnd"/>
      <w:r>
        <w:rPr>
          <w:color w:val="000000"/>
        </w:rPr>
        <w:t xml:space="preserve"> para o </w:t>
      </w:r>
      <w:proofErr w:type="spellStart"/>
      <w:r>
        <w:rPr>
          <w:color w:val="000000"/>
        </w:rPr>
        <w:t>português</w:t>
      </w:r>
      <w:proofErr w:type="spellEnd"/>
      <w:r>
        <w:rPr>
          <w:color w:val="000000"/>
        </w:rPr>
        <w:t xml:space="preserve">, </w:t>
      </w:r>
      <w:proofErr w:type="spellStart"/>
      <w:r>
        <w:rPr>
          <w:color w:val="000000"/>
        </w:rPr>
        <w:t>foram</w:t>
      </w:r>
      <w:proofErr w:type="spellEnd"/>
      <w:r>
        <w:rPr>
          <w:color w:val="000000"/>
        </w:rPr>
        <w:t xml:space="preserve"> </w:t>
      </w:r>
      <w:proofErr w:type="spellStart"/>
      <w:r>
        <w:rPr>
          <w:color w:val="000000"/>
        </w:rPr>
        <w:t>submetidos</w:t>
      </w:r>
      <w:proofErr w:type="spellEnd"/>
      <w:r>
        <w:rPr>
          <w:color w:val="000000"/>
        </w:rPr>
        <w:t xml:space="preserve"> à </w:t>
      </w:r>
      <w:proofErr w:type="spellStart"/>
      <w:r>
        <w:rPr>
          <w:color w:val="000000"/>
        </w:rPr>
        <w:t>avaliação</w:t>
      </w:r>
      <w:proofErr w:type="spellEnd"/>
      <w:r>
        <w:rPr>
          <w:color w:val="000000"/>
        </w:rPr>
        <w:t xml:space="preserve"> de </w:t>
      </w:r>
      <w:proofErr w:type="spellStart"/>
      <w:r>
        <w:rPr>
          <w:color w:val="000000"/>
        </w:rPr>
        <w:t>quatro</w:t>
      </w:r>
      <w:proofErr w:type="spellEnd"/>
      <w:r>
        <w:rPr>
          <w:color w:val="000000"/>
        </w:rPr>
        <w:t xml:space="preserve"> </w:t>
      </w:r>
      <w:proofErr w:type="spellStart"/>
      <w:r>
        <w:rPr>
          <w:color w:val="000000"/>
        </w:rPr>
        <w:t>juízes</w:t>
      </w:r>
      <w:proofErr w:type="spellEnd"/>
      <w:r>
        <w:rPr>
          <w:color w:val="000000"/>
        </w:rPr>
        <w:t xml:space="preserve"> </w:t>
      </w:r>
      <w:proofErr w:type="spellStart"/>
      <w:r>
        <w:rPr>
          <w:color w:val="000000"/>
        </w:rPr>
        <w:t>especialistas</w:t>
      </w:r>
      <w:proofErr w:type="spellEnd"/>
      <w:r>
        <w:rPr>
          <w:color w:val="000000"/>
        </w:rPr>
        <w:t xml:space="preserve"> </w:t>
      </w:r>
      <w:proofErr w:type="spellStart"/>
      <w:r>
        <w:rPr>
          <w:color w:val="000000"/>
        </w:rPr>
        <w:t>por</w:t>
      </w:r>
      <w:proofErr w:type="spellEnd"/>
      <w:r>
        <w:rPr>
          <w:color w:val="000000"/>
        </w:rPr>
        <w:t xml:space="preserve"> </w:t>
      </w:r>
      <w:proofErr w:type="spellStart"/>
      <w:r>
        <w:rPr>
          <w:color w:val="000000"/>
        </w:rPr>
        <w:t>meio</w:t>
      </w:r>
      <w:proofErr w:type="spellEnd"/>
      <w:r>
        <w:rPr>
          <w:color w:val="000000"/>
        </w:rPr>
        <w:t xml:space="preserve"> do </w:t>
      </w:r>
      <w:proofErr w:type="spellStart"/>
      <w:r>
        <w:rPr>
          <w:color w:val="000000"/>
        </w:rPr>
        <w:t>Coeficiente</w:t>
      </w:r>
      <w:proofErr w:type="spellEnd"/>
      <w:r>
        <w:rPr>
          <w:color w:val="000000"/>
        </w:rPr>
        <w:t xml:space="preserve"> de </w:t>
      </w:r>
      <w:proofErr w:type="spellStart"/>
      <w:r>
        <w:rPr>
          <w:color w:val="000000"/>
        </w:rPr>
        <w:t>Validade</w:t>
      </w:r>
      <w:proofErr w:type="spellEnd"/>
      <w:r>
        <w:rPr>
          <w:color w:val="000000"/>
        </w:rPr>
        <w:t xml:space="preserve"> de </w:t>
      </w:r>
      <w:proofErr w:type="spellStart"/>
      <w:r>
        <w:rPr>
          <w:color w:val="000000"/>
        </w:rPr>
        <w:t>Conteúdo</w:t>
      </w:r>
      <w:proofErr w:type="spellEnd"/>
      <w:r>
        <w:rPr>
          <w:color w:val="000000"/>
        </w:rPr>
        <w:t xml:space="preserve"> e </w:t>
      </w:r>
      <w:proofErr w:type="spellStart"/>
      <w:r>
        <w:rPr>
          <w:color w:val="000000"/>
        </w:rPr>
        <w:t>considerados</w:t>
      </w:r>
      <w:proofErr w:type="spellEnd"/>
      <w:r>
        <w:rPr>
          <w:color w:val="000000"/>
        </w:rPr>
        <w:t xml:space="preserve"> </w:t>
      </w:r>
      <w:proofErr w:type="spellStart"/>
      <w:r>
        <w:rPr>
          <w:color w:val="000000"/>
        </w:rPr>
        <w:t>adequados</w:t>
      </w:r>
      <w:proofErr w:type="spellEnd"/>
      <w:r>
        <w:rPr>
          <w:color w:val="000000"/>
        </w:rPr>
        <w:t xml:space="preserve">. </w:t>
      </w:r>
      <w:proofErr w:type="spellStart"/>
      <w:r>
        <w:rPr>
          <w:color w:val="000000"/>
        </w:rPr>
        <w:t>Participaram</w:t>
      </w:r>
      <w:proofErr w:type="spellEnd"/>
      <w:r>
        <w:rPr>
          <w:color w:val="000000"/>
        </w:rPr>
        <w:t xml:space="preserve"> da </w:t>
      </w:r>
      <w:proofErr w:type="spellStart"/>
      <w:r>
        <w:rPr>
          <w:color w:val="000000"/>
        </w:rPr>
        <w:t>pesquisa</w:t>
      </w:r>
      <w:proofErr w:type="spellEnd"/>
      <w:r>
        <w:rPr>
          <w:color w:val="000000"/>
        </w:rPr>
        <w:t xml:space="preserve"> 402 </w:t>
      </w:r>
      <w:proofErr w:type="spellStart"/>
      <w:r>
        <w:rPr>
          <w:color w:val="000000"/>
        </w:rPr>
        <w:t>indivíduos</w:t>
      </w:r>
      <w:proofErr w:type="spellEnd"/>
      <w:r>
        <w:rPr>
          <w:color w:val="000000"/>
        </w:rPr>
        <w:t xml:space="preserve"> </w:t>
      </w:r>
      <w:proofErr w:type="spellStart"/>
      <w:r>
        <w:rPr>
          <w:color w:val="000000"/>
        </w:rPr>
        <w:t>heterossexuais</w:t>
      </w:r>
      <w:proofErr w:type="spellEnd"/>
      <w:r>
        <w:rPr>
          <w:color w:val="000000"/>
        </w:rPr>
        <w:t xml:space="preserve"> que </w:t>
      </w:r>
      <w:proofErr w:type="spellStart"/>
      <w:r>
        <w:rPr>
          <w:color w:val="000000"/>
        </w:rPr>
        <w:t>moravam</w:t>
      </w:r>
      <w:proofErr w:type="spellEnd"/>
      <w:r>
        <w:rPr>
          <w:color w:val="000000"/>
        </w:rPr>
        <w:t xml:space="preserve"> com </w:t>
      </w:r>
      <w:proofErr w:type="spellStart"/>
      <w:r>
        <w:rPr>
          <w:color w:val="000000"/>
        </w:rPr>
        <w:t>seus</w:t>
      </w:r>
      <w:proofErr w:type="spellEnd"/>
      <w:r>
        <w:rPr>
          <w:color w:val="000000"/>
        </w:rPr>
        <w:t xml:space="preserve"> </w:t>
      </w:r>
      <w:proofErr w:type="spellStart"/>
      <w:r>
        <w:rPr>
          <w:color w:val="000000"/>
        </w:rPr>
        <w:t>parceiros</w:t>
      </w:r>
      <w:proofErr w:type="spellEnd"/>
      <w:r>
        <w:rPr>
          <w:color w:val="000000"/>
        </w:rPr>
        <w:t xml:space="preserve"> no Rio de Janeiro. </w:t>
      </w:r>
      <w:proofErr w:type="spellStart"/>
      <w:r>
        <w:rPr>
          <w:color w:val="000000"/>
        </w:rPr>
        <w:t>Análises</w:t>
      </w:r>
      <w:proofErr w:type="spellEnd"/>
      <w:r>
        <w:rPr>
          <w:color w:val="000000"/>
        </w:rPr>
        <w:t xml:space="preserve"> </w:t>
      </w:r>
      <w:proofErr w:type="spellStart"/>
      <w:r>
        <w:rPr>
          <w:color w:val="000000"/>
        </w:rPr>
        <w:t>Fatoriais</w:t>
      </w:r>
      <w:proofErr w:type="spellEnd"/>
      <w:r>
        <w:rPr>
          <w:color w:val="000000"/>
        </w:rPr>
        <w:t xml:space="preserve"> </w:t>
      </w:r>
      <w:proofErr w:type="spellStart"/>
      <w:r>
        <w:rPr>
          <w:color w:val="000000"/>
        </w:rPr>
        <w:t>Confirmatórias</w:t>
      </w:r>
      <w:proofErr w:type="spellEnd"/>
      <w:r>
        <w:rPr>
          <w:color w:val="000000"/>
        </w:rPr>
        <w:t xml:space="preserve"> </w:t>
      </w:r>
      <w:proofErr w:type="spellStart"/>
      <w:r>
        <w:rPr>
          <w:color w:val="000000"/>
        </w:rPr>
        <w:t>indicaram</w:t>
      </w:r>
      <w:proofErr w:type="spellEnd"/>
      <w:r>
        <w:rPr>
          <w:color w:val="000000"/>
        </w:rPr>
        <w:t xml:space="preserve"> </w:t>
      </w:r>
      <w:proofErr w:type="spellStart"/>
      <w:r>
        <w:rPr>
          <w:color w:val="000000"/>
        </w:rPr>
        <w:t>melhores</w:t>
      </w:r>
      <w:proofErr w:type="spellEnd"/>
      <w:r>
        <w:rPr>
          <w:color w:val="000000"/>
        </w:rPr>
        <w:t xml:space="preserve"> </w:t>
      </w:r>
      <w:proofErr w:type="spellStart"/>
      <w:r>
        <w:rPr>
          <w:color w:val="000000"/>
        </w:rPr>
        <w:t>ajustes</w:t>
      </w:r>
      <w:proofErr w:type="spellEnd"/>
      <w:r>
        <w:rPr>
          <w:color w:val="000000"/>
        </w:rPr>
        <w:t xml:space="preserve"> dos dados </w:t>
      </w:r>
      <w:proofErr w:type="spellStart"/>
      <w:r>
        <w:rPr>
          <w:color w:val="000000"/>
        </w:rPr>
        <w:t>empíricos</w:t>
      </w:r>
      <w:proofErr w:type="spellEnd"/>
      <w:r>
        <w:rPr>
          <w:color w:val="000000"/>
        </w:rPr>
        <w:t xml:space="preserve"> </w:t>
      </w:r>
      <w:proofErr w:type="gramStart"/>
      <w:r>
        <w:rPr>
          <w:color w:val="000000"/>
        </w:rPr>
        <w:t>a</w:t>
      </w:r>
      <w:proofErr w:type="gramEnd"/>
      <w:r>
        <w:rPr>
          <w:color w:val="000000"/>
        </w:rPr>
        <w:t xml:space="preserve"> um </w:t>
      </w:r>
      <w:proofErr w:type="spellStart"/>
      <w:r>
        <w:rPr>
          <w:color w:val="000000"/>
        </w:rPr>
        <w:t>modelo</w:t>
      </w:r>
      <w:proofErr w:type="spellEnd"/>
      <w:r>
        <w:rPr>
          <w:color w:val="000000"/>
        </w:rPr>
        <w:t xml:space="preserve"> de </w:t>
      </w:r>
      <w:proofErr w:type="spellStart"/>
      <w:r>
        <w:rPr>
          <w:color w:val="000000"/>
        </w:rPr>
        <w:t>três</w:t>
      </w:r>
      <w:proofErr w:type="spellEnd"/>
      <w:r>
        <w:rPr>
          <w:color w:val="000000"/>
        </w:rPr>
        <w:t xml:space="preserve"> </w:t>
      </w:r>
      <w:proofErr w:type="spellStart"/>
      <w:r>
        <w:rPr>
          <w:color w:val="000000"/>
        </w:rPr>
        <w:t>fatores</w:t>
      </w:r>
      <w:proofErr w:type="spellEnd"/>
      <w:r>
        <w:rPr>
          <w:color w:val="000000"/>
        </w:rPr>
        <w:t xml:space="preserve">. </w:t>
      </w:r>
      <w:proofErr w:type="spellStart"/>
      <w:r>
        <w:rPr>
          <w:color w:val="000000"/>
        </w:rPr>
        <w:t>Os</w:t>
      </w:r>
      <w:proofErr w:type="spellEnd"/>
      <w:r>
        <w:rPr>
          <w:color w:val="000000"/>
        </w:rPr>
        <w:t xml:space="preserve"> </w:t>
      </w:r>
      <w:proofErr w:type="spellStart"/>
      <w:r>
        <w:rPr>
          <w:color w:val="000000"/>
        </w:rPr>
        <w:t>escores</w:t>
      </w:r>
      <w:proofErr w:type="spellEnd"/>
      <w:r>
        <w:rPr>
          <w:color w:val="000000"/>
        </w:rPr>
        <w:t xml:space="preserve"> </w:t>
      </w:r>
      <w:proofErr w:type="spellStart"/>
      <w:r>
        <w:rPr>
          <w:color w:val="000000"/>
        </w:rPr>
        <w:t>revelaram</w:t>
      </w:r>
      <w:proofErr w:type="spellEnd"/>
      <w:r>
        <w:rPr>
          <w:color w:val="000000"/>
        </w:rPr>
        <w:t xml:space="preserve"> que as </w:t>
      </w:r>
      <w:proofErr w:type="spellStart"/>
      <w:r>
        <w:rPr>
          <w:color w:val="000000"/>
        </w:rPr>
        <w:t>mulheres</w:t>
      </w:r>
      <w:proofErr w:type="spellEnd"/>
      <w:r>
        <w:rPr>
          <w:color w:val="000000"/>
        </w:rPr>
        <w:t xml:space="preserve"> </w:t>
      </w:r>
      <w:proofErr w:type="spellStart"/>
      <w:r>
        <w:rPr>
          <w:color w:val="000000"/>
        </w:rPr>
        <w:t>julgaram</w:t>
      </w:r>
      <w:proofErr w:type="spellEnd"/>
      <w:r>
        <w:rPr>
          <w:color w:val="000000"/>
        </w:rPr>
        <w:t xml:space="preserve"> </w:t>
      </w:r>
      <w:proofErr w:type="spellStart"/>
      <w:r>
        <w:rPr>
          <w:color w:val="000000"/>
        </w:rPr>
        <w:t>menos</w:t>
      </w:r>
      <w:proofErr w:type="spellEnd"/>
      <w:r>
        <w:rPr>
          <w:color w:val="000000"/>
        </w:rPr>
        <w:t xml:space="preserve"> </w:t>
      </w:r>
      <w:proofErr w:type="spellStart"/>
      <w:r>
        <w:rPr>
          <w:color w:val="000000"/>
        </w:rPr>
        <w:t>severamente</w:t>
      </w:r>
      <w:proofErr w:type="spellEnd"/>
      <w:r>
        <w:rPr>
          <w:color w:val="000000"/>
        </w:rPr>
        <w:t xml:space="preserve"> </w:t>
      </w:r>
      <w:proofErr w:type="spellStart"/>
      <w:r>
        <w:rPr>
          <w:color w:val="000000"/>
        </w:rPr>
        <w:t>comportamentos</w:t>
      </w:r>
      <w:proofErr w:type="spellEnd"/>
      <w:r>
        <w:rPr>
          <w:color w:val="000000"/>
        </w:rPr>
        <w:t xml:space="preserve"> </w:t>
      </w:r>
      <w:proofErr w:type="spellStart"/>
      <w:r>
        <w:rPr>
          <w:color w:val="000000"/>
        </w:rPr>
        <w:t>ambíguos</w:t>
      </w:r>
      <w:proofErr w:type="spellEnd"/>
      <w:r>
        <w:rPr>
          <w:color w:val="000000"/>
        </w:rPr>
        <w:t xml:space="preserve"> que </w:t>
      </w:r>
      <w:proofErr w:type="spellStart"/>
      <w:r>
        <w:rPr>
          <w:color w:val="000000"/>
        </w:rPr>
        <w:t>remetiam</w:t>
      </w:r>
      <w:proofErr w:type="spellEnd"/>
      <w:r>
        <w:rPr>
          <w:color w:val="000000"/>
        </w:rPr>
        <w:t xml:space="preserve"> à </w:t>
      </w:r>
      <w:proofErr w:type="spellStart"/>
      <w:r>
        <w:rPr>
          <w:color w:val="000000"/>
        </w:rPr>
        <w:t>Ameaça</w:t>
      </w:r>
      <w:proofErr w:type="spellEnd"/>
      <w:r>
        <w:rPr>
          <w:color w:val="000000"/>
        </w:rPr>
        <w:t xml:space="preserve"> Sexual, e </w:t>
      </w:r>
      <w:proofErr w:type="spellStart"/>
      <w:r>
        <w:rPr>
          <w:color w:val="000000"/>
        </w:rPr>
        <w:t>mais</w:t>
      </w:r>
      <w:proofErr w:type="spellEnd"/>
      <w:r>
        <w:rPr>
          <w:color w:val="000000"/>
        </w:rPr>
        <w:t xml:space="preserve"> </w:t>
      </w:r>
      <w:proofErr w:type="spellStart"/>
      <w:r>
        <w:rPr>
          <w:color w:val="000000"/>
        </w:rPr>
        <w:t>severamente</w:t>
      </w:r>
      <w:proofErr w:type="spellEnd"/>
      <w:r>
        <w:rPr>
          <w:color w:val="000000"/>
        </w:rPr>
        <w:t xml:space="preserve"> à </w:t>
      </w:r>
      <w:proofErr w:type="spellStart"/>
      <w:r>
        <w:rPr>
          <w:color w:val="000000"/>
        </w:rPr>
        <w:t>Violação</w:t>
      </w:r>
      <w:proofErr w:type="spellEnd"/>
      <w:r>
        <w:rPr>
          <w:color w:val="000000"/>
        </w:rPr>
        <w:t xml:space="preserve"> de </w:t>
      </w:r>
      <w:proofErr w:type="spellStart"/>
      <w:r>
        <w:rPr>
          <w:color w:val="000000"/>
        </w:rPr>
        <w:t>Privacidade</w:t>
      </w:r>
      <w:proofErr w:type="spellEnd"/>
      <w:r>
        <w:rPr>
          <w:color w:val="000000"/>
        </w:rPr>
        <w:t xml:space="preserve"> do que </w:t>
      </w:r>
      <w:proofErr w:type="spellStart"/>
      <w:r>
        <w:rPr>
          <w:color w:val="000000"/>
        </w:rPr>
        <w:t>os</w:t>
      </w:r>
      <w:proofErr w:type="spellEnd"/>
      <w:r>
        <w:rPr>
          <w:color w:val="000000"/>
        </w:rPr>
        <w:t xml:space="preserve"> </w:t>
      </w:r>
      <w:proofErr w:type="spellStart"/>
      <w:r>
        <w:rPr>
          <w:color w:val="000000"/>
        </w:rPr>
        <w:t>homens</w:t>
      </w:r>
      <w:proofErr w:type="spellEnd"/>
      <w:r>
        <w:rPr>
          <w:color w:val="000000"/>
        </w:rPr>
        <w:t xml:space="preserve">. No </w:t>
      </w:r>
      <w:proofErr w:type="spellStart"/>
      <w:r>
        <w:rPr>
          <w:color w:val="000000"/>
        </w:rPr>
        <w:t>geral</w:t>
      </w:r>
      <w:proofErr w:type="spellEnd"/>
      <w:r>
        <w:rPr>
          <w:color w:val="000000"/>
        </w:rPr>
        <w:t xml:space="preserve">, o </w:t>
      </w:r>
      <w:proofErr w:type="spellStart"/>
      <w:r>
        <w:rPr>
          <w:color w:val="000000"/>
        </w:rPr>
        <w:t>instrumento</w:t>
      </w:r>
      <w:proofErr w:type="spellEnd"/>
      <w:r>
        <w:rPr>
          <w:color w:val="000000"/>
        </w:rPr>
        <w:t xml:space="preserve"> </w:t>
      </w:r>
      <w:proofErr w:type="spellStart"/>
      <w:r>
        <w:rPr>
          <w:color w:val="000000"/>
        </w:rPr>
        <w:t>reuniu</w:t>
      </w:r>
      <w:proofErr w:type="spellEnd"/>
      <w:r>
        <w:rPr>
          <w:color w:val="000000"/>
        </w:rPr>
        <w:t xml:space="preserve"> </w:t>
      </w:r>
      <w:proofErr w:type="spellStart"/>
      <w:r>
        <w:rPr>
          <w:color w:val="000000"/>
        </w:rPr>
        <w:t>propriedades</w:t>
      </w:r>
      <w:proofErr w:type="spellEnd"/>
      <w:r>
        <w:rPr>
          <w:color w:val="000000"/>
        </w:rPr>
        <w:t xml:space="preserve"> </w:t>
      </w:r>
      <w:proofErr w:type="spellStart"/>
      <w:r>
        <w:rPr>
          <w:color w:val="000000"/>
        </w:rPr>
        <w:t>psicométricas</w:t>
      </w:r>
      <w:proofErr w:type="spellEnd"/>
      <w:r>
        <w:rPr>
          <w:color w:val="000000"/>
        </w:rPr>
        <w:t xml:space="preserve"> </w:t>
      </w:r>
      <w:proofErr w:type="spellStart"/>
      <w:r>
        <w:rPr>
          <w:color w:val="000000"/>
        </w:rPr>
        <w:t>adequadas</w:t>
      </w:r>
      <w:proofErr w:type="spellEnd"/>
      <w:r>
        <w:rPr>
          <w:color w:val="000000"/>
        </w:rPr>
        <w:t xml:space="preserve"> e </w:t>
      </w:r>
      <w:proofErr w:type="spellStart"/>
      <w:r>
        <w:rPr>
          <w:color w:val="000000"/>
        </w:rPr>
        <w:t>configura</w:t>
      </w:r>
      <w:proofErr w:type="spellEnd"/>
      <w:r>
        <w:rPr>
          <w:color w:val="000000"/>
        </w:rPr>
        <w:t xml:space="preserve">-se </w:t>
      </w:r>
      <w:proofErr w:type="spellStart"/>
      <w:r>
        <w:rPr>
          <w:color w:val="000000"/>
        </w:rPr>
        <w:t>como</w:t>
      </w:r>
      <w:proofErr w:type="spellEnd"/>
      <w:r>
        <w:rPr>
          <w:color w:val="000000"/>
        </w:rPr>
        <w:t xml:space="preserve"> </w:t>
      </w:r>
      <w:proofErr w:type="spellStart"/>
      <w:r>
        <w:rPr>
          <w:color w:val="000000"/>
        </w:rPr>
        <w:t>potencial</w:t>
      </w:r>
      <w:proofErr w:type="spellEnd"/>
      <w:r>
        <w:rPr>
          <w:color w:val="000000"/>
        </w:rPr>
        <w:t xml:space="preserve"> </w:t>
      </w:r>
      <w:proofErr w:type="spellStart"/>
      <w:r>
        <w:rPr>
          <w:color w:val="000000"/>
        </w:rPr>
        <w:t>medida</w:t>
      </w:r>
      <w:proofErr w:type="spellEnd"/>
      <w:r>
        <w:rPr>
          <w:color w:val="000000"/>
        </w:rPr>
        <w:t xml:space="preserve"> para </w:t>
      </w:r>
      <w:proofErr w:type="spellStart"/>
      <w:r>
        <w:rPr>
          <w:color w:val="000000"/>
        </w:rPr>
        <w:t>clínicos</w:t>
      </w:r>
      <w:proofErr w:type="spellEnd"/>
      <w:r>
        <w:rPr>
          <w:color w:val="000000"/>
        </w:rPr>
        <w:t xml:space="preserve"> e </w:t>
      </w:r>
      <w:proofErr w:type="spellStart"/>
      <w:r>
        <w:rPr>
          <w:color w:val="000000"/>
        </w:rPr>
        <w:t>pesquisadores</w:t>
      </w:r>
      <w:proofErr w:type="spellEnd"/>
      <w:r>
        <w:rPr>
          <w:color w:val="000000"/>
        </w:rPr>
        <w:t xml:space="preserve"> </w:t>
      </w:r>
      <w:proofErr w:type="spellStart"/>
      <w:r>
        <w:rPr>
          <w:color w:val="000000"/>
        </w:rPr>
        <w:t>sobre</w:t>
      </w:r>
      <w:proofErr w:type="spellEnd"/>
      <w:r>
        <w:rPr>
          <w:color w:val="000000"/>
        </w:rPr>
        <w:t xml:space="preserve"> o </w:t>
      </w:r>
      <w:proofErr w:type="spellStart"/>
      <w:r>
        <w:rPr>
          <w:color w:val="000000"/>
        </w:rPr>
        <w:t>tema</w:t>
      </w:r>
      <w:proofErr w:type="spellEnd"/>
      <w:r>
        <w:rPr>
          <w:color w:val="000000"/>
        </w:rPr>
        <w:t xml:space="preserve">. </w:t>
      </w:r>
      <w:proofErr w:type="spellStart"/>
      <w:r>
        <w:rPr>
          <w:color w:val="000000"/>
        </w:rPr>
        <w:t>Espera</w:t>
      </w:r>
      <w:proofErr w:type="spellEnd"/>
      <w:r>
        <w:rPr>
          <w:color w:val="000000"/>
        </w:rPr>
        <w:t xml:space="preserve">-se que </w:t>
      </w:r>
      <w:proofErr w:type="spellStart"/>
      <w:r>
        <w:rPr>
          <w:color w:val="000000"/>
        </w:rPr>
        <w:t>estudos</w:t>
      </w:r>
      <w:proofErr w:type="spellEnd"/>
      <w:r>
        <w:rPr>
          <w:color w:val="000000"/>
        </w:rPr>
        <w:t xml:space="preserve"> </w:t>
      </w:r>
      <w:proofErr w:type="spellStart"/>
      <w:r>
        <w:rPr>
          <w:color w:val="000000"/>
        </w:rPr>
        <w:t>futuros</w:t>
      </w:r>
      <w:proofErr w:type="spellEnd"/>
      <w:r>
        <w:rPr>
          <w:color w:val="000000"/>
        </w:rPr>
        <w:t xml:space="preserve"> </w:t>
      </w:r>
      <w:proofErr w:type="spellStart"/>
      <w:r>
        <w:rPr>
          <w:color w:val="000000"/>
        </w:rPr>
        <w:t>possam</w:t>
      </w:r>
      <w:proofErr w:type="spellEnd"/>
      <w:r>
        <w:rPr>
          <w:color w:val="000000"/>
        </w:rPr>
        <w:t xml:space="preserve"> </w:t>
      </w:r>
      <w:proofErr w:type="spellStart"/>
      <w:r>
        <w:rPr>
          <w:color w:val="000000"/>
        </w:rPr>
        <w:t>corroborar</w:t>
      </w:r>
      <w:proofErr w:type="spellEnd"/>
      <w:r>
        <w:rPr>
          <w:color w:val="000000"/>
        </w:rPr>
        <w:t xml:space="preserve"> </w:t>
      </w:r>
      <w:proofErr w:type="spellStart"/>
      <w:r>
        <w:rPr>
          <w:color w:val="000000"/>
        </w:rPr>
        <w:t>os</w:t>
      </w:r>
      <w:proofErr w:type="spellEnd"/>
      <w:r>
        <w:rPr>
          <w:color w:val="000000"/>
        </w:rPr>
        <w:t xml:space="preserve"> </w:t>
      </w:r>
      <w:proofErr w:type="spellStart"/>
      <w:r>
        <w:rPr>
          <w:color w:val="000000"/>
        </w:rPr>
        <w:t>atuais</w:t>
      </w:r>
      <w:proofErr w:type="spellEnd"/>
      <w:r>
        <w:rPr>
          <w:color w:val="000000"/>
        </w:rPr>
        <w:t xml:space="preserve"> </w:t>
      </w:r>
      <w:proofErr w:type="spellStart"/>
      <w:r>
        <w:rPr>
          <w:color w:val="000000"/>
        </w:rPr>
        <w:t>achados</w:t>
      </w:r>
      <w:proofErr w:type="spellEnd"/>
      <w:r>
        <w:rPr>
          <w:color w:val="000000"/>
        </w:rPr>
        <w:t xml:space="preserve"> com </w:t>
      </w:r>
      <w:proofErr w:type="spellStart"/>
      <w:r>
        <w:rPr>
          <w:color w:val="000000"/>
        </w:rPr>
        <w:t>amostras</w:t>
      </w:r>
      <w:proofErr w:type="spellEnd"/>
      <w:r>
        <w:rPr>
          <w:color w:val="000000"/>
        </w:rPr>
        <w:t xml:space="preserve"> </w:t>
      </w:r>
      <w:proofErr w:type="spellStart"/>
      <w:r>
        <w:rPr>
          <w:color w:val="000000"/>
        </w:rPr>
        <w:t>mais</w:t>
      </w:r>
      <w:proofErr w:type="spellEnd"/>
      <w:r>
        <w:rPr>
          <w:color w:val="000000"/>
        </w:rPr>
        <w:t xml:space="preserve"> </w:t>
      </w:r>
      <w:proofErr w:type="spellStart"/>
      <w:r>
        <w:rPr>
          <w:color w:val="000000"/>
        </w:rPr>
        <w:t>amplas</w:t>
      </w:r>
      <w:proofErr w:type="spellEnd"/>
      <w:r>
        <w:rPr>
          <w:color w:val="000000"/>
        </w:rPr>
        <w:t xml:space="preserve"> e </w:t>
      </w:r>
      <w:proofErr w:type="spellStart"/>
      <w:r>
        <w:rPr>
          <w:color w:val="000000"/>
        </w:rPr>
        <w:t>representativas</w:t>
      </w:r>
      <w:proofErr w:type="spellEnd"/>
      <w:r>
        <w:rPr>
          <w:color w:val="000000"/>
        </w:rPr>
        <w:t xml:space="preserve"> da </w:t>
      </w:r>
      <w:proofErr w:type="spellStart"/>
      <w:r>
        <w:rPr>
          <w:color w:val="000000"/>
        </w:rPr>
        <w:t>população</w:t>
      </w:r>
      <w:proofErr w:type="spellEnd"/>
      <w:r>
        <w:rPr>
          <w:color w:val="000000"/>
        </w:rPr>
        <w:t xml:space="preserve"> </w:t>
      </w:r>
      <w:proofErr w:type="spellStart"/>
      <w:r>
        <w:rPr>
          <w:color w:val="000000"/>
        </w:rPr>
        <w:t>brasileira</w:t>
      </w:r>
      <w:proofErr w:type="spellEnd"/>
      <w:r>
        <w:rPr>
          <w:color w:val="000000"/>
        </w:rPr>
        <w:t>.</w:t>
      </w:r>
    </w:p>
    <w:p w14:paraId="65C68F45" w14:textId="77777777" w:rsidR="000B505F" w:rsidRDefault="00000000">
      <w:pPr>
        <w:shd w:val="clear" w:color="auto" w:fill="FFFFFF"/>
        <w:spacing w:line="360" w:lineRule="auto"/>
        <w:ind w:firstLine="709"/>
        <w:rPr>
          <w:color w:val="000000"/>
        </w:rPr>
      </w:pPr>
      <w:proofErr w:type="spellStart"/>
      <w:r>
        <w:rPr>
          <w:i/>
          <w:color w:val="000000"/>
        </w:rPr>
        <w:t>Palavras-chave</w:t>
      </w:r>
      <w:proofErr w:type="spellEnd"/>
      <w:r>
        <w:rPr>
          <w:color w:val="000000"/>
        </w:rPr>
        <w:t xml:space="preserve">: </w:t>
      </w:r>
      <w:proofErr w:type="spellStart"/>
      <w:r>
        <w:rPr>
          <w:color w:val="000000"/>
        </w:rPr>
        <w:t>julgamento</w:t>
      </w:r>
      <w:proofErr w:type="spellEnd"/>
      <w:r>
        <w:rPr>
          <w:color w:val="000000"/>
        </w:rPr>
        <w:t xml:space="preserve"> moral; </w:t>
      </w:r>
      <w:proofErr w:type="spellStart"/>
      <w:r>
        <w:rPr>
          <w:color w:val="000000"/>
        </w:rPr>
        <w:t>relacionamentos</w:t>
      </w:r>
      <w:proofErr w:type="spellEnd"/>
      <w:r>
        <w:rPr>
          <w:color w:val="000000"/>
        </w:rPr>
        <w:t xml:space="preserve"> </w:t>
      </w:r>
      <w:proofErr w:type="spellStart"/>
      <w:r>
        <w:rPr>
          <w:color w:val="000000"/>
        </w:rPr>
        <w:t>românticos</w:t>
      </w:r>
      <w:proofErr w:type="spellEnd"/>
      <w:r>
        <w:rPr>
          <w:color w:val="000000"/>
        </w:rPr>
        <w:t xml:space="preserve">; </w:t>
      </w:r>
      <w:proofErr w:type="spellStart"/>
      <w:r>
        <w:rPr>
          <w:color w:val="000000"/>
        </w:rPr>
        <w:t>comportamento</w:t>
      </w:r>
      <w:proofErr w:type="spellEnd"/>
      <w:r>
        <w:rPr>
          <w:color w:val="000000"/>
        </w:rPr>
        <w:t xml:space="preserve"> social </w:t>
      </w:r>
      <w:proofErr w:type="spellStart"/>
      <w:r>
        <w:rPr>
          <w:color w:val="000000"/>
        </w:rPr>
        <w:t>validação</w:t>
      </w:r>
      <w:proofErr w:type="spellEnd"/>
      <w:r>
        <w:rPr>
          <w:color w:val="000000"/>
        </w:rPr>
        <w:t xml:space="preserve">; </w:t>
      </w:r>
      <w:proofErr w:type="spellStart"/>
      <w:r>
        <w:rPr>
          <w:color w:val="000000"/>
        </w:rPr>
        <w:t>psicometria</w:t>
      </w:r>
      <w:proofErr w:type="spellEnd"/>
    </w:p>
    <w:p w14:paraId="0D73391D" w14:textId="77777777" w:rsidR="000B505F" w:rsidRDefault="000B505F">
      <w:pPr>
        <w:shd w:val="clear" w:color="auto" w:fill="FFFFFF"/>
        <w:spacing w:line="360" w:lineRule="auto"/>
        <w:ind w:firstLine="0"/>
        <w:rPr>
          <w:color w:val="000000"/>
        </w:rPr>
      </w:pPr>
    </w:p>
    <w:p w14:paraId="1862C85B" w14:textId="77777777" w:rsidR="000B505F" w:rsidRDefault="000B505F">
      <w:pPr>
        <w:shd w:val="clear" w:color="auto" w:fill="FFFFFF"/>
        <w:spacing w:line="360" w:lineRule="auto"/>
        <w:ind w:firstLine="0"/>
        <w:rPr>
          <w:color w:val="000000"/>
        </w:rPr>
      </w:pPr>
    </w:p>
    <w:p w14:paraId="20AD1517" w14:textId="77777777" w:rsidR="000B505F" w:rsidRDefault="00000000">
      <w:pPr>
        <w:shd w:val="clear" w:color="auto" w:fill="FFFFFF"/>
        <w:spacing w:line="360" w:lineRule="auto"/>
        <w:ind w:firstLine="0"/>
        <w:jc w:val="center"/>
        <w:rPr>
          <w:b/>
          <w:color w:val="000000"/>
        </w:rPr>
      </w:pPr>
      <w:r>
        <w:rPr>
          <w:b/>
          <w:color w:val="000000"/>
        </w:rPr>
        <w:lastRenderedPageBreak/>
        <w:t>Moral Wrongness of Relationship Behaviors Scale-Brazilian Version</w:t>
      </w:r>
    </w:p>
    <w:p w14:paraId="2B0ED884" w14:textId="77777777" w:rsidR="000B505F" w:rsidRDefault="00000000">
      <w:pPr>
        <w:shd w:val="clear" w:color="auto" w:fill="FFFFFF"/>
        <w:spacing w:line="360" w:lineRule="auto"/>
      </w:pPr>
      <w:r>
        <w:t>People enter romantic relationships with pre-existing beliefs about the qualities their partner and the relationship should possess. These beliefs encompass desired behaviors from the partner as well as behaviors that should be avoided (Sprecher &amp; Metts, 1999), as they are considered morally wrong (</w:t>
      </w:r>
      <w:proofErr w:type="spellStart"/>
      <w:r>
        <w:t>Selterman</w:t>
      </w:r>
      <w:proofErr w:type="spellEnd"/>
      <w:r>
        <w:t xml:space="preserve"> &amp; Koleva, 2015).</w:t>
      </w:r>
    </w:p>
    <w:p w14:paraId="73950C87" w14:textId="77777777" w:rsidR="000B505F" w:rsidRDefault="00000000">
      <w:pPr>
        <w:shd w:val="clear" w:color="auto" w:fill="FFFFFF"/>
        <w:spacing w:line="360" w:lineRule="auto"/>
      </w:pPr>
      <w:r>
        <w:t>Moral judgments are a part of daily life, as they are an inherent aspect of the human condition when it comes to making judgments about various social aspects (Earp et al., 2021). However, it is not always an easy task to make correct decisions about what is appropriate or inappropriate, as these boundaries are not always explicitly defined (Limone &amp; Toto, 2022). In a romantic relationship, for example, adultery is generally considered unethical (morally wrong by consensus). However, other behaviors have little clarity in defining whether they are right or wrong. For instance, going out for dinner or exchanging gifts with someone other than your current partner is considered ambiguous in terms of constituting infidelity or not (</w:t>
      </w:r>
      <w:proofErr w:type="spellStart"/>
      <w:r>
        <w:t>Selterman</w:t>
      </w:r>
      <w:proofErr w:type="spellEnd"/>
      <w:r>
        <w:t xml:space="preserve"> &amp; Koleva, 2015; Wilson et al., 2011).</w:t>
      </w:r>
    </w:p>
    <w:p w14:paraId="380E894F" w14:textId="77777777" w:rsidR="000B505F" w:rsidRDefault="00000000">
      <w:pPr>
        <w:shd w:val="clear" w:color="auto" w:fill="FFFFFF"/>
        <w:spacing w:line="360" w:lineRule="auto"/>
      </w:pPr>
      <w:proofErr w:type="spellStart"/>
      <w:r>
        <w:t>Selterman</w:t>
      </w:r>
      <w:proofErr w:type="spellEnd"/>
      <w:r>
        <w:t xml:space="preserve"> and Koleva (2015) highlighted that research in the moral field of intimate relationships has focused on abstract moral concerns or unrealistic thoughts. Furthermore, they highlighted the need to examine people’s more realistic moral dilemmas to understand how society constructs morality in these relationships.</w:t>
      </w:r>
    </w:p>
    <w:p w14:paraId="20B675B1" w14:textId="77777777" w:rsidR="000B505F" w:rsidRDefault="00000000">
      <w:pPr>
        <w:shd w:val="clear" w:color="auto" w:fill="FFFFFF"/>
        <w:spacing w:line="360" w:lineRule="auto"/>
      </w:pPr>
      <w:r>
        <w:t xml:space="preserve">Accordingly, </w:t>
      </w:r>
      <w:proofErr w:type="spellStart"/>
      <w:r>
        <w:t>Selterman</w:t>
      </w:r>
      <w:proofErr w:type="spellEnd"/>
      <w:r>
        <w:t xml:space="preserve"> and Koleva (2015) developed the Moral Wrongness of Relationship Behaviors (MWRB) measure, which assesses the moral judgment of ambiguous behaviors in the context of romantic relationships, such as dating behaviors (going out for dinner or watching a movie with someone other than your current partner); friendship and romance boundaries (maintaining a friendship with a recent ex-partner while in a new relationship, or dating a best friend’s ex-partner); privacy violations (snooping on a partner’s social media when there is suspicion of cheating); quasi-sexual behavior (observing another person or couple masturbating or having sex when in a committed romantic relationship, without physical contact or emotional intimacy); and digital infidelity (cybersex or sexting).</w:t>
      </w:r>
    </w:p>
    <w:p w14:paraId="12CDC08D" w14:textId="77777777" w:rsidR="000B505F" w:rsidRDefault="00000000">
      <w:pPr>
        <w:shd w:val="clear" w:color="auto" w:fill="FFFFFF"/>
        <w:spacing w:line="360" w:lineRule="auto"/>
      </w:pPr>
      <w:r>
        <w:t xml:space="preserve">The MWRB measure was constructed based on the framework of the Moral Foundations Theory (MFT; Haidt &amp; Graham, 2007) and Attachment Theory (Bowlby, 1982[1969]). The MFT suggests that people are guided by five psychological moral foundations to judge what is right or wrong, including: 1) Care/harm: referring to the idea of concern for the well-being of significant others and compassion; 2) Fairness/cheating: referring to the overall sense of justice, as well as cooperation, competition, and cheating; 3) Loyalty/betrayal: relates to commitment to the group, self-sacrifice, loyalty, and vigilance </w:t>
      </w:r>
      <w:r>
        <w:lastRenderedPageBreak/>
        <w:t>against betrayal; 4) Authority/disrespect: referring to obligations related to hierarchy, obedience, respect, and fulfillment of duty; 5) Purity/degradation: involving physical and spiritual influence over chastity, healthiness, and the control of desire (</w:t>
      </w:r>
      <w:proofErr w:type="spellStart"/>
      <w:r>
        <w:t>Selterman</w:t>
      </w:r>
      <w:proofErr w:type="spellEnd"/>
      <w:r>
        <w:t xml:space="preserve"> &amp; Koleva, 2015).</w:t>
      </w:r>
    </w:p>
    <w:p w14:paraId="7A608C01" w14:textId="77777777" w:rsidR="000B505F" w:rsidRDefault="00000000">
      <w:pPr>
        <w:shd w:val="clear" w:color="auto" w:fill="FFFFFF"/>
        <w:spacing w:line="360" w:lineRule="auto"/>
      </w:pPr>
      <w:r>
        <w:t>Attachment Theory by Bowlby (1982 [1969]) studies the emotional and contextual aspects of human development in early childhood. Attachment is the reciprocal bond between children and their caregivers. These early attachment relationships will continue to guide and shape individual adult behavior (Hazan &amp; Shaver, 1987). Therefore, people’s judgments about behaviors being ethically wrong or right in romantic relationships would partially depend on attachment styles (</w:t>
      </w:r>
      <w:proofErr w:type="spellStart"/>
      <w:r>
        <w:t>Selterman</w:t>
      </w:r>
      <w:proofErr w:type="spellEnd"/>
      <w:r>
        <w:t xml:space="preserve"> &amp; Koleva, 2015).</w:t>
      </w:r>
    </w:p>
    <w:p w14:paraId="64E7F7B3" w14:textId="77777777" w:rsidR="000B505F" w:rsidRDefault="00000000">
      <w:pPr>
        <w:shd w:val="clear" w:color="auto" w:fill="FFFFFF"/>
        <w:spacing w:line="360" w:lineRule="auto"/>
      </w:pPr>
      <w:r>
        <w:t xml:space="preserve">It should be noted that a preliminary search was conducted in the PubMed and Google Scholar databases using the English descriptor “Moral Wrongness of Relationship Behavior” with no year restriction, to locate published reports using this measure. In the results, no studies verifying the psychometric properties of this instrument were found, except for </w:t>
      </w:r>
      <w:proofErr w:type="spellStart"/>
      <w:r>
        <w:t>Selterman</w:t>
      </w:r>
      <w:proofErr w:type="spellEnd"/>
      <w:r>
        <w:t xml:space="preserve"> and Koleva (2015).</w:t>
      </w:r>
    </w:p>
    <w:p w14:paraId="32167940" w14:textId="77777777" w:rsidR="000B505F" w:rsidRDefault="00000000">
      <w:pPr>
        <w:shd w:val="clear" w:color="auto" w:fill="FFFFFF"/>
        <w:spacing w:line="360" w:lineRule="auto"/>
      </w:pPr>
      <w:r>
        <w:t>The present study adapted the MWRB scale into a Brazilian Portuguese version. The findings can contribute to the development of research on morality in romantic relationships, as well as to clinical practice in the context of couples therapy, aiming to reflect on how ambiguous behaviors can impact these relationships.</w:t>
      </w:r>
    </w:p>
    <w:p w14:paraId="23366352" w14:textId="77777777" w:rsidR="000B505F" w:rsidRDefault="00000000">
      <w:pPr>
        <w:shd w:val="clear" w:color="auto" w:fill="FFFFFF"/>
        <w:spacing w:line="360" w:lineRule="auto"/>
        <w:ind w:firstLine="0"/>
        <w:rPr>
          <w:b/>
        </w:rPr>
      </w:pPr>
      <w:r>
        <w:rPr>
          <w:b/>
        </w:rPr>
        <w:t>Content Validity</w:t>
      </w:r>
    </w:p>
    <w:p w14:paraId="788CF6CF" w14:textId="77777777" w:rsidR="000B505F" w:rsidRDefault="00000000">
      <w:pPr>
        <w:shd w:val="clear" w:color="auto" w:fill="FFFFFF"/>
        <w:spacing w:line="360" w:lineRule="auto"/>
      </w:pPr>
      <w:r>
        <w:t xml:space="preserve"> In the original study by </w:t>
      </w:r>
      <w:proofErr w:type="spellStart"/>
      <w:r>
        <w:t>Selterman</w:t>
      </w:r>
      <w:proofErr w:type="spellEnd"/>
      <w:r>
        <w:t xml:space="preserve"> and Koleva (2015), the instrument was developed in two consecutive stages through two separate studies. The first model consisted of a four-factor structure: Sexual Threat (ST), Emotional Threat (ET), Friendship Boundaries (FB), and Privacy Violation (PV). In the second model, some items from Sexual Threat were integrated into a fifth factor, Digital Infidelity (DI). As the latter model showed better fit indices, in the present study the analyses were conducted based on the five-factor structure.</w:t>
      </w:r>
    </w:p>
    <w:p w14:paraId="52E561FA" w14:textId="77777777" w:rsidR="000B505F" w:rsidRDefault="00000000">
      <w:pPr>
        <w:shd w:val="clear" w:color="auto" w:fill="FFFFFF"/>
        <w:spacing w:line="360" w:lineRule="auto"/>
      </w:pPr>
      <w:r>
        <w:t xml:space="preserve">The Brazilian version of the MWRB was produced based on the original English version. The items were translated from English to Brazilian Portuguese by two bilingual translators. The translated items were then evaluated by four expert judges, who were invited via email to assess the adequacy of the content (American Educational Research Association [AERA] et al., 2014; International Test </w:t>
      </w:r>
      <w:proofErr w:type="spellStart"/>
      <w:r>
        <w:t>Comission</w:t>
      </w:r>
      <w:proofErr w:type="spellEnd"/>
      <w:r>
        <w:t xml:space="preserve">, 2017). These judges, PhD holders in the field of Psychology, evaluated each item online using the four dimensions of the Content Validity Coefficient (CVC) by Hernández-Nieto (2002) as cited in </w:t>
      </w:r>
      <w:proofErr w:type="spellStart"/>
      <w:r>
        <w:t>Cassepp</w:t>
      </w:r>
      <w:proofErr w:type="spellEnd"/>
      <w:r>
        <w:t xml:space="preserve">-Borges et al. (2010): Clarity of Language (CL), Practical Relevance (PR), Theoretical Relevance (TR) </w:t>
      </w:r>
      <w:r>
        <w:lastRenderedPageBreak/>
        <w:t>using a Likert-type scale with five points, ranging from 1 “very low” to 5 “very high.” For the Theoretical Dimension (TD), the judges were presented with the concepts of each of the five factors of the MWRB and asked to classify each item into one of these factors. They were also provided with a blank space to make observations, critiques, and suggestions for improving the items.</w:t>
      </w:r>
    </w:p>
    <w:p w14:paraId="44EC9A8C" w14:textId="77777777" w:rsidR="000B505F" w:rsidRDefault="00000000">
      <w:pPr>
        <w:shd w:val="clear" w:color="auto" w:fill="FFFFFF"/>
        <w:spacing w:line="360" w:lineRule="auto"/>
      </w:pPr>
      <w:r>
        <w:t>The judges’ responses to the first three dimensions of the CVC were evaluated, revealing appropriate agreement values: CVC</w:t>
      </w:r>
      <w:r>
        <w:rPr>
          <w:vertAlign w:val="subscript"/>
        </w:rPr>
        <w:t>CL</w:t>
      </w:r>
      <w:r>
        <w:t xml:space="preserve"> = 0.86, CVC</w:t>
      </w:r>
      <w:r>
        <w:rPr>
          <w:vertAlign w:val="subscript"/>
        </w:rPr>
        <w:t>PR</w:t>
      </w:r>
      <w:r>
        <w:t xml:space="preserve"> = 0.85, and CVC</w:t>
      </w:r>
      <w:r>
        <w:rPr>
          <w:vertAlign w:val="subscript"/>
        </w:rPr>
        <w:t>TR</w:t>
      </w:r>
      <w:r>
        <w:t xml:space="preserve"> = 0.81, with an </w:t>
      </w:r>
      <w:proofErr w:type="spellStart"/>
      <w:r>
        <w:t>CVC</w:t>
      </w:r>
      <w:r>
        <w:rPr>
          <w:vertAlign w:val="subscript"/>
        </w:rPr>
        <w:t>general</w:t>
      </w:r>
      <w:proofErr w:type="spellEnd"/>
      <w:r>
        <w:rPr>
          <w:rFonts w:ascii="Gungsuh" w:eastAsia="Gungsuh" w:hAnsi="Gungsuh" w:cs="Gungsuh"/>
        </w:rPr>
        <w:t xml:space="preserve"> = 0.84. A CVC ≥ 0.8 indicates an adequate level of agreement among the judges (</w:t>
      </w:r>
      <w:proofErr w:type="spellStart"/>
      <w:r>
        <w:rPr>
          <w:rFonts w:ascii="Gungsuh" w:eastAsia="Gungsuh" w:hAnsi="Gungsuh" w:cs="Gungsuh"/>
        </w:rPr>
        <w:t>Cassepp</w:t>
      </w:r>
      <w:proofErr w:type="spellEnd"/>
      <w:r>
        <w:rPr>
          <w:rFonts w:ascii="Gungsuh" w:eastAsia="Gungsuh" w:hAnsi="Gungsuh" w:cs="Gungsuh"/>
        </w:rPr>
        <w:t>-Borges et al., 2010).</w:t>
      </w:r>
    </w:p>
    <w:p w14:paraId="43F1C7D3" w14:textId="77777777" w:rsidR="000B505F" w:rsidRDefault="00000000">
      <w:pPr>
        <w:shd w:val="clear" w:color="auto" w:fill="FFFFFF"/>
        <w:spacing w:line="360" w:lineRule="auto"/>
      </w:pPr>
      <w:r>
        <w:t xml:space="preserve">For the classifications in the TD of the CVC, Fleiss’ Kappa coefficient (1971) was calculated for the five factors. </w:t>
      </w:r>
      <w:proofErr w:type="spellStart"/>
      <w:r>
        <w:t>Kappa</w:t>
      </w:r>
      <w:r>
        <w:rPr>
          <w:vertAlign w:val="subscript"/>
        </w:rPr>
        <w:t>ST</w:t>
      </w:r>
      <w:proofErr w:type="spellEnd"/>
      <w:r>
        <w:t xml:space="preserve"> was 0.53 (95% CI [0.387-0.674]), representing moderate agreement; </w:t>
      </w:r>
      <w:proofErr w:type="spellStart"/>
      <w:r>
        <w:t>Kappa</w:t>
      </w:r>
      <w:r>
        <w:rPr>
          <w:vertAlign w:val="subscript"/>
        </w:rPr>
        <w:t>ET</w:t>
      </w:r>
      <w:proofErr w:type="spellEnd"/>
      <w:r>
        <w:t xml:space="preserve"> was 0.67 (95% CI [0.525-0.812]), considered substantial; </w:t>
      </w:r>
      <w:proofErr w:type="spellStart"/>
      <w:r>
        <w:t>Kappa</w:t>
      </w:r>
      <w:r>
        <w:rPr>
          <w:vertAlign w:val="subscript"/>
        </w:rPr>
        <w:t>FB</w:t>
      </w:r>
      <w:proofErr w:type="spellEnd"/>
      <w:r>
        <w:t xml:space="preserve"> was 0.68 (95% CI [0.539-0.826]), also considered substantial; </w:t>
      </w:r>
      <w:proofErr w:type="spellStart"/>
      <w:r>
        <w:t>Kappa</w:t>
      </w:r>
      <w:r>
        <w:rPr>
          <w:vertAlign w:val="subscript"/>
        </w:rPr>
        <w:t>PV</w:t>
      </w:r>
      <w:proofErr w:type="spellEnd"/>
      <w:r>
        <w:t xml:space="preserve"> was 0.29 (95% CI [0.149-0.437]), indicating low agreement; and </w:t>
      </w:r>
      <w:proofErr w:type="spellStart"/>
      <w:r>
        <w:t>Kappa</w:t>
      </w:r>
      <w:r>
        <w:rPr>
          <w:vertAlign w:val="subscript"/>
        </w:rPr>
        <w:t>DI</w:t>
      </w:r>
      <w:proofErr w:type="spellEnd"/>
      <w:r>
        <w:t xml:space="preserve"> was 0.68 (95% CI [0.538-0.826]), considered substantial. The </w:t>
      </w:r>
      <w:proofErr w:type="spellStart"/>
      <w:r>
        <w:t>Kappa</w:t>
      </w:r>
      <w:r>
        <w:rPr>
          <w:vertAlign w:val="subscript"/>
        </w:rPr>
        <w:t>total</w:t>
      </w:r>
      <w:proofErr w:type="spellEnd"/>
      <w:r>
        <w:t xml:space="preserve">, with </w:t>
      </w:r>
      <w:proofErr w:type="gramStart"/>
      <w:r>
        <w:t>an</w:t>
      </w:r>
      <w:proofErr w:type="gramEnd"/>
      <w:r>
        <w:t xml:space="preserve"> mean of 0.57 (95% CI [0.5-0.64]), indicated moderate agreement among the judges (Landis &amp; Koch, 1977).</w:t>
      </w:r>
    </w:p>
    <w:p w14:paraId="2D8BB0C3" w14:textId="77777777" w:rsidR="000B505F" w:rsidRDefault="00000000">
      <w:pPr>
        <w:shd w:val="clear" w:color="auto" w:fill="FFFFFF"/>
        <w:spacing w:line="360" w:lineRule="auto"/>
        <w:ind w:firstLine="0"/>
        <w:jc w:val="center"/>
        <w:rPr>
          <w:b/>
        </w:rPr>
      </w:pPr>
      <w:r>
        <w:rPr>
          <w:b/>
        </w:rPr>
        <w:t>Method</w:t>
      </w:r>
    </w:p>
    <w:p w14:paraId="6308EAC6" w14:textId="77777777" w:rsidR="000B505F" w:rsidRDefault="00000000">
      <w:pPr>
        <w:shd w:val="clear" w:color="auto" w:fill="FFFFFF"/>
        <w:spacing w:line="360" w:lineRule="auto"/>
        <w:ind w:firstLine="0"/>
      </w:pPr>
      <w:r>
        <w:rPr>
          <w:b/>
        </w:rPr>
        <w:t>Participants</w:t>
      </w:r>
    </w:p>
    <w:p w14:paraId="6823A823" w14:textId="77777777" w:rsidR="000B505F" w:rsidRDefault="00000000">
      <w:pPr>
        <w:shd w:val="clear" w:color="auto" w:fill="FFFFFF"/>
        <w:spacing w:line="360" w:lineRule="auto"/>
      </w:pPr>
      <w:r>
        <w:t>A convenience sample of 402 participants was recruited, consisting of 198 males and 204 females from the state of Rio de Janeiro, Brazil. The age range of the participants was between 20 and 72 years (</w:t>
      </w:r>
      <w:r>
        <w:rPr>
          <w:i/>
        </w:rPr>
        <w:t>M</w:t>
      </w:r>
      <w:r>
        <w:t xml:space="preserve"> = 40.0; </w:t>
      </w:r>
      <w:r>
        <w:rPr>
          <w:i/>
        </w:rPr>
        <w:t>SD</w:t>
      </w:r>
      <w:r>
        <w:t xml:space="preserve"> = 10.85). All participants were in a heterosexual romantic relationship and had been cohabiting with their partner for at least one year. Regarding the participants’ levels of education, they were distributed as follows: elementary education, 28; high school, 127; undergraduate degree, 154; and postgraduate degree, 93. The income of the respondents was distributed as follows (minimum wage in 2022): less than R$ 1,212.00, 34; more than R$ 1,212.00, 330; and no income, 38. In terms of reported occupational activity, there were 14 retirees, 23 unemployed individuals, 325 employed individuals, and 40 university students.</w:t>
      </w:r>
    </w:p>
    <w:p w14:paraId="3AF62A5F" w14:textId="77777777" w:rsidR="000B505F" w:rsidRDefault="00000000">
      <w:pPr>
        <w:shd w:val="clear" w:color="auto" w:fill="FFFFFF"/>
        <w:spacing w:line="360" w:lineRule="auto"/>
        <w:ind w:firstLine="0"/>
      </w:pPr>
      <w:r>
        <w:rPr>
          <w:b/>
        </w:rPr>
        <w:t>Instrument</w:t>
      </w:r>
    </w:p>
    <w:p w14:paraId="10C44852" w14:textId="77777777" w:rsidR="000B505F" w:rsidRDefault="00000000">
      <w:pPr>
        <w:shd w:val="clear" w:color="auto" w:fill="FFFFFF"/>
        <w:spacing w:line="360" w:lineRule="auto"/>
      </w:pPr>
      <w:r>
        <w:t>The Moral Wrongness of Relationship Behaviors (MWRB) scale assesses how morally acceptable the displayed behaviors are in romantic relationships (</w:t>
      </w:r>
      <w:proofErr w:type="spellStart"/>
      <w:r>
        <w:t>Selterman</w:t>
      </w:r>
      <w:proofErr w:type="spellEnd"/>
      <w:r>
        <w:t xml:space="preserve"> &amp; Koleva, 2015). The measure consists of 31 items, responded to on a five-point Likert-type scale (the higher the level obtained, the greater the moral approval of the respondent), </w:t>
      </w:r>
      <w:r>
        <w:lastRenderedPageBreak/>
        <w:t>measuring five factors: (1) Sexual Threat (ST), with 14 items, which are behaviors involving any form of sexual relationship with someone outside of the relationship. (2) Emotional Threat (ET), with nine items, referring to behaviors involving emotional attachment with someone outside of the relationship. (3) Friendship Boundaries (FB), with five items, measuring behaviors involving the relationship with a friend, considered inappropriate or not. (4) Privacy Violation (PV), with three items, related to behaviors involving violating or not of the privacy of the partner’s life or belongings without their consent; and (5) Digital Infidelity (DI), with four items, measuring behaviors involving online sexual relationship with someone outside of the relationship.</w:t>
      </w:r>
    </w:p>
    <w:p w14:paraId="5517220B" w14:textId="77777777" w:rsidR="000B505F" w:rsidRDefault="00000000">
      <w:pPr>
        <w:shd w:val="clear" w:color="auto" w:fill="FFFFFF"/>
        <w:spacing w:line="360" w:lineRule="auto"/>
        <w:ind w:firstLine="0"/>
        <w:rPr>
          <w:b/>
        </w:rPr>
      </w:pPr>
      <w:r>
        <w:rPr>
          <w:b/>
        </w:rPr>
        <w:t>Data Collection Procedures</w:t>
      </w:r>
    </w:p>
    <w:p w14:paraId="7381D8EF" w14:textId="77777777" w:rsidR="000B505F" w:rsidRDefault="00000000">
      <w:pPr>
        <w:shd w:val="clear" w:color="auto" w:fill="FFFFFF"/>
        <w:spacing w:line="360" w:lineRule="auto"/>
      </w:pPr>
      <w:r>
        <w:t>Data were collected in various locations, both public and private, including participants’ residences, streets, private companies, and higher education institutions. The participants were approached through in-person invitations or referrals. In some cases, the volunteers responded to the questionnaire in the presence of the researchers, while some of them completed it and returned it later.</w:t>
      </w:r>
    </w:p>
    <w:p w14:paraId="576C39F7" w14:textId="77777777" w:rsidR="000B505F" w:rsidRDefault="00000000">
      <w:pPr>
        <w:shd w:val="clear" w:color="auto" w:fill="FFFFFF"/>
        <w:spacing w:line="360" w:lineRule="auto"/>
        <w:ind w:firstLine="0"/>
        <w:rPr>
          <w:b/>
        </w:rPr>
      </w:pPr>
      <w:r>
        <w:rPr>
          <w:b/>
        </w:rPr>
        <w:t>Data Analysis Procedures</w:t>
      </w:r>
    </w:p>
    <w:p w14:paraId="6DF89D5B" w14:textId="77777777" w:rsidR="000B505F" w:rsidRDefault="00000000">
      <w:pPr>
        <w:shd w:val="clear" w:color="auto" w:fill="FFFFFF"/>
        <w:spacing w:line="360" w:lineRule="auto"/>
      </w:pPr>
      <w:r>
        <w:t xml:space="preserve">The distribution of scores was tested for both univariate and multivariate normality using the Shapiro-Wilk and </w:t>
      </w:r>
      <w:proofErr w:type="spellStart"/>
      <w:r>
        <w:t>Mardia’s</w:t>
      </w:r>
      <w:proofErr w:type="spellEnd"/>
      <w:r>
        <w:t xml:space="preserve"> statistical tests, respectively. Confirmatory Factor Analyses (CFAs) were conducted to assess the fit of the empirical data to the tested theoretical models. Robust Diagonally Weighted Least Squares (RDWLS) was used as the estimator in the JASP software, version 0.17.3.0 (JASP Team, 2023). The following fit indices were examined: χ²/</w:t>
      </w:r>
      <w:proofErr w:type="spellStart"/>
      <w:r>
        <w:rPr>
          <w:i/>
        </w:rPr>
        <w:t>df</w:t>
      </w:r>
      <w:proofErr w:type="spellEnd"/>
      <w:r>
        <w:t>, Comparative Fit Index (CFI), Root Mean Square Error of Approximation (RMSEA), and Standardized Root Mean Square Residual (SRMR). Suggestions from the Modification Indices were considered.</w:t>
      </w:r>
    </w:p>
    <w:p w14:paraId="75B9AA16" w14:textId="77777777" w:rsidR="000B505F" w:rsidRDefault="00000000">
      <w:pPr>
        <w:shd w:val="clear" w:color="auto" w:fill="FFFFFF"/>
        <w:spacing w:line="360" w:lineRule="auto"/>
      </w:pPr>
      <w:r>
        <w:t>Convergent and discriminant validity of the factors in the MWRB scale were assessed within the Structural Equation Modeling framework using the criteria proposed by Fornell and Larcker (1981) and Henseler et al. (2015). Reliability evidence was measured through coefficients of internal consistency, including Composite Reliability (CR), Cronbach’s Alpha (α), and MacDonald’s Omega (ω). The Mann-Whitney U test was employed to examine differences in responses between the men and women.</w:t>
      </w:r>
    </w:p>
    <w:p w14:paraId="6EBEFBE9" w14:textId="77777777" w:rsidR="000B505F" w:rsidRDefault="00000000">
      <w:pPr>
        <w:shd w:val="clear" w:color="auto" w:fill="FFFFFF"/>
        <w:spacing w:line="360" w:lineRule="auto"/>
        <w:ind w:firstLine="0"/>
        <w:rPr>
          <w:b/>
        </w:rPr>
      </w:pPr>
      <w:r>
        <w:rPr>
          <w:b/>
        </w:rPr>
        <w:t>Ethical considerations</w:t>
      </w:r>
    </w:p>
    <w:p w14:paraId="2FD30578" w14:textId="77777777" w:rsidR="000B505F" w:rsidRDefault="00000000">
      <w:pPr>
        <w:shd w:val="clear" w:color="auto" w:fill="FFFFFF"/>
        <w:spacing w:line="360" w:lineRule="auto"/>
      </w:pPr>
      <w:r>
        <w:t xml:space="preserve">This project was approved by the Ethics Committee of the institution to which it is linked, under Authorization No. </w:t>
      </w:r>
      <w:proofErr w:type="spellStart"/>
      <w:r>
        <w:t>xxxxxxxx</w:t>
      </w:r>
      <w:proofErr w:type="spellEnd"/>
      <w:r>
        <w:t>. Resolutions No. 510/2016 (</w:t>
      </w:r>
      <w:proofErr w:type="spellStart"/>
      <w:r>
        <w:t>Conselho</w:t>
      </w:r>
      <w:proofErr w:type="spellEnd"/>
      <w:r>
        <w:t xml:space="preserve"> Nacional de </w:t>
      </w:r>
      <w:proofErr w:type="spellStart"/>
      <w:r>
        <w:t>Saúde</w:t>
      </w:r>
      <w:proofErr w:type="spellEnd"/>
      <w:r>
        <w:t>, 2016) and No. 466/2012 (</w:t>
      </w:r>
      <w:proofErr w:type="spellStart"/>
      <w:r>
        <w:t>Conselho</w:t>
      </w:r>
      <w:proofErr w:type="spellEnd"/>
      <w:r>
        <w:t xml:space="preserve"> Nacional de </w:t>
      </w:r>
      <w:proofErr w:type="spellStart"/>
      <w:r>
        <w:t>Saúde</w:t>
      </w:r>
      <w:proofErr w:type="spellEnd"/>
      <w:r>
        <w:t xml:space="preserve">, 2012) were followed. The </w:t>
      </w:r>
      <w:r>
        <w:lastRenderedPageBreak/>
        <w:t xml:space="preserve">participants were initially informed about the research objectives, then they read, and signed the consent form. </w:t>
      </w:r>
    </w:p>
    <w:p w14:paraId="4D858EC1" w14:textId="77777777" w:rsidR="000B505F" w:rsidRDefault="00000000">
      <w:pPr>
        <w:shd w:val="clear" w:color="auto" w:fill="FFFFFF"/>
        <w:spacing w:line="360" w:lineRule="auto"/>
        <w:ind w:firstLine="0"/>
        <w:jc w:val="center"/>
      </w:pPr>
      <w:r>
        <w:rPr>
          <w:b/>
        </w:rPr>
        <w:t>Results</w:t>
      </w:r>
    </w:p>
    <w:p w14:paraId="17C26ADE" w14:textId="77777777" w:rsidR="000B505F" w:rsidRDefault="00000000">
      <w:pPr>
        <w:shd w:val="clear" w:color="auto" w:fill="FFFFFF"/>
        <w:spacing w:line="360" w:lineRule="auto"/>
      </w:pPr>
      <w:r>
        <w:t xml:space="preserve">The analyses related to the distribution of scores identified univariate and multivariate non-normality, </w:t>
      </w:r>
      <w:proofErr w:type="spellStart"/>
      <w:r>
        <w:t>Mardia</w:t>
      </w:r>
      <w:proofErr w:type="spellEnd"/>
      <w:r>
        <w:t xml:space="preserve"> = 1890.43; CR = 192.49 (</w:t>
      </w:r>
      <w:proofErr w:type="spellStart"/>
      <w:r>
        <w:t>Mardia</w:t>
      </w:r>
      <w:proofErr w:type="spellEnd"/>
      <w:r>
        <w:t xml:space="preserve">, 1970). As a result, in the CFAs, the RDWLS estimator was adopted based on a </w:t>
      </w:r>
      <w:proofErr w:type="spellStart"/>
      <w:r>
        <w:t>polychoric</w:t>
      </w:r>
      <w:proofErr w:type="spellEnd"/>
      <w:r>
        <w:t xml:space="preserve"> correlation matrix. Following the order of tests in the original scale study (</w:t>
      </w:r>
      <w:proofErr w:type="spellStart"/>
      <w:r>
        <w:t>Selterman</w:t>
      </w:r>
      <w:proofErr w:type="spellEnd"/>
      <w:r>
        <w:t xml:space="preserve"> &amp; Koleva, 2015), four-factor and oblique five-factor models were tested. The results showed subpar fits of the empirical data to the theoretical models (</w:t>
      </w:r>
      <w:proofErr w:type="spellStart"/>
      <w:r>
        <w:t>Marôco</w:t>
      </w:r>
      <w:proofErr w:type="spellEnd"/>
      <w:r>
        <w:t xml:space="preserve">, 2021), although better than those partially reported by </w:t>
      </w:r>
      <w:proofErr w:type="spellStart"/>
      <w:r>
        <w:t>Selterman</w:t>
      </w:r>
      <w:proofErr w:type="spellEnd"/>
      <w:r>
        <w:t xml:space="preserve"> and Koleva (2015), see Table 1.</w:t>
      </w:r>
    </w:p>
    <w:p w14:paraId="188A7794" w14:textId="77777777" w:rsidR="000B505F" w:rsidRDefault="00000000">
      <w:pPr>
        <w:shd w:val="clear" w:color="auto" w:fill="FFFFFF"/>
        <w:spacing w:line="360" w:lineRule="auto"/>
      </w:pPr>
      <w:r>
        <w:t xml:space="preserve">The Modification Indices revealed that several items had issues, either due to cross-loadings or residual covariances, leading to a reevaluation of the instrument’s translation. To address this, the use of Artificial Intelligence (AI) ChatGPT (OpenAI, 2013) was introduced to assess the accuracy of the English-Portuguese item translation and to check the agreement percentage between the bilingual Brazilian and the AI. The result showed that the two translations were very similar and had a 100% agreement percentage for all items. Consequently, a discussion and reevaluation of the item content regarding latent factors were resumed. The FB factor was excluded since, in some items, the content did not fit the participants in this study, who were in romantic relationships. In other words, it was found that these items were not suitable for the current sample’s profile, and the other items from this factor were excluded due to cross-loadings. Furthermore, some remaining items were allocated to other factors; previously, in the original four-factor model by </w:t>
      </w:r>
      <w:proofErr w:type="spellStart"/>
      <w:r>
        <w:t>Selterman</w:t>
      </w:r>
      <w:proofErr w:type="spellEnd"/>
      <w:r>
        <w:t xml:space="preserve"> and Koleva (2015), the DI factor had already been incorporated into the Sexual Threat factor.</w:t>
      </w:r>
    </w:p>
    <w:p w14:paraId="131A33B2" w14:textId="77777777" w:rsidR="000B505F" w:rsidRDefault="00000000">
      <w:pPr>
        <w:shd w:val="clear" w:color="auto" w:fill="FFFFFF"/>
        <w:spacing w:line="360" w:lineRule="auto"/>
      </w:pPr>
      <w:r>
        <w:t>Therefore, after reallocations and exclusions, a new CFA tested the revised model of the MWRB scale with 20 items distributed across three factors (ST, ET, and PV). The results showed a good fit (</w:t>
      </w:r>
      <w:proofErr w:type="spellStart"/>
      <w:r>
        <w:t>Marôco</w:t>
      </w:r>
      <w:proofErr w:type="spellEnd"/>
      <w:r>
        <w:t>, 2021) of the revised model to the empirical data (See Table 1).</w:t>
      </w:r>
    </w:p>
    <w:p w14:paraId="6F3DFFB7" w14:textId="77777777" w:rsidR="000B505F" w:rsidRDefault="00000000">
      <w:pPr>
        <w:shd w:val="clear" w:color="auto" w:fill="FFFFFF"/>
        <w:spacing w:line="360" w:lineRule="auto"/>
        <w:ind w:firstLine="0"/>
        <w:rPr>
          <w:b/>
        </w:rPr>
      </w:pPr>
      <w:r>
        <w:rPr>
          <w:b/>
        </w:rPr>
        <w:t>Table 1</w:t>
      </w:r>
    </w:p>
    <w:p w14:paraId="3887F755" w14:textId="77777777" w:rsidR="000B505F" w:rsidRDefault="000B505F">
      <w:pPr>
        <w:shd w:val="clear" w:color="auto" w:fill="FFFFFF"/>
        <w:spacing w:line="360" w:lineRule="auto"/>
        <w:ind w:firstLine="0"/>
      </w:pPr>
    </w:p>
    <w:p w14:paraId="5328486D" w14:textId="77777777" w:rsidR="000B505F" w:rsidRDefault="00000000">
      <w:pPr>
        <w:shd w:val="clear" w:color="auto" w:fill="FFFFFF"/>
        <w:spacing w:line="360" w:lineRule="auto"/>
        <w:ind w:firstLine="0"/>
        <w:rPr>
          <w:i/>
        </w:rPr>
      </w:pPr>
      <w:r>
        <w:rPr>
          <w:i/>
        </w:rPr>
        <w:t>Models of the MWRB scale tested and fit indices</w:t>
      </w:r>
    </w:p>
    <w:tbl>
      <w:tblPr>
        <w:tblStyle w:val="a"/>
        <w:tblW w:w="6945" w:type="dxa"/>
        <w:tblInd w:w="0" w:type="dxa"/>
        <w:tblLayout w:type="fixed"/>
        <w:tblLook w:val="0400" w:firstRow="0" w:lastRow="0" w:firstColumn="0" w:lastColumn="0" w:noHBand="0" w:noVBand="1"/>
      </w:tblPr>
      <w:tblGrid>
        <w:gridCol w:w="1425"/>
        <w:gridCol w:w="1050"/>
        <w:gridCol w:w="720"/>
        <w:gridCol w:w="630"/>
        <w:gridCol w:w="2190"/>
        <w:gridCol w:w="930"/>
      </w:tblGrid>
      <w:tr w:rsidR="000B505F" w14:paraId="15DEE70A" w14:textId="77777777">
        <w:trPr>
          <w:trHeight w:val="183"/>
        </w:trPr>
        <w:tc>
          <w:tcPr>
            <w:tcW w:w="1425" w:type="dxa"/>
            <w:tcBorders>
              <w:top w:val="single" w:sz="4" w:space="0" w:color="000000"/>
              <w:bottom w:val="single" w:sz="4" w:space="0" w:color="000000"/>
            </w:tcBorders>
          </w:tcPr>
          <w:p w14:paraId="4B6F618D" w14:textId="77777777" w:rsidR="000B505F" w:rsidRDefault="00000000">
            <w:pPr>
              <w:shd w:val="clear" w:color="auto" w:fill="FFFFFF"/>
              <w:spacing w:after="120"/>
              <w:ind w:firstLine="0"/>
            </w:pPr>
            <w:r>
              <w:t>Study</w:t>
            </w:r>
          </w:p>
        </w:tc>
        <w:tc>
          <w:tcPr>
            <w:tcW w:w="1050" w:type="dxa"/>
            <w:tcBorders>
              <w:top w:val="single" w:sz="4" w:space="0" w:color="000000"/>
              <w:bottom w:val="single" w:sz="4" w:space="0" w:color="000000"/>
            </w:tcBorders>
            <w:tcMar>
              <w:top w:w="100" w:type="dxa"/>
              <w:left w:w="100" w:type="dxa"/>
              <w:bottom w:w="100" w:type="dxa"/>
              <w:right w:w="100" w:type="dxa"/>
            </w:tcMar>
          </w:tcPr>
          <w:p w14:paraId="0AFE43E7" w14:textId="77777777" w:rsidR="000B505F" w:rsidRDefault="00000000">
            <w:pPr>
              <w:shd w:val="clear" w:color="auto" w:fill="FFFFFF"/>
              <w:spacing w:after="120"/>
              <w:ind w:firstLine="0"/>
              <w:jc w:val="center"/>
            </w:pPr>
            <w:r>
              <w:t>Model</w:t>
            </w:r>
          </w:p>
        </w:tc>
        <w:tc>
          <w:tcPr>
            <w:tcW w:w="720" w:type="dxa"/>
            <w:tcBorders>
              <w:top w:val="single" w:sz="4" w:space="0" w:color="000000"/>
              <w:bottom w:val="single" w:sz="4" w:space="0" w:color="000000"/>
            </w:tcBorders>
            <w:tcMar>
              <w:top w:w="100" w:type="dxa"/>
              <w:left w:w="100" w:type="dxa"/>
              <w:bottom w:w="100" w:type="dxa"/>
              <w:right w:w="100" w:type="dxa"/>
            </w:tcMar>
          </w:tcPr>
          <w:p w14:paraId="577FBB0D" w14:textId="77777777" w:rsidR="000B505F" w:rsidRDefault="00000000">
            <w:pPr>
              <w:shd w:val="clear" w:color="auto" w:fill="FFFFFF"/>
              <w:spacing w:after="120"/>
              <w:ind w:firstLine="0"/>
              <w:jc w:val="center"/>
            </w:pPr>
            <w:r>
              <w:t>χ²/</w:t>
            </w:r>
            <w:proofErr w:type="spellStart"/>
            <w:r>
              <w:rPr>
                <w:i/>
              </w:rPr>
              <w:t>df</w:t>
            </w:r>
            <w:proofErr w:type="spellEnd"/>
          </w:p>
        </w:tc>
        <w:tc>
          <w:tcPr>
            <w:tcW w:w="630" w:type="dxa"/>
            <w:tcBorders>
              <w:top w:val="single" w:sz="4" w:space="0" w:color="000000"/>
              <w:bottom w:val="single" w:sz="4" w:space="0" w:color="000000"/>
            </w:tcBorders>
            <w:tcMar>
              <w:top w:w="100" w:type="dxa"/>
              <w:left w:w="100" w:type="dxa"/>
              <w:bottom w:w="100" w:type="dxa"/>
              <w:right w:w="100" w:type="dxa"/>
            </w:tcMar>
          </w:tcPr>
          <w:p w14:paraId="5A37BC29" w14:textId="77777777" w:rsidR="000B505F" w:rsidRDefault="00000000">
            <w:pPr>
              <w:shd w:val="clear" w:color="auto" w:fill="FFFFFF"/>
              <w:spacing w:after="120"/>
              <w:ind w:firstLine="0"/>
              <w:jc w:val="center"/>
            </w:pPr>
            <w:r>
              <w:t>CFI</w:t>
            </w:r>
          </w:p>
        </w:tc>
        <w:tc>
          <w:tcPr>
            <w:tcW w:w="2190" w:type="dxa"/>
            <w:tcBorders>
              <w:top w:val="single" w:sz="4" w:space="0" w:color="000000"/>
              <w:bottom w:val="single" w:sz="4" w:space="0" w:color="000000"/>
            </w:tcBorders>
            <w:tcMar>
              <w:top w:w="100" w:type="dxa"/>
              <w:left w:w="100" w:type="dxa"/>
              <w:bottom w:w="100" w:type="dxa"/>
              <w:right w:w="100" w:type="dxa"/>
            </w:tcMar>
          </w:tcPr>
          <w:p w14:paraId="273A53F4" w14:textId="77777777" w:rsidR="000B505F" w:rsidRDefault="00000000">
            <w:pPr>
              <w:shd w:val="clear" w:color="auto" w:fill="FFFFFF"/>
              <w:spacing w:after="120"/>
              <w:ind w:firstLine="0"/>
              <w:jc w:val="center"/>
            </w:pPr>
            <w:r>
              <w:t>RMSEA</w:t>
            </w:r>
            <w:r>
              <w:rPr>
                <w:i/>
              </w:rPr>
              <w:t xml:space="preserve"> </w:t>
            </w:r>
            <w:r>
              <w:t>(LO90HI90)</w:t>
            </w:r>
          </w:p>
        </w:tc>
        <w:tc>
          <w:tcPr>
            <w:tcW w:w="930" w:type="dxa"/>
            <w:tcBorders>
              <w:top w:val="single" w:sz="4" w:space="0" w:color="000000"/>
              <w:bottom w:val="single" w:sz="4" w:space="0" w:color="000000"/>
            </w:tcBorders>
            <w:tcMar>
              <w:top w:w="100" w:type="dxa"/>
              <w:left w:w="100" w:type="dxa"/>
              <w:bottom w:w="100" w:type="dxa"/>
              <w:right w:w="100" w:type="dxa"/>
            </w:tcMar>
          </w:tcPr>
          <w:p w14:paraId="03B37011" w14:textId="77777777" w:rsidR="000B505F" w:rsidRDefault="00000000">
            <w:pPr>
              <w:shd w:val="clear" w:color="auto" w:fill="FFFFFF"/>
              <w:spacing w:after="120"/>
              <w:ind w:firstLine="0"/>
              <w:jc w:val="right"/>
            </w:pPr>
            <w:r>
              <w:t>SRMR </w:t>
            </w:r>
          </w:p>
        </w:tc>
      </w:tr>
      <w:tr w:rsidR="000B505F" w14:paraId="4BA3B0F3" w14:textId="77777777">
        <w:trPr>
          <w:trHeight w:val="292"/>
        </w:trPr>
        <w:tc>
          <w:tcPr>
            <w:tcW w:w="1425" w:type="dxa"/>
            <w:tcBorders>
              <w:top w:val="single" w:sz="4" w:space="0" w:color="000000"/>
            </w:tcBorders>
          </w:tcPr>
          <w:p w14:paraId="23521A37" w14:textId="77777777" w:rsidR="000B505F" w:rsidRDefault="00000000">
            <w:pPr>
              <w:shd w:val="clear" w:color="auto" w:fill="FFFFFF"/>
              <w:spacing w:after="120"/>
              <w:ind w:firstLine="0"/>
            </w:pPr>
            <w:proofErr w:type="spellStart"/>
            <w:r>
              <w:t>Selterman</w:t>
            </w:r>
            <w:proofErr w:type="spellEnd"/>
            <w:r>
              <w:t xml:space="preserve"> &amp;     </w:t>
            </w:r>
          </w:p>
        </w:tc>
        <w:tc>
          <w:tcPr>
            <w:tcW w:w="1050" w:type="dxa"/>
            <w:tcBorders>
              <w:top w:val="single" w:sz="4" w:space="0" w:color="000000"/>
            </w:tcBorders>
            <w:tcMar>
              <w:top w:w="100" w:type="dxa"/>
              <w:left w:w="100" w:type="dxa"/>
              <w:bottom w:w="100" w:type="dxa"/>
              <w:right w:w="100" w:type="dxa"/>
            </w:tcMar>
          </w:tcPr>
          <w:p w14:paraId="1FC47092" w14:textId="77777777" w:rsidR="000B505F" w:rsidRDefault="00000000">
            <w:pPr>
              <w:shd w:val="clear" w:color="auto" w:fill="FFFFFF"/>
              <w:spacing w:after="120"/>
              <w:ind w:firstLine="0"/>
              <w:jc w:val="center"/>
            </w:pPr>
            <w:r>
              <w:t>4F</w:t>
            </w:r>
            <w:r>
              <w:rPr>
                <w:vertAlign w:val="superscript"/>
              </w:rPr>
              <w:t>a</w:t>
            </w:r>
          </w:p>
        </w:tc>
        <w:tc>
          <w:tcPr>
            <w:tcW w:w="720" w:type="dxa"/>
            <w:tcBorders>
              <w:top w:val="single" w:sz="4" w:space="0" w:color="000000"/>
            </w:tcBorders>
            <w:tcMar>
              <w:top w:w="100" w:type="dxa"/>
              <w:left w:w="100" w:type="dxa"/>
              <w:bottom w:w="100" w:type="dxa"/>
              <w:right w:w="100" w:type="dxa"/>
            </w:tcMar>
          </w:tcPr>
          <w:p w14:paraId="4E1F5A8B" w14:textId="77777777" w:rsidR="000B505F" w:rsidRDefault="00000000">
            <w:pPr>
              <w:shd w:val="clear" w:color="auto" w:fill="FFFFFF"/>
              <w:spacing w:after="120"/>
              <w:ind w:firstLine="0"/>
              <w:jc w:val="center"/>
            </w:pPr>
            <w:r>
              <w:t>6.46</w:t>
            </w:r>
          </w:p>
        </w:tc>
        <w:tc>
          <w:tcPr>
            <w:tcW w:w="630" w:type="dxa"/>
            <w:tcBorders>
              <w:top w:val="single" w:sz="4" w:space="0" w:color="000000"/>
            </w:tcBorders>
            <w:tcMar>
              <w:top w:w="100" w:type="dxa"/>
              <w:left w:w="100" w:type="dxa"/>
              <w:bottom w:w="100" w:type="dxa"/>
              <w:right w:w="100" w:type="dxa"/>
            </w:tcMar>
          </w:tcPr>
          <w:p w14:paraId="23E1679B" w14:textId="77777777" w:rsidR="000B505F" w:rsidRDefault="00000000">
            <w:pPr>
              <w:shd w:val="clear" w:color="auto" w:fill="FFFFFF"/>
              <w:spacing w:after="120"/>
              <w:ind w:firstLine="0"/>
              <w:jc w:val="center"/>
            </w:pPr>
            <w:r>
              <w:t>nr</w:t>
            </w:r>
          </w:p>
        </w:tc>
        <w:tc>
          <w:tcPr>
            <w:tcW w:w="2190" w:type="dxa"/>
            <w:tcBorders>
              <w:top w:val="single" w:sz="4" w:space="0" w:color="000000"/>
            </w:tcBorders>
            <w:tcMar>
              <w:top w:w="100" w:type="dxa"/>
              <w:left w:w="100" w:type="dxa"/>
              <w:bottom w:w="100" w:type="dxa"/>
              <w:right w:w="100" w:type="dxa"/>
            </w:tcMar>
          </w:tcPr>
          <w:p w14:paraId="1950685F" w14:textId="77777777" w:rsidR="000B505F" w:rsidRDefault="00000000">
            <w:pPr>
              <w:shd w:val="clear" w:color="auto" w:fill="FFFFFF"/>
              <w:spacing w:after="120"/>
              <w:ind w:firstLine="0"/>
              <w:jc w:val="center"/>
            </w:pPr>
            <w:r>
              <w:t>0.113 (nr)</w:t>
            </w:r>
          </w:p>
        </w:tc>
        <w:tc>
          <w:tcPr>
            <w:tcW w:w="930" w:type="dxa"/>
            <w:tcBorders>
              <w:top w:val="single" w:sz="4" w:space="0" w:color="000000"/>
            </w:tcBorders>
            <w:tcMar>
              <w:top w:w="100" w:type="dxa"/>
              <w:left w:w="100" w:type="dxa"/>
              <w:bottom w:w="100" w:type="dxa"/>
              <w:right w:w="100" w:type="dxa"/>
            </w:tcMar>
          </w:tcPr>
          <w:p w14:paraId="3CC0CDCB" w14:textId="77777777" w:rsidR="000B505F" w:rsidRDefault="00000000">
            <w:pPr>
              <w:shd w:val="clear" w:color="auto" w:fill="FFFFFF"/>
              <w:spacing w:after="120"/>
              <w:ind w:firstLine="0"/>
              <w:jc w:val="right"/>
            </w:pPr>
            <w:r>
              <w:t>nr</w:t>
            </w:r>
          </w:p>
        </w:tc>
      </w:tr>
      <w:tr w:rsidR="000B505F" w14:paraId="0D7CA202" w14:textId="77777777">
        <w:trPr>
          <w:trHeight w:val="260"/>
        </w:trPr>
        <w:tc>
          <w:tcPr>
            <w:tcW w:w="1425" w:type="dxa"/>
            <w:tcBorders>
              <w:bottom w:val="single" w:sz="4" w:space="0" w:color="000000"/>
            </w:tcBorders>
          </w:tcPr>
          <w:p w14:paraId="61C829B3" w14:textId="77777777" w:rsidR="000B505F" w:rsidRDefault="00000000">
            <w:pPr>
              <w:shd w:val="clear" w:color="auto" w:fill="FFFFFF"/>
              <w:spacing w:after="120"/>
              <w:ind w:firstLine="0"/>
            </w:pPr>
            <w:r>
              <w:lastRenderedPageBreak/>
              <w:t>Koleva (2015)</w:t>
            </w:r>
          </w:p>
        </w:tc>
        <w:tc>
          <w:tcPr>
            <w:tcW w:w="1050" w:type="dxa"/>
            <w:tcBorders>
              <w:bottom w:val="single" w:sz="4" w:space="0" w:color="000000"/>
            </w:tcBorders>
            <w:tcMar>
              <w:top w:w="100" w:type="dxa"/>
              <w:left w:w="100" w:type="dxa"/>
              <w:bottom w:w="100" w:type="dxa"/>
              <w:right w:w="100" w:type="dxa"/>
            </w:tcMar>
          </w:tcPr>
          <w:p w14:paraId="56F4A68C" w14:textId="77777777" w:rsidR="000B505F" w:rsidRDefault="00000000">
            <w:pPr>
              <w:shd w:val="clear" w:color="auto" w:fill="FFFFFF"/>
              <w:spacing w:after="120"/>
              <w:ind w:firstLine="0"/>
              <w:jc w:val="center"/>
            </w:pPr>
            <w:r>
              <w:t>5F</w:t>
            </w:r>
            <w:r>
              <w:rPr>
                <w:vertAlign w:val="superscript"/>
              </w:rPr>
              <w:t>a</w:t>
            </w:r>
          </w:p>
        </w:tc>
        <w:tc>
          <w:tcPr>
            <w:tcW w:w="720" w:type="dxa"/>
            <w:tcBorders>
              <w:bottom w:val="single" w:sz="4" w:space="0" w:color="000000"/>
            </w:tcBorders>
            <w:tcMar>
              <w:top w:w="100" w:type="dxa"/>
              <w:left w:w="100" w:type="dxa"/>
              <w:bottom w:w="100" w:type="dxa"/>
              <w:right w:w="100" w:type="dxa"/>
            </w:tcMar>
          </w:tcPr>
          <w:p w14:paraId="02A61FA1" w14:textId="77777777" w:rsidR="000B505F" w:rsidRDefault="00000000">
            <w:pPr>
              <w:shd w:val="clear" w:color="auto" w:fill="FFFFFF"/>
              <w:spacing w:after="120"/>
              <w:ind w:firstLine="0"/>
              <w:jc w:val="center"/>
            </w:pPr>
            <w:r>
              <w:t>5.45</w:t>
            </w:r>
          </w:p>
        </w:tc>
        <w:tc>
          <w:tcPr>
            <w:tcW w:w="630" w:type="dxa"/>
            <w:tcBorders>
              <w:bottom w:val="single" w:sz="4" w:space="0" w:color="000000"/>
            </w:tcBorders>
            <w:tcMar>
              <w:top w:w="100" w:type="dxa"/>
              <w:left w:w="100" w:type="dxa"/>
              <w:bottom w:w="100" w:type="dxa"/>
              <w:right w:w="100" w:type="dxa"/>
            </w:tcMar>
          </w:tcPr>
          <w:p w14:paraId="3A182401" w14:textId="77777777" w:rsidR="000B505F" w:rsidRDefault="00000000">
            <w:pPr>
              <w:shd w:val="clear" w:color="auto" w:fill="FFFFFF"/>
              <w:spacing w:after="120"/>
              <w:ind w:firstLine="0"/>
              <w:jc w:val="center"/>
            </w:pPr>
            <w:r>
              <w:t>nr</w:t>
            </w:r>
          </w:p>
        </w:tc>
        <w:tc>
          <w:tcPr>
            <w:tcW w:w="2190" w:type="dxa"/>
            <w:tcBorders>
              <w:bottom w:val="single" w:sz="4" w:space="0" w:color="000000"/>
            </w:tcBorders>
            <w:tcMar>
              <w:top w:w="100" w:type="dxa"/>
              <w:left w:w="100" w:type="dxa"/>
              <w:bottom w:w="100" w:type="dxa"/>
              <w:right w:w="100" w:type="dxa"/>
            </w:tcMar>
          </w:tcPr>
          <w:p w14:paraId="4B29FCE7" w14:textId="77777777" w:rsidR="000B505F" w:rsidRDefault="00000000">
            <w:pPr>
              <w:shd w:val="clear" w:color="auto" w:fill="FFFFFF"/>
              <w:spacing w:after="120"/>
              <w:ind w:firstLine="0"/>
              <w:jc w:val="center"/>
            </w:pPr>
            <w:r>
              <w:t>0.102 (nr)</w:t>
            </w:r>
          </w:p>
        </w:tc>
        <w:tc>
          <w:tcPr>
            <w:tcW w:w="930" w:type="dxa"/>
            <w:tcBorders>
              <w:bottom w:val="single" w:sz="4" w:space="0" w:color="000000"/>
            </w:tcBorders>
            <w:tcMar>
              <w:top w:w="100" w:type="dxa"/>
              <w:left w:w="100" w:type="dxa"/>
              <w:bottom w:w="100" w:type="dxa"/>
              <w:right w:w="100" w:type="dxa"/>
            </w:tcMar>
          </w:tcPr>
          <w:p w14:paraId="24D7FFCA" w14:textId="77777777" w:rsidR="000B505F" w:rsidRDefault="00000000">
            <w:pPr>
              <w:shd w:val="clear" w:color="auto" w:fill="FFFFFF"/>
              <w:spacing w:after="120"/>
              <w:ind w:firstLine="0"/>
              <w:jc w:val="right"/>
            </w:pPr>
            <w:r>
              <w:t>nr</w:t>
            </w:r>
          </w:p>
        </w:tc>
      </w:tr>
      <w:tr w:rsidR="000B505F" w14:paraId="16E60D0B" w14:textId="77777777">
        <w:trPr>
          <w:trHeight w:val="172"/>
        </w:trPr>
        <w:tc>
          <w:tcPr>
            <w:tcW w:w="1425" w:type="dxa"/>
            <w:tcBorders>
              <w:top w:val="single" w:sz="4" w:space="0" w:color="000000"/>
            </w:tcBorders>
          </w:tcPr>
          <w:p w14:paraId="015FCDFE" w14:textId="77777777" w:rsidR="000B505F" w:rsidRDefault="000B505F">
            <w:pPr>
              <w:shd w:val="clear" w:color="auto" w:fill="FFFFFF"/>
              <w:spacing w:after="120"/>
              <w:ind w:firstLine="0"/>
            </w:pPr>
          </w:p>
        </w:tc>
        <w:tc>
          <w:tcPr>
            <w:tcW w:w="1050" w:type="dxa"/>
            <w:tcBorders>
              <w:top w:val="single" w:sz="4" w:space="0" w:color="000000"/>
            </w:tcBorders>
            <w:tcMar>
              <w:top w:w="100" w:type="dxa"/>
              <w:left w:w="100" w:type="dxa"/>
              <w:bottom w:w="100" w:type="dxa"/>
              <w:right w:w="100" w:type="dxa"/>
            </w:tcMar>
          </w:tcPr>
          <w:p w14:paraId="536E43A4" w14:textId="77777777" w:rsidR="000B505F" w:rsidRDefault="00000000">
            <w:pPr>
              <w:shd w:val="clear" w:color="auto" w:fill="FFFFFF"/>
              <w:spacing w:after="120"/>
              <w:ind w:firstLine="0"/>
              <w:jc w:val="center"/>
            </w:pPr>
            <w:r>
              <w:t>4F</w:t>
            </w:r>
            <w:r>
              <w:rPr>
                <w:vertAlign w:val="superscript"/>
              </w:rPr>
              <w:t>a</w:t>
            </w:r>
          </w:p>
        </w:tc>
        <w:tc>
          <w:tcPr>
            <w:tcW w:w="720" w:type="dxa"/>
            <w:tcBorders>
              <w:top w:val="single" w:sz="4" w:space="0" w:color="000000"/>
            </w:tcBorders>
            <w:tcMar>
              <w:top w:w="100" w:type="dxa"/>
              <w:left w:w="100" w:type="dxa"/>
              <w:bottom w:w="100" w:type="dxa"/>
              <w:right w:w="100" w:type="dxa"/>
            </w:tcMar>
          </w:tcPr>
          <w:p w14:paraId="4825D786" w14:textId="77777777" w:rsidR="000B505F" w:rsidRDefault="00000000">
            <w:pPr>
              <w:shd w:val="clear" w:color="auto" w:fill="FFFFFF"/>
              <w:spacing w:after="120"/>
              <w:ind w:firstLine="0"/>
              <w:jc w:val="center"/>
            </w:pPr>
            <w:r>
              <w:t>4.24</w:t>
            </w:r>
          </w:p>
        </w:tc>
        <w:tc>
          <w:tcPr>
            <w:tcW w:w="630" w:type="dxa"/>
            <w:tcBorders>
              <w:top w:val="single" w:sz="4" w:space="0" w:color="000000"/>
            </w:tcBorders>
            <w:tcMar>
              <w:top w:w="100" w:type="dxa"/>
              <w:left w:w="100" w:type="dxa"/>
              <w:bottom w:w="100" w:type="dxa"/>
              <w:right w:w="100" w:type="dxa"/>
            </w:tcMar>
          </w:tcPr>
          <w:p w14:paraId="6ECA1907" w14:textId="77777777" w:rsidR="000B505F" w:rsidRDefault="00000000">
            <w:pPr>
              <w:shd w:val="clear" w:color="auto" w:fill="FFFFFF"/>
              <w:spacing w:after="120"/>
              <w:ind w:firstLine="0"/>
              <w:jc w:val="center"/>
            </w:pPr>
            <w:r>
              <w:t>0.99</w:t>
            </w:r>
          </w:p>
        </w:tc>
        <w:tc>
          <w:tcPr>
            <w:tcW w:w="2190" w:type="dxa"/>
            <w:tcBorders>
              <w:top w:val="single" w:sz="4" w:space="0" w:color="000000"/>
            </w:tcBorders>
            <w:tcMar>
              <w:top w:w="100" w:type="dxa"/>
              <w:left w:w="100" w:type="dxa"/>
              <w:bottom w:w="100" w:type="dxa"/>
              <w:right w:w="100" w:type="dxa"/>
            </w:tcMar>
          </w:tcPr>
          <w:p w14:paraId="5A2F0A37" w14:textId="77777777" w:rsidR="000B505F" w:rsidRDefault="00000000">
            <w:pPr>
              <w:shd w:val="clear" w:color="auto" w:fill="FFFFFF"/>
              <w:spacing w:after="120"/>
              <w:ind w:firstLine="0"/>
              <w:jc w:val="center"/>
            </w:pPr>
            <w:r>
              <w:t>0.090 (.086–.094)</w:t>
            </w:r>
          </w:p>
        </w:tc>
        <w:tc>
          <w:tcPr>
            <w:tcW w:w="930" w:type="dxa"/>
            <w:tcBorders>
              <w:top w:val="single" w:sz="4" w:space="0" w:color="000000"/>
            </w:tcBorders>
            <w:tcMar>
              <w:top w:w="100" w:type="dxa"/>
              <w:left w:w="100" w:type="dxa"/>
              <w:bottom w:w="100" w:type="dxa"/>
              <w:right w:w="100" w:type="dxa"/>
            </w:tcMar>
          </w:tcPr>
          <w:p w14:paraId="59A7D6BE" w14:textId="77777777" w:rsidR="000B505F" w:rsidRDefault="00000000">
            <w:pPr>
              <w:shd w:val="clear" w:color="auto" w:fill="FFFFFF"/>
              <w:spacing w:after="120"/>
              <w:ind w:firstLine="0"/>
              <w:jc w:val="right"/>
            </w:pPr>
            <w:r>
              <w:t>0.103</w:t>
            </w:r>
          </w:p>
        </w:tc>
      </w:tr>
      <w:tr w:rsidR="000B505F" w14:paraId="19644F76" w14:textId="77777777">
        <w:trPr>
          <w:trHeight w:val="20"/>
        </w:trPr>
        <w:tc>
          <w:tcPr>
            <w:tcW w:w="1425" w:type="dxa"/>
          </w:tcPr>
          <w:p w14:paraId="128F268E" w14:textId="77777777" w:rsidR="000B505F" w:rsidRDefault="00000000">
            <w:pPr>
              <w:shd w:val="clear" w:color="auto" w:fill="FFFFFF"/>
              <w:spacing w:after="120"/>
              <w:ind w:firstLine="0"/>
            </w:pPr>
            <w:r>
              <w:t>Actual</w:t>
            </w:r>
          </w:p>
        </w:tc>
        <w:tc>
          <w:tcPr>
            <w:tcW w:w="1050" w:type="dxa"/>
            <w:tcMar>
              <w:top w:w="100" w:type="dxa"/>
              <w:left w:w="100" w:type="dxa"/>
              <w:bottom w:w="100" w:type="dxa"/>
              <w:right w:w="100" w:type="dxa"/>
            </w:tcMar>
          </w:tcPr>
          <w:p w14:paraId="18C6DAF9" w14:textId="77777777" w:rsidR="000B505F" w:rsidRDefault="00000000">
            <w:pPr>
              <w:shd w:val="clear" w:color="auto" w:fill="FFFFFF"/>
              <w:spacing w:after="120"/>
              <w:ind w:firstLine="0"/>
              <w:jc w:val="center"/>
              <w:rPr>
                <w:vertAlign w:val="superscript"/>
              </w:rPr>
            </w:pPr>
            <w:r>
              <w:t>5F</w:t>
            </w:r>
            <w:r>
              <w:rPr>
                <w:vertAlign w:val="superscript"/>
              </w:rPr>
              <w:t>a</w:t>
            </w:r>
          </w:p>
        </w:tc>
        <w:tc>
          <w:tcPr>
            <w:tcW w:w="720" w:type="dxa"/>
            <w:tcMar>
              <w:top w:w="100" w:type="dxa"/>
              <w:left w:w="100" w:type="dxa"/>
              <w:bottom w:w="100" w:type="dxa"/>
              <w:right w:w="100" w:type="dxa"/>
            </w:tcMar>
          </w:tcPr>
          <w:p w14:paraId="1FCB3D94" w14:textId="77777777" w:rsidR="000B505F" w:rsidRDefault="00000000">
            <w:pPr>
              <w:shd w:val="clear" w:color="auto" w:fill="FFFFFF"/>
              <w:spacing w:after="120"/>
              <w:ind w:firstLine="0"/>
              <w:jc w:val="center"/>
            </w:pPr>
            <w:r>
              <w:t>4.11</w:t>
            </w:r>
          </w:p>
        </w:tc>
        <w:tc>
          <w:tcPr>
            <w:tcW w:w="630" w:type="dxa"/>
            <w:tcMar>
              <w:top w:w="100" w:type="dxa"/>
              <w:left w:w="100" w:type="dxa"/>
              <w:bottom w:w="100" w:type="dxa"/>
              <w:right w:w="100" w:type="dxa"/>
            </w:tcMar>
          </w:tcPr>
          <w:p w14:paraId="5306164E" w14:textId="77777777" w:rsidR="000B505F" w:rsidRDefault="00000000">
            <w:pPr>
              <w:shd w:val="clear" w:color="auto" w:fill="FFFFFF"/>
              <w:spacing w:after="120"/>
              <w:ind w:firstLine="0"/>
              <w:jc w:val="center"/>
            </w:pPr>
            <w:r>
              <w:t>0.90</w:t>
            </w:r>
          </w:p>
        </w:tc>
        <w:tc>
          <w:tcPr>
            <w:tcW w:w="2190" w:type="dxa"/>
            <w:tcMar>
              <w:top w:w="100" w:type="dxa"/>
              <w:left w:w="100" w:type="dxa"/>
              <w:bottom w:w="100" w:type="dxa"/>
              <w:right w:w="100" w:type="dxa"/>
            </w:tcMar>
          </w:tcPr>
          <w:p w14:paraId="2B928960" w14:textId="77777777" w:rsidR="000B505F" w:rsidRDefault="00000000">
            <w:pPr>
              <w:shd w:val="clear" w:color="auto" w:fill="FFFFFF"/>
              <w:spacing w:after="120"/>
              <w:ind w:firstLine="0"/>
              <w:jc w:val="center"/>
            </w:pPr>
            <w:r>
              <w:t>0.088 (.084–.092)</w:t>
            </w:r>
          </w:p>
        </w:tc>
        <w:tc>
          <w:tcPr>
            <w:tcW w:w="930" w:type="dxa"/>
            <w:tcMar>
              <w:top w:w="100" w:type="dxa"/>
              <w:left w:w="100" w:type="dxa"/>
              <w:bottom w:w="100" w:type="dxa"/>
              <w:right w:w="100" w:type="dxa"/>
            </w:tcMar>
          </w:tcPr>
          <w:p w14:paraId="2FACF5F4" w14:textId="77777777" w:rsidR="000B505F" w:rsidRDefault="00000000">
            <w:pPr>
              <w:shd w:val="clear" w:color="auto" w:fill="FFFFFF"/>
              <w:spacing w:after="120"/>
              <w:ind w:firstLine="0"/>
              <w:jc w:val="right"/>
            </w:pPr>
            <w:r>
              <w:t>0.100</w:t>
            </w:r>
          </w:p>
        </w:tc>
      </w:tr>
      <w:tr w:rsidR="000B505F" w14:paraId="33F15242" w14:textId="77777777">
        <w:trPr>
          <w:trHeight w:val="159"/>
        </w:trPr>
        <w:tc>
          <w:tcPr>
            <w:tcW w:w="1425" w:type="dxa"/>
            <w:tcBorders>
              <w:bottom w:val="single" w:sz="4" w:space="0" w:color="000000"/>
            </w:tcBorders>
          </w:tcPr>
          <w:p w14:paraId="38490FB9" w14:textId="77777777" w:rsidR="000B505F" w:rsidRDefault="000B505F">
            <w:pPr>
              <w:shd w:val="clear" w:color="auto" w:fill="FFFFFF"/>
              <w:spacing w:after="120"/>
              <w:ind w:firstLine="0"/>
            </w:pPr>
          </w:p>
        </w:tc>
        <w:tc>
          <w:tcPr>
            <w:tcW w:w="1050" w:type="dxa"/>
            <w:tcBorders>
              <w:bottom w:val="single" w:sz="4" w:space="0" w:color="000000"/>
            </w:tcBorders>
            <w:tcMar>
              <w:top w:w="100" w:type="dxa"/>
              <w:left w:w="100" w:type="dxa"/>
              <w:bottom w:w="100" w:type="dxa"/>
              <w:right w:w="100" w:type="dxa"/>
            </w:tcMar>
          </w:tcPr>
          <w:p w14:paraId="65ED0C57" w14:textId="77777777" w:rsidR="000B505F" w:rsidRDefault="00000000">
            <w:pPr>
              <w:shd w:val="clear" w:color="auto" w:fill="FFFFFF"/>
              <w:spacing w:after="120"/>
              <w:ind w:firstLine="0"/>
              <w:jc w:val="center"/>
            </w:pPr>
            <w:r>
              <w:t>3F</w:t>
            </w:r>
            <w:r>
              <w:rPr>
                <w:vertAlign w:val="superscript"/>
              </w:rPr>
              <w:t>b</w:t>
            </w:r>
            <w:r>
              <w:rPr>
                <w:vertAlign w:val="subscript"/>
              </w:rPr>
              <w:t>Revised</w:t>
            </w:r>
          </w:p>
        </w:tc>
        <w:tc>
          <w:tcPr>
            <w:tcW w:w="720" w:type="dxa"/>
            <w:tcBorders>
              <w:bottom w:val="single" w:sz="4" w:space="0" w:color="000000"/>
            </w:tcBorders>
            <w:tcMar>
              <w:top w:w="100" w:type="dxa"/>
              <w:left w:w="100" w:type="dxa"/>
              <w:bottom w:w="100" w:type="dxa"/>
              <w:right w:w="100" w:type="dxa"/>
            </w:tcMar>
          </w:tcPr>
          <w:p w14:paraId="51FF412B" w14:textId="77777777" w:rsidR="000B505F" w:rsidRDefault="00000000">
            <w:pPr>
              <w:shd w:val="clear" w:color="auto" w:fill="FFFFFF"/>
              <w:spacing w:after="120"/>
              <w:ind w:firstLine="0"/>
              <w:jc w:val="center"/>
            </w:pPr>
            <w:r>
              <w:t>2.46</w:t>
            </w:r>
          </w:p>
        </w:tc>
        <w:tc>
          <w:tcPr>
            <w:tcW w:w="630" w:type="dxa"/>
            <w:tcBorders>
              <w:bottom w:val="single" w:sz="4" w:space="0" w:color="000000"/>
            </w:tcBorders>
            <w:tcMar>
              <w:top w:w="100" w:type="dxa"/>
              <w:left w:w="100" w:type="dxa"/>
              <w:bottom w:w="100" w:type="dxa"/>
              <w:right w:w="100" w:type="dxa"/>
            </w:tcMar>
          </w:tcPr>
          <w:p w14:paraId="4873E71C" w14:textId="77777777" w:rsidR="000B505F" w:rsidRDefault="00000000">
            <w:pPr>
              <w:shd w:val="clear" w:color="auto" w:fill="FFFFFF"/>
              <w:spacing w:after="120"/>
              <w:ind w:firstLine="0"/>
              <w:jc w:val="center"/>
            </w:pPr>
            <w:r>
              <w:t>1.00</w:t>
            </w:r>
          </w:p>
        </w:tc>
        <w:tc>
          <w:tcPr>
            <w:tcW w:w="2190" w:type="dxa"/>
            <w:tcBorders>
              <w:bottom w:val="single" w:sz="4" w:space="0" w:color="000000"/>
            </w:tcBorders>
            <w:tcMar>
              <w:top w:w="100" w:type="dxa"/>
              <w:left w:w="100" w:type="dxa"/>
              <w:bottom w:w="100" w:type="dxa"/>
              <w:right w:w="100" w:type="dxa"/>
            </w:tcMar>
          </w:tcPr>
          <w:p w14:paraId="21760ADE" w14:textId="77777777" w:rsidR="000B505F" w:rsidRDefault="00000000">
            <w:pPr>
              <w:shd w:val="clear" w:color="auto" w:fill="FFFFFF"/>
              <w:spacing w:after="120"/>
              <w:ind w:firstLine="0"/>
              <w:jc w:val="center"/>
            </w:pPr>
            <w:r>
              <w:t>0.060 (.053–.068)</w:t>
            </w:r>
          </w:p>
        </w:tc>
        <w:tc>
          <w:tcPr>
            <w:tcW w:w="930" w:type="dxa"/>
            <w:tcBorders>
              <w:bottom w:val="single" w:sz="4" w:space="0" w:color="000000"/>
            </w:tcBorders>
            <w:tcMar>
              <w:top w:w="100" w:type="dxa"/>
              <w:left w:w="100" w:type="dxa"/>
              <w:bottom w:w="100" w:type="dxa"/>
              <w:right w:w="100" w:type="dxa"/>
            </w:tcMar>
          </w:tcPr>
          <w:p w14:paraId="488BBD7D" w14:textId="77777777" w:rsidR="000B505F" w:rsidRDefault="00000000">
            <w:pPr>
              <w:shd w:val="clear" w:color="auto" w:fill="FFFFFF"/>
              <w:spacing w:after="120"/>
              <w:ind w:firstLine="0"/>
              <w:jc w:val="right"/>
            </w:pPr>
            <w:r>
              <w:t>0.083</w:t>
            </w:r>
          </w:p>
        </w:tc>
      </w:tr>
    </w:tbl>
    <w:p w14:paraId="4BED6C64" w14:textId="77777777" w:rsidR="000B505F" w:rsidRDefault="00000000">
      <w:pPr>
        <w:shd w:val="clear" w:color="auto" w:fill="FFFFFF"/>
        <w:spacing w:after="240" w:line="360" w:lineRule="auto"/>
        <w:ind w:firstLine="0"/>
      </w:pPr>
      <w:r>
        <w:rPr>
          <w:i/>
        </w:rPr>
        <w:t>Note</w:t>
      </w:r>
      <w:r>
        <w:t xml:space="preserve">. F = factors. </w:t>
      </w:r>
      <w:r>
        <w:rPr>
          <w:vertAlign w:val="superscript"/>
        </w:rPr>
        <w:t>a</w:t>
      </w:r>
      <w:r>
        <w:t xml:space="preserve"> = 31 items. </w:t>
      </w:r>
      <w:r>
        <w:rPr>
          <w:vertAlign w:val="superscript"/>
        </w:rPr>
        <w:t xml:space="preserve">b </w:t>
      </w:r>
      <w:r>
        <w:t xml:space="preserve">= 20 items. nr = not reported. </w:t>
      </w:r>
    </w:p>
    <w:p w14:paraId="6E641DEE" w14:textId="77777777" w:rsidR="000B505F" w:rsidRDefault="00000000">
      <w:pPr>
        <w:shd w:val="clear" w:color="auto" w:fill="FFFFFF"/>
        <w:spacing w:line="360" w:lineRule="auto"/>
      </w:pPr>
      <w:r>
        <w:t>Considering the nested models, to assess whether the fit of the data in the MWRB</w:t>
      </w:r>
      <w:r>
        <w:rPr>
          <w:vertAlign w:val="subscript"/>
        </w:rPr>
        <w:t>F4-31 item</w:t>
      </w:r>
      <w:r>
        <w:t xml:space="preserve"> model was significantly better than in the MWRB</w:t>
      </w:r>
      <w:r>
        <w:rPr>
          <w:vertAlign w:val="subscript"/>
        </w:rPr>
        <w:t>F3-20 item</w:t>
      </w:r>
      <w:r>
        <w:t xml:space="preserve"> model, the fits of the models χ²</w:t>
      </w:r>
      <w:r>
        <w:rPr>
          <w:vertAlign w:val="subscript"/>
        </w:rPr>
        <w:t>F4-31 items</w:t>
      </w:r>
      <w:r>
        <w:t xml:space="preserve"> and χ²</w:t>
      </w:r>
      <w:r>
        <w:rPr>
          <w:vertAlign w:val="subscript"/>
        </w:rPr>
        <w:t>F3-20 items</w:t>
      </w:r>
      <w:r>
        <w:t>, along with their respective degrees of freedom, were compared using the following statistical test: Δχ² = χ²</w:t>
      </w:r>
      <w:r>
        <w:rPr>
          <w:vertAlign w:val="subscript"/>
        </w:rPr>
        <w:t>F4-31 items</w:t>
      </w:r>
      <w:r>
        <w:t xml:space="preserve"> - χ²</w:t>
      </w:r>
      <w:r>
        <w:rPr>
          <w:vertAlign w:val="subscript"/>
        </w:rPr>
        <w:t>F3-20 items</w:t>
      </w:r>
      <w:r>
        <w:t xml:space="preserve"> = 1817.09 - 410.76 = 1406.33, with 428 - 167 = 261 degrees of freedom, respectively. In the chi-squared distribution table for α = .05, approximately, there was a χ²</w:t>
      </w:r>
      <w:r>
        <w:rPr>
          <w:vertAlign w:val="subscript"/>
        </w:rPr>
        <w:t>0.95 (261)</w:t>
      </w:r>
      <w:r>
        <w:t xml:space="preserve"> = 287.88 &lt; Δχ² = 1406.33, indicating that the MWRB</w:t>
      </w:r>
      <w:r>
        <w:rPr>
          <w:vertAlign w:val="subscript"/>
        </w:rPr>
        <w:t>F3-20 item</w:t>
      </w:r>
      <w:r>
        <w:t xml:space="preserve"> model fit the data better than the MWRB</w:t>
      </w:r>
      <w:r>
        <w:rPr>
          <w:vertAlign w:val="subscript"/>
        </w:rPr>
        <w:t>F4-31 item</w:t>
      </w:r>
      <w:r>
        <w:t xml:space="preserve"> model.</w:t>
      </w:r>
    </w:p>
    <w:p w14:paraId="11DD18FE" w14:textId="77777777" w:rsidR="000B505F" w:rsidRDefault="00000000">
      <w:pPr>
        <w:shd w:val="clear" w:color="auto" w:fill="FFFFFF"/>
        <w:spacing w:line="360" w:lineRule="auto"/>
        <w:ind w:firstLine="0"/>
        <w:rPr>
          <w:b/>
        </w:rPr>
      </w:pPr>
      <w:r>
        <w:rPr>
          <w:b/>
        </w:rPr>
        <w:t>Table 2</w:t>
      </w:r>
    </w:p>
    <w:p w14:paraId="6A14808B" w14:textId="77777777" w:rsidR="000B505F" w:rsidRDefault="000B505F">
      <w:pPr>
        <w:shd w:val="clear" w:color="auto" w:fill="FFFFFF"/>
        <w:spacing w:line="360" w:lineRule="auto"/>
        <w:ind w:firstLine="0"/>
      </w:pPr>
    </w:p>
    <w:p w14:paraId="2F943E25" w14:textId="77777777" w:rsidR="000B505F" w:rsidRDefault="00000000">
      <w:pPr>
        <w:shd w:val="clear" w:color="auto" w:fill="FFFFFF"/>
        <w:spacing w:line="360" w:lineRule="auto"/>
        <w:ind w:firstLine="0"/>
        <w:rPr>
          <w:i/>
        </w:rPr>
      </w:pPr>
      <w:r>
        <w:rPr>
          <w:i/>
        </w:rPr>
        <w:t>Items and Matrix of Standardized Factor Loadings for the MWRB</w:t>
      </w:r>
      <w:r>
        <w:rPr>
          <w:i/>
          <w:vertAlign w:val="subscript"/>
        </w:rPr>
        <w:t>F3-20 item</w:t>
      </w:r>
      <w:r>
        <w:rPr>
          <w:i/>
        </w:rPr>
        <w:t xml:space="preserve"> model</w:t>
      </w:r>
    </w:p>
    <w:tbl>
      <w:tblPr>
        <w:tblStyle w:val="a0"/>
        <w:tblW w:w="9780" w:type="dxa"/>
        <w:tblInd w:w="0" w:type="dxa"/>
        <w:tblLayout w:type="fixed"/>
        <w:tblLook w:val="0400" w:firstRow="0" w:lastRow="0" w:firstColumn="0" w:lastColumn="0" w:noHBand="0" w:noVBand="1"/>
      </w:tblPr>
      <w:tblGrid>
        <w:gridCol w:w="8130"/>
        <w:gridCol w:w="690"/>
        <w:gridCol w:w="450"/>
        <w:gridCol w:w="510"/>
      </w:tblGrid>
      <w:tr w:rsidR="000B505F" w14:paraId="3C4F2808" w14:textId="77777777">
        <w:trPr>
          <w:trHeight w:val="585"/>
        </w:trPr>
        <w:tc>
          <w:tcPr>
            <w:tcW w:w="8130" w:type="dxa"/>
            <w:tcBorders>
              <w:top w:val="single" w:sz="4" w:space="0" w:color="000000"/>
              <w:bottom w:val="single" w:sz="4" w:space="0" w:color="000000"/>
            </w:tcBorders>
            <w:tcMar>
              <w:top w:w="0" w:type="dxa"/>
              <w:left w:w="100" w:type="dxa"/>
              <w:bottom w:w="0" w:type="dxa"/>
              <w:right w:w="100" w:type="dxa"/>
            </w:tcMar>
          </w:tcPr>
          <w:p w14:paraId="6520EFA0" w14:textId="77777777" w:rsidR="000B505F" w:rsidRDefault="00000000">
            <w:pPr>
              <w:shd w:val="clear" w:color="auto" w:fill="FFFFFF"/>
              <w:spacing w:after="120"/>
              <w:ind w:firstLine="0"/>
            </w:pPr>
            <w:r>
              <w:t>Item</w:t>
            </w:r>
          </w:p>
        </w:tc>
        <w:tc>
          <w:tcPr>
            <w:tcW w:w="690" w:type="dxa"/>
            <w:tcBorders>
              <w:top w:val="single" w:sz="4" w:space="0" w:color="000000"/>
              <w:bottom w:val="single" w:sz="4" w:space="0" w:color="000000"/>
            </w:tcBorders>
            <w:tcMar>
              <w:top w:w="0" w:type="dxa"/>
              <w:left w:w="100" w:type="dxa"/>
              <w:bottom w:w="0" w:type="dxa"/>
              <w:right w:w="100" w:type="dxa"/>
            </w:tcMar>
          </w:tcPr>
          <w:p w14:paraId="3B95B354" w14:textId="77777777" w:rsidR="000B505F" w:rsidRDefault="00000000">
            <w:pPr>
              <w:shd w:val="clear" w:color="auto" w:fill="FFFFFF"/>
              <w:spacing w:after="120"/>
              <w:ind w:firstLine="0"/>
            </w:pPr>
            <w:r>
              <w:t>ST</w:t>
            </w:r>
          </w:p>
        </w:tc>
        <w:tc>
          <w:tcPr>
            <w:tcW w:w="450" w:type="dxa"/>
            <w:tcBorders>
              <w:top w:val="single" w:sz="4" w:space="0" w:color="000000"/>
              <w:bottom w:val="single" w:sz="4" w:space="0" w:color="000000"/>
            </w:tcBorders>
          </w:tcPr>
          <w:p w14:paraId="790D6E0F" w14:textId="77777777" w:rsidR="000B505F" w:rsidRDefault="00000000">
            <w:pPr>
              <w:shd w:val="clear" w:color="auto" w:fill="FFFFFF"/>
              <w:spacing w:after="120"/>
              <w:ind w:firstLine="0"/>
            </w:pPr>
            <w:r>
              <w:t>ET</w:t>
            </w:r>
          </w:p>
        </w:tc>
        <w:tc>
          <w:tcPr>
            <w:tcW w:w="510" w:type="dxa"/>
            <w:tcBorders>
              <w:top w:val="single" w:sz="4" w:space="0" w:color="000000"/>
              <w:bottom w:val="single" w:sz="4" w:space="0" w:color="000000"/>
            </w:tcBorders>
          </w:tcPr>
          <w:p w14:paraId="13443FC5" w14:textId="77777777" w:rsidR="000B505F" w:rsidRDefault="00000000">
            <w:pPr>
              <w:shd w:val="clear" w:color="auto" w:fill="FFFFFF"/>
              <w:spacing w:after="120"/>
              <w:ind w:firstLine="0"/>
            </w:pPr>
            <w:r>
              <w:t>PV</w:t>
            </w:r>
          </w:p>
        </w:tc>
      </w:tr>
      <w:tr w:rsidR="000B505F" w14:paraId="6594D038" w14:textId="77777777">
        <w:trPr>
          <w:trHeight w:val="285"/>
        </w:trPr>
        <w:tc>
          <w:tcPr>
            <w:tcW w:w="8130" w:type="dxa"/>
            <w:tcBorders>
              <w:top w:val="single" w:sz="4" w:space="0" w:color="000000"/>
            </w:tcBorders>
            <w:shd w:val="clear" w:color="auto" w:fill="auto"/>
            <w:tcMar>
              <w:top w:w="0" w:type="dxa"/>
              <w:left w:w="100" w:type="dxa"/>
              <w:bottom w:w="0" w:type="dxa"/>
              <w:right w:w="100" w:type="dxa"/>
            </w:tcMar>
          </w:tcPr>
          <w:p w14:paraId="43BF8EFA" w14:textId="77777777" w:rsidR="000B505F" w:rsidRDefault="00000000">
            <w:pPr>
              <w:shd w:val="clear" w:color="auto" w:fill="FFFFFF"/>
              <w:spacing w:after="120"/>
              <w:ind w:firstLine="0"/>
            </w:pPr>
            <w:r>
              <w:t>If you are in a serious relationship, is it acceptable for you to watch other people have sexual relations (with their consent and without physical contact between you and the people you are watching)?</w:t>
            </w:r>
          </w:p>
        </w:tc>
        <w:tc>
          <w:tcPr>
            <w:tcW w:w="690" w:type="dxa"/>
            <w:tcBorders>
              <w:top w:val="single" w:sz="4" w:space="0" w:color="000000"/>
            </w:tcBorders>
            <w:tcMar>
              <w:top w:w="0" w:type="dxa"/>
              <w:left w:w="100" w:type="dxa"/>
              <w:bottom w:w="0" w:type="dxa"/>
              <w:right w:w="100" w:type="dxa"/>
            </w:tcMar>
          </w:tcPr>
          <w:p w14:paraId="26DCDF05" w14:textId="77777777" w:rsidR="000B505F" w:rsidRDefault="00000000">
            <w:pPr>
              <w:shd w:val="clear" w:color="auto" w:fill="FFFFFF"/>
              <w:spacing w:after="120"/>
              <w:ind w:firstLine="0"/>
            </w:pPr>
            <w:r>
              <w:t>0.90</w:t>
            </w:r>
          </w:p>
        </w:tc>
        <w:tc>
          <w:tcPr>
            <w:tcW w:w="450" w:type="dxa"/>
            <w:tcBorders>
              <w:top w:val="single" w:sz="4" w:space="0" w:color="000000"/>
            </w:tcBorders>
          </w:tcPr>
          <w:p w14:paraId="02648043" w14:textId="77777777" w:rsidR="000B505F" w:rsidRDefault="000B505F">
            <w:pPr>
              <w:shd w:val="clear" w:color="auto" w:fill="FFFFFF"/>
              <w:spacing w:after="120"/>
              <w:ind w:firstLine="0"/>
            </w:pPr>
          </w:p>
        </w:tc>
        <w:tc>
          <w:tcPr>
            <w:tcW w:w="510" w:type="dxa"/>
            <w:tcBorders>
              <w:top w:val="single" w:sz="4" w:space="0" w:color="000000"/>
            </w:tcBorders>
          </w:tcPr>
          <w:p w14:paraId="64993BB7" w14:textId="77777777" w:rsidR="000B505F" w:rsidRDefault="000B505F">
            <w:pPr>
              <w:shd w:val="clear" w:color="auto" w:fill="FFFFFF"/>
              <w:spacing w:after="120"/>
              <w:ind w:firstLine="0"/>
            </w:pPr>
          </w:p>
        </w:tc>
      </w:tr>
      <w:tr w:rsidR="000B505F" w14:paraId="273BE35B" w14:textId="77777777">
        <w:trPr>
          <w:trHeight w:val="285"/>
        </w:trPr>
        <w:tc>
          <w:tcPr>
            <w:tcW w:w="8130" w:type="dxa"/>
            <w:shd w:val="clear" w:color="auto" w:fill="auto"/>
            <w:tcMar>
              <w:top w:w="0" w:type="dxa"/>
              <w:left w:w="100" w:type="dxa"/>
              <w:bottom w:w="0" w:type="dxa"/>
              <w:right w:w="100" w:type="dxa"/>
            </w:tcMar>
          </w:tcPr>
          <w:p w14:paraId="1904E50A" w14:textId="77777777" w:rsidR="000B505F" w:rsidRDefault="00000000">
            <w:pPr>
              <w:shd w:val="clear" w:color="auto" w:fill="FFFFFF"/>
              <w:spacing w:after="120"/>
              <w:ind w:firstLine="0"/>
            </w:pPr>
            <w:r>
              <w:t>If you are in a serious relationship, is it acceptable for you to send nude photos to someone else?</w:t>
            </w:r>
          </w:p>
        </w:tc>
        <w:tc>
          <w:tcPr>
            <w:tcW w:w="690" w:type="dxa"/>
            <w:tcMar>
              <w:top w:w="0" w:type="dxa"/>
              <w:left w:w="100" w:type="dxa"/>
              <w:bottom w:w="0" w:type="dxa"/>
              <w:right w:w="100" w:type="dxa"/>
            </w:tcMar>
          </w:tcPr>
          <w:p w14:paraId="6BD36B4D" w14:textId="77777777" w:rsidR="000B505F" w:rsidRDefault="00000000">
            <w:pPr>
              <w:shd w:val="clear" w:color="auto" w:fill="FFFFFF"/>
              <w:spacing w:after="120"/>
              <w:ind w:firstLine="0"/>
            </w:pPr>
            <w:r>
              <w:t>0.90</w:t>
            </w:r>
          </w:p>
        </w:tc>
        <w:tc>
          <w:tcPr>
            <w:tcW w:w="450" w:type="dxa"/>
          </w:tcPr>
          <w:p w14:paraId="28C84B6E" w14:textId="77777777" w:rsidR="000B505F" w:rsidRDefault="000B505F">
            <w:pPr>
              <w:shd w:val="clear" w:color="auto" w:fill="FFFFFF"/>
              <w:spacing w:after="120"/>
              <w:ind w:firstLine="0"/>
            </w:pPr>
          </w:p>
        </w:tc>
        <w:tc>
          <w:tcPr>
            <w:tcW w:w="510" w:type="dxa"/>
          </w:tcPr>
          <w:p w14:paraId="27028883" w14:textId="77777777" w:rsidR="000B505F" w:rsidRDefault="000B505F">
            <w:pPr>
              <w:shd w:val="clear" w:color="auto" w:fill="FFFFFF"/>
              <w:spacing w:after="120"/>
              <w:ind w:firstLine="0"/>
            </w:pPr>
          </w:p>
        </w:tc>
      </w:tr>
      <w:tr w:rsidR="000B505F" w14:paraId="65300715" w14:textId="77777777">
        <w:trPr>
          <w:trHeight w:val="285"/>
        </w:trPr>
        <w:tc>
          <w:tcPr>
            <w:tcW w:w="8130" w:type="dxa"/>
            <w:shd w:val="clear" w:color="auto" w:fill="auto"/>
            <w:tcMar>
              <w:top w:w="0" w:type="dxa"/>
              <w:left w:w="100" w:type="dxa"/>
              <w:bottom w:w="0" w:type="dxa"/>
              <w:right w:w="100" w:type="dxa"/>
            </w:tcMar>
          </w:tcPr>
          <w:p w14:paraId="3F8DE4C3" w14:textId="77777777" w:rsidR="000B505F" w:rsidRDefault="00000000">
            <w:pPr>
              <w:shd w:val="clear" w:color="auto" w:fill="FFFFFF"/>
              <w:spacing w:after="120"/>
              <w:ind w:firstLine="0"/>
            </w:pPr>
            <w:r>
              <w:t>If you are in a serious relationship, is it acceptable for you to engage in “cybersex” (engaging sexually with explicit conversations and/or role-playing on the internet) with someone else, without physical contact or emotional intimacy?</w:t>
            </w:r>
          </w:p>
        </w:tc>
        <w:tc>
          <w:tcPr>
            <w:tcW w:w="690" w:type="dxa"/>
            <w:tcMar>
              <w:top w:w="0" w:type="dxa"/>
              <w:left w:w="100" w:type="dxa"/>
              <w:bottom w:w="0" w:type="dxa"/>
              <w:right w:w="100" w:type="dxa"/>
            </w:tcMar>
          </w:tcPr>
          <w:p w14:paraId="418DEA5A" w14:textId="77777777" w:rsidR="000B505F" w:rsidRDefault="00000000">
            <w:pPr>
              <w:shd w:val="clear" w:color="auto" w:fill="FFFFFF"/>
              <w:spacing w:after="120"/>
              <w:ind w:firstLine="0"/>
            </w:pPr>
            <w:r>
              <w:t>0.85</w:t>
            </w:r>
          </w:p>
        </w:tc>
        <w:tc>
          <w:tcPr>
            <w:tcW w:w="450" w:type="dxa"/>
          </w:tcPr>
          <w:p w14:paraId="7C644C8B" w14:textId="77777777" w:rsidR="000B505F" w:rsidRDefault="000B505F">
            <w:pPr>
              <w:shd w:val="clear" w:color="auto" w:fill="FFFFFF"/>
              <w:spacing w:after="120"/>
              <w:ind w:firstLine="0"/>
            </w:pPr>
          </w:p>
        </w:tc>
        <w:tc>
          <w:tcPr>
            <w:tcW w:w="510" w:type="dxa"/>
          </w:tcPr>
          <w:p w14:paraId="2ED96623" w14:textId="77777777" w:rsidR="000B505F" w:rsidRDefault="000B505F">
            <w:pPr>
              <w:shd w:val="clear" w:color="auto" w:fill="FFFFFF"/>
              <w:spacing w:after="120"/>
              <w:ind w:firstLine="0"/>
            </w:pPr>
          </w:p>
        </w:tc>
      </w:tr>
      <w:tr w:rsidR="000B505F" w14:paraId="50477399" w14:textId="77777777">
        <w:trPr>
          <w:trHeight w:val="285"/>
        </w:trPr>
        <w:tc>
          <w:tcPr>
            <w:tcW w:w="8130" w:type="dxa"/>
            <w:shd w:val="clear" w:color="auto" w:fill="auto"/>
            <w:tcMar>
              <w:top w:w="0" w:type="dxa"/>
              <w:left w:w="100" w:type="dxa"/>
              <w:bottom w:w="0" w:type="dxa"/>
              <w:right w:w="100" w:type="dxa"/>
            </w:tcMar>
          </w:tcPr>
          <w:p w14:paraId="7E8C9D92" w14:textId="77777777" w:rsidR="000B505F" w:rsidRDefault="00000000">
            <w:pPr>
              <w:shd w:val="clear" w:color="auto" w:fill="FFFFFF"/>
              <w:spacing w:after="120"/>
              <w:ind w:firstLine="0"/>
            </w:pPr>
            <w:r>
              <w:t>If you are in a serious relationship, is it acceptable for you to kiss someone of the opposite sex as part of a game or a dare (without physical or emotional attraction between you and the person you are kissing)?</w:t>
            </w:r>
          </w:p>
        </w:tc>
        <w:tc>
          <w:tcPr>
            <w:tcW w:w="690" w:type="dxa"/>
            <w:tcMar>
              <w:top w:w="0" w:type="dxa"/>
              <w:left w:w="100" w:type="dxa"/>
              <w:bottom w:w="0" w:type="dxa"/>
              <w:right w:w="100" w:type="dxa"/>
            </w:tcMar>
          </w:tcPr>
          <w:p w14:paraId="7385EE49" w14:textId="77777777" w:rsidR="000B505F" w:rsidRDefault="00000000">
            <w:pPr>
              <w:shd w:val="clear" w:color="auto" w:fill="FFFFFF"/>
              <w:spacing w:after="120"/>
              <w:ind w:firstLine="0"/>
            </w:pPr>
            <w:r>
              <w:t>0.85</w:t>
            </w:r>
          </w:p>
        </w:tc>
        <w:tc>
          <w:tcPr>
            <w:tcW w:w="450" w:type="dxa"/>
          </w:tcPr>
          <w:p w14:paraId="74135749" w14:textId="77777777" w:rsidR="000B505F" w:rsidRDefault="000B505F">
            <w:pPr>
              <w:shd w:val="clear" w:color="auto" w:fill="FFFFFF"/>
              <w:spacing w:after="120"/>
              <w:ind w:firstLine="0"/>
            </w:pPr>
          </w:p>
        </w:tc>
        <w:tc>
          <w:tcPr>
            <w:tcW w:w="510" w:type="dxa"/>
          </w:tcPr>
          <w:p w14:paraId="25087399" w14:textId="77777777" w:rsidR="000B505F" w:rsidRDefault="000B505F">
            <w:pPr>
              <w:shd w:val="clear" w:color="auto" w:fill="FFFFFF"/>
              <w:spacing w:after="120"/>
              <w:ind w:firstLine="0"/>
            </w:pPr>
          </w:p>
        </w:tc>
      </w:tr>
      <w:tr w:rsidR="000B505F" w14:paraId="36988E7C" w14:textId="77777777">
        <w:trPr>
          <w:trHeight w:val="285"/>
        </w:trPr>
        <w:tc>
          <w:tcPr>
            <w:tcW w:w="8130" w:type="dxa"/>
            <w:shd w:val="clear" w:color="auto" w:fill="auto"/>
            <w:tcMar>
              <w:top w:w="0" w:type="dxa"/>
              <w:left w:w="100" w:type="dxa"/>
              <w:bottom w:w="0" w:type="dxa"/>
              <w:right w:w="100" w:type="dxa"/>
            </w:tcMar>
          </w:tcPr>
          <w:p w14:paraId="602A8534" w14:textId="77777777" w:rsidR="000B505F" w:rsidRDefault="00000000">
            <w:pPr>
              <w:shd w:val="clear" w:color="auto" w:fill="FFFFFF"/>
              <w:spacing w:after="120"/>
              <w:ind w:firstLine="0"/>
            </w:pPr>
            <w:r>
              <w:t>If you are in a serious relationship, is it acceptable for someone else to watch YOU masturbate, with your consent (without physical contact between you and the person who is watching you)?</w:t>
            </w:r>
          </w:p>
        </w:tc>
        <w:tc>
          <w:tcPr>
            <w:tcW w:w="690" w:type="dxa"/>
            <w:tcMar>
              <w:top w:w="0" w:type="dxa"/>
              <w:left w:w="100" w:type="dxa"/>
              <w:bottom w:w="0" w:type="dxa"/>
              <w:right w:w="100" w:type="dxa"/>
            </w:tcMar>
          </w:tcPr>
          <w:p w14:paraId="5A4506D0" w14:textId="77777777" w:rsidR="000B505F" w:rsidRDefault="00000000">
            <w:pPr>
              <w:shd w:val="clear" w:color="auto" w:fill="FFFFFF"/>
              <w:spacing w:after="120"/>
              <w:ind w:firstLine="0"/>
            </w:pPr>
            <w:r>
              <w:t>0.85</w:t>
            </w:r>
          </w:p>
        </w:tc>
        <w:tc>
          <w:tcPr>
            <w:tcW w:w="450" w:type="dxa"/>
          </w:tcPr>
          <w:p w14:paraId="25233B1F" w14:textId="77777777" w:rsidR="000B505F" w:rsidRDefault="000B505F">
            <w:pPr>
              <w:shd w:val="clear" w:color="auto" w:fill="FFFFFF"/>
              <w:spacing w:after="120"/>
              <w:ind w:firstLine="0"/>
            </w:pPr>
          </w:p>
        </w:tc>
        <w:tc>
          <w:tcPr>
            <w:tcW w:w="510" w:type="dxa"/>
          </w:tcPr>
          <w:p w14:paraId="539FDAC5" w14:textId="77777777" w:rsidR="000B505F" w:rsidRDefault="000B505F">
            <w:pPr>
              <w:shd w:val="clear" w:color="auto" w:fill="FFFFFF"/>
              <w:spacing w:after="120"/>
              <w:ind w:firstLine="0"/>
            </w:pPr>
          </w:p>
        </w:tc>
      </w:tr>
      <w:tr w:rsidR="000B505F" w14:paraId="287EC0F0" w14:textId="77777777">
        <w:trPr>
          <w:trHeight w:val="285"/>
        </w:trPr>
        <w:tc>
          <w:tcPr>
            <w:tcW w:w="8130" w:type="dxa"/>
            <w:shd w:val="clear" w:color="auto" w:fill="auto"/>
            <w:tcMar>
              <w:top w:w="0" w:type="dxa"/>
              <w:left w:w="100" w:type="dxa"/>
              <w:bottom w:w="0" w:type="dxa"/>
              <w:right w:w="100" w:type="dxa"/>
            </w:tcMar>
          </w:tcPr>
          <w:p w14:paraId="159EF980" w14:textId="77777777" w:rsidR="000B505F" w:rsidRDefault="00000000">
            <w:pPr>
              <w:shd w:val="clear" w:color="auto" w:fill="FFFFFF"/>
              <w:spacing w:after="120"/>
              <w:ind w:firstLine="0"/>
            </w:pPr>
            <w:r>
              <w:t xml:space="preserve">Is it acceptable for you to have an “open relationship” (a relationship in which both partners are allowed to have sexual contact with other people) with your partner, </w:t>
            </w:r>
            <w:proofErr w:type="gramStart"/>
            <w:r>
              <w:t>provided that</w:t>
            </w:r>
            <w:proofErr w:type="gramEnd"/>
            <w:r>
              <w:t xml:space="preserve"> both of you agree to it?</w:t>
            </w:r>
          </w:p>
        </w:tc>
        <w:tc>
          <w:tcPr>
            <w:tcW w:w="690" w:type="dxa"/>
            <w:tcMar>
              <w:top w:w="0" w:type="dxa"/>
              <w:left w:w="100" w:type="dxa"/>
              <w:bottom w:w="0" w:type="dxa"/>
              <w:right w:w="100" w:type="dxa"/>
            </w:tcMar>
          </w:tcPr>
          <w:p w14:paraId="0ED65DCC" w14:textId="77777777" w:rsidR="000B505F" w:rsidRDefault="00000000">
            <w:pPr>
              <w:shd w:val="clear" w:color="auto" w:fill="FFFFFF"/>
              <w:spacing w:after="120"/>
              <w:ind w:firstLine="0"/>
            </w:pPr>
            <w:r>
              <w:t>0.83</w:t>
            </w:r>
          </w:p>
        </w:tc>
        <w:tc>
          <w:tcPr>
            <w:tcW w:w="450" w:type="dxa"/>
          </w:tcPr>
          <w:p w14:paraId="50D91AB9" w14:textId="77777777" w:rsidR="000B505F" w:rsidRDefault="000B505F">
            <w:pPr>
              <w:shd w:val="clear" w:color="auto" w:fill="FFFFFF"/>
              <w:spacing w:after="120"/>
              <w:ind w:firstLine="0"/>
            </w:pPr>
          </w:p>
        </w:tc>
        <w:tc>
          <w:tcPr>
            <w:tcW w:w="510" w:type="dxa"/>
          </w:tcPr>
          <w:p w14:paraId="33E30D37" w14:textId="77777777" w:rsidR="000B505F" w:rsidRDefault="000B505F">
            <w:pPr>
              <w:shd w:val="clear" w:color="auto" w:fill="FFFFFF"/>
              <w:spacing w:after="120"/>
              <w:ind w:firstLine="0"/>
            </w:pPr>
          </w:p>
        </w:tc>
      </w:tr>
      <w:tr w:rsidR="000B505F" w14:paraId="482A1754" w14:textId="77777777">
        <w:trPr>
          <w:trHeight w:val="285"/>
        </w:trPr>
        <w:tc>
          <w:tcPr>
            <w:tcW w:w="8130" w:type="dxa"/>
            <w:shd w:val="clear" w:color="auto" w:fill="auto"/>
            <w:tcMar>
              <w:top w:w="0" w:type="dxa"/>
              <w:left w:w="100" w:type="dxa"/>
              <w:bottom w:w="0" w:type="dxa"/>
              <w:right w:w="100" w:type="dxa"/>
            </w:tcMar>
          </w:tcPr>
          <w:p w14:paraId="21BC7561" w14:textId="77777777" w:rsidR="000B505F" w:rsidRDefault="00000000">
            <w:pPr>
              <w:shd w:val="clear" w:color="auto" w:fill="FFFFFF"/>
              <w:spacing w:after="120"/>
              <w:ind w:firstLine="0"/>
            </w:pPr>
            <w:r>
              <w:lastRenderedPageBreak/>
              <w:t>If you are in a serious relationship, is it acceptable for you to keep objects with sensual/sexual value (photos and videos) of an ex?</w:t>
            </w:r>
          </w:p>
        </w:tc>
        <w:tc>
          <w:tcPr>
            <w:tcW w:w="690" w:type="dxa"/>
            <w:tcMar>
              <w:top w:w="0" w:type="dxa"/>
              <w:left w:w="100" w:type="dxa"/>
              <w:bottom w:w="0" w:type="dxa"/>
              <w:right w:w="100" w:type="dxa"/>
            </w:tcMar>
          </w:tcPr>
          <w:p w14:paraId="55EFDAEF" w14:textId="77777777" w:rsidR="000B505F" w:rsidRDefault="00000000">
            <w:pPr>
              <w:shd w:val="clear" w:color="auto" w:fill="FFFFFF"/>
              <w:spacing w:after="120"/>
              <w:ind w:firstLine="0"/>
            </w:pPr>
            <w:r>
              <w:t>0.80</w:t>
            </w:r>
          </w:p>
        </w:tc>
        <w:tc>
          <w:tcPr>
            <w:tcW w:w="450" w:type="dxa"/>
          </w:tcPr>
          <w:p w14:paraId="6DAEF4B6" w14:textId="77777777" w:rsidR="000B505F" w:rsidRDefault="000B505F">
            <w:pPr>
              <w:shd w:val="clear" w:color="auto" w:fill="FFFFFF"/>
              <w:spacing w:after="120"/>
              <w:ind w:firstLine="0"/>
            </w:pPr>
          </w:p>
        </w:tc>
        <w:tc>
          <w:tcPr>
            <w:tcW w:w="510" w:type="dxa"/>
          </w:tcPr>
          <w:p w14:paraId="6BEEEDEA" w14:textId="77777777" w:rsidR="000B505F" w:rsidRDefault="000B505F">
            <w:pPr>
              <w:shd w:val="clear" w:color="auto" w:fill="FFFFFF"/>
              <w:spacing w:after="120"/>
              <w:ind w:firstLine="0"/>
            </w:pPr>
          </w:p>
        </w:tc>
      </w:tr>
      <w:tr w:rsidR="000B505F" w14:paraId="4C0FABF1" w14:textId="77777777">
        <w:trPr>
          <w:trHeight w:val="300"/>
        </w:trPr>
        <w:tc>
          <w:tcPr>
            <w:tcW w:w="8130" w:type="dxa"/>
            <w:shd w:val="clear" w:color="auto" w:fill="auto"/>
            <w:tcMar>
              <w:top w:w="0" w:type="dxa"/>
              <w:left w:w="100" w:type="dxa"/>
              <w:bottom w:w="0" w:type="dxa"/>
              <w:right w:w="100" w:type="dxa"/>
            </w:tcMar>
          </w:tcPr>
          <w:p w14:paraId="11CDCBF5" w14:textId="77777777" w:rsidR="000B505F" w:rsidRDefault="00000000">
            <w:pPr>
              <w:shd w:val="clear" w:color="auto" w:fill="FFFFFF"/>
              <w:spacing w:after="120"/>
              <w:ind w:firstLine="0"/>
            </w:pPr>
            <w:r>
              <w:t>If you are in a serious relationship, is it acceptable for you to create a profile on a dating app/website (stating that you are not single within the profile)?</w:t>
            </w:r>
          </w:p>
        </w:tc>
        <w:tc>
          <w:tcPr>
            <w:tcW w:w="690" w:type="dxa"/>
            <w:tcMar>
              <w:top w:w="0" w:type="dxa"/>
              <w:left w:w="100" w:type="dxa"/>
              <w:bottom w:w="0" w:type="dxa"/>
              <w:right w:w="100" w:type="dxa"/>
            </w:tcMar>
          </w:tcPr>
          <w:p w14:paraId="1F1632B3" w14:textId="77777777" w:rsidR="000B505F" w:rsidRDefault="00000000">
            <w:pPr>
              <w:shd w:val="clear" w:color="auto" w:fill="FFFFFF"/>
              <w:spacing w:after="120"/>
              <w:ind w:firstLine="0"/>
            </w:pPr>
            <w:r>
              <w:t>0.79</w:t>
            </w:r>
          </w:p>
        </w:tc>
        <w:tc>
          <w:tcPr>
            <w:tcW w:w="450" w:type="dxa"/>
          </w:tcPr>
          <w:p w14:paraId="31A3B573" w14:textId="77777777" w:rsidR="000B505F" w:rsidRDefault="000B505F">
            <w:pPr>
              <w:shd w:val="clear" w:color="auto" w:fill="FFFFFF"/>
              <w:spacing w:after="120"/>
              <w:ind w:firstLine="0"/>
            </w:pPr>
          </w:p>
        </w:tc>
        <w:tc>
          <w:tcPr>
            <w:tcW w:w="510" w:type="dxa"/>
          </w:tcPr>
          <w:p w14:paraId="7074CDFF" w14:textId="77777777" w:rsidR="000B505F" w:rsidRDefault="000B505F">
            <w:pPr>
              <w:shd w:val="clear" w:color="auto" w:fill="FFFFFF"/>
              <w:spacing w:after="120"/>
              <w:ind w:firstLine="0"/>
            </w:pPr>
          </w:p>
        </w:tc>
      </w:tr>
      <w:tr w:rsidR="000B505F" w14:paraId="3A00E348" w14:textId="77777777">
        <w:trPr>
          <w:trHeight w:val="285"/>
        </w:trPr>
        <w:tc>
          <w:tcPr>
            <w:tcW w:w="8130" w:type="dxa"/>
            <w:shd w:val="clear" w:color="auto" w:fill="auto"/>
            <w:tcMar>
              <w:top w:w="0" w:type="dxa"/>
              <w:left w:w="100" w:type="dxa"/>
              <w:bottom w:w="0" w:type="dxa"/>
              <w:right w:w="100" w:type="dxa"/>
            </w:tcMar>
          </w:tcPr>
          <w:p w14:paraId="10442395" w14:textId="77777777" w:rsidR="000B505F" w:rsidRDefault="00000000">
            <w:pPr>
              <w:shd w:val="clear" w:color="auto" w:fill="FFFFFF"/>
              <w:spacing w:after="120"/>
              <w:ind w:firstLine="0"/>
            </w:pPr>
            <w:r>
              <w:t>If you are in a serious relationship, is it acceptable for you to think about someone else while having sexual relations with your partner?</w:t>
            </w:r>
          </w:p>
        </w:tc>
        <w:tc>
          <w:tcPr>
            <w:tcW w:w="690" w:type="dxa"/>
            <w:tcMar>
              <w:top w:w="0" w:type="dxa"/>
              <w:left w:w="100" w:type="dxa"/>
              <w:bottom w:w="0" w:type="dxa"/>
              <w:right w:w="100" w:type="dxa"/>
            </w:tcMar>
          </w:tcPr>
          <w:p w14:paraId="2115B53E" w14:textId="77777777" w:rsidR="000B505F" w:rsidRDefault="00000000">
            <w:pPr>
              <w:shd w:val="clear" w:color="auto" w:fill="FFFFFF"/>
              <w:spacing w:after="120"/>
              <w:ind w:firstLine="0"/>
            </w:pPr>
            <w:r>
              <w:t>0.74</w:t>
            </w:r>
          </w:p>
        </w:tc>
        <w:tc>
          <w:tcPr>
            <w:tcW w:w="450" w:type="dxa"/>
          </w:tcPr>
          <w:p w14:paraId="58D6C225" w14:textId="77777777" w:rsidR="000B505F" w:rsidRDefault="000B505F">
            <w:pPr>
              <w:shd w:val="clear" w:color="auto" w:fill="FFFFFF"/>
              <w:spacing w:after="120"/>
              <w:ind w:firstLine="0"/>
            </w:pPr>
          </w:p>
        </w:tc>
        <w:tc>
          <w:tcPr>
            <w:tcW w:w="510" w:type="dxa"/>
          </w:tcPr>
          <w:p w14:paraId="41E2EF3E" w14:textId="77777777" w:rsidR="000B505F" w:rsidRDefault="000B505F">
            <w:pPr>
              <w:shd w:val="clear" w:color="auto" w:fill="FFFFFF"/>
              <w:spacing w:after="120"/>
              <w:ind w:firstLine="0"/>
            </w:pPr>
          </w:p>
        </w:tc>
      </w:tr>
      <w:tr w:rsidR="000B505F" w14:paraId="3911372E" w14:textId="77777777">
        <w:trPr>
          <w:trHeight w:val="285"/>
        </w:trPr>
        <w:tc>
          <w:tcPr>
            <w:tcW w:w="8130" w:type="dxa"/>
            <w:shd w:val="clear" w:color="auto" w:fill="auto"/>
            <w:tcMar>
              <w:top w:w="0" w:type="dxa"/>
              <w:left w:w="100" w:type="dxa"/>
              <w:bottom w:w="0" w:type="dxa"/>
              <w:right w:w="100" w:type="dxa"/>
            </w:tcMar>
          </w:tcPr>
          <w:p w14:paraId="4F1C1F1E" w14:textId="77777777" w:rsidR="000B505F" w:rsidRDefault="00000000">
            <w:pPr>
              <w:shd w:val="clear" w:color="auto" w:fill="FFFFFF"/>
              <w:spacing w:after="120"/>
              <w:ind w:firstLine="0"/>
            </w:pPr>
            <w:r>
              <w:t>While you are in a serious relationship, is it acceptable for you to maintain a close friendship with a recent ex (going out together, trusting each other, talking regularly, etc.)?</w:t>
            </w:r>
          </w:p>
        </w:tc>
        <w:tc>
          <w:tcPr>
            <w:tcW w:w="690" w:type="dxa"/>
            <w:tcMar>
              <w:top w:w="0" w:type="dxa"/>
              <w:left w:w="100" w:type="dxa"/>
              <w:bottom w:w="0" w:type="dxa"/>
              <w:right w:w="100" w:type="dxa"/>
            </w:tcMar>
          </w:tcPr>
          <w:p w14:paraId="04E29333" w14:textId="77777777" w:rsidR="000B505F" w:rsidRDefault="000B505F">
            <w:pPr>
              <w:shd w:val="clear" w:color="auto" w:fill="FFFFFF"/>
              <w:spacing w:after="120"/>
              <w:ind w:firstLine="0"/>
            </w:pPr>
          </w:p>
        </w:tc>
        <w:tc>
          <w:tcPr>
            <w:tcW w:w="450" w:type="dxa"/>
          </w:tcPr>
          <w:p w14:paraId="0335C214" w14:textId="77777777" w:rsidR="000B505F" w:rsidRDefault="00000000">
            <w:pPr>
              <w:shd w:val="clear" w:color="auto" w:fill="FFFFFF"/>
              <w:spacing w:after="120"/>
              <w:ind w:firstLine="0"/>
            </w:pPr>
            <w:r>
              <w:t>0.77</w:t>
            </w:r>
          </w:p>
        </w:tc>
        <w:tc>
          <w:tcPr>
            <w:tcW w:w="510" w:type="dxa"/>
          </w:tcPr>
          <w:p w14:paraId="406335BC" w14:textId="77777777" w:rsidR="000B505F" w:rsidRDefault="000B505F">
            <w:pPr>
              <w:shd w:val="clear" w:color="auto" w:fill="FFFFFF"/>
              <w:spacing w:after="120"/>
              <w:ind w:firstLine="0"/>
            </w:pPr>
          </w:p>
        </w:tc>
      </w:tr>
      <w:tr w:rsidR="000B505F" w14:paraId="5534DF5B" w14:textId="77777777">
        <w:trPr>
          <w:trHeight w:val="285"/>
        </w:trPr>
        <w:tc>
          <w:tcPr>
            <w:tcW w:w="8130" w:type="dxa"/>
            <w:shd w:val="clear" w:color="auto" w:fill="auto"/>
            <w:tcMar>
              <w:top w:w="0" w:type="dxa"/>
              <w:left w:w="100" w:type="dxa"/>
              <w:bottom w:w="0" w:type="dxa"/>
              <w:right w:w="100" w:type="dxa"/>
            </w:tcMar>
          </w:tcPr>
          <w:p w14:paraId="647EADEF" w14:textId="77777777" w:rsidR="000B505F" w:rsidRDefault="00000000">
            <w:pPr>
              <w:shd w:val="clear" w:color="auto" w:fill="FFFFFF"/>
              <w:spacing w:after="120"/>
              <w:ind w:firstLine="0"/>
            </w:pPr>
            <w:r>
              <w:t>Is it acceptable for you to cancel plans with your romantic partner to be with a friend?</w:t>
            </w:r>
          </w:p>
        </w:tc>
        <w:tc>
          <w:tcPr>
            <w:tcW w:w="690" w:type="dxa"/>
            <w:tcMar>
              <w:top w:w="0" w:type="dxa"/>
              <w:left w:w="100" w:type="dxa"/>
              <w:bottom w:w="0" w:type="dxa"/>
              <w:right w:w="100" w:type="dxa"/>
            </w:tcMar>
          </w:tcPr>
          <w:p w14:paraId="6AE39BF0" w14:textId="77777777" w:rsidR="000B505F" w:rsidRDefault="000B505F">
            <w:pPr>
              <w:shd w:val="clear" w:color="auto" w:fill="FFFFFF"/>
              <w:spacing w:after="120"/>
              <w:ind w:firstLine="0"/>
            </w:pPr>
          </w:p>
        </w:tc>
        <w:tc>
          <w:tcPr>
            <w:tcW w:w="450" w:type="dxa"/>
          </w:tcPr>
          <w:p w14:paraId="38E23887" w14:textId="77777777" w:rsidR="000B505F" w:rsidRDefault="00000000">
            <w:pPr>
              <w:shd w:val="clear" w:color="auto" w:fill="FFFFFF"/>
              <w:spacing w:after="120"/>
              <w:ind w:firstLine="0"/>
            </w:pPr>
            <w:r>
              <w:t>0.74</w:t>
            </w:r>
          </w:p>
        </w:tc>
        <w:tc>
          <w:tcPr>
            <w:tcW w:w="510" w:type="dxa"/>
          </w:tcPr>
          <w:p w14:paraId="599F7413" w14:textId="77777777" w:rsidR="000B505F" w:rsidRDefault="000B505F">
            <w:pPr>
              <w:shd w:val="clear" w:color="auto" w:fill="FFFFFF"/>
              <w:spacing w:after="120"/>
              <w:ind w:firstLine="0"/>
            </w:pPr>
          </w:p>
        </w:tc>
      </w:tr>
      <w:tr w:rsidR="000B505F" w14:paraId="460E5925" w14:textId="77777777">
        <w:trPr>
          <w:trHeight w:val="285"/>
        </w:trPr>
        <w:tc>
          <w:tcPr>
            <w:tcW w:w="8130" w:type="dxa"/>
            <w:shd w:val="clear" w:color="auto" w:fill="auto"/>
            <w:tcMar>
              <w:top w:w="0" w:type="dxa"/>
              <w:left w:w="100" w:type="dxa"/>
              <w:bottom w:w="0" w:type="dxa"/>
              <w:right w:w="100" w:type="dxa"/>
            </w:tcMar>
          </w:tcPr>
          <w:p w14:paraId="686999D2" w14:textId="77777777" w:rsidR="000B505F" w:rsidRDefault="00000000">
            <w:pPr>
              <w:shd w:val="clear" w:color="auto" w:fill="FFFFFF"/>
              <w:spacing w:after="120"/>
              <w:ind w:firstLine="0"/>
            </w:pPr>
            <w:r>
              <w:t>If you are in a serious relationship, is it acceptable for you to watch erotic/pornographic videos by yourself?</w:t>
            </w:r>
          </w:p>
        </w:tc>
        <w:tc>
          <w:tcPr>
            <w:tcW w:w="690" w:type="dxa"/>
            <w:tcMar>
              <w:top w:w="0" w:type="dxa"/>
              <w:left w:w="100" w:type="dxa"/>
              <w:bottom w:w="0" w:type="dxa"/>
              <w:right w:w="100" w:type="dxa"/>
            </w:tcMar>
          </w:tcPr>
          <w:p w14:paraId="363EFF7B" w14:textId="77777777" w:rsidR="000B505F" w:rsidRDefault="000B505F">
            <w:pPr>
              <w:shd w:val="clear" w:color="auto" w:fill="FFFFFF"/>
              <w:spacing w:after="120"/>
              <w:ind w:firstLine="0"/>
            </w:pPr>
          </w:p>
        </w:tc>
        <w:tc>
          <w:tcPr>
            <w:tcW w:w="450" w:type="dxa"/>
          </w:tcPr>
          <w:p w14:paraId="29DBE4A2" w14:textId="77777777" w:rsidR="000B505F" w:rsidRDefault="00000000">
            <w:pPr>
              <w:shd w:val="clear" w:color="auto" w:fill="FFFFFF"/>
              <w:spacing w:after="120"/>
              <w:ind w:firstLine="0"/>
            </w:pPr>
            <w:r>
              <w:t>0.74</w:t>
            </w:r>
          </w:p>
        </w:tc>
        <w:tc>
          <w:tcPr>
            <w:tcW w:w="510" w:type="dxa"/>
          </w:tcPr>
          <w:p w14:paraId="73DED13F" w14:textId="77777777" w:rsidR="000B505F" w:rsidRDefault="000B505F">
            <w:pPr>
              <w:shd w:val="clear" w:color="auto" w:fill="FFFFFF"/>
              <w:spacing w:after="120"/>
              <w:ind w:firstLine="0"/>
            </w:pPr>
          </w:p>
        </w:tc>
      </w:tr>
      <w:tr w:rsidR="000B505F" w14:paraId="6CA78BD7" w14:textId="77777777">
        <w:trPr>
          <w:trHeight w:val="285"/>
        </w:trPr>
        <w:tc>
          <w:tcPr>
            <w:tcW w:w="8130" w:type="dxa"/>
            <w:shd w:val="clear" w:color="auto" w:fill="auto"/>
            <w:tcMar>
              <w:top w:w="0" w:type="dxa"/>
              <w:left w:w="100" w:type="dxa"/>
              <w:bottom w:w="0" w:type="dxa"/>
              <w:right w:w="100" w:type="dxa"/>
            </w:tcMar>
          </w:tcPr>
          <w:p w14:paraId="2F7EB2A4" w14:textId="77777777" w:rsidR="000B505F" w:rsidRDefault="00000000">
            <w:pPr>
              <w:shd w:val="clear" w:color="auto" w:fill="FFFFFF"/>
              <w:spacing w:after="120"/>
              <w:ind w:firstLine="0"/>
            </w:pPr>
            <w:r>
              <w:t>If you are in a serious relationship, is it acceptable for you to go out for dinner and/or to the movies with a female friend, just the two of you?</w:t>
            </w:r>
          </w:p>
        </w:tc>
        <w:tc>
          <w:tcPr>
            <w:tcW w:w="690" w:type="dxa"/>
            <w:tcMar>
              <w:top w:w="0" w:type="dxa"/>
              <w:left w:w="100" w:type="dxa"/>
              <w:bottom w:w="0" w:type="dxa"/>
              <w:right w:w="100" w:type="dxa"/>
            </w:tcMar>
          </w:tcPr>
          <w:p w14:paraId="2A97FB05" w14:textId="77777777" w:rsidR="000B505F" w:rsidRDefault="000B505F">
            <w:pPr>
              <w:shd w:val="clear" w:color="auto" w:fill="FFFFFF"/>
              <w:spacing w:after="120"/>
              <w:ind w:firstLine="0"/>
            </w:pPr>
          </w:p>
        </w:tc>
        <w:tc>
          <w:tcPr>
            <w:tcW w:w="450" w:type="dxa"/>
          </w:tcPr>
          <w:p w14:paraId="2385C68F" w14:textId="77777777" w:rsidR="000B505F" w:rsidRDefault="00000000">
            <w:pPr>
              <w:shd w:val="clear" w:color="auto" w:fill="FFFFFF"/>
              <w:spacing w:after="120"/>
              <w:ind w:firstLine="0"/>
            </w:pPr>
            <w:r>
              <w:t>0.72</w:t>
            </w:r>
          </w:p>
        </w:tc>
        <w:tc>
          <w:tcPr>
            <w:tcW w:w="510" w:type="dxa"/>
          </w:tcPr>
          <w:p w14:paraId="5E1F2A53" w14:textId="77777777" w:rsidR="000B505F" w:rsidRDefault="000B505F">
            <w:pPr>
              <w:shd w:val="clear" w:color="auto" w:fill="FFFFFF"/>
              <w:spacing w:after="120"/>
              <w:ind w:firstLine="0"/>
            </w:pPr>
          </w:p>
        </w:tc>
      </w:tr>
      <w:tr w:rsidR="000B505F" w14:paraId="0164FB3C" w14:textId="77777777">
        <w:trPr>
          <w:trHeight w:val="285"/>
        </w:trPr>
        <w:tc>
          <w:tcPr>
            <w:tcW w:w="8130" w:type="dxa"/>
            <w:shd w:val="clear" w:color="auto" w:fill="auto"/>
            <w:tcMar>
              <w:top w:w="0" w:type="dxa"/>
              <w:left w:w="100" w:type="dxa"/>
              <w:bottom w:w="0" w:type="dxa"/>
              <w:right w:w="100" w:type="dxa"/>
            </w:tcMar>
          </w:tcPr>
          <w:p w14:paraId="72ACA133" w14:textId="77777777" w:rsidR="000B505F" w:rsidRDefault="00000000">
            <w:pPr>
              <w:shd w:val="clear" w:color="auto" w:fill="FFFFFF"/>
              <w:spacing w:after="120"/>
              <w:ind w:firstLine="0"/>
            </w:pPr>
            <w:r>
              <w:t>If you are in a serious relationship, is it acceptable for you to give your phone number to someone of the opposite sex at a party, with the intention of being friends/spending time together (without the intention of cheating)?</w:t>
            </w:r>
          </w:p>
        </w:tc>
        <w:tc>
          <w:tcPr>
            <w:tcW w:w="690" w:type="dxa"/>
            <w:tcMar>
              <w:top w:w="0" w:type="dxa"/>
              <w:left w:w="100" w:type="dxa"/>
              <w:bottom w:w="0" w:type="dxa"/>
              <w:right w:w="100" w:type="dxa"/>
            </w:tcMar>
          </w:tcPr>
          <w:p w14:paraId="63B12985" w14:textId="77777777" w:rsidR="000B505F" w:rsidRDefault="000B505F">
            <w:pPr>
              <w:shd w:val="clear" w:color="auto" w:fill="FFFFFF"/>
              <w:spacing w:after="120"/>
              <w:ind w:firstLine="0"/>
            </w:pPr>
          </w:p>
        </w:tc>
        <w:tc>
          <w:tcPr>
            <w:tcW w:w="450" w:type="dxa"/>
          </w:tcPr>
          <w:p w14:paraId="1E92C73C" w14:textId="77777777" w:rsidR="000B505F" w:rsidRDefault="00000000">
            <w:pPr>
              <w:shd w:val="clear" w:color="auto" w:fill="FFFFFF"/>
              <w:spacing w:after="120"/>
              <w:ind w:firstLine="0"/>
            </w:pPr>
            <w:r>
              <w:t>0.71</w:t>
            </w:r>
          </w:p>
        </w:tc>
        <w:tc>
          <w:tcPr>
            <w:tcW w:w="510" w:type="dxa"/>
          </w:tcPr>
          <w:p w14:paraId="7FF1FC32" w14:textId="77777777" w:rsidR="000B505F" w:rsidRDefault="000B505F">
            <w:pPr>
              <w:shd w:val="clear" w:color="auto" w:fill="FFFFFF"/>
              <w:spacing w:after="120"/>
              <w:ind w:firstLine="0"/>
            </w:pPr>
          </w:p>
        </w:tc>
      </w:tr>
      <w:tr w:rsidR="000B505F" w14:paraId="4A902083" w14:textId="77777777">
        <w:trPr>
          <w:trHeight w:val="285"/>
        </w:trPr>
        <w:tc>
          <w:tcPr>
            <w:tcW w:w="8130" w:type="dxa"/>
            <w:shd w:val="clear" w:color="auto" w:fill="auto"/>
            <w:tcMar>
              <w:top w:w="0" w:type="dxa"/>
              <w:left w:w="100" w:type="dxa"/>
              <w:bottom w:w="0" w:type="dxa"/>
              <w:right w:w="100" w:type="dxa"/>
            </w:tcMar>
          </w:tcPr>
          <w:p w14:paraId="1A06E406" w14:textId="77777777" w:rsidR="000B505F" w:rsidRDefault="00000000">
            <w:pPr>
              <w:shd w:val="clear" w:color="auto" w:fill="FFFFFF"/>
              <w:spacing w:after="120"/>
              <w:ind w:firstLine="0"/>
            </w:pPr>
            <w:r>
              <w:t>If you are in a serious relationship, is it acceptable for you to exchange non-sexual affection (hugs) with someone of the opposite sex (who is not a family member)?</w:t>
            </w:r>
          </w:p>
        </w:tc>
        <w:tc>
          <w:tcPr>
            <w:tcW w:w="690" w:type="dxa"/>
            <w:tcMar>
              <w:top w:w="0" w:type="dxa"/>
              <w:left w:w="100" w:type="dxa"/>
              <w:bottom w:w="0" w:type="dxa"/>
              <w:right w:w="100" w:type="dxa"/>
            </w:tcMar>
          </w:tcPr>
          <w:p w14:paraId="156668A4" w14:textId="77777777" w:rsidR="000B505F" w:rsidRDefault="000B505F">
            <w:pPr>
              <w:shd w:val="clear" w:color="auto" w:fill="FFFFFF"/>
              <w:spacing w:after="120"/>
              <w:ind w:firstLine="0"/>
            </w:pPr>
          </w:p>
        </w:tc>
        <w:tc>
          <w:tcPr>
            <w:tcW w:w="450" w:type="dxa"/>
          </w:tcPr>
          <w:p w14:paraId="14C90BDF" w14:textId="77777777" w:rsidR="000B505F" w:rsidRDefault="00000000">
            <w:pPr>
              <w:shd w:val="clear" w:color="auto" w:fill="FFFFFF"/>
              <w:spacing w:after="120"/>
              <w:ind w:firstLine="0"/>
            </w:pPr>
            <w:r>
              <w:t>0.62</w:t>
            </w:r>
          </w:p>
        </w:tc>
        <w:tc>
          <w:tcPr>
            <w:tcW w:w="510" w:type="dxa"/>
          </w:tcPr>
          <w:p w14:paraId="7FD93340" w14:textId="77777777" w:rsidR="000B505F" w:rsidRDefault="000B505F">
            <w:pPr>
              <w:shd w:val="clear" w:color="auto" w:fill="FFFFFF"/>
              <w:spacing w:after="120"/>
              <w:ind w:firstLine="0"/>
            </w:pPr>
          </w:p>
        </w:tc>
      </w:tr>
      <w:tr w:rsidR="000B505F" w14:paraId="32EAC961" w14:textId="77777777">
        <w:trPr>
          <w:trHeight w:val="285"/>
        </w:trPr>
        <w:tc>
          <w:tcPr>
            <w:tcW w:w="8130" w:type="dxa"/>
            <w:shd w:val="clear" w:color="auto" w:fill="auto"/>
            <w:tcMar>
              <w:top w:w="0" w:type="dxa"/>
              <w:left w:w="100" w:type="dxa"/>
              <w:bottom w:w="0" w:type="dxa"/>
              <w:right w:w="100" w:type="dxa"/>
            </w:tcMar>
          </w:tcPr>
          <w:p w14:paraId="163C265F" w14:textId="77777777" w:rsidR="000B505F" w:rsidRDefault="00000000">
            <w:pPr>
              <w:shd w:val="clear" w:color="auto" w:fill="FFFFFF"/>
              <w:spacing w:after="120"/>
              <w:ind w:firstLine="0"/>
            </w:pPr>
            <w:r>
              <w:t>If you are in a serious relationship, is it acceptable for you to have an online correspondence with a female friend who lives nearby (a high likelihood of meeting in person)?</w:t>
            </w:r>
          </w:p>
        </w:tc>
        <w:tc>
          <w:tcPr>
            <w:tcW w:w="690" w:type="dxa"/>
            <w:tcMar>
              <w:top w:w="0" w:type="dxa"/>
              <w:left w:w="100" w:type="dxa"/>
              <w:bottom w:w="0" w:type="dxa"/>
              <w:right w:w="100" w:type="dxa"/>
            </w:tcMar>
          </w:tcPr>
          <w:p w14:paraId="1C98C9C1" w14:textId="77777777" w:rsidR="000B505F" w:rsidRDefault="000B505F">
            <w:pPr>
              <w:shd w:val="clear" w:color="auto" w:fill="FFFFFF"/>
              <w:spacing w:after="120"/>
              <w:ind w:firstLine="0"/>
            </w:pPr>
          </w:p>
        </w:tc>
        <w:tc>
          <w:tcPr>
            <w:tcW w:w="450" w:type="dxa"/>
          </w:tcPr>
          <w:p w14:paraId="2C80B048" w14:textId="77777777" w:rsidR="000B505F" w:rsidRDefault="00000000">
            <w:pPr>
              <w:shd w:val="clear" w:color="auto" w:fill="FFFFFF"/>
              <w:spacing w:after="120"/>
              <w:ind w:firstLine="0"/>
            </w:pPr>
            <w:r>
              <w:t>0.61</w:t>
            </w:r>
          </w:p>
        </w:tc>
        <w:tc>
          <w:tcPr>
            <w:tcW w:w="510" w:type="dxa"/>
          </w:tcPr>
          <w:p w14:paraId="5FF7725A" w14:textId="77777777" w:rsidR="000B505F" w:rsidRDefault="000B505F">
            <w:pPr>
              <w:shd w:val="clear" w:color="auto" w:fill="FFFFFF"/>
              <w:spacing w:after="120"/>
              <w:ind w:firstLine="0"/>
            </w:pPr>
          </w:p>
        </w:tc>
      </w:tr>
      <w:tr w:rsidR="000B505F" w14:paraId="599C10B0" w14:textId="77777777">
        <w:trPr>
          <w:trHeight w:val="285"/>
        </w:trPr>
        <w:tc>
          <w:tcPr>
            <w:tcW w:w="8130" w:type="dxa"/>
            <w:shd w:val="clear" w:color="auto" w:fill="auto"/>
            <w:tcMar>
              <w:top w:w="0" w:type="dxa"/>
              <w:left w:w="100" w:type="dxa"/>
              <w:bottom w:w="0" w:type="dxa"/>
              <w:right w:w="100" w:type="dxa"/>
            </w:tcMar>
          </w:tcPr>
          <w:p w14:paraId="743C4A2E" w14:textId="77777777" w:rsidR="000B505F" w:rsidRDefault="00000000">
            <w:pPr>
              <w:shd w:val="clear" w:color="auto" w:fill="FFFFFF"/>
              <w:spacing w:after="120"/>
              <w:ind w:firstLine="0"/>
            </w:pPr>
            <w:r>
              <w:t>If you are in a serious relationship, is it acceptable for you to keep items with romantic sentimental value (gifts, letters, and/or notes)?</w:t>
            </w:r>
          </w:p>
        </w:tc>
        <w:tc>
          <w:tcPr>
            <w:tcW w:w="690" w:type="dxa"/>
            <w:tcMar>
              <w:top w:w="0" w:type="dxa"/>
              <w:left w:w="100" w:type="dxa"/>
              <w:bottom w:w="0" w:type="dxa"/>
              <w:right w:w="100" w:type="dxa"/>
            </w:tcMar>
          </w:tcPr>
          <w:p w14:paraId="47F6AC8A" w14:textId="77777777" w:rsidR="000B505F" w:rsidRDefault="000B505F">
            <w:pPr>
              <w:shd w:val="clear" w:color="auto" w:fill="FFFFFF"/>
              <w:spacing w:after="120"/>
              <w:ind w:firstLine="0"/>
            </w:pPr>
          </w:p>
        </w:tc>
        <w:tc>
          <w:tcPr>
            <w:tcW w:w="450" w:type="dxa"/>
          </w:tcPr>
          <w:p w14:paraId="5D45FE47" w14:textId="77777777" w:rsidR="000B505F" w:rsidRDefault="00000000">
            <w:pPr>
              <w:shd w:val="clear" w:color="auto" w:fill="FFFFFF"/>
              <w:spacing w:after="120"/>
              <w:ind w:firstLine="0"/>
            </w:pPr>
            <w:r>
              <w:t>0.56</w:t>
            </w:r>
          </w:p>
        </w:tc>
        <w:tc>
          <w:tcPr>
            <w:tcW w:w="510" w:type="dxa"/>
          </w:tcPr>
          <w:p w14:paraId="6138C2F5" w14:textId="77777777" w:rsidR="000B505F" w:rsidRDefault="000B505F">
            <w:pPr>
              <w:shd w:val="clear" w:color="auto" w:fill="FFFFFF"/>
              <w:spacing w:after="120"/>
              <w:ind w:firstLine="0"/>
            </w:pPr>
          </w:p>
        </w:tc>
      </w:tr>
      <w:tr w:rsidR="000B505F" w14:paraId="30C101AD" w14:textId="77777777">
        <w:trPr>
          <w:trHeight w:val="285"/>
        </w:trPr>
        <w:tc>
          <w:tcPr>
            <w:tcW w:w="8130" w:type="dxa"/>
            <w:shd w:val="clear" w:color="auto" w:fill="auto"/>
            <w:tcMar>
              <w:top w:w="0" w:type="dxa"/>
              <w:left w:w="100" w:type="dxa"/>
              <w:bottom w:w="0" w:type="dxa"/>
              <w:right w:w="100" w:type="dxa"/>
            </w:tcMar>
          </w:tcPr>
          <w:p w14:paraId="5339080D" w14:textId="77777777" w:rsidR="000B505F" w:rsidRDefault="00000000">
            <w:pPr>
              <w:shd w:val="clear" w:color="auto" w:fill="FFFFFF"/>
              <w:spacing w:after="120"/>
              <w:ind w:firstLine="0"/>
            </w:pPr>
            <w:r>
              <w:t>If you are in a serious relationship, is it acceptable for you, at some point, to access your partner’s digital belongings (computer, tablet, smartphone) if you suspect infidelity?</w:t>
            </w:r>
          </w:p>
        </w:tc>
        <w:tc>
          <w:tcPr>
            <w:tcW w:w="690" w:type="dxa"/>
            <w:tcMar>
              <w:top w:w="0" w:type="dxa"/>
              <w:left w:w="100" w:type="dxa"/>
              <w:bottom w:w="0" w:type="dxa"/>
              <w:right w:w="100" w:type="dxa"/>
            </w:tcMar>
          </w:tcPr>
          <w:p w14:paraId="4DF6CBF0" w14:textId="77777777" w:rsidR="000B505F" w:rsidRDefault="000B505F">
            <w:pPr>
              <w:shd w:val="clear" w:color="auto" w:fill="FFFFFF"/>
              <w:spacing w:after="120"/>
              <w:ind w:firstLine="0"/>
            </w:pPr>
          </w:p>
        </w:tc>
        <w:tc>
          <w:tcPr>
            <w:tcW w:w="450" w:type="dxa"/>
          </w:tcPr>
          <w:p w14:paraId="0FFAA1A3" w14:textId="77777777" w:rsidR="000B505F" w:rsidRDefault="000B505F">
            <w:pPr>
              <w:shd w:val="clear" w:color="auto" w:fill="FFFFFF"/>
              <w:spacing w:after="120"/>
              <w:ind w:firstLine="0"/>
            </w:pPr>
          </w:p>
        </w:tc>
        <w:tc>
          <w:tcPr>
            <w:tcW w:w="510" w:type="dxa"/>
          </w:tcPr>
          <w:p w14:paraId="1D17AFD3" w14:textId="77777777" w:rsidR="000B505F" w:rsidRDefault="00000000">
            <w:pPr>
              <w:shd w:val="clear" w:color="auto" w:fill="FFFFFF"/>
              <w:spacing w:after="120"/>
              <w:ind w:firstLine="0"/>
            </w:pPr>
            <w:r>
              <w:t>0.99</w:t>
            </w:r>
          </w:p>
        </w:tc>
      </w:tr>
      <w:tr w:rsidR="000B505F" w14:paraId="6260B7B0" w14:textId="77777777">
        <w:trPr>
          <w:trHeight w:val="285"/>
        </w:trPr>
        <w:tc>
          <w:tcPr>
            <w:tcW w:w="8130" w:type="dxa"/>
            <w:shd w:val="clear" w:color="auto" w:fill="auto"/>
            <w:tcMar>
              <w:top w:w="0" w:type="dxa"/>
              <w:left w:w="100" w:type="dxa"/>
              <w:bottom w:w="0" w:type="dxa"/>
              <w:right w:w="100" w:type="dxa"/>
            </w:tcMar>
          </w:tcPr>
          <w:p w14:paraId="776A2362" w14:textId="77777777" w:rsidR="000B505F" w:rsidRDefault="00000000">
            <w:pPr>
              <w:shd w:val="clear" w:color="auto" w:fill="FFFFFF"/>
              <w:spacing w:after="120"/>
              <w:ind w:firstLine="0"/>
            </w:pPr>
            <w:r>
              <w:t>If you are in a serious relationship, is it acceptable for you, at some point, to go through your partner’s physical belongings (wallet, pockets, purse) if you suspect infidelity?</w:t>
            </w:r>
          </w:p>
        </w:tc>
        <w:tc>
          <w:tcPr>
            <w:tcW w:w="690" w:type="dxa"/>
            <w:tcMar>
              <w:top w:w="0" w:type="dxa"/>
              <w:left w:w="100" w:type="dxa"/>
              <w:bottom w:w="0" w:type="dxa"/>
              <w:right w:w="100" w:type="dxa"/>
            </w:tcMar>
          </w:tcPr>
          <w:p w14:paraId="3DDC6921" w14:textId="77777777" w:rsidR="000B505F" w:rsidRDefault="000B505F">
            <w:pPr>
              <w:shd w:val="clear" w:color="auto" w:fill="FFFFFF"/>
              <w:spacing w:after="120"/>
              <w:ind w:firstLine="0"/>
            </w:pPr>
          </w:p>
        </w:tc>
        <w:tc>
          <w:tcPr>
            <w:tcW w:w="450" w:type="dxa"/>
          </w:tcPr>
          <w:p w14:paraId="4BB9DAA6" w14:textId="77777777" w:rsidR="000B505F" w:rsidRDefault="000B505F">
            <w:pPr>
              <w:shd w:val="clear" w:color="auto" w:fill="FFFFFF"/>
              <w:spacing w:after="120"/>
              <w:ind w:firstLine="0"/>
            </w:pPr>
          </w:p>
        </w:tc>
        <w:tc>
          <w:tcPr>
            <w:tcW w:w="510" w:type="dxa"/>
          </w:tcPr>
          <w:p w14:paraId="3405ECF8" w14:textId="77777777" w:rsidR="000B505F" w:rsidRDefault="00000000">
            <w:pPr>
              <w:shd w:val="clear" w:color="auto" w:fill="FFFFFF"/>
              <w:spacing w:after="120"/>
              <w:ind w:firstLine="0"/>
            </w:pPr>
            <w:r>
              <w:t>0.98</w:t>
            </w:r>
          </w:p>
        </w:tc>
      </w:tr>
      <w:tr w:rsidR="000B505F" w14:paraId="0568294E" w14:textId="77777777">
        <w:trPr>
          <w:trHeight w:val="300"/>
        </w:trPr>
        <w:tc>
          <w:tcPr>
            <w:tcW w:w="8130" w:type="dxa"/>
            <w:tcBorders>
              <w:bottom w:val="single" w:sz="4" w:space="0" w:color="000000"/>
            </w:tcBorders>
            <w:shd w:val="clear" w:color="auto" w:fill="auto"/>
            <w:tcMar>
              <w:top w:w="0" w:type="dxa"/>
              <w:left w:w="100" w:type="dxa"/>
              <w:bottom w:w="0" w:type="dxa"/>
              <w:right w:w="100" w:type="dxa"/>
            </w:tcMar>
          </w:tcPr>
          <w:p w14:paraId="3373D3B9" w14:textId="77777777" w:rsidR="000B505F" w:rsidRDefault="00000000">
            <w:pPr>
              <w:shd w:val="clear" w:color="auto" w:fill="FFFFFF"/>
              <w:spacing w:after="120"/>
              <w:ind w:firstLine="0"/>
            </w:pPr>
            <w:r>
              <w:t>If you are in a serious relationship, is it acceptable for you, at some point, to borrow money from your partner’s wallet without her explicit permission, if you intend to return the money promptly?</w:t>
            </w:r>
          </w:p>
        </w:tc>
        <w:tc>
          <w:tcPr>
            <w:tcW w:w="690" w:type="dxa"/>
            <w:tcBorders>
              <w:bottom w:val="single" w:sz="4" w:space="0" w:color="000000"/>
            </w:tcBorders>
            <w:tcMar>
              <w:top w:w="0" w:type="dxa"/>
              <w:left w:w="100" w:type="dxa"/>
              <w:bottom w:w="0" w:type="dxa"/>
              <w:right w:w="100" w:type="dxa"/>
            </w:tcMar>
          </w:tcPr>
          <w:p w14:paraId="7D8E328D" w14:textId="77777777" w:rsidR="000B505F" w:rsidRDefault="000B505F">
            <w:pPr>
              <w:shd w:val="clear" w:color="auto" w:fill="FFFFFF"/>
              <w:spacing w:after="120"/>
              <w:ind w:firstLine="0"/>
            </w:pPr>
          </w:p>
        </w:tc>
        <w:tc>
          <w:tcPr>
            <w:tcW w:w="450" w:type="dxa"/>
            <w:tcBorders>
              <w:bottom w:val="single" w:sz="4" w:space="0" w:color="000000"/>
            </w:tcBorders>
          </w:tcPr>
          <w:p w14:paraId="53363CF7" w14:textId="77777777" w:rsidR="000B505F" w:rsidRDefault="000B505F">
            <w:pPr>
              <w:shd w:val="clear" w:color="auto" w:fill="FFFFFF"/>
              <w:spacing w:after="120"/>
              <w:ind w:firstLine="0"/>
            </w:pPr>
          </w:p>
        </w:tc>
        <w:tc>
          <w:tcPr>
            <w:tcW w:w="510" w:type="dxa"/>
            <w:tcBorders>
              <w:bottom w:val="single" w:sz="4" w:space="0" w:color="000000"/>
            </w:tcBorders>
          </w:tcPr>
          <w:p w14:paraId="62CD9F61" w14:textId="77777777" w:rsidR="000B505F" w:rsidRDefault="00000000">
            <w:pPr>
              <w:shd w:val="clear" w:color="auto" w:fill="FFFFFF"/>
              <w:spacing w:after="120"/>
              <w:ind w:firstLine="0"/>
            </w:pPr>
            <w:r>
              <w:t xml:space="preserve">0.53 </w:t>
            </w:r>
          </w:p>
        </w:tc>
      </w:tr>
    </w:tbl>
    <w:p w14:paraId="08053961" w14:textId="77777777" w:rsidR="000B505F" w:rsidRDefault="00000000">
      <w:pPr>
        <w:shd w:val="clear" w:color="auto" w:fill="FFFFFF"/>
        <w:spacing w:line="360" w:lineRule="auto"/>
        <w:ind w:firstLine="0"/>
      </w:pPr>
      <w:r>
        <w:rPr>
          <w:i/>
        </w:rPr>
        <w:t xml:space="preserve">Note: </w:t>
      </w:r>
      <w:r>
        <w:t>ST = Sexual Threat. ET = Emotional Threat. PV = Privacy Violation.</w:t>
      </w:r>
    </w:p>
    <w:p w14:paraId="4B76FFE0" w14:textId="77777777" w:rsidR="000B505F" w:rsidRDefault="00000000">
      <w:pPr>
        <w:shd w:val="clear" w:color="auto" w:fill="FFFFFF"/>
        <w:spacing w:line="360" w:lineRule="auto"/>
        <w:ind w:firstLine="709"/>
      </w:pPr>
      <w:r>
        <w:rPr>
          <w:rFonts w:ascii="Gungsuh" w:eastAsia="Gungsuh" w:hAnsi="Gungsuh" w:cs="Gungsuh"/>
        </w:rPr>
        <w:t>All the items presented standardized factor loadings exceeding 0.50 (See Table 2). This indicates individual item reliability (</w:t>
      </w:r>
      <w:proofErr w:type="spellStart"/>
      <w:r>
        <w:rPr>
          <w:rFonts w:ascii="Gungsuh" w:eastAsia="Gungsuh" w:hAnsi="Gungsuh" w:cs="Gungsuh"/>
        </w:rPr>
        <w:t>Marôco</w:t>
      </w:r>
      <w:proofErr w:type="spellEnd"/>
      <w:r>
        <w:rPr>
          <w:rFonts w:ascii="Gungsuh" w:eastAsia="Gungsuh" w:hAnsi="Gungsuh" w:cs="Gungsuh"/>
        </w:rPr>
        <w:t xml:space="preserve">, 2021). The Average Variance Extracted for each factor suggested reasonable convergence, except for the ET factor, </w:t>
      </w:r>
      <w:r>
        <w:rPr>
          <w:rFonts w:ascii="Gungsuh" w:eastAsia="Gungsuh" w:hAnsi="Gungsuh" w:cs="Gungsuh"/>
        </w:rPr>
        <w:lastRenderedPageBreak/>
        <w:t>which was slightly below the expected threshold of ≥ 0.50. The calculated internal consistency values of the factors were adequate across all techniques used (See Table 3).</w:t>
      </w:r>
    </w:p>
    <w:p w14:paraId="2F4312B6" w14:textId="77777777" w:rsidR="000B505F" w:rsidRDefault="00000000">
      <w:pPr>
        <w:shd w:val="clear" w:color="auto" w:fill="FFFFFF"/>
        <w:spacing w:line="360" w:lineRule="auto"/>
        <w:ind w:firstLine="709"/>
      </w:pPr>
      <w:r>
        <w:t xml:space="preserve">According to Hair Jr. et al. (2019), there was insufficient discrimination between the Emotional Threat and Sexual Threat factors (See Table 3) based on the Fornell and Larcker (1981) criterion. However, using the </w:t>
      </w:r>
      <w:proofErr w:type="spellStart"/>
      <w:r>
        <w:t>Heterotrait-monotrait</w:t>
      </w:r>
      <w:proofErr w:type="spellEnd"/>
      <w:r>
        <w:t xml:space="preserve"> (HTMT) ratio of correlations technique of Henseler et al. (2015), all three factors of the MWRB scale showed discriminative ability among themselves, as the calculated values were below 0.85 (Henseler et al., 2015), as presented (See Table 3).</w:t>
      </w:r>
    </w:p>
    <w:p w14:paraId="3B319DE5" w14:textId="77777777" w:rsidR="000B505F" w:rsidRDefault="00000000">
      <w:pPr>
        <w:shd w:val="clear" w:color="auto" w:fill="FFFFFF"/>
        <w:spacing w:line="360" w:lineRule="auto"/>
        <w:ind w:firstLine="0"/>
        <w:rPr>
          <w:b/>
          <w:color w:val="000000"/>
        </w:rPr>
      </w:pPr>
      <w:r>
        <w:rPr>
          <w:b/>
          <w:color w:val="000000"/>
        </w:rPr>
        <w:t>Table 3</w:t>
      </w:r>
    </w:p>
    <w:p w14:paraId="7983227E" w14:textId="77777777" w:rsidR="000B505F" w:rsidRDefault="000B505F">
      <w:pPr>
        <w:shd w:val="clear" w:color="auto" w:fill="FFFFFF"/>
        <w:spacing w:line="360" w:lineRule="auto"/>
        <w:ind w:firstLine="0"/>
        <w:rPr>
          <w:b/>
          <w:color w:val="000000"/>
        </w:rPr>
      </w:pPr>
    </w:p>
    <w:p w14:paraId="36CF46D7" w14:textId="77777777" w:rsidR="000B505F" w:rsidRDefault="00000000">
      <w:pPr>
        <w:shd w:val="clear" w:color="auto" w:fill="FFFFFF"/>
        <w:spacing w:line="360" w:lineRule="auto"/>
        <w:ind w:firstLine="0"/>
        <w:rPr>
          <w:i/>
        </w:rPr>
      </w:pPr>
      <w:r>
        <w:rPr>
          <w:i/>
          <w:color w:val="000000"/>
        </w:rPr>
        <w:t xml:space="preserve">Discrimination between factors based on the criteria of </w:t>
      </w:r>
      <w:r>
        <w:rPr>
          <w:i/>
        </w:rPr>
        <w:t>Fornell and Larcker (1981) and Henseler et al. (2015) and Coefficients of Internal Consistency</w:t>
      </w:r>
    </w:p>
    <w:tbl>
      <w:tblPr>
        <w:tblStyle w:val="a1"/>
        <w:tblW w:w="8175" w:type="dxa"/>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920"/>
        <w:gridCol w:w="660"/>
        <w:gridCol w:w="681"/>
        <w:gridCol w:w="699"/>
        <w:gridCol w:w="1860"/>
        <w:gridCol w:w="2355"/>
      </w:tblGrid>
      <w:tr w:rsidR="000B505F" w14:paraId="5A9F80F7" w14:textId="77777777">
        <w:tc>
          <w:tcPr>
            <w:tcW w:w="1920" w:type="dxa"/>
            <w:tcBorders>
              <w:top w:val="single" w:sz="4" w:space="0" w:color="000000"/>
              <w:bottom w:val="single" w:sz="4" w:space="0" w:color="000000"/>
            </w:tcBorders>
          </w:tcPr>
          <w:p w14:paraId="48DD84BD" w14:textId="77777777" w:rsidR="000B505F" w:rsidRDefault="00000000">
            <w:pPr>
              <w:spacing w:after="120" w:line="360" w:lineRule="auto"/>
              <w:ind w:firstLine="0"/>
              <w:rPr>
                <w:color w:val="000000"/>
              </w:rPr>
            </w:pPr>
            <w:r>
              <w:t>Factor</w:t>
            </w:r>
          </w:p>
        </w:tc>
        <w:tc>
          <w:tcPr>
            <w:tcW w:w="660" w:type="dxa"/>
            <w:tcBorders>
              <w:top w:val="single" w:sz="4" w:space="0" w:color="000000"/>
              <w:bottom w:val="single" w:sz="4" w:space="0" w:color="000000"/>
            </w:tcBorders>
          </w:tcPr>
          <w:p w14:paraId="753A304E" w14:textId="77777777" w:rsidR="000B505F" w:rsidRDefault="00000000">
            <w:pPr>
              <w:spacing w:after="120" w:line="360" w:lineRule="auto"/>
              <w:ind w:firstLine="0"/>
              <w:jc w:val="center"/>
              <w:rPr>
                <w:color w:val="000000"/>
              </w:rPr>
            </w:pPr>
            <w:r>
              <w:t>ST</w:t>
            </w:r>
          </w:p>
        </w:tc>
        <w:tc>
          <w:tcPr>
            <w:tcW w:w="681" w:type="dxa"/>
            <w:tcBorders>
              <w:top w:val="single" w:sz="4" w:space="0" w:color="000000"/>
              <w:bottom w:val="single" w:sz="4" w:space="0" w:color="000000"/>
            </w:tcBorders>
          </w:tcPr>
          <w:p w14:paraId="545C24E2" w14:textId="77777777" w:rsidR="000B505F" w:rsidRDefault="00000000">
            <w:pPr>
              <w:spacing w:after="120" w:line="360" w:lineRule="auto"/>
              <w:ind w:firstLine="0"/>
              <w:jc w:val="center"/>
              <w:rPr>
                <w:color w:val="000000"/>
              </w:rPr>
            </w:pPr>
            <w:r>
              <w:t>ET</w:t>
            </w:r>
          </w:p>
        </w:tc>
        <w:tc>
          <w:tcPr>
            <w:tcW w:w="699" w:type="dxa"/>
            <w:tcBorders>
              <w:top w:val="single" w:sz="4" w:space="0" w:color="000000"/>
              <w:bottom w:val="single" w:sz="4" w:space="0" w:color="000000"/>
            </w:tcBorders>
          </w:tcPr>
          <w:p w14:paraId="6DFFD860" w14:textId="77777777" w:rsidR="000B505F" w:rsidRDefault="00000000">
            <w:pPr>
              <w:spacing w:after="120" w:line="360" w:lineRule="auto"/>
              <w:ind w:firstLine="0"/>
              <w:jc w:val="center"/>
              <w:rPr>
                <w:color w:val="000000"/>
              </w:rPr>
            </w:pPr>
            <w:r>
              <w:t>PV</w:t>
            </w:r>
          </w:p>
        </w:tc>
        <w:tc>
          <w:tcPr>
            <w:tcW w:w="1860" w:type="dxa"/>
            <w:tcBorders>
              <w:top w:val="single" w:sz="4" w:space="0" w:color="000000"/>
              <w:bottom w:val="single" w:sz="4" w:space="0" w:color="000000"/>
            </w:tcBorders>
          </w:tcPr>
          <w:p w14:paraId="0B1CD8C2" w14:textId="77777777" w:rsidR="000B505F" w:rsidRDefault="00000000">
            <w:pPr>
              <w:spacing w:after="120" w:line="360" w:lineRule="auto"/>
              <w:ind w:firstLine="0"/>
              <w:jc w:val="center"/>
              <w:rPr>
                <w:color w:val="000000"/>
              </w:rPr>
            </w:pPr>
            <w:r>
              <w:t>α (95% CI)</w:t>
            </w:r>
          </w:p>
        </w:tc>
        <w:tc>
          <w:tcPr>
            <w:tcW w:w="2355" w:type="dxa"/>
            <w:tcBorders>
              <w:top w:val="single" w:sz="4" w:space="0" w:color="000000"/>
              <w:bottom w:val="single" w:sz="4" w:space="0" w:color="000000"/>
            </w:tcBorders>
          </w:tcPr>
          <w:p w14:paraId="6CB443F2" w14:textId="77777777" w:rsidR="000B505F" w:rsidRDefault="00000000">
            <w:pPr>
              <w:spacing w:after="120" w:line="360" w:lineRule="auto"/>
              <w:ind w:firstLine="0"/>
              <w:jc w:val="center"/>
              <w:rPr>
                <w:color w:val="000000"/>
              </w:rPr>
            </w:pPr>
            <w:r>
              <w:t>ω (95% CI)</w:t>
            </w:r>
          </w:p>
        </w:tc>
      </w:tr>
      <w:tr w:rsidR="000B505F" w14:paraId="08B0EB04" w14:textId="77777777">
        <w:tc>
          <w:tcPr>
            <w:tcW w:w="1920" w:type="dxa"/>
            <w:tcBorders>
              <w:top w:val="single" w:sz="4" w:space="0" w:color="000000"/>
            </w:tcBorders>
          </w:tcPr>
          <w:p w14:paraId="34236CDB" w14:textId="77777777" w:rsidR="000B505F" w:rsidRDefault="00000000">
            <w:pPr>
              <w:spacing w:after="120" w:line="360" w:lineRule="auto"/>
              <w:ind w:firstLine="0"/>
              <w:rPr>
                <w:color w:val="000000"/>
              </w:rPr>
            </w:pPr>
            <w:r>
              <w:t>Sexual Threat</w:t>
            </w:r>
          </w:p>
        </w:tc>
        <w:tc>
          <w:tcPr>
            <w:tcW w:w="660" w:type="dxa"/>
            <w:tcBorders>
              <w:top w:val="single" w:sz="4" w:space="0" w:color="000000"/>
            </w:tcBorders>
          </w:tcPr>
          <w:p w14:paraId="4E13E154" w14:textId="77777777" w:rsidR="000B505F" w:rsidRDefault="00000000">
            <w:pPr>
              <w:spacing w:after="120" w:line="360" w:lineRule="auto"/>
              <w:ind w:firstLine="0"/>
              <w:jc w:val="center"/>
              <w:rPr>
                <w:b/>
                <w:color w:val="000000"/>
              </w:rPr>
            </w:pPr>
            <w:r>
              <w:rPr>
                <w:b/>
              </w:rPr>
              <w:t>0.7</w:t>
            </w:r>
          </w:p>
        </w:tc>
        <w:tc>
          <w:tcPr>
            <w:tcW w:w="681" w:type="dxa"/>
            <w:tcBorders>
              <w:top w:val="single" w:sz="4" w:space="0" w:color="000000"/>
            </w:tcBorders>
          </w:tcPr>
          <w:p w14:paraId="6BB83033" w14:textId="77777777" w:rsidR="000B505F" w:rsidRDefault="00000000">
            <w:pPr>
              <w:spacing w:after="120" w:line="360" w:lineRule="auto"/>
              <w:ind w:firstLine="0"/>
              <w:jc w:val="center"/>
              <w:rPr>
                <w:color w:val="000000"/>
              </w:rPr>
            </w:pPr>
            <w:r>
              <w:t>0.52</w:t>
            </w:r>
          </w:p>
        </w:tc>
        <w:tc>
          <w:tcPr>
            <w:tcW w:w="699" w:type="dxa"/>
            <w:tcBorders>
              <w:top w:val="single" w:sz="4" w:space="0" w:color="000000"/>
            </w:tcBorders>
          </w:tcPr>
          <w:p w14:paraId="141E08D2" w14:textId="77777777" w:rsidR="000B505F" w:rsidRDefault="00000000">
            <w:pPr>
              <w:spacing w:after="120" w:line="360" w:lineRule="auto"/>
              <w:ind w:firstLine="0"/>
              <w:jc w:val="center"/>
              <w:rPr>
                <w:color w:val="000000"/>
              </w:rPr>
            </w:pPr>
            <w:r>
              <w:t>0.09</w:t>
            </w:r>
          </w:p>
        </w:tc>
        <w:tc>
          <w:tcPr>
            <w:tcW w:w="1860" w:type="dxa"/>
            <w:tcBorders>
              <w:top w:val="single" w:sz="4" w:space="0" w:color="000000"/>
            </w:tcBorders>
          </w:tcPr>
          <w:p w14:paraId="5F45102B" w14:textId="77777777" w:rsidR="000B505F" w:rsidRDefault="00000000">
            <w:pPr>
              <w:spacing w:after="120" w:line="360" w:lineRule="auto"/>
              <w:ind w:firstLine="0"/>
              <w:jc w:val="center"/>
              <w:rPr>
                <w:color w:val="000000"/>
              </w:rPr>
            </w:pPr>
            <w:r>
              <w:t>0.85 (0.83-0.87)</w:t>
            </w:r>
          </w:p>
        </w:tc>
        <w:tc>
          <w:tcPr>
            <w:tcW w:w="2355" w:type="dxa"/>
            <w:tcBorders>
              <w:top w:val="single" w:sz="4" w:space="0" w:color="000000"/>
            </w:tcBorders>
          </w:tcPr>
          <w:p w14:paraId="778A1E14" w14:textId="77777777" w:rsidR="000B505F" w:rsidRDefault="00000000">
            <w:pPr>
              <w:spacing w:after="120" w:line="360" w:lineRule="auto"/>
              <w:ind w:firstLine="0"/>
              <w:jc w:val="center"/>
              <w:rPr>
                <w:color w:val="000000"/>
              </w:rPr>
            </w:pPr>
            <w:r>
              <w:t>0.85 (0.83-0.88)</w:t>
            </w:r>
          </w:p>
        </w:tc>
      </w:tr>
      <w:tr w:rsidR="000B505F" w14:paraId="48E2A496" w14:textId="77777777">
        <w:tc>
          <w:tcPr>
            <w:tcW w:w="1920" w:type="dxa"/>
          </w:tcPr>
          <w:p w14:paraId="0634B4C6" w14:textId="77777777" w:rsidR="000B505F" w:rsidRDefault="00000000">
            <w:pPr>
              <w:spacing w:after="120" w:line="360" w:lineRule="auto"/>
              <w:ind w:firstLine="0"/>
              <w:rPr>
                <w:color w:val="000000"/>
              </w:rPr>
            </w:pPr>
            <w:r>
              <w:t>Emotional Threat</w:t>
            </w:r>
          </w:p>
        </w:tc>
        <w:tc>
          <w:tcPr>
            <w:tcW w:w="660" w:type="dxa"/>
          </w:tcPr>
          <w:p w14:paraId="2F07CBE0" w14:textId="77777777" w:rsidR="000B505F" w:rsidRDefault="00000000">
            <w:pPr>
              <w:spacing w:after="120" w:line="360" w:lineRule="auto"/>
              <w:ind w:firstLine="0"/>
              <w:jc w:val="center"/>
              <w:rPr>
                <w:color w:val="000000"/>
              </w:rPr>
            </w:pPr>
            <w:r>
              <w:t>0.53</w:t>
            </w:r>
          </w:p>
        </w:tc>
        <w:tc>
          <w:tcPr>
            <w:tcW w:w="681" w:type="dxa"/>
          </w:tcPr>
          <w:p w14:paraId="59250FD7" w14:textId="77777777" w:rsidR="000B505F" w:rsidRDefault="00000000">
            <w:pPr>
              <w:spacing w:after="120" w:line="360" w:lineRule="auto"/>
              <w:ind w:firstLine="0"/>
              <w:jc w:val="center"/>
              <w:rPr>
                <w:b/>
                <w:color w:val="000000"/>
              </w:rPr>
            </w:pPr>
            <w:r>
              <w:rPr>
                <w:b/>
              </w:rPr>
              <w:t>0.47</w:t>
            </w:r>
          </w:p>
        </w:tc>
        <w:tc>
          <w:tcPr>
            <w:tcW w:w="699" w:type="dxa"/>
          </w:tcPr>
          <w:p w14:paraId="7DDD7F2C" w14:textId="77777777" w:rsidR="000B505F" w:rsidRDefault="00000000">
            <w:pPr>
              <w:spacing w:after="120" w:line="360" w:lineRule="auto"/>
              <w:ind w:firstLine="0"/>
              <w:jc w:val="center"/>
              <w:rPr>
                <w:color w:val="000000"/>
              </w:rPr>
            </w:pPr>
            <w:r>
              <w:t>0.09</w:t>
            </w:r>
          </w:p>
        </w:tc>
        <w:tc>
          <w:tcPr>
            <w:tcW w:w="1860" w:type="dxa"/>
          </w:tcPr>
          <w:p w14:paraId="3564B38C" w14:textId="77777777" w:rsidR="000B505F" w:rsidRDefault="00000000">
            <w:pPr>
              <w:spacing w:after="120" w:line="360" w:lineRule="auto"/>
              <w:ind w:firstLine="0"/>
              <w:jc w:val="center"/>
              <w:rPr>
                <w:color w:val="000000"/>
              </w:rPr>
            </w:pPr>
            <w:r>
              <w:t>0.80 (0.77-0.83)</w:t>
            </w:r>
          </w:p>
        </w:tc>
        <w:tc>
          <w:tcPr>
            <w:tcW w:w="2355" w:type="dxa"/>
          </w:tcPr>
          <w:p w14:paraId="7348BF5F" w14:textId="77777777" w:rsidR="000B505F" w:rsidRDefault="00000000">
            <w:pPr>
              <w:spacing w:after="120" w:line="360" w:lineRule="auto"/>
              <w:ind w:firstLine="0"/>
              <w:jc w:val="center"/>
              <w:rPr>
                <w:color w:val="000000"/>
              </w:rPr>
            </w:pPr>
            <w:r>
              <w:t>0.81 (0.78-0.83)</w:t>
            </w:r>
          </w:p>
        </w:tc>
      </w:tr>
      <w:tr w:rsidR="000B505F" w14:paraId="7D4E8849" w14:textId="77777777">
        <w:tc>
          <w:tcPr>
            <w:tcW w:w="1920" w:type="dxa"/>
          </w:tcPr>
          <w:p w14:paraId="39D0D8BF" w14:textId="77777777" w:rsidR="000B505F" w:rsidRDefault="00000000">
            <w:pPr>
              <w:spacing w:after="120" w:line="360" w:lineRule="auto"/>
              <w:ind w:firstLine="0"/>
              <w:rPr>
                <w:color w:val="000000"/>
              </w:rPr>
            </w:pPr>
            <w:r>
              <w:t>Privacy Violation</w:t>
            </w:r>
          </w:p>
        </w:tc>
        <w:tc>
          <w:tcPr>
            <w:tcW w:w="660" w:type="dxa"/>
          </w:tcPr>
          <w:p w14:paraId="1C17F174" w14:textId="77777777" w:rsidR="000B505F" w:rsidRDefault="00000000">
            <w:pPr>
              <w:spacing w:after="120" w:line="360" w:lineRule="auto"/>
              <w:ind w:firstLine="0"/>
              <w:jc w:val="center"/>
              <w:rPr>
                <w:color w:val="000000"/>
              </w:rPr>
            </w:pPr>
            <w:r>
              <w:t>0</w:t>
            </w:r>
          </w:p>
        </w:tc>
        <w:tc>
          <w:tcPr>
            <w:tcW w:w="681" w:type="dxa"/>
          </w:tcPr>
          <w:p w14:paraId="5D96AF5A" w14:textId="77777777" w:rsidR="000B505F" w:rsidRDefault="00000000">
            <w:pPr>
              <w:spacing w:after="120" w:line="360" w:lineRule="auto"/>
              <w:ind w:firstLine="0"/>
              <w:jc w:val="center"/>
              <w:rPr>
                <w:color w:val="000000"/>
              </w:rPr>
            </w:pPr>
            <w:r>
              <w:t>0.01</w:t>
            </w:r>
          </w:p>
        </w:tc>
        <w:tc>
          <w:tcPr>
            <w:tcW w:w="699" w:type="dxa"/>
          </w:tcPr>
          <w:p w14:paraId="78D20315" w14:textId="77777777" w:rsidR="000B505F" w:rsidRDefault="00000000">
            <w:pPr>
              <w:spacing w:after="120" w:line="360" w:lineRule="auto"/>
              <w:ind w:firstLine="0"/>
              <w:jc w:val="center"/>
              <w:rPr>
                <w:b/>
                <w:color w:val="000000"/>
              </w:rPr>
            </w:pPr>
            <w:r>
              <w:rPr>
                <w:b/>
              </w:rPr>
              <w:t>0.74</w:t>
            </w:r>
          </w:p>
        </w:tc>
        <w:tc>
          <w:tcPr>
            <w:tcW w:w="1860" w:type="dxa"/>
          </w:tcPr>
          <w:p w14:paraId="2BCD3258" w14:textId="77777777" w:rsidR="000B505F" w:rsidRDefault="00000000">
            <w:pPr>
              <w:spacing w:after="120" w:line="360" w:lineRule="auto"/>
              <w:ind w:firstLine="0"/>
              <w:jc w:val="center"/>
            </w:pPr>
            <w:r>
              <w:t>0.80 (0.76-.083)</w:t>
            </w:r>
          </w:p>
        </w:tc>
        <w:tc>
          <w:tcPr>
            <w:tcW w:w="2355" w:type="dxa"/>
          </w:tcPr>
          <w:p w14:paraId="7A111B3A" w14:textId="77777777" w:rsidR="000B505F" w:rsidRDefault="00000000">
            <w:pPr>
              <w:spacing w:after="120" w:line="360" w:lineRule="auto"/>
              <w:ind w:firstLine="0"/>
              <w:jc w:val="center"/>
            </w:pPr>
            <w:r>
              <w:t>0.84 (0.82-0.87)</w:t>
            </w:r>
          </w:p>
        </w:tc>
      </w:tr>
    </w:tbl>
    <w:p w14:paraId="48CF616A" w14:textId="77777777" w:rsidR="000B505F" w:rsidRDefault="00000000">
      <w:pPr>
        <w:shd w:val="clear" w:color="auto" w:fill="FFFFFF"/>
        <w:spacing w:line="360" w:lineRule="auto"/>
        <w:ind w:firstLine="0"/>
        <w:rPr>
          <w:color w:val="000000"/>
        </w:rPr>
      </w:pPr>
      <w:r>
        <w:rPr>
          <w:i/>
          <w:color w:val="000000"/>
        </w:rPr>
        <w:t xml:space="preserve">Note. </w:t>
      </w:r>
      <w:r>
        <w:rPr>
          <w:color w:val="000000"/>
        </w:rPr>
        <w:t>In the diagonal, in bold, the AVE values. Below the diagonal, the squared correlations between factors. Above the diagonal, the calculated HTMT values.</w:t>
      </w:r>
    </w:p>
    <w:p w14:paraId="56D8F3F3" w14:textId="77777777" w:rsidR="000B505F" w:rsidRDefault="00000000">
      <w:pPr>
        <w:shd w:val="clear" w:color="auto" w:fill="FFFFFF"/>
        <w:spacing w:line="360" w:lineRule="auto"/>
        <w:rPr>
          <w:color w:val="000000"/>
        </w:rPr>
      </w:pPr>
      <w:r>
        <w:rPr>
          <w:color w:val="000000"/>
        </w:rPr>
        <w:t xml:space="preserve">The Mann-Whitney </w:t>
      </w:r>
      <w:r>
        <w:rPr>
          <w:i/>
          <w:color w:val="000000"/>
        </w:rPr>
        <w:t>U</w:t>
      </w:r>
      <w:r>
        <w:rPr>
          <w:color w:val="000000"/>
        </w:rPr>
        <w:t xml:space="preserve"> test examined differences in responses between men and women in the MWRB scale (See Table 4). Statistically significant differences were found in the ST and PV factors. The men presented higher scores in ST and lower scores in PV compared to the women. The effect sizes were weak and moderate, respectively (Cohen, 2013).</w:t>
      </w:r>
    </w:p>
    <w:p w14:paraId="5C13A650" w14:textId="77777777" w:rsidR="000B505F" w:rsidRDefault="00000000">
      <w:pPr>
        <w:shd w:val="clear" w:color="auto" w:fill="FFFFFF"/>
        <w:spacing w:line="360" w:lineRule="auto"/>
        <w:ind w:firstLine="0"/>
        <w:rPr>
          <w:b/>
          <w:color w:val="000000"/>
        </w:rPr>
      </w:pPr>
      <w:r>
        <w:rPr>
          <w:b/>
          <w:color w:val="000000"/>
        </w:rPr>
        <w:t>Table 4</w:t>
      </w:r>
    </w:p>
    <w:p w14:paraId="78E0409F" w14:textId="77777777" w:rsidR="000B505F" w:rsidRDefault="000B505F">
      <w:pPr>
        <w:shd w:val="clear" w:color="auto" w:fill="FFFFFF"/>
        <w:spacing w:line="360" w:lineRule="auto"/>
        <w:ind w:firstLine="0"/>
        <w:rPr>
          <w:b/>
          <w:color w:val="000000"/>
        </w:rPr>
      </w:pPr>
    </w:p>
    <w:p w14:paraId="4E1C13BD" w14:textId="77777777" w:rsidR="000B505F" w:rsidRDefault="00000000">
      <w:pPr>
        <w:shd w:val="clear" w:color="auto" w:fill="FFFFFF"/>
        <w:spacing w:line="360" w:lineRule="auto"/>
        <w:ind w:firstLine="0"/>
        <w:rPr>
          <w:i/>
          <w:color w:val="000000"/>
        </w:rPr>
      </w:pPr>
      <w:r>
        <w:rPr>
          <w:i/>
          <w:color w:val="000000"/>
        </w:rPr>
        <w:t xml:space="preserve">Mann-Whitney U Test between men and women in the MWRB Factors </w:t>
      </w:r>
    </w:p>
    <w:tbl>
      <w:tblPr>
        <w:tblStyle w:val="a2"/>
        <w:tblW w:w="7470" w:type="dxa"/>
        <w:tblInd w:w="0" w:type="dxa"/>
        <w:tblLayout w:type="fixed"/>
        <w:tblLook w:val="0400" w:firstRow="0" w:lastRow="0" w:firstColumn="0" w:lastColumn="0" w:noHBand="0" w:noVBand="1"/>
      </w:tblPr>
      <w:tblGrid>
        <w:gridCol w:w="645"/>
        <w:gridCol w:w="105"/>
        <w:gridCol w:w="105"/>
        <w:gridCol w:w="105"/>
        <w:gridCol w:w="105"/>
        <w:gridCol w:w="105"/>
        <w:gridCol w:w="1620"/>
        <w:gridCol w:w="105"/>
        <w:gridCol w:w="105"/>
        <w:gridCol w:w="105"/>
        <w:gridCol w:w="105"/>
        <w:gridCol w:w="105"/>
        <w:gridCol w:w="105"/>
        <w:gridCol w:w="1320"/>
        <w:gridCol w:w="105"/>
        <w:gridCol w:w="105"/>
        <w:gridCol w:w="105"/>
        <w:gridCol w:w="105"/>
        <w:gridCol w:w="135"/>
        <w:gridCol w:w="2175"/>
      </w:tblGrid>
      <w:tr w:rsidR="000B505F" w14:paraId="7032499B" w14:textId="77777777">
        <w:tc>
          <w:tcPr>
            <w:tcW w:w="645" w:type="dxa"/>
            <w:tcBorders>
              <w:top w:val="single" w:sz="4" w:space="0" w:color="000000"/>
              <w:bottom w:val="single" w:sz="4" w:space="0" w:color="000000"/>
            </w:tcBorders>
            <w:vAlign w:val="center"/>
          </w:tcPr>
          <w:p w14:paraId="262E1CCB" w14:textId="77777777" w:rsidR="000B505F" w:rsidRDefault="00000000">
            <w:pPr>
              <w:shd w:val="clear" w:color="auto" w:fill="FFFFFF"/>
              <w:spacing w:after="120" w:line="360" w:lineRule="auto"/>
              <w:ind w:firstLine="0"/>
              <w:rPr>
                <w:color w:val="000000"/>
              </w:rPr>
            </w:pPr>
            <w:r>
              <w:rPr>
                <w:color w:val="000000"/>
              </w:rPr>
              <w:t>Factor</w:t>
            </w:r>
          </w:p>
        </w:tc>
        <w:tc>
          <w:tcPr>
            <w:tcW w:w="105" w:type="dxa"/>
            <w:tcBorders>
              <w:top w:val="single" w:sz="4" w:space="0" w:color="000000"/>
              <w:bottom w:val="single" w:sz="4" w:space="0" w:color="000000"/>
            </w:tcBorders>
          </w:tcPr>
          <w:p w14:paraId="52135722" w14:textId="77777777" w:rsidR="000B505F" w:rsidRDefault="000B505F">
            <w:pPr>
              <w:shd w:val="clear" w:color="auto" w:fill="FFFFFF"/>
              <w:spacing w:after="120" w:line="360" w:lineRule="auto"/>
              <w:ind w:firstLine="0"/>
              <w:jc w:val="center"/>
              <w:rPr>
                <w:color w:val="000000"/>
              </w:rPr>
            </w:pPr>
          </w:p>
        </w:tc>
        <w:tc>
          <w:tcPr>
            <w:tcW w:w="105" w:type="dxa"/>
            <w:tcBorders>
              <w:top w:val="single" w:sz="4" w:space="0" w:color="000000"/>
              <w:bottom w:val="single" w:sz="4" w:space="0" w:color="000000"/>
            </w:tcBorders>
          </w:tcPr>
          <w:p w14:paraId="4B02A6D1" w14:textId="77777777" w:rsidR="000B505F" w:rsidRDefault="000B505F">
            <w:pPr>
              <w:shd w:val="clear" w:color="auto" w:fill="FFFFFF"/>
              <w:spacing w:after="120" w:line="360" w:lineRule="auto"/>
              <w:ind w:firstLine="0"/>
              <w:jc w:val="center"/>
              <w:rPr>
                <w:color w:val="000000"/>
              </w:rPr>
            </w:pPr>
          </w:p>
        </w:tc>
        <w:tc>
          <w:tcPr>
            <w:tcW w:w="105" w:type="dxa"/>
            <w:tcBorders>
              <w:top w:val="single" w:sz="4" w:space="0" w:color="000000"/>
              <w:bottom w:val="single" w:sz="4" w:space="0" w:color="000000"/>
            </w:tcBorders>
          </w:tcPr>
          <w:p w14:paraId="3FC6763E" w14:textId="77777777" w:rsidR="000B505F" w:rsidRDefault="000B505F">
            <w:pPr>
              <w:shd w:val="clear" w:color="auto" w:fill="FFFFFF"/>
              <w:spacing w:after="120" w:line="360" w:lineRule="auto"/>
              <w:ind w:firstLine="0"/>
              <w:jc w:val="center"/>
              <w:rPr>
                <w:color w:val="000000"/>
              </w:rPr>
            </w:pPr>
          </w:p>
        </w:tc>
        <w:tc>
          <w:tcPr>
            <w:tcW w:w="105" w:type="dxa"/>
            <w:tcBorders>
              <w:top w:val="single" w:sz="4" w:space="0" w:color="000000"/>
              <w:bottom w:val="single" w:sz="4" w:space="0" w:color="000000"/>
            </w:tcBorders>
          </w:tcPr>
          <w:p w14:paraId="3BB30BF4" w14:textId="77777777" w:rsidR="000B505F" w:rsidRDefault="000B505F">
            <w:pPr>
              <w:shd w:val="clear" w:color="auto" w:fill="FFFFFF"/>
              <w:spacing w:after="120" w:line="360" w:lineRule="auto"/>
              <w:ind w:firstLine="0"/>
              <w:jc w:val="center"/>
              <w:rPr>
                <w:color w:val="000000"/>
              </w:rPr>
            </w:pPr>
          </w:p>
        </w:tc>
        <w:tc>
          <w:tcPr>
            <w:tcW w:w="105" w:type="dxa"/>
            <w:tcBorders>
              <w:top w:val="single" w:sz="4" w:space="0" w:color="000000"/>
              <w:bottom w:val="single" w:sz="4" w:space="0" w:color="000000"/>
            </w:tcBorders>
          </w:tcPr>
          <w:p w14:paraId="5EDE6AE7" w14:textId="77777777" w:rsidR="000B505F" w:rsidRDefault="000B505F">
            <w:pPr>
              <w:shd w:val="clear" w:color="auto" w:fill="FFFFFF"/>
              <w:spacing w:after="120" w:line="360" w:lineRule="auto"/>
              <w:ind w:firstLine="0"/>
              <w:jc w:val="center"/>
              <w:rPr>
                <w:color w:val="000000"/>
              </w:rPr>
            </w:pPr>
          </w:p>
        </w:tc>
        <w:tc>
          <w:tcPr>
            <w:tcW w:w="1620" w:type="dxa"/>
            <w:tcBorders>
              <w:top w:val="single" w:sz="4" w:space="0" w:color="000000"/>
              <w:bottom w:val="single" w:sz="4" w:space="0" w:color="000000"/>
            </w:tcBorders>
            <w:vAlign w:val="center"/>
          </w:tcPr>
          <w:p w14:paraId="15B802E7" w14:textId="77777777" w:rsidR="000B505F" w:rsidRDefault="00000000">
            <w:pPr>
              <w:shd w:val="clear" w:color="auto" w:fill="FFFFFF"/>
              <w:spacing w:after="120" w:line="360" w:lineRule="auto"/>
              <w:ind w:firstLine="0"/>
              <w:jc w:val="center"/>
              <w:rPr>
                <w:color w:val="000000"/>
              </w:rPr>
            </w:pPr>
            <w:r>
              <w:rPr>
                <w:color w:val="000000"/>
              </w:rPr>
              <w:t>Mann-</w:t>
            </w:r>
            <w:proofErr w:type="gramStart"/>
            <w:r>
              <w:rPr>
                <w:color w:val="000000"/>
              </w:rPr>
              <w:t xml:space="preserve">Whitney  </w:t>
            </w:r>
            <w:r>
              <w:rPr>
                <w:i/>
                <w:color w:val="000000"/>
              </w:rPr>
              <w:t>U</w:t>
            </w:r>
            <w:proofErr w:type="gramEnd"/>
          </w:p>
        </w:tc>
        <w:tc>
          <w:tcPr>
            <w:tcW w:w="105" w:type="dxa"/>
            <w:tcBorders>
              <w:top w:val="single" w:sz="4" w:space="0" w:color="000000"/>
              <w:bottom w:val="single" w:sz="4" w:space="0" w:color="000000"/>
            </w:tcBorders>
          </w:tcPr>
          <w:p w14:paraId="4F54095F" w14:textId="77777777" w:rsidR="000B505F" w:rsidRDefault="000B505F">
            <w:pPr>
              <w:shd w:val="clear" w:color="auto" w:fill="FFFFFF"/>
              <w:spacing w:after="120" w:line="360" w:lineRule="auto"/>
              <w:ind w:firstLine="0"/>
              <w:jc w:val="center"/>
              <w:rPr>
                <w:i/>
                <w:color w:val="000000"/>
              </w:rPr>
            </w:pPr>
          </w:p>
        </w:tc>
        <w:tc>
          <w:tcPr>
            <w:tcW w:w="105" w:type="dxa"/>
            <w:tcBorders>
              <w:top w:val="single" w:sz="4" w:space="0" w:color="000000"/>
              <w:bottom w:val="single" w:sz="4" w:space="0" w:color="000000"/>
            </w:tcBorders>
          </w:tcPr>
          <w:p w14:paraId="65F856DA" w14:textId="77777777" w:rsidR="000B505F" w:rsidRDefault="000B505F">
            <w:pPr>
              <w:shd w:val="clear" w:color="auto" w:fill="FFFFFF"/>
              <w:spacing w:after="120" w:line="360" w:lineRule="auto"/>
              <w:ind w:firstLine="0"/>
              <w:jc w:val="center"/>
              <w:rPr>
                <w:i/>
                <w:color w:val="000000"/>
              </w:rPr>
            </w:pPr>
          </w:p>
        </w:tc>
        <w:tc>
          <w:tcPr>
            <w:tcW w:w="105" w:type="dxa"/>
            <w:tcBorders>
              <w:top w:val="single" w:sz="4" w:space="0" w:color="000000"/>
              <w:bottom w:val="single" w:sz="4" w:space="0" w:color="000000"/>
            </w:tcBorders>
          </w:tcPr>
          <w:p w14:paraId="0328E521" w14:textId="77777777" w:rsidR="000B505F" w:rsidRDefault="000B505F">
            <w:pPr>
              <w:shd w:val="clear" w:color="auto" w:fill="FFFFFF"/>
              <w:spacing w:after="120" w:line="360" w:lineRule="auto"/>
              <w:ind w:firstLine="0"/>
              <w:jc w:val="center"/>
              <w:rPr>
                <w:i/>
                <w:color w:val="000000"/>
              </w:rPr>
            </w:pPr>
          </w:p>
        </w:tc>
        <w:tc>
          <w:tcPr>
            <w:tcW w:w="105" w:type="dxa"/>
            <w:tcBorders>
              <w:top w:val="single" w:sz="4" w:space="0" w:color="000000"/>
              <w:bottom w:val="single" w:sz="4" w:space="0" w:color="000000"/>
            </w:tcBorders>
          </w:tcPr>
          <w:p w14:paraId="52EAE719" w14:textId="77777777" w:rsidR="000B505F" w:rsidRDefault="000B505F">
            <w:pPr>
              <w:shd w:val="clear" w:color="auto" w:fill="FFFFFF"/>
              <w:spacing w:after="120" w:line="360" w:lineRule="auto"/>
              <w:ind w:firstLine="0"/>
              <w:jc w:val="center"/>
              <w:rPr>
                <w:i/>
                <w:color w:val="000000"/>
              </w:rPr>
            </w:pPr>
          </w:p>
        </w:tc>
        <w:tc>
          <w:tcPr>
            <w:tcW w:w="105" w:type="dxa"/>
            <w:tcBorders>
              <w:top w:val="single" w:sz="4" w:space="0" w:color="000000"/>
              <w:bottom w:val="single" w:sz="4" w:space="0" w:color="000000"/>
            </w:tcBorders>
          </w:tcPr>
          <w:p w14:paraId="18B08832" w14:textId="77777777" w:rsidR="000B505F" w:rsidRDefault="000B505F">
            <w:pPr>
              <w:shd w:val="clear" w:color="auto" w:fill="FFFFFF"/>
              <w:spacing w:after="120" w:line="360" w:lineRule="auto"/>
              <w:ind w:firstLine="0"/>
              <w:jc w:val="center"/>
              <w:rPr>
                <w:i/>
                <w:color w:val="000000"/>
              </w:rPr>
            </w:pPr>
          </w:p>
        </w:tc>
        <w:tc>
          <w:tcPr>
            <w:tcW w:w="105" w:type="dxa"/>
            <w:tcBorders>
              <w:top w:val="single" w:sz="4" w:space="0" w:color="000000"/>
              <w:bottom w:val="single" w:sz="4" w:space="0" w:color="000000"/>
            </w:tcBorders>
          </w:tcPr>
          <w:p w14:paraId="4765B60A" w14:textId="77777777" w:rsidR="000B505F" w:rsidRDefault="000B505F">
            <w:pPr>
              <w:shd w:val="clear" w:color="auto" w:fill="FFFFFF"/>
              <w:spacing w:after="120" w:line="360" w:lineRule="auto"/>
              <w:ind w:firstLine="0"/>
              <w:jc w:val="center"/>
              <w:rPr>
                <w:i/>
                <w:color w:val="000000"/>
              </w:rPr>
            </w:pPr>
          </w:p>
        </w:tc>
        <w:tc>
          <w:tcPr>
            <w:tcW w:w="1320" w:type="dxa"/>
            <w:tcBorders>
              <w:top w:val="single" w:sz="4" w:space="0" w:color="000000"/>
              <w:bottom w:val="single" w:sz="4" w:space="0" w:color="000000"/>
            </w:tcBorders>
            <w:vAlign w:val="center"/>
          </w:tcPr>
          <w:p w14:paraId="2405693D" w14:textId="77777777" w:rsidR="000B505F" w:rsidRDefault="00000000">
            <w:pPr>
              <w:shd w:val="clear" w:color="auto" w:fill="FFFFFF"/>
              <w:spacing w:after="120" w:line="360" w:lineRule="auto"/>
              <w:ind w:firstLine="0"/>
              <w:jc w:val="center"/>
              <w:rPr>
                <w:color w:val="000000"/>
              </w:rPr>
            </w:pPr>
            <w:r>
              <w:rPr>
                <w:i/>
                <w:color w:val="000000"/>
              </w:rPr>
              <w:t>p</w:t>
            </w:r>
          </w:p>
        </w:tc>
        <w:tc>
          <w:tcPr>
            <w:tcW w:w="105" w:type="dxa"/>
            <w:tcBorders>
              <w:top w:val="single" w:sz="4" w:space="0" w:color="000000"/>
              <w:bottom w:val="single" w:sz="4" w:space="0" w:color="000000"/>
            </w:tcBorders>
          </w:tcPr>
          <w:p w14:paraId="7EA30733" w14:textId="77777777" w:rsidR="000B505F" w:rsidRDefault="000B505F">
            <w:pPr>
              <w:shd w:val="clear" w:color="auto" w:fill="FFFFFF"/>
              <w:spacing w:after="120" w:line="360" w:lineRule="auto"/>
              <w:ind w:firstLine="0"/>
              <w:jc w:val="center"/>
              <w:rPr>
                <w:color w:val="000000"/>
              </w:rPr>
            </w:pPr>
          </w:p>
        </w:tc>
        <w:tc>
          <w:tcPr>
            <w:tcW w:w="105" w:type="dxa"/>
            <w:tcBorders>
              <w:top w:val="single" w:sz="4" w:space="0" w:color="000000"/>
              <w:bottom w:val="single" w:sz="4" w:space="0" w:color="000000"/>
            </w:tcBorders>
          </w:tcPr>
          <w:p w14:paraId="4F5818A7" w14:textId="77777777" w:rsidR="000B505F" w:rsidRDefault="000B505F">
            <w:pPr>
              <w:shd w:val="clear" w:color="auto" w:fill="FFFFFF"/>
              <w:spacing w:after="120" w:line="360" w:lineRule="auto"/>
              <w:ind w:firstLine="0"/>
              <w:jc w:val="center"/>
              <w:rPr>
                <w:color w:val="000000"/>
              </w:rPr>
            </w:pPr>
          </w:p>
        </w:tc>
        <w:tc>
          <w:tcPr>
            <w:tcW w:w="105" w:type="dxa"/>
            <w:tcBorders>
              <w:top w:val="single" w:sz="4" w:space="0" w:color="000000"/>
              <w:bottom w:val="single" w:sz="4" w:space="0" w:color="000000"/>
            </w:tcBorders>
          </w:tcPr>
          <w:p w14:paraId="01B69284" w14:textId="77777777" w:rsidR="000B505F" w:rsidRDefault="000B505F">
            <w:pPr>
              <w:shd w:val="clear" w:color="auto" w:fill="FFFFFF"/>
              <w:spacing w:after="120" w:line="360" w:lineRule="auto"/>
              <w:ind w:firstLine="0"/>
              <w:jc w:val="center"/>
              <w:rPr>
                <w:color w:val="000000"/>
              </w:rPr>
            </w:pPr>
          </w:p>
        </w:tc>
        <w:tc>
          <w:tcPr>
            <w:tcW w:w="105" w:type="dxa"/>
            <w:tcBorders>
              <w:top w:val="single" w:sz="4" w:space="0" w:color="000000"/>
              <w:bottom w:val="single" w:sz="4" w:space="0" w:color="000000"/>
            </w:tcBorders>
          </w:tcPr>
          <w:p w14:paraId="541F8F3E" w14:textId="77777777" w:rsidR="000B505F" w:rsidRDefault="000B505F">
            <w:pPr>
              <w:shd w:val="clear" w:color="auto" w:fill="FFFFFF"/>
              <w:spacing w:after="120" w:line="360" w:lineRule="auto"/>
              <w:ind w:firstLine="0"/>
              <w:jc w:val="center"/>
              <w:rPr>
                <w:color w:val="000000"/>
              </w:rPr>
            </w:pPr>
          </w:p>
        </w:tc>
        <w:tc>
          <w:tcPr>
            <w:tcW w:w="135" w:type="dxa"/>
            <w:tcBorders>
              <w:top w:val="single" w:sz="4" w:space="0" w:color="000000"/>
              <w:bottom w:val="single" w:sz="4" w:space="0" w:color="000000"/>
            </w:tcBorders>
          </w:tcPr>
          <w:p w14:paraId="59C72DB1" w14:textId="77777777" w:rsidR="000B505F" w:rsidRDefault="000B505F">
            <w:pPr>
              <w:shd w:val="clear" w:color="auto" w:fill="FFFFFF"/>
              <w:spacing w:after="120" w:line="360" w:lineRule="auto"/>
              <w:ind w:firstLine="0"/>
              <w:jc w:val="center"/>
              <w:rPr>
                <w:color w:val="000000"/>
              </w:rPr>
            </w:pPr>
          </w:p>
        </w:tc>
        <w:tc>
          <w:tcPr>
            <w:tcW w:w="2175" w:type="dxa"/>
            <w:tcBorders>
              <w:top w:val="single" w:sz="4" w:space="0" w:color="000000"/>
              <w:bottom w:val="single" w:sz="4" w:space="0" w:color="000000"/>
            </w:tcBorders>
            <w:vAlign w:val="center"/>
          </w:tcPr>
          <w:p w14:paraId="4930CCEC" w14:textId="77777777" w:rsidR="000B505F" w:rsidRDefault="00000000">
            <w:pPr>
              <w:shd w:val="clear" w:color="auto" w:fill="FFFFFF"/>
              <w:spacing w:after="120" w:line="360" w:lineRule="auto"/>
              <w:ind w:firstLine="0"/>
              <w:jc w:val="center"/>
              <w:rPr>
                <w:color w:val="000000"/>
              </w:rPr>
            </w:pPr>
            <w:r>
              <w:rPr>
                <w:color w:val="000000"/>
              </w:rPr>
              <w:t>Biserial Correlation Coefficient</w:t>
            </w:r>
          </w:p>
        </w:tc>
      </w:tr>
      <w:tr w:rsidR="000B505F" w14:paraId="1E4B7EC4" w14:textId="77777777">
        <w:tc>
          <w:tcPr>
            <w:tcW w:w="645" w:type="dxa"/>
            <w:tcBorders>
              <w:top w:val="single" w:sz="4" w:space="0" w:color="000000"/>
            </w:tcBorders>
            <w:vAlign w:val="center"/>
          </w:tcPr>
          <w:p w14:paraId="543EB146" w14:textId="77777777" w:rsidR="000B505F" w:rsidRDefault="00000000">
            <w:pPr>
              <w:shd w:val="clear" w:color="auto" w:fill="FFFFFF"/>
              <w:spacing w:after="120" w:line="360" w:lineRule="auto"/>
              <w:ind w:firstLine="0"/>
              <w:rPr>
                <w:color w:val="000000"/>
              </w:rPr>
            </w:pPr>
            <w:r>
              <w:t>ST</w:t>
            </w:r>
          </w:p>
        </w:tc>
        <w:tc>
          <w:tcPr>
            <w:tcW w:w="105" w:type="dxa"/>
            <w:tcBorders>
              <w:top w:val="single" w:sz="4" w:space="0" w:color="000000"/>
            </w:tcBorders>
          </w:tcPr>
          <w:p w14:paraId="0423AEEA" w14:textId="77777777" w:rsidR="000B505F" w:rsidRDefault="000B505F">
            <w:pPr>
              <w:shd w:val="clear" w:color="auto" w:fill="FFFFFF"/>
              <w:spacing w:after="120" w:line="360" w:lineRule="auto"/>
              <w:ind w:firstLine="0"/>
              <w:jc w:val="center"/>
              <w:rPr>
                <w:color w:val="000000"/>
              </w:rPr>
            </w:pPr>
          </w:p>
        </w:tc>
        <w:tc>
          <w:tcPr>
            <w:tcW w:w="105" w:type="dxa"/>
            <w:tcBorders>
              <w:top w:val="single" w:sz="4" w:space="0" w:color="000000"/>
            </w:tcBorders>
          </w:tcPr>
          <w:p w14:paraId="67F9EA5F" w14:textId="77777777" w:rsidR="000B505F" w:rsidRDefault="000B505F">
            <w:pPr>
              <w:shd w:val="clear" w:color="auto" w:fill="FFFFFF"/>
              <w:spacing w:after="120" w:line="360" w:lineRule="auto"/>
              <w:ind w:firstLine="0"/>
              <w:jc w:val="center"/>
              <w:rPr>
                <w:color w:val="000000"/>
              </w:rPr>
            </w:pPr>
          </w:p>
        </w:tc>
        <w:tc>
          <w:tcPr>
            <w:tcW w:w="105" w:type="dxa"/>
            <w:tcBorders>
              <w:top w:val="single" w:sz="4" w:space="0" w:color="000000"/>
            </w:tcBorders>
          </w:tcPr>
          <w:p w14:paraId="79A13485" w14:textId="77777777" w:rsidR="000B505F" w:rsidRDefault="000B505F">
            <w:pPr>
              <w:shd w:val="clear" w:color="auto" w:fill="FFFFFF"/>
              <w:spacing w:after="120" w:line="360" w:lineRule="auto"/>
              <w:ind w:firstLine="0"/>
              <w:jc w:val="center"/>
              <w:rPr>
                <w:color w:val="000000"/>
              </w:rPr>
            </w:pPr>
          </w:p>
        </w:tc>
        <w:tc>
          <w:tcPr>
            <w:tcW w:w="105" w:type="dxa"/>
            <w:tcBorders>
              <w:top w:val="single" w:sz="4" w:space="0" w:color="000000"/>
            </w:tcBorders>
          </w:tcPr>
          <w:p w14:paraId="3868D5BE" w14:textId="77777777" w:rsidR="000B505F" w:rsidRDefault="000B505F">
            <w:pPr>
              <w:shd w:val="clear" w:color="auto" w:fill="FFFFFF"/>
              <w:spacing w:after="120" w:line="360" w:lineRule="auto"/>
              <w:ind w:firstLine="0"/>
              <w:jc w:val="center"/>
              <w:rPr>
                <w:color w:val="000000"/>
              </w:rPr>
            </w:pPr>
          </w:p>
        </w:tc>
        <w:tc>
          <w:tcPr>
            <w:tcW w:w="105" w:type="dxa"/>
            <w:tcBorders>
              <w:top w:val="single" w:sz="4" w:space="0" w:color="000000"/>
            </w:tcBorders>
          </w:tcPr>
          <w:p w14:paraId="28DCA494" w14:textId="77777777" w:rsidR="000B505F" w:rsidRDefault="000B505F">
            <w:pPr>
              <w:shd w:val="clear" w:color="auto" w:fill="FFFFFF"/>
              <w:spacing w:after="120" w:line="360" w:lineRule="auto"/>
              <w:ind w:firstLine="0"/>
              <w:jc w:val="center"/>
              <w:rPr>
                <w:color w:val="000000"/>
              </w:rPr>
            </w:pPr>
          </w:p>
        </w:tc>
        <w:tc>
          <w:tcPr>
            <w:tcW w:w="1620" w:type="dxa"/>
            <w:tcBorders>
              <w:top w:val="single" w:sz="4" w:space="0" w:color="000000"/>
            </w:tcBorders>
            <w:vAlign w:val="center"/>
          </w:tcPr>
          <w:p w14:paraId="33A29157" w14:textId="77777777" w:rsidR="000B505F" w:rsidRDefault="00000000">
            <w:pPr>
              <w:shd w:val="clear" w:color="auto" w:fill="FFFFFF"/>
              <w:spacing w:after="120" w:line="360" w:lineRule="auto"/>
              <w:ind w:firstLine="0"/>
              <w:jc w:val="center"/>
              <w:rPr>
                <w:color w:val="000000"/>
              </w:rPr>
            </w:pPr>
            <w:r>
              <w:t>23113</w:t>
            </w:r>
          </w:p>
        </w:tc>
        <w:tc>
          <w:tcPr>
            <w:tcW w:w="105" w:type="dxa"/>
            <w:tcBorders>
              <w:top w:val="single" w:sz="4" w:space="0" w:color="000000"/>
            </w:tcBorders>
          </w:tcPr>
          <w:p w14:paraId="7EAE8CB2" w14:textId="77777777" w:rsidR="000B505F" w:rsidRDefault="000B505F">
            <w:pPr>
              <w:shd w:val="clear" w:color="auto" w:fill="FFFFFF"/>
              <w:spacing w:after="120" w:line="360" w:lineRule="auto"/>
              <w:ind w:firstLine="0"/>
              <w:jc w:val="center"/>
              <w:rPr>
                <w:color w:val="000000"/>
              </w:rPr>
            </w:pPr>
          </w:p>
        </w:tc>
        <w:tc>
          <w:tcPr>
            <w:tcW w:w="105" w:type="dxa"/>
            <w:tcBorders>
              <w:top w:val="single" w:sz="4" w:space="0" w:color="000000"/>
            </w:tcBorders>
          </w:tcPr>
          <w:p w14:paraId="09587D8E" w14:textId="77777777" w:rsidR="000B505F" w:rsidRDefault="000B505F">
            <w:pPr>
              <w:shd w:val="clear" w:color="auto" w:fill="FFFFFF"/>
              <w:spacing w:after="120" w:line="360" w:lineRule="auto"/>
              <w:ind w:firstLine="0"/>
              <w:jc w:val="center"/>
              <w:rPr>
                <w:color w:val="000000"/>
              </w:rPr>
            </w:pPr>
          </w:p>
        </w:tc>
        <w:tc>
          <w:tcPr>
            <w:tcW w:w="105" w:type="dxa"/>
            <w:tcBorders>
              <w:top w:val="single" w:sz="4" w:space="0" w:color="000000"/>
            </w:tcBorders>
          </w:tcPr>
          <w:p w14:paraId="22D571DA" w14:textId="77777777" w:rsidR="000B505F" w:rsidRDefault="000B505F">
            <w:pPr>
              <w:shd w:val="clear" w:color="auto" w:fill="FFFFFF"/>
              <w:spacing w:after="120" w:line="360" w:lineRule="auto"/>
              <w:ind w:firstLine="0"/>
              <w:jc w:val="center"/>
              <w:rPr>
                <w:color w:val="000000"/>
              </w:rPr>
            </w:pPr>
          </w:p>
        </w:tc>
        <w:tc>
          <w:tcPr>
            <w:tcW w:w="105" w:type="dxa"/>
            <w:tcBorders>
              <w:top w:val="single" w:sz="4" w:space="0" w:color="000000"/>
            </w:tcBorders>
          </w:tcPr>
          <w:p w14:paraId="717D73B0" w14:textId="77777777" w:rsidR="000B505F" w:rsidRDefault="000B505F">
            <w:pPr>
              <w:shd w:val="clear" w:color="auto" w:fill="FFFFFF"/>
              <w:spacing w:after="120" w:line="360" w:lineRule="auto"/>
              <w:ind w:firstLine="0"/>
              <w:jc w:val="center"/>
              <w:rPr>
                <w:color w:val="000000"/>
              </w:rPr>
            </w:pPr>
          </w:p>
        </w:tc>
        <w:tc>
          <w:tcPr>
            <w:tcW w:w="105" w:type="dxa"/>
            <w:tcBorders>
              <w:top w:val="single" w:sz="4" w:space="0" w:color="000000"/>
            </w:tcBorders>
          </w:tcPr>
          <w:p w14:paraId="74CC0951" w14:textId="77777777" w:rsidR="000B505F" w:rsidRDefault="000B505F">
            <w:pPr>
              <w:shd w:val="clear" w:color="auto" w:fill="FFFFFF"/>
              <w:spacing w:after="120" w:line="360" w:lineRule="auto"/>
              <w:ind w:firstLine="0"/>
              <w:jc w:val="center"/>
              <w:rPr>
                <w:color w:val="000000"/>
              </w:rPr>
            </w:pPr>
          </w:p>
        </w:tc>
        <w:tc>
          <w:tcPr>
            <w:tcW w:w="105" w:type="dxa"/>
            <w:tcBorders>
              <w:top w:val="single" w:sz="4" w:space="0" w:color="000000"/>
            </w:tcBorders>
          </w:tcPr>
          <w:p w14:paraId="528E554C" w14:textId="77777777" w:rsidR="000B505F" w:rsidRDefault="000B505F">
            <w:pPr>
              <w:shd w:val="clear" w:color="auto" w:fill="FFFFFF"/>
              <w:spacing w:after="120" w:line="360" w:lineRule="auto"/>
              <w:ind w:firstLine="0"/>
              <w:jc w:val="center"/>
              <w:rPr>
                <w:color w:val="000000"/>
              </w:rPr>
            </w:pPr>
          </w:p>
        </w:tc>
        <w:tc>
          <w:tcPr>
            <w:tcW w:w="1320" w:type="dxa"/>
            <w:tcBorders>
              <w:top w:val="single" w:sz="4" w:space="0" w:color="000000"/>
            </w:tcBorders>
            <w:vAlign w:val="center"/>
          </w:tcPr>
          <w:p w14:paraId="396B1B9A" w14:textId="77777777" w:rsidR="000B505F" w:rsidRDefault="00000000">
            <w:pPr>
              <w:shd w:val="clear" w:color="auto" w:fill="FFFFFF"/>
              <w:spacing w:after="120" w:line="360" w:lineRule="auto"/>
              <w:ind w:firstLine="0"/>
              <w:jc w:val="center"/>
              <w:rPr>
                <w:color w:val="000000"/>
              </w:rPr>
            </w:pPr>
            <w:r>
              <w:t>&lt;0.001*</w:t>
            </w:r>
          </w:p>
        </w:tc>
        <w:tc>
          <w:tcPr>
            <w:tcW w:w="105" w:type="dxa"/>
            <w:tcBorders>
              <w:top w:val="single" w:sz="4" w:space="0" w:color="000000"/>
            </w:tcBorders>
          </w:tcPr>
          <w:p w14:paraId="5D0EB85D" w14:textId="77777777" w:rsidR="000B505F" w:rsidRDefault="000B505F">
            <w:pPr>
              <w:shd w:val="clear" w:color="auto" w:fill="FFFFFF"/>
              <w:spacing w:after="120" w:line="360" w:lineRule="auto"/>
              <w:ind w:firstLine="0"/>
              <w:jc w:val="center"/>
              <w:rPr>
                <w:color w:val="000000"/>
              </w:rPr>
            </w:pPr>
          </w:p>
        </w:tc>
        <w:tc>
          <w:tcPr>
            <w:tcW w:w="105" w:type="dxa"/>
            <w:tcBorders>
              <w:top w:val="single" w:sz="4" w:space="0" w:color="000000"/>
            </w:tcBorders>
          </w:tcPr>
          <w:p w14:paraId="18C3A453" w14:textId="77777777" w:rsidR="000B505F" w:rsidRDefault="000B505F">
            <w:pPr>
              <w:shd w:val="clear" w:color="auto" w:fill="FFFFFF"/>
              <w:spacing w:after="120" w:line="360" w:lineRule="auto"/>
              <w:ind w:firstLine="0"/>
              <w:jc w:val="center"/>
              <w:rPr>
                <w:color w:val="000000"/>
              </w:rPr>
            </w:pPr>
          </w:p>
        </w:tc>
        <w:tc>
          <w:tcPr>
            <w:tcW w:w="105" w:type="dxa"/>
            <w:tcBorders>
              <w:top w:val="single" w:sz="4" w:space="0" w:color="000000"/>
            </w:tcBorders>
          </w:tcPr>
          <w:p w14:paraId="2483C425" w14:textId="77777777" w:rsidR="000B505F" w:rsidRDefault="000B505F">
            <w:pPr>
              <w:shd w:val="clear" w:color="auto" w:fill="FFFFFF"/>
              <w:spacing w:after="120" w:line="360" w:lineRule="auto"/>
              <w:ind w:firstLine="0"/>
              <w:jc w:val="center"/>
              <w:rPr>
                <w:color w:val="000000"/>
              </w:rPr>
            </w:pPr>
          </w:p>
        </w:tc>
        <w:tc>
          <w:tcPr>
            <w:tcW w:w="105" w:type="dxa"/>
            <w:tcBorders>
              <w:top w:val="single" w:sz="4" w:space="0" w:color="000000"/>
            </w:tcBorders>
          </w:tcPr>
          <w:p w14:paraId="6E08778F" w14:textId="77777777" w:rsidR="000B505F" w:rsidRDefault="000B505F">
            <w:pPr>
              <w:shd w:val="clear" w:color="auto" w:fill="FFFFFF"/>
              <w:spacing w:after="120" w:line="360" w:lineRule="auto"/>
              <w:ind w:firstLine="0"/>
              <w:jc w:val="center"/>
              <w:rPr>
                <w:color w:val="000000"/>
              </w:rPr>
            </w:pPr>
          </w:p>
        </w:tc>
        <w:tc>
          <w:tcPr>
            <w:tcW w:w="135" w:type="dxa"/>
            <w:tcBorders>
              <w:top w:val="single" w:sz="4" w:space="0" w:color="000000"/>
            </w:tcBorders>
          </w:tcPr>
          <w:p w14:paraId="55DFAB06" w14:textId="77777777" w:rsidR="000B505F" w:rsidRDefault="000B505F">
            <w:pPr>
              <w:shd w:val="clear" w:color="auto" w:fill="FFFFFF"/>
              <w:spacing w:after="120" w:line="360" w:lineRule="auto"/>
              <w:ind w:firstLine="0"/>
              <w:jc w:val="center"/>
              <w:rPr>
                <w:color w:val="000000"/>
              </w:rPr>
            </w:pPr>
          </w:p>
        </w:tc>
        <w:tc>
          <w:tcPr>
            <w:tcW w:w="2175" w:type="dxa"/>
            <w:tcBorders>
              <w:top w:val="single" w:sz="4" w:space="0" w:color="000000"/>
            </w:tcBorders>
            <w:vAlign w:val="center"/>
          </w:tcPr>
          <w:p w14:paraId="00B0EB9C" w14:textId="77777777" w:rsidR="000B505F" w:rsidRDefault="00000000">
            <w:pPr>
              <w:shd w:val="clear" w:color="auto" w:fill="FFFFFF"/>
              <w:spacing w:after="120" w:line="360" w:lineRule="auto"/>
              <w:ind w:firstLine="0"/>
              <w:jc w:val="center"/>
              <w:rPr>
                <w:color w:val="000000"/>
              </w:rPr>
            </w:pPr>
            <w:r>
              <w:t>0.144</w:t>
            </w:r>
          </w:p>
        </w:tc>
      </w:tr>
      <w:tr w:rsidR="000B505F" w14:paraId="25C2A213" w14:textId="77777777">
        <w:tc>
          <w:tcPr>
            <w:tcW w:w="645" w:type="dxa"/>
            <w:vAlign w:val="center"/>
          </w:tcPr>
          <w:p w14:paraId="514AD66E" w14:textId="77777777" w:rsidR="000B505F" w:rsidRDefault="00000000">
            <w:pPr>
              <w:shd w:val="clear" w:color="auto" w:fill="FFFFFF"/>
              <w:spacing w:after="120" w:line="360" w:lineRule="auto"/>
              <w:ind w:firstLine="0"/>
              <w:rPr>
                <w:color w:val="000000"/>
              </w:rPr>
            </w:pPr>
            <w:r>
              <w:lastRenderedPageBreak/>
              <w:t>ET</w:t>
            </w:r>
          </w:p>
        </w:tc>
        <w:tc>
          <w:tcPr>
            <w:tcW w:w="105" w:type="dxa"/>
          </w:tcPr>
          <w:p w14:paraId="3F112C44" w14:textId="77777777" w:rsidR="000B505F" w:rsidRDefault="000B505F">
            <w:pPr>
              <w:shd w:val="clear" w:color="auto" w:fill="FFFFFF"/>
              <w:spacing w:after="120" w:line="360" w:lineRule="auto"/>
              <w:ind w:firstLine="0"/>
              <w:jc w:val="center"/>
              <w:rPr>
                <w:color w:val="000000"/>
              </w:rPr>
            </w:pPr>
          </w:p>
        </w:tc>
        <w:tc>
          <w:tcPr>
            <w:tcW w:w="105" w:type="dxa"/>
          </w:tcPr>
          <w:p w14:paraId="10DBF6E3" w14:textId="77777777" w:rsidR="000B505F" w:rsidRDefault="000B505F">
            <w:pPr>
              <w:shd w:val="clear" w:color="auto" w:fill="FFFFFF"/>
              <w:spacing w:after="120" w:line="360" w:lineRule="auto"/>
              <w:ind w:firstLine="0"/>
              <w:jc w:val="center"/>
              <w:rPr>
                <w:color w:val="000000"/>
              </w:rPr>
            </w:pPr>
          </w:p>
        </w:tc>
        <w:tc>
          <w:tcPr>
            <w:tcW w:w="105" w:type="dxa"/>
          </w:tcPr>
          <w:p w14:paraId="619B0F32" w14:textId="77777777" w:rsidR="000B505F" w:rsidRDefault="000B505F">
            <w:pPr>
              <w:shd w:val="clear" w:color="auto" w:fill="FFFFFF"/>
              <w:spacing w:after="120" w:line="360" w:lineRule="auto"/>
              <w:ind w:firstLine="0"/>
              <w:jc w:val="center"/>
              <w:rPr>
                <w:color w:val="000000"/>
              </w:rPr>
            </w:pPr>
          </w:p>
        </w:tc>
        <w:tc>
          <w:tcPr>
            <w:tcW w:w="105" w:type="dxa"/>
          </w:tcPr>
          <w:p w14:paraId="14A2DBDD" w14:textId="77777777" w:rsidR="000B505F" w:rsidRDefault="000B505F">
            <w:pPr>
              <w:shd w:val="clear" w:color="auto" w:fill="FFFFFF"/>
              <w:spacing w:after="120" w:line="360" w:lineRule="auto"/>
              <w:ind w:firstLine="0"/>
              <w:jc w:val="center"/>
              <w:rPr>
                <w:color w:val="000000"/>
              </w:rPr>
            </w:pPr>
          </w:p>
        </w:tc>
        <w:tc>
          <w:tcPr>
            <w:tcW w:w="105" w:type="dxa"/>
          </w:tcPr>
          <w:p w14:paraId="46D979F0" w14:textId="77777777" w:rsidR="000B505F" w:rsidRDefault="000B505F">
            <w:pPr>
              <w:shd w:val="clear" w:color="auto" w:fill="FFFFFF"/>
              <w:spacing w:after="120" w:line="360" w:lineRule="auto"/>
              <w:ind w:firstLine="0"/>
              <w:jc w:val="center"/>
              <w:rPr>
                <w:color w:val="000000"/>
              </w:rPr>
            </w:pPr>
          </w:p>
        </w:tc>
        <w:tc>
          <w:tcPr>
            <w:tcW w:w="1620" w:type="dxa"/>
            <w:vAlign w:val="center"/>
          </w:tcPr>
          <w:p w14:paraId="2027BF0F" w14:textId="77777777" w:rsidR="000B505F" w:rsidRDefault="00000000">
            <w:pPr>
              <w:shd w:val="clear" w:color="auto" w:fill="FFFFFF"/>
              <w:spacing w:after="120" w:line="360" w:lineRule="auto"/>
              <w:ind w:firstLine="0"/>
              <w:jc w:val="center"/>
              <w:rPr>
                <w:color w:val="000000"/>
              </w:rPr>
            </w:pPr>
            <w:r>
              <w:t>21179</w:t>
            </w:r>
          </w:p>
        </w:tc>
        <w:tc>
          <w:tcPr>
            <w:tcW w:w="105" w:type="dxa"/>
          </w:tcPr>
          <w:p w14:paraId="2FD9783E" w14:textId="77777777" w:rsidR="000B505F" w:rsidRDefault="000B505F">
            <w:pPr>
              <w:shd w:val="clear" w:color="auto" w:fill="FFFFFF"/>
              <w:spacing w:after="120" w:line="360" w:lineRule="auto"/>
              <w:ind w:firstLine="0"/>
              <w:jc w:val="center"/>
              <w:rPr>
                <w:color w:val="000000"/>
              </w:rPr>
            </w:pPr>
          </w:p>
        </w:tc>
        <w:tc>
          <w:tcPr>
            <w:tcW w:w="105" w:type="dxa"/>
          </w:tcPr>
          <w:p w14:paraId="44E6BB8A" w14:textId="77777777" w:rsidR="000B505F" w:rsidRDefault="000B505F">
            <w:pPr>
              <w:shd w:val="clear" w:color="auto" w:fill="FFFFFF"/>
              <w:spacing w:after="120" w:line="360" w:lineRule="auto"/>
              <w:ind w:firstLine="0"/>
              <w:jc w:val="center"/>
              <w:rPr>
                <w:color w:val="000000"/>
              </w:rPr>
            </w:pPr>
          </w:p>
        </w:tc>
        <w:tc>
          <w:tcPr>
            <w:tcW w:w="105" w:type="dxa"/>
          </w:tcPr>
          <w:p w14:paraId="62B56EE1" w14:textId="77777777" w:rsidR="000B505F" w:rsidRDefault="000B505F">
            <w:pPr>
              <w:shd w:val="clear" w:color="auto" w:fill="FFFFFF"/>
              <w:spacing w:after="120" w:line="360" w:lineRule="auto"/>
              <w:ind w:firstLine="0"/>
              <w:jc w:val="center"/>
              <w:rPr>
                <w:color w:val="000000"/>
              </w:rPr>
            </w:pPr>
          </w:p>
        </w:tc>
        <w:tc>
          <w:tcPr>
            <w:tcW w:w="105" w:type="dxa"/>
          </w:tcPr>
          <w:p w14:paraId="656B8E18" w14:textId="77777777" w:rsidR="000B505F" w:rsidRDefault="000B505F">
            <w:pPr>
              <w:shd w:val="clear" w:color="auto" w:fill="FFFFFF"/>
              <w:spacing w:after="120" w:line="360" w:lineRule="auto"/>
              <w:ind w:firstLine="0"/>
              <w:jc w:val="center"/>
              <w:rPr>
                <w:color w:val="000000"/>
              </w:rPr>
            </w:pPr>
          </w:p>
        </w:tc>
        <w:tc>
          <w:tcPr>
            <w:tcW w:w="105" w:type="dxa"/>
          </w:tcPr>
          <w:p w14:paraId="6A371F2F" w14:textId="77777777" w:rsidR="000B505F" w:rsidRDefault="000B505F">
            <w:pPr>
              <w:shd w:val="clear" w:color="auto" w:fill="FFFFFF"/>
              <w:spacing w:after="120" w:line="360" w:lineRule="auto"/>
              <w:ind w:firstLine="0"/>
              <w:jc w:val="center"/>
              <w:rPr>
                <w:color w:val="000000"/>
              </w:rPr>
            </w:pPr>
          </w:p>
        </w:tc>
        <w:tc>
          <w:tcPr>
            <w:tcW w:w="105" w:type="dxa"/>
          </w:tcPr>
          <w:p w14:paraId="5FB44090" w14:textId="77777777" w:rsidR="000B505F" w:rsidRDefault="000B505F">
            <w:pPr>
              <w:shd w:val="clear" w:color="auto" w:fill="FFFFFF"/>
              <w:spacing w:after="120" w:line="360" w:lineRule="auto"/>
              <w:ind w:firstLine="0"/>
              <w:jc w:val="center"/>
              <w:rPr>
                <w:color w:val="000000"/>
              </w:rPr>
            </w:pPr>
          </w:p>
        </w:tc>
        <w:tc>
          <w:tcPr>
            <w:tcW w:w="1320" w:type="dxa"/>
            <w:vAlign w:val="center"/>
          </w:tcPr>
          <w:p w14:paraId="211DC322" w14:textId="77777777" w:rsidR="000B505F" w:rsidRDefault="00000000">
            <w:pPr>
              <w:shd w:val="clear" w:color="auto" w:fill="FFFFFF"/>
              <w:spacing w:after="120" w:line="360" w:lineRule="auto"/>
              <w:ind w:firstLine="0"/>
              <w:jc w:val="center"/>
              <w:rPr>
                <w:color w:val="000000"/>
              </w:rPr>
            </w:pPr>
            <w:r>
              <w:t>&lt;0.35</w:t>
            </w:r>
          </w:p>
        </w:tc>
        <w:tc>
          <w:tcPr>
            <w:tcW w:w="105" w:type="dxa"/>
          </w:tcPr>
          <w:p w14:paraId="0DD3BBA2" w14:textId="77777777" w:rsidR="000B505F" w:rsidRDefault="000B505F">
            <w:pPr>
              <w:shd w:val="clear" w:color="auto" w:fill="FFFFFF"/>
              <w:spacing w:after="120" w:line="360" w:lineRule="auto"/>
              <w:ind w:firstLine="0"/>
              <w:jc w:val="center"/>
              <w:rPr>
                <w:color w:val="000000"/>
              </w:rPr>
            </w:pPr>
          </w:p>
        </w:tc>
        <w:tc>
          <w:tcPr>
            <w:tcW w:w="105" w:type="dxa"/>
          </w:tcPr>
          <w:p w14:paraId="0ED1E5E2" w14:textId="77777777" w:rsidR="000B505F" w:rsidRDefault="000B505F">
            <w:pPr>
              <w:shd w:val="clear" w:color="auto" w:fill="FFFFFF"/>
              <w:spacing w:after="120" w:line="360" w:lineRule="auto"/>
              <w:ind w:firstLine="0"/>
              <w:jc w:val="center"/>
              <w:rPr>
                <w:color w:val="000000"/>
              </w:rPr>
            </w:pPr>
          </w:p>
        </w:tc>
        <w:tc>
          <w:tcPr>
            <w:tcW w:w="105" w:type="dxa"/>
          </w:tcPr>
          <w:p w14:paraId="256CD323" w14:textId="77777777" w:rsidR="000B505F" w:rsidRDefault="000B505F">
            <w:pPr>
              <w:shd w:val="clear" w:color="auto" w:fill="FFFFFF"/>
              <w:spacing w:after="120" w:line="360" w:lineRule="auto"/>
              <w:ind w:firstLine="0"/>
              <w:jc w:val="center"/>
              <w:rPr>
                <w:color w:val="000000"/>
              </w:rPr>
            </w:pPr>
          </w:p>
        </w:tc>
        <w:tc>
          <w:tcPr>
            <w:tcW w:w="105" w:type="dxa"/>
          </w:tcPr>
          <w:p w14:paraId="5AECBCDB" w14:textId="77777777" w:rsidR="000B505F" w:rsidRDefault="000B505F">
            <w:pPr>
              <w:shd w:val="clear" w:color="auto" w:fill="FFFFFF"/>
              <w:spacing w:after="120" w:line="360" w:lineRule="auto"/>
              <w:ind w:firstLine="0"/>
              <w:jc w:val="center"/>
              <w:rPr>
                <w:color w:val="000000"/>
              </w:rPr>
            </w:pPr>
          </w:p>
        </w:tc>
        <w:tc>
          <w:tcPr>
            <w:tcW w:w="135" w:type="dxa"/>
          </w:tcPr>
          <w:p w14:paraId="471600EA" w14:textId="77777777" w:rsidR="000B505F" w:rsidRDefault="000B505F">
            <w:pPr>
              <w:shd w:val="clear" w:color="auto" w:fill="FFFFFF"/>
              <w:spacing w:after="120" w:line="360" w:lineRule="auto"/>
              <w:ind w:firstLine="0"/>
              <w:jc w:val="center"/>
              <w:rPr>
                <w:color w:val="000000"/>
              </w:rPr>
            </w:pPr>
          </w:p>
        </w:tc>
        <w:tc>
          <w:tcPr>
            <w:tcW w:w="2175" w:type="dxa"/>
            <w:vAlign w:val="center"/>
          </w:tcPr>
          <w:p w14:paraId="322DE54E" w14:textId="77777777" w:rsidR="000B505F" w:rsidRDefault="00000000">
            <w:pPr>
              <w:shd w:val="clear" w:color="auto" w:fill="FFFFFF"/>
              <w:spacing w:after="120" w:line="360" w:lineRule="auto"/>
              <w:ind w:firstLine="0"/>
              <w:jc w:val="center"/>
              <w:rPr>
                <w:color w:val="000000"/>
              </w:rPr>
            </w:pPr>
            <w:r>
              <w:t>0.049</w:t>
            </w:r>
          </w:p>
        </w:tc>
      </w:tr>
      <w:tr w:rsidR="000B505F" w14:paraId="20ACE8C7" w14:textId="77777777">
        <w:tc>
          <w:tcPr>
            <w:tcW w:w="645" w:type="dxa"/>
            <w:tcBorders>
              <w:bottom w:val="single" w:sz="4" w:space="0" w:color="000000"/>
            </w:tcBorders>
            <w:vAlign w:val="center"/>
          </w:tcPr>
          <w:p w14:paraId="36D08A58" w14:textId="77777777" w:rsidR="000B505F" w:rsidRDefault="00000000">
            <w:pPr>
              <w:shd w:val="clear" w:color="auto" w:fill="FFFFFF"/>
              <w:spacing w:after="120" w:line="360" w:lineRule="auto"/>
              <w:ind w:firstLine="0"/>
              <w:rPr>
                <w:color w:val="000000"/>
              </w:rPr>
            </w:pPr>
            <w:r>
              <w:t>PV</w:t>
            </w:r>
          </w:p>
        </w:tc>
        <w:tc>
          <w:tcPr>
            <w:tcW w:w="105" w:type="dxa"/>
            <w:tcBorders>
              <w:bottom w:val="single" w:sz="4" w:space="0" w:color="000000"/>
            </w:tcBorders>
          </w:tcPr>
          <w:p w14:paraId="79582AD5" w14:textId="77777777" w:rsidR="000B505F" w:rsidRDefault="000B505F">
            <w:pPr>
              <w:shd w:val="clear" w:color="auto" w:fill="FFFFFF"/>
              <w:spacing w:after="120" w:line="360" w:lineRule="auto"/>
              <w:ind w:firstLine="0"/>
              <w:jc w:val="center"/>
              <w:rPr>
                <w:color w:val="000000"/>
              </w:rPr>
            </w:pPr>
          </w:p>
        </w:tc>
        <w:tc>
          <w:tcPr>
            <w:tcW w:w="105" w:type="dxa"/>
            <w:tcBorders>
              <w:bottom w:val="single" w:sz="4" w:space="0" w:color="000000"/>
            </w:tcBorders>
          </w:tcPr>
          <w:p w14:paraId="4670178D" w14:textId="77777777" w:rsidR="000B505F" w:rsidRDefault="000B505F">
            <w:pPr>
              <w:shd w:val="clear" w:color="auto" w:fill="FFFFFF"/>
              <w:spacing w:after="120" w:line="360" w:lineRule="auto"/>
              <w:ind w:firstLine="0"/>
              <w:jc w:val="center"/>
              <w:rPr>
                <w:color w:val="000000"/>
              </w:rPr>
            </w:pPr>
          </w:p>
        </w:tc>
        <w:tc>
          <w:tcPr>
            <w:tcW w:w="105" w:type="dxa"/>
            <w:tcBorders>
              <w:bottom w:val="single" w:sz="4" w:space="0" w:color="000000"/>
            </w:tcBorders>
          </w:tcPr>
          <w:p w14:paraId="554464E6" w14:textId="77777777" w:rsidR="000B505F" w:rsidRDefault="000B505F">
            <w:pPr>
              <w:shd w:val="clear" w:color="auto" w:fill="FFFFFF"/>
              <w:spacing w:after="120" w:line="360" w:lineRule="auto"/>
              <w:ind w:firstLine="0"/>
              <w:jc w:val="center"/>
              <w:rPr>
                <w:color w:val="000000"/>
              </w:rPr>
            </w:pPr>
          </w:p>
        </w:tc>
        <w:tc>
          <w:tcPr>
            <w:tcW w:w="105" w:type="dxa"/>
            <w:tcBorders>
              <w:bottom w:val="single" w:sz="4" w:space="0" w:color="000000"/>
            </w:tcBorders>
          </w:tcPr>
          <w:p w14:paraId="3BDF9BE1" w14:textId="77777777" w:rsidR="000B505F" w:rsidRDefault="000B505F">
            <w:pPr>
              <w:shd w:val="clear" w:color="auto" w:fill="FFFFFF"/>
              <w:spacing w:after="120" w:line="360" w:lineRule="auto"/>
              <w:ind w:firstLine="0"/>
              <w:jc w:val="center"/>
              <w:rPr>
                <w:color w:val="000000"/>
              </w:rPr>
            </w:pPr>
          </w:p>
        </w:tc>
        <w:tc>
          <w:tcPr>
            <w:tcW w:w="105" w:type="dxa"/>
            <w:tcBorders>
              <w:bottom w:val="single" w:sz="4" w:space="0" w:color="000000"/>
            </w:tcBorders>
          </w:tcPr>
          <w:p w14:paraId="0C6BD5CB" w14:textId="77777777" w:rsidR="000B505F" w:rsidRDefault="000B505F">
            <w:pPr>
              <w:shd w:val="clear" w:color="auto" w:fill="FFFFFF"/>
              <w:spacing w:after="120" w:line="360" w:lineRule="auto"/>
              <w:ind w:firstLine="0"/>
              <w:jc w:val="center"/>
              <w:rPr>
                <w:color w:val="000000"/>
              </w:rPr>
            </w:pPr>
          </w:p>
        </w:tc>
        <w:tc>
          <w:tcPr>
            <w:tcW w:w="1620" w:type="dxa"/>
            <w:tcBorders>
              <w:bottom w:val="single" w:sz="4" w:space="0" w:color="000000"/>
            </w:tcBorders>
            <w:vAlign w:val="center"/>
          </w:tcPr>
          <w:p w14:paraId="1FF57210" w14:textId="77777777" w:rsidR="000B505F" w:rsidRDefault="00000000">
            <w:pPr>
              <w:shd w:val="clear" w:color="auto" w:fill="FFFFFF"/>
              <w:spacing w:after="120" w:line="360" w:lineRule="auto"/>
              <w:ind w:firstLine="0"/>
              <w:jc w:val="center"/>
              <w:rPr>
                <w:color w:val="000000"/>
              </w:rPr>
            </w:pPr>
            <w:r>
              <w:t>11596</w:t>
            </w:r>
          </w:p>
        </w:tc>
        <w:tc>
          <w:tcPr>
            <w:tcW w:w="105" w:type="dxa"/>
            <w:tcBorders>
              <w:bottom w:val="single" w:sz="4" w:space="0" w:color="000000"/>
            </w:tcBorders>
          </w:tcPr>
          <w:p w14:paraId="262594D3" w14:textId="77777777" w:rsidR="000B505F" w:rsidRDefault="000B505F">
            <w:pPr>
              <w:shd w:val="clear" w:color="auto" w:fill="FFFFFF"/>
              <w:spacing w:after="120" w:line="360" w:lineRule="auto"/>
              <w:ind w:firstLine="0"/>
              <w:jc w:val="center"/>
              <w:rPr>
                <w:color w:val="000000"/>
              </w:rPr>
            </w:pPr>
          </w:p>
        </w:tc>
        <w:tc>
          <w:tcPr>
            <w:tcW w:w="105" w:type="dxa"/>
            <w:tcBorders>
              <w:bottom w:val="single" w:sz="4" w:space="0" w:color="000000"/>
            </w:tcBorders>
          </w:tcPr>
          <w:p w14:paraId="0ACB214C" w14:textId="77777777" w:rsidR="000B505F" w:rsidRDefault="000B505F">
            <w:pPr>
              <w:shd w:val="clear" w:color="auto" w:fill="FFFFFF"/>
              <w:spacing w:after="120" w:line="360" w:lineRule="auto"/>
              <w:ind w:firstLine="0"/>
              <w:jc w:val="center"/>
              <w:rPr>
                <w:color w:val="000000"/>
              </w:rPr>
            </w:pPr>
          </w:p>
        </w:tc>
        <w:tc>
          <w:tcPr>
            <w:tcW w:w="105" w:type="dxa"/>
            <w:tcBorders>
              <w:bottom w:val="single" w:sz="4" w:space="0" w:color="000000"/>
            </w:tcBorders>
          </w:tcPr>
          <w:p w14:paraId="2DC90E64" w14:textId="77777777" w:rsidR="000B505F" w:rsidRDefault="000B505F">
            <w:pPr>
              <w:shd w:val="clear" w:color="auto" w:fill="FFFFFF"/>
              <w:spacing w:after="120" w:line="360" w:lineRule="auto"/>
              <w:ind w:firstLine="0"/>
              <w:jc w:val="center"/>
              <w:rPr>
                <w:color w:val="000000"/>
              </w:rPr>
            </w:pPr>
          </w:p>
        </w:tc>
        <w:tc>
          <w:tcPr>
            <w:tcW w:w="105" w:type="dxa"/>
            <w:tcBorders>
              <w:bottom w:val="single" w:sz="4" w:space="0" w:color="000000"/>
            </w:tcBorders>
          </w:tcPr>
          <w:p w14:paraId="1539EB7F" w14:textId="77777777" w:rsidR="000B505F" w:rsidRDefault="000B505F">
            <w:pPr>
              <w:shd w:val="clear" w:color="auto" w:fill="FFFFFF"/>
              <w:spacing w:after="120" w:line="360" w:lineRule="auto"/>
              <w:ind w:firstLine="0"/>
              <w:jc w:val="center"/>
              <w:rPr>
                <w:color w:val="000000"/>
              </w:rPr>
            </w:pPr>
          </w:p>
        </w:tc>
        <w:tc>
          <w:tcPr>
            <w:tcW w:w="105" w:type="dxa"/>
            <w:tcBorders>
              <w:bottom w:val="single" w:sz="4" w:space="0" w:color="000000"/>
            </w:tcBorders>
          </w:tcPr>
          <w:p w14:paraId="6A0C2074" w14:textId="77777777" w:rsidR="000B505F" w:rsidRDefault="000B505F">
            <w:pPr>
              <w:shd w:val="clear" w:color="auto" w:fill="FFFFFF"/>
              <w:spacing w:after="120" w:line="360" w:lineRule="auto"/>
              <w:ind w:firstLine="0"/>
              <w:jc w:val="center"/>
              <w:rPr>
                <w:color w:val="000000"/>
              </w:rPr>
            </w:pPr>
          </w:p>
        </w:tc>
        <w:tc>
          <w:tcPr>
            <w:tcW w:w="105" w:type="dxa"/>
            <w:tcBorders>
              <w:bottom w:val="single" w:sz="4" w:space="0" w:color="000000"/>
            </w:tcBorders>
          </w:tcPr>
          <w:p w14:paraId="6E46009E" w14:textId="77777777" w:rsidR="000B505F" w:rsidRDefault="000B505F">
            <w:pPr>
              <w:shd w:val="clear" w:color="auto" w:fill="FFFFFF"/>
              <w:spacing w:after="120" w:line="360" w:lineRule="auto"/>
              <w:ind w:firstLine="0"/>
              <w:jc w:val="center"/>
              <w:rPr>
                <w:color w:val="000000"/>
              </w:rPr>
            </w:pPr>
          </w:p>
        </w:tc>
        <w:tc>
          <w:tcPr>
            <w:tcW w:w="1320" w:type="dxa"/>
            <w:tcBorders>
              <w:bottom w:val="single" w:sz="4" w:space="0" w:color="000000"/>
            </w:tcBorders>
            <w:vAlign w:val="center"/>
          </w:tcPr>
          <w:p w14:paraId="0E929E9E" w14:textId="77777777" w:rsidR="000B505F" w:rsidRDefault="00000000">
            <w:pPr>
              <w:shd w:val="clear" w:color="auto" w:fill="FFFFFF"/>
              <w:spacing w:after="120" w:line="360" w:lineRule="auto"/>
              <w:ind w:firstLine="0"/>
              <w:jc w:val="center"/>
              <w:rPr>
                <w:color w:val="000000"/>
              </w:rPr>
            </w:pPr>
            <w:r>
              <w:t>&lt; 0.001*</w:t>
            </w:r>
          </w:p>
        </w:tc>
        <w:tc>
          <w:tcPr>
            <w:tcW w:w="105" w:type="dxa"/>
            <w:tcBorders>
              <w:bottom w:val="single" w:sz="4" w:space="0" w:color="000000"/>
            </w:tcBorders>
          </w:tcPr>
          <w:p w14:paraId="29DBD88F" w14:textId="77777777" w:rsidR="000B505F" w:rsidRDefault="000B505F">
            <w:pPr>
              <w:shd w:val="clear" w:color="auto" w:fill="FFFFFF"/>
              <w:spacing w:after="120" w:line="360" w:lineRule="auto"/>
              <w:ind w:firstLine="0"/>
              <w:jc w:val="center"/>
              <w:rPr>
                <w:color w:val="000000"/>
              </w:rPr>
            </w:pPr>
          </w:p>
        </w:tc>
        <w:tc>
          <w:tcPr>
            <w:tcW w:w="105" w:type="dxa"/>
            <w:tcBorders>
              <w:bottom w:val="single" w:sz="4" w:space="0" w:color="000000"/>
            </w:tcBorders>
          </w:tcPr>
          <w:p w14:paraId="720FB286" w14:textId="77777777" w:rsidR="000B505F" w:rsidRDefault="000B505F">
            <w:pPr>
              <w:shd w:val="clear" w:color="auto" w:fill="FFFFFF"/>
              <w:spacing w:after="120" w:line="360" w:lineRule="auto"/>
              <w:ind w:firstLine="0"/>
              <w:jc w:val="center"/>
              <w:rPr>
                <w:color w:val="000000"/>
              </w:rPr>
            </w:pPr>
          </w:p>
        </w:tc>
        <w:tc>
          <w:tcPr>
            <w:tcW w:w="105" w:type="dxa"/>
            <w:tcBorders>
              <w:bottom w:val="single" w:sz="4" w:space="0" w:color="000000"/>
            </w:tcBorders>
          </w:tcPr>
          <w:p w14:paraId="5F40B0F2" w14:textId="77777777" w:rsidR="000B505F" w:rsidRDefault="000B505F">
            <w:pPr>
              <w:shd w:val="clear" w:color="auto" w:fill="FFFFFF"/>
              <w:spacing w:after="120" w:line="360" w:lineRule="auto"/>
              <w:ind w:firstLine="0"/>
              <w:jc w:val="center"/>
              <w:rPr>
                <w:color w:val="000000"/>
              </w:rPr>
            </w:pPr>
          </w:p>
        </w:tc>
        <w:tc>
          <w:tcPr>
            <w:tcW w:w="105" w:type="dxa"/>
            <w:tcBorders>
              <w:bottom w:val="single" w:sz="4" w:space="0" w:color="000000"/>
            </w:tcBorders>
          </w:tcPr>
          <w:p w14:paraId="4FD10DE7" w14:textId="77777777" w:rsidR="000B505F" w:rsidRDefault="000B505F">
            <w:pPr>
              <w:shd w:val="clear" w:color="auto" w:fill="FFFFFF"/>
              <w:spacing w:after="120" w:line="360" w:lineRule="auto"/>
              <w:ind w:firstLine="0"/>
              <w:jc w:val="center"/>
              <w:rPr>
                <w:color w:val="000000"/>
              </w:rPr>
            </w:pPr>
          </w:p>
        </w:tc>
        <w:tc>
          <w:tcPr>
            <w:tcW w:w="135" w:type="dxa"/>
            <w:tcBorders>
              <w:bottom w:val="single" w:sz="4" w:space="0" w:color="000000"/>
            </w:tcBorders>
          </w:tcPr>
          <w:p w14:paraId="220F3687" w14:textId="77777777" w:rsidR="000B505F" w:rsidRDefault="000B505F">
            <w:pPr>
              <w:shd w:val="clear" w:color="auto" w:fill="FFFFFF"/>
              <w:spacing w:after="120" w:line="360" w:lineRule="auto"/>
              <w:ind w:firstLine="0"/>
              <w:jc w:val="center"/>
              <w:rPr>
                <w:color w:val="000000"/>
              </w:rPr>
            </w:pPr>
          </w:p>
        </w:tc>
        <w:tc>
          <w:tcPr>
            <w:tcW w:w="2175" w:type="dxa"/>
            <w:tcBorders>
              <w:bottom w:val="single" w:sz="4" w:space="0" w:color="000000"/>
            </w:tcBorders>
            <w:vAlign w:val="center"/>
          </w:tcPr>
          <w:p w14:paraId="3CABAA31" w14:textId="77777777" w:rsidR="000B505F" w:rsidRDefault="00000000">
            <w:pPr>
              <w:shd w:val="clear" w:color="auto" w:fill="FFFFFF"/>
              <w:spacing w:after="120" w:line="360" w:lineRule="auto"/>
              <w:ind w:firstLine="0"/>
              <w:jc w:val="center"/>
              <w:rPr>
                <w:color w:val="000000"/>
              </w:rPr>
            </w:pPr>
            <w:r>
              <w:t>-0.426</w:t>
            </w:r>
          </w:p>
        </w:tc>
      </w:tr>
    </w:tbl>
    <w:p w14:paraId="246ADF01" w14:textId="77777777" w:rsidR="000B505F" w:rsidRDefault="00000000">
      <w:pPr>
        <w:shd w:val="clear" w:color="auto" w:fill="FFFFFF"/>
        <w:spacing w:line="360" w:lineRule="auto"/>
        <w:ind w:firstLine="0"/>
        <w:rPr>
          <w:b/>
          <w:color w:val="000000"/>
        </w:rPr>
      </w:pPr>
      <w:r>
        <w:rPr>
          <w:i/>
          <w:color w:val="000000"/>
        </w:rPr>
        <w:t xml:space="preserve">Note. </w:t>
      </w:r>
      <w:r>
        <w:rPr>
          <w:color w:val="000000"/>
        </w:rPr>
        <w:t>*Two-tailed significance.</w:t>
      </w:r>
    </w:p>
    <w:p w14:paraId="32F9F27F" w14:textId="77777777" w:rsidR="000B505F" w:rsidRDefault="00000000">
      <w:pPr>
        <w:shd w:val="clear" w:color="auto" w:fill="FFFFFF"/>
        <w:spacing w:line="360" w:lineRule="auto"/>
        <w:ind w:firstLine="0"/>
        <w:jc w:val="center"/>
        <w:rPr>
          <w:color w:val="000000"/>
        </w:rPr>
      </w:pPr>
      <w:r>
        <w:rPr>
          <w:b/>
          <w:color w:val="000000"/>
        </w:rPr>
        <w:t>Discussion</w:t>
      </w:r>
    </w:p>
    <w:p w14:paraId="39D8B067" w14:textId="77777777" w:rsidR="000B505F" w:rsidRDefault="00000000">
      <w:pPr>
        <w:shd w:val="clear" w:color="auto" w:fill="FFFFFF"/>
        <w:spacing w:line="360" w:lineRule="auto"/>
        <w:rPr>
          <w:color w:val="000000"/>
        </w:rPr>
      </w:pPr>
      <w:r>
        <w:rPr>
          <w:color w:val="000000"/>
          <w:highlight w:val="white"/>
        </w:rPr>
        <w:t xml:space="preserve">This study examined the psychometric properties of the MWRB, a measure that assesses moral judgments regarding ambiguous behaviors in people’s romantic relationships, adapted ad hoc to the </w:t>
      </w:r>
      <w:r>
        <w:rPr>
          <w:rFonts w:ascii="Gungsuh" w:eastAsia="Gungsuh" w:hAnsi="Gungsuh" w:cs="Gungsuh"/>
          <w:color w:val="000000"/>
        </w:rPr>
        <w:t>Brazilian context. The evidence of content validity investigation revealed that the items in the MWRB measure have adequate Content Validity Coefficients (CVC) (≥ 0.8) in the three dimensions evaluated: CL, PR, and TR. However, the results of the classification of items into the instrument’s factors, through the Kappa coefficient, revealed discrepancies among the judges. In other words, there was insufficient agreement regarding the representativeness of constructs by the items.</w:t>
      </w:r>
    </w:p>
    <w:p w14:paraId="48F43715" w14:textId="77777777" w:rsidR="000B505F" w:rsidRDefault="00000000">
      <w:pPr>
        <w:shd w:val="clear" w:color="auto" w:fill="FFFFFF"/>
        <w:spacing w:line="360" w:lineRule="auto"/>
        <w:rPr>
          <w:color w:val="000000"/>
        </w:rPr>
      </w:pPr>
      <w:r>
        <w:rPr>
          <w:color w:val="000000"/>
        </w:rPr>
        <w:t xml:space="preserve">According to </w:t>
      </w:r>
      <w:proofErr w:type="spellStart"/>
      <w:r>
        <w:rPr>
          <w:color w:val="000000"/>
        </w:rPr>
        <w:t>Cassepp</w:t>
      </w:r>
      <w:proofErr w:type="spellEnd"/>
      <w:r>
        <w:rPr>
          <w:color w:val="000000"/>
        </w:rPr>
        <w:t>-Borges et al. (2010), the Kappa can assist in understanding the theoretical dimension to which items belong. In this current study, this seems evident in the opinions of the judge-evaluators, as many items were assigned to more than one dimension. In the results of the factor analyses, the Modification Indices corroborated the judges’ classifications, either through cross-loadings or residual covariances between observable errors. As a result of this scenario, item contents were revised in their relationships with the factors they were supposed to represent. From this reflective process, the revised model of the MWRB emerged with three factors and 20 items.</w:t>
      </w:r>
    </w:p>
    <w:p w14:paraId="5BF20E66" w14:textId="77777777" w:rsidR="000B505F" w:rsidRDefault="00000000">
      <w:pPr>
        <w:shd w:val="clear" w:color="auto" w:fill="FFFFFF"/>
        <w:spacing w:line="360" w:lineRule="auto"/>
        <w:rPr>
          <w:color w:val="000000"/>
        </w:rPr>
      </w:pPr>
      <w:r>
        <w:rPr>
          <w:color w:val="000000"/>
        </w:rPr>
        <w:t xml:space="preserve">In the study by </w:t>
      </w:r>
      <w:proofErr w:type="spellStart"/>
      <w:r>
        <w:rPr>
          <w:color w:val="000000"/>
        </w:rPr>
        <w:t>Selterman</w:t>
      </w:r>
      <w:proofErr w:type="spellEnd"/>
      <w:r>
        <w:rPr>
          <w:color w:val="000000"/>
        </w:rPr>
        <w:t xml:space="preserve"> and Koleva (2015), the FB factor was designated to assess ambiguous behaviors in the context of friendship. This latent variable and its items deal with potential involvement with ex-partners’ friends or with ex-partners of a friend. For example: “Is it acceptable for you to maintain a close friendship with your ex-partner’s best friend?”; “Is it acceptable for you to date your best friend’s ex-partner?” In the present study, the FB factor was excluded because all participants had been experiencing conjugal relationships for at least one year. Possibly, the contents of the FB factor would not be suitable for these heterosexual respondents.</w:t>
      </w:r>
    </w:p>
    <w:p w14:paraId="701F3CDD" w14:textId="77777777" w:rsidR="000B505F" w:rsidRDefault="00000000">
      <w:pPr>
        <w:shd w:val="clear" w:color="auto" w:fill="FFFFFF"/>
        <w:spacing w:line="360" w:lineRule="auto"/>
        <w:rPr>
          <w:color w:val="000000"/>
        </w:rPr>
      </w:pPr>
      <w:r>
        <w:rPr>
          <w:color w:val="000000"/>
        </w:rPr>
        <w:t xml:space="preserve">The errors of the items in the DI factor showed substantial covariation with the errors of the items in the ST factor. In the study by </w:t>
      </w:r>
      <w:proofErr w:type="spellStart"/>
      <w:r>
        <w:rPr>
          <w:color w:val="000000"/>
        </w:rPr>
        <w:t>Selterman</w:t>
      </w:r>
      <w:proofErr w:type="spellEnd"/>
      <w:r>
        <w:rPr>
          <w:color w:val="000000"/>
        </w:rPr>
        <w:t xml:space="preserve"> and Koleva (2015), in the proposed </w:t>
      </w:r>
      <w:r>
        <w:rPr>
          <w:color w:val="000000"/>
        </w:rPr>
        <w:lastRenderedPageBreak/>
        <w:t>four-factor model, the DI items were already grouped in the ST factor. Digital infidelity behaviors could also be perceived as sexual threats. Therefore, the DI items were incorporated into the ST factor, and the DI factor was eliminated.</w:t>
      </w:r>
    </w:p>
    <w:p w14:paraId="796ED401" w14:textId="77777777" w:rsidR="000B505F" w:rsidRDefault="00000000">
      <w:pPr>
        <w:shd w:val="clear" w:color="auto" w:fill="FFFFFF"/>
        <w:spacing w:line="360" w:lineRule="auto"/>
        <w:rPr>
          <w:color w:val="000000"/>
        </w:rPr>
      </w:pPr>
      <w:r>
        <w:rPr>
          <w:color w:val="000000"/>
        </w:rPr>
        <w:t xml:space="preserve">Furthermore, the following items were excluded </w:t>
      </w:r>
      <w:proofErr w:type="gramStart"/>
      <w:r>
        <w:rPr>
          <w:color w:val="000000"/>
        </w:rPr>
        <w:t>in order to</w:t>
      </w:r>
      <w:proofErr w:type="gramEnd"/>
      <w:r>
        <w:rPr>
          <w:color w:val="000000"/>
        </w:rPr>
        <w:t xml:space="preserve"> equate the cross-loadings and shared error covariances and improve the model’s fit to the empirical data:</w:t>
      </w:r>
    </w:p>
    <w:p w14:paraId="2BC835F5" w14:textId="77777777" w:rsidR="000B505F" w:rsidRDefault="00000000">
      <w:pPr>
        <w:shd w:val="clear" w:color="auto" w:fill="FFFFFF"/>
        <w:spacing w:line="360" w:lineRule="auto"/>
        <w:rPr>
          <w:color w:val="000000"/>
        </w:rPr>
      </w:pPr>
      <w:r>
        <w:rPr>
          <w:color w:val="000000"/>
        </w:rPr>
        <w:t>In the ST factor, item 19 “If you are in a serious relationship, is it acceptable for you to watch someone else masturbating (with their consent, and without physical contact between you and the person you are watching)?” and item 20 “If you are in a serious relationship, is it acceptable for you to watch other people having sexual relations (with their consent, and without physical contact between you and the people you are watching)?” showed some content overlap since watching could be perceived as a sexual act; item 24, “If you are in a serious relationship, is it acceptable for you to kiss someone of the same sex as part of a game or dare (without physical or emotional attraction between you and the person you are kissing)?” and item 3 “Is it acceptable for you to cancel plans with a romantic partner to be with a friend of the same sex?”, might not signify a moral violation to the relationships of the participants in this study, who declared themselves to be heterosexual. If the current sample were individuals who identify as homosexual, bisexual, pansexual, etc., these items might be relevant.</w:t>
      </w:r>
    </w:p>
    <w:p w14:paraId="3ACABAC4" w14:textId="77777777" w:rsidR="000B505F" w:rsidRDefault="00000000">
      <w:pPr>
        <w:shd w:val="clear" w:color="auto" w:fill="FFFFFF"/>
        <w:spacing w:line="360" w:lineRule="auto"/>
        <w:rPr>
          <w:color w:val="000000"/>
        </w:rPr>
      </w:pPr>
      <w:r>
        <w:rPr>
          <w:color w:val="000000"/>
        </w:rPr>
        <w:t>In the ET factor, item 6 “If you are in a serious relationship, is it acceptable for you to have a person of the opposite-sex you correspond with online, who lives on the other side of the world (unlikely to meet in person)?” and item 7 “If you are in a serious relationship, is it acceptable for you to have a person of the opposite-sex you correspond with online, who lives nearby (high likelihood of meeting in person)?” were similar in content. In this case, it was decided to exclude item 6, which represents a lower moral transgression compared to item 7; in item 23, “If you are in a serious relationship, is it acceptable for you to sleep in the same bed (but without physical contact) with a person of the opposite sex (who is not a family member)?” Perhaps, the word “bed” could be associated with sexual activity, even without the intention of having sexual relations. The perception of possible moral violation of a sexual and emotional nature could explain the cross-loadings.</w:t>
      </w:r>
    </w:p>
    <w:p w14:paraId="0E6BC4FA" w14:textId="77777777" w:rsidR="000B505F" w:rsidRDefault="00000000">
      <w:pPr>
        <w:shd w:val="clear" w:color="auto" w:fill="FFFFFF"/>
        <w:spacing w:line="360" w:lineRule="auto"/>
        <w:rPr>
          <w:color w:val="000000"/>
        </w:rPr>
      </w:pPr>
      <w:r>
        <w:rPr>
          <w:color w:val="000000"/>
        </w:rPr>
        <w:t xml:space="preserve">In the DI factor, item 26 “If you are in a serious relationship, is it acceptable for you to send nude photos to someone else?” and item 27 “If you are in a serious relationship, is it acceptable for you to receive nude photos from someone else?”, with similar content, also showed residual covariance between errors. Item 27 was excluded, and item 26 was retained </w:t>
      </w:r>
      <w:r>
        <w:rPr>
          <w:color w:val="000000"/>
        </w:rPr>
        <w:lastRenderedPageBreak/>
        <w:t>because it would represent a higher potential moral violation since it involves sending nude photos and not passively receiving them.</w:t>
      </w:r>
    </w:p>
    <w:p w14:paraId="57706124" w14:textId="77777777" w:rsidR="000B505F" w:rsidRDefault="00000000">
      <w:pPr>
        <w:shd w:val="clear" w:color="auto" w:fill="FFFFFF"/>
        <w:spacing w:line="360" w:lineRule="auto"/>
        <w:rPr>
          <w:color w:val="000000"/>
        </w:rPr>
      </w:pPr>
      <w:r>
        <w:rPr>
          <w:color w:val="000000"/>
        </w:rPr>
        <w:t>In the PV factor, items 29, 30, and 31, respectively, “If you are in a serious relationship, is it acceptable for you, at some point, to go through your partner’s physical belongings (wallet, pockets, purse) if you suspect infidelity?”, “If you are in a serious relationship, is it acceptable for you, at some point, to go through your partner’s digital belongings (computer, tablet, smartphone) if you suspect infidelity?”, and “If you are in a serious relationship, is it acceptable for you, at some point, to borrow money from your partner’s wallet without their explicit permission, if you intend to return the money promptly?” presented covariance of errors. However, none were excluded since the PV factor would be left with only two items.</w:t>
      </w:r>
    </w:p>
    <w:p w14:paraId="0D4B965F" w14:textId="77777777" w:rsidR="000B505F" w:rsidRDefault="00000000">
      <w:pPr>
        <w:shd w:val="clear" w:color="auto" w:fill="FFFFFF"/>
        <w:spacing w:line="360" w:lineRule="auto"/>
        <w:rPr>
          <w:color w:val="000000"/>
        </w:rPr>
      </w:pPr>
      <w:r>
        <w:rPr>
          <w:color w:val="000000"/>
        </w:rPr>
        <w:t xml:space="preserve">The main goal of this study was to provide evidence of content and internal structure validity for the Brazilian version of the MWRB scale with scores from Brazilian individuals experiencing conjugal relationships. The evidence found was favorable to the validity and reliability of the measure. The coefficients found in the CFAs for the three-factor, 20-item MWRB model indicated good fits to the empirical data, superior to the fits of the four- and five-factor models, as classified by Hair Jr. et al. (2019) and </w:t>
      </w:r>
      <w:proofErr w:type="spellStart"/>
      <w:r>
        <w:rPr>
          <w:color w:val="000000"/>
        </w:rPr>
        <w:t>Marôco</w:t>
      </w:r>
      <w:proofErr w:type="spellEnd"/>
      <w:r>
        <w:rPr>
          <w:color w:val="000000"/>
        </w:rPr>
        <w:t xml:space="preserve"> (2021).</w:t>
      </w:r>
    </w:p>
    <w:p w14:paraId="27D46A65" w14:textId="77777777" w:rsidR="000B505F" w:rsidRDefault="00000000">
      <w:pPr>
        <w:shd w:val="clear" w:color="auto" w:fill="FFFFFF"/>
        <w:spacing w:line="360" w:lineRule="auto"/>
        <w:rPr>
          <w:color w:val="000000"/>
        </w:rPr>
      </w:pPr>
      <w:r>
        <w:rPr>
          <w:color w:val="000000"/>
        </w:rPr>
        <w:t>Hair Jr. et al. (2021) explained the basic concepts of structural equation modeling: measurement model and structural model. Measurement models are evaluated based on item reliability, internal consistency, convergent validity, and discriminant validity.</w:t>
      </w:r>
    </w:p>
    <w:p w14:paraId="1B025ACB" w14:textId="77777777" w:rsidR="000B505F" w:rsidRDefault="00000000">
      <w:pPr>
        <w:shd w:val="clear" w:color="auto" w:fill="FFFFFF"/>
        <w:spacing w:line="360" w:lineRule="auto"/>
      </w:pPr>
      <w:r>
        <w:rPr>
          <w:rFonts w:ascii="Cardo" w:eastAsia="Cardo" w:hAnsi="Cardo" w:cs="Cardo"/>
        </w:rPr>
        <w:t xml:space="preserve">Convergent validity is the extent to which the latent factor converges to explain the variance of its indicators. The metric for assessing convergent validity is the Average Variance Extracted (AVE) for all items of each latent factor. The AVE is defined as the mean of the squared factor loadings (λ) of the items associated with the factor, equivalent to the factor’s communality. Convergent validity is established when the AVE value is ≥ 0.5. In the current results, all items on the MWRB scale had λ &gt; 0.5 (individual reliability), and the AVE values of the factors were &gt; 0.5, except for the ET factor (0.47). Nevertheless, it still represented a considerable amount of convergence and variability explained by the latent factors (Hair Jr. et al., 2019; </w:t>
      </w:r>
      <w:proofErr w:type="spellStart"/>
      <w:r>
        <w:rPr>
          <w:rFonts w:ascii="Cardo" w:eastAsia="Cardo" w:hAnsi="Cardo" w:cs="Cardo"/>
        </w:rPr>
        <w:t>Marôco</w:t>
      </w:r>
      <w:proofErr w:type="spellEnd"/>
      <w:r>
        <w:rPr>
          <w:rFonts w:ascii="Cardo" w:eastAsia="Cardo" w:hAnsi="Cardo" w:cs="Cardo"/>
        </w:rPr>
        <w:t>, 2021).</w:t>
      </w:r>
    </w:p>
    <w:p w14:paraId="4461D6C4" w14:textId="77777777" w:rsidR="000B505F" w:rsidRDefault="00000000">
      <w:pPr>
        <w:shd w:val="clear" w:color="auto" w:fill="FFFFFF"/>
        <w:spacing w:line="360" w:lineRule="auto"/>
      </w:pPr>
      <w:r>
        <w:t xml:space="preserve">Discriminant validity assesses the extent to which a latent factor is empirically distinct from other latent factors in the measurement model. The most common criteria for establishing discriminant validity are Fornell &amp; Larcker (1981) and </w:t>
      </w:r>
      <w:proofErr w:type="spellStart"/>
      <w:r>
        <w:t>Heterotrait-Monotrait</w:t>
      </w:r>
      <w:proofErr w:type="spellEnd"/>
      <w:r>
        <w:t xml:space="preserve"> </w:t>
      </w:r>
      <w:r>
        <w:lastRenderedPageBreak/>
        <w:t>(HTMT) Ratio of Correlations (Henseler et al., 2015). In the current analysis, the Fornell and Larcker (1981) test indicated insufficient discriminant validity between the ST and ET factors of the MWRB (See Table 3). However, the Fornell-Larcker criterion may lack sensitivity or specificity. Based on a critical study, a new approach to assessing discriminant validity was introduced by Henseler et al. (2015): the HTMT. In practical situations, a threshold value of less than 0.85 for the HTMT reliably distinguishes pairs of latent variables that are valid discriminants, a result obtained in the present study (See Table 3).</w:t>
      </w:r>
    </w:p>
    <w:p w14:paraId="7878FFCE" w14:textId="77777777" w:rsidR="000B505F" w:rsidRDefault="00000000">
      <w:pPr>
        <w:shd w:val="clear" w:color="auto" w:fill="FFFFFF"/>
        <w:spacing w:line="360" w:lineRule="auto"/>
      </w:pPr>
      <w:r>
        <w:t>Estimates of internal consistency have been questioned in the specialized literature for various reasons (Hayes &amp; Coutts, 2020). Alpha would be more sensitive to the degree of tau-equivalence violation (Hauck-Filho &amp; Valentini, 2020), while omega would be more affected by the sample size and number of items (Edwards et al., 2021). The number of items and the homogeneity of factor loadings would affect composite reliability values (Valentini &amp; Damásio, 2016). Therefore, in this study, internal consistency was calculated using three different techniques, and in all ways, it was found to be adequate (See Table 3). Consequently, various pieces of evidence of reliability for the dimensions of the MWRB measure were generated.</w:t>
      </w:r>
    </w:p>
    <w:p w14:paraId="54FA8389" w14:textId="77777777" w:rsidR="000B505F" w:rsidRDefault="00000000">
      <w:pPr>
        <w:shd w:val="clear" w:color="auto" w:fill="FFFFFF"/>
        <w:spacing w:line="360" w:lineRule="auto"/>
      </w:pPr>
      <w:r>
        <w:t>It was observed that men were more inclined to perceive ambiguous Sexual Threat behaviors as less problematic than women, although the magnitude of this difference was small. Previous findings indicated that men, regardless of sexual orientation, tended to show greater willingness to express their sexualities (Baker et al., 2015), exhibited lower levels of sexual inhibition, and had a weaker association between emotion and sexual activity (</w:t>
      </w:r>
      <w:proofErr w:type="spellStart"/>
      <w:r>
        <w:t>Pachankins</w:t>
      </w:r>
      <w:proofErr w:type="spellEnd"/>
      <w:r>
        <w:t xml:space="preserve"> &amp; Goldfried, 2013).</w:t>
      </w:r>
    </w:p>
    <w:p w14:paraId="299508CB" w14:textId="77777777" w:rsidR="000B505F" w:rsidRDefault="00000000">
      <w:pPr>
        <w:shd w:val="clear" w:color="auto" w:fill="FFFFFF"/>
        <w:spacing w:line="360" w:lineRule="auto"/>
      </w:pPr>
      <w:r>
        <w:t xml:space="preserve">The women showed greater tolerance for going through their partners’ belongings without permission (Privacy Violation), a result also obtained by </w:t>
      </w:r>
      <w:proofErr w:type="spellStart"/>
      <w:r>
        <w:t>Selterman</w:t>
      </w:r>
      <w:proofErr w:type="spellEnd"/>
      <w:r>
        <w:t xml:space="preserve"> &amp; Koleva (2015). Women might have higher expectations for their relationships (Earp et al., 2021), so actions such as searching through belongings or social media for signs of infidelity might be perceived as less morally condemnable.</w:t>
      </w:r>
    </w:p>
    <w:p w14:paraId="557F2E69" w14:textId="77777777" w:rsidR="000B505F" w:rsidRDefault="00000000">
      <w:pPr>
        <w:shd w:val="clear" w:color="auto" w:fill="FFFFFF"/>
        <w:spacing w:line="360" w:lineRule="auto"/>
      </w:pPr>
      <w:r>
        <w:t>From the perspective of Gender Schema Theory (</w:t>
      </w:r>
      <w:proofErr w:type="spellStart"/>
      <w:r>
        <w:t>Bem</w:t>
      </w:r>
      <w:proofErr w:type="spellEnd"/>
      <w:r>
        <w:t>, 1981), based on Bandura’s work, psychosocial differences between boys and girls are somewhat learned from childhood. Various socializing agents influence, through various interactions, the dispositions, attitudes, and behaviors typical of each gender. Therefore, concepts of masculinity and femininity and what is expected, allowed, consented, and excluded from each of them are developed. Gender roles are deeply influenced by cultural aspects (Atari et al., 2020; Perry et al., 2019).</w:t>
      </w:r>
    </w:p>
    <w:p w14:paraId="0B2443BF" w14:textId="77777777" w:rsidR="000B505F" w:rsidRDefault="00000000">
      <w:pPr>
        <w:shd w:val="clear" w:color="auto" w:fill="FFFFFF"/>
        <w:spacing w:line="360" w:lineRule="auto"/>
      </w:pPr>
      <w:r>
        <w:lastRenderedPageBreak/>
        <w:t>Considering that Brazil is a country that, although secular, is strongly influenced by potentially conservative Christian values, cognitive schemas between men and women would be distinct and traditional. As men have the expression of their masculinity socially endorsed, they would judge sexual threats as less severe than women, according to the Moral Disengagement Theory (Bandura et al., 2015). Women, often associated with maintaining family cohesion, would consider checking for potential partner infidelity as a concern for the maintenance of the relationship. Therefore, such differences in moral judgments would be manifestations of the social constructs of gender.</w:t>
      </w:r>
    </w:p>
    <w:p w14:paraId="0947A273" w14:textId="77777777" w:rsidR="000B505F" w:rsidRDefault="00000000">
      <w:pPr>
        <w:shd w:val="clear" w:color="auto" w:fill="FFFFFF"/>
        <w:spacing w:line="360" w:lineRule="auto"/>
      </w:pPr>
      <w:r>
        <w:t>According to searches in the literature databases, it is possible that this study was the first to adapt an instrument that assesses moral judgments in romantic relationships with Brazilian scores. Based on the statistical data, it can be considered that this revised version of the MWRB scale presents adequate psychometric properties and could be useful in this line of research. However, the results obtained in this study should be considered with caution; any generalization is inadequate because the sample did not have national coverage and, therefore, does not represent the Brazilian population. It is recommended that future studies should address these limitations.</w:t>
      </w:r>
    </w:p>
    <w:p w14:paraId="1C2FC1C3" w14:textId="77777777" w:rsidR="000B505F" w:rsidRDefault="000B505F">
      <w:pPr>
        <w:shd w:val="clear" w:color="auto" w:fill="FFFFFF"/>
        <w:spacing w:line="360" w:lineRule="auto"/>
      </w:pPr>
    </w:p>
    <w:p w14:paraId="6F292137" w14:textId="77777777" w:rsidR="000B505F" w:rsidRDefault="000B505F">
      <w:pPr>
        <w:shd w:val="clear" w:color="auto" w:fill="FFFFFF"/>
        <w:spacing w:line="360" w:lineRule="auto"/>
      </w:pPr>
    </w:p>
    <w:p w14:paraId="17EC30D8" w14:textId="77777777" w:rsidR="000B505F" w:rsidRDefault="000B505F">
      <w:pPr>
        <w:shd w:val="clear" w:color="auto" w:fill="FFFFFF"/>
        <w:spacing w:line="360" w:lineRule="auto"/>
      </w:pPr>
    </w:p>
    <w:p w14:paraId="5B1A9DAB" w14:textId="77777777" w:rsidR="000B505F" w:rsidRDefault="000B505F">
      <w:pPr>
        <w:shd w:val="clear" w:color="auto" w:fill="FFFFFF"/>
        <w:spacing w:line="360" w:lineRule="auto"/>
      </w:pPr>
    </w:p>
    <w:p w14:paraId="271F82BD" w14:textId="77777777" w:rsidR="000B505F" w:rsidRDefault="000B505F">
      <w:pPr>
        <w:shd w:val="clear" w:color="auto" w:fill="FFFFFF"/>
        <w:spacing w:line="360" w:lineRule="auto"/>
      </w:pPr>
    </w:p>
    <w:p w14:paraId="7EE7496C" w14:textId="77777777" w:rsidR="000B505F" w:rsidRDefault="000B505F">
      <w:pPr>
        <w:shd w:val="clear" w:color="auto" w:fill="FFFFFF"/>
        <w:spacing w:line="360" w:lineRule="auto"/>
      </w:pPr>
    </w:p>
    <w:p w14:paraId="09F8C05B" w14:textId="77777777" w:rsidR="000B505F" w:rsidRDefault="000B505F">
      <w:pPr>
        <w:shd w:val="clear" w:color="auto" w:fill="FFFFFF"/>
        <w:spacing w:line="360" w:lineRule="auto"/>
      </w:pPr>
    </w:p>
    <w:p w14:paraId="26F809F3" w14:textId="77777777" w:rsidR="000B505F" w:rsidRDefault="000B505F">
      <w:pPr>
        <w:shd w:val="clear" w:color="auto" w:fill="FFFFFF"/>
        <w:spacing w:line="360" w:lineRule="auto"/>
      </w:pPr>
    </w:p>
    <w:p w14:paraId="14A26D2C" w14:textId="77777777" w:rsidR="000B505F" w:rsidRDefault="000B505F">
      <w:pPr>
        <w:shd w:val="clear" w:color="auto" w:fill="FFFFFF"/>
        <w:spacing w:line="360" w:lineRule="auto"/>
      </w:pPr>
    </w:p>
    <w:p w14:paraId="3642E5CF" w14:textId="77777777" w:rsidR="000B505F" w:rsidRDefault="000B505F">
      <w:pPr>
        <w:shd w:val="clear" w:color="auto" w:fill="FFFFFF"/>
        <w:spacing w:line="360" w:lineRule="auto"/>
      </w:pPr>
    </w:p>
    <w:p w14:paraId="3F771236" w14:textId="77777777" w:rsidR="000B505F" w:rsidRDefault="000B505F">
      <w:pPr>
        <w:shd w:val="clear" w:color="auto" w:fill="FFFFFF"/>
        <w:spacing w:line="360" w:lineRule="auto"/>
      </w:pPr>
    </w:p>
    <w:p w14:paraId="56027D8E" w14:textId="77777777" w:rsidR="000B505F" w:rsidRDefault="000B505F">
      <w:pPr>
        <w:shd w:val="clear" w:color="auto" w:fill="FFFFFF"/>
        <w:spacing w:line="360" w:lineRule="auto"/>
      </w:pPr>
    </w:p>
    <w:p w14:paraId="3897858E" w14:textId="77777777" w:rsidR="000B505F" w:rsidRDefault="000B505F">
      <w:pPr>
        <w:shd w:val="clear" w:color="auto" w:fill="FFFFFF"/>
        <w:spacing w:line="360" w:lineRule="auto"/>
      </w:pPr>
    </w:p>
    <w:p w14:paraId="27EB71AD" w14:textId="77777777" w:rsidR="000B505F" w:rsidRDefault="000B505F">
      <w:pPr>
        <w:shd w:val="clear" w:color="auto" w:fill="FFFFFF"/>
        <w:spacing w:line="360" w:lineRule="auto"/>
      </w:pPr>
    </w:p>
    <w:p w14:paraId="0E74D291" w14:textId="77777777" w:rsidR="000B505F" w:rsidRDefault="000B505F">
      <w:pPr>
        <w:shd w:val="clear" w:color="auto" w:fill="FFFFFF"/>
        <w:spacing w:line="360" w:lineRule="auto"/>
      </w:pPr>
    </w:p>
    <w:p w14:paraId="32BEBA8D" w14:textId="77777777" w:rsidR="000B505F" w:rsidRDefault="000B505F">
      <w:pPr>
        <w:shd w:val="clear" w:color="auto" w:fill="FFFFFF"/>
        <w:spacing w:line="360" w:lineRule="auto"/>
      </w:pPr>
    </w:p>
    <w:p w14:paraId="5A077DB3" w14:textId="77777777" w:rsidR="000B505F" w:rsidRDefault="000B505F">
      <w:pPr>
        <w:shd w:val="clear" w:color="auto" w:fill="FFFFFF"/>
        <w:spacing w:line="360" w:lineRule="auto"/>
      </w:pPr>
    </w:p>
    <w:p w14:paraId="6C6E2AFE" w14:textId="77777777" w:rsidR="000B505F" w:rsidRDefault="000B505F">
      <w:pPr>
        <w:shd w:val="clear" w:color="auto" w:fill="FFFFFF"/>
        <w:spacing w:line="360" w:lineRule="auto"/>
      </w:pPr>
    </w:p>
    <w:p w14:paraId="597452D9" w14:textId="77777777" w:rsidR="000B505F" w:rsidRDefault="000B505F">
      <w:pPr>
        <w:shd w:val="clear" w:color="auto" w:fill="FFFFFF"/>
        <w:spacing w:line="360" w:lineRule="auto"/>
      </w:pPr>
    </w:p>
    <w:p w14:paraId="5E9B4358" w14:textId="77777777" w:rsidR="000B505F" w:rsidRDefault="000B505F">
      <w:pPr>
        <w:shd w:val="clear" w:color="auto" w:fill="FFFFFF"/>
        <w:spacing w:line="360" w:lineRule="auto"/>
      </w:pPr>
    </w:p>
    <w:p w14:paraId="0573721F" w14:textId="77777777" w:rsidR="000B505F" w:rsidRDefault="000B505F">
      <w:pPr>
        <w:shd w:val="clear" w:color="auto" w:fill="FFFFFF"/>
        <w:spacing w:line="360" w:lineRule="auto"/>
      </w:pPr>
    </w:p>
    <w:p w14:paraId="38EDB8FF" w14:textId="77777777" w:rsidR="000B505F" w:rsidRDefault="000B505F">
      <w:pPr>
        <w:shd w:val="clear" w:color="auto" w:fill="FFFFFF"/>
        <w:spacing w:line="360" w:lineRule="auto"/>
      </w:pPr>
    </w:p>
    <w:p w14:paraId="12DEEF26" w14:textId="77777777" w:rsidR="000B505F" w:rsidRDefault="000B505F">
      <w:pPr>
        <w:shd w:val="clear" w:color="auto" w:fill="FFFFFF"/>
        <w:spacing w:line="360" w:lineRule="auto"/>
      </w:pPr>
    </w:p>
    <w:p w14:paraId="0D89367C" w14:textId="77777777" w:rsidR="000B505F" w:rsidRDefault="000B505F">
      <w:pPr>
        <w:shd w:val="clear" w:color="auto" w:fill="FFFFFF"/>
        <w:spacing w:line="360" w:lineRule="auto"/>
      </w:pPr>
    </w:p>
    <w:p w14:paraId="63FBF6EE" w14:textId="77777777" w:rsidR="000B505F" w:rsidRDefault="000B505F">
      <w:pPr>
        <w:shd w:val="clear" w:color="auto" w:fill="FFFFFF"/>
        <w:spacing w:line="360" w:lineRule="auto"/>
      </w:pPr>
    </w:p>
    <w:p w14:paraId="543CF807" w14:textId="77777777" w:rsidR="000B505F" w:rsidRDefault="000B505F">
      <w:pPr>
        <w:shd w:val="clear" w:color="auto" w:fill="FFFFFF"/>
        <w:spacing w:line="360" w:lineRule="auto"/>
      </w:pPr>
    </w:p>
    <w:p w14:paraId="42041024" w14:textId="77777777" w:rsidR="000B505F" w:rsidRDefault="000B505F">
      <w:pPr>
        <w:shd w:val="clear" w:color="auto" w:fill="FFFFFF"/>
        <w:spacing w:line="360" w:lineRule="auto"/>
      </w:pPr>
    </w:p>
    <w:p w14:paraId="30EC08A0" w14:textId="77777777" w:rsidR="000B505F" w:rsidRDefault="000B505F">
      <w:pPr>
        <w:shd w:val="clear" w:color="auto" w:fill="FFFFFF"/>
        <w:spacing w:line="360" w:lineRule="auto"/>
      </w:pPr>
    </w:p>
    <w:p w14:paraId="6A13A9E7" w14:textId="77777777" w:rsidR="000B505F" w:rsidRDefault="000B505F">
      <w:pPr>
        <w:shd w:val="clear" w:color="auto" w:fill="FFFFFF"/>
        <w:spacing w:line="360" w:lineRule="auto"/>
      </w:pPr>
    </w:p>
    <w:p w14:paraId="0F6A0393" w14:textId="77777777" w:rsidR="000B505F" w:rsidRDefault="000B505F">
      <w:pPr>
        <w:shd w:val="clear" w:color="auto" w:fill="FFFFFF"/>
        <w:spacing w:line="360" w:lineRule="auto"/>
      </w:pPr>
    </w:p>
    <w:p w14:paraId="7117CD28" w14:textId="77777777" w:rsidR="000B505F" w:rsidRDefault="000B505F">
      <w:pPr>
        <w:shd w:val="clear" w:color="auto" w:fill="FFFFFF"/>
        <w:spacing w:line="360" w:lineRule="auto"/>
        <w:ind w:firstLine="0"/>
        <w:jc w:val="center"/>
        <w:rPr>
          <w:b/>
        </w:rPr>
      </w:pPr>
    </w:p>
    <w:p w14:paraId="39265E8F" w14:textId="77777777" w:rsidR="000B505F" w:rsidRDefault="000B505F">
      <w:pPr>
        <w:shd w:val="clear" w:color="auto" w:fill="FFFFFF"/>
        <w:spacing w:line="360" w:lineRule="auto"/>
        <w:ind w:firstLine="0"/>
        <w:jc w:val="center"/>
        <w:rPr>
          <w:b/>
        </w:rPr>
      </w:pPr>
    </w:p>
    <w:p w14:paraId="10066480" w14:textId="77777777" w:rsidR="000B505F" w:rsidRDefault="00000000">
      <w:pPr>
        <w:shd w:val="clear" w:color="auto" w:fill="FFFFFF"/>
        <w:spacing w:line="360" w:lineRule="auto"/>
        <w:ind w:firstLine="0"/>
        <w:jc w:val="center"/>
        <w:rPr>
          <w:color w:val="000000"/>
        </w:rPr>
      </w:pPr>
      <w:r>
        <w:rPr>
          <w:b/>
          <w:color w:val="000000"/>
        </w:rPr>
        <w:t>References</w:t>
      </w:r>
    </w:p>
    <w:p w14:paraId="604A4017" w14:textId="77777777" w:rsidR="000B505F" w:rsidRDefault="00000000">
      <w:pPr>
        <w:shd w:val="clear" w:color="auto" w:fill="FFFFFF"/>
        <w:spacing w:line="360" w:lineRule="auto"/>
        <w:ind w:left="720" w:hanging="720"/>
      </w:pPr>
      <w:r>
        <w:rPr>
          <w:color w:val="000000"/>
        </w:rPr>
        <w:t>American Educationa</w:t>
      </w:r>
      <w:r>
        <w:t xml:space="preserve">l Research Association, American Psychological Association, &amp; National Council on Measurement in Education. (2014). </w:t>
      </w:r>
      <w:r>
        <w:rPr>
          <w:i/>
        </w:rPr>
        <w:t>Standards for Educational and Psychological Testing</w:t>
      </w:r>
      <w:r>
        <w:t xml:space="preserve">. American Educational Research Association. </w:t>
      </w:r>
      <w:hyperlink r:id="rId6">
        <w:r>
          <w:rPr>
            <w:color w:val="0000FF"/>
            <w:u w:val="single"/>
          </w:rPr>
          <w:t>https://www.aera.net/Publications/Books/Standards-for-Educational-Psychological-Testing-2014-Edition</w:t>
        </w:r>
      </w:hyperlink>
      <w:r>
        <w:t xml:space="preserve"> </w:t>
      </w:r>
    </w:p>
    <w:p w14:paraId="1B899809" w14:textId="77777777" w:rsidR="000B505F" w:rsidRDefault="00000000">
      <w:pPr>
        <w:shd w:val="clear" w:color="auto" w:fill="FFFFFF"/>
        <w:spacing w:line="360" w:lineRule="auto"/>
        <w:ind w:left="720" w:hanging="720"/>
      </w:pPr>
      <w:hyperlink r:id="rId7">
        <w:r>
          <w:t>Atari</w:t>
        </w:r>
      </w:hyperlink>
      <w:r>
        <w:t xml:space="preserve">, M, </w:t>
      </w:r>
      <w:hyperlink r:id="rId8">
        <w:r>
          <w:t>Lai</w:t>
        </w:r>
      </w:hyperlink>
      <w:r>
        <w:t xml:space="preserve">, M. H. C., &amp; </w:t>
      </w:r>
      <w:hyperlink r:id="rId9">
        <w:r>
          <w:t>Dehghani</w:t>
        </w:r>
      </w:hyperlink>
      <w:r>
        <w:t xml:space="preserve">, M. (2020). Sex differences in moral judgements across 67 countries. </w:t>
      </w:r>
      <w:r>
        <w:rPr>
          <w:i/>
        </w:rPr>
        <w:t>Proceedings of the Royal Society B: Biological Sciences, 287</w:t>
      </w:r>
      <w:r>
        <w:t xml:space="preserve">(1937). </w:t>
      </w:r>
      <w:hyperlink r:id="rId10">
        <w:r>
          <w:rPr>
            <w:u w:val="single"/>
          </w:rPr>
          <w:t>https://doi.org/10.1098/rspb.2020.1201</w:t>
        </w:r>
      </w:hyperlink>
    </w:p>
    <w:p w14:paraId="089A5768" w14:textId="77777777" w:rsidR="000B505F" w:rsidRDefault="00000000">
      <w:pPr>
        <w:shd w:val="clear" w:color="auto" w:fill="FFFFFF"/>
        <w:spacing w:line="360" w:lineRule="auto"/>
        <w:ind w:left="720" w:hanging="720"/>
        <w:rPr>
          <w:u w:val="single"/>
        </w:rPr>
      </w:pPr>
      <w:r>
        <w:t>Baker, N. A., &amp; Halford, W. K. (2020). Assessment of Couple Relationships Standards in Same-Sex Attracted Adults. </w:t>
      </w:r>
      <w:r>
        <w:rPr>
          <w:i/>
        </w:rPr>
        <w:t>Family process</w:t>
      </w:r>
      <w:r>
        <w:t>, </w:t>
      </w:r>
      <w:r>
        <w:rPr>
          <w:i/>
        </w:rPr>
        <w:t>59</w:t>
      </w:r>
      <w:r>
        <w:t xml:space="preserve">(2), 537–555. </w:t>
      </w:r>
      <w:hyperlink r:id="rId11">
        <w:r>
          <w:rPr>
            <w:u w:val="single"/>
          </w:rPr>
          <w:t>https://doi.org/10.1111/famp.12447</w:t>
        </w:r>
      </w:hyperlink>
    </w:p>
    <w:p w14:paraId="2417E4DC" w14:textId="77777777" w:rsidR="000B505F" w:rsidRDefault="00000000">
      <w:pPr>
        <w:shd w:val="clear" w:color="auto" w:fill="FFFFFF"/>
        <w:spacing w:line="360" w:lineRule="auto"/>
        <w:ind w:left="720" w:hanging="720"/>
        <w:rPr>
          <w:u w:val="single"/>
        </w:rPr>
      </w:pPr>
      <w:r>
        <w:t xml:space="preserve">Bandura, A., Azzi, R. G., &amp; </w:t>
      </w:r>
      <w:proofErr w:type="spellStart"/>
      <w:r>
        <w:t>Tognetta</w:t>
      </w:r>
      <w:proofErr w:type="spellEnd"/>
      <w:r>
        <w:t xml:space="preserve">, R. L. P. (2015). </w:t>
      </w:r>
      <w:proofErr w:type="spellStart"/>
      <w:r>
        <w:rPr>
          <w:i/>
        </w:rPr>
        <w:t>Desengajamento</w:t>
      </w:r>
      <w:proofErr w:type="spellEnd"/>
      <w:r>
        <w:rPr>
          <w:i/>
        </w:rPr>
        <w:t xml:space="preserve"> moral: </w:t>
      </w:r>
      <w:proofErr w:type="spellStart"/>
      <w:r>
        <w:rPr>
          <w:i/>
        </w:rPr>
        <w:t>teoria</w:t>
      </w:r>
      <w:proofErr w:type="spellEnd"/>
      <w:r>
        <w:rPr>
          <w:i/>
        </w:rPr>
        <w:t xml:space="preserve"> e </w:t>
      </w:r>
      <w:proofErr w:type="spellStart"/>
      <w:r>
        <w:rPr>
          <w:i/>
        </w:rPr>
        <w:t>pesquisa</w:t>
      </w:r>
      <w:proofErr w:type="spellEnd"/>
      <w:r>
        <w:rPr>
          <w:i/>
        </w:rPr>
        <w:t xml:space="preserve"> a </w:t>
      </w:r>
      <w:proofErr w:type="spellStart"/>
      <w:r>
        <w:rPr>
          <w:i/>
        </w:rPr>
        <w:t>partir</w:t>
      </w:r>
      <w:proofErr w:type="spellEnd"/>
      <w:r>
        <w:rPr>
          <w:i/>
        </w:rPr>
        <w:t xml:space="preserve"> da Teoria Social </w:t>
      </w:r>
      <w:proofErr w:type="spellStart"/>
      <w:r>
        <w:rPr>
          <w:i/>
        </w:rPr>
        <w:t>Cognitiva</w:t>
      </w:r>
      <w:proofErr w:type="spellEnd"/>
      <w:r>
        <w:rPr>
          <w:i/>
        </w:rPr>
        <w:t>.</w:t>
      </w:r>
      <w:r>
        <w:t xml:space="preserve"> Mercado de Letras.</w:t>
      </w:r>
    </w:p>
    <w:p w14:paraId="43B3889D" w14:textId="77777777" w:rsidR="000B505F" w:rsidRDefault="00000000">
      <w:pPr>
        <w:shd w:val="clear" w:color="auto" w:fill="FFFFFF"/>
        <w:spacing w:line="360" w:lineRule="auto"/>
        <w:ind w:left="720" w:hanging="720"/>
      </w:pPr>
      <w:proofErr w:type="spellStart"/>
      <w:r>
        <w:t>Bem</w:t>
      </w:r>
      <w:proofErr w:type="spellEnd"/>
      <w:r>
        <w:t>, S. L. (1981). Gender schema theory: A cognitive account of sex typing. </w:t>
      </w:r>
      <w:r>
        <w:rPr>
          <w:i/>
        </w:rPr>
        <w:t>Psychological Review, 88</w:t>
      </w:r>
      <w:r>
        <w:t>(4), 354–364. </w:t>
      </w:r>
      <w:hyperlink r:id="rId12">
        <w:r>
          <w:rPr>
            <w:u w:val="single"/>
          </w:rPr>
          <w:t>https://doi.org/10.1037/0033-295X.88.4.354</w:t>
        </w:r>
      </w:hyperlink>
      <w:r>
        <w:t xml:space="preserve"> </w:t>
      </w:r>
    </w:p>
    <w:p w14:paraId="598CCDD1" w14:textId="77777777" w:rsidR="000B505F" w:rsidRDefault="00000000">
      <w:pPr>
        <w:shd w:val="clear" w:color="auto" w:fill="FFFFFF"/>
        <w:spacing w:line="360" w:lineRule="auto"/>
        <w:ind w:left="720" w:hanging="720"/>
      </w:pPr>
      <w:r>
        <w:t xml:space="preserve">Bowlby, J. (1982 [1969]). </w:t>
      </w:r>
      <w:r>
        <w:rPr>
          <w:i/>
        </w:rPr>
        <w:t>Attachment and loss</w:t>
      </w:r>
      <w:r>
        <w:t xml:space="preserve"> (Vol. 1). Basic Books</w:t>
      </w:r>
    </w:p>
    <w:p w14:paraId="09C0C284" w14:textId="77777777" w:rsidR="000B505F" w:rsidRDefault="00000000">
      <w:pPr>
        <w:shd w:val="clear" w:color="auto" w:fill="FFFFFF"/>
        <w:spacing w:line="360" w:lineRule="auto"/>
        <w:ind w:left="720" w:hanging="720"/>
      </w:pPr>
      <w:proofErr w:type="spellStart"/>
      <w:r>
        <w:t>Cassepp</w:t>
      </w:r>
      <w:proofErr w:type="spellEnd"/>
      <w:r>
        <w:t xml:space="preserve">-Borges, V., </w:t>
      </w:r>
      <w:proofErr w:type="spellStart"/>
      <w:r>
        <w:t>Balbinotti</w:t>
      </w:r>
      <w:proofErr w:type="spellEnd"/>
      <w:r>
        <w:t xml:space="preserve">, M. A. A., &amp; Teodoro, M. L. M. (2010). </w:t>
      </w:r>
      <w:proofErr w:type="spellStart"/>
      <w:r>
        <w:t>Tradução</w:t>
      </w:r>
      <w:proofErr w:type="spellEnd"/>
      <w:r>
        <w:t xml:space="preserve"> e </w:t>
      </w:r>
      <w:proofErr w:type="spellStart"/>
      <w:r>
        <w:t>validação</w:t>
      </w:r>
      <w:proofErr w:type="spellEnd"/>
      <w:r>
        <w:t xml:space="preserve"> de </w:t>
      </w:r>
      <w:proofErr w:type="spellStart"/>
      <w:r>
        <w:t>conteúdo</w:t>
      </w:r>
      <w:proofErr w:type="spellEnd"/>
      <w:r>
        <w:t xml:space="preserve">: Uma </w:t>
      </w:r>
      <w:proofErr w:type="spellStart"/>
      <w:r>
        <w:t>proposta</w:t>
      </w:r>
      <w:proofErr w:type="spellEnd"/>
      <w:r>
        <w:t xml:space="preserve"> para </w:t>
      </w:r>
      <w:proofErr w:type="gramStart"/>
      <w:r>
        <w:t>a</w:t>
      </w:r>
      <w:proofErr w:type="gramEnd"/>
      <w:r>
        <w:t xml:space="preserve"> </w:t>
      </w:r>
      <w:proofErr w:type="spellStart"/>
      <w:r>
        <w:t>adaptação</w:t>
      </w:r>
      <w:proofErr w:type="spellEnd"/>
      <w:r>
        <w:t xml:space="preserve"> de </w:t>
      </w:r>
      <w:proofErr w:type="spellStart"/>
      <w:r>
        <w:t>instrumentos</w:t>
      </w:r>
      <w:proofErr w:type="spellEnd"/>
      <w:r>
        <w:t xml:space="preserve">. Em L. Pasquali, </w:t>
      </w:r>
      <w:proofErr w:type="spellStart"/>
      <w:r>
        <w:rPr>
          <w:i/>
        </w:rPr>
        <w:t>Instrumentação</w:t>
      </w:r>
      <w:proofErr w:type="spellEnd"/>
      <w:r>
        <w:rPr>
          <w:i/>
        </w:rPr>
        <w:t xml:space="preserve"> </w:t>
      </w:r>
      <w:proofErr w:type="spellStart"/>
      <w:r>
        <w:rPr>
          <w:i/>
        </w:rPr>
        <w:t>psicológica</w:t>
      </w:r>
      <w:proofErr w:type="spellEnd"/>
      <w:r>
        <w:rPr>
          <w:i/>
        </w:rPr>
        <w:t xml:space="preserve">: </w:t>
      </w:r>
      <w:proofErr w:type="spellStart"/>
      <w:r>
        <w:rPr>
          <w:i/>
        </w:rPr>
        <w:t>Fundamentos</w:t>
      </w:r>
      <w:proofErr w:type="spellEnd"/>
      <w:r>
        <w:rPr>
          <w:i/>
        </w:rPr>
        <w:t xml:space="preserve"> e </w:t>
      </w:r>
      <w:proofErr w:type="spellStart"/>
      <w:r>
        <w:rPr>
          <w:i/>
        </w:rPr>
        <w:t>práticas</w:t>
      </w:r>
      <w:proofErr w:type="spellEnd"/>
      <w:r>
        <w:t xml:space="preserve">, 506-520. </w:t>
      </w:r>
      <w:proofErr w:type="spellStart"/>
      <w:r>
        <w:t>Artmed</w:t>
      </w:r>
      <w:proofErr w:type="spellEnd"/>
      <w:r>
        <w:t xml:space="preserve">. Retrieved </w:t>
      </w:r>
      <w:r>
        <w:lastRenderedPageBreak/>
        <w:t xml:space="preserve">from: </w:t>
      </w:r>
      <w:hyperlink r:id="rId13">
        <w:r>
          <w:rPr>
            <w:color w:val="0000FF"/>
            <w:u w:val="single"/>
          </w:rPr>
          <w:t>https://www.researchgate.net/publication/303284886_Traducao_e_validacao_de_conteudo_Uma_proposta_para_a_adaptacao_de_instrumentos</w:t>
        </w:r>
      </w:hyperlink>
    </w:p>
    <w:p w14:paraId="42F2F188" w14:textId="77777777" w:rsidR="000B505F" w:rsidRDefault="00000000">
      <w:pPr>
        <w:shd w:val="clear" w:color="auto" w:fill="FFFFFF"/>
        <w:spacing w:line="360" w:lineRule="auto"/>
        <w:ind w:left="720" w:hanging="720"/>
      </w:pPr>
      <w:r>
        <w:t>Cohen, J. (2013). </w:t>
      </w:r>
      <w:r>
        <w:rPr>
          <w:i/>
        </w:rPr>
        <w:t>Statistical power analysis for the behavioral sciences</w:t>
      </w:r>
      <w:r>
        <w:t xml:space="preserve"> (Revised Edition). Academic press.</w:t>
      </w:r>
    </w:p>
    <w:p w14:paraId="7D28D55B" w14:textId="77777777" w:rsidR="000B505F" w:rsidRDefault="00000000">
      <w:pPr>
        <w:shd w:val="clear" w:color="auto" w:fill="FFFFFF"/>
        <w:spacing w:line="360" w:lineRule="auto"/>
        <w:ind w:left="720" w:hanging="720"/>
      </w:pPr>
      <w:proofErr w:type="spellStart"/>
      <w:r>
        <w:t>Conselho</w:t>
      </w:r>
      <w:proofErr w:type="spellEnd"/>
      <w:r>
        <w:t xml:space="preserve"> Nacional de </w:t>
      </w:r>
      <w:proofErr w:type="spellStart"/>
      <w:r>
        <w:t>Saúde</w:t>
      </w:r>
      <w:proofErr w:type="spellEnd"/>
      <w:r>
        <w:t xml:space="preserve">. (2016). </w:t>
      </w:r>
      <w:proofErr w:type="spellStart"/>
      <w:r>
        <w:t>Resolução</w:t>
      </w:r>
      <w:proofErr w:type="spellEnd"/>
      <w:r>
        <w:t xml:space="preserve"> n</w:t>
      </w:r>
      <w:r>
        <w:rPr>
          <w:vertAlign w:val="superscript"/>
        </w:rPr>
        <w:t xml:space="preserve">o </w:t>
      </w:r>
      <w:r>
        <w:t xml:space="preserve">510, de 7 de </w:t>
      </w:r>
      <w:proofErr w:type="spellStart"/>
      <w:r>
        <w:t>abril</w:t>
      </w:r>
      <w:proofErr w:type="spellEnd"/>
      <w:r>
        <w:t xml:space="preserve"> de 2016 -</w:t>
      </w:r>
      <w:proofErr w:type="spellStart"/>
      <w:r>
        <w:t>Dispõe</w:t>
      </w:r>
      <w:proofErr w:type="spellEnd"/>
      <w:r>
        <w:t xml:space="preserve"> </w:t>
      </w:r>
      <w:proofErr w:type="spellStart"/>
      <w:r>
        <w:t>sobre</w:t>
      </w:r>
      <w:proofErr w:type="spellEnd"/>
      <w:r>
        <w:t xml:space="preserve"> a </w:t>
      </w:r>
      <w:proofErr w:type="spellStart"/>
      <w:r>
        <w:t>pesquisa</w:t>
      </w:r>
      <w:proofErr w:type="spellEnd"/>
      <w:r>
        <w:t xml:space="preserve"> </w:t>
      </w:r>
      <w:proofErr w:type="spellStart"/>
      <w:r>
        <w:t>em</w:t>
      </w:r>
      <w:proofErr w:type="spellEnd"/>
      <w:r>
        <w:t xml:space="preserve"> </w:t>
      </w:r>
      <w:proofErr w:type="spellStart"/>
      <w:r>
        <w:t>Ciências</w:t>
      </w:r>
      <w:proofErr w:type="spellEnd"/>
      <w:r>
        <w:t xml:space="preserve"> </w:t>
      </w:r>
      <w:proofErr w:type="spellStart"/>
      <w:r>
        <w:t>Humanas</w:t>
      </w:r>
      <w:proofErr w:type="spellEnd"/>
      <w:r>
        <w:t xml:space="preserve"> e </w:t>
      </w:r>
      <w:proofErr w:type="spellStart"/>
      <w:r>
        <w:t>Sociais</w:t>
      </w:r>
      <w:proofErr w:type="spellEnd"/>
      <w:r>
        <w:t xml:space="preserve">. </w:t>
      </w:r>
      <w:proofErr w:type="spellStart"/>
      <w:r>
        <w:t>Ministério</w:t>
      </w:r>
      <w:proofErr w:type="spellEnd"/>
      <w:r>
        <w:t xml:space="preserve"> da </w:t>
      </w:r>
      <w:proofErr w:type="spellStart"/>
      <w:r>
        <w:t>Saúde</w:t>
      </w:r>
      <w:proofErr w:type="spellEnd"/>
      <w:r>
        <w:t xml:space="preserve">. Retrieved from: </w:t>
      </w:r>
      <w:hyperlink r:id="rId14">
        <w:r>
          <w:rPr>
            <w:u w:val="single"/>
          </w:rPr>
          <w:t>https://bvsms.saude.gov.br/bvs/saudelegis/cns/2016/res0510_07_04_2016.html</w:t>
        </w:r>
      </w:hyperlink>
    </w:p>
    <w:p w14:paraId="228DF3EE" w14:textId="77777777" w:rsidR="000B505F" w:rsidRDefault="00000000">
      <w:pPr>
        <w:shd w:val="clear" w:color="auto" w:fill="FFFFFF"/>
        <w:spacing w:line="360" w:lineRule="auto"/>
        <w:ind w:left="720" w:hanging="720"/>
      </w:pPr>
      <w:proofErr w:type="spellStart"/>
      <w:r>
        <w:t>Conselho</w:t>
      </w:r>
      <w:proofErr w:type="spellEnd"/>
      <w:r>
        <w:t xml:space="preserve"> Nacional de </w:t>
      </w:r>
      <w:proofErr w:type="spellStart"/>
      <w:r>
        <w:t>Saúde</w:t>
      </w:r>
      <w:proofErr w:type="spellEnd"/>
      <w:r>
        <w:t xml:space="preserve">. (2012). </w:t>
      </w:r>
      <w:proofErr w:type="spellStart"/>
      <w:r>
        <w:t>Resolução</w:t>
      </w:r>
      <w:proofErr w:type="spellEnd"/>
      <w:r>
        <w:t xml:space="preserve"> n</w:t>
      </w:r>
      <w:r>
        <w:rPr>
          <w:vertAlign w:val="superscript"/>
        </w:rPr>
        <w:t>o</w:t>
      </w:r>
      <w:r>
        <w:t xml:space="preserve"> 466, de 12 de </w:t>
      </w:r>
      <w:proofErr w:type="spellStart"/>
      <w:r>
        <w:t>dezembro</w:t>
      </w:r>
      <w:proofErr w:type="spellEnd"/>
      <w:r>
        <w:t xml:space="preserve"> de 2012 - </w:t>
      </w:r>
      <w:proofErr w:type="spellStart"/>
      <w:r>
        <w:t>Dispõe</w:t>
      </w:r>
      <w:proofErr w:type="spellEnd"/>
      <w:r>
        <w:t xml:space="preserve"> </w:t>
      </w:r>
      <w:proofErr w:type="spellStart"/>
      <w:r>
        <w:t>sobre</w:t>
      </w:r>
      <w:proofErr w:type="spellEnd"/>
      <w:r>
        <w:t xml:space="preserve"> as </w:t>
      </w:r>
      <w:proofErr w:type="spellStart"/>
      <w:r>
        <w:t>diretrizes</w:t>
      </w:r>
      <w:proofErr w:type="spellEnd"/>
      <w:r>
        <w:t xml:space="preserve"> e </w:t>
      </w:r>
      <w:proofErr w:type="spellStart"/>
      <w:r>
        <w:t>normas</w:t>
      </w:r>
      <w:proofErr w:type="spellEnd"/>
      <w:r>
        <w:t xml:space="preserve"> </w:t>
      </w:r>
      <w:proofErr w:type="spellStart"/>
      <w:r>
        <w:t>regulamentadoras</w:t>
      </w:r>
      <w:proofErr w:type="spellEnd"/>
      <w:r>
        <w:t xml:space="preserve"> de </w:t>
      </w:r>
      <w:proofErr w:type="spellStart"/>
      <w:r>
        <w:t>pesquisa</w:t>
      </w:r>
      <w:proofErr w:type="spellEnd"/>
      <w:r>
        <w:t xml:space="preserve"> </w:t>
      </w:r>
      <w:proofErr w:type="spellStart"/>
      <w:r>
        <w:t>envolvendo</w:t>
      </w:r>
      <w:proofErr w:type="spellEnd"/>
      <w:r>
        <w:t xml:space="preserve"> </w:t>
      </w:r>
      <w:proofErr w:type="spellStart"/>
      <w:r>
        <w:t>seres</w:t>
      </w:r>
      <w:proofErr w:type="spellEnd"/>
      <w:r>
        <w:t xml:space="preserve"> </w:t>
      </w:r>
      <w:proofErr w:type="spellStart"/>
      <w:r>
        <w:t>humanos</w:t>
      </w:r>
      <w:proofErr w:type="spellEnd"/>
      <w:r>
        <w:t xml:space="preserve">. </w:t>
      </w:r>
      <w:proofErr w:type="spellStart"/>
      <w:r>
        <w:t>Ministério</w:t>
      </w:r>
      <w:proofErr w:type="spellEnd"/>
      <w:r>
        <w:t xml:space="preserve"> da </w:t>
      </w:r>
      <w:proofErr w:type="spellStart"/>
      <w:r>
        <w:t>Saúde</w:t>
      </w:r>
      <w:proofErr w:type="spellEnd"/>
      <w:r>
        <w:t xml:space="preserve">. Retrieved from: </w:t>
      </w:r>
      <w:hyperlink r:id="rId15">
        <w:r>
          <w:rPr>
            <w:color w:val="0000FF"/>
            <w:u w:val="single"/>
          </w:rPr>
          <w:t>https://bvsms.saude.gov.br/bvs/saudelegis/cns/2013/res0466_12_12_2012.html</w:t>
        </w:r>
      </w:hyperlink>
    </w:p>
    <w:p w14:paraId="3AD3AC48" w14:textId="77777777" w:rsidR="000B505F" w:rsidRDefault="00000000">
      <w:pPr>
        <w:shd w:val="clear" w:color="auto" w:fill="FFFFFF"/>
        <w:spacing w:line="360" w:lineRule="auto"/>
        <w:ind w:left="720" w:hanging="720"/>
      </w:pPr>
      <w:r>
        <w:t>Earp, B. D., McLoughlin, K. L., Monrad, J. T., Clark, M. S., &amp; Crockett, M. J. (2021).</w:t>
      </w:r>
    </w:p>
    <w:p w14:paraId="6585102F" w14:textId="77777777" w:rsidR="000B505F" w:rsidRDefault="00000000">
      <w:pPr>
        <w:shd w:val="clear" w:color="auto" w:fill="FFFFFF"/>
        <w:spacing w:line="360" w:lineRule="auto"/>
        <w:ind w:left="720" w:hanging="720"/>
      </w:pPr>
      <w:r>
        <w:t xml:space="preserve"> </w:t>
      </w:r>
      <w:r>
        <w:tab/>
        <w:t xml:space="preserve">How social relationships shape moral wrongness judgments. </w:t>
      </w:r>
      <w:r>
        <w:rPr>
          <w:i/>
        </w:rPr>
        <w:t>Nature Communications, 12</w:t>
      </w:r>
      <w:r>
        <w:t xml:space="preserve">, 5776. </w:t>
      </w:r>
      <w:hyperlink r:id="rId16">
        <w:r>
          <w:rPr>
            <w:u w:val="single"/>
          </w:rPr>
          <w:t>https://doi.org/10.1038/s41467-021-26067-4</w:t>
        </w:r>
      </w:hyperlink>
      <w:r>
        <w:t xml:space="preserve"> </w:t>
      </w:r>
    </w:p>
    <w:p w14:paraId="3CCAC699" w14:textId="77777777" w:rsidR="000B505F" w:rsidRDefault="00000000">
      <w:pPr>
        <w:spacing w:line="360" w:lineRule="auto"/>
        <w:ind w:left="720" w:hanging="720"/>
      </w:pPr>
      <w:r>
        <w:t>Edwards, A. A., Joyner, K. J., &amp; Schatschneider, C. (2021). A Simulation Study on the Performance of Different Reliability Estimation Methods. </w:t>
      </w:r>
      <w:r>
        <w:rPr>
          <w:i/>
        </w:rPr>
        <w:t>Educational and Psychological Measurement</w:t>
      </w:r>
      <w:r>
        <w:t>, </w:t>
      </w:r>
      <w:r>
        <w:rPr>
          <w:i/>
        </w:rPr>
        <w:t>81</w:t>
      </w:r>
      <w:r>
        <w:t>(6), 1089–1117. </w:t>
      </w:r>
    </w:p>
    <w:p w14:paraId="4A31A829" w14:textId="77777777" w:rsidR="000B505F" w:rsidRDefault="00000000">
      <w:pPr>
        <w:spacing w:line="360" w:lineRule="auto"/>
        <w:ind w:left="720" w:hanging="720"/>
      </w:pPr>
      <w:r>
        <w:tab/>
      </w:r>
      <w:hyperlink r:id="rId17">
        <w:r>
          <w:rPr>
            <w:u w:val="single"/>
          </w:rPr>
          <w:t>https://doi.org/10.1177/0013164421994184</w:t>
        </w:r>
      </w:hyperlink>
      <w:r>
        <w:t xml:space="preserve"> </w:t>
      </w:r>
    </w:p>
    <w:p w14:paraId="6E0CF8CB" w14:textId="77777777" w:rsidR="000B505F" w:rsidRDefault="00000000">
      <w:pPr>
        <w:shd w:val="clear" w:color="auto" w:fill="FFFFFF"/>
        <w:spacing w:line="360" w:lineRule="auto"/>
        <w:ind w:left="720" w:hanging="720"/>
        <w:rPr>
          <w:u w:val="single"/>
        </w:rPr>
      </w:pPr>
      <w:r>
        <w:t xml:space="preserve">Fleiss, J. L. (1971). Measuring nominal scale agreement among many raters. </w:t>
      </w:r>
      <w:r>
        <w:rPr>
          <w:i/>
        </w:rPr>
        <w:t>Psychological Bulletin,</w:t>
      </w:r>
      <w:r>
        <w:t xml:space="preserve"> </w:t>
      </w:r>
      <w:r>
        <w:rPr>
          <w:i/>
        </w:rPr>
        <w:t>76</w:t>
      </w:r>
      <w:r>
        <w:t>(5), 378-82.</w:t>
      </w:r>
      <w:hyperlink r:id="rId18">
        <w:r>
          <w:t xml:space="preserve"> </w:t>
        </w:r>
      </w:hyperlink>
      <w:hyperlink r:id="rId19">
        <w:r>
          <w:rPr>
            <w:u w:val="single"/>
          </w:rPr>
          <w:t>https://doi.org/10.1037/h0031619</w:t>
        </w:r>
      </w:hyperlink>
    </w:p>
    <w:p w14:paraId="02B18407" w14:textId="77777777" w:rsidR="000B505F" w:rsidRDefault="00000000">
      <w:pPr>
        <w:shd w:val="clear" w:color="auto" w:fill="FFFFFF"/>
        <w:spacing w:line="360" w:lineRule="auto"/>
        <w:ind w:left="720" w:hanging="720"/>
        <w:rPr>
          <w:u w:val="single"/>
        </w:rPr>
      </w:pPr>
      <w:r>
        <w:t xml:space="preserve">Fornell, C., &amp; Larcker, D. F. (1981). Evaluating structural equation models with unobservable variables and measurement error. </w:t>
      </w:r>
      <w:r>
        <w:rPr>
          <w:i/>
        </w:rPr>
        <w:t>Journal of Marketing Research</w:t>
      </w:r>
      <w:r>
        <w:t xml:space="preserve">, </w:t>
      </w:r>
      <w:r>
        <w:rPr>
          <w:i/>
        </w:rPr>
        <w:t>18</w:t>
      </w:r>
      <w:r>
        <w:t xml:space="preserve">(1), 39–50. </w:t>
      </w:r>
      <w:hyperlink r:id="rId20">
        <w:r>
          <w:rPr>
            <w:color w:val="1155CC"/>
            <w:u w:val="single"/>
          </w:rPr>
          <w:t>https://doi.org/10.2307/3151312</w:t>
        </w:r>
      </w:hyperlink>
      <w:r>
        <w:rPr>
          <w:u w:val="single"/>
        </w:rPr>
        <w:t xml:space="preserve"> </w:t>
      </w:r>
    </w:p>
    <w:p w14:paraId="6F22B2D1" w14:textId="77777777" w:rsidR="000B505F" w:rsidRDefault="00000000">
      <w:pPr>
        <w:shd w:val="clear" w:color="auto" w:fill="FFFFFF"/>
        <w:spacing w:line="360" w:lineRule="auto"/>
        <w:ind w:left="720" w:hanging="720"/>
        <w:rPr>
          <w:u w:val="single"/>
        </w:rPr>
      </w:pPr>
      <w:r>
        <w:t xml:space="preserve">Haidt, J., &amp; Graham, J. (2007). When morality opposes justice: Conservatives have moral intuitions that liberals may not recognize. </w:t>
      </w:r>
      <w:r>
        <w:rPr>
          <w:i/>
        </w:rPr>
        <w:t>Social justice research</w:t>
      </w:r>
      <w:r>
        <w:t xml:space="preserve">, </w:t>
      </w:r>
      <w:r>
        <w:rPr>
          <w:i/>
        </w:rPr>
        <w:t>20</w:t>
      </w:r>
      <w:r>
        <w:t>(1), 98-116.</w:t>
      </w:r>
      <w:hyperlink r:id="rId21">
        <w:r>
          <w:t xml:space="preserve"> </w:t>
        </w:r>
      </w:hyperlink>
      <w:hyperlink r:id="rId22">
        <w:r>
          <w:rPr>
            <w:u w:val="single"/>
          </w:rPr>
          <w:t>https://doi.org/10.1007/s11211-007-0034-z</w:t>
        </w:r>
      </w:hyperlink>
    </w:p>
    <w:p w14:paraId="2132F790" w14:textId="77777777" w:rsidR="000B505F" w:rsidRDefault="00000000">
      <w:pPr>
        <w:shd w:val="clear" w:color="auto" w:fill="FFFFFF"/>
        <w:spacing w:line="360" w:lineRule="auto"/>
        <w:ind w:left="720" w:hanging="720"/>
      </w:pPr>
      <w:r>
        <w:t xml:space="preserve">Hair Jr., J. F., Black, W. C., Babin, B. J., &amp; Anderson, R. E. (2019). </w:t>
      </w:r>
      <w:r>
        <w:rPr>
          <w:i/>
        </w:rPr>
        <w:t xml:space="preserve">Multivariate Data Analysis </w:t>
      </w:r>
      <w:r>
        <w:t>(8th ed.)</w:t>
      </w:r>
      <w:r>
        <w:rPr>
          <w:i/>
        </w:rPr>
        <w:t xml:space="preserve">. </w:t>
      </w:r>
      <w:r>
        <w:t>Cengage Learning EMEA.</w:t>
      </w:r>
    </w:p>
    <w:p w14:paraId="3B500EA1" w14:textId="77777777" w:rsidR="000B505F" w:rsidRDefault="00000000">
      <w:pPr>
        <w:spacing w:line="360" w:lineRule="auto"/>
        <w:ind w:left="720" w:hanging="720"/>
      </w:pPr>
      <w:r>
        <w:t xml:space="preserve">Hair Jr, J. F., Hult, G. T. M., Ringle, C. M., Sarstedt, M., Danks, N. P., &amp; Ray, S. (2021). </w:t>
      </w:r>
      <w:r>
        <w:rPr>
          <w:i/>
        </w:rPr>
        <w:t>Partial least squares structural equation modeling (PLS-SEM) using R: A workbook.</w:t>
      </w:r>
      <w:r>
        <w:t xml:space="preserve"> Springer.</w:t>
      </w:r>
    </w:p>
    <w:p w14:paraId="094DFCA0" w14:textId="77777777" w:rsidR="000B505F" w:rsidRDefault="00000000">
      <w:pPr>
        <w:shd w:val="clear" w:color="auto" w:fill="FFFFFF"/>
        <w:spacing w:line="360" w:lineRule="auto"/>
        <w:ind w:left="720" w:hanging="720"/>
      </w:pPr>
      <w:r>
        <w:lastRenderedPageBreak/>
        <w:t xml:space="preserve">Hauck-Filho, N., &amp; Valentini, F. (2020). </w:t>
      </w:r>
      <w:proofErr w:type="spellStart"/>
      <w:r>
        <w:t>Coeficientes</w:t>
      </w:r>
      <w:proofErr w:type="spellEnd"/>
      <w:r>
        <w:t xml:space="preserve"> de </w:t>
      </w:r>
      <w:proofErr w:type="spellStart"/>
      <w:r>
        <w:t>fidedignidade</w:t>
      </w:r>
      <w:proofErr w:type="spellEnd"/>
      <w:r>
        <w:t xml:space="preserve"> e </w:t>
      </w:r>
      <w:proofErr w:type="spellStart"/>
      <w:r>
        <w:t>violações</w:t>
      </w:r>
      <w:proofErr w:type="spellEnd"/>
      <w:r>
        <w:t xml:space="preserve"> dos </w:t>
      </w:r>
      <w:proofErr w:type="spellStart"/>
      <w:r>
        <w:t>pressupostos</w:t>
      </w:r>
      <w:proofErr w:type="spellEnd"/>
      <w:r>
        <w:t xml:space="preserve"> </w:t>
      </w:r>
      <w:proofErr w:type="spellStart"/>
      <w:r>
        <w:t>essencialmente</w:t>
      </w:r>
      <w:proofErr w:type="spellEnd"/>
      <w:r>
        <w:t xml:space="preserve"> tau-</w:t>
      </w:r>
      <w:proofErr w:type="spellStart"/>
      <w:r>
        <w:t>equivalentes</w:t>
      </w:r>
      <w:proofErr w:type="spellEnd"/>
      <w:r>
        <w:t>. </w:t>
      </w:r>
      <w:proofErr w:type="spellStart"/>
      <w:r>
        <w:rPr>
          <w:i/>
        </w:rPr>
        <w:t>Avaliação</w:t>
      </w:r>
      <w:proofErr w:type="spellEnd"/>
      <w:r>
        <w:rPr>
          <w:i/>
        </w:rPr>
        <w:t xml:space="preserve"> </w:t>
      </w:r>
      <w:proofErr w:type="spellStart"/>
      <w:r>
        <w:rPr>
          <w:i/>
        </w:rPr>
        <w:t>Psicológica</w:t>
      </w:r>
      <w:proofErr w:type="spellEnd"/>
      <w:r>
        <w:t>, </w:t>
      </w:r>
      <w:r>
        <w:rPr>
          <w:i/>
        </w:rPr>
        <w:t>19</w:t>
      </w:r>
      <w:r>
        <w:t>(3), a-b. </w:t>
      </w:r>
      <w:hyperlink r:id="rId23">
        <w:r>
          <w:rPr>
            <w:u w:val="single"/>
          </w:rPr>
          <w:t>https://dx.doi.org/10.15689/ap.2020.1903.ed</w:t>
        </w:r>
      </w:hyperlink>
    </w:p>
    <w:p w14:paraId="0FE13A34" w14:textId="77777777" w:rsidR="000B505F" w:rsidRDefault="00000000">
      <w:pPr>
        <w:shd w:val="clear" w:color="auto" w:fill="FFFFFF"/>
        <w:spacing w:line="360" w:lineRule="auto"/>
        <w:ind w:left="720" w:hanging="720"/>
        <w:rPr>
          <w:u w:val="single"/>
        </w:rPr>
      </w:pPr>
      <w:r>
        <w:t>Hayes, A. F., &amp; Coutts, J. J. (2020). Use Omega Rather than Cronbach’s Alpha for Estimating Reliability. But…. </w:t>
      </w:r>
      <w:r>
        <w:rPr>
          <w:i/>
        </w:rPr>
        <w:t>Communication Methods and Measures</w:t>
      </w:r>
      <w:r>
        <w:t>, </w:t>
      </w:r>
      <w:r>
        <w:rPr>
          <w:i/>
        </w:rPr>
        <w:t>14</w:t>
      </w:r>
      <w:r>
        <w:t xml:space="preserve">(1), 1-24. </w:t>
      </w:r>
      <w:r>
        <w:rPr>
          <w:u w:val="single"/>
        </w:rPr>
        <w:t>https://doi.org/</w:t>
      </w:r>
      <w:hyperlink r:id="rId24">
        <w:r>
          <w:rPr>
            <w:u w:val="single"/>
          </w:rPr>
          <w:t>10.1080/19312458.2020.1718629</w:t>
        </w:r>
      </w:hyperlink>
      <w:r>
        <w:rPr>
          <w:u w:val="single"/>
        </w:rPr>
        <w:t xml:space="preserve"> </w:t>
      </w:r>
    </w:p>
    <w:p w14:paraId="4E829995" w14:textId="77777777" w:rsidR="000B505F" w:rsidRDefault="00000000">
      <w:pPr>
        <w:shd w:val="clear" w:color="auto" w:fill="FFFFFF"/>
        <w:spacing w:line="360" w:lineRule="auto"/>
        <w:ind w:left="720" w:hanging="720"/>
        <w:rPr>
          <w:u w:val="single"/>
        </w:rPr>
      </w:pPr>
      <w:r>
        <w:t>Hazan, C., &amp; Shaver, P. R. (1987). Romantic love conceptualized as an attachment process.</w:t>
      </w:r>
      <w:r>
        <w:rPr>
          <w:u w:val="single"/>
        </w:rPr>
        <w:t xml:space="preserve"> </w:t>
      </w:r>
      <w:r>
        <w:rPr>
          <w:i/>
        </w:rPr>
        <w:t>Journal of Personality and Social Psychology</w:t>
      </w:r>
      <w:r>
        <w:t xml:space="preserve">, </w:t>
      </w:r>
      <w:r>
        <w:rPr>
          <w:i/>
        </w:rPr>
        <w:t>52</w:t>
      </w:r>
      <w:r>
        <w:t xml:space="preserve">(3), 511-524. </w:t>
      </w:r>
      <w:hyperlink r:id="rId25">
        <w:r>
          <w:rPr>
            <w:color w:val="0000FF"/>
            <w:u w:val="single"/>
          </w:rPr>
          <w:t>https://doi.org/10.1037/0022-3514.52.3.511</w:t>
        </w:r>
      </w:hyperlink>
      <w:r>
        <w:t xml:space="preserve"> </w:t>
      </w:r>
      <w:hyperlink r:id="rId26">
        <w:r>
          <w:t xml:space="preserve"> </w:t>
        </w:r>
      </w:hyperlink>
      <w:r>
        <w:t xml:space="preserve"> </w:t>
      </w:r>
    </w:p>
    <w:p w14:paraId="034AC7EB" w14:textId="77777777" w:rsidR="000B505F" w:rsidRDefault="00000000">
      <w:pPr>
        <w:shd w:val="clear" w:color="auto" w:fill="FFFFFF"/>
        <w:spacing w:line="360" w:lineRule="auto"/>
        <w:ind w:left="720" w:hanging="720"/>
        <w:rPr>
          <w:u w:val="single"/>
        </w:rPr>
      </w:pPr>
      <w:r>
        <w:t>Henseler, J., Ringle, C. M., &amp; Sarstedt, M. (2015). A new criterion for assessing discriminant validity in variance-based structural equation modeling. </w:t>
      </w:r>
      <w:r>
        <w:rPr>
          <w:i/>
        </w:rPr>
        <w:t>Journal of the Academy of Marketing Science, 43</w:t>
      </w:r>
      <w:r>
        <w:t>, 115–135. </w:t>
      </w:r>
      <w:hyperlink r:id="rId27">
        <w:r>
          <w:rPr>
            <w:u w:val="single"/>
          </w:rPr>
          <w:t>https://doi.org/10.1007/s11747-014-0403-8</w:t>
        </w:r>
      </w:hyperlink>
    </w:p>
    <w:p w14:paraId="66E42D3A" w14:textId="77777777" w:rsidR="000B505F" w:rsidRDefault="00000000">
      <w:pPr>
        <w:shd w:val="clear" w:color="auto" w:fill="FFFFFF"/>
        <w:spacing w:line="360" w:lineRule="auto"/>
        <w:ind w:left="720" w:hanging="720"/>
        <w:rPr>
          <w:color w:val="000000"/>
        </w:rPr>
      </w:pPr>
      <w:r>
        <w:rPr>
          <w:color w:val="000000"/>
        </w:rPr>
        <w:t xml:space="preserve">Hernández-Nieto, R. A. (2002). </w:t>
      </w:r>
      <w:r>
        <w:rPr>
          <w:i/>
          <w:color w:val="000000"/>
        </w:rPr>
        <w:t>Contributions to Statistical Analysis</w:t>
      </w:r>
      <w:r>
        <w:rPr>
          <w:color w:val="000000"/>
        </w:rPr>
        <w:t>. Universidad de Los Andes.</w:t>
      </w:r>
    </w:p>
    <w:p w14:paraId="5AA80661" w14:textId="77777777" w:rsidR="000B505F" w:rsidRDefault="00000000">
      <w:pPr>
        <w:shd w:val="clear" w:color="auto" w:fill="FFFFFF"/>
        <w:spacing w:line="360" w:lineRule="auto"/>
        <w:ind w:left="720" w:hanging="720"/>
        <w:rPr>
          <w:u w:val="single"/>
        </w:rPr>
      </w:pPr>
      <w:r>
        <w:rPr>
          <w:color w:val="000000"/>
        </w:rPr>
        <w:t>International Test C</w:t>
      </w:r>
      <w:r>
        <w:t xml:space="preserve">ommission. (2017). </w:t>
      </w:r>
      <w:r>
        <w:rPr>
          <w:i/>
        </w:rPr>
        <w:t>The ITC Guidelines for Translating and Adapting Tests</w:t>
      </w:r>
      <w:r>
        <w:t xml:space="preserve"> (Second edition).</w:t>
      </w:r>
      <w:hyperlink r:id="rId28">
        <w:r>
          <w:t xml:space="preserve"> </w:t>
        </w:r>
      </w:hyperlink>
      <w:r>
        <w:t xml:space="preserve">Retrieved from: </w:t>
      </w:r>
      <w:hyperlink r:id="rId29">
        <w:r>
          <w:rPr>
            <w:color w:val="0000FF"/>
            <w:u w:val="single"/>
          </w:rPr>
          <w:t>https://www.intestcom.org/files/guideline_test_adaptation_2ed.pdf </w:t>
        </w:r>
      </w:hyperlink>
    </w:p>
    <w:p w14:paraId="7B098ED4" w14:textId="77777777" w:rsidR="000B505F" w:rsidRDefault="00000000">
      <w:pPr>
        <w:shd w:val="clear" w:color="auto" w:fill="FFFFFF"/>
        <w:spacing w:line="360" w:lineRule="auto"/>
        <w:ind w:left="720" w:hanging="720"/>
      </w:pPr>
      <w:r>
        <w:t xml:space="preserve">JASP Team (2023). JASP version 0.17.3.0 [computer software]. Retrieved from: </w:t>
      </w:r>
      <w:hyperlink r:id="rId30">
        <w:r>
          <w:rPr>
            <w:color w:val="0000FF"/>
            <w:u w:val="single"/>
          </w:rPr>
          <w:t>https://jasp-stats.org</w:t>
        </w:r>
      </w:hyperlink>
      <w:r>
        <w:t xml:space="preserve"> </w:t>
      </w:r>
    </w:p>
    <w:p w14:paraId="38B941D1" w14:textId="77777777" w:rsidR="000B505F" w:rsidRDefault="00000000">
      <w:pPr>
        <w:shd w:val="clear" w:color="auto" w:fill="FFFFFF"/>
        <w:spacing w:line="360" w:lineRule="auto"/>
        <w:ind w:left="720" w:hanging="720"/>
        <w:rPr>
          <w:u w:val="single"/>
        </w:rPr>
      </w:pPr>
      <w:r>
        <w:t xml:space="preserve">Landis, J. R., &amp; Koch, G. G. (1977). The Measurement of Observer Agreement for Categorical Data. </w:t>
      </w:r>
      <w:r>
        <w:rPr>
          <w:i/>
        </w:rPr>
        <w:t>Biometrics</w:t>
      </w:r>
      <w:r>
        <w:t xml:space="preserve">, </w:t>
      </w:r>
      <w:r>
        <w:rPr>
          <w:i/>
        </w:rPr>
        <w:t>33</w:t>
      </w:r>
      <w:r>
        <w:t>(1), 159–174.</w:t>
      </w:r>
      <w:hyperlink r:id="rId31">
        <w:r>
          <w:t xml:space="preserve"> </w:t>
        </w:r>
      </w:hyperlink>
      <w:hyperlink r:id="rId32">
        <w:r>
          <w:rPr>
            <w:u w:val="single"/>
          </w:rPr>
          <w:t>https://doi.org/10.2307/2529310</w:t>
        </w:r>
      </w:hyperlink>
    </w:p>
    <w:p w14:paraId="361ED0DC" w14:textId="77777777" w:rsidR="000B505F" w:rsidRDefault="00000000">
      <w:pPr>
        <w:shd w:val="clear" w:color="auto" w:fill="FFFFFF"/>
        <w:spacing w:line="360" w:lineRule="auto"/>
        <w:ind w:left="720" w:hanging="720"/>
        <w:rPr>
          <w:u w:val="single"/>
        </w:rPr>
      </w:pPr>
      <w:r>
        <w:t xml:space="preserve">Limone, P., &amp; Toto, G. A. (2022). Factors that predispose undergraduates to mental issues: A cumulative literature review for future research perspectives. </w:t>
      </w:r>
      <w:r>
        <w:rPr>
          <w:i/>
        </w:rPr>
        <w:t>Frontiers in public health</w:t>
      </w:r>
      <w:r>
        <w:t>,</w:t>
      </w:r>
      <w:hyperlink r:id="rId33">
        <w:r>
          <w:t xml:space="preserve"> </w:t>
        </w:r>
      </w:hyperlink>
      <w:hyperlink r:id="rId34">
        <w:r>
          <w:rPr>
            <w:u w:val="single"/>
          </w:rPr>
          <w:t>https://doi.org/10.3389/fpubh.2022.831349</w:t>
        </w:r>
      </w:hyperlink>
    </w:p>
    <w:p w14:paraId="573F4AE8" w14:textId="77777777" w:rsidR="000B505F" w:rsidRDefault="00000000">
      <w:pPr>
        <w:spacing w:line="360" w:lineRule="auto"/>
        <w:ind w:left="720" w:hanging="720"/>
      </w:pPr>
      <w:proofErr w:type="spellStart"/>
      <w:r>
        <w:t>Mardia</w:t>
      </w:r>
      <w:proofErr w:type="spellEnd"/>
      <w:r>
        <w:t>, K. V. (1970). Measures of multivariate skewness and kurtosis with applications. </w:t>
      </w:r>
      <w:proofErr w:type="spellStart"/>
      <w:r>
        <w:rPr>
          <w:i/>
        </w:rPr>
        <w:t>Biometrika</w:t>
      </w:r>
      <w:proofErr w:type="spellEnd"/>
      <w:r>
        <w:t xml:space="preserve">, 57(3), 519-530. </w:t>
      </w:r>
      <w:hyperlink r:id="rId35">
        <w:r>
          <w:rPr>
            <w:u w:val="single"/>
          </w:rPr>
          <w:t>https://doi.org/10.2307/2334770</w:t>
        </w:r>
      </w:hyperlink>
      <w:r>
        <w:rPr>
          <w:u w:val="single"/>
        </w:rPr>
        <w:t xml:space="preserve"> </w:t>
      </w:r>
    </w:p>
    <w:p w14:paraId="32298EF5" w14:textId="77777777" w:rsidR="000B505F" w:rsidRDefault="00000000">
      <w:pPr>
        <w:shd w:val="clear" w:color="auto" w:fill="FFFFFF"/>
        <w:spacing w:line="360" w:lineRule="auto"/>
        <w:ind w:left="720" w:hanging="720"/>
      </w:pPr>
      <w:proofErr w:type="spellStart"/>
      <w:r>
        <w:t>Marôco</w:t>
      </w:r>
      <w:proofErr w:type="spellEnd"/>
      <w:r>
        <w:t xml:space="preserve">, J. (2021). </w:t>
      </w:r>
      <w:proofErr w:type="spellStart"/>
      <w:r>
        <w:rPr>
          <w:i/>
        </w:rPr>
        <w:t>Análise</w:t>
      </w:r>
      <w:proofErr w:type="spellEnd"/>
      <w:r>
        <w:rPr>
          <w:i/>
        </w:rPr>
        <w:t xml:space="preserve"> de </w:t>
      </w:r>
      <w:proofErr w:type="spellStart"/>
      <w:r>
        <w:rPr>
          <w:i/>
        </w:rPr>
        <w:t>Equações</w:t>
      </w:r>
      <w:proofErr w:type="spellEnd"/>
      <w:r>
        <w:rPr>
          <w:i/>
        </w:rPr>
        <w:t xml:space="preserve"> </w:t>
      </w:r>
      <w:proofErr w:type="spellStart"/>
      <w:r>
        <w:rPr>
          <w:i/>
        </w:rPr>
        <w:t>Estruturais</w:t>
      </w:r>
      <w:proofErr w:type="spellEnd"/>
      <w:r>
        <w:rPr>
          <w:i/>
        </w:rPr>
        <w:t xml:space="preserve">: </w:t>
      </w:r>
      <w:proofErr w:type="spellStart"/>
      <w:r>
        <w:rPr>
          <w:i/>
        </w:rPr>
        <w:t>Fundamentos</w:t>
      </w:r>
      <w:proofErr w:type="spellEnd"/>
      <w:r>
        <w:rPr>
          <w:i/>
        </w:rPr>
        <w:t xml:space="preserve"> </w:t>
      </w:r>
      <w:proofErr w:type="spellStart"/>
      <w:r>
        <w:rPr>
          <w:i/>
        </w:rPr>
        <w:t>teóricos</w:t>
      </w:r>
      <w:proofErr w:type="spellEnd"/>
      <w:r>
        <w:rPr>
          <w:i/>
        </w:rPr>
        <w:t xml:space="preserve">, Software &amp; </w:t>
      </w:r>
      <w:proofErr w:type="spellStart"/>
      <w:r>
        <w:rPr>
          <w:i/>
        </w:rPr>
        <w:t>Aplicações</w:t>
      </w:r>
      <w:proofErr w:type="spellEnd"/>
      <w:r>
        <w:t xml:space="preserve">. </w:t>
      </w:r>
      <w:proofErr w:type="spellStart"/>
      <w:r>
        <w:t>ReportNumber</w:t>
      </w:r>
      <w:proofErr w:type="spellEnd"/>
      <w:r>
        <w:t>.</w:t>
      </w:r>
    </w:p>
    <w:p w14:paraId="7F5E1D53" w14:textId="77777777" w:rsidR="000B505F" w:rsidRDefault="00000000">
      <w:pPr>
        <w:shd w:val="clear" w:color="auto" w:fill="FFFFFF"/>
        <w:spacing w:line="360" w:lineRule="auto"/>
        <w:ind w:left="720" w:hanging="720"/>
        <w:rPr>
          <w:u w:val="single"/>
        </w:rPr>
      </w:pPr>
      <w:r>
        <w:t>OpenAI. (2023). ChatGPT [</w:t>
      </w:r>
      <w:proofErr w:type="spellStart"/>
      <w:r>
        <w:t>Modelo</w:t>
      </w:r>
      <w:proofErr w:type="spellEnd"/>
      <w:r>
        <w:t xml:space="preserve"> de </w:t>
      </w:r>
      <w:proofErr w:type="spellStart"/>
      <w:r>
        <w:t>linguagem</w:t>
      </w:r>
      <w:proofErr w:type="spellEnd"/>
      <w:r>
        <w:t xml:space="preserve">]. Retrieved from: </w:t>
      </w:r>
      <w:hyperlink r:id="rId36">
        <w:r>
          <w:rPr>
            <w:color w:val="0000FF"/>
            <w:u w:val="single"/>
          </w:rPr>
          <w:t>https://chat.openai.com</w:t>
        </w:r>
      </w:hyperlink>
    </w:p>
    <w:p w14:paraId="5897EE90" w14:textId="77777777" w:rsidR="000B505F" w:rsidRDefault="00000000">
      <w:pPr>
        <w:shd w:val="clear" w:color="auto" w:fill="FFFFFF"/>
        <w:spacing w:line="360" w:lineRule="auto"/>
        <w:ind w:left="720" w:hanging="720"/>
        <w:rPr>
          <w:u w:val="single"/>
        </w:rPr>
      </w:pPr>
      <w:proofErr w:type="spellStart"/>
      <w:r>
        <w:t>Pachankis</w:t>
      </w:r>
      <w:proofErr w:type="spellEnd"/>
      <w:r>
        <w:t xml:space="preserve">, J. E., &amp; Goldfried, M. R. (2013). Clinical issues in working with lesbian, gay, and bisexual clients. </w:t>
      </w:r>
      <w:r>
        <w:rPr>
          <w:i/>
        </w:rPr>
        <w:t>Psychology of Sexual Orientation and Gender Diversity</w:t>
      </w:r>
      <w:r>
        <w:t xml:space="preserve">, </w:t>
      </w:r>
      <w:r>
        <w:rPr>
          <w:i/>
        </w:rPr>
        <w:t>1</w:t>
      </w:r>
      <w:r>
        <w:t xml:space="preserve">(S), 45–58. </w:t>
      </w:r>
      <w:hyperlink r:id="rId37">
        <w:r>
          <w:rPr>
            <w:color w:val="2C72B7"/>
          </w:rPr>
          <w:t>https://doi.org/10.1037/2329-0382.1.S.45</w:t>
        </w:r>
      </w:hyperlink>
      <w:r>
        <w:rPr>
          <w:u w:val="single"/>
        </w:rPr>
        <w:t xml:space="preserve"> </w:t>
      </w:r>
    </w:p>
    <w:p w14:paraId="57A7FC6D" w14:textId="77777777" w:rsidR="000B505F" w:rsidRDefault="00000000">
      <w:pPr>
        <w:shd w:val="clear" w:color="auto" w:fill="FFFFFF"/>
        <w:spacing w:line="360" w:lineRule="auto"/>
        <w:ind w:left="720" w:hanging="720"/>
        <w:rPr>
          <w:u w:val="single"/>
        </w:rPr>
      </w:pPr>
      <w:r>
        <w:lastRenderedPageBreak/>
        <w:t xml:space="preserve">Perry, D. G., Pauletti, R. E., &amp; Cooper, P. J. (2019). Gender identity in childhood: A review of the literature. </w:t>
      </w:r>
      <w:r>
        <w:rPr>
          <w:i/>
        </w:rPr>
        <w:t>International Journal of Behavioral Development, 43</w:t>
      </w:r>
      <w:r>
        <w:t xml:space="preserve">(4), 289–304. </w:t>
      </w:r>
      <w:hyperlink r:id="rId38">
        <w:r>
          <w:rPr>
            <w:u w:val="single"/>
          </w:rPr>
          <w:t>https://doi.org/10.1177/0165025418811129</w:t>
        </w:r>
      </w:hyperlink>
    </w:p>
    <w:p w14:paraId="628BD3F0" w14:textId="77777777" w:rsidR="000B505F" w:rsidRDefault="00000000">
      <w:pPr>
        <w:shd w:val="clear" w:color="auto" w:fill="FFFFFF"/>
        <w:spacing w:line="360" w:lineRule="auto"/>
        <w:ind w:left="720" w:hanging="720"/>
        <w:rPr>
          <w:u w:val="single"/>
        </w:rPr>
      </w:pPr>
      <w:proofErr w:type="spellStart"/>
      <w:r>
        <w:t>Selterman</w:t>
      </w:r>
      <w:proofErr w:type="spellEnd"/>
      <w:r>
        <w:t>, D., &amp; Koleva, S. (2015). Moral judgment of close relationship behaviors</w:t>
      </w:r>
      <w:r>
        <w:rPr>
          <w:i/>
        </w:rPr>
        <w:t>. Journal of social and Personal Relationships</w:t>
      </w:r>
      <w:r>
        <w:t xml:space="preserve">, </w:t>
      </w:r>
      <w:r>
        <w:rPr>
          <w:i/>
        </w:rPr>
        <w:t>32</w:t>
      </w:r>
      <w:r>
        <w:t>(7), 922–945.</w:t>
      </w:r>
      <w:hyperlink r:id="rId39">
        <w:r>
          <w:t xml:space="preserve"> </w:t>
        </w:r>
      </w:hyperlink>
      <w:hyperlink r:id="rId40">
        <w:r>
          <w:rPr>
            <w:u w:val="single"/>
          </w:rPr>
          <w:t>https://doi.org/10.1177/0265407514554513</w:t>
        </w:r>
      </w:hyperlink>
    </w:p>
    <w:p w14:paraId="294E7F12" w14:textId="77777777" w:rsidR="000B505F" w:rsidRDefault="00000000">
      <w:pPr>
        <w:shd w:val="clear" w:color="auto" w:fill="FFFFFF"/>
        <w:spacing w:line="360" w:lineRule="auto"/>
        <w:ind w:left="720" w:hanging="720"/>
        <w:rPr>
          <w:u w:val="single"/>
        </w:rPr>
      </w:pPr>
      <w:r>
        <w:t>Sprecher, S., &amp; Metts, S. (1999). Romantic beliefs: Their influence on relationships and patterns of change over time.</w:t>
      </w:r>
      <w:r>
        <w:rPr>
          <w:i/>
        </w:rPr>
        <w:t xml:space="preserve"> Journal of Social and Personal relationships</w:t>
      </w:r>
      <w:r>
        <w:t xml:space="preserve">, </w:t>
      </w:r>
      <w:r>
        <w:rPr>
          <w:i/>
        </w:rPr>
        <w:t>16</w:t>
      </w:r>
      <w:r>
        <w:t>(6), 834-851.</w:t>
      </w:r>
      <w:hyperlink r:id="rId41">
        <w:r>
          <w:t xml:space="preserve"> </w:t>
        </w:r>
      </w:hyperlink>
      <w:hyperlink r:id="rId42">
        <w:r>
          <w:rPr>
            <w:u w:val="single"/>
          </w:rPr>
          <w:t>https://doi.org/10.1177/0265407599166009</w:t>
        </w:r>
      </w:hyperlink>
    </w:p>
    <w:p w14:paraId="436DAA0F" w14:textId="77777777" w:rsidR="000B505F" w:rsidRDefault="00000000">
      <w:pPr>
        <w:spacing w:line="360" w:lineRule="auto"/>
        <w:ind w:left="720" w:hanging="720"/>
      </w:pPr>
      <w:r>
        <w:t xml:space="preserve">Valentini, F., &amp; Damásio, B. F. (2016). </w:t>
      </w:r>
      <w:proofErr w:type="spellStart"/>
      <w:r>
        <w:t>Variância</w:t>
      </w:r>
      <w:proofErr w:type="spellEnd"/>
      <w:r>
        <w:t xml:space="preserve"> </w:t>
      </w:r>
      <w:proofErr w:type="spellStart"/>
      <w:r>
        <w:t>Média</w:t>
      </w:r>
      <w:proofErr w:type="spellEnd"/>
      <w:r>
        <w:t xml:space="preserve"> </w:t>
      </w:r>
      <w:proofErr w:type="spellStart"/>
      <w:r>
        <w:t>Extraída</w:t>
      </w:r>
      <w:proofErr w:type="spellEnd"/>
      <w:r>
        <w:t xml:space="preserve"> e </w:t>
      </w:r>
      <w:proofErr w:type="spellStart"/>
      <w:r>
        <w:t>Confiabilidade</w:t>
      </w:r>
      <w:proofErr w:type="spellEnd"/>
      <w:r>
        <w:t xml:space="preserve"> </w:t>
      </w:r>
      <w:proofErr w:type="spellStart"/>
      <w:r>
        <w:t>Composta</w:t>
      </w:r>
      <w:proofErr w:type="spellEnd"/>
      <w:r>
        <w:t xml:space="preserve">: </w:t>
      </w:r>
      <w:proofErr w:type="spellStart"/>
      <w:r>
        <w:t>Indicadores</w:t>
      </w:r>
      <w:proofErr w:type="spellEnd"/>
      <w:r>
        <w:t xml:space="preserve"> de </w:t>
      </w:r>
      <w:proofErr w:type="spellStart"/>
      <w:r>
        <w:t>Precisão</w:t>
      </w:r>
      <w:proofErr w:type="spellEnd"/>
      <w:r>
        <w:t xml:space="preserve">. </w:t>
      </w:r>
      <w:proofErr w:type="spellStart"/>
      <w:r>
        <w:rPr>
          <w:i/>
        </w:rPr>
        <w:t>Psicologia</w:t>
      </w:r>
      <w:proofErr w:type="spellEnd"/>
      <w:r>
        <w:rPr>
          <w:i/>
        </w:rPr>
        <w:t>: Teoria e Pesquisa, 32</w:t>
      </w:r>
      <w:r>
        <w:t xml:space="preserve">(2). </w:t>
      </w:r>
      <w:hyperlink r:id="rId43">
        <w:r>
          <w:rPr>
            <w:u w:val="single"/>
          </w:rPr>
          <w:t>http://dx.doi.org/10.1590/0102-3772e322225</w:t>
        </w:r>
      </w:hyperlink>
    </w:p>
    <w:p w14:paraId="6121D717" w14:textId="77777777" w:rsidR="000B505F" w:rsidRDefault="00000000">
      <w:pPr>
        <w:shd w:val="clear" w:color="auto" w:fill="FFFFFF"/>
        <w:spacing w:line="360" w:lineRule="auto"/>
        <w:ind w:left="720" w:hanging="720"/>
        <w:rPr>
          <w:color w:val="000000"/>
        </w:rPr>
      </w:pPr>
      <w:r>
        <w:t xml:space="preserve">Wilson, K., Mattingly, B. A., Clark, E. M., Weidler, D. J., &amp; Bequette, A. W. (2011). The gray area: Exploring attitudes toward infidelity and the development of the Perceptions of Dating Infidelity Scale. </w:t>
      </w:r>
      <w:r>
        <w:rPr>
          <w:i/>
        </w:rPr>
        <w:t>The Journal of social psychology</w:t>
      </w:r>
      <w:r>
        <w:t xml:space="preserve">, </w:t>
      </w:r>
      <w:r>
        <w:rPr>
          <w:i/>
        </w:rPr>
        <w:t>151</w:t>
      </w:r>
      <w:r>
        <w:t>(1), 63-86.</w:t>
      </w:r>
      <w:hyperlink r:id="rId44">
        <w:r>
          <w:t xml:space="preserve"> </w:t>
        </w:r>
      </w:hyperlink>
      <w:hyperlink r:id="rId45">
        <w:r>
          <w:rPr>
            <w:u w:val="single"/>
          </w:rPr>
          <w:t>https://doi.org/10.1080/00224540903366750</w:t>
        </w:r>
      </w:hyperlink>
    </w:p>
    <w:sectPr w:rsidR="000B505F">
      <w:headerReference w:type="default" r:id="rId46"/>
      <w:pgSz w:w="11906" w:h="16838"/>
      <w:pgMar w:top="1418" w:right="1418" w:bottom="1418" w:left="1418" w:header="709" w:footer="709"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C339A9" w14:textId="77777777" w:rsidR="00314965" w:rsidRDefault="00314965">
      <w:pPr>
        <w:spacing w:line="240" w:lineRule="auto"/>
      </w:pPr>
      <w:r>
        <w:separator/>
      </w:r>
    </w:p>
  </w:endnote>
  <w:endnote w:type="continuationSeparator" w:id="0">
    <w:p w14:paraId="12544C0B" w14:textId="77777777" w:rsidR="00314965" w:rsidRDefault="003149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B66E90B3-0BA3-4C06-BD41-BF9A6367312D}"/>
    <w:embedItalic r:id="rId2" w:fontKey="{9386B222-51E0-48D9-AF3E-DCE69E171E07}"/>
  </w:font>
  <w:font w:name="Gungsuh">
    <w:charset w:val="81"/>
    <w:family w:val="roman"/>
    <w:pitch w:val="variable"/>
    <w:sig w:usb0="B00002AF" w:usb1="69D77CFB" w:usb2="00000030" w:usb3="00000000" w:csb0="0008009F" w:csb1="00000000"/>
    <w:embedRegular r:id="rId3" w:subsetted="1" w:fontKey="{2C4D5788-8551-43F8-8062-88CBEC1E73AE}"/>
  </w:font>
  <w:font w:name="Cardo">
    <w:charset w:val="00"/>
    <w:family w:val="auto"/>
    <w:pitch w:val="default"/>
    <w:embedRegular r:id="rId4" w:fontKey="{24CBB385-1D3C-483C-9B92-9B4A5ECB8482}"/>
  </w:font>
  <w:font w:name="Calibri">
    <w:panose1 w:val="020F0502020204030204"/>
    <w:charset w:val="00"/>
    <w:family w:val="swiss"/>
    <w:pitch w:val="variable"/>
    <w:sig w:usb0="E4002EFF" w:usb1="C000247B" w:usb2="00000009" w:usb3="00000000" w:csb0="000001FF" w:csb1="00000000"/>
    <w:embedRegular r:id="rId5" w:fontKey="{3E3050E2-C969-49C8-8156-39A103A41A57}"/>
  </w:font>
  <w:font w:name="Cambria">
    <w:panose1 w:val="02040503050406030204"/>
    <w:charset w:val="00"/>
    <w:family w:val="roman"/>
    <w:pitch w:val="variable"/>
    <w:sig w:usb0="E00006FF" w:usb1="420024FF" w:usb2="02000000" w:usb3="00000000" w:csb0="0000019F" w:csb1="00000000"/>
    <w:embedRegular r:id="rId6" w:fontKey="{A29ACC0B-2EFD-4D1A-B78F-A2D52C1E8BA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9924CF" w14:textId="77777777" w:rsidR="00314965" w:rsidRDefault="00314965">
      <w:pPr>
        <w:spacing w:line="240" w:lineRule="auto"/>
      </w:pPr>
      <w:r>
        <w:separator/>
      </w:r>
    </w:p>
  </w:footnote>
  <w:footnote w:type="continuationSeparator" w:id="0">
    <w:p w14:paraId="7B8117F9" w14:textId="77777777" w:rsidR="00314965" w:rsidRDefault="0031496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201FE" w14:textId="77777777" w:rsidR="000B505F" w:rsidRDefault="00000000">
    <w:pPr>
      <w:pBdr>
        <w:top w:val="nil"/>
        <w:left w:val="nil"/>
        <w:bottom w:val="nil"/>
        <w:right w:val="nil"/>
        <w:between w:val="nil"/>
      </w:pBdr>
      <w:tabs>
        <w:tab w:val="center" w:pos="4252"/>
        <w:tab w:val="right" w:pos="8504"/>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AB7C4E">
      <w:rPr>
        <w:noProof/>
        <w:color w:val="000000"/>
      </w:rPr>
      <w:t>2</w:t>
    </w:r>
    <w:r>
      <w:rPr>
        <w:color w:val="000000"/>
      </w:rPr>
      <w:fldChar w:fldCharType="end"/>
    </w:r>
  </w:p>
  <w:p w14:paraId="13F35906" w14:textId="77777777" w:rsidR="000B505F" w:rsidRDefault="00000000">
    <w:pPr>
      <w:pBdr>
        <w:top w:val="nil"/>
        <w:left w:val="nil"/>
        <w:bottom w:val="nil"/>
        <w:right w:val="nil"/>
        <w:between w:val="nil"/>
      </w:pBdr>
      <w:tabs>
        <w:tab w:val="center" w:pos="4252"/>
        <w:tab w:val="right" w:pos="8504"/>
      </w:tabs>
      <w:spacing w:line="240" w:lineRule="auto"/>
      <w:ind w:firstLine="0"/>
      <w:rPr>
        <w:color w:val="000000"/>
      </w:rPr>
    </w:pPr>
    <w:r>
      <w:rPr>
        <w:color w:val="000000"/>
      </w:rPr>
      <w:t>MORAL WRONGNESS OF RELATIONSHIP BEHAVIORS: BRAZIL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05F"/>
    <w:rsid w:val="000B505F"/>
    <w:rsid w:val="00314965"/>
    <w:rsid w:val="0074293A"/>
    <w:rsid w:val="00AB7C4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71991"/>
  <w15:docId w15:val="{5F853B30-0514-47F2-9AFF-F9A2E7530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pt-BR"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ind w:firstLine="0"/>
      <w:jc w:val="center"/>
      <w:outlineLvl w:val="0"/>
    </w:pPr>
    <w:rPr>
      <w:b/>
      <w:color w:val="000000"/>
    </w:rPr>
  </w:style>
  <w:style w:type="paragraph" w:styleId="Ttulo2">
    <w:name w:val="heading 2"/>
    <w:basedOn w:val="Normal"/>
    <w:next w:val="Normal"/>
    <w:uiPriority w:val="9"/>
    <w:semiHidden/>
    <w:unhideWhenUsed/>
    <w:qFormat/>
    <w:pPr>
      <w:keepNext/>
      <w:keepLines/>
      <w:outlineLvl w:val="1"/>
    </w:pPr>
    <w:rPr>
      <w:b/>
      <w:color w:val="2F549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0">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1">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2">
    <w:basedOn w:val="TableNormal"/>
    <w:pPr>
      <w:spacing w:line="240" w:lineRule="auto"/>
    </w:pPr>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researchgate.net/publication/303284886_Traducao_e_validacao_de_conteudo_Uma_proposta_para_a_adaptacao_de_instrumentos" TargetMode="External"/><Relationship Id="rId18" Type="http://schemas.openxmlformats.org/officeDocument/2006/relationships/hyperlink" Target="https://doi.org/10.1037/h0031619" TargetMode="External"/><Relationship Id="rId26" Type="http://schemas.openxmlformats.org/officeDocument/2006/relationships/hyperlink" Target="https://doi.org/10.1037/0022-3514.52.3.511" TargetMode="External"/><Relationship Id="rId39" Type="http://schemas.openxmlformats.org/officeDocument/2006/relationships/hyperlink" Target="https://doi.org/10.1177/0265407514554513" TargetMode="External"/><Relationship Id="rId21" Type="http://schemas.openxmlformats.org/officeDocument/2006/relationships/hyperlink" Target="https://doi.org/10.1007/s11211-007-0034-z" TargetMode="External"/><Relationship Id="rId34" Type="http://schemas.openxmlformats.org/officeDocument/2006/relationships/hyperlink" Target="https://doi.org/10.3389/fpubh.2022.831349" TargetMode="External"/><Relationship Id="rId42" Type="http://schemas.openxmlformats.org/officeDocument/2006/relationships/hyperlink" Target="https://doi.org/10.1177/0265407599166009" TargetMode="External"/><Relationship Id="rId47" Type="http://schemas.openxmlformats.org/officeDocument/2006/relationships/fontTable" Target="fontTable.xml"/><Relationship Id="rId7" Type="http://schemas.openxmlformats.org/officeDocument/2006/relationships/hyperlink" Target="https://royalsocietypublishing.org/doi/full/10.1098/rspb.2020.1201" TargetMode="External"/><Relationship Id="rId2" Type="http://schemas.openxmlformats.org/officeDocument/2006/relationships/settings" Target="settings.xml"/><Relationship Id="rId16" Type="http://schemas.openxmlformats.org/officeDocument/2006/relationships/hyperlink" Target="https://doi.org/10.1038/s41467-021-26067-4" TargetMode="External"/><Relationship Id="rId29" Type="http://schemas.openxmlformats.org/officeDocument/2006/relationships/hyperlink" Target="https://www.intestcom.org/files/guideline_test_adaptation_2ed.pdf%C2%A0" TargetMode="External"/><Relationship Id="rId1" Type="http://schemas.openxmlformats.org/officeDocument/2006/relationships/styles" Target="styles.xml"/><Relationship Id="rId6" Type="http://schemas.openxmlformats.org/officeDocument/2006/relationships/hyperlink" Target="https://www.aera.net/Publications/Books/Standards-for-Educational-Psychological-Testing-2014-Edition" TargetMode="External"/><Relationship Id="rId11" Type="http://schemas.openxmlformats.org/officeDocument/2006/relationships/hyperlink" Target="https://doi.org/10.1111/famp.12447" TargetMode="External"/><Relationship Id="rId24" Type="http://schemas.openxmlformats.org/officeDocument/2006/relationships/hyperlink" Target="https://doi.org/10.1080/19312458.2020.1718629" TargetMode="External"/><Relationship Id="rId32" Type="http://schemas.openxmlformats.org/officeDocument/2006/relationships/hyperlink" Target="https://doi.org/10.2307/2529310" TargetMode="External"/><Relationship Id="rId37" Type="http://schemas.openxmlformats.org/officeDocument/2006/relationships/hyperlink" Target="https://psycnet.apa.org/doi/10.1037/2329-0382.1.S.45" TargetMode="External"/><Relationship Id="rId40" Type="http://schemas.openxmlformats.org/officeDocument/2006/relationships/hyperlink" Target="https://doi.org/10.1177/0265407514554513" TargetMode="External"/><Relationship Id="rId45" Type="http://schemas.openxmlformats.org/officeDocument/2006/relationships/hyperlink" Target="https://doi.org/10.1080/00224540903366750" TargetMode="External"/><Relationship Id="rId5" Type="http://schemas.openxmlformats.org/officeDocument/2006/relationships/endnotes" Target="endnotes.xml"/><Relationship Id="rId15" Type="http://schemas.openxmlformats.org/officeDocument/2006/relationships/hyperlink" Target="https://bvsms.saude.gov.br/bvs/saudelegis/cns/2013/res0466_12_12_2012.html" TargetMode="External"/><Relationship Id="rId23" Type="http://schemas.openxmlformats.org/officeDocument/2006/relationships/hyperlink" Target="https://dx.doi.org/10.15689/ap.2020.1903.ed" TargetMode="External"/><Relationship Id="rId28" Type="http://schemas.openxmlformats.org/officeDocument/2006/relationships/hyperlink" Target="https://www.intestcom.org/files/guideline_test_adaptation_2ed.pdf" TargetMode="External"/><Relationship Id="rId36" Type="http://schemas.openxmlformats.org/officeDocument/2006/relationships/hyperlink" Target="https://chat.openai.com" TargetMode="External"/><Relationship Id="rId10" Type="http://schemas.openxmlformats.org/officeDocument/2006/relationships/hyperlink" Target="https://doi.org/10.1098/rspb.2020.1201" TargetMode="External"/><Relationship Id="rId19" Type="http://schemas.openxmlformats.org/officeDocument/2006/relationships/hyperlink" Target="https://doi.org/10.1037/h0031619" TargetMode="External"/><Relationship Id="rId31" Type="http://schemas.openxmlformats.org/officeDocument/2006/relationships/hyperlink" Target="https://doi.org/10.2307/2529310" TargetMode="External"/><Relationship Id="rId44" Type="http://schemas.openxmlformats.org/officeDocument/2006/relationships/hyperlink" Target="https://doi.org/10.1080/00224540903366750" TargetMode="External"/><Relationship Id="rId4" Type="http://schemas.openxmlformats.org/officeDocument/2006/relationships/footnotes" Target="footnotes.xml"/><Relationship Id="rId9" Type="http://schemas.openxmlformats.org/officeDocument/2006/relationships/hyperlink" Target="https://royalsocietypublishing.org/doi/full/10.1098/rspb.2020.1201" TargetMode="External"/><Relationship Id="rId14" Type="http://schemas.openxmlformats.org/officeDocument/2006/relationships/hyperlink" Target="https://bvsms.saude.gov.br/bvs/saudelegis/cns/2016/res0510_07_04_2016.html" TargetMode="External"/><Relationship Id="rId22" Type="http://schemas.openxmlformats.org/officeDocument/2006/relationships/hyperlink" Target="https://doi.org/10.1007/s11211-007-0034-z" TargetMode="External"/><Relationship Id="rId27" Type="http://schemas.openxmlformats.org/officeDocument/2006/relationships/hyperlink" Target="https://doi.org/10.1007/s11747-014-0403-8" TargetMode="External"/><Relationship Id="rId30" Type="http://schemas.openxmlformats.org/officeDocument/2006/relationships/hyperlink" Target="https://jasp-stats.org" TargetMode="External"/><Relationship Id="rId35" Type="http://schemas.openxmlformats.org/officeDocument/2006/relationships/hyperlink" Target="https://doi.org/10.2307/2334770" TargetMode="External"/><Relationship Id="rId43" Type="http://schemas.openxmlformats.org/officeDocument/2006/relationships/hyperlink" Target="https://dx.doi.org/10.1590/0102-3772e322225?fbclid=IwAR0i7sXAz6Q1JrbJorCZrVEBVfEW4TSsSvVxgNJkY3BaomLpxNM8x6beR20" TargetMode="External"/><Relationship Id="rId48" Type="http://schemas.openxmlformats.org/officeDocument/2006/relationships/theme" Target="theme/theme1.xml"/><Relationship Id="rId8" Type="http://schemas.openxmlformats.org/officeDocument/2006/relationships/hyperlink" Target="https://royalsocietypublishing.org/doi/full/10.1098/rspb.2020.1201" TargetMode="External"/><Relationship Id="rId3" Type="http://schemas.openxmlformats.org/officeDocument/2006/relationships/webSettings" Target="webSettings.xml"/><Relationship Id="rId12" Type="http://schemas.openxmlformats.org/officeDocument/2006/relationships/hyperlink" Target="https://psycnet.apa.org/doi/10.1037/0033-295X.88.4.354" TargetMode="External"/><Relationship Id="rId17" Type="http://schemas.openxmlformats.org/officeDocument/2006/relationships/hyperlink" Target="https://doi.org/10.1177/0013164421994184" TargetMode="External"/><Relationship Id="rId25" Type="http://schemas.openxmlformats.org/officeDocument/2006/relationships/hyperlink" Target="https://doi.org/10.1037/0022-3514.52.3.511" TargetMode="External"/><Relationship Id="rId33" Type="http://schemas.openxmlformats.org/officeDocument/2006/relationships/hyperlink" Target="https://doi.org/10.3389/fpubh.2022.831349" TargetMode="External"/><Relationship Id="rId38" Type="http://schemas.openxmlformats.org/officeDocument/2006/relationships/hyperlink" Target="https://doi.org/10.1177/0165025418811129" TargetMode="External"/><Relationship Id="rId46" Type="http://schemas.openxmlformats.org/officeDocument/2006/relationships/header" Target="header1.xml"/><Relationship Id="rId20" Type="http://schemas.openxmlformats.org/officeDocument/2006/relationships/hyperlink" Target="https://doi.org/10.2307/3151312" TargetMode="External"/><Relationship Id="rId41" Type="http://schemas.openxmlformats.org/officeDocument/2006/relationships/hyperlink" Target="https://doi.org/10.1177/026540759916600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6822</Words>
  <Characters>36839</Characters>
  <DocSecurity>0</DocSecurity>
  <Lines>306</Lines>
  <Paragraphs>87</Paragraphs>
  <ScaleCrop>false</ScaleCrop>
  <Company/>
  <LinksUpToDate>false</LinksUpToDate>
  <CharactersWithSpaces>43574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2024-08-15T21:50:00Z</dcterms:created>
  <dcterms:modified xsi:type="dcterms:W3CDTF">2024-08-15T21:50:00Z</dcterms:modified>
</cp:coreProperties>
</file>