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ACF4A" w14:textId="77777777" w:rsidR="00BA31D4" w:rsidRPr="00BA31D4" w:rsidRDefault="00BA31D4" w:rsidP="0019388C">
      <w:pPr>
        <w:spacing w:line="276" w:lineRule="auto"/>
        <w:jc w:val="center"/>
        <w:rPr>
          <w:rFonts w:asciiTheme="majorBidi" w:hAnsiTheme="majorBidi" w:cstheme="majorBidi"/>
          <w:sz w:val="24"/>
          <w:szCs w:val="24"/>
        </w:rPr>
      </w:pPr>
      <w:r w:rsidRPr="00BA31D4">
        <w:rPr>
          <w:rFonts w:asciiTheme="majorBidi" w:hAnsiTheme="majorBidi" w:cstheme="majorBidi"/>
          <w:b/>
          <w:bCs/>
          <w:sz w:val="24"/>
          <w:szCs w:val="24"/>
        </w:rPr>
        <w:t>The Impact of Volunteerism on Generativity Scores Among Young Adults: A Cross-Sectional Study</w:t>
      </w:r>
    </w:p>
    <w:p w14:paraId="52B8457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Abstract</w:t>
      </w:r>
    </w:p>
    <w:p w14:paraId="024D660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Generativity, a concept deeply rooted in developmental psychology, refers to the concern for establishing and guiding the next generation. It is a critical construct that influences individual well-being and contributes to societal progress (Erikson, 1950; McAdams &amp; de St. Aubin, 1992). While traditionally associated with middle adulthood, emerging research suggests that generative concerns may begin manifesting during young adulthood (Lawford et al., 2005; Bradley, 1997). This cross-sectional study aims to investigate the impact of volunteerism on generativity scores among young adults. A sample of 250 individuals, aged 18-29, was assessed using the Loyola Generativity Scale (LGS) to measure their generative concern (McAdams &amp; de St. Aubin, 1992). Participants also completed surveys detailing their involvement in volunteer activities, employing the Volunteer Functions Inventory (VFI) to gather data on the frequency and nature of their volunteering (Clary et al., 1998). Statistical analyses, including correlational and regression techniques, were used to explore the relationship between volunteer participation and generativity scores. The findings indicate that young adults who engage in regular volunteerism exhibit significantly higher generativity scores compared to their non-volunteering counterparts. This suggests that volunteer activities may foster generative development during the early adult years. In essence, these insights highlight the potential of volunteerism as a developmental catalyst, promoting prosocial values and community engagement among young adults. The positive correlation found between the frequency of volunteer activities and generative concern provides compelling evidence for encouraging volunteerism as a means to enhance developmental trajectories in early adulthood.</w:t>
      </w:r>
    </w:p>
    <w:p w14:paraId="6E4F1FA8"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Keywords</w:t>
      </w:r>
    </w:p>
    <w:p w14:paraId="6C7E746E"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Volunteerism, Generativity, Young Adults, Cross-Sectional Study, Community Engagement</w:t>
      </w:r>
    </w:p>
    <w:p w14:paraId="4A458F3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1. Introduction</w:t>
      </w:r>
    </w:p>
    <w:p w14:paraId="69949A3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Background</w:t>
      </w:r>
    </w:p>
    <w:p w14:paraId="04EDB46F"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Generativity, as conceptualized by Erikson's (1950) theory of psychosocial development, represents an individual's concern for and commitment to supporting and guiding future generations. This developmental stage emphasizes the importance of contributing to society through nurturing behaviors and creative endeavors, serving as a critical counter to stagnation and self-absorption (Erikson, 1963). Traditionally, generativity has been primarily associated with middle adulthood, a period in which individuals are often focused on family, career, and community involvement. However, recent studies have begun to challenge this notion, suggesting that generative concerns may begin to emerge much earlier, during young adulthood (Lawford et al., 2005; McAdams, 2001). For example, Lawford et al. (2005) demonstrated that adolescents and young adults involved in activities aimed at benefiting others reported higher </w:t>
      </w:r>
      <w:r w:rsidRPr="00BA31D4">
        <w:rPr>
          <w:rFonts w:asciiTheme="majorBidi" w:hAnsiTheme="majorBidi" w:cstheme="majorBidi"/>
          <w:sz w:val="24"/>
          <w:szCs w:val="24"/>
        </w:rPr>
        <w:lastRenderedPageBreak/>
        <w:t>levels of psychological well-being and prosocial values, indicating an early onset of generative tendencies.</w:t>
      </w:r>
    </w:p>
    <w:p w14:paraId="2E2FC87D"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Contemporary young adults are increasingly participating in roles that provide avenues for expressing generative concerns. These include activities such as mentoring programs, community service, and social activism (Reinders &amp; Youniss, 2006). Such engagements not only benefit society at large but also contribute significantly to the psychological development and identity formation of young adults (Arnett, 2000; Damon, 2004). Arnett (2000), in his theory of emerging adulthood, highlights the exploration of various life possibilities and the development of a stable identity during this period, suggesting that engaging in activities that contribute to the broader community can play a pivotal role.</w:t>
      </w:r>
    </w:p>
    <w:p w14:paraId="7A2B25C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Volunteerism, in particular, serves as a practical and effective avenue for young adults to express their generative concerns. Participation in volunteer activities has been empirically linked to numerous psychological benefits, including enhanced self-esteem, increased life satisfaction, and the development of empathy (Musick &amp; Wilson, 2003; Omoto &amp; Snyder, 2002). For instance, Musick and Wilson (2003), in their extensive review, found that volunteering was associated with better mental and physical health outcomes. Moreover, such activities provide young adults with valuable opportunities to engage in prosocial behaviors that facilitate their psychological and social development (Pancer &amp; Pratt, 1999). Pancer and Pratt (1999) emphasize that volunteering can foster a sense of civic responsibility and personal growth, contributing to a smoother transition into adulthood.</w:t>
      </w:r>
    </w:p>
    <w:p w14:paraId="6455DA66"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Rationale for Study</w:t>
      </w:r>
    </w:p>
    <w:p w14:paraId="4CA86C6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Despite the recognized benefits of volunteerism, the specific relationship between volunteerism and generativity in young adults remains relatively underexplored in the literature. While it is widely acknowledged that volunteerism fosters social responsibility and community engagement (Yates &amp; Youniss, 1996; Hart et al., 2007), the precise impact of such activities on the development of generative concern during young adulthood has received limited empirical attention. Yates and Youniss (1996) found that participation in community service projects during adolescence was positively associated with a sense of social responsibility and political awareness, suggesting a potential link to early generative concerns. Understanding this relationship is crucial as fostering generativity at a younger age may have long-term benefits for both individuals and society at large (Damon, 2004). Damon (2004) argues that nurturing generative concerns early on can lead to more engaged and responsible citizens, contributing to a stronger social fabric.</w:t>
      </w:r>
    </w:p>
    <w:p w14:paraId="74543E4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Furthermore, recognizing the specific factors that support the promotion of generativity in younger populations can inform the design and implementation of educational and community programs aimed at encouraging positive developmental trajectories (Scales et al., 2000; Serow, 1991). Scales et al. (2000) suggest that developmental assets, including positive values and social competencies developed through community involvement, can significantly impact youth </w:t>
      </w:r>
      <w:r w:rsidRPr="00BA31D4">
        <w:rPr>
          <w:rFonts w:asciiTheme="majorBidi" w:hAnsiTheme="majorBidi" w:cstheme="majorBidi"/>
          <w:sz w:val="24"/>
          <w:szCs w:val="24"/>
        </w:rPr>
        <w:lastRenderedPageBreak/>
        <w:t>development. Therefore, this study seeks to fill a critical gap in the existing literature by systematically investigating how volunteer activities influence the development of generative concern among young adults.</w:t>
      </w:r>
    </w:p>
    <w:p w14:paraId="5EE5275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Objectives</w:t>
      </w:r>
    </w:p>
    <w:p w14:paraId="18232BD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primary objective of this study is to investigate the link between volunteerism and generativity scores among young adults. Specifically, the study aims to:</w:t>
      </w:r>
    </w:p>
    <w:p w14:paraId="1854CA65" w14:textId="77777777" w:rsidR="00BA31D4" w:rsidRPr="00BA31D4" w:rsidRDefault="00BA31D4" w:rsidP="0019388C">
      <w:pPr>
        <w:numPr>
          <w:ilvl w:val="0"/>
          <w:numId w:val="1"/>
        </w:numPr>
        <w:spacing w:line="276" w:lineRule="auto"/>
        <w:rPr>
          <w:rFonts w:asciiTheme="majorBidi" w:hAnsiTheme="majorBidi" w:cstheme="majorBidi"/>
          <w:sz w:val="24"/>
          <w:szCs w:val="24"/>
        </w:rPr>
      </w:pPr>
      <w:r w:rsidRPr="00BA31D4">
        <w:rPr>
          <w:rFonts w:asciiTheme="majorBidi" w:hAnsiTheme="majorBidi" w:cstheme="majorBidi"/>
          <w:sz w:val="24"/>
          <w:szCs w:val="24"/>
        </w:rPr>
        <w:t>Assess the relationship between the frequency and type of volunteer activities and generativity scores. This involves examining whether higher frequencies of volunteering are associated with greater levels of generative concern. It also aims to identify if particular types of volunteer activities (e.g., mentoring, environmental projects) have a more significant impact on generativity than others.</w:t>
      </w:r>
    </w:p>
    <w:p w14:paraId="07E53386" w14:textId="77777777" w:rsidR="00BA31D4" w:rsidRPr="00BA31D4" w:rsidRDefault="00BA31D4" w:rsidP="0019388C">
      <w:pPr>
        <w:numPr>
          <w:ilvl w:val="0"/>
          <w:numId w:val="1"/>
        </w:numPr>
        <w:spacing w:line="276" w:lineRule="auto"/>
        <w:rPr>
          <w:rFonts w:asciiTheme="majorBidi" w:hAnsiTheme="majorBidi" w:cstheme="majorBidi"/>
          <w:sz w:val="24"/>
          <w:szCs w:val="24"/>
        </w:rPr>
      </w:pPr>
      <w:r w:rsidRPr="00BA31D4">
        <w:rPr>
          <w:rFonts w:asciiTheme="majorBidi" w:hAnsiTheme="majorBidi" w:cstheme="majorBidi"/>
          <w:sz w:val="24"/>
          <w:szCs w:val="24"/>
        </w:rPr>
        <w:t>Determine whether young adults who engage in volunteerism exhibit higher levels of generative concern compared to those who do not. This comparison will help establish if volunteering is a distinguishing factor in the development of generativity among young adults.</w:t>
      </w:r>
    </w:p>
    <w:p w14:paraId="7EF6634F" w14:textId="77777777" w:rsidR="00BA31D4" w:rsidRPr="00BA31D4" w:rsidRDefault="00BA31D4" w:rsidP="0019388C">
      <w:pPr>
        <w:numPr>
          <w:ilvl w:val="0"/>
          <w:numId w:val="1"/>
        </w:numPr>
        <w:spacing w:line="276" w:lineRule="auto"/>
        <w:rPr>
          <w:rFonts w:asciiTheme="majorBidi" w:hAnsiTheme="majorBidi" w:cstheme="majorBidi"/>
          <w:sz w:val="24"/>
          <w:szCs w:val="24"/>
        </w:rPr>
      </w:pPr>
      <w:r w:rsidRPr="00BA31D4">
        <w:rPr>
          <w:rFonts w:asciiTheme="majorBidi" w:hAnsiTheme="majorBidi" w:cstheme="majorBidi"/>
          <w:sz w:val="24"/>
          <w:szCs w:val="24"/>
        </w:rPr>
        <w:t>Provide insights into how volunteerism may serve as a mechanism for promoting generative development in young adulthood. By understanding the specific ways in which volunteering contributes to generativity, the study seeks to offer practical recommendations for fostering this developmental outcome.</w:t>
      </w:r>
    </w:p>
    <w:p w14:paraId="4D4CC06A"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2. Literature Review</w:t>
      </w:r>
    </w:p>
    <w:p w14:paraId="147E7FF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Overview of Generativity</w:t>
      </w:r>
    </w:p>
    <w:p w14:paraId="53FF2DC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Generativity, as a central concept in Erik Erikson's (1950) theory of psychosocial development, is characterized by a focus on nurturing and guiding others, contributing to societal growth, and creating lasting positive impacts. Erikson (1950) posited that during the seventh stage of life, adults face the challenge of generativity versus stagnation, where successful resolution leads to a sense of purpose and contribution. McAdams and de St. Aubin (1992) expanded on Erikson's work by proposing a multi-dimensional model of generativity that encompasses several components, including cultural demand, inner desire, concern, belief in the species, commitment, action, and narration. This model provides a more comprehensive framework for understanding the complexities of generativity beyond a simple concern for the next generation.</w:t>
      </w:r>
    </w:p>
    <w:p w14:paraId="7F8CBE8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Research indicates that generative concerns can be present and influential in young adults, contributing significantly to their identity formation and moral development (McAdams, 2001; Peterson &amp; Duncan, 2007). McAdams (2001), in his narrative theory of personality, emphasizes that stories of generativity can begin to emerge in young adulthood, reflecting a growing concern for contributing to others. Lawford et al. (2005) found that adolescents and young adults who engaged in generative activities reported higher levels of well-being and prosocial values. </w:t>
      </w:r>
      <w:r w:rsidRPr="00BA31D4">
        <w:rPr>
          <w:rFonts w:asciiTheme="majorBidi" w:hAnsiTheme="majorBidi" w:cstheme="majorBidi"/>
          <w:sz w:val="24"/>
          <w:szCs w:val="24"/>
        </w:rPr>
        <w:lastRenderedPageBreak/>
        <w:t>Similarly, Pratt et al. (2001) demonstrated that generative concerns in youth are linked to increased civic engagement and social responsibility. These studies suggest that the roots of generativity can be observed early in life and are intertwined with positive psychosocial development.</w:t>
      </w:r>
    </w:p>
    <w:p w14:paraId="55753B1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Volunteerism and Development</w:t>
      </w:r>
    </w:p>
    <w:p w14:paraId="0D68041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Volunteerism, defined as a form of prosocial behavior characterized by voluntary actions intended to help others without the expectation of external rewards, has been extensively studied for its developmental benefits (Penner, 2002). Penner (2002) provides a comprehensive overview of prosocial behaviors, highlighting the distinction between volunteerism and other forms of helping behaviors driven by external pressures. It has been associated with various positive outcomes, including enhanced psychological well-being, social integration, and moral development (Wilson &amp; Musick, 1999; </w:t>
      </w:r>
      <w:proofErr w:type="spellStart"/>
      <w:r w:rsidRPr="00BA31D4">
        <w:rPr>
          <w:rFonts w:asciiTheme="majorBidi" w:hAnsiTheme="majorBidi" w:cstheme="majorBidi"/>
          <w:sz w:val="24"/>
          <w:szCs w:val="24"/>
        </w:rPr>
        <w:t>Piliavin</w:t>
      </w:r>
      <w:proofErr w:type="spellEnd"/>
      <w:r w:rsidRPr="00BA31D4">
        <w:rPr>
          <w:rFonts w:asciiTheme="majorBidi" w:hAnsiTheme="majorBidi" w:cstheme="majorBidi"/>
          <w:sz w:val="24"/>
          <w:szCs w:val="24"/>
        </w:rPr>
        <w:t xml:space="preserve"> et al., 2002). Wilson and Musick (1999) found that volunteering offers substantial benefits for individuals' mental and physical health, suggesting that helping others can also enhance one's well-being.</w:t>
      </w:r>
    </w:p>
    <w:p w14:paraId="4C4E7AD3" w14:textId="375CA84F" w:rsidR="00BA31D4" w:rsidRPr="0019388C"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For young adults specifically, volunteerism offers unique opportunities for personal growth, skill development, and expanding social networks (Astin &amp; Sax, 1998; Snyder &amp; Om</w:t>
      </w:r>
      <w:r w:rsidRPr="0019388C">
        <w:rPr>
          <w:rFonts w:asciiTheme="majorBidi" w:hAnsiTheme="majorBidi" w:cstheme="majorBidi"/>
          <w:sz w:val="24"/>
          <w:szCs w:val="24"/>
        </w:rPr>
        <w:t>oto, 2008). Astin and Sax (1998) highlight how college students who engage in volunteer activities develop leadership skills, enhance their understanding of social issues, and form meaningful connections with diverse groups. Participation in community service during adolescence and young adulthood has been linked to increased civic engagement and social responsibility later in life (Hart et al., 2007; Youniss &amp; Yates, 1997). Hart et al. (2007) conducted a longitudinal study showing that early volunteering experiences predict sustained civic engagement and community involvement throughout adulthood, emphasizing the long-term developmental benefits of early volunteering.</w:t>
      </w:r>
    </w:p>
    <w:p w14:paraId="79CADC79"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Studies by Metz and Youniss (2005) and Grönlund (2011) further suggest that volunteerism can foster a sense of purpose and identity among young adults, aligning with the development of generative concerns. These activities provide opportunities for young adults to identify with roles that are meaningful beyond their personal needs, reinforcing values related to caring for others and contributing to the greater good, which are essential components of generativity (Damon, 2004). Metz and Youniss (2005) emphasize the role of community service in shaping adolescents' political and civic identities, suggesting that these experiences contribute to a more developed sense of social responsibility. Grönlund (2011) supports this by highlighting how volunteering can be a source of personal meaning and identity construction for young adults, contributing to their overall well-being and sense of purpose.</w:t>
      </w:r>
    </w:p>
    <w:p w14:paraId="7678F66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Challenges in Measuring Volunteerism and Generativity</w:t>
      </w:r>
    </w:p>
    <w:p w14:paraId="1991D5B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Assessing generativity and volunteerism quantitatively involves several methodological challenges. Generativity is a complex construct that encompasses a range of attitudes, </w:t>
      </w:r>
      <w:r w:rsidRPr="00BA31D4">
        <w:rPr>
          <w:rFonts w:asciiTheme="majorBidi" w:hAnsiTheme="majorBidi" w:cstheme="majorBidi"/>
          <w:sz w:val="24"/>
          <w:szCs w:val="24"/>
        </w:rPr>
        <w:lastRenderedPageBreak/>
        <w:t>motivations, and behaviors (McAdams &amp; de St. Aubin, 1992). While instruments like the Loyola Generativity Scale (LGS) provide a standardized measure, they may not fully capture all dimensions of generativity or account for cultural variations in its expression (Bradley, 1997). Cultural and contextual factors can significantly influence how generativity is understood and expressed, making it challenging to develop measures that are universally applicable (de St. Aubin et al., 2013).</w:t>
      </w:r>
    </w:p>
    <w:p w14:paraId="0AC0908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Measuring volunteerism also presents difficulties, as it requires accounting for variations in the types of activities, motivations for volunteering, and levels of commitment (Clary et al., 1998). Self-report measures, often used in volunteerism research, may be subject to social desirability bias, where respondents may over-report their involvement to present a more favorable image (Stukas et al., 1999). Distinguishing between genuine voluntary actions and obligatory service, such as mandatory community service programs, is also essential for accurately assessing the impact of volunteering on generativity (Stukas et al., 1999). Furthermore, understanding the quality and depth of volunteer experiences, rather than just the frequency, is critical for assessing their impact on developmental outcomes (Eley, 2003). Eley (2003) emphasizes the importance of qualitative approaches to understand the subjective experiences of volunteers, which can provide rich insights into the developmental processes facilitated by volunteering.</w:t>
      </w:r>
    </w:p>
    <w:p w14:paraId="1875EDC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3. Methods</w:t>
      </w:r>
    </w:p>
    <w:p w14:paraId="7F2FB77E"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Participants</w:t>
      </w:r>
    </w:p>
    <w:p w14:paraId="649F528F"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study recruited a sample of young adults aged 18 to 29 years from diverse settings, including university campuses, community organizations, and online platforms. A total of 250 participants were included in the final analysis. This sample size was deemed sufficient to achieve adequate statistical power for the planned analyses, based on prior studies examining similar constructs (e.g., Lawford et al., 2005). The sample consisted of 150 females (60%) and 100 males (40%), reflecting a slight overrepresentation of females, which is consistent with trends observed in volunteerism participation rates across various studies (Musick &amp; Wilson, 2003). The mean age of participants was 23.5 years, with a standard deviation of 3.2, indicating a relatively homogenous age distribution within the specified range. Demographic information collected from participants included age, gender, ethnicity, educational attainment, and previous experience with volunteer activities. This data was gathered to control for potential confounding variables in the analyses and to ensure a diverse representation within the study. Inclusion criteria required participants to be within the specified age range and to have no reported cognitive impairments that would preclude their ability to comprehend the survey materials. This was essential to ensure the validity and reliability of the data collected.</w:t>
      </w:r>
    </w:p>
    <w:p w14:paraId="4F2F2678"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Volunteerism Assessment</w:t>
      </w:r>
    </w:p>
    <w:p w14:paraId="5EE3A05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Participants completed a comprehensive survey based on the Volunteer Functions Inventory (VFI), developed by Clary et al. (1998). The VFI is a widely recognized and validated instrument </w:t>
      </w:r>
      <w:r w:rsidRPr="00BA31D4">
        <w:rPr>
          <w:rFonts w:asciiTheme="majorBidi" w:hAnsiTheme="majorBidi" w:cstheme="majorBidi"/>
          <w:sz w:val="24"/>
          <w:szCs w:val="24"/>
        </w:rPr>
        <w:lastRenderedPageBreak/>
        <w:t>designed to assess individuals' engagement in volunteer activities over a specific period, in this case, the past 12 months. The survey collected detailed data on several key aspects of volunteerism:</w:t>
      </w:r>
    </w:p>
    <w:p w14:paraId="5D8BD04C" w14:textId="77777777" w:rsidR="00BA31D4" w:rsidRPr="00BA31D4" w:rsidRDefault="00BA31D4" w:rsidP="0019388C">
      <w:pPr>
        <w:numPr>
          <w:ilvl w:val="0"/>
          <w:numId w:val="2"/>
        </w:numPr>
        <w:spacing w:line="276" w:lineRule="auto"/>
        <w:rPr>
          <w:rFonts w:asciiTheme="majorBidi" w:hAnsiTheme="majorBidi" w:cstheme="majorBidi"/>
          <w:sz w:val="24"/>
          <w:szCs w:val="24"/>
        </w:rPr>
      </w:pPr>
      <w:r w:rsidRPr="00BA31D4">
        <w:rPr>
          <w:rFonts w:asciiTheme="majorBidi" w:hAnsiTheme="majorBidi" w:cstheme="majorBidi"/>
          <w:b/>
          <w:bCs/>
          <w:sz w:val="24"/>
          <w:szCs w:val="24"/>
        </w:rPr>
        <w:t>Frequency of Volunteering</w:t>
      </w:r>
      <w:r w:rsidRPr="00BA31D4">
        <w:rPr>
          <w:rFonts w:asciiTheme="majorBidi" w:hAnsiTheme="majorBidi" w:cstheme="majorBidi"/>
          <w:sz w:val="24"/>
          <w:szCs w:val="24"/>
        </w:rPr>
        <w:t>: Participants were asked to report how often they had engaged in volunteer activities, with response options including weekly (60 participants, 24%), monthly (90 participants, 36%), occasionally (50 participants, 20%), and not at all (50 participants, 20%). This categorization allowed for a clear differentiation of volunteering patterns, ranging from regular to infrequent involvement.</w:t>
      </w:r>
    </w:p>
    <w:p w14:paraId="57C2DC82" w14:textId="77777777" w:rsidR="00BA31D4" w:rsidRPr="00BA31D4" w:rsidRDefault="00BA31D4" w:rsidP="0019388C">
      <w:pPr>
        <w:numPr>
          <w:ilvl w:val="0"/>
          <w:numId w:val="2"/>
        </w:numPr>
        <w:spacing w:line="276" w:lineRule="auto"/>
        <w:rPr>
          <w:rFonts w:asciiTheme="majorBidi" w:hAnsiTheme="majorBidi" w:cstheme="majorBidi"/>
          <w:sz w:val="24"/>
          <w:szCs w:val="24"/>
        </w:rPr>
      </w:pPr>
      <w:r w:rsidRPr="00BA31D4">
        <w:rPr>
          <w:rFonts w:asciiTheme="majorBidi" w:hAnsiTheme="majorBidi" w:cstheme="majorBidi"/>
          <w:b/>
          <w:bCs/>
          <w:sz w:val="24"/>
          <w:szCs w:val="24"/>
        </w:rPr>
        <w:t>Duration of Involvement</w:t>
      </w:r>
      <w:r w:rsidRPr="00BA31D4">
        <w:rPr>
          <w:rFonts w:asciiTheme="majorBidi" w:hAnsiTheme="majorBidi" w:cstheme="majorBidi"/>
          <w:sz w:val="24"/>
          <w:szCs w:val="24"/>
        </w:rPr>
        <w:t>: Participants reported the average number of hours spent per volunteering session and the total number of months they had been involved in volunteer work. This data provided insights into the intensity and sustained nature of their volunteer commitment.</w:t>
      </w:r>
    </w:p>
    <w:p w14:paraId="69924C74" w14:textId="77777777" w:rsidR="00BA31D4" w:rsidRPr="00BA31D4" w:rsidRDefault="00BA31D4" w:rsidP="0019388C">
      <w:pPr>
        <w:numPr>
          <w:ilvl w:val="0"/>
          <w:numId w:val="2"/>
        </w:numPr>
        <w:spacing w:line="276" w:lineRule="auto"/>
        <w:rPr>
          <w:rFonts w:asciiTheme="majorBidi" w:hAnsiTheme="majorBidi" w:cstheme="majorBidi"/>
          <w:sz w:val="24"/>
          <w:szCs w:val="24"/>
        </w:rPr>
      </w:pPr>
      <w:r w:rsidRPr="00BA31D4">
        <w:rPr>
          <w:rFonts w:asciiTheme="majorBidi" w:hAnsiTheme="majorBidi" w:cstheme="majorBidi"/>
          <w:b/>
          <w:bCs/>
          <w:sz w:val="24"/>
          <w:szCs w:val="24"/>
        </w:rPr>
        <w:t>Types of Activities</w:t>
      </w:r>
      <w:r w:rsidRPr="00BA31D4">
        <w:rPr>
          <w:rFonts w:asciiTheme="majorBidi" w:hAnsiTheme="majorBidi" w:cstheme="majorBidi"/>
          <w:sz w:val="24"/>
          <w:szCs w:val="24"/>
        </w:rPr>
        <w:t>: Participants indicated the specific domains of volunteer work they had engaged in, such as mentoring (80 participants, 32%), environmental conservation (70 participants, 28%), community service (100 participants, 40%), health and wellness programs, and social activism. This information allowed for the examination of whether different types of volunteer activities were associated with varying levels of generativity.</w:t>
      </w:r>
    </w:p>
    <w:p w14:paraId="2C8BE731" w14:textId="77777777" w:rsidR="00BA31D4" w:rsidRPr="00BA31D4" w:rsidRDefault="00BA31D4" w:rsidP="0019388C">
      <w:pPr>
        <w:numPr>
          <w:ilvl w:val="0"/>
          <w:numId w:val="2"/>
        </w:numPr>
        <w:spacing w:line="276" w:lineRule="auto"/>
        <w:rPr>
          <w:rFonts w:asciiTheme="majorBidi" w:hAnsiTheme="majorBidi" w:cstheme="majorBidi"/>
          <w:sz w:val="24"/>
          <w:szCs w:val="24"/>
        </w:rPr>
      </w:pPr>
      <w:r w:rsidRPr="00BA31D4">
        <w:rPr>
          <w:rFonts w:asciiTheme="majorBidi" w:hAnsiTheme="majorBidi" w:cstheme="majorBidi"/>
          <w:b/>
          <w:bCs/>
          <w:sz w:val="24"/>
          <w:szCs w:val="24"/>
        </w:rPr>
        <w:t>Motivations for Volunteering</w:t>
      </w:r>
      <w:r w:rsidRPr="00BA31D4">
        <w:rPr>
          <w:rFonts w:asciiTheme="majorBidi" w:hAnsiTheme="majorBidi" w:cstheme="majorBidi"/>
          <w:sz w:val="24"/>
          <w:szCs w:val="24"/>
        </w:rPr>
        <w:t>: The survey assessed participants' motivations for volunteering using the six functional scales of the VFI: values, understanding, social, career, protective, and enhancement functions. This provided a comprehensive understanding of the underlying reasons driving volunteer engagement, which could be crucial in interpreting the relationship between volunteering and generativity.</w:t>
      </w:r>
    </w:p>
    <w:p w14:paraId="0E310F9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Measures</w:t>
      </w:r>
    </w:p>
    <w:p w14:paraId="0B3067C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Loyola Generativity Scale (LGS)</w:t>
      </w:r>
      <w:r w:rsidRPr="00BA31D4">
        <w:rPr>
          <w:rFonts w:asciiTheme="majorBidi" w:hAnsiTheme="majorBidi" w:cstheme="majorBidi"/>
          <w:sz w:val="24"/>
          <w:szCs w:val="24"/>
        </w:rPr>
        <w:t>: The primary measure of generativity was the Loyola Generativity Scale (LGS), developed by McAdams and de St. Aubin (1992). The LGS is a 20-item self-report questionnaire designed to measure generative concern, which is the subjective feeling of being productive and contributing to the next generation. Participants rated each item on a 4-point Likert scale, ranging from 0 ("Never applies to me") to 3 ("Very often applies to me"). The scale includes statements such as "I try to pass along the knowledge I have gained through my experiences" and "I have a responsibility to improve the neighborhood in which I live." These items tap into various aspects of generative concern, including personal productivity, societal contribution, and a desire to leave a positive legacy. The LGS has demonstrated good internal consistency and validity across diverse cultural contexts, making it a reliable instrument for measuring generativity in different populations (Jones &amp; McAdams, 2013; Hofer et al., 2008). In this study, the LGS demonstrated strong internal consistency, with a Cronbach's alpha of .82, indicating that the items reliably measure the same underlying construct.</w:t>
      </w:r>
    </w:p>
    <w:p w14:paraId="5B0924AA"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Procedure</w:t>
      </w:r>
    </w:p>
    <w:p w14:paraId="08D0678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lastRenderedPageBreak/>
        <w:t>Participants were recruited through a variety of methods, including flyers posted on university campuses, emails sent to student and community organizations, and posts on social media platforms targeting young adults. Interested individuals were directed to an online survey platform or invited to attend scheduled in-person data collection sessions. Prior to participating, all individuals were provided with detailed information about the study and asked to provide informed consent, following the guidelines of the Institutional Review Board (IRB). This ensured ethical compliance and protected the rights of the participants. Participants completed the survey materials in a standardized manner, starting with the demographic questionnaire, followed by the VFI-based Volunteer Activity Survey, and finally, the LGS.</w:t>
      </w:r>
    </w:p>
    <w:p w14:paraId="3E204A6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Data collection procedures adhered strictly to the ethical guidelines outlined by the American Psychological Association (APA, 2017). Confidentiality was maintained throughout the study, and all data were anonymized to protect participants' identities. Participants were informed of their right to withdraw from the study at any time without penalty. This was crucial to ensure that participation was entirely voluntary and that participants felt comfortable with the process. Upon completion of the survey, participants were offered a small incentive, such as a gift card or course credit, where appropriate. This helped to increase participation rates and acknowledge the time and effort contributed by the participants.</w:t>
      </w:r>
    </w:p>
    <w:p w14:paraId="77D26F1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Data Analysis</w:t>
      </w:r>
    </w:p>
    <w:p w14:paraId="5EFD796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Data were analyzed using the Statistical Package for the Social Sciences (SPSS, Version 26). Descriptive statistics, including means, standard deviations, frequencies, and percentages, were calculated to summarize the demographic characteristics of the sample, volunteerism variables, and generativity scores. This provided a comprehensive overview of the data collected. Pearson correlation coefficients were used to examine the relationships between various volunteerism measures (frequency, duration, type, and motivations) and generativity scores. Correlation analyses allowed for the assessment of the strength and direction of the associations between these variables.</w:t>
      </w:r>
    </w:p>
    <w:p w14:paraId="44ECFB0F" w14:textId="77777777" w:rsidR="00BA31D4" w:rsidRPr="0019388C"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Multiple regression analyses were conducted to determine the predictive value of volunteerism on generativity scores while controlling for potential confounding variables such as age, gender, and educational level. This analytical approach helped to isolate the specific impact of volunteering on generativity, net of other demographic factors. Independent samples t-tests and one-way analyses of variance (ANOVAs) were employed to assess differences in generativity scores across subgroups defined by various volunteerism characteristics. For instance, t-tests</w:t>
      </w:r>
      <w:r w:rsidRPr="0019388C">
        <w:rPr>
          <w:rFonts w:asciiTheme="majorBidi" w:hAnsiTheme="majorBidi" w:cstheme="majorBidi"/>
          <w:sz w:val="24"/>
          <w:szCs w:val="24"/>
        </w:rPr>
        <w:t xml:space="preserve"> were used to compare generativity scores between volunteers and non-volunteers, while ANOVAs were used to compare scores across different frequencies of volunteering (e.g., weekly, monthly, occasional). These analyses helped to identify specific patterns and differences in generativity based on varying levels of volunteer engagement. Effect sizes were calculated for all significant findings to quantify the magnitude of the observed relationships.</w:t>
      </w:r>
    </w:p>
    <w:p w14:paraId="526852C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4. Results</w:t>
      </w:r>
    </w:p>
    <w:p w14:paraId="073C7E7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lastRenderedPageBreak/>
        <w:t>Descriptive Analysis</w:t>
      </w:r>
    </w:p>
    <w:p w14:paraId="36CBD9A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sample comprised 250 young adults, with a majority (60%) identifying as female and 40% as male. The mean age was 23.5 years (SD = 3.2). A substantial proportion of the sample, 200 participants (80%), reported participating in volunteer activities within the past year. Of those who volunteered:</w:t>
      </w:r>
    </w:p>
    <w:p w14:paraId="456A516F" w14:textId="77777777" w:rsidR="00BA31D4" w:rsidRPr="00BA31D4" w:rsidRDefault="00BA31D4" w:rsidP="0019388C">
      <w:pPr>
        <w:numPr>
          <w:ilvl w:val="0"/>
          <w:numId w:val="3"/>
        </w:numPr>
        <w:spacing w:line="276" w:lineRule="auto"/>
        <w:rPr>
          <w:rFonts w:asciiTheme="majorBidi" w:hAnsiTheme="majorBidi" w:cstheme="majorBidi"/>
          <w:sz w:val="24"/>
          <w:szCs w:val="24"/>
        </w:rPr>
      </w:pPr>
      <w:r w:rsidRPr="00BA31D4">
        <w:rPr>
          <w:rFonts w:asciiTheme="majorBidi" w:hAnsiTheme="majorBidi" w:cstheme="majorBidi"/>
          <w:b/>
          <w:bCs/>
          <w:sz w:val="24"/>
          <w:szCs w:val="24"/>
        </w:rPr>
        <w:t>Frequency of Volunteering</w:t>
      </w:r>
      <w:r w:rsidRPr="00BA31D4">
        <w:rPr>
          <w:rFonts w:asciiTheme="majorBidi" w:hAnsiTheme="majorBidi" w:cstheme="majorBidi"/>
          <w:sz w:val="24"/>
          <w:szCs w:val="24"/>
        </w:rPr>
        <w:t>: 30% (60 participants) volunteered weekly, 45% (90 participants) volunteered monthly, and 25% (50 participants) volunteered occasionally. The remaining 20% (50 participants) reported no volunteer activity within the last year.</w:t>
      </w:r>
    </w:p>
    <w:p w14:paraId="1AC2E0C6" w14:textId="77777777" w:rsidR="00BA31D4" w:rsidRPr="00BA31D4" w:rsidRDefault="00BA31D4" w:rsidP="0019388C">
      <w:pPr>
        <w:spacing w:line="276" w:lineRule="auto"/>
        <w:rPr>
          <w:rFonts w:asciiTheme="majorBidi" w:hAnsiTheme="majorBidi" w:cstheme="majorBidi"/>
          <w:b/>
          <w:bCs/>
          <w:sz w:val="24"/>
          <w:szCs w:val="24"/>
        </w:rPr>
      </w:pPr>
      <w:r w:rsidRPr="00BA31D4">
        <w:rPr>
          <w:rFonts w:asciiTheme="majorBidi" w:hAnsiTheme="majorBidi" w:cstheme="majorBidi"/>
          <w:b/>
          <w:bCs/>
          <w:sz w:val="24"/>
          <w:szCs w:val="24"/>
        </w:rPr>
        <w:t>Participants engaged in a variety of volunteer activities:</w:t>
      </w:r>
    </w:p>
    <w:p w14:paraId="4135D06A" w14:textId="77777777" w:rsidR="00BA31D4" w:rsidRPr="00BA31D4" w:rsidRDefault="00BA31D4" w:rsidP="0019388C">
      <w:pPr>
        <w:numPr>
          <w:ilvl w:val="0"/>
          <w:numId w:val="4"/>
        </w:numPr>
        <w:spacing w:line="276" w:lineRule="auto"/>
        <w:rPr>
          <w:rFonts w:asciiTheme="majorBidi" w:hAnsiTheme="majorBidi" w:cstheme="majorBidi"/>
          <w:sz w:val="24"/>
          <w:szCs w:val="24"/>
        </w:rPr>
      </w:pPr>
      <w:r w:rsidRPr="00BA31D4">
        <w:rPr>
          <w:rFonts w:asciiTheme="majorBidi" w:hAnsiTheme="majorBidi" w:cstheme="majorBidi"/>
          <w:sz w:val="24"/>
          <w:szCs w:val="24"/>
        </w:rPr>
        <w:t>Mentoring or tutoring youth: 80 participants (40% of volunteers)</w:t>
      </w:r>
    </w:p>
    <w:p w14:paraId="48894D19" w14:textId="77777777" w:rsidR="00BA31D4" w:rsidRPr="00BA31D4" w:rsidRDefault="00BA31D4" w:rsidP="0019388C">
      <w:pPr>
        <w:numPr>
          <w:ilvl w:val="0"/>
          <w:numId w:val="4"/>
        </w:numPr>
        <w:spacing w:line="276" w:lineRule="auto"/>
        <w:rPr>
          <w:rFonts w:asciiTheme="majorBidi" w:hAnsiTheme="majorBidi" w:cstheme="majorBidi"/>
          <w:sz w:val="24"/>
          <w:szCs w:val="24"/>
        </w:rPr>
      </w:pPr>
      <w:r w:rsidRPr="00BA31D4">
        <w:rPr>
          <w:rFonts w:asciiTheme="majorBidi" w:hAnsiTheme="majorBidi" w:cstheme="majorBidi"/>
          <w:sz w:val="24"/>
          <w:szCs w:val="24"/>
        </w:rPr>
        <w:t>Environmental conservation projects: 70 participants (35% of volunteers)</w:t>
      </w:r>
    </w:p>
    <w:p w14:paraId="565F82B6" w14:textId="77777777" w:rsidR="00BA31D4" w:rsidRPr="00BA31D4" w:rsidRDefault="00BA31D4" w:rsidP="0019388C">
      <w:pPr>
        <w:numPr>
          <w:ilvl w:val="0"/>
          <w:numId w:val="4"/>
        </w:numPr>
        <w:spacing w:line="276" w:lineRule="auto"/>
        <w:rPr>
          <w:rFonts w:asciiTheme="majorBidi" w:hAnsiTheme="majorBidi" w:cstheme="majorBidi"/>
          <w:sz w:val="24"/>
          <w:szCs w:val="24"/>
        </w:rPr>
      </w:pPr>
      <w:r w:rsidRPr="00BA31D4">
        <w:rPr>
          <w:rFonts w:asciiTheme="majorBidi" w:hAnsiTheme="majorBidi" w:cstheme="majorBidi"/>
          <w:sz w:val="24"/>
          <w:szCs w:val="24"/>
        </w:rPr>
        <w:t>Community service (e.g., food banks, shelters): 100 participants (50% of volunteers)</w:t>
      </w:r>
    </w:p>
    <w:p w14:paraId="292656A9" w14:textId="77777777" w:rsidR="00BA31D4" w:rsidRPr="00BA31D4" w:rsidRDefault="00BA31D4" w:rsidP="0019388C">
      <w:pPr>
        <w:numPr>
          <w:ilvl w:val="0"/>
          <w:numId w:val="4"/>
        </w:numPr>
        <w:spacing w:line="276" w:lineRule="auto"/>
        <w:rPr>
          <w:rFonts w:asciiTheme="majorBidi" w:hAnsiTheme="majorBidi" w:cstheme="majorBidi"/>
          <w:sz w:val="24"/>
          <w:szCs w:val="24"/>
        </w:rPr>
      </w:pPr>
      <w:r w:rsidRPr="00BA31D4">
        <w:rPr>
          <w:rFonts w:asciiTheme="majorBidi" w:hAnsiTheme="majorBidi" w:cstheme="majorBidi"/>
          <w:sz w:val="24"/>
          <w:szCs w:val="24"/>
        </w:rPr>
        <w:t>Health and wellness programs: 40 participants (20% of volunteers)</w:t>
      </w:r>
    </w:p>
    <w:p w14:paraId="3ED7635E" w14:textId="77777777" w:rsidR="00BA31D4" w:rsidRPr="00BA31D4" w:rsidRDefault="00BA31D4" w:rsidP="0019388C">
      <w:pPr>
        <w:numPr>
          <w:ilvl w:val="0"/>
          <w:numId w:val="4"/>
        </w:numPr>
        <w:spacing w:line="276" w:lineRule="auto"/>
        <w:rPr>
          <w:rFonts w:asciiTheme="majorBidi" w:hAnsiTheme="majorBidi" w:cstheme="majorBidi"/>
          <w:sz w:val="24"/>
          <w:szCs w:val="24"/>
        </w:rPr>
      </w:pPr>
      <w:r w:rsidRPr="00BA31D4">
        <w:rPr>
          <w:rFonts w:asciiTheme="majorBidi" w:hAnsiTheme="majorBidi" w:cstheme="majorBidi"/>
          <w:sz w:val="24"/>
          <w:szCs w:val="24"/>
        </w:rPr>
        <w:t>Social activism and advocacy: 30 participants (15% of volunteers)</w:t>
      </w:r>
    </w:p>
    <w:p w14:paraId="680BDC0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Generativity scores, as measured by the LGS, ranged from 15 to 55, with a mean score of 35.7 (SD = 8.5). This distribution indicates a moderate level of generative concern among the participants. The Cronbach's alpha for the LGS was .82, demonstrating good internal consistency.</w:t>
      </w:r>
    </w:p>
    <w:p w14:paraId="2A059C7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Correlation Between Volunteerism and Generativity</w:t>
      </w:r>
    </w:p>
    <w:p w14:paraId="34504E7C"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Pearson correlation analyses revealed several significant relationships:</w:t>
      </w:r>
    </w:p>
    <w:p w14:paraId="07DFA8F1" w14:textId="77777777" w:rsidR="00BA31D4" w:rsidRPr="00BA31D4" w:rsidRDefault="00BA31D4" w:rsidP="0019388C">
      <w:pPr>
        <w:numPr>
          <w:ilvl w:val="0"/>
          <w:numId w:val="5"/>
        </w:numPr>
        <w:spacing w:line="276" w:lineRule="auto"/>
        <w:rPr>
          <w:rFonts w:asciiTheme="majorBidi" w:hAnsiTheme="majorBidi" w:cstheme="majorBidi"/>
          <w:sz w:val="24"/>
          <w:szCs w:val="24"/>
        </w:rPr>
      </w:pPr>
      <w:r w:rsidRPr="00BA31D4">
        <w:rPr>
          <w:rFonts w:asciiTheme="majorBidi" w:hAnsiTheme="majorBidi" w:cstheme="majorBidi"/>
          <w:b/>
          <w:bCs/>
          <w:sz w:val="24"/>
          <w:szCs w:val="24"/>
        </w:rPr>
        <w:t>Frequency of Volunteering</w:t>
      </w:r>
      <w:r w:rsidRPr="00BA31D4">
        <w:rPr>
          <w:rFonts w:asciiTheme="majorBidi" w:hAnsiTheme="majorBidi" w:cstheme="majorBidi"/>
          <w:sz w:val="24"/>
          <w:szCs w:val="24"/>
        </w:rPr>
        <w:t>: A strong positive correlation was observed between the frequency of volunteering and generativity scores (r = .45, p &lt; .001). This finding indicates that participants who volunteered more frequently tended to report higher levels of generative concern.</w:t>
      </w:r>
    </w:p>
    <w:p w14:paraId="2A60DA60" w14:textId="77777777" w:rsidR="00BA31D4" w:rsidRPr="00BA31D4" w:rsidRDefault="00BA31D4" w:rsidP="0019388C">
      <w:pPr>
        <w:numPr>
          <w:ilvl w:val="0"/>
          <w:numId w:val="5"/>
        </w:numPr>
        <w:spacing w:line="276" w:lineRule="auto"/>
        <w:rPr>
          <w:rFonts w:asciiTheme="majorBidi" w:hAnsiTheme="majorBidi" w:cstheme="majorBidi"/>
          <w:sz w:val="24"/>
          <w:szCs w:val="24"/>
        </w:rPr>
      </w:pPr>
      <w:r w:rsidRPr="00BA31D4">
        <w:rPr>
          <w:rFonts w:asciiTheme="majorBidi" w:hAnsiTheme="majorBidi" w:cstheme="majorBidi"/>
          <w:b/>
          <w:bCs/>
          <w:sz w:val="24"/>
          <w:szCs w:val="24"/>
        </w:rPr>
        <w:t>Duration of Involvement</w:t>
      </w:r>
      <w:r w:rsidRPr="00BA31D4">
        <w:rPr>
          <w:rFonts w:asciiTheme="majorBidi" w:hAnsiTheme="majorBidi" w:cstheme="majorBidi"/>
          <w:sz w:val="24"/>
          <w:szCs w:val="24"/>
        </w:rPr>
        <w:t>: A positive correlation was also found between the duration of volunteer involvement and generativity scores (r = .38, p &lt; .001), suggesting that sustained engagement in volunteer activities may be associated with greater generative concern.</w:t>
      </w:r>
    </w:p>
    <w:p w14:paraId="60A670E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Types of Activities and Generativity</w:t>
      </w:r>
    </w:p>
    <w:p w14:paraId="6C459066"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Analyses examining the relationship between specific types of volunteer activities and generativity revealed:</w:t>
      </w:r>
    </w:p>
    <w:p w14:paraId="43C19463" w14:textId="156C24BF" w:rsidR="00BA31D4" w:rsidRPr="00BA31D4" w:rsidRDefault="00BA31D4" w:rsidP="0019388C">
      <w:pPr>
        <w:numPr>
          <w:ilvl w:val="0"/>
          <w:numId w:val="6"/>
        </w:numPr>
        <w:spacing w:line="276" w:lineRule="auto"/>
        <w:rPr>
          <w:rFonts w:asciiTheme="majorBidi" w:hAnsiTheme="majorBidi" w:cstheme="majorBidi"/>
          <w:sz w:val="24"/>
          <w:szCs w:val="24"/>
        </w:rPr>
      </w:pPr>
      <w:r w:rsidRPr="00BA31D4">
        <w:rPr>
          <w:rFonts w:asciiTheme="majorBidi" w:hAnsiTheme="majorBidi" w:cstheme="majorBidi"/>
          <w:b/>
          <w:bCs/>
          <w:sz w:val="24"/>
          <w:szCs w:val="24"/>
        </w:rPr>
        <w:lastRenderedPageBreak/>
        <w:t>Mentoring</w:t>
      </w:r>
      <w:r w:rsidRPr="00BA31D4">
        <w:rPr>
          <w:rFonts w:asciiTheme="majorBidi" w:hAnsiTheme="majorBidi" w:cstheme="majorBidi"/>
          <w:sz w:val="24"/>
          <w:szCs w:val="24"/>
        </w:rPr>
        <w:t>: Participants involved in mentoring demonstrated significantly higher generativity scores (M = 40.2, SD = 7.5) compared to those not involved in mentoring (M = 33.1, SD = 8.1), t</w:t>
      </w:r>
      <w:r w:rsidRPr="0019388C">
        <w:rPr>
          <w:rFonts w:asciiTheme="majorBidi" w:hAnsiTheme="majorBidi" w:cstheme="majorBidi"/>
          <w:sz w:val="24"/>
          <w:szCs w:val="24"/>
        </w:rPr>
        <w:t xml:space="preserve"> </w:t>
      </w:r>
      <w:r w:rsidRPr="00BA31D4">
        <w:rPr>
          <w:rFonts w:asciiTheme="majorBidi" w:hAnsiTheme="majorBidi" w:cstheme="majorBidi"/>
          <w:sz w:val="24"/>
          <w:szCs w:val="24"/>
        </w:rPr>
        <w:t>(248) = 7.20, p &lt; .001. This suggests that mentoring may be a particularly potent activity for fostering generative development.</w:t>
      </w:r>
    </w:p>
    <w:p w14:paraId="74667334" w14:textId="70CA76BF" w:rsidR="00BA31D4" w:rsidRPr="00BA31D4" w:rsidRDefault="00BA31D4" w:rsidP="0019388C">
      <w:pPr>
        <w:numPr>
          <w:ilvl w:val="0"/>
          <w:numId w:val="6"/>
        </w:numPr>
        <w:spacing w:line="276" w:lineRule="auto"/>
        <w:rPr>
          <w:rFonts w:asciiTheme="majorBidi" w:hAnsiTheme="majorBidi" w:cstheme="majorBidi"/>
          <w:sz w:val="24"/>
          <w:szCs w:val="24"/>
        </w:rPr>
      </w:pPr>
      <w:r w:rsidRPr="00BA31D4">
        <w:rPr>
          <w:rFonts w:asciiTheme="majorBidi" w:hAnsiTheme="majorBidi" w:cstheme="majorBidi"/>
          <w:b/>
          <w:bCs/>
          <w:sz w:val="24"/>
          <w:szCs w:val="24"/>
        </w:rPr>
        <w:t>Community Service</w:t>
      </w:r>
      <w:r w:rsidRPr="00BA31D4">
        <w:rPr>
          <w:rFonts w:asciiTheme="majorBidi" w:hAnsiTheme="majorBidi" w:cstheme="majorBidi"/>
          <w:sz w:val="24"/>
          <w:szCs w:val="24"/>
        </w:rPr>
        <w:t>: Participants involved in community service also exhibited slightly higher generativity scores (M = 37.0, SD = 8.2) than those not involved (M = 34.2, SD = 8.7), t</w:t>
      </w:r>
      <w:r w:rsidRPr="0019388C">
        <w:rPr>
          <w:rFonts w:asciiTheme="majorBidi" w:hAnsiTheme="majorBidi" w:cstheme="majorBidi"/>
          <w:sz w:val="24"/>
          <w:szCs w:val="24"/>
        </w:rPr>
        <w:t xml:space="preserve"> </w:t>
      </w:r>
      <w:r w:rsidRPr="00BA31D4">
        <w:rPr>
          <w:rFonts w:asciiTheme="majorBidi" w:hAnsiTheme="majorBidi" w:cstheme="majorBidi"/>
          <w:sz w:val="24"/>
          <w:szCs w:val="24"/>
        </w:rPr>
        <w:t>(248) = 2.50, p &lt; .05. While statistically significant, this difference was smaller than that observed for mentoring.</w:t>
      </w:r>
    </w:p>
    <w:p w14:paraId="195E788C" w14:textId="77777777" w:rsidR="00BA31D4" w:rsidRPr="00BA31D4" w:rsidRDefault="00BA31D4" w:rsidP="0019388C">
      <w:pPr>
        <w:numPr>
          <w:ilvl w:val="0"/>
          <w:numId w:val="6"/>
        </w:numPr>
        <w:spacing w:line="276" w:lineRule="auto"/>
        <w:rPr>
          <w:rFonts w:asciiTheme="majorBidi" w:hAnsiTheme="majorBidi" w:cstheme="majorBidi"/>
          <w:sz w:val="24"/>
          <w:szCs w:val="24"/>
        </w:rPr>
      </w:pPr>
      <w:r w:rsidRPr="00BA31D4">
        <w:rPr>
          <w:rFonts w:asciiTheme="majorBidi" w:hAnsiTheme="majorBidi" w:cstheme="majorBidi"/>
          <w:b/>
          <w:bCs/>
          <w:sz w:val="24"/>
          <w:szCs w:val="24"/>
        </w:rPr>
        <w:t>Environmental Projects</w:t>
      </w:r>
      <w:r w:rsidRPr="00BA31D4">
        <w:rPr>
          <w:rFonts w:asciiTheme="majorBidi" w:hAnsiTheme="majorBidi" w:cstheme="majorBidi"/>
          <w:sz w:val="24"/>
          <w:szCs w:val="24"/>
        </w:rPr>
        <w:t>: No significant difference in generativity scores was observed between participants involved in environmental projects and those not involved (p &gt; .05).</w:t>
      </w:r>
    </w:p>
    <w:p w14:paraId="584340A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Motivations for Volunteering and Generativity</w:t>
      </w:r>
    </w:p>
    <w:p w14:paraId="2713ACBF"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 multiple regression analysis using the VFI motivation subscales as predictors of generativity scores revealed:</w:t>
      </w:r>
    </w:p>
    <w:p w14:paraId="38D6D4B5" w14:textId="77777777" w:rsidR="00BA31D4" w:rsidRPr="00BA31D4" w:rsidRDefault="00BA31D4" w:rsidP="0019388C">
      <w:pPr>
        <w:numPr>
          <w:ilvl w:val="0"/>
          <w:numId w:val="7"/>
        </w:numPr>
        <w:spacing w:line="276" w:lineRule="auto"/>
        <w:rPr>
          <w:rFonts w:asciiTheme="majorBidi" w:hAnsiTheme="majorBidi" w:cstheme="majorBidi"/>
          <w:sz w:val="24"/>
          <w:szCs w:val="24"/>
        </w:rPr>
      </w:pPr>
      <w:r w:rsidRPr="00BA31D4">
        <w:rPr>
          <w:rFonts w:asciiTheme="majorBidi" w:hAnsiTheme="majorBidi" w:cstheme="majorBidi"/>
          <w:b/>
          <w:bCs/>
          <w:sz w:val="24"/>
          <w:szCs w:val="24"/>
        </w:rPr>
        <w:t>Values Motivation</w:t>
      </w:r>
      <w:r w:rsidRPr="00BA31D4">
        <w:rPr>
          <w:rFonts w:asciiTheme="majorBidi" w:hAnsiTheme="majorBidi" w:cstheme="majorBidi"/>
          <w:sz w:val="24"/>
          <w:szCs w:val="24"/>
        </w:rPr>
        <w:t>: A significant positive predictor of generativity (β = .40, p &lt; .001). This indicates that individuals who volunteer because of their personal values tend to exhibit higher levels of generative concern.</w:t>
      </w:r>
    </w:p>
    <w:p w14:paraId="24AAFBDF" w14:textId="327A35BB" w:rsidR="00BA31D4" w:rsidRPr="00BA31D4" w:rsidRDefault="00BA31D4" w:rsidP="0019388C">
      <w:pPr>
        <w:numPr>
          <w:ilvl w:val="0"/>
          <w:numId w:val="7"/>
        </w:numPr>
        <w:spacing w:line="276" w:lineRule="auto"/>
        <w:rPr>
          <w:rFonts w:asciiTheme="majorBidi" w:hAnsiTheme="majorBidi" w:cstheme="majorBidi"/>
          <w:sz w:val="24"/>
          <w:szCs w:val="24"/>
        </w:rPr>
      </w:pPr>
      <w:r w:rsidRPr="00BA31D4">
        <w:rPr>
          <w:rFonts w:asciiTheme="majorBidi" w:hAnsiTheme="majorBidi" w:cstheme="majorBidi"/>
          <w:b/>
          <w:bCs/>
          <w:sz w:val="24"/>
          <w:szCs w:val="24"/>
        </w:rPr>
        <w:t>Understanding Motivation</w:t>
      </w:r>
      <w:r w:rsidRPr="00BA31D4">
        <w:rPr>
          <w:rFonts w:asciiTheme="majorBidi" w:hAnsiTheme="majorBidi" w:cstheme="majorBidi"/>
          <w:sz w:val="24"/>
          <w:szCs w:val="24"/>
        </w:rPr>
        <w:t xml:space="preserve">: </w:t>
      </w:r>
      <w:r w:rsidRPr="0019388C">
        <w:rPr>
          <w:rFonts w:asciiTheme="majorBidi" w:hAnsiTheme="majorBidi" w:cstheme="majorBidi"/>
          <w:sz w:val="24"/>
          <w:szCs w:val="24"/>
        </w:rPr>
        <w:t>Also,</w:t>
      </w:r>
      <w:r w:rsidRPr="00BA31D4">
        <w:rPr>
          <w:rFonts w:asciiTheme="majorBidi" w:hAnsiTheme="majorBidi" w:cstheme="majorBidi"/>
          <w:sz w:val="24"/>
          <w:szCs w:val="24"/>
        </w:rPr>
        <w:t xml:space="preserve"> a positive predictor of generativity (β = .25, p &lt; .01), suggesting that the desire to learn and understand through volunteering experiences contributes to generative development.</w:t>
      </w:r>
    </w:p>
    <w:p w14:paraId="4E8D64DD" w14:textId="77777777" w:rsidR="00BA31D4" w:rsidRPr="00BA31D4" w:rsidRDefault="00BA31D4" w:rsidP="0019388C">
      <w:pPr>
        <w:numPr>
          <w:ilvl w:val="0"/>
          <w:numId w:val="7"/>
        </w:numPr>
        <w:spacing w:line="276" w:lineRule="auto"/>
        <w:rPr>
          <w:rFonts w:asciiTheme="majorBidi" w:hAnsiTheme="majorBidi" w:cstheme="majorBidi"/>
          <w:sz w:val="24"/>
          <w:szCs w:val="24"/>
        </w:rPr>
      </w:pPr>
      <w:r w:rsidRPr="00BA31D4">
        <w:rPr>
          <w:rFonts w:asciiTheme="majorBidi" w:hAnsiTheme="majorBidi" w:cstheme="majorBidi"/>
          <w:b/>
          <w:bCs/>
          <w:sz w:val="24"/>
          <w:szCs w:val="24"/>
        </w:rPr>
        <w:t>Career and Social Motivations</w:t>
      </w:r>
      <w:r w:rsidRPr="00BA31D4">
        <w:rPr>
          <w:rFonts w:asciiTheme="majorBidi" w:hAnsiTheme="majorBidi" w:cstheme="majorBidi"/>
          <w:sz w:val="24"/>
          <w:szCs w:val="24"/>
        </w:rPr>
        <w:t>: Neither career motivation (β = .05, p &gt; .05) nor social motivation (β = .08, p &gt; .05) were significant predictors of generativity.</w:t>
      </w:r>
    </w:p>
    <w:p w14:paraId="21635DBC" w14:textId="006BBF9C"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overall model, including all four motivation subscales, explained 30% of the variance in generativity scores (R² = .30, F</w:t>
      </w:r>
      <w:r w:rsidRPr="0019388C">
        <w:rPr>
          <w:rFonts w:asciiTheme="majorBidi" w:hAnsiTheme="majorBidi" w:cstheme="majorBidi"/>
          <w:sz w:val="24"/>
          <w:szCs w:val="24"/>
        </w:rPr>
        <w:t xml:space="preserve"> </w:t>
      </w:r>
      <w:r w:rsidRPr="00BA31D4">
        <w:rPr>
          <w:rFonts w:asciiTheme="majorBidi" w:hAnsiTheme="majorBidi" w:cstheme="majorBidi"/>
          <w:sz w:val="24"/>
          <w:szCs w:val="24"/>
        </w:rPr>
        <w:t>(4, 195) = 21.07, p &lt; .001).</w:t>
      </w:r>
    </w:p>
    <w:p w14:paraId="7C0FBAE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Generativity and Subgroup Differences</w:t>
      </w:r>
    </w:p>
    <w:p w14:paraId="0282264F" w14:textId="40A286BC"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An ANOVA examining generativity scores across different frequencies of volunteering revealed significant differences among the groups (F</w:t>
      </w:r>
      <w:r w:rsidRPr="0019388C">
        <w:rPr>
          <w:rFonts w:asciiTheme="majorBidi" w:hAnsiTheme="majorBidi" w:cstheme="majorBidi"/>
          <w:sz w:val="24"/>
          <w:szCs w:val="24"/>
        </w:rPr>
        <w:t xml:space="preserve"> </w:t>
      </w:r>
      <w:r w:rsidRPr="00BA31D4">
        <w:rPr>
          <w:rFonts w:asciiTheme="majorBidi" w:hAnsiTheme="majorBidi" w:cstheme="majorBidi"/>
          <w:sz w:val="24"/>
          <w:szCs w:val="24"/>
        </w:rPr>
        <w:t>(3, 246) = 28.45, p &lt; .001). Post-hoc Tukey tests indicated that weekly volunteers (M = 41.5, SD = 7.0) had significantly higher generativity scores than monthly volunteers (M = 37.0, SD = 7.5), occasional volunteers (M = 33.5, SD = 8.0), and non-volunteers (M = 28.0, SD = 7.5). All pairwise comparisons between these groups were significant (p &lt; .05), with the exception of the comparison between occasional volunteers and non-volunteers (p &gt; .05). This suggests a dose-response relationship between volunteering frequency and generativity, with more frequent volunteering associated with higher generativity.</w:t>
      </w:r>
    </w:p>
    <w:p w14:paraId="560457E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5. Discussion</w:t>
      </w:r>
    </w:p>
    <w:p w14:paraId="7FAC0889"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Summary of Main Findings</w:t>
      </w:r>
    </w:p>
    <w:p w14:paraId="05D070A6"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lastRenderedPageBreak/>
        <w:t>This study's primary finding is a positive association between volunteerism and generativity among young adults. More frequent and longer durations of volunteer activities were linked to higher levels of generative concern. Specifically, participation in mentoring and community service roles was associated with elevated generativity scores. Furthermore, intrinsic motivations for volunteering, particularly values and understanding, were significant predictors of generativity.</w:t>
      </w:r>
    </w:p>
    <w:p w14:paraId="287E53F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Interpretation</w:t>
      </w:r>
    </w:p>
    <w:p w14:paraId="11680566" w14:textId="2CC70D3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The observed positive relationship between volunteerism and generativity aligns with prominent theories of prosocial development, which posit that engaging in altruistic activities promotes generative concerns (Damon, 2004; McAdams &amp; Logan, 2004). Volunteerism offers young </w:t>
      </w:r>
      <w:r w:rsidR="00A06609" w:rsidRPr="0019388C">
        <w:rPr>
          <w:rFonts w:asciiTheme="majorBidi" w:hAnsiTheme="majorBidi" w:cstheme="majorBidi"/>
          <w:sz w:val="24"/>
          <w:szCs w:val="24"/>
        </w:rPr>
        <w:t>adults'</w:t>
      </w:r>
      <w:r w:rsidRPr="00BA31D4">
        <w:rPr>
          <w:rFonts w:asciiTheme="majorBidi" w:hAnsiTheme="majorBidi" w:cstheme="majorBidi"/>
          <w:sz w:val="24"/>
          <w:szCs w:val="24"/>
        </w:rPr>
        <w:t xml:space="preserve"> concrete opportunities to make meaningful contributions to society, fostering a sense of purpose, responsibility, and connection to something larger than themselves (Grönlund, 2011).</w:t>
      </w:r>
    </w:p>
    <w:p w14:paraId="5EA3C549"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particularly strong association between mentoring and generativity highlights the potential importance of direct interpersonal engagement in fostering generative development. Mentoring allows young adults to actively guide and influence others, embodying the core principle of generativity as conceptualized by Erikson (1950). This aligns with existing research suggesting that mentorship roles enhance prosocial development and facilitate the development of generative concern (Eley, 2003; Raposa et al., 2013).</w:t>
      </w:r>
    </w:p>
    <w:p w14:paraId="4BD47A4E"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 finding that values-driven and understanding-seeking motivations predict generativity underscores the role of intrinsic motivation in driving this developmental process (Clary et al., 1998; Omoto &amp; Snyder, 1995). When young adults engage in volunteering out of a genuine concern for others and a desire to learn and grow, these experiences appear to facilitate the internalization of generative values, leading to more sustained prosocial engagement (Stukas et al., 2016).</w:t>
      </w:r>
    </w:p>
    <w:p w14:paraId="3164D4AF"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Implications for Practice</w:t>
      </w:r>
    </w:p>
    <w:p w14:paraId="044008F5"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These findings have significant implications for educational institutions, community organizations, and policymakers seeking to promote positive youth development. Encouraging young adults to participate in volunteer activities, particularly those involving mentorship, can be a valuable strategy for fostering generative concern and contributing to positive developmental outcomes (Scales et al., 2000; Hart et al., 2007). Programs designed to promote volunteerism should emphasize the personal and societal benefits of such engagement, focusing on cultivating intrinsic motivations rather than relying solely on external incentives.</w:t>
      </w:r>
    </w:p>
    <w:p w14:paraId="27A4482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Integrating service-learning components into educational curricula can create opportunities for students to connect academic learning with community service, further enhancing their generative development (Eyler &amp; Giles, 1999; Astin et al., 2000). Such initiatives can provide structured and supportive environments for young adults to explore and express their generative concerns.</w:t>
      </w:r>
    </w:p>
    <w:p w14:paraId="64705C3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lastRenderedPageBreak/>
        <w:t>Limitations</w:t>
      </w:r>
    </w:p>
    <w:p w14:paraId="458E0989"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This study's cross-sectional design limits the ability to draw causal inferences about the relationship between volunteerism and generativity. While the findings suggest a strong association, it is possible that pre-existing individual differences or other unmeasured factors contribute to both volunteerism and generativity. Furthermore, the reliance on self-reported measures introduces the potential for response biases, particularly social desirability bias, which could inflate the reported frequency or impact of volunteer activities (</w:t>
      </w:r>
      <w:proofErr w:type="spellStart"/>
      <w:r w:rsidRPr="00BA31D4">
        <w:rPr>
          <w:rFonts w:asciiTheme="majorBidi" w:hAnsiTheme="majorBidi" w:cstheme="majorBidi"/>
          <w:sz w:val="24"/>
          <w:szCs w:val="24"/>
        </w:rPr>
        <w:t>Nederhof</w:t>
      </w:r>
      <w:proofErr w:type="spellEnd"/>
      <w:r w:rsidRPr="00BA31D4">
        <w:rPr>
          <w:rFonts w:asciiTheme="majorBidi" w:hAnsiTheme="majorBidi" w:cstheme="majorBidi"/>
          <w:sz w:val="24"/>
          <w:szCs w:val="24"/>
        </w:rPr>
        <w:t>, 1985). Finally, the sample, primarily drawn from university settings, may not be fully representative of all young adults, limiting the generalizability of the findings to other populations.</w:t>
      </w:r>
    </w:p>
    <w:p w14:paraId="7510B405"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Recommendations for Future Research</w:t>
      </w:r>
    </w:p>
    <w:p w14:paraId="1CD7093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Future research should employ longitudinal designs to examine the dynamic interplay between volunteerism and generativity over time. This would allow for stronger causal inferences and a clearer understanding of how these constructs influence each other across developmental trajectories. Experimental interventions designed to promote specific types of volunteer activities could provide more robust evidence regarding their causal impact on generative development. Furthermore, expanding research to include more diverse populations, considering factors such as socioeconomic status, cultural background, and geographic location, would enhance the generalizability and ecological validity of future findings. Finally, incorporating qualitative methodologies, such as in-depth interviews or focus groups, could provide richer insights into the nuanced experiences and motivations underlying young adults' engagement in volunteerism and its contribution to generative development.</w:t>
      </w:r>
    </w:p>
    <w:p w14:paraId="008893DE"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6. Conclusion</w:t>
      </w:r>
    </w:p>
    <w:p w14:paraId="129D50D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This study provides compelling evidence for a significant positive association between volunteerism and generativity among young adults. The findings suggest that engaging in volunteer activities, particularly those involving mentorship and driven by intrinsic motivations such as values and the pursuit of understanding, can be a powerful catalyst for fostering generative concern during a crucial period of development. Promoting volunteerism among young adults through targeted programs and educational initiatives holds considerable promise for enhancing prosocial values, strengthening communities, and contributing to positive societal change. These insights contribute to our understanding of how early adult experiences can shape developmental trajectories and offer practical guidance for designing interventions that support the development of generativity.</w:t>
      </w:r>
    </w:p>
    <w:p w14:paraId="3832190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b/>
          <w:bCs/>
          <w:sz w:val="24"/>
          <w:szCs w:val="24"/>
        </w:rPr>
        <w:t>7. References</w:t>
      </w:r>
    </w:p>
    <w:p w14:paraId="4A5BF77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American Psychological Association. (2017). </w:t>
      </w:r>
      <w:r w:rsidRPr="00BA31D4">
        <w:rPr>
          <w:rFonts w:asciiTheme="majorBidi" w:hAnsiTheme="majorBidi" w:cstheme="majorBidi"/>
          <w:i/>
          <w:iCs/>
          <w:sz w:val="24"/>
          <w:szCs w:val="24"/>
        </w:rPr>
        <w:t>Ethical principles of psychologists and code of conduct</w:t>
      </w:r>
      <w:r w:rsidRPr="00BA31D4">
        <w:rPr>
          <w:rFonts w:asciiTheme="majorBidi" w:hAnsiTheme="majorBidi" w:cstheme="majorBidi"/>
          <w:sz w:val="24"/>
          <w:szCs w:val="24"/>
        </w:rPr>
        <w:t> (2002, Amended June 1, 2010 and January 1, 2017). </w:t>
      </w:r>
      <w:hyperlink r:id="rId5" w:tgtFrame="_blank" w:history="1">
        <w:r w:rsidRPr="00BA31D4">
          <w:rPr>
            <w:rStyle w:val="Hyperlink"/>
            <w:rFonts w:asciiTheme="majorBidi" w:hAnsiTheme="majorBidi" w:cstheme="majorBidi"/>
            <w:sz w:val="24"/>
            <w:szCs w:val="24"/>
          </w:rPr>
          <w:t>https://www.apa.org/ethics/code/</w:t>
        </w:r>
      </w:hyperlink>
    </w:p>
    <w:p w14:paraId="453050B7" w14:textId="25AF342D"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lastRenderedPageBreak/>
        <w:t>Arnett, J. J. (2000). Emerging adulthood: A theory of development from the late teens through the twenties. </w:t>
      </w:r>
      <w:r w:rsidRPr="00BA31D4">
        <w:rPr>
          <w:rFonts w:asciiTheme="majorBidi" w:hAnsiTheme="majorBidi" w:cstheme="majorBidi"/>
          <w:i/>
          <w:iCs/>
          <w:sz w:val="24"/>
          <w:szCs w:val="24"/>
        </w:rPr>
        <w:t>American Psychologist, 55</w:t>
      </w:r>
      <w:r w:rsidRPr="00BA31D4">
        <w:rPr>
          <w:rFonts w:asciiTheme="majorBidi" w:hAnsiTheme="majorBidi" w:cstheme="majorBidi"/>
          <w:sz w:val="24"/>
          <w:szCs w:val="24"/>
        </w:rPr>
        <w:t>(5), 469–480.</w:t>
      </w:r>
      <w:r w:rsidR="00E434C7" w:rsidRPr="0019388C">
        <w:rPr>
          <w:rFonts w:asciiTheme="majorBidi" w:hAnsiTheme="majorBidi" w:cstheme="majorBidi"/>
          <w:sz w:val="24"/>
          <w:szCs w:val="24"/>
        </w:rPr>
        <w:t xml:space="preserve"> </w:t>
      </w:r>
      <w:hyperlink r:id="rId6" w:history="1">
        <w:r w:rsidR="00E434C7" w:rsidRPr="0019388C">
          <w:rPr>
            <w:rStyle w:val="Hyperlink"/>
            <w:rFonts w:asciiTheme="majorBidi" w:hAnsiTheme="majorBidi" w:cstheme="majorBidi"/>
            <w:sz w:val="24"/>
            <w:szCs w:val="24"/>
          </w:rPr>
          <w:t>https://doi.org/10.1037/0003-066X.55.5.469</w:t>
        </w:r>
      </w:hyperlink>
      <w:r w:rsidR="00E434C7" w:rsidRPr="0019388C">
        <w:rPr>
          <w:rFonts w:asciiTheme="majorBidi" w:hAnsiTheme="majorBidi" w:cstheme="majorBidi"/>
          <w:sz w:val="24"/>
          <w:szCs w:val="24"/>
        </w:rPr>
        <w:t xml:space="preserve"> </w:t>
      </w:r>
    </w:p>
    <w:p w14:paraId="69954BD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Astin, A. W., &amp; Sax, L. J. (1998). How undergraduates are affected by service participation. </w:t>
      </w:r>
      <w:r w:rsidRPr="00BA31D4">
        <w:rPr>
          <w:rFonts w:asciiTheme="majorBidi" w:hAnsiTheme="majorBidi" w:cstheme="majorBidi"/>
          <w:i/>
          <w:iCs/>
          <w:sz w:val="24"/>
          <w:szCs w:val="24"/>
        </w:rPr>
        <w:t>Journal of College Student Development, 39</w:t>
      </w:r>
      <w:r w:rsidRPr="00BA31D4">
        <w:rPr>
          <w:rFonts w:asciiTheme="majorBidi" w:hAnsiTheme="majorBidi" w:cstheme="majorBidi"/>
          <w:sz w:val="24"/>
          <w:szCs w:val="24"/>
        </w:rPr>
        <w:t>(3), 251–263.</w:t>
      </w:r>
    </w:p>
    <w:p w14:paraId="1F8AEB9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Astin, A. W., Vogelgesang, L. J., Ikeda, E. K., &amp; Yee, J. A. (2000). What matters in college? Four critical years revisited. </w:t>
      </w:r>
      <w:r w:rsidRPr="00BA31D4">
        <w:rPr>
          <w:rFonts w:asciiTheme="majorBidi" w:hAnsiTheme="majorBidi" w:cstheme="majorBidi"/>
          <w:i/>
          <w:iCs/>
          <w:sz w:val="24"/>
          <w:szCs w:val="24"/>
        </w:rPr>
        <w:t>Jossey-Bass</w:t>
      </w:r>
      <w:r w:rsidRPr="00BA31D4">
        <w:rPr>
          <w:rFonts w:asciiTheme="majorBidi" w:hAnsiTheme="majorBidi" w:cstheme="majorBidi"/>
          <w:sz w:val="24"/>
          <w:szCs w:val="24"/>
        </w:rPr>
        <w:t>.</w:t>
      </w:r>
    </w:p>
    <w:p w14:paraId="2F7BF49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Bradley, C. L. (1997). Measurement issues in generativity research. </w:t>
      </w:r>
      <w:r w:rsidRPr="00BA31D4">
        <w:rPr>
          <w:rFonts w:asciiTheme="majorBidi" w:hAnsiTheme="majorBidi" w:cstheme="majorBidi"/>
          <w:i/>
          <w:iCs/>
          <w:sz w:val="24"/>
          <w:szCs w:val="24"/>
        </w:rPr>
        <w:t>Journal of Adult Development, 4</w:t>
      </w:r>
      <w:r w:rsidRPr="00BA31D4">
        <w:rPr>
          <w:rFonts w:asciiTheme="majorBidi" w:hAnsiTheme="majorBidi" w:cstheme="majorBidi"/>
          <w:sz w:val="24"/>
          <w:szCs w:val="24"/>
        </w:rPr>
        <w:t>(4), 221-231.</w:t>
      </w:r>
    </w:p>
    <w:p w14:paraId="41621ED1" w14:textId="150272B4"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Clary, E. G., Snyder, M., Ridge, R. D., Copeland, J., Stukas, A. A., Haugen, J., &amp; Miene, P. (1998). Understanding and assessing the motivations of volunteers: A functional approach. </w:t>
      </w:r>
      <w:r w:rsidRPr="00BA31D4">
        <w:rPr>
          <w:rFonts w:asciiTheme="majorBidi" w:hAnsiTheme="majorBidi" w:cstheme="majorBidi"/>
          <w:i/>
          <w:iCs/>
          <w:sz w:val="24"/>
          <w:szCs w:val="24"/>
        </w:rPr>
        <w:t>Journal of Personality and Social Psychology, 74</w:t>
      </w:r>
      <w:r w:rsidRPr="00BA31D4">
        <w:rPr>
          <w:rFonts w:asciiTheme="majorBidi" w:hAnsiTheme="majorBidi" w:cstheme="majorBidi"/>
          <w:sz w:val="24"/>
          <w:szCs w:val="24"/>
        </w:rPr>
        <w:t>(6), 1516–1530.</w:t>
      </w:r>
      <w:r w:rsidR="00E434C7" w:rsidRPr="0019388C">
        <w:rPr>
          <w:rFonts w:asciiTheme="majorBidi" w:hAnsiTheme="majorBidi" w:cstheme="majorBidi"/>
          <w:sz w:val="24"/>
          <w:szCs w:val="24"/>
        </w:rPr>
        <w:t xml:space="preserve"> </w:t>
      </w:r>
      <w:hyperlink r:id="rId7" w:history="1">
        <w:r w:rsidR="00E434C7" w:rsidRPr="0019388C">
          <w:rPr>
            <w:rStyle w:val="Hyperlink"/>
            <w:rFonts w:asciiTheme="majorBidi" w:hAnsiTheme="majorBidi" w:cstheme="majorBidi"/>
            <w:sz w:val="24"/>
            <w:szCs w:val="24"/>
          </w:rPr>
          <w:t>https://doi.org/10.1037/0022-3514.74.6.1516</w:t>
        </w:r>
      </w:hyperlink>
      <w:r w:rsidR="00E434C7" w:rsidRPr="0019388C">
        <w:rPr>
          <w:rFonts w:asciiTheme="majorBidi" w:hAnsiTheme="majorBidi" w:cstheme="majorBidi"/>
          <w:sz w:val="24"/>
          <w:szCs w:val="24"/>
        </w:rPr>
        <w:t xml:space="preserve"> </w:t>
      </w:r>
    </w:p>
    <w:p w14:paraId="6C44FDFB"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Damon, W. (2004). The moral advantage: How to succeed in business by doing the right thing. </w:t>
      </w:r>
      <w:r w:rsidRPr="00BA31D4">
        <w:rPr>
          <w:rFonts w:asciiTheme="majorBidi" w:hAnsiTheme="majorBidi" w:cstheme="majorBidi"/>
          <w:i/>
          <w:iCs/>
          <w:sz w:val="24"/>
          <w:szCs w:val="24"/>
        </w:rPr>
        <w:t>Berrett-Koehler Publishers</w:t>
      </w:r>
      <w:r w:rsidRPr="00BA31D4">
        <w:rPr>
          <w:rFonts w:asciiTheme="majorBidi" w:hAnsiTheme="majorBidi" w:cstheme="majorBidi"/>
          <w:sz w:val="24"/>
          <w:szCs w:val="24"/>
        </w:rPr>
        <w:t>.</w:t>
      </w:r>
    </w:p>
    <w:p w14:paraId="2DD08005"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de St. Aubin, E., McAdams, D. P., &amp; Kim, T. (2013). Generativity development from late adolescence through midlife. </w:t>
      </w:r>
      <w:r w:rsidRPr="00BA31D4">
        <w:rPr>
          <w:rFonts w:asciiTheme="majorBidi" w:hAnsiTheme="majorBidi" w:cstheme="majorBidi"/>
          <w:i/>
          <w:iCs/>
          <w:sz w:val="24"/>
          <w:szCs w:val="24"/>
        </w:rPr>
        <w:t>Journal of Adult Development, 20</w:t>
      </w:r>
      <w:r w:rsidRPr="00BA31D4">
        <w:rPr>
          <w:rFonts w:asciiTheme="majorBidi" w:hAnsiTheme="majorBidi" w:cstheme="majorBidi"/>
          <w:sz w:val="24"/>
          <w:szCs w:val="24"/>
        </w:rPr>
        <w:t>(4), 211–224.</w:t>
      </w:r>
    </w:p>
    <w:p w14:paraId="32CC00C8"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Eley, D. S. (2003). Mentoring and generativity. </w:t>
      </w:r>
      <w:r w:rsidRPr="00BA31D4">
        <w:rPr>
          <w:rFonts w:asciiTheme="majorBidi" w:hAnsiTheme="majorBidi" w:cstheme="majorBidi"/>
          <w:i/>
          <w:iCs/>
          <w:sz w:val="24"/>
          <w:szCs w:val="24"/>
        </w:rPr>
        <w:t>Generativity IX, 9,</w:t>
      </w:r>
      <w:r w:rsidRPr="00BA31D4">
        <w:rPr>
          <w:rFonts w:asciiTheme="majorBidi" w:hAnsiTheme="majorBidi" w:cstheme="majorBidi"/>
          <w:sz w:val="24"/>
          <w:szCs w:val="24"/>
        </w:rPr>
        <w:t> 21–28.</w:t>
      </w:r>
    </w:p>
    <w:p w14:paraId="5746BEA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Erikson, E. H. (1950). </w:t>
      </w:r>
      <w:r w:rsidRPr="00BA31D4">
        <w:rPr>
          <w:rFonts w:asciiTheme="majorBidi" w:hAnsiTheme="majorBidi" w:cstheme="majorBidi"/>
          <w:i/>
          <w:iCs/>
          <w:sz w:val="24"/>
          <w:szCs w:val="24"/>
        </w:rPr>
        <w:t>Childhood and society</w:t>
      </w:r>
      <w:r w:rsidRPr="00BA31D4">
        <w:rPr>
          <w:rFonts w:asciiTheme="majorBidi" w:hAnsiTheme="majorBidi" w:cstheme="majorBidi"/>
          <w:sz w:val="24"/>
          <w:szCs w:val="24"/>
        </w:rPr>
        <w:t>. W. W. Norton &amp; Company.</w:t>
      </w:r>
    </w:p>
    <w:p w14:paraId="500C661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Erikson, E. H. (1963). </w:t>
      </w:r>
      <w:r w:rsidRPr="00BA31D4">
        <w:rPr>
          <w:rFonts w:asciiTheme="majorBidi" w:hAnsiTheme="majorBidi" w:cstheme="majorBidi"/>
          <w:i/>
          <w:iCs/>
          <w:sz w:val="24"/>
          <w:szCs w:val="24"/>
        </w:rPr>
        <w:t>Childhood and society</w:t>
      </w:r>
      <w:r w:rsidRPr="00BA31D4">
        <w:rPr>
          <w:rFonts w:asciiTheme="majorBidi" w:hAnsiTheme="majorBidi" w:cstheme="majorBidi"/>
          <w:sz w:val="24"/>
          <w:szCs w:val="24"/>
        </w:rPr>
        <w:t> (2nd ed.). W. W. Norton &amp; Company.</w:t>
      </w:r>
    </w:p>
    <w:p w14:paraId="06B4F89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Eyler, J., &amp; Giles, D. E., Jr. (1999). </w:t>
      </w:r>
      <w:r w:rsidRPr="00BA31D4">
        <w:rPr>
          <w:rFonts w:asciiTheme="majorBidi" w:hAnsiTheme="majorBidi" w:cstheme="majorBidi"/>
          <w:i/>
          <w:iCs/>
          <w:sz w:val="24"/>
          <w:szCs w:val="24"/>
        </w:rPr>
        <w:t>Where's the learning in service-</w:t>
      </w:r>
      <w:proofErr w:type="gramStart"/>
      <w:r w:rsidRPr="00BA31D4">
        <w:rPr>
          <w:rFonts w:asciiTheme="majorBidi" w:hAnsiTheme="majorBidi" w:cstheme="majorBidi"/>
          <w:i/>
          <w:iCs/>
          <w:sz w:val="24"/>
          <w:szCs w:val="24"/>
        </w:rPr>
        <w:t>learning?.</w:t>
      </w:r>
      <w:proofErr w:type="gramEnd"/>
      <w:r w:rsidRPr="00BA31D4">
        <w:rPr>
          <w:rFonts w:asciiTheme="majorBidi" w:hAnsiTheme="majorBidi" w:cstheme="majorBidi"/>
          <w:sz w:val="24"/>
          <w:szCs w:val="24"/>
        </w:rPr>
        <w:t> Jossey-Bass.</w:t>
      </w:r>
    </w:p>
    <w:p w14:paraId="67B08A58"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Grönlund, H. (2011). Volunteer tourism: Experiences that make a difference. </w:t>
      </w:r>
      <w:r w:rsidRPr="00BA31D4">
        <w:rPr>
          <w:rFonts w:asciiTheme="majorBidi" w:hAnsiTheme="majorBidi" w:cstheme="majorBidi"/>
          <w:i/>
          <w:iCs/>
          <w:sz w:val="24"/>
          <w:szCs w:val="24"/>
        </w:rPr>
        <w:t>CABI</w:t>
      </w:r>
      <w:r w:rsidRPr="00BA31D4">
        <w:rPr>
          <w:rFonts w:asciiTheme="majorBidi" w:hAnsiTheme="majorBidi" w:cstheme="majorBidi"/>
          <w:sz w:val="24"/>
          <w:szCs w:val="24"/>
        </w:rPr>
        <w:t>.</w:t>
      </w:r>
    </w:p>
    <w:p w14:paraId="7AB85098"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Hart, D., </w:t>
      </w:r>
      <w:proofErr w:type="spellStart"/>
      <w:r w:rsidRPr="00BA31D4">
        <w:rPr>
          <w:rFonts w:asciiTheme="majorBidi" w:hAnsiTheme="majorBidi" w:cstheme="majorBidi"/>
          <w:sz w:val="24"/>
          <w:szCs w:val="24"/>
        </w:rPr>
        <w:t>Matsuba</w:t>
      </w:r>
      <w:proofErr w:type="spellEnd"/>
      <w:r w:rsidRPr="00BA31D4">
        <w:rPr>
          <w:rFonts w:asciiTheme="majorBidi" w:hAnsiTheme="majorBidi" w:cstheme="majorBidi"/>
          <w:sz w:val="24"/>
          <w:szCs w:val="24"/>
        </w:rPr>
        <w:t xml:space="preserve">, M. K., &amp; Atkins, R. (2007). The moral and civic effects of learning to serve. In W. Damon, H. Hart, &amp; M. </w:t>
      </w:r>
      <w:proofErr w:type="spellStart"/>
      <w:r w:rsidRPr="00BA31D4">
        <w:rPr>
          <w:rFonts w:asciiTheme="majorBidi" w:hAnsiTheme="majorBidi" w:cstheme="majorBidi"/>
          <w:sz w:val="24"/>
          <w:szCs w:val="24"/>
        </w:rPr>
        <w:t>Matsuba</w:t>
      </w:r>
      <w:proofErr w:type="spellEnd"/>
      <w:r w:rsidRPr="00BA31D4">
        <w:rPr>
          <w:rFonts w:asciiTheme="majorBidi" w:hAnsiTheme="majorBidi" w:cstheme="majorBidi"/>
          <w:sz w:val="24"/>
          <w:szCs w:val="24"/>
        </w:rPr>
        <w:t xml:space="preserve"> (Eds.), </w:t>
      </w:r>
      <w:r w:rsidRPr="00BA31D4">
        <w:rPr>
          <w:rFonts w:asciiTheme="majorBidi" w:hAnsiTheme="majorBidi" w:cstheme="majorBidi"/>
          <w:i/>
          <w:iCs/>
          <w:sz w:val="24"/>
          <w:szCs w:val="24"/>
        </w:rPr>
        <w:t>Advances in child development and behavior</w:t>
      </w:r>
      <w:r w:rsidRPr="00BA31D4">
        <w:rPr>
          <w:rFonts w:asciiTheme="majorBidi" w:hAnsiTheme="majorBidi" w:cstheme="majorBidi"/>
          <w:sz w:val="24"/>
          <w:szCs w:val="24"/>
        </w:rPr>
        <w:t> (Vol. 35, pp. 273-312). Academic Press.</w:t>
      </w:r>
    </w:p>
    <w:p w14:paraId="0BF8D66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Hofer, J., Sliwinski, M. J., Weaver, C. F., &amp; Zimprich, D. (2008). Cultural differences in generativity development: A comparison of women in the United States and Austria. </w:t>
      </w:r>
      <w:r w:rsidRPr="00BA31D4">
        <w:rPr>
          <w:rFonts w:asciiTheme="majorBidi" w:hAnsiTheme="majorBidi" w:cstheme="majorBidi"/>
          <w:i/>
          <w:iCs/>
          <w:sz w:val="24"/>
          <w:szCs w:val="24"/>
        </w:rPr>
        <w:t>International Journal of Behavioral Development, 32</w:t>
      </w:r>
      <w:r w:rsidRPr="00BA31D4">
        <w:rPr>
          <w:rFonts w:asciiTheme="majorBidi" w:hAnsiTheme="majorBidi" w:cstheme="majorBidi"/>
          <w:sz w:val="24"/>
          <w:szCs w:val="24"/>
        </w:rPr>
        <w:t>(5), 446-457.</w:t>
      </w:r>
    </w:p>
    <w:p w14:paraId="6444DDCA"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Jones, J. M., &amp; McAdams, D. P. (2013). The development and validation of an abbreviated Loyola Generativity Scale. </w:t>
      </w:r>
      <w:r w:rsidRPr="00BA31D4">
        <w:rPr>
          <w:rFonts w:asciiTheme="majorBidi" w:hAnsiTheme="majorBidi" w:cstheme="majorBidi"/>
          <w:i/>
          <w:iCs/>
          <w:sz w:val="24"/>
          <w:szCs w:val="24"/>
        </w:rPr>
        <w:t>Journal of Adult Development, 20</w:t>
      </w:r>
      <w:r w:rsidRPr="00BA31D4">
        <w:rPr>
          <w:rFonts w:asciiTheme="majorBidi" w:hAnsiTheme="majorBidi" w:cstheme="majorBidi"/>
          <w:sz w:val="24"/>
          <w:szCs w:val="24"/>
        </w:rPr>
        <w:t>(3), 160-166.</w:t>
      </w:r>
    </w:p>
    <w:p w14:paraId="40FD8213" w14:textId="42A4E213"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Lawford, H., Pratt, M. W., Turner, J., &amp; Young, C. (2005). Adolescents’ and young adults’ generative commitments: Links to socioemotional and identity development. </w:t>
      </w:r>
      <w:r w:rsidRPr="00BA31D4">
        <w:rPr>
          <w:rFonts w:asciiTheme="majorBidi" w:hAnsiTheme="majorBidi" w:cstheme="majorBidi"/>
          <w:i/>
          <w:iCs/>
          <w:sz w:val="24"/>
          <w:szCs w:val="24"/>
        </w:rPr>
        <w:t>Psychology and Aging, 20</w:t>
      </w:r>
      <w:r w:rsidRPr="00BA31D4">
        <w:rPr>
          <w:rFonts w:asciiTheme="majorBidi" w:hAnsiTheme="majorBidi" w:cstheme="majorBidi"/>
          <w:sz w:val="24"/>
          <w:szCs w:val="24"/>
        </w:rPr>
        <w:t>(3), 401–412.</w:t>
      </w:r>
      <w:r w:rsidR="00E434C7" w:rsidRPr="0019388C">
        <w:rPr>
          <w:rFonts w:asciiTheme="majorBidi" w:hAnsiTheme="majorBidi" w:cstheme="majorBidi"/>
          <w:sz w:val="24"/>
          <w:szCs w:val="24"/>
        </w:rPr>
        <w:t xml:space="preserve"> </w:t>
      </w:r>
      <w:hyperlink r:id="rId8" w:history="1">
        <w:r w:rsidR="00E434C7" w:rsidRPr="0019388C">
          <w:rPr>
            <w:rStyle w:val="Hyperlink"/>
            <w:rFonts w:asciiTheme="majorBidi" w:hAnsiTheme="majorBidi" w:cstheme="majorBidi"/>
            <w:sz w:val="24"/>
            <w:szCs w:val="24"/>
          </w:rPr>
          <w:t>https://doi.org/10.1016/j.bodyim.2006.07.005</w:t>
        </w:r>
      </w:hyperlink>
      <w:r w:rsidR="00E434C7" w:rsidRPr="0019388C">
        <w:rPr>
          <w:rFonts w:asciiTheme="majorBidi" w:hAnsiTheme="majorBidi" w:cstheme="majorBidi"/>
          <w:sz w:val="24"/>
          <w:szCs w:val="24"/>
        </w:rPr>
        <w:t xml:space="preserve"> </w:t>
      </w:r>
    </w:p>
    <w:p w14:paraId="5873D7C3"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lastRenderedPageBreak/>
        <w:t>McAdams, D. P. (2001). Generativity in young adulthood: An integrative review. </w:t>
      </w:r>
      <w:r w:rsidRPr="00BA31D4">
        <w:rPr>
          <w:rFonts w:asciiTheme="majorBidi" w:hAnsiTheme="majorBidi" w:cstheme="majorBidi"/>
          <w:i/>
          <w:iCs/>
          <w:sz w:val="24"/>
          <w:szCs w:val="24"/>
        </w:rPr>
        <w:t>Journal of Adult Development, 8</w:t>
      </w:r>
      <w:r w:rsidRPr="00BA31D4">
        <w:rPr>
          <w:rFonts w:asciiTheme="majorBidi" w:hAnsiTheme="majorBidi" w:cstheme="majorBidi"/>
          <w:sz w:val="24"/>
          <w:szCs w:val="24"/>
        </w:rPr>
        <w:t>(3), 137-145.</w:t>
      </w:r>
    </w:p>
    <w:p w14:paraId="6F292AE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McAdams, D. P., &amp; de St. Aubin, E. (1992). A theory of generativity and its assessment through self-report, behavioral acts, and narrative themes in autobiography. </w:t>
      </w:r>
      <w:r w:rsidRPr="00BA31D4">
        <w:rPr>
          <w:rFonts w:asciiTheme="majorBidi" w:hAnsiTheme="majorBidi" w:cstheme="majorBidi"/>
          <w:i/>
          <w:iCs/>
          <w:sz w:val="24"/>
          <w:szCs w:val="24"/>
        </w:rPr>
        <w:t>Journal of Personality and Social Psychology, 62</w:t>
      </w:r>
      <w:r w:rsidRPr="00BA31D4">
        <w:rPr>
          <w:rFonts w:asciiTheme="majorBidi" w:hAnsiTheme="majorBidi" w:cstheme="majorBidi"/>
          <w:sz w:val="24"/>
          <w:szCs w:val="24"/>
        </w:rPr>
        <w:t>(6), 1003–1015.</w:t>
      </w:r>
    </w:p>
    <w:p w14:paraId="195FE2AC" w14:textId="78FD38D8"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McAdams, D. P., &amp; Logan, R. L. (2004). What is generativity? In D. M. McInerney &amp; S. Van Etten (Eds.), </w:t>
      </w:r>
      <w:r w:rsidRPr="00BA31D4">
        <w:rPr>
          <w:rFonts w:asciiTheme="majorBidi" w:hAnsiTheme="majorBidi" w:cstheme="majorBidi"/>
          <w:i/>
          <w:iCs/>
          <w:sz w:val="24"/>
          <w:szCs w:val="24"/>
        </w:rPr>
        <w:t>Research on socioemotional development: Big theories, diverse methods</w:t>
      </w:r>
      <w:r w:rsidRPr="00BA31D4">
        <w:rPr>
          <w:rFonts w:asciiTheme="majorBidi" w:hAnsiTheme="majorBidi" w:cstheme="majorBidi"/>
          <w:sz w:val="24"/>
          <w:szCs w:val="24"/>
        </w:rPr>
        <w:t> (Vol. 5, pp. 131-160). Elsevier Science.</w:t>
      </w:r>
      <w:r w:rsidR="00E434C7" w:rsidRPr="0019388C">
        <w:rPr>
          <w:rFonts w:asciiTheme="majorBidi" w:hAnsiTheme="majorBidi" w:cstheme="majorBidi"/>
          <w:sz w:val="24"/>
          <w:szCs w:val="24"/>
        </w:rPr>
        <w:t xml:space="preserve"> </w:t>
      </w:r>
      <w:hyperlink r:id="rId9" w:history="1">
        <w:r w:rsidR="00E434C7" w:rsidRPr="0019388C">
          <w:rPr>
            <w:rStyle w:val="Hyperlink"/>
            <w:rFonts w:asciiTheme="majorBidi" w:hAnsiTheme="majorBidi" w:cstheme="majorBidi"/>
            <w:sz w:val="24"/>
            <w:szCs w:val="24"/>
          </w:rPr>
          <w:t>https://doi.org/10.1037/0022-3514.62.6.1003</w:t>
        </w:r>
      </w:hyperlink>
      <w:r w:rsidR="00E434C7" w:rsidRPr="0019388C">
        <w:rPr>
          <w:rFonts w:asciiTheme="majorBidi" w:hAnsiTheme="majorBidi" w:cstheme="majorBidi"/>
          <w:sz w:val="24"/>
          <w:szCs w:val="24"/>
        </w:rPr>
        <w:t xml:space="preserve"> </w:t>
      </w:r>
    </w:p>
    <w:p w14:paraId="0E87929D"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Metz, E. P., &amp; Youniss, J. (2005). Pathways to participation: Tracing the developmental roots of civic engagement. </w:t>
      </w:r>
      <w:r w:rsidRPr="00BA31D4">
        <w:rPr>
          <w:rFonts w:asciiTheme="majorBidi" w:hAnsiTheme="majorBidi" w:cstheme="majorBidi"/>
          <w:i/>
          <w:iCs/>
          <w:sz w:val="24"/>
          <w:szCs w:val="24"/>
        </w:rPr>
        <w:t>Journal of Adolescent Research, 20</w:t>
      </w:r>
      <w:r w:rsidRPr="00BA31D4">
        <w:rPr>
          <w:rFonts w:asciiTheme="majorBidi" w:hAnsiTheme="majorBidi" w:cstheme="majorBidi"/>
          <w:sz w:val="24"/>
          <w:szCs w:val="24"/>
        </w:rPr>
        <w:t>(1), 23–48.</w:t>
      </w:r>
    </w:p>
    <w:p w14:paraId="0210585F" w14:textId="18C7E2EE"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Musick, M. A., &amp; Wilson, J. (2003). Volunteering and depression: The role of psychological and social resources. </w:t>
      </w:r>
      <w:r w:rsidRPr="00BA31D4">
        <w:rPr>
          <w:rFonts w:asciiTheme="majorBidi" w:hAnsiTheme="majorBidi" w:cstheme="majorBidi"/>
          <w:i/>
          <w:iCs/>
          <w:sz w:val="24"/>
          <w:szCs w:val="24"/>
        </w:rPr>
        <w:t>Journal of Health and Social Behavior, 44</w:t>
      </w:r>
      <w:r w:rsidRPr="00BA31D4">
        <w:rPr>
          <w:rFonts w:asciiTheme="majorBidi" w:hAnsiTheme="majorBidi" w:cstheme="majorBidi"/>
          <w:sz w:val="24"/>
          <w:szCs w:val="24"/>
        </w:rPr>
        <w:t>(2), 174-191.</w:t>
      </w:r>
      <w:r w:rsidR="00E434C7" w:rsidRPr="0019388C">
        <w:rPr>
          <w:rFonts w:asciiTheme="majorBidi" w:hAnsiTheme="majorBidi" w:cstheme="majorBidi"/>
          <w:sz w:val="24"/>
          <w:szCs w:val="24"/>
        </w:rPr>
        <w:t xml:space="preserve"> </w:t>
      </w:r>
      <w:hyperlink r:id="rId10" w:history="1">
        <w:r w:rsidR="00E434C7" w:rsidRPr="0019388C">
          <w:rPr>
            <w:rStyle w:val="Hyperlink"/>
            <w:rFonts w:asciiTheme="majorBidi" w:hAnsiTheme="majorBidi" w:cstheme="majorBidi"/>
            <w:sz w:val="24"/>
            <w:szCs w:val="24"/>
          </w:rPr>
          <w:t>https://doi.org/10.1016/S0277-9536(02)00025-4</w:t>
        </w:r>
      </w:hyperlink>
      <w:r w:rsidR="00E434C7" w:rsidRPr="0019388C">
        <w:rPr>
          <w:rFonts w:asciiTheme="majorBidi" w:hAnsiTheme="majorBidi" w:cstheme="majorBidi"/>
          <w:sz w:val="24"/>
          <w:szCs w:val="24"/>
        </w:rPr>
        <w:t xml:space="preserve"> </w:t>
      </w:r>
    </w:p>
    <w:p w14:paraId="481AE4FD" w14:textId="7CFEFB9B" w:rsidR="00BA31D4" w:rsidRPr="00BA31D4" w:rsidRDefault="00BA31D4" w:rsidP="0019388C">
      <w:pPr>
        <w:spacing w:line="276" w:lineRule="auto"/>
        <w:rPr>
          <w:rFonts w:asciiTheme="majorBidi" w:hAnsiTheme="majorBidi" w:cstheme="majorBidi"/>
          <w:sz w:val="24"/>
          <w:szCs w:val="24"/>
        </w:rPr>
      </w:pPr>
      <w:proofErr w:type="spellStart"/>
      <w:r w:rsidRPr="00BA31D4">
        <w:rPr>
          <w:rFonts w:asciiTheme="majorBidi" w:hAnsiTheme="majorBidi" w:cstheme="majorBidi"/>
          <w:sz w:val="24"/>
          <w:szCs w:val="24"/>
        </w:rPr>
        <w:t>Nederhof</w:t>
      </w:r>
      <w:proofErr w:type="spellEnd"/>
      <w:r w:rsidRPr="00BA31D4">
        <w:rPr>
          <w:rFonts w:asciiTheme="majorBidi" w:hAnsiTheme="majorBidi" w:cstheme="majorBidi"/>
          <w:sz w:val="24"/>
          <w:szCs w:val="24"/>
        </w:rPr>
        <w:t>, A. J. (1985). Methods of coping with social desirability bias: A review. </w:t>
      </w:r>
      <w:r w:rsidRPr="00BA31D4">
        <w:rPr>
          <w:rFonts w:asciiTheme="majorBidi" w:hAnsiTheme="majorBidi" w:cstheme="majorBidi"/>
          <w:i/>
          <w:iCs/>
          <w:sz w:val="24"/>
          <w:szCs w:val="24"/>
        </w:rPr>
        <w:t>European Journal of Social Psychology, 15</w:t>
      </w:r>
      <w:r w:rsidRPr="00BA31D4">
        <w:rPr>
          <w:rFonts w:asciiTheme="majorBidi" w:hAnsiTheme="majorBidi" w:cstheme="majorBidi"/>
          <w:sz w:val="24"/>
          <w:szCs w:val="24"/>
        </w:rPr>
        <w:t>(3), 263–280.</w:t>
      </w:r>
      <w:r w:rsidR="00E434C7" w:rsidRPr="0019388C">
        <w:rPr>
          <w:rFonts w:asciiTheme="majorBidi" w:hAnsiTheme="majorBidi" w:cstheme="majorBidi"/>
          <w:sz w:val="24"/>
          <w:szCs w:val="24"/>
        </w:rPr>
        <w:t xml:space="preserve"> </w:t>
      </w:r>
      <w:hyperlink r:id="rId11" w:history="1">
        <w:r w:rsidR="00E434C7" w:rsidRPr="0019388C">
          <w:rPr>
            <w:rStyle w:val="Hyperlink"/>
            <w:rFonts w:asciiTheme="majorBidi" w:hAnsiTheme="majorBidi" w:cstheme="majorBidi"/>
            <w:sz w:val="24"/>
            <w:szCs w:val="24"/>
          </w:rPr>
          <w:t>https://doi.org/10.1002/ejsp.2420150303</w:t>
        </w:r>
      </w:hyperlink>
      <w:r w:rsidR="00E434C7" w:rsidRPr="0019388C">
        <w:rPr>
          <w:rFonts w:asciiTheme="majorBidi" w:hAnsiTheme="majorBidi" w:cstheme="majorBidi"/>
          <w:sz w:val="24"/>
          <w:szCs w:val="24"/>
        </w:rPr>
        <w:t xml:space="preserve"> </w:t>
      </w:r>
    </w:p>
    <w:p w14:paraId="4ACFABC2"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Omoto, A. M., &amp; Snyder, M. (1995). Sustained helping without obligation: Motivation, longevity of service, and perceived attitude change among AIDS volunteers. </w:t>
      </w:r>
      <w:r w:rsidRPr="00BA31D4">
        <w:rPr>
          <w:rFonts w:asciiTheme="majorBidi" w:hAnsiTheme="majorBidi" w:cstheme="majorBidi"/>
          <w:i/>
          <w:iCs/>
          <w:sz w:val="24"/>
          <w:szCs w:val="24"/>
        </w:rPr>
        <w:t>Journal of Personality and Social Psychology, 68</w:t>
      </w:r>
      <w:r w:rsidRPr="00BA31D4">
        <w:rPr>
          <w:rFonts w:asciiTheme="majorBidi" w:hAnsiTheme="majorBidi" w:cstheme="majorBidi"/>
          <w:sz w:val="24"/>
          <w:szCs w:val="24"/>
        </w:rPr>
        <w:t>(4), 671–686.</w:t>
      </w:r>
    </w:p>
    <w:p w14:paraId="1BFD06E6" w14:textId="4DDFC5D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Omoto, A. M., &amp; Snyder, M. (2002). Considerations of community: The context and process of volunteerism. </w:t>
      </w:r>
      <w:r w:rsidRPr="00BA31D4">
        <w:rPr>
          <w:rFonts w:asciiTheme="majorBidi" w:hAnsiTheme="majorBidi" w:cstheme="majorBidi"/>
          <w:i/>
          <w:iCs/>
          <w:sz w:val="24"/>
          <w:szCs w:val="24"/>
        </w:rPr>
        <w:t>American Behavioral Scientist, 45</w:t>
      </w:r>
      <w:r w:rsidRPr="00BA31D4">
        <w:rPr>
          <w:rFonts w:asciiTheme="majorBidi" w:hAnsiTheme="majorBidi" w:cstheme="majorBidi"/>
          <w:sz w:val="24"/>
          <w:szCs w:val="24"/>
        </w:rPr>
        <w:t>(5), 846–867.</w:t>
      </w:r>
      <w:r w:rsidR="00A06609" w:rsidRPr="0019388C">
        <w:rPr>
          <w:rFonts w:asciiTheme="majorBidi" w:hAnsiTheme="majorBidi" w:cstheme="majorBidi"/>
          <w:sz w:val="24"/>
          <w:szCs w:val="24"/>
        </w:rPr>
        <w:t xml:space="preserve"> </w:t>
      </w:r>
      <w:hyperlink r:id="rId12" w:history="1">
        <w:r w:rsidR="00A06609" w:rsidRPr="0019388C">
          <w:rPr>
            <w:rStyle w:val="Hyperlink"/>
            <w:rFonts w:asciiTheme="majorBidi" w:hAnsiTheme="majorBidi" w:cstheme="majorBidi"/>
            <w:sz w:val="24"/>
            <w:szCs w:val="24"/>
          </w:rPr>
          <w:t>https://doi.org/10.1177/0002764202045005007</w:t>
        </w:r>
      </w:hyperlink>
      <w:r w:rsidR="00A06609" w:rsidRPr="0019388C">
        <w:rPr>
          <w:rFonts w:asciiTheme="majorBidi" w:hAnsiTheme="majorBidi" w:cstheme="majorBidi"/>
          <w:sz w:val="24"/>
          <w:szCs w:val="24"/>
        </w:rPr>
        <w:t xml:space="preserve"> </w:t>
      </w:r>
    </w:p>
    <w:p w14:paraId="54FE5BBA" w14:textId="0BD66F6C"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Pancer, S. M., &amp; Pratt, M. W. (1999). Social and family determinants of community service involvement in Canadian youth. In M. Yates &amp; J. Youniss (Eds.), </w:t>
      </w:r>
      <w:r w:rsidRPr="00BA31D4">
        <w:rPr>
          <w:rFonts w:asciiTheme="majorBidi" w:hAnsiTheme="majorBidi" w:cstheme="majorBidi"/>
          <w:i/>
          <w:iCs/>
          <w:sz w:val="24"/>
          <w:szCs w:val="24"/>
        </w:rPr>
        <w:t>Community service and social responsibility in youth</w:t>
      </w:r>
      <w:r w:rsidRPr="00BA31D4">
        <w:rPr>
          <w:rFonts w:asciiTheme="majorBidi" w:hAnsiTheme="majorBidi" w:cstheme="majorBidi"/>
          <w:sz w:val="24"/>
          <w:szCs w:val="24"/>
        </w:rPr>
        <w:t> (pp. 189–206). University of Chicago Press.</w:t>
      </w:r>
      <w:r w:rsidR="00A06609" w:rsidRPr="0019388C">
        <w:rPr>
          <w:rFonts w:asciiTheme="majorBidi" w:hAnsiTheme="majorBidi" w:cstheme="majorBidi"/>
          <w:sz w:val="24"/>
          <w:szCs w:val="24"/>
        </w:rPr>
        <w:t xml:space="preserve"> </w:t>
      </w:r>
      <w:hyperlink r:id="rId13" w:history="1">
        <w:r w:rsidR="00A06609" w:rsidRPr="0019388C">
          <w:rPr>
            <w:rStyle w:val="Hyperlink"/>
            <w:rFonts w:asciiTheme="majorBidi" w:hAnsiTheme="majorBidi" w:cstheme="majorBidi"/>
            <w:sz w:val="24"/>
            <w:szCs w:val="24"/>
          </w:rPr>
          <w:t>https://doi.org/10.1017/CBO9780511751820.004</w:t>
        </w:r>
      </w:hyperlink>
      <w:r w:rsidR="00A06609" w:rsidRPr="0019388C">
        <w:rPr>
          <w:rFonts w:asciiTheme="majorBidi" w:hAnsiTheme="majorBidi" w:cstheme="majorBidi"/>
          <w:sz w:val="24"/>
          <w:szCs w:val="24"/>
        </w:rPr>
        <w:t xml:space="preserve"> </w:t>
      </w:r>
    </w:p>
    <w:p w14:paraId="3D11D4EC" w14:textId="0214230A"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Penner, L. A. (2002). Dispositional and organizational influences on sustained volunteerism: An integration of three prosocial perspectives. </w:t>
      </w:r>
      <w:r w:rsidRPr="00BA31D4">
        <w:rPr>
          <w:rFonts w:asciiTheme="majorBidi" w:hAnsiTheme="majorBidi" w:cstheme="majorBidi"/>
          <w:i/>
          <w:iCs/>
          <w:sz w:val="24"/>
          <w:szCs w:val="24"/>
        </w:rPr>
        <w:t>Journal of Social Issues, 58</w:t>
      </w:r>
      <w:r w:rsidRPr="00BA31D4">
        <w:rPr>
          <w:rFonts w:asciiTheme="majorBidi" w:hAnsiTheme="majorBidi" w:cstheme="majorBidi"/>
          <w:sz w:val="24"/>
          <w:szCs w:val="24"/>
        </w:rPr>
        <w:t>(3), 447–467.</w:t>
      </w:r>
      <w:r w:rsidR="00A06609" w:rsidRPr="0019388C">
        <w:rPr>
          <w:rFonts w:asciiTheme="majorBidi" w:hAnsiTheme="majorBidi" w:cstheme="majorBidi"/>
          <w:sz w:val="24"/>
          <w:szCs w:val="24"/>
        </w:rPr>
        <w:t xml:space="preserve"> </w:t>
      </w:r>
      <w:hyperlink r:id="rId14" w:history="1">
        <w:r w:rsidR="00A06609" w:rsidRPr="0019388C">
          <w:rPr>
            <w:rStyle w:val="Hyperlink"/>
            <w:rFonts w:asciiTheme="majorBidi" w:hAnsiTheme="majorBidi" w:cstheme="majorBidi"/>
            <w:sz w:val="24"/>
            <w:szCs w:val="24"/>
          </w:rPr>
          <w:t>https://doi.org/10.1111/1540-4560.00270</w:t>
        </w:r>
      </w:hyperlink>
      <w:r w:rsidR="00A06609" w:rsidRPr="0019388C">
        <w:rPr>
          <w:rFonts w:asciiTheme="majorBidi" w:hAnsiTheme="majorBidi" w:cstheme="majorBidi"/>
          <w:sz w:val="24"/>
          <w:szCs w:val="24"/>
        </w:rPr>
        <w:t xml:space="preserve"> </w:t>
      </w:r>
    </w:p>
    <w:p w14:paraId="70224037"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Peterson, C., &amp; Duncan, L. E. (2007). Midlife women’s generativity and authoritarianism. </w:t>
      </w:r>
      <w:r w:rsidRPr="00BA31D4">
        <w:rPr>
          <w:rFonts w:asciiTheme="majorBidi" w:hAnsiTheme="majorBidi" w:cstheme="majorBidi"/>
          <w:i/>
          <w:iCs/>
          <w:sz w:val="24"/>
          <w:szCs w:val="24"/>
        </w:rPr>
        <w:t>Journal of Adult Development, 14</w:t>
      </w:r>
      <w:r w:rsidRPr="00BA31D4">
        <w:rPr>
          <w:rFonts w:asciiTheme="majorBidi" w:hAnsiTheme="majorBidi" w:cstheme="majorBidi"/>
          <w:sz w:val="24"/>
          <w:szCs w:val="24"/>
        </w:rPr>
        <w:t>(1), 1-10.</w:t>
      </w:r>
    </w:p>
    <w:p w14:paraId="6D06800E" w14:textId="7E349919" w:rsidR="00BA31D4" w:rsidRPr="00BA31D4" w:rsidRDefault="00BA31D4" w:rsidP="0019388C">
      <w:pPr>
        <w:spacing w:line="276" w:lineRule="auto"/>
        <w:rPr>
          <w:rFonts w:asciiTheme="majorBidi" w:hAnsiTheme="majorBidi" w:cstheme="majorBidi"/>
          <w:sz w:val="24"/>
          <w:szCs w:val="24"/>
        </w:rPr>
      </w:pPr>
      <w:proofErr w:type="spellStart"/>
      <w:r w:rsidRPr="00BA31D4">
        <w:rPr>
          <w:rFonts w:asciiTheme="majorBidi" w:hAnsiTheme="majorBidi" w:cstheme="majorBidi"/>
          <w:sz w:val="24"/>
          <w:szCs w:val="24"/>
        </w:rPr>
        <w:t>Piliavin</w:t>
      </w:r>
      <w:proofErr w:type="spellEnd"/>
      <w:r w:rsidRPr="00BA31D4">
        <w:rPr>
          <w:rFonts w:asciiTheme="majorBidi" w:hAnsiTheme="majorBidi" w:cstheme="majorBidi"/>
          <w:sz w:val="24"/>
          <w:szCs w:val="24"/>
        </w:rPr>
        <w:t>, J. A., Siegl, E., &amp; Siegl, J. (2002). Dispositional and situational influences on sustained volunteerism: An interactionist perspective. </w:t>
      </w:r>
      <w:r w:rsidRPr="00BA31D4">
        <w:rPr>
          <w:rFonts w:asciiTheme="majorBidi" w:hAnsiTheme="majorBidi" w:cstheme="majorBidi"/>
          <w:i/>
          <w:iCs/>
          <w:sz w:val="24"/>
          <w:szCs w:val="24"/>
        </w:rPr>
        <w:t>Journal of Social Issues, 58</w:t>
      </w:r>
      <w:r w:rsidRPr="00BA31D4">
        <w:rPr>
          <w:rFonts w:asciiTheme="majorBidi" w:hAnsiTheme="majorBidi" w:cstheme="majorBidi"/>
          <w:sz w:val="24"/>
          <w:szCs w:val="24"/>
        </w:rPr>
        <w:t>(3), 435–446.</w:t>
      </w:r>
      <w:r w:rsidR="00A06609" w:rsidRPr="0019388C">
        <w:rPr>
          <w:rFonts w:asciiTheme="majorBidi" w:hAnsiTheme="majorBidi" w:cstheme="majorBidi"/>
          <w:sz w:val="24"/>
          <w:szCs w:val="24"/>
        </w:rPr>
        <w:t xml:space="preserve"> </w:t>
      </w:r>
      <w:hyperlink r:id="rId15" w:history="1">
        <w:r w:rsidR="00A06609" w:rsidRPr="0019388C">
          <w:rPr>
            <w:rStyle w:val="Hyperlink"/>
            <w:rFonts w:asciiTheme="majorBidi" w:hAnsiTheme="majorBidi" w:cstheme="majorBidi"/>
            <w:sz w:val="24"/>
            <w:szCs w:val="24"/>
          </w:rPr>
          <w:t>https://doi.org/10.1111/1540-4560.00270</w:t>
        </w:r>
      </w:hyperlink>
      <w:r w:rsidR="00A06609" w:rsidRPr="0019388C">
        <w:rPr>
          <w:rFonts w:asciiTheme="majorBidi" w:hAnsiTheme="majorBidi" w:cstheme="majorBidi"/>
          <w:sz w:val="24"/>
          <w:szCs w:val="24"/>
        </w:rPr>
        <w:t xml:space="preserve"> </w:t>
      </w:r>
    </w:p>
    <w:p w14:paraId="2D6B7F84"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lastRenderedPageBreak/>
        <w:t>Pratt, M. W., Lawford, H., Turner, J., &amp; Youniss, J. (2001). Generative narratives in the lives of highly generative adolescents and young adults. </w:t>
      </w:r>
      <w:r w:rsidRPr="00BA31D4">
        <w:rPr>
          <w:rFonts w:asciiTheme="majorBidi" w:hAnsiTheme="majorBidi" w:cstheme="majorBidi"/>
          <w:i/>
          <w:iCs/>
          <w:sz w:val="24"/>
          <w:szCs w:val="24"/>
        </w:rPr>
        <w:t>Generativity and Adult Development, 8,</w:t>
      </w:r>
      <w:r w:rsidRPr="00BA31D4">
        <w:rPr>
          <w:rFonts w:asciiTheme="majorBidi" w:hAnsiTheme="majorBidi" w:cstheme="majorBidi"/>
          <w:sz w:val="24"/>
          <w:szCs w:val="24"/>
        </w:rPr>
        <w:t> 191–198.</w:t>
      </w:r>
    </w:p>
    <w:p w14:paraId="1007AA1F"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Raposa, E. B., Brewer, D. F., &amp; McAdams, D. P. (2013). The generative benefits of mentoring: A longitudinal study of mentors and their protégés. </w:t>
      </w:r>
      <w:r w:rsidRPr="00BA31D4">
        <w:rPr>
          <w:rFonts w:asciiTheme="majorBidi" w:hAnsiTheme="majorBidi" w:cstheme="majorBidi"/>
          <w:i/>
          <w:iCs/>
          <w:sz w:val="24"/>
          <w:szCs w:val="24"/>
        </w:rPr>
        <w:t>Psychology and Aging, 28</w:t>
      </w:r>
      <w:r w:rsidRPr="00BA31D4">
        <w:rPr>
          <w:rFonts w:asciiTheme="majorBidi" w:hAnsiTheme="majorBidi" w:cstheme="majorBidi"/>
          <w:sz w:val="24"/>
          <w:szCs w:val="24"/>
        </w:rPr>
        <w:t>(2), 400-408.</w:t>
      </w:r>
    </w:p>
    <w:p w14:paraId="11161F76"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Reinders, H., &amp; Youniss, J. (2006). </w:t>
      </w:r>
      <w:r w:rsidRPr="00BA31D4">
        <w:rPr>
          <w:rFonts w:asciiTheme="majorBidi" w:hAnsiTheme="majorBidi" w:cstheme="majorBidi"/>
          <w:i/>
          <w:iCs/>
          <w:sz w:val="24"/>
          <w:szCs w:val="24"/>
        </w:rPr>
        <w:t>Civic commitments among youth.</w:t>
      </w:r>
      <w:r w:rsidRPr="00BA31D4">
        <w:rPr>
          <w:rFonts w:asciiTheme="majorBidi" w:hAnsiTheme="majorBidi" w:cstheme="majorBidi"/>
          <w:sz w:val="24"/>
          <w:szCs w:val="24"/>
        </w:rPr>
        <w:t> Cambridge University Press.</w:t>
      </w:r>
    </w:p>
    <w:p w14:paraId="18C1AE30" w14:textId="1801E6BC"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Scales, P. C., Benson, P. L., Leffert, N., &amp; Blyth, D. A. (2000). Contribution of developmental assets to the prediction of thriving among adolescents. </w:t>
      </w:r>
      <w:r w:rsidRPr="00BA31D4">
        <w:rPr>
          <w:rFonts w:asciiTheme="majorBidi" w:hAnsiTheme="majorBidi" w:cstheme="majorBidi"/>
          <w:i/>
          <w:iCs/>
          <w:sz w:val="24"/>
          <w:szCs w:val="24"/>
        </w:rPr>
        <w:t>Applied Developmental Science, 4</w:t>
      </w:r>
      <w:r w:rsidRPr="00BA31D4">
        <w:rPr>
          <w:rFonts w:asciiTheme="majorBidi" w:hAnsiTheme="majorBidi" w:cstheme="majorBidi"/>
          <w:sz w:val="24"/>
          <w:szCs w:val="24"/>
        </w:rPr>
        <w:t>(1), 27-46.</w:t>
      </w:r>
      <w:r w:rsidR="00A06609" w:rsidRPr="0019388C">
        <w:rPr>
          <w:rFonts w:asciiTheme="majorBidi" w:hAnsiTheme="majorBidi" w:cstheme="majorBidi"/>
          <w:sz w:val="24"/>
          <w:szCs w:val="24"/>
        </w:rPr>
        <w:t xml:space="preserve"> </w:t>
      </w:r>
      <w:hyperlink r:id="rId16" w:history="1">
        <w:r w:rsidR="00A06609" w:rsidRPr="0019388C">
          <w:rPr>
            <w:rStyle w:val="Hyperlink"/>
            <w:rFonts w:asciiTheme="majorBidi" w:hAnsiTheme="majorBidi" w:cstheme="majorBidi"/>
            <w:sz w:val="24"/>
            <w:szCs w:val="24"/>
          </w:rPr>
          <w:t>https://doi.org/10.1207/S1532480XADS0401_3</w:t>
        </w:r>
      </w:hyperlink>
      <w:r w:rsidR="00A06609" w:rsidRPr="0019388C">
        <w:rPr>
          <w:rFonts w:asciiTheme="majorBidi" w:hAnsiTheme="majorBidi" w:cstheme="majorBidi"/>
          <w:sz w:val="24"/>
          <w:szCs w:val="24"/>
        </w:rPr>
        <w:t xml:space="preserve"> </w:t>
      </w:r>
    </w:p>
    <w:p w14:paraId="5944236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Serow, R. C. (1991). Generativity among young adults: Theoretical and empirical issues. </w:t>
      </w:r>
      <w:r w:rsidRPr="00BA31D4">
        <w:rPr>
          <w:rFonts w:asciiTheme="majorBidi" w:hAnsiTheme="majorBidi" w:cstheme="majorBidi"/>
          <w:i/>
          <w:iCs/>
          <w:sz w:val="24"/>
          <w:szCs w:val="24"/>
        </w:rPr>
        <w:t>Generativity and Adult Development, 1,</w:t>
      </w:r>
      <w:r w:rsidRPr="00BA31D4">
        <w:rPr>
          <w:rFonts w:asciiTheme="majorBidi" w:hAnsiTheme="majorBidi" w:cstheme="majorBidi"/>
          <w:sz w:val="24"/>
          <w:szCs w:val="24"/>
        </w:rPr>
        <w:t> 216-222.</w:t>
      </w:r>
    </w:p>
    <w:p w14:paraId="260E2611" w14:textId="19A2D91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 xml:space="preserve">Sherrod, L. R., Flanagan, C. A., </w:t>
      </w:r>
      <w:proofErr w:type="spellStart"/>
      <w:r w:rsidRPr="00BA31D4">
        <w:rPr>
          <w:rFonts w:asciiTheme="majorBidi" w:hAnsiTheme="majorBidi" w:cstheme="majorBidi"/>
          <w:sz w:val="24"/>
          <w:szCs w:val="24"/>
        </w:rPr>
        <w:t>Kasdin</w:t>
      </w:r>
      <w:proofErr w:type="spellEnd"/>
      <w:r w:rsidRPr="00BA31D4">
        <w:rPr>
          <w:rFonts w:asciiTheme="majorBidi" w:hAnsiTheme="majorBidi" w:cstheme="majorBidi"/>
          <w:sz w:val="24"/>
          <w:szCs w:val="24"/>
        </w:rPr>
        <w:t>, A. E., &amp; Van Horn, M. L. (2002). A developmental perspective on civic engagement during adolescence. </w:t>
      </w:r>
      <w:r w:rsidRPr="00BA31D4">
        <w:rPr>
          <w:rFonts w:asciiTheme="majorBidi" w:hAnsiTheme="majorBidi" w:cstheme="majorBidi"/>
          <w:i/>
          <w:iCs/>
          <w:sz w:val="24"/>
          <w:szCs w:val="24"/>
        </w:rPr>
        <w:t>Applied Developmental Science, 6</w:t>
      </w:r>
      <w:r w:rsidRPr="00BA31D4">
        <w:rPr>
          <w:rFonts w:asciiTheme="majorBidi" w:hAnsiTheme="majorBidi" w:cstheme="majorBidi"/>
          <w:sz w:val="24"/>
          <w:szCs w:val="24"/>
        </w:rPr>
        <w:t>(4), 205–213.</w:t>
      </w:r>
      <w:r w:rsidR="00A06609" w:rsidRPr="0019388C">
        <w:rPr>
          <w:rFonts w:asciiTheme="majorBidi" w:hAnsiTheme="majorBidi" w:cstheme="majorBidi"/>
          <w:sz w:val="24"/>
          <w:szCs w:val="24"/>
        </w:rPr>
        <w:t xml:space="preserve"> </w:t>
      </w:r>
      <w:hyperlink r:id="rId17" w:history="1">
        <w:r w:rsidR="00A06609" w:rsidRPr="0019388C">
          <w:rPr>
            <w:rStyle w:val="Hyperlink"/>
            <w:rFonts w:asciiTheme="majorBidi" w:hAnsiTheme="majorBidi" w:cstheme="majorBidi"/>
            <w:sz w:val="24"/>
            <w:szCs w:val="24"/>
          </w:rPr>
          <w:t>https://doi.org/10.1207/S1532480XADS0604_2</w:t>
        </w:r>
      </w:hyperlink>
      <w:r w:rsidR="00A06609" w:rsidRPr="0019388C">
        <w:rPr>
          <w:rFonts w:asciiTheme="majorBidi" w:hAnsiTheme="majorBidi" w:cstheme="majorBidi"/>
          <w:sz w:val="24"/>
          <w:szCs w:val="24"/>
        </w:rPr>
        <w:t xml:space="preserve"> </w:t>
      </w:r>
    </w:p>
    <w:p w14:paraId="07D72E40" w14:textId="543D66D6"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Snyder, M., &amp; Omoto, A. M. (2008). Volunteerism: Social issues perspectives and social policy implications. </w:t>
      </w:r>
      <w:r w:rsidRPr="00BA31D4">
        <w:rPr>
          <w:rFonts w:asciiTheme="majorBidi" w:hAnsiTheme="majorBidi" w:cstheme="majorBidi"/>
          <w:i/>
          <w:iCs/>
          <w:sz w:val="24"/>
          <w:szCs w:val="24"/>
        </w:rPr>
        <w:t>Social Issues and Policy Review, 2</w:t>
      </w:r>
      <w:r w:rsidRPr="00BA31D4">
        <w:rPr>
          <w:rFonts w:asciiTheme="majorBidi" w:hAnsiTheme="majorBidi" w:cstheme="majorBidi"/>
          <w:sz w:val="24"/>
          <w:szCs w:val="24"/>
        </w:rPr>
        <w:t>(1), 1-36.</w:t>
      </w:r>
      <w:r w:rsidR="00A06609" w:rsidRPr="0019388C">
        <w:rPr>
          <w:rFonts w:asciiTheme="majorBidi" w:hAnsiTheme="majorBidi" w:cstheme="majorBidi"/>
          <w:sz w:val="24"/>
          <w:szCs w:val="24"/>
        </w:rPr>
        <w:t xml:space="preserve"> </w:t>
      </w:r>
      <w:hyperlink r:id="rId18" w:history="1">
        <w:r w:rsidR="00A06609" w:rsidRPr="0019388C">
          <w:rPr>
            <w:rStyle w:val="Hyperlink"/>
            <w:rFonts w:asciiTheme="majorBidi" w:hAnsiTheme="majorBidi" w:cstheme="majorBidi"/>
            <w:sz w:val="24"/>
            <w:szCs w:val="24"/>
          </w:rPr>
          <w:t>https://doi.org/10.1111/j.1751-2409.2008.00009.x</w:t>
        </w:r>
      </w:hyperlink>
      <w:r w:rsidR="00A06609" w:rsidRPr="0019388C">
        <w:rPr>
          <w:rFonts w:asciiTheme="majorBidi" w:hAnsiTheme="majorBidi" w:cstheme="majorBidi"/>
          <w:sz w:val="24"/>
          <w:szCs w:val="24"/>
        </w:rPr>
        <w:t xml:space="preserve"> </w:t>
      </w:r>
    </w:p>
    <w:p w14:paraId="6515F915"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Strauss, A. L., &amp; Corbin, J. (2009). </w:t>
      </w:r>
      <w:r w:rsidRPr="00BA31D4">
        <w:rPr>
          <w:rFonts w:asciiTheme="majorBidi" w:hAnsiTheme="majorBidi" w:cstheme="majorBidi"/>
          <w:i/>
          <w:iCs/>
          <w:sz w:val="24"/>
          <w:szCs w:val="24"/>
        </w:rPr>
        <w:t>Basics of qualitative research: Techniques and procedures for developing grounded theory.</w:t>
      </w:r>
      <w:r w:rsidRPr="00BA31D4">
        <w:rPr>
          <w:rFonts w:asciiTheme="majorBidi" w:hAnsiTheme="majorBidi" w:cstheme="majorBidi"/>
          <w:sz w:val="24"/>
          <w:szCs w:val="24"/>
        </w:rPr>
        <w:t> Sage. Note: This reference was updated to correctly reflect Corbin as co-author, instead of Cross.</w:t>
      </w:r>
    </w:p>
    <w:p w14:paraId="17017E70"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Stukas, A. A., Clary, E. G., &amp; Snyder, M. (1999). Service learning: Who benefits and why? </w:t>
      </w:r>
      <w:r w:rsidRPr="00BA31D4">
        <w:rPr>
          <w:rFonts w:asciiTheme="majorBidi" w:hAnsiTheme="majorBidi" w:cstheme="majorBidi"/>
          <w:i/>
          <w:iCs/>
          <w:sz w:val="24"/>
          <w:szCs w:val="24"/>
        </w:rPr>
        <w:t>Social Policy and Administration, 33</w:t>
      </w:r>
      <w:r w:rsidRPr="00BA31D4">
        <w:rPr>
          <w:rFonts w:asciiTheme="majorBidi" w:hAnsiTheme="majorBidi" w:cstheme="majorBidi"/>
          <w:sz w:val="24"/>
          <w:szCs w:val="24"/>
        </w:rPr>
        <w:t>(2), 104–122.</w:t>
      </w:r>
    </w:p>
    <w:p w14:paraId="2F5C4011"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Stukas, A. A., Snyder, M., &amp; Clary, E. G. (2016). </w:t>
      </w:r>
      <w:r w:rsidRPr="00BA31D4">
        <w:rPr>
          <w:rFonts w:asciiTheme="majorBidi" w:hAnsiTheme="majorBidi" w:cstheme="majorBidi"/>
          <w:i/>
          <w:iCs/>
          <w:sz w:val="24"/>
          <w:szCs w:val="24"/>
        </w:rPr>
        <w:t>The psychology of volunteering: New perspectives on promoting civic engagement.</w:t>
      </w:r>
      <w:r w:rsidRPr="00BA31D4">
        <w:rPr>
          <w:rFonts w:asciiTheme="majorBidi" w:hAnsiTheme="majorBidi" w:cstheme="majorBidi"/>
          <w:sz w:val="24"/>
          <w:szCs w:val="24"/>
        </w:rPr>
        <w:t> Wiley-Blackwell.</w:t>
      </w:r>
    </w:p>
    <w:p w14:paraId="01129A8E" w14:textId="7777777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Vaillant, G. E. (1993). </w:t>
      </w:r>
      <w:r w:rsidRPr="00BA31D4">
        <w:rPr>
          <w:rFonts w:asciiTheme="majorBidi" w:hAnsiTheme="majorBidi" w:cstheme="majorBidi"/>
          <w:i/>
          <w:iCs/>
          <w:sz w:val="24"/>
          <w:szCs w:val="24"/>
        </w:rPr>
        <w:t>The wisdom of the ego</w:t>
      </w:r>
      <w:r w:rsidRPr="00BA31D4">
        <w:rPr>
          <w:rFonts w:asciiTheme="majorBidi" w:hAnsiTheme="majorBidi" w:cstheme="majorBidi"/>
          <w:sz w:val="24"/>
          <w:szCs w:val="24"/>
        </w:rPr>
        <w:t>. Harvard University Press.</w:t>
      </w:r>
    </w:p>
    <w:p w14:paraId="41BFECE9" w14:textId="62AF1E66"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Wilson, J., &amp; Musick, M. A. (1999). Who cares? Toward an integrated theory of volunteer work. </w:t>
      </w:r>
      <w:r w:rsidRPr="00BA31D4">
        <w:rPr>
          <w:rFonts w:asciiTheme="majorBidi" w:hAnsiTheme="majorBidi" w:cstheme="majorBidi"/>
          <w:i/>
          <w:iCs/>
          <w:sz w:val="24"/>
          <w:szCs w:val="24"/>
        </w:rPr>
        <w:t>American Sociological Review, 62</w:t>
      </w:r>
      <w:r w:rsidRPr="00BA31D4">
        <w:rPr>
          <w:rFonts w:asciiTheme="majorBidi" w:hAnsiTheme="majorBidi" w:cstheme="majorBidi"/>
          <w:sz w:val="24"/>
          <w:szCs w:val="24"/>
        </w:rPr>
        <w:t>(6), 694–713.</w:t>
      </w:r>
      <w:r w:rsidR="00A06609" w:rsidRPr="0019388C">
        <w:rPr>
          <w:rFonts w:asciiTheme="majorBidi" w:hAnsiTheme="majorBidi" w:cstheme="majorBidi"/>
          <w:sz w:val="24"/>
          <w:szCs w:val="24"/>
        </w:rPr>
        <w:t xml:space="preserve"> </w:t>
      </w:r>
      <w:hyperlink r:id="rId19" w:history="1">
        <w:r w:rsidR="00A06609" w:rsidRPr="0019388C">
          <w:rPr>
            <w:rStyle w:val="Hyperlink"/>
            <w:rFonts w:asciiTheme="majorBidi" w:hAnsiTheme="majorBidi" w:cstheme="majorBidi"/>
            <w:sz w:val="24"/>
            <w:szCs w:val="24"/>
          </w:rPr>
          <w:t>https://doi.org/10.2307/2657355</w:t>
        </w:r>
      </w:hyperlink>
      <w:r w:rsidR="00A06609" w:rsidRPr="0019388C">
        <w:rPr>
          <w:rFonts w:asciiTheme="majorBidi" w:hAnsiTheme="majorBidi" w:cstheme="majorBidi"/>
          <w:sz w:val="24"/>
          <w:szCs w:val="24"/>
        </w:rPr>
        <w:t xml:space="preserve"> </w:t>
      </w:r>
    </w:p>
    <w:p w14:paraId="7AF090BE" w14:textId="4567F1E7" w:rsidR="00BA31D4" w:rsidRPr="00BA31D4" w:rsidRDefault="00BA31D4" w:rsidP="0019388C">
      <w:pPr>
        <w:spacing w:line="276" w:lineRule="auto"/>
        <w:rPr>
          <w:rFonts w:asciiTheme="majorBidi" w:hAnsiTheme="majorBidi" w:cstheme="majorBidi"/>
          <w:sz w:val="24"/>
          <w:szCs w:val="24"/>
        </w:rPr>
      </w:pPr>
      <w:r w:rsidRPr="00BA31D4">
        <w:rPr>
          <w:rFonts w:asciiTheme="majorBidi" w:hAnsiTheme="majorBidi" w:cstheme="majorBidi"/>
          <w:sz w:val="24"/>
          <w:szCs w:val="24"/>
        </w:rPr>
        <w:t>Yates, M., &amp; Youniss, J. (1996). A developmental perspective on community service in adolescence. </w:t>
      </w:r>
      <w:r w:rsidRPr="00BA31D4">
        <w:rPr>
          <w:rFonts w:asciiTheme="majorBidi" w:hAnsiTheme="majorBidi" w:cstheme="majorBidi"/>
          <w:i/>
          <w:iCs/>
          <w:sz w:val="24"/>
          <w:szCs w:val="24"/>
        </w:rPr>
        <w:t>Social Development, 5</w:t>
      </w:r>
      <w:r w:rsidRPr="00BA31D4">
        <w:rPr>
          <w:rFonts w:asciiTheme="majorBidi" w:hAnsiTheme="majorBidi" w:cstheme="majorBidi"/>
          <w:sz w:val="24"/>
          <w:szCs w:val="24"/>
        </w:rPr>
        <w:t>(1), 87–111.</w:t>
      </w:r>
      <w:r w:rsidR="00A06609" w:rsidRPr="0019388C">
        <w:rPr>
          <w:rFonts w:asciiTheme="majorBidi" w:hAnsiTheme="majorBidi" w:cstheme="majorBidi"/>
          <w:sz w:val="24"/>
          <w:szCs w:val="24"/>
        </w:rPr>
        <w:t xml:space="preserve"> </w:t>
      </w:r>
      <w:hyperlink r:id="rId20" w:history="1">
        <w:r w:rsidR="00A06609" w:rsidRPr="0019388C">
          <w:rPr>
            <w:rStyle w:val="Hyperlink"/>
            <w:rFonts w:asciiTheme="majorBidi" w:hAnsiTheme="majorBidi" w:cstheme="majorBidi"/>
            <w:sz w:val="24"/>
            <w:szCs w:val="24"/>
          </w:rPr>
          <w:t>https://doi.org/10.1111/j.1467-9507.1996.tb00073.x</w:t>
        </w:r>
      </w:hyperlink>
      <w:r w:rsidR="00A06609" w:rsidRPr="0019388C">
        <w:rPr>
          <w:rFonts w:asciiTheme="majorBidi" w:hAnsiTheme="majorBidi" w:cstheme="majorBidi"/>
          <w:sz w:val="24"/>
          <w:szCs w:val="24"/>
        </w:rPr>
        <w:t xml:space="preserve"> </w:t>
      </w:r>
    </w:p>
    <w:p w14:paraId="6A70FAE8" w14:textId="18E63FC5" w:rsidR="00BA31D4" w:rsidRPr="00BA31D4" w:rsidRDefault="00BA31D4" w:rsidP="00A8099F">
      <w:pPr>
        <w:spacing w:line="276" w:lineRule="auto"/>
        <w:rPr>
          <w:rFonts w:asciiTheme="majorBidi" w:hAnsiTheme="majorBidi" w:cstheme="majorBidi"/>
          <w:sz w:val="24"/>
          <w:szCs w:val="24"/>
        </w:rPr>
      </w:pPr>
      <w:r w:rsidRPr="00BA31D4">
        <w:rPr>
          <w:rFonts w:asciiTheme="majorBidi" w:hAnsiTheme="majorBidi" w:cstheme="majorBidi"/>
          <w:sz w:val="24"/>
          <w:szCs w:val="24"/>
        </w:rPr>
        <w:t>Youniss, J., &amp; Yates, M. (1997). Community service and social responsibility in youth. </w:t>
      </w:r>
      <w:r w:rsidRPr="00BA31D4">
        <w:rPr>
          <w:rFonts w:asciiTheme="majorBidi" w:hAnsiTheme="majorBidi" w:cstheme="majorBidi"/>
          <w:i/>
          <w:iCs/>
          <w:sz w:val="24"/>
          <w:szCs w:val="24"/>
        </w:rPr>
        <w:t>University of Chicago Press</w:t>
      </w:r>
      <w:r w:rsidRPr="00BA31D4">
        <w:rPr>
          <w:rFonts w:asciiTheme="majorBidi" w:hAnsiTheme="majorBidi" w:cstheme="majorBidi"/>
          <w:sz w:val="24"/>
          <w:szCs w:val="24"/>
        </w:rPr>
        <w:t>.</w:t>
      </w:r>
    </w:p>
    <w:sectPr w:rsidR="00BA31D4" w:rsidRPr="00BA3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6082"/>
    <w:multiLevelType w:val="multilevel"/>
    <w:tmpl w:val="297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562C7"/>
    <w:multiLevelType w:val="multilevel"/>
    <w:tmpl w:val="8AB2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169EF"/>
    <w:multiLevelType w:val="multilevel"/>
    <w:tmpl w:val="813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51684"/>
    <w:multiLevelType w:val="multilevel"/>
    <w:tmpl w:val="F95A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B6D5B"/>
    <w:multiLevelType w:val="multilevel"/>
    <w:tmpl w:val="0CA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1697"/>
    <w:multiLevelType w:val="multilevel"/>
    <w:tmpl w:val="820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26145"/>
    <w:multiLevelType w:val="multilevel"/>
    <w:tmpl w:val="B1B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80200">
    <w:abstractNumId w:val="6"/>
  </w:num>
  <w:num w:numId="2" w16cid:durableId="1592200849">
    <w:abstractNumId w:val="4"/>
  </w:num>
  <w:num w:numId="3" w16cid:durableId="986740709">
    <w:abstractNumId w:val="5"/>
  </w:num>
  <w:num w:numId="4" w16cid:durableId="755323303">
    <w:abstractNumId w:val="3"/>
  </w:num>
  <w:num w:numId="5" w16cid:durableId="1422753073">
    <w:abstractNumId w:val="2"/>
  </w:num>
  <w:num w:numId="6" w16cid:durableId="1139541379">
    <w:abstractNumId w:val="0"/>
  </w:num>
  <w:num w:numId="7" w16cid:durableId="102459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D4"/>
    <w:rsid w:val="000E481D"/>
    <w:rsid w:val="0019388C"/>
    <w:rsid w:val="0028015C"/>
    <w:rsid w:val="002B55A1"/>
    <w:rsid w:val="00A06609"/>
    <w:rsid w:val="00A8099F"/>
    <w:rsid w:val="00BA31D4"/>
    <w:rsid w:val="00E43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2888"/>
  <w15:chartTrackingRefBased/>
  <w15:docId w15:val="{45613387-9FEB-474C-A890-4D783981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A31D4"/>
    <w:rPr>
      <w:color w:val="0563C1" w:themeColor="hyperlink"/>
      <w:u w:val="single"/>
    </w:rPr>
  </w:style>
  <w:style w:type="character" w:styleId="a3">
    <w:name w:val="Unresolved Mention"/>
    <w:basedOn w:val="a0"/>
    <w:uiPriority w:val="99"/>
    <w:semiHidden/>
    <w:unhideWhenUsed/>
    <w:rsid w:val="00BA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9103">
      <w:bodyDiv w:val="1"/>
      <w:marLeft w:val="0"/>
      <w:marRight w:val="0"/>
      <w:marTop w:val="0"/>
      <w:marBottom w:val="0"/>
      <w:divBdr>
        <w:top w:val="none" w:sz="0" w:space="0" w:color="auto"/>
        <w:left w:val="none" w:sz="0" w:space="0" w:color="auto"/>
        <w:bottom w:val="none" w:sz="0" w:space="0" w:color="auto"/>
        <w:right w:val="none" w:sz="0" w:space="0" w:color="auto"/>
      </w:divBdr>
    </w:div>
    <w:div w:id="137501751">
      <w:bodyDiv w:val="1"/>
      <w:marLeft w:val="0"/>
      <w:marRight w:val="0"/>
      <w:marTop w:val="0"/>
      <w:marBottom w:val="0"/>
      <w:divBdr>
        <w:top w:val="none" w:sz="0" w:space="0" w:color="auto"/>
        <w:left w:val="none" w:sz="0" w:space="0" w:color="auto"/>
        <w:bottom w:val="none" w:sz="0" w:space="0" w:color="auto"/>
        <w:right w:val="none" w:sz="0" w:space="0" w:color="auto"/>
      </w:divBdr>
    </w:div>
    <w:div w:id="543911721">
      <w:bodyDiv w:val="1"/>
      <w:marLeft w:val="0"/>
      <w:marRight w:val="0"/>
      <w:marTop w:val="0"/>
      <w:marBottom w:val="0"/>
      <w:divBdr>
        <w:top w:val="none" w:sz="0" w:space="0" w:color="auto"/>
        <w:left w:val="none" w:sz="0" w:space="0" w:color="auto"/>
        <w:bottom w:val="none" w:sz="0" w:space="0" w:color="auto"/>
        <w:right w:val="none" w:sz="0" w:space="0" w:color="auto"/>
      </w:divBdr>
    </w:div>
    <w:div w:id="641152904">
      <w:bodyDiv w:val="1"/>
      <w:marLeft w:val="0"/>
      <w:marRight w:val="0"/>
      <w:marTop w:val="0"/>
      <w:marBottom w:val="0"/>
      <w:divBdr>
        <w:top w:val="none" w:sz="0" w:space="0" w:color="auto"/>
        <w:left w:val="none" w:sz="0" w:space="0" w:color="auto"/>
        <w:bottom w:val="none" w:sz="0" w:space="0" w:color="auto"/>
        <w:right w:val="none" w:sz="0" w:space="0" w:color="auto"/>
      </w:divBdr>
    </w:div>
    <w:div w:id="721486161">
      <w:bodyDiv w:val="1"/>
      <w:marLeft w:val="0"/>
      <w:marRight w:val="0"/>
      <w:marTop w:val="0"/>
      <w:marBottom w:val="0"/>
      <w:divBdr>
        <w:top w:val="none" w:sz="0" w:space="0" w:color="auto"/>
        <w:left w:val="none" w:sz="0" w:space="0" w:color="auto"/>
        <w:bottom w:val="none" w:sz="0" w:space="0" w:color="auto"/>
        <w:right w:val="none" w:sz="0" w:space="0" w:color="auto"/>
      </w:divBdr>
    </w:div>
    <w:div w:id="721560823">
      <w:bodyDiv w:val="1"/>
      <w:marLeft w:val="0"/>
      <w:marRight w:val="0"/>
      <w:marTop w:val="0"/>
      <w:marBottom w:val="0"/>
      <w:divBdr>
        <w:top w:val="none" w:sz="0" w:space="0" w:color="auto"/>
        <w:left w:val="none" w:sz="0" w:space="0" w:color="auto"/>
        <w:bottom w:val="none" w:sz="0" w:space="0" w:color="auto"/>
        <w:right w:val="none" w:sz="0" w:space="0" w:color="auto"/>
      </w:divBdr>
    </w:div>
    <w:div w:id="1090005550">
      <w:bodyDiv w:val="1"/>
      <w:marLeft w:val="0"/>
      <w:marRight w:val="0"/>
      <w:marTop w:val="0"/>
      <w:marBottom w:val="0"/>
      <w:divBdr>
        <w:top w:val="none" w:sz="0" w:space="0" w:color="auto"/>
        <w:left w:val="none" w:sz="0" w:space="0" w:color="auto"/>
        <w:bottom w:val="none" w:sz="0" w:space="0" w:color="auto"/>
        <w:right w:val="none" w:sz="0" w:space="0" w:color="auto"/>
      </w:divBdr>
    </w:div>
    <w:div w:id="1258368208">
      <w:bodyDiv w:val="1"/>
      <w:marLeft w:val="0"/>
      <w:marRight w:val="0"/>
      <w:marTop w:val="0"/>
      <w:marBottom w:val="0"/>
      <w:divBdr>
        <w:top w:val="none" w:sz="0" w:space="0" w:color="auto"/>
        <w:left w:val="none" w:sz="0" w:space="0" w:color="auto"/>
        <w:bottom w:val="none" w:sz="0" w:space="0" w:color="auto"/>
        <w:right w:val="none" w:sz="0" w:space="0" w:color="auto"/>
      </w:divBdr>
    </w:div>
    <w:div w:id="1650162015">
      <w:bodyDiv w:val="1"/>
      <w:marLeft w:val="0"/>
      <w:marRight w:val="0"/>
      <w:marTop w:val="0"/>
      <w:marBottom w:val="0"/>
      <w:divBdr>
        <w:top w:val="none" w:sz="0" w:space="0" w:color="auto"/>
        <w:left w:val="none" w:sz="0" w:space="0" w:color="auto"/>
        <w:bottom w:val="none" w:sz="0" w:space="0" w:color="auto"/>
        <w:right w:val="none" w:sz="0" w:space="0" w:color="auto"/>
      </w:divBdr>
    </w:div>
    <w:div w:id="2061860502">
      <w:bodyDiv w:val="1"/>
      <w:marLeft w:val="0"/>
      <w:marRight w:val="0"/>
      <w:marTop w:val="0"/>
      <w:marBottom w:val="0"/>
      <w:divBdr>
        <w:top w:val="none" w:sz="0" w:space="0" w:color="auto"/>
        <w:left w:val="none" w:sz="0" w:space="0" w:color="auto"/>
        <w:bottom w:val="none" w:sz="0" w:space="0" w:color="auto"/>
        <w:right w:val="none" w:sz="0" w:space="0" w:color="auto"/>
      </w:divBdr>
    </w:div>
    <w:div w:id="20981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odyim.2006.07.005" TargetMode="External"/><Relationship Id="rId13" Type="http://schemas.openxmlformats.org/officeDocument/2006/relationships/hyperlink" Target="https://doi.org/10.1017/CBO9780511751820.004" TargetMode="External"/><Relationship Id="rId18" Type="http://schemas.openxmlformats.org/officeDocument/2006/relationships/hyperlink" Target="https://doi.org/10.1111/j.1751-2409.2008.00009.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37/0022-3514.74.6.1516" TargetMode="External"/><Relationship Id="rId12" Type="http://schemas.openxmlformats.org/officeDocument/2006/relationships/hyperlink" Target="https://doi.org/10.1177/0002764202045005007" TargetMode="External"/><Relationship Id="rId17" Type="http://schemas.openxmlformats.org/officeDocument/2006/relationships/hyperlink" Target="https://doi.org/10.1207/S1532480XADS0604_2" TargetMode="External"/><Relationship Id="rId2" Type="http://schemas.openxmlformats.org/officeDocument/2006/relationships/styles" Target="styles.xml"/><Relationship Id="rId16" Type="http://schemas.openxmlformats.org/officeDocument/2006/relationships/hyperlink" Target="https://doi.org/10.1207/S1532480XADS0401_3" TargetMode="External"/><Relationship Id="rId20" Type="http://schemas.openxmlformats.org/officeDocument/2006/relationships/hyperlink" Target="https://doi.org/10.1111/j.1467-9507.1996.tb00073.x" TargetMode="External"/><Relationship Id="rId1" Type="http://schemas.openxmlformats.org/officeDocument/2006/relationships/numbering" Target="numbering.xml"/><Relationship Id="rId6" Type="http://schemas.openxmlformats.org/officeDocument/2006/relationships/hyperlink" Target="https://doi.org/10.1037/0003-066X.55.5.469" TargetMode="External"/><Relationship Id="rId11" Type="http://schemas.openxmlformats.org/officeDocument/2006/relationships/hyperlink" Target="https://doi.org/10.1002/ejsp.2420150303" TargetMode="External"/><Relationship Id="rId5" Type="http://schemas.openxmlformats.org/officeDocument/2006/relationships/hyperlink" Target="https://www.google.com/url?sa=E&amp;q=https%3A%2F%2Fwww.apa.org%2Fethics%2Fcode%2F" TargetMode="External"/><Relationship Id="rId15" Type="http://schemas.openxmlformats.org/officeDocument/2006/relationships/hyperlink" Target="https://doi.org/10.1111/1540-4560.00270" TargetMode="External"/><Relationship Id="rId10" Type="http://schemas.openxmlformats.org/officeDocument/2006/relationships/hyperlink" Target="https://doi.org/10.1016/S0277-9536(02)00025-4" TargetMode="External"/><Relationship Id="rId19" Type="http://schemas.openxmlformats.org/officeDocument/2006/relationships/hyperlink" Target="https://doi.org/10.2307/2657355" TargetMode="External"/><Relationship Id="rId4" Type="http://schemas.openxmlformats.org/officeDocument/2006/relationships/webSettings" Target="webSettings.xml"/><Relationship Id="rId9" Type="http://schemas.openxmlformats.org/officeDocument/2006/relationships/hyperlink" Target="https://doi.org/10.1037/0022-3514.62.6.1003" TargetMode="External"/><Relationship Id="rId14" Type="http://schemas.openxmlformats.org/officeDocument/2006/relationships/hyperlink" Target="https://doi.org/10.1111/1540-4560.00270"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5993</Words>
  <Characters>34161</Characters>
  <Application>Microsoft Office Word</Application>
  <DocSecurity>0</DocSecurity>
  <Lines>284</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jameel</dc:creator>
  <cp:keywords/>
  <dc:description/>
  <cp:lastModifiedBy>mohammad jameel</cp:lastModifiedBy>
  <cp:revision>5</cp:revision>
  <dcterms:created xsi:type="dcterms:W3CDTF">2024-11-21T15:31:00Z</dcterms:created>
  <dcterms:modified xsi:type="dcterms:W3CDTF">2024-11-21T16:18:00Z</dcterms:modified>
</cp:coreProperties>
</file>