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6332A" w14:textId="77777777" w:rsidR="00416B2C" w:rsidRPr="00661EDE" w:rsidRDefault="00416B2C" w:rsidP="00416B2C">
      <w:pPr>
        <w:pBdr>
          <w:top w:val="nil"/>
          <w:left w:val="nil"/>
          <w:bottom w:val="nil"/>
          <w:right w:val="nil"/>
          <w:between w:val="nil"/>
        </w:pBdr>
        <w:jc w:val="center"/>
        <w:rPr>
          <w:b/>
          <w:sz w:val="36"/>
          <w:szCs w:val="36"/>
        </w:rPr>
      </w:pPr>
      <w:r w:rsidRPr="00661EDE">
        <w:rPr>
          <w:b/>
          <w:color w:val="000000"/>
          <w:sz w:val="36"/>
          <w:szCs w:val="36"/>
        </w:rPr>
        <w:t>E</w:t>
      </w:r>
      <w:r w:rsidRPr="00661EDE">
        <w:rPr>
          <w:b/>
          <w:sz w:val="36"/>
          <w:szCs w:val="36"/>
        </w:rPr>
        <w:t>ficacia</w:t>
      </w:r>
      <w:r w:rsidRPr="00661EDE">
        <w:rPr>
          <w:b/>
          <w:color w:val="000000"/>
          <w:sz w:val="36"/>
          <w:szCs w:val="36"/>
        </w:rPr>
        <w:t xml:space="preserve"> </w:t>
      </w:r>
      <w:r w:rsidRPr="00661EDE">
        <w:rPr>
          <w:b/>
          <w:sz w:val="36"/>
          <w:szCs w:val="36"/>
        </w:rPr>
        <w:t>de un protocolo</w:t>
      </w:r>
      <w:r w:rsidRPr="00661EDE">
        <w:rPr>
          <w:b/>
          <w:color w:val="000000"/>
          <w:sz w:val="36"/>
          <w:szCs w:val="36"/>
        </w:rPr>
        <w:t xml:space="preserve"> </w:t>
      </w:r>
      <w:r w:rsidRPr="00661EDE">
        <w:rPr>
          <w:b/>
          <w:sz w:val="36"/>
          <w:szCs w:val="36"/>
        </w:rPr>
        <w:t>de terapia de exposición con</w:t>
      </w:r>
      <w:r w:rsidRPr="00661EDE">
        <w:rPr>
          <w:b/>
          <w:color w:val="000000"/>
          <w:sz w:val="36"/>
          <w:szCs w:val="36"/>
        </w:rPr>
        <w:t xml:space="preserve"> </w:t>
      </w:r>
      <w:r w:rsidRPr="00661EDE">
        <w:rPr>
          <w:b/>
          <w:sz w:val="36"/>
          <w:szCs w:val="36"/>
        </w:rPr>
        <w:t>realidad virtual para el miedo a hablar en público</w:t>
      </w:r>
      <w:r w:rsidRPr="00661EDE">
        <w:rPr>
          <w:b/>
          <w:color w:val="000000"/>
          <w:sz w:val="36"/>
          <w:szCs w:val="36"/>
        </w:rPr>
        <w:t xml:space="preserve">: </w:t>
      </w:r>
      <w:r w:rsidRPr="00661EDE">
        <w:rPr>
          <w:b/>
          <w:sz w:val="36"/>
          <w:szCs w:val="36"/>
        </w:rPr>
        <w:t>Un ensayo controlado aleatorizado</w:t>
      </w:r>
    </w:p>
    <w:p w14:paraId="39F59DDC" w14:textId="77777777" w:rsidR="00416B2C" w:rsidRPr="00661EDE" w:rsidRDefault="00416B2C" w:rsidP="00416B2C">
      <w:pPr>
        <w:pBdr>
          <w:top w:val="nil"/>
          <w:left w:val="nil"/>
          <w:bottom w:val="nil"/>
          <w:right w:val="nil"/>
          <w:between w:val="nil"/>
        </w:pBdr>
        <w:jc w:val="center"/>
        <w:rPr>
          <w:b/>
          <w:sz w:val="36"/>
          <w:szCs w:val="36"/>
        </w:rPr>
      </w:pPr>
    </w:p>
    <w:p w14:paraId="1EB5E554" w14:textId="77777777" w:rsidR="00416B2C" w:rsidRPr="00BC2C50" w:rsidRDefault="00416B2C" w:rsidP="00416B2C">
      <w:pPr>
        <w:pBdr>
          <w:top w:val="nil"/>
          <w:left w:val="nil"/>
          <w:bottom w:val="nil"/>
          <w:right w:val="nil"/>
          <w:between w:val="nil"/>
        </w:pBdr>
        <w:jc w:val="center"/>
        <w:rPr>
          <w:b/>
          <w:color w:val="000000"/>
          <w:sz w:val="36"/>
          <w:szCs w:val="36"/>
          <w:lang w:val="en-US"/>
        </w:rPr>
      </w:pPr>
      <w:r w:rsidRPr="00BC2C50">
        <w:rPr>
          <w:b/>
          <w:color w:val="000000"/>
          <w:sz w:val="36"/>
          <w:szCs w:val="36"/>
          <w:lang w:val="en-US"/>
        </w:rPr>
        <w:t xml:space="preserve">Efficacy of a virtual reality exposure therapy protocol for fear of public speaking: </w:t>
      </w:r>
    </w:p>
    <w:p w14:paraId="432B8A47" w14:textId="77777777" w:rsidR="00416B2C" w:rsidRPr="00661EDE" w:rsidRDefault="00416B2C" w:rsidP="00416B2C">
      <w:pPr>
        <w:pBdr>
          <w:top w:val="nil"/>
          <w:left w:val="nil"/>
          <w:bottom w:val="nil"/>
          <w:right w:val="nil"/>
          <w:between w:val="nil"/>
        </w:pBdr>
        <w:jc w:val="center"/>
        <w:rPr>
          <w:b/>
          <w:color w:val="000000"/>
          <w:sz w:val="36"/>
          <w:szCs w:val="36"/>
        </w:rPr>
      </w:pPr>
      <w:r w:rsidRPr="00661EDE">
        <w:rPr>
          <w:b/>
          <w:color w:val="000000"/>
          <w:sz w:val="36"/>
          <w:szCs w:val="36"/>
        </w:rPr>
        <w:t xml:space="preserve">A </w:t>
      </w:r>
      <w:proofErr w:type="spellStart"/>
      <w:r w:rsidRPr="00661EDE">
        <w:rPr>
          <w:b/>
          <w:color w:val="000000"/>
          <w:sz w:val="36"/>
          <w:szCs w:val="36"/>
        </w:rPr>
        <w:t>randomized</w:t>
      </w:r>
      <w:proofErr w:type="spellEnd"/>
      <w:r w:rsidRPr="00661EDE">
        <w:rPr>
          <w:b/>
          <w:color w:val="000000"/>
          <w:sz w:val="36"/>
          <w:szCs w:val="36"/>
        </w:rPr>
        <w:t xml:space="preserve"> </w:t>
      </w:r>
      <w:proofErr w:type="spellStart"/>
      <w:r w:rsidRPr="00661EDE">
        <w:rPr>
          <w:b/>
          <w:color w:val="000000"/>
          <w:sz w:val="36"/>
          <w:szCs w:val="36"/>
        </w:rPr>
        <w:t>controlled</w:t>
      </w:r>
      <w:proofErr w:type="spellEnd"/>
      <w:r w:rsidRPr="00661EDE">
        <w:rPr>
          <w:b/>
          <w:color w:val="000000"/>
          <w:sz w:val="36"/>
          <w:szCs w:val="36"/>
        </w:rPr>
        <w:t xml:space="preserve"> trial</w:t>
      </w:r>
    </w:p>
    <w:p w14:paraId="7864998F" w14:textId="77777777" w:rsidR="00416B2C" w:rsidRDefault="00416B2C" w:rsidP="00416B2C">
      <w:pPr>
        <w:pBdr>
          <w:top w:val="nil"/>
          <w:left w:val="nil"/>
          <w:bottom w:val="nil"/>
          <w:right w:val="nil"/>
          <w:between w:val="nil"/>
        </w:pBdr>
        <w:jc w:val="center"/>
        <w:rPr>
          <w:b/>
        </w:rPr>
      </w:pPr>
    </w:p>
    <w:p w14:paraId="46640600" w14:textId="77777777" w:rsidR="00416B2C" w:rsidRDefault="00416B2C" w:rsidP="00416B2C">
      <w:pPr>
        <w:rPr>
          <w:i/>
          <w:sz w:val="28"/>
          <w:szCs w:val="28"/>
        </w:rPr>
      </w:pPr>
    </w:p>
    <w:p w14:paraId="0646FC01" w14:textId="77777777" w:rsidR="00416B2C" w:rsidRDefault="00416B2C" w:rsidP="00416B2C">
      <w:pPr>
        <w:rPr>
          <w:b/>
          <w:sz w:val="20"/>
          <w:szCs w:val="20"/>
        </w:rPr>
      </w:pPr>
      <w:r>
        <w:rPr>
          <w:noProof/>
        </w:rPr>
        <mc:AlternateContent>
          <mc:Choice Requires="wps">
            <w:drawing>
              <wp:anchor distT="4294967295" distB="4294967295" distL="114300" distR="114300" simplePos="0" relativeHeight="251659264" behindDoc="0" locked="0" layoutInCell="1" hidden="0" allowOverlap="1" wp14:anchorId="461E1FA2" wp14:editId="0CB06C9C">
                <wp:simplePos x="0" y="0"/>
                <wp:positionH relativeFrom="column">
                  <wp:posOffset>1</wp:posOffset>
                </wp:positionH>
                <wp:positionV relativeFrom="paragraph">
                  <wp:posOffset>55896</wp:posOffset>
                </wp:positionV>
                <wp:extent cx="0" cy="25400"/>
                <wp:effectExtent l="0" t="0" r="0" b="0"/>
                <wp:wrapNone/>
                <wp:docPr id="23" name="Conector recto de flecha 23"/>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w:pict>
              <v:shapetype w14:anchorId="057F8E7B" id="_x0000_t32" coordsize="21600,21600" o:spt="32" o:oned="t" path="m,l21600,21600e" filled="f">
                <v:path arrowok="t" fillok="f" o:connecttype="none"/>
                <o:lock v:ext="edit" shapetype="t"/>
              </v:shapetype>
              <v:shape id="Conector recto de flecha 23" o:spid="_x0000_s1026" type="#_x0000_t32" style="position:absolute;margin-left:0;margin-top:4.4pt;width:0;height:2pt;z-index:251659264;visibility:visible;mso-wrap-style:square;mso-wrap-distance-left:9pt;mso-wrap-distance-top:.Ùmm;mso-wrap-distance-right:9pt;mso-wrap-distance-bottom:.Ùmm;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" strokeweight="2pt">
                <v:stroke startarrowwidth="narrow" startarrowlength="short" endarrowwidth="narrow" endarrowlength="short"/>
              </v:shape>
            </w:pict>
          </mc:Fallback>
        </mc:AlternateContent>
      </w:r>
    </w:p>
    <w:p w14:paraId="6C3E6935" w14:textId="77777777" w:rsidR="00416B2C" w:rsidRDefault="00416B2C" w:rsidP="00416B2C">
      <w:pPr>
        <w:pBdr>
          <w:top w:val="nil"/>
          <w:left w:val="nil"/>
          <w:bottom w:val="nil"/>
          <w:right w:val="nil"/>
          <w:between w:val="nil"/>
        </w:pBdr>
        <w:spacing w:after="120"/>
        <w:jc w:val="center"/>
        <w:rPr>
          <w:b/>
          <w:smallCaps/>
          <w:color w:val="000000"/>
          <w:sz w:val="20"/>
          <w:szCs w:val="20"/>
        </w:rPr>
      </w:pPr>
      <w:r>
        <w:rPr>
          <w:b/>
          <w:smallCaps/>
          <w:color w:val="000000"/>
          <w:sz w:val="20"/>
          <w:szCs w:val="20"/>
        </w:rPr>
        <w:t>Resumen</w:t>
      </w:r>
    </w:p>
    <w:p w14:paraId="315714F5" w14:textId="77777777" w:rsidR="00416B2C" w:rsidRDefault="00416B2C" w:rsidP="00416B2C">
      <w:pPr>
        <w:jc w:val="both"/>
        <w:rPr>
          <w:sz w:val="20"/>
          <w:szCs w:val="20"/>
        </w:rPr>
      </w:pPr>
      <w:r>
        <w:rPr>
          <w:sz w:val="20"/>
          <w:szCs w:val="20"/>
        </w:rPr>
        <w:t xml:space="preserve">El miedo a hablar en público puede tener consecuencias significativas en el funcionamiento social y la calidad de vida de las personas que lo padecen. La presente investigación tuvo por objetivo evaluar la eficacia de un protocolo de terapia de exposición con realidad virtual para el miedo a hablar en público. Se realizó un ensayo controlado aleatorizado con medidas repetidas en un grupo experimental (n=7) y un grupo control en lista de espera (n=7). El protocolo constó de 7 a 8 sesiones; 1 de psicoeducación, 1 de flexibilidad cognitiva, 4 o 5 de exposición en realidad virtual y 1 de cierre. Los instrumentos utilizados fueron el Cuestionario de Confianza para Hablar en Público (PRCS-12) y la Escala de </w:t>
      </w:r>
      <w:proofErr w:type="spellStart"/>
      <w:r>
        <w:rPr>
          <w:sz w:val="20"/>
          <w:szCs w:val="20"/>
        </w:rPr>
        <w:t>Autoverbalizaciones</w:t>
      </w:r>
      <w:proofErr w:type="spellEnd"/>
      <w:r>
        <w:rPr>
          <w:sz w:val="20"/>
          <w:szCs w:val="20"/>
        </w:rPr>
        <w:t xml:space="preserve"> al Hablar en Público (SSPS), además de otras medidas generales de ansiedad y bienestar. Se encontró una disminución de los puntajes del PRCS-12 y de la subescala de </w:t>
      </w:r>
      <w:proofErr w:type="spellStart"/>
      <w:r>
        <w:rPr>
          <w:sz w:val="20"/>
          <w:szCs w:val="20"/>
        </w:rPr>
        <w:t>autoverbalizaciones</w:t>
      </w:r>
      <w:proofErr w:type="spellEnd"/>
      <w:r>
        <w:rPr>
          <w:sz w:val="20"/>
          <w:szCs w:val="20"/>
        </w:rPr>
        <w:t xml:space="preserve"> negativas del SSPS; sin embargo, no se evidenciaron cambios significativos en la subescala de </w:t>
      </w:r>
      <w:proofErr w:type="spellStart"/>
      <w:r>
        <w:rPr>
          <w:sz w:val="20"/>
          <w:szCs w:val="20"/>
        </w:rPr>
        <w:t>autoverbalizaciones</w:t>
      </w:r>
      <w:proofErr w:type="spellEnd"/>
      <w:r>
        <w:rPr>
          <w:sz w:val="20"/>
          <w:szCs w:val="20"/>
        </w:rPr>
        <w:t xml:space="preserve"> positivas. Los resultados muestran evidencia a favor de la eficacia del protocolo. Se discuten las limitaciones y las implicancias clínicas de los hallazgos, así como mejoras al protocolo para obtener mejores resultados.</w:t>
      </w:r>
    </w:p>
    <w:p w14:paraId="74CBDAD6" w14:textId="77777777" w:rsidR="00416B2C" w:rsidRDefault="00416B2C" w:rsidP="00416B2C">
      <w:pPr>
        <w:rPr>
          <w:sz w:val="20"/>
          <w:szCs w:val="20"/>
        </w:rPr>
      </w:pPr>
    </w:p>
    <w:p w14:paraId="4B9729CB" w14:textId="77777777" w:rsidR="00416B2C" w:rsidRDefault="00416B2C" w:rsidP="00416B2C">
      <w:pPr>
        <w:rPr>
          <w:b/>
          <w:sz w:val="20"/>
          <w:szCs w:val="20"/>
        </w:rPr>
      </w:pPr>
      <w:r>
        <w:rPr>
          <w:b/>
          <w:sz w:val="20"/>
          <w:szCs w:val="20"/>
        </w:rPr>
        <w:t>Palabras Clave</w:t>
      </w:r>
    </w:p>
    <w:p w14:paraId="012B39BA" w14:textId="77777777" w:rsidR="00416B2C" w:rsidRDefault="00416B2C" w:rsidP="00416B2C">
      <w:pPr>
        <w:jc w:val="both"/>
        <w:rPr>
          <w:sz w:val="20"/>
          <w:szCs w:val="20"/>
        </w:rPr>
      </w:pPr>
      <w:r>
        <w:rPr>
          <w:sz w:val="20"/>
          <w:szCs w:val="20"/>
        </w:rPr>
        <w:t>ansiedad social, miedo a hablar en público, terapia cognitivo conductual, exposición, realidad virtual.</w:t>
      </w:r>
    </w:p>
    <w:p w14:paraId="7252340A" w14:textId="77777777" w:rsidR="00416B2C" w:rsidRDefault="00416B2C" w:rsidP="00416B2C">
      <w:pPr>
        <w:jc w:val="both"/>
        <w:rPr>
          <w:sz w:val="20"/>
          <w:szCs w:val="20"/>
        </w:rPr>
      </w:pPr>
    </w:p>
    <w:p w14:paraId="56A34890" w14:textId="77777777" w:rsidR="00416B2C" w:rsidRPr="00416B2C" w:rsidRDefault="00416B2C" w:rsidP="00416B2C">
      <w:pPr>
        <w:pBdr>
          <w:top w:val="nil"/>
          <w:left w:val="nil"/>
          <w:bottom w:val="nil"/>
          <w:right w:val="nil"/>
          <w:between w:val="nil"/>
        </w:pBdr>
        <w:spacing w:after="120"/>
        <w:jc w:val="center"/>
        <w:rPr>
          <w:b/>
          <w:smallCaps/>
          <w:color w:val="000000"/>
          <w:sz w:val="20"/>
          <w:szCs w:val="20"/>
          <w:lang w:val="en-US"/>
        </w:rPr>
      </w:pPr>
      <w:r w:rsidRPr="00416B2C">
        <w:rPr>
          <w:b/>
          <w:smallCaps/>
          <w:color w:val="000000"/>
          <w:sz w:val="20"/>
          <w:szCs w:val="20"/>
          <w:lang w:val="en-US"/>
        </w:rPr>
        <w:t>Abstract</w:t>
      </w:r>
    </w:p>
    <w:p w14:paraId="512394F4" w14:textId="77777777" w:rsidR="00416B2C" w:rsidRPr="00BC2C50" w:rsidRDefault="00416B2C" w:rsidP="00416B2C">
      <w:pPr>
        <w:jc w:val="both"/>
        <w:rPr>
          <w:i/>
          <w:sz w:val="20"/>
          <w:szCs w:val="20"/>
          <w:lang w:val="en-US"/>
        </w:rPr>
      </w:pPr>
      <w:r w:rsidRPr="00BC2C50">
        <w:rPr>
          <w:sz w:val="20"/>
          <w:szCs w:val="20"/>
          <w:lang w:val="en-US"/>
        </w:rPr>
        <w:t xml:space="preserve">Fear of public speaking can have significant consequences on the social functioning and quality of life of people who suffer from it. The present research aimed to evaluate the efficacy of a virtual reality exposure therapy protocol for fear of public speaking. A randomized controlled trial with repeated measures was conducted in an experimental group (n=7) and a wait-list control group (n=7). The protocol consisted of 7 to 8 </w:t>
      </w:r>
      <w:proofErr w:type="gramStart"/>
      <w:r w:rsidRPr="00BC2C50">
        <w:rPr>
          <w:sz w:val="20"/>
          <w:szCs w:val="20"/>
          <w:lang w:val="en-US"/>
        </w:rPr>
        <w:t>sessions;</w:t>
      </w:r>
      <w:proofErr w:type="gramEnd"/>
      <w:r w:rsidRPr="00BC2C50">
        <w:rPr>
          <w:sz w:val="20"/>
          <w:szCs w:val="20"/>
          <w:lang w:val="en-US"/>
        </w:rPr>
        <w:t xml:space="preserve"> 1 for psychoeducation, 1 for cognitive flexibility, 4 to 5 for virtual reality exposure and 1 for closure. The instruments used were the Personal Report of Confidence as a Speaker (PRCS-12) and the Self-Statements during Public Speaking (SSPS) scale, in addition to other general measures of anxiety and well-being. A decrease was found in the scores of the PRCS-12 and in the SSPS negative self-talk subscale; however, no significant changes were reported on the positive self-talk subscale. The results showed evidence in favor of the efficacy of the protocol. Limitations and clinical implications of the findings are discussed, as well as improvements to the protocol to obtain better results. </w:t>
      </w:r>
    </w:p>
    <w:p w14:paraId="5D1629E8" w14:textId="77777777" w:rsidR="00416B2C" w:rsidRPr="00BC2C50" w:rsidRDefault="00416B2C" w:rsidP="00416B2C">
      <w:pPr>
        <w:rPr>
          <w:sz w:val="20"/>
          <w:szCs w:val="20"/>
          <w:lang w:val="en-US"/>
        </w:rPr>
      </w:pPr>
    </w:p>
    <w:p w14:paraId="36529E3F" w14:textId="77777777" w:rsidR="00416B2C" w:rsidRPr="00416B2C" w:rsidRDefault="00416B2C" w:rsidP="00416B2C">
      <w:pPr>
        <w:jc w:val="both"/>
        <w:rPr>
          <w:b/>
          <w:sz w:val="20"/>
          <w:szCs w:val="20"/>
          <w:lang w:val="en-US"/>
        </w:rPr>
      </w:pPr>
      <w:r w:rsidRPr="00416B2C">
        <w:rPr>
          <w:b/>
          <w:sz w:val="20"/>
          <w:szCs w:val="20"/>
          <w:lang w:val="en-US"/>
        </w:rPr>
        <w:t>Keywords</w:t>
      </w:r>
    </w:p>
    <w:p w14:paraId="1A8D9F1F" w14:textId="77777777" w:rsidR="00416B2C" w:rsidRPr="00BC2C50" w:rsidRDefault="00416B2C" w:rsidP="00416B2C">
      <w:pPr>
        <w:jc w:val="both"/>
        <w:rPr>
          <w:lang w:val="en-US"/>
        </w:rPr>
      </w:pPr>
      <w:r w:rsidRPr="00BC2C50">
        <w:rPr>
          <w:sz w:val="20"/>
          <w:szCs w:val="20"/>
          <w:lang w:val="en-US"/>
        </w:rPr>
        <w:t>social anxiety; fear of public speaking, cognitive behavioral therapy, exposure, virtual reality.</w:t>
      </w:r>
      <w:r>
        <w:rPr>
          <w:noProof/>
        </w:rPr>
        <w:drawing>
          <wp:anchor distT="0" distB="0" distL="114300" distR="114300" simplePos="0" relativeHeight="251660288" behindDoc="0" locked="0" layoutInCell="1" hidden="0" allowOverlap="1" wp14:anchorId="67435F95" wp14:editId="1EB6B8D6">
            <wp:simplePos x="0" y="0"/>
            <wp:positionH relativeFrom="column">
              <wp:posOffset>5400675</wp:posOffset>
            </wp:positionH>
            <wp:positionV relativeFrom="paragraph">
              <wp:posOffset>0</wp:posOffset>
            </wp:positionV>
            <wp:extent cx="396000" cy="259200"/>
            <wp:effectExtent l="0" t="0" r="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96000" cy="259200"/>
                    </a:xfrm>
                    <a:prstGeom prst="rect">
                      <a:avLst/>
                    </a:prstGeom>
                    <a:ln/>
                  </pic:spPr>
                </pic:pic>
              </a:graphicData>
            </a:graphic>
          </wp:anchor>
        </w:drawing>
      </w:r>
    </w:p>
    <w:p w14:paraId="340C3C8B" w14:textId="77777777" w:rsidR="00416B2C" w:rsidRPr="00416B2C" w:rsidRDefault="00416B2C" w:rsidP="00C20968">
      <w:pPr>
        <w:pBdr>
          <w:top w:val="nil"/>
          <w:left w:val="nil"/>
          <w:bottom w:val="nil"/>
          <w:right w:val="nil"/>
          <w:between w:val="nil"/>
        </w:pBdr>
        <w:jc w:val="center"/>
        <w:rPr>
          <w:b/>
          <w:lang w:val="en-US"/>
        </w:rPr>
      </w:pPr>
    </w:p>
    <w:p w14:paraId="17351D9C" w14:textId="77777777" w:rsidR="00E75227" w:rsidRPr="00416B2C" w:rsidRDefault="00E75227">
      <w:pPr>
        <w:pBdr>
          <w:top w:val="nil"/>
          <w:left w:val="nil"/>
          <w:bottom w:val="nil"/>
          <w:right w:val="nil"/>
          <w:between w:val="nil"/>
        </w:pBdr>
        <w:jc w:val="center"/>
        <w:rPr>
          <w:lang w:val="en-US"/>
        </w:rPr>
      </w:pPr>
    </w:p>
    <w:p w14:paraId="6BBDB652" w14:textId="77777777" w:rsidR="00E75227" w:rsidRDefault="00000000">
      <w:pPr>
        <w:pBdr>
          <w:top w:val="nil"/>
          <w:left w:val="nil"/>
          <w:bottom w:val="nil"/>
          <w:right w:val="nil"/>
          <w:between w:val="nil"/>
        </w:pBdr>
        <w:jc w:val="center"/>
        <w:rPr>
          <w:b/>
          <w:color w:val="000000"/>
        </w:rPr>
      </w:pPr>
      <w:r>
        <w:rPr>
          <w:b/>
          <w:color w:val="000000"/>
        </w:rPr>
        <w:t>Introducción</w:t>
      </w:r>
    </w:p>
    <w:p w14:paraId="68086105" w14:textId="77777777" w:rsidR="00E75227" w:rsidRDefault="00E75227">
      <w:pPr>
        <w:pBdr>
          <w:top w:val="nil"/>
          <w:left w:val="nil"/>
          <w:bottom w:val="nil"/>
          <w:right w:val="nil"/>
          <w:between w:val="nil"/>
        </w:pBdr>
        <w:jc w:val="center"/>
        <w:rPr>
          <w:b/>
        </w:rPr>
      </w:pPr>
    </w:p>
    <w:p w14:paraId="247EF920" w14:textId="77777777" w:rsidR="00E75227" w:rsidRDefault="00000000">
      <w:pPr>
        <w:pBdr>
          <w:top w:val="nil"/>
          <w:left w:val="nil"/>
          <w:bottom w:val="nil"/>
          <w:right w:val="nil"/>
          <w:between w:val="nil"/>
        </w:pBdr>
        <w:spacing w:line="360" w:lineRule="auto"/>
        <w:ind w:firstLine="708"/>
        <w:jc w:val="both"/>
      </w:pPr>
      <w:r>
        <w:t xml:space="preserve">Según la Organización Mundial de la Salud (OMS, 2022), en los últimos años se ha evidenciado una creciente crisis de la salud mental, reflejada principalmente en un aumento del 25% en la prevalencia de trastornos relacionados a la ansiedad y depresión en la población mundial. En Chile, el “Termómetro de la Salud Mental en Chile </w:t>
      </w:r>
      <w:proofErr w:type="spellStart"/>
      <w:r>
        <w:t>Achs</w:t>
      </w:r>
      <w:proofErr w:type="spellEnd"/>
      <w:r>
        <w:t xml:space="preserve">-UC” revela que la </w:t>
      </w:r>
      <w:r>
        <w:lastRenderedPageBreak/>
        <w:t xml:space="preserve">ansiedad se mantiene como el principal malestar psicológico del país, donde el 24,8% de las personas encuestadas presentan problemas de ansiedad (Pontificia Universidad Católica, 2024). Uno de estos trastornos relacionados con la ansiedad es el Trastorno de Ansiedad Social (TAS), se caracteriza como un miedo o ansiedad intenso a las situaciones sociales en las que el individuo puede ser juzgado por otros (American </w:t>
      </w:r>
      <w:proofErr w:type="spellStart"/>
      <w:r>
        <w:t>Psychology</w:t>
      </w:r>
      <w:proofErr w:type="spellEnd"/>
      <w:r>
        <w:t xml:space="preserve"> </w:t>
      </w:r>
      <w:proofErr w:type="spellStart"/>
      <w:r>
        <w:t>Association</w:t>
      </w:r>
      <w:proofErr w:type="spellEnd"/>
      <w:r>
        <w:t>; APA, 2013). En la literatura se describen dos subgrupos de TAS en adultos: Un subgrupo que percibe ansiedad en el ámbito de interacción (</w:t>
      </w:r>
      <w:proofErr w:type="spellStart"/>
      <w:r>
        <w:t>e.g</w:t>
      </w:r>
      <w:proofErr w:type="spellEnd"/>
      <w:r>
        <w:t>., conversar con un otro), y actuación (</w:t>
      </w:r>
      <w:proofErr w:type="spellStart"/>
      <w:r>
        <w:t>e.g</w:t>
      </w:r>
      <w:proofErr w:type="spellEnd"/>
      <w:r>
        <w:t>., hablar frente a un público); y otro subgrupo que la percibe particularmente en el ámbito de actuación, presentándose especialmente en la adolescencia y en la adultez temprana (</w:t>
      </w:r>
      <w:proofErr w:type="spellStart"/>
      <w:r>
        <w:t>Kahlon</w:t>
      </w:r>
      <w:proofErr w:type="spellEnd"/>
      <w:r>
        <w:t xml:space="preserve"> et al., 2019). Esto se manifiesta comúnmente a través del miedo y/o ansiedad al hablar en público. </w:t>
      </w:r>
    </w:p>
    <w:p w14:paraId="36280137" w14:textId="77777777" w:rsidR="00E75227" w:rsidRDefault="00000000">
      <w:pPr>
        <w:pBdr>
          <w:top w:val="nil"/>
          <w:left w:val="nil"/>
          <w:bottom w:val="nil"/>
          <w:right w:val="nil"/>
          <w:between w:val="nil"/>
        </w:pBdr>
        <w:spacing w:line="360" w:lineRule="auto"/>
        <w:ind w:firstLine="708"/>
        <w:jc w:val="both"/>
      </w:pPr>
      <w:r>
        <w:t xml:space="preserve">El miedo a hablar en público tiene consecuencias significativas en las personas que lo padecen, pudiendo afectar en sus oportunidades laborales, rendimiento académico y relaciones sociales (Crome et al., 2015; </w:t>
      </w:r>
      <w:proofErr w:type="spellStart"/>
      <w:r>
        <w:t>Girondini</w:t>
      </w:r>
      <w:proofErr w:type="spellEnd"/>
      <w:r>
        <w:t xml:space="preserve"> et al., 2023). Además, se pueden experimentar mayores sentimientos de soledad o aislamiento social, una disminución en su calidad de vida en general y un aumento en la susceptibilidad a desarrollar TAS (</w:t>
      </w:r>
      <w:proofErr w:type="spellStart"/>
      <w:r>
        <w:t>Kahlon</w:t>
      </w:r>
      <w:proofErr w:type="spellEnd"/>
      <w:r>
        <w:t xml:space="preserve"> et al., 2019; </w:t>
      </w:r>
      <w:proofErr w:type="spellStart"/>
      <w:r>
        <w:t>Wittchen</w:t>
      </w:r>
      <w:proofErr w:type="spellEnd"/>
      <w:r>
        <w:t xml:space="preserve"> y </w:t>
      </w:r>
      <w:proofErr w:type="spellStart"/>
      <w:r>
        <w:t>Fehm</w:t>
      </w:r>
      <w:proofErr w:type="spellEnd"/>
      <w:r>
        <w:t>, 2003) o trastornos secundarios como depresión y trastornos por uso de sustancias (Crome et al., 2015; Maldonado y Reich, 2013). Todo esto resulta fundamental, pues, si bien el miedo a hablar en público no posee una relevancia clínica en todos los casos, cuando la ansiedad es tan intensa que resulta incapacitante, el miedo se vuelve patológico (Clark y Beck, 2012; Tron et al., 2014). Se ha demostrado que el tratamiento temprano de este miedo puede reducir el nivel general de TAS (</w:t>
      </w:r>
      <w:proofErr w:type="spellStart"/>
      <w:r>
        <w:t>Hindo</w:t>
      </w:r>
      <w:proofErr w:type="spellEnd"/>
      <w:r>
        <w:t xml:space="preserve"> y González-Prendes, 2011), lo que reduciría los costos sociales y personales asociados a este trastorno (</w:t>
      </w:r>
      <w:proofErr w:type="spellStart"/>
      <w:r>
        <w:t>Kahlon</w:t>
      </w:r>
      <w:proofErr w:type="spellEnd"/>
      <w:r>
        <w:t xml:space="preserve"> et al., 2019).</w:t>
      </w:r>
    </w:p>
    <w:p w14:paraId="37C3647C" w14:textId="77777777" w:rsidR="00E75227" w:rsidRDefault="00000000">
      <w:pPr>
        <w:pBdr>
          <w:top w:val="nil"/>
          <w:left w:val="nil"/>
          <w:bottom w:val="nil"/>
          <w:right w:val="nil"/>
          <w:between w:val="nil"/>
        </w:pBdr>
        <w:spacing w:line="360" w:lineRule="auto"/>
        <w:ind w:firstLine="708"/>
        <w:jc w:val="both"/>
      </w:pPr>
      <w:r>
        <w:t xml:space="preserve">El miedo o ansiedad al hablar en público involucra aspectos cognitivos, conductuales y fisiológicos. Respecto a los síntomas cognitivos, se identifican un conjunto de creencias disfuncionales, sesgos cognitivos y pensamientos irracionales que afectan la atención de la persona (Clark y Wells, 1995; Maldonado y Reich, 2013). Respecto de aquello, Moral de la Rubia et al. (2016) plantean que, al hablar en público, la percepción elevada de los estándares sociales conlleva un aumento en la autoevaluación que entorpece la acción del sujeto, incrementando a su vez la ansiedad social a niveles desadaptativos que pueden llegar a afectar la vida diaria. Aquello se expresa en </w:t>
      </w:r>
      <w:proofErr w:type="spellStart"/>
      <w:r>
        <w:t>autoverbalizaciones</w:t>
      </w:r>
      <w:proofErr w:type="spellEnd"/>
      <w:r>
        <w:t xml:space="preserve"> disfuncionales sobre la situación como, por ejemplo, ideas catastróficas respecto del propio rendimiento y de la respuesta del público (APA, 2013). Es posible evaluar estos síntomas cognitivos a través de la Escala de </w:t>
      </w:r>
      <w:proofErr w:type="spellStart"/>
      <w:r>
        <w:t>Autoverbalizaciones</w:t>
      </w:r>
      <w:proofErr w:type="spellEnd"/>
      <w:r>
        <w:t xml:space="preserve"> al Hablar en Público (SSPS; Hofmann y </w:t>
      </w:r>
      <w:proofErr w:type="spellStart"/>
      <w:r>
        <w:t>DiBartolo</w:t>
      </w:r>
      <w:proofErr w:type="spellEnd"/>
      <w:r>
        <w:t>, 2000).</w:t>
      </w:r>
    </w:p>
    <w:p w14:paraId="5DF2CA27" w14:textId="77777777" w:rsidR="00E75227" w:rsidRDefault="00000000">
      <w:pPr>
        <w:pBdr>
          <w:top w:val="nil"/>
          <w:left w:val="nil"/>
          <w:bottom w:val="nil"/>
          <w:right w:val="nil"/>
          <w:between w:val="nil"/>
        </w:pBdr>
        <w:spacing w:line="360" w:lineRule="auto"/>
        <w:ind w:firstLine="708"/>
        <w:jc w:val="both"/>
      </w:pPr>
      <w:r>
        <w:lastRenderedPageBreak/>
        <w:t xml:space="preserve">Un aspecto importante relacionado a las </w:t>
      </w:r>
      <w:proofErr w:type="spellStart"/>
      <w:r>
        <w:t>autoverbalizaciones</w:t>
      </w:r>
      <w:proofErr w:type="spellEnd"/>
      <w:r>
        <w:t xml:space="preserve"> al hablar en público es la autoeficacia del orador, concepto definido como la creencia acerca de la capacidad que tiene el sujeto para conseguir cierto nivel de desempeño (Bandura, 1997). En este sentido, la ansiedad y la autoeficacia tienen una correlación negativa, es decir, a mayor autoeficacia, menores niveles de ansiedad, y viceversa (Brown y </w:t>
      </w:r>
      <w:proofErr w:type="spellStart"/>
      <w:r>
        <w:t>Morrissey</w:t>
      </w:r>
      <w:proofErr w:type="spellEnd"/>
      <w:r>
        <w:t>, 2004). La baja autoeficacia lleva a resultados deficientes y mayor ansiedad, por lo que es crucial para la confianza al hablar en público (</w:t>
      </w:r>
      <w:proofErr w:type="gramStart"/>
      <w:r>
        <w:t>Verano</w:t>
      </w:r>
      <w:proofErr w:type="gramEnd"/>
      <w:r>
        <w:t xml:space="preserve">-Tacoronte y Bolívar-Cruz, 2015). Según Méndez et al. (1999) la confianza para hablar en público es una dimensión continua que presenta un polo positivo (seguridad a hablar en público) y otro negativo (miedo a hablar en público). Para evaluar este constructo es posible utilizar el Cuestionario de Confianza para Hablar en Público (PRCS; </w:t>
      </w:r>
      <w:proofErr w:type="spellStart"/>
      <w:r>
        <w:t>Gilkinson</w:t>
      </w:r>
      <w:proofErr w:type="spellEnd"/>
      <w:r>
        <w:t xml:space="preserve">, 1942; </w:t>
      </w:r>
      <w:proofErr w:type="spellStart"/>
      <w:r>
        <w:t>Martinez-Pecino</w:t>
      </w:r>
      <w:proofErr w:type="spellEnd"/>
      <w:r>
        <w:t xml:space="preserve"> y Durán, 2013).</w:t>
      </w:r>
    </w:p>
    <w:p w14:paraId="46422398" w14:textId="77777777" w:rsidR="00E75227" w:rsidRDefault="00000000">
      <w:pPr>
        <w:pBdr>
          <w:top w:val="nil"/>
          <w:left w:val="nil"/>
          <w:bottom w:val="nil"/>
          <w:right w:val="nil"/>
          <w:between w:val="nil"/>
        </w:pBdr>
        <w:spacing w:line="360" w:lineRule="auto"/>
        <w:ind w:firstLine="708"/>
        <w:jc w:val="both"/>
      </w:pPr>
      <w:r>
        <w:t xml:space="preserve">Por otro lado, los síntomas conductuales según </w:t>
      </w:r>
      <w:proofErr w:type="spellStart"/>
      <w:r>
        <w:t>Girondini</w:t>
      </w:r>
      <w:proofErr w:type="spellEnd"/>
      <w:r>
        <w:t xml:space="preserve"> et al. (2023) se encuentran interconectados a los síntomas cognitivos. En este sentido, frente a la presencia de </w:t>
      </w:r>
      <w:proofErr w:type="spellStart"/>
      <w:r>
        <w:t>autoverbalizaciones</w:t>
      </w:r>
      <w:proofErr w:type="spellEnd"/>
      <w:r>
        <w:t xml:space="preserve"> negativas o una baja confianza al momento de exponer, el sujeto puede presentar distintas conductas para mitigar o evitar la ansiedad. Típicamente, las conductas de evitación incluyen acciones en las que el individuo evita las situaciones que le generan temor (</w:t>
      </w:r>
      <w:proofErr w:type="spellStart"/>
      <w:r>
        <w:t>Girondini</w:t>
      </w:r>
      <w:proofErr w:type="spellEnd"/>
      <w:r>
        <w:t xml:space="preserve"> et al., 2023; </w:t>
      </w:r>
      <w:proofErr w:type="spellStart"/>
      <w:r>
        <w:t>Thunnissen</w:t>
      </w:r>
      <w:proofErr w:type="spellEnd"/>
      <w:r>
        <w:t xml:space="preserve"> et al., 2022). Por ejemplo, una persona puede fingir estar resfriada para ausentarse a una presentación en público con el objetivo de evitar el miedo que le produce. Estas conductas mantienen la ansiedad a largo plazo, por lo que resulta relevante intervenir en ellas (</w:t>
      </w:r>
      <w:proofErr w:type="spellStart"/>
      <w:r>
        <w:t>Krypotos</w:t>
      </w:r>
      <w:proofErr w:type="spellEnd"/>
      <w:r>
        <w:t xml:space="preserve"> et al., 2015; Wong et al., 2023).</w:t>
      </w:r>
    </w:p>
    <w:p w14:paraId="725C477F" w14:textId="77777777" w:rsidR="00E75227" w:rsidRDefault="00000000">
      <w:pPr>
        <w:pBdr>
          <w:top w:val="nil"/>
          <w:left w:val="nil"/>
          <w:bottom w:val="nil"/>
          <w:right w:val="nil"/>
          <w:between w:val="nil"/>
        </w:pBdr>
        <w:spacing w:line="360" w:lineRule="auto"/>
        <w:ind w:firstLine="708"/>
        <w:jc w:val="both"/>
      </w:pPr>
      <w:r>
        <w:t>Finalmente, respecto a los síntomas fisiológicos, el miedo al hablar en público conlleva un aumento de la excitación fisiológica antes y durante la exposición a la situación temida (</w:t>
      </w:r>
      <w:proofErr w:type="spellStart"/>
      <w:r>
        <w:t>Girondini</w:t>
      </w:r>
      <w:proofErr w:type="spellEnd"/>
      <w:r>
        <w:t xml:space="preserve"> et al., 2023; Goodman et al., 2017). Esto se puede expresar en un aumento de la frecuencia cardiaca y respiratoria, sudoración, presencia de rubor en cara, cuello y pecho, sensación de falta de aire, vértigos, mareos, temblores, náuseas y/o vómitos (</w:t>
      </w:r>
      <w:proofErr w:type="spellStart"/>
      <w:r>
        <w:t>Bartholomay</w:t>
      </w:r>
      <w:proofErr w:type="spellEnd"/>
      <w:r>
        <w:t xml:space="preserve"> y </w:t>
      </w:r>
      <w:proofErr w:type="spellStart"/>
      <w:r>
        <w:t>Houlihan</w:t>
      </w:r>
      <w:proofErr w:type="spellEnd"/>
      <w:r>
        <w:t>, 2016; Orejudo et al., 2012). El PRCS contiene ítems que apuntan a la presencia de síntomas físicos de ansiedad (</w:t>
      </w:r>
      <w:proofErr w:type="spellStart"/>
      <w:r>
        <w:t>Martinez-Pecino</w:t>
      </w:r>
      <w:proofErr w:type="spellEnd"/>
      <w:r>
        <w:t xml:space="preserve"> y Durán, 2013).</w:t>
      </w:r>
    </w:p>
    <w:p w14:paraId="592FC5B3" w14:textId="77777777" w:rsidR="00E75227" w:rsidRDefault="00000000">
      <w:pPr>
        <w:pBdr>
          <w:top w:val="nil"/>
          <w:left w:val="nil"/>
          <w:bottom w:val="nil"/>
          <w:right w:val="nil"/>
          <w:between w:val="nil"/>
        </w:pBdr>
        <w:spacing w:line="360" w:lineRule="auto"/>
        <w:ind w:firstLine="708"/>
        <w:jc w:val="both"/>
      </w:pPr>
      <w:r>
        <w:t>La terapia cognitivo-conductual (TCC) ha sido un tratamiento efectivo desde hace varias décadas para tratar el TAS (</w:t>
      </w:r>
      <w:proofErr w:type="spellStart"/>
      <w:r>
        <w:t>Reichenberger</w:t>
      </w:r>
      <w:proofErr w:type="spellEnd"/>
      <w:r>
        <w:t xml:space="preserve"> et al., 2017). Un componente central de la TCC es la terapia de exposición. Esta está basada en el paradigma del miedo condicionado, el que ha demostrado ser un modelo válido de los trastornos relacionados con la ansiedad (</w:t>
      </w:r>
      <w:proofErr w:type="spellStart"/>
      <w:r>
        <w:t>Mineka</w:t>
      </w:r>
      <w:proofErr w:type="spellEnd"/>
      <w:r>
        <w:t xml:space="preserve"> y </w:t>
      </w:r>
      <w:proofErr w:type="spellStart"/>
      <w:r>
        <w:t>Zinbarg</w:t>
      </w:r>
      <w:proofErr w:type="spellEnd"/>
      <w:r>
        <w:t xml:space="preserve">, 2006). El miedo condicionado constituye un tipo de aprendizaje asociativo en el que un estímulo que, inicialmente no provoca ninguna respuesta emocional, (estímulo neutro; </w:t>
      </w:r>
      <w:proofErr w:type="spellStart"/>
      <w:r>
        <w:t>e.g</w:t>
      </w:r>
      <w:proofErr w:type="spellEnd"/>
      <w:r>
        <w:t xml:space="preserve">., audiencia) se asocia con un acontecimiento aversivo (estímulo incondicionado o EI; </w:t>
      </w:r>
      <w:proofErr w:type="spellStart"/>
      <w:r>
        <w:t>e.g</w:t>
      </w:r>
      <w:proofErr w:type="spellEnd"/>
      <w:r>
        <w:t xml:space="preserve">., </w:t>
      </w:r>
      <w:r>
        <w:lastRenderedPageBreak/>
        <w:t xml:space="preserve">rechazo social), convirtiéndose en un estímulo condicionado (EC) que predice su aparición, ocasionando una respuesta condicionada (RC) de miedo (Mallea et al., 2019). En el caso de una persona que experimenta ansiedad en situaciones de hablar en público, esto sería producto de las asociaciones negativas como el rechazo social que el sujeto experimentó al haber vivido u observado una situación embarazosa ante otras personas.    </w:t>
      </w:r>
    </w:p>
    <w:p w14:paraId="18C059E4" w14:textId="77777777" w:rsidR="00E75227" w:rsidRDefault="00000000">
      <w:pPr>
        <w:pBdr>
          <w:top w:val="nil"/>
          <w:left w:val="nil"/>
          <w:bottom w:val="nil"/>
          <w:right w:val="nil"/>
          <w:between w:val="nil"/>
        </w:pBdr>
        <w:spacing w:line="360" w:lineRule="auto"/>
        <w:ind w:firstLine="708"/>
        <w:jc w:val="both"/>
      </w:pPr>
      <w:r>
        <w:t>Dentro del paradigma del miedo condicionado, el aprendizaje de extinción modela la terapia de exposición. En este tipo de aprendizaje, el organismo es expuesto a varias presentaciones del EC, sin que se presente el EI. Este procedimiento produce que el miedo al EC disminuya a lo largo de las sesiones al dejar de predecir el evento aversivo (Mallea et al., 2019). La terapia de exposición sigue la misma lógica, esto es, exponer al paciente al estímulo que genera miedo (</w:t>
      </w:r>
      <w:proofErr w:type="spellStart"/>
      <w:r>
        <w:t>e.g</w:t>
      </w:r>
      <w:proofErr w:type="spellEnd"/>
      <w:r>
        <w:t>., una audiencia en una presentación en público) sin que ocurra el evento temido (</w:t>
      </w:r>
      <w:proofErr w:type="spellStart"/>
      <w:r>
        <w:t>e.g</w:t>
      </w:r>
      <w:proofErr w:type="spellEnd"/>
      <w:r>
        <w:t>., burlas), lo que crea un nuevo aprendizaje que es incompatible con el inicial (i.e., la asociación en que el EC es seguido por el EI). ​La exposición se puede realizar a través de la confrontación de estímulos reales (in vivo) o imaginarios (</w:t>
      </w:r>
      <w:proofErr w:type="spellStart"/>
      <w:r>
        <w:t>Chard</w:t>
      </w:r>
      <w:proofErr w:type="spellEnd"/>
      <w:r>
        <w:t xml:space="preserve"> y van </w:t>
      </w:r>
      <w:proofErr w:type="spellStart"/>
      <w:r>
        <w:t>Zalk</w:t>
      </w:r>
      <w:proofErr w:type="spellEnd"/>
      <w:r>
        <w:t>, 2022), ambas con un gran número de investigaciones que respaldan su eficacia (</w:t>
      </w:r>
      <w:proofErr w:type="spellStart"/>
      <w:r>
        <w:t>Chesham</w:t>
      </w:r>
      <w:proofErr w:type="spellEnd"/>
      <w:r>
        <w:t xml:space="preserve"> et al., 2018). </w:t>
      </w:r>
    </w:p>
    <w:p w14:paraId="26454EF4" w14:textId="77777777" w:rsidR="00E75227" w:rsidRDefault="00000000">
      <w:pPr>
        <w:pBdr>
          <w:top w:val="nil"/>
          <w:left w:val="nil"/>
          <w:bottom w:val="nil"/>
          <w:right w:val="nil"/>
          <w:between w:val="nil"/>
        </w:pBdr>
        <w:spacing w:line="360" w:lineRule="auto"/>
        <w:ind w:firstLine="708"/>
        <w:jc w:val="both"/>
      </w:pPr>
      <w:r>
        <w:t>Respecto de la terapia de exposición para el miedo a hablar en público, se ha visto que es poco práctico o inviable realizar ejercicios de exposición in vivo, ya que esto requeriría acceso y control sobre una audiencia real (</w:t>
      </w:r>
      <w:proofErr w:type="spellStart"/>
      <w:r>
        <w:t>Kahlon</w:t>
      </w:r>
      <w:proofErr w:type="spellEnd"/>
      <w:r>
        <w:t xml:space="preserve"> et al., 2019). Por otro lado, para algunos consultantes en general, lograr una imagen tan vívida en la terapia de exposición </w:t>
      </w:r>
      <w:proofErr w:type="spellStart"/>
      <w:r>
        <w:t>imaginal</w:t>
      </w:r>
      <w:proofErr w:type="spellEnd"/>
      <w:r>
        <w:t xml:space="preserve"> podría resultar complicado, debido a la dificultad para generar y mantener la visualización con claridad (</w:t>
      </w:r>
      <w:proofErr w:type="spellStart"/>
      <w:r>
        <w:t>Krijn</w:t>
      </w:r>
      <w:proofErr w:type="spellEnd"/>
      <w:r>
        <w:t xml:space="preserve"> et al., 2004). No obstante, se destaca la tecnología de realidad virtual (RV) como una solución prometedora para aquellos problemas, al crear una audiencia virtual realista que brinda la sensación de estar presente en una situación de hablar en público (</w:t>
      </w:r>
      <w:proofErr w:type="spellStart"/>
      <w:r>
        <w:t>Kahlon</w:t>
      </w:r>
      <w:proofErr w:type="spellEnd"/>
      <w:r>
        <w:t xml:space="preserve"> et al., 2019).</w:t>
      </w:r>
    </w:p>
    <w:p w14:paraId="4BF2B949" w14:textId="77777777" w:rsidR="00E75227" w:rsidRDefault="00000000">
      <w:pPr>
        <w:pBdr>
          <w:top w:val="nil"/>
          <w:left w:val="nil"/>
          <w:bottom w:val="nil"/>
          <w:right w:val="nil"/>
          <w:between w:val="nil"/>
        </w:pBdr>
        <w:spacing w:line="360" w:lineRule="auto"/>
        <w:ind w:firstLine="708"/>
        <w:jc w:val="both"/>
      </w:pPr>
      <w:r>
        <w:t>En la actualidad, la RV se está utilizando para mejorar el tratamiento de la ansiedad (</w:t>
      </w:r>
      <w:proofErr w:type="spellStart"/>
      <w:r>
        <w:t>Boeldt</w:t>
      </w:r>
      <w:proofErr w:type="spellEnd"/>
      <w:r>
        <w:t xml:space="preserve"> et al., 2019). Durante la terapia de exposición de realidad virtual (VRET, por sus siglas en inglés), el consultante se enfrenta a simulaciones generadas por ordenador de situaciones temidas (Anderson et al., 2013). Los avances en RV permiten a los usuarios entrar en un entorno totalmente inmersivo y programable, además de tener interacciones simuladas con humanos virtuales, lo que permite una exposición individualizada, gradual, y controlada que es fácil de aplicar para los terapeutas y puede ser más aceptable para los pacientes que la exposición in vivo o </w:t>
      </w:r>
      <w:proofErr w:type="spellStart"/>
      <w:r>
        <w:t>imaginal</w:t>
      </w:r>
      <w:proofErr w:type="spellEnd"/>
      <w:r>
        <w:t xml:space="preserve"> (Hembree et al., 2003). Debido a estas ventajas, la VRET podría tener el potencial de que las personas busquen un tratamiento con mayor </w:t>
      </w:r>
      <w:proofErr w:type="gramStart"/>
      <w:r>
        <w:t>facilidad  y</w:t>
      </w:r>
      <w:proofErr w:type="gramEnd"/>
      <w:r>
        <w:t xml:space="preserve"> mejorar  el acceso a las terapias psicológicas (Powers y </w:t>
      </w:r>
      <w:proofErr w:type="spellStart"/>
      <w:r>
        <w:t>Emmelkamp</w:t>
      </w:r>
      <w:proofErr w:type="spellEnd"/>
      <w:r>
        <w:t>, 2008; Freeman et al., 2017).</w:t>
      </w:r>
    </w:p>
    <w:p w14:paraId="39BB0CC5" w14:textId="77777777" w:rsidR="00E75227" w:rsidRDefault="00000000">
      <w:pPr>
        <w:pBdr>
          <w:top w:val="nil"/>
          <w:left w:val="nil"/>
          <w:bottom w:val="nil"/>
          <w:right w:val="nil"/>
          <w:between w:val="nil"/>
        </w:pBdr>
        <w:spacing w:line="360" w:lineRule="auto"/>
        <w:ind w:firstLine="708"/>
        <w:jc w:val="both"/>
      </w:pPr>
      <w:r>
        <w:lastRenderedPageBreak/>
        <w:t>La VRET se ha utilizado para el tratamiento de diversas patologías, como el TAS, el trastorno de ansiedad generalizada, el trastorno de estrés postraumático, fobias específicas y el trastorno de pánico (</w:t>
      </w:r>
      <w:proofErr w:type="spellStart"/>
      <w:r>
        <w:t>Boeldt</w:t>
      </w:r>
      <w:proofErr w:type="spellEnd"/>
      <w:r>
        <w:t xml:space="preserve"> et al. 2019). Diversos estudios </w:t>
      </w:r>
      <w:proofErr w:type="gramStart"/>
      <w:r>
        <w:t>han  comprobado</w:t>
      </w:r>
      <w:proofErr w:type="gramEnd"/>
      <w:r>
        <w:t xml:space="preserve"> la eficacia de la VRET para los trastornos de ansiedad (</w:t>
      </w:r>
      <w:proofErr w:type="spellStart"/>
      <w:r>
        <w:t>Chesham</w:t>
      </w:r>
      <w:proofErr w:type="spellEnd"/>
      <w:r>
        <w:t xml:space="preserve"> et al., 2018; </w:t>
      </w:r>
      <w:proofErr w:type="spellStart"/>
      <w:r>
        <w:t>Krijn</w:t>
      </w:r>
      <w:proofErr w:type="spellEnd"/>
      <w:r>
        <w:t xml:space="preserve"> et al., 2004; Reeves et al., 2021), entendidos como un cambio significativo en la salud de los participantes (</w:t>
      </w:r>
      <w:proofErr w:type="spellStart"/>
      <w:r>
        <w:t>Berg</w:t>
      </w:r>
      <w:proofErr w:type="spellEnd"/>
      <w:r>
        <w:t>, 2021). Se ha observado que esta terapia tiene una eficacia comparable con la terapia de exposición in vivo (</w:t>
      </w:r>
      <w:proofErr w:type="spellStart"/>
      <w:r>
        <w:t>Chesham</w:t>
      </w:r>
      <w:proofErr w:type="spellEnd"/>
      <w:r>
        <w:t xml:space="preserve"> et al., 2018; Reeves et al., 2021). Asimismo, </w:t>
      </w:r>
      <w:proofErr w:type="spellStart"/>
      <w:r>
        <w:t>Kahlon</w:t>
      </w:r>
      <w:proofErr w:type="spellEnd"/>
      <w:r>
        <w:t xml:space="preserve"> et al. (2019) encontraron que tanto el tratamiento de una sesión dirigido por un terapeuta como el autoguiado con VRET reducen la ansiedad al hablar en público. </w:t>
      </w:r>
    </w:p>
    <w:p w14:paraId="57E5C6F1" w14:textId="77777777" w:rsidR="00E75227" w:rsidRDefault="00000000">
      <w:pPr>
        <w:pBdr>
          <w:top w:val="nil"/>
          <w:left w:val="nil"/>
          <w:bottom w:val="nil"/>
          <w:right w:val="nil"/>
          <w:between w:val="nil"/>
        </w:pBdr>
        <w:spacing w:line="360" w:lineRule="auto"/>
        <w:ind w:firstLine="708"/>
        <w:jc w:val="both"/>
      </w:pPr>
      <w:r>
        <w:t xml:space="preserve">Sin embargo, pese a la evidencia de eficacia de la VRET, el panorama a nivel </w:t>
      </w:r>
      <w:proofErr w:type="spellStart"/>
      <w:r>
        <w:t>latinoaméricano</w:t>
      </w:r>
      <w:proofErr w:type="spellEnd"/>
      <w:r>
        <w:t xml:space="preserve"> refleja un vacío de conocimiento, investigación e implementación de este tipo de terapias. Santoyo et al. (2021) realizaron una revisión sistemática sobre el uso de realidad virtual para trastornos de miedo o ansiedad, de los cuales solo el 3% corresponden a estudios latinoamericanos. Además, en Chile existe una escasa aplicación y evaluación de la eficacia de intervenciones para trastornos de ansiedad social. Por tanto, el presente estudio responde a la necesidad de desarrollar protocolos con una óptima relación costo beneficio en el contexto latinoamericano. </w:t>
      </w:r>
    </w:p>
    <w:p w14:paraId="250E028A" w14:textId="77777777" w:rsidR="00E75227" w:rsidRDefault="00000000">
      <w:pPr>
        <w:pBdr>
          <w:top w:val="nil"/>
          <w:left w:val="nil"/>
          <w:bottom w:val="nil"/>
          <w:right w:val="nil"/>
          <w:between w:val="nil"/>
        </w:pBdr>
        <w:spacing w:line="360" w:lineRule="auto"/>
        <w:ind w:firstLine="708"/>
        <w:jc w:val="both"/>
      </w:pPr>
      <w:r>
        <w:t>Consecuentemente, el objetivo de la presente investigación fue evaluar la eficacia de un protocolo de terapia de exposición breve con realidad virtual para disminuir el miedo a hablar en público en adultos. Como hipótesis, se esperaba que la realidad virtual fuera una intervención eficaz para el tratamiento del miedo a hablar en público, expresado en la disminución en los síntomas que experimentan las personas al momento de hablar en público. Para esto, se adaptó el protocolo diseñado por Ayala (2022) para el tratamiento del miedo a hablar en público mediante RV, el cual mostró viabilidad en modalidad presencial y remota en estudiantes universitarios.</w:t>
      </w:r>
    </w:p>
    <w:p w14:paraId="25842CB2" w14:textId="77777777" w:rsidR="00E75227" w:rsidRDefault="00E75227">
      <w:pPr>
        <w:pBdr>
          <w:top w:val="nil"/>
          <w:left w:val="nil"/>
          <w:bottom w:val="nil"/>
          <w:right w:val="nil"/>
          <w:between w:val="nil"/>
        </w:pBdr>
        <w:jc w:val="center"/>
        <w:rPr>
          <w:b/>
        </w:rPr>
      </w:pPr>
    </w:p>
    <w:p w14:paraId="5AB363DB" w14:textId="77777777" w:rsidR="00E75227" w:rsidRDefault="00000000">
      <w:pPr>
        <w:pBdr>
          <w:top w:val="nil"/>
          <w:left w:val="nil"/>
          <w:bottom w:val="nil"/>
          <w:right w:val="nil"/>
          <w:between w:val="nil"/>
        </w:pBdr>
        <w:jc w:val="center"/>
        <w:rPr>
          <w:b/>
          <w:color w:val="000000"/>
        </w:rPr>
      </w:pPr>
      <w:r>
        <w:rPr>
          <w:b/>
          <w:color w:val="000000"/>
        </w:rPr>
        <w:t>Método</w:t>
      </w:r>
    </w:p>
    <w:p w14:paraId="2F0AB56E" w14:textId="77777777" w:rsidR="00E75227" w:rsidRDefault="00E75227">
      <w:pPr>
        <w:pBdr>
          <w:top w:val="nil"/>
          <w:left w:val="nil"/>
          <w:bottom w:val="nil"/>
          <w:right w:val="nil"/>
          <w:between w:val="nil"/>
        </w:pBdr>
        <w:jc w:val="center"/>
        <w:rPr>
          <w:b/>
        </w:rPr>
      </w:pPr>
    </w:p>
    <w:p w14:paraId="48DF13E1" w14:textId="77777777" w:rsidR="00E75227" w:rsidRDefault="00000000">
      <w:pPr>
        <w:spacing w:line="360" w:lineRule="auto"/>
        <w:jc w:val="both"/>
        <w:rPr>
          <w:b/>
          <w:i/>
        </w:rPr>
      </w:pPr>
      <w:r>
        <w:rPr>
          <w:b/>
          <w:i/>
        </w:rPr>
        <w:t>Diseño</w:t>
      </w:r>
    </w:p>
    <w:p w14:paraId="310A6D30" w14:textId="77777777" w:rsidR="00E75227" w:rsidRDefault="00000000">
      <w:pPr>
        <w:spacing w:line="360" w:lineRule="auto"/>
        <w:ind w:firstLine="708"/>
        <w:jc w:val="both"/>
      </w:pPr>
      <w:r>
        <w:t xml:space="preserve">Esta investigación consistió en un ensayo controlado aleatorizado de tipo escalonado con dos grupos asignados aleatoriamente a una de dos condiciones, un grupo experimental que recibió tratamiento </w:t>
      </w:r>
      <w:proofErr w:type="gramStart"/>
      <w:r>
        <w:t>de acuerdo al</w:t>
      </w:r>
      <w:proofErr w:type="gramEnd"/>
      <w:r>
        <w:t xml:space="preserve"> protocolo de VRET para el miedo a hablar en público y un grupo control que se encontró en lista de espera.</w:t>
      </w:r>
    </w:p>
    <w:p w14:paraId="780BAB18" w14:textId="77777777" w:rsidR="00E75227" w:rsidRDefault="00000000">
      <w:pPr>
        <w:pBdr>
          <w:top w:val="nil"/>
          <w:left w:val="nil"/>
          <w:bottom w:val="nil"/>
          <w:right w:val="nil"/>
          <w:between w:val="nil"/>
        </w:pBdr>
        <w:spacing w:line="360" w:lineRule="auto"/>
        <w:jc w:val="both"/>
        <w:rPr>
          <w:b/>
          <w:i/>
          <w:color w:val="000000"/>
        </w:rPr>
      </w:pPr>
      <w:r>
        <w:rPr>
          <w:b/>
          <w:i/>
          <w:color w:val="000000"/>
        </w:rPr>
        <w:t>Participantes</w:t>
      </w:r>
    </w:p>
    <w:p w14:paraId="72AF9DB2" w14:textId="77777777" w:rsidR="00E75227" w:rsidRDefault="00000000">
      <w:pPr>
        <w:pBdr>
          <w:top w:val="nil"/>
          <w:left w:val="nil"/>
          <w:bottom w:val="nil"/>
          <w:right w:val="nil"/>
          <w:between w:val="nil"/>
        </w:pBdr>
        <w:spacing w:line="360" w:lineRule="auto"/>
        <w:ind w:firstLine="708"/>
        <w:jc w:val="both"/>
        <w:rPr>
          <w:color w:val="000000"/>
        </w:rPr>
      </w:pPr>
      <w:r>
        <w:rPr>
          <w:color w:val="000000"/>
        </w:rPr>
        <w:lastRenderedPageBreak/>
        <w:t xml:space="preserve">En cuanto a los criterios de inclusión, se consideraron: a) Personas mayores de 18 años que reportaron miedo a hablar en público </w:t>
      </w:r>
      <w:proofErr w:type="gramStart"/>
      <w:r>
        <w:rPr>
          <w:color w:val="000000"/>
        </w:rPr>
        <w:t>de acuerdo al</w:t>
      </w:r>
      <w:proofErr w:type="gramEnd"/>
      <w:r>
        <w:rPr>
          <w:color w:val="000000"/>
        </w:rPr>
        <w:t xml:space="preserve"> PRCS-12 (puntaje igual o mayor a 48 pts.) y b) Personas con disponibilidad de asistir al tratamiento semanalmente por 2 meses.</w:t>
      </w:r>
    </w:p>
    <w:p w14:paraId="564197BF" w14:textId="77777777" w:rsidR="00E75227" w:rsidRDefault="00000000">
      <w:pPr>
        <w:pBdr>
          <w:top w:val="nil"/>
          <w:left w:val="nil"/>
          <w:bottom w:val="nil"/>
          <w:right w:val="nil"/>
          <w:between w:val="nil"/>
        </w:pBdr>
        <w:spacing w:line="360" w:lineRule="auto"/>
        <w:ind w:firstLine="708"/>
        <w:jc w:val="both"/>
        <w:rPr>
          <w:color w:val="000000"/>
        </w:rPr>
      </w:pPr>
      <w:r>
        <w:rPr>
          <w:color w:val="000000"/>
        </w:rPr>
        <w:t xml:space="preserve">Respecto a los criterios de exclusión, </w:t>
      </w:r>
      <w:proofErr w:type="gramStart"/>
      <w:r>
        <w:rPr>
          <w:color w:val="000000"/>
        </w:rPr>
        <w:t>de acuerdo a</w:t>
      </w:r>
      <w:proofErr w:type="gramEnd"/>
      <w:r>
        <w:rPr>
          <w:color w:val="000000"/>
        </w:rPr>
        <w:t xml:space="preserve"> los efectos adversos producidos por los lentes de realidad virtual, se consideró pertinente no involucrar en la participación a personas que presentaran las siguientes condiciones: a) Enfermedades cardiacas; b) Enfermedades respiratorias severas; c) Síndrome vertiginoso d) Esquizofrenia u otros tipos de psicosis activas; e) Epilepsia; f) Discapacidad visual grave o ceguera; g) Sordera; h) Mujeres embarazadas (Amelia Virtual Care, s.f.). Por último, no se consideraron a personas que estuvieran en tratamiento psicológico de cualquier tipo debido a la interferencia que podría haber generado en el estudio. Todo esto fue evaluado mediante una ficha entregada junto al PRCS-12 al momento del reclutamiento.</w:t>
      </w:r>
    </w:p>
    <w:p w14:paraId="2D674B63" w14:textId="77777777" w:rsidR="00E75227" w:rsidRDefault="00000000">
      <w:pPr>
        <w:pBdr>
          <w:top w:val="nil"/>
          <w:left w:val="nil"/>
          <w:bottom w:val="nil"/>
          <w:right w:val="nil"/>
          <w:between w:val="nil"/>
        </w:pBdr>
        <w:spacing w:line="360" w:lineRule="auto"/>
        <w:ind w:firstLine="708"/>
        <w:jc w:val="both"/>
        <w:rPr>
          <w:color w:val="000000"/>
        </w:rPr>
      </w:pPr>
      <w:r>
        <w:rPr>
          <w:color w:val="000000"/>
        </w:rPr>
        <w:t>Se realizó un cálculo muestral a priori con el programa G*</w:t>
      </w:r>
      <w:proofErr w:type="spellStart"/>
      <w:r>
        <w:rPr>
          <w:color w:val="000000"/>
        </w:rPr>
        <w:t>Power</w:t>
      </w:r>
      <w:proofErr w:type="spellEnd"/>
      <w:r>
        <w:rPr>
          <w:color w:val="000000"/>
        </w:rPr>
        <w:t xml:space="preserve"> (Faul et al., 2007), con un tamaño del efecto mediano de 0,30 en f de Cohen, reportado en el artículo de Anderson et al. (2013). El análisis mostró que, con alfa fijado en 0,05, y la potencia fijada en 0,80 se requería una muestra de 18 sujetos. </w:t>
      </w:r>
    </w:p>
    <w:p w14:paraId="6EC3D600" w14:textId="77777777" w:rsidR="00E75227" w:rsidRDefault="00000000">
      <w:pPr>
        <w:pBdr>
          <w:top w:val="nil"/>
          <w:left w:val="nil"/>
          <w:bottom w:val="nil"/>
          <w:right w:val="nil"/>
          <w:between w:val="nil"/>
        </w:pBdr>
        <w:spacing w:line="360" w:lineRule="auto"/>
        <w:ind w:firstLine="708"/>
        <w:jc w:val="both"/>
        <w:rPr>
          <w:color w:val="000000"/>
        </w:rPr>
      </w:pPr>
      <w:r>
        <w:rPr>
          <w:color w:val="000000"/>
        </w:rPr>
        <w:t>Se reclutó a 26 sujetos, divididos en las condiciones experimental y control</w:t>
      </w:r>
      <w:r>
        <w:t>. Se excluyeron los datos de las personas</w:t>
      </w:r>
      <w:r>
        <w:rPr>
          <w:color w:val="000000"/>
        </w:rPr>
        <w:t xml:space="preserve"> que no asistieron o no completaron el tratamiento y/o no respondieron a las mediciones respectivas. Por otro lado, también se excluyó a un sujeto presentó datos atípicos debido a factores de riesgo visualizados en el CORE-OM y la ficha del participante. La muestra final se compuso de 14 participantes (7 para cada </w:t>
      </w:r>
      <w:r>
        <w:t>grupo</w:t>
      </w:r>
      <w:r>
        <w:rPr>
          <w:color w:val="000000"/>
        </w:rPr>
        <w:t>), 9 de sexo femenino (64.29%) y 5 de sexo masculino (35.71%).  Estos se encontraban entre los 19 y los 28 años con una edad media de 22.6 años (DE = 2.31).</w:t>
      </w:r>
    </w:p>
    <w:p w14:paraId="69F5B150" w14:textId="77777777" w:rsidR="00E75227" w:rsidRDefault="00E75227">
      <w:pPr>
        <w:pBdr>
          <w:top w:val="nil"/>
          <w:left w:val="nil"/>
          <w:bottom w:val="nil"/>
          <w:right w:val="nil"/>
          <w:between w:val="nil"/>
        </w:pBdr>
        <w:spacing w:line="360" w:lineRule="auto"/>
        <w:ind w:firstLine="708"/>
        <w:jc w:val="both"/>
      </w:pPr>
    </w:p>
    <w:p w14:paraId="11A038E2" w14:textId="77777777" w:rsidR="00E75227" w:rsidRDefault="00000000">
      <w:pPr>
        <w:pBdr>
          <w:top w:val="nil"/>
          <w:left w:val="nil"/>
          <w:bottom w:val="nil"/>
          <w:right w:val="nil"/>
          <w:between w:val="nil"/>
        </w:pBdr>
        <w:spacing w:line="360" w:lineRule="auto"/>
        <w:jc w:val="both"/>
        <w:rPr>
          <w:b/>
          <w:i/>
          <w:color w:val="000000"/>
        </w:rPr>
      </w:pPr>
      <w:r>
        <w:rPr>
          <w:b/>
          <w:i/>
          <w:color w:val="000000"/>
        </w:rPr>
        <w:t>Materiales</w:t>
      </w:r>
    </w:p>
    <w:p w14:paraId="4AB30261" w14:textId="77777777" w:rsidR="00E75227" w:rsidRDefault="00000000">
      <w:pPr>
        <w:spacing w:line="360" w:lineRule="auto"/>
        <w:jc w:val="both"/>
      </w:pPr>
      <w:r>
        <w:rPr>
          <w:b/>
          <w:i/>
        </w:rPr>
        <w:t>Instrumentos de Realidad Virtual</w:t>
      </w:r>
    </w:p>
    <w:p w14:paraId="506F19A1" w14:textId="77777777" w:rsidR="00E75227" w:rsidRDefault="00000000">
      <w:pPr>
        <w:pBdr>
          <w:top w:val="nil"/>
          <w:left w:val="nil"/>
          <w:bottom w:val="nil"/>
          <w:right w:val="nil"/>
          <w:between w:val="nil"/>
        </w:pBdr>
        <w:spacing w:line="360" w:lineRule="auto"/>
        <w:ind w:firstLine="708"/>
        <w:jc w:val="both"/>
      </w:pPr>
      <w:r>
        <w:rPr>
          <w:color w:val="000000"/>
        </w:rPr>
        <w:t xml:space="preserve">Las sesiones de exposición se realizaron con los lentes de realidad virtual “Pico G2 4K” y el software “Amelia Virtual Care” mediante el cual se accedió a distintos escenarios de exposición al hablar en público. Estos escenarios permiten controlar la aparición de distintos estímulos específicos, tales </w:t>
      </w:r>
      <w:proofErr w:type="gramStart"/>
      <w:r>
        <w:rPr>
          <w:color w:val="000000"/>
        </w:rPr>
        <w:t>como  cantidad</w:t>
      </w:r>
      <w:proofErr w:type="gramEnd"/>
      <w:r>
        <w:rPr>
          <w:color w:val="000000"/>
        </w:rPr>
        <w:t xml:space="preserve"> del público, preguntas y reacciones de este (</w:t>
      </w:r>
      <w:proofErr w:type="spellStart"/>
      <w:r>
        <w:rPr>
          <w:color w:val="000000"/>
        </w:rPr>
        <w:t>e.g</w:t>
      </w:r>
      <w:proofErr w:type="spellEnd"/>
      <w:r>
        <w:rPr>
          <w:color w:val="000000"/>
        </w:rPr>
        <w:t>., bostezos, aplausos, carcajadas), para así exponer al paciente a un entorno más inmersivo. Esto se manipuló a través del software.</w:t>
      </w:r>
    </w:p>
    <w:p w14:paraId="51371FE3" w14:textId="77777777" w:rsidR="00E75227" w:rsidRDefault="00000000">
      <w:pPr>
        <w:spacing w:line="360" w:lineRule="auto"/>
        <w:jc w:val="both"/>
        <w:rPr>
          <w:b/>
          <w:i/>
        </w:rPr>
      </w:pPr>
      <w:r>
        <w:rPr>
          <w:b/>
          <w:i/>
        </w:rPr>
        <w:t>Escalas Psicométricas</w:t>
      </w:r>
    </w:p>
    <w:p w14:paraId="4ACF1E9B" w14:textId="77777777" w:rsidR="00E75227" w:rsidRDefault="00000000">
      <w:pPr>
        <w:spacing w:line="360" w:lineRule="auto"/>
        <w:ind w:firstLine="708"/>
        <w:jc w:val="both"/>
        <w:rPr>
          <w:b/>
          <w:i/>
        </w:rPr>
      </w:pPr>
      <w:r>
        <w:lastRenderedPageBreak/>
        <w:t xml:space="preserve">Para medir el miedo a hablar en público, se utilizaron medidas de </w:t>
      </w:r>
      <w:proofErr w:type="spellStart"/>
      <w:r>
        <w:t>autoreporte</w:t>
      </w:r>
      <w:proofErr w:type="spellEnd"/>
      <w:r>
        <w:t xml:space="preserve"> </w:t>
      </w:r>
      <w:proofErr w:type="gramStart"/>
      <w:r>
        <w:t>de acuerdo a</w:t>
      </w:r>
      <w:proofErr w:type="gramEnd"/>
      <w:r>
        <w:t xml:space="preserve"> las escalas psicométricas que se describen a continuación. Como medidas principales, se registraron la confianza y las </w:t>
      </w:r>
      <w:proofErr w:type="spellStart"/>
      <w:r>
        <w:t>autoverbalizaciones</w:t>
      </w:r>
      <w:proofErr w:type="spellEnd"/>
      <w:r>
        <w:t xml:space="preserve"> al hablar en público. Además, se reportaron medidas secundarias relacionadas a ansiedad y al malestar general.</w:t>
      </w:r>
    </w:p>
    <w:p w14:paraId="06D603AB" w14:textId="77777777" w:rsidR="00E75227" w:rsidRDefault="00000000">
      <w:pPr>
        <w:spacing w:line="360" w:lineRule="auto"/>
        <w:jc w:val="both"/>
        <w:rPr>
          <w:i/>
        </w:rPr>
      </w:pPr>
      <w:r>
        <w:rPr>
          <w:i/>
        </w:rPr>
        <w:t>Cuestionario de Confianza para Hablar en Público (PRCS-12)</w:t>
      </w:r>
    </w:p>
    <w:p w14:paraId="5B57650D" w14:textId="77777777" w:rsidR="00E75227" w:rsidRDefault="00000000">
      <w:pPr>
        <w:spacing w:line="360" w:lineRule="auto"/>
        <w:ind w:firstLine="708"/>
        <w:jc w:val="both"/>
      </w:pPr>
      <w:r>
        <w:t>Se utilizó la versión española de 12 ítems, validada en población universitaria (</w:t>
      </w:r>
      <w:proofErr w:type="spellStart"/>
      <w:r>
        <w:t>Martinez-Pecino</w:t>
      </w:r>
      <w:proofErr w:type="spellEnd"/>
      <w:r>
        <w:t xml:space="preserve"> y Durán, 2013). Este cuestionario mide el grado de confianza con el que se afronta una presentación y el grado de miedo a hablar en público. Este instrumento presenta una excelente consistencia interna (</w:t>
      </w:r>
      <w:proofErr w:type="spellStart"/>
      <w:r>
        <w:t>Martinez-Pecino</w:t>
      </w:r>
      <w:proofErr w:type="spellEnd"/>
      <w:r>
        <w:t xml:space="preserve"> y Durán, 2013) y buena fiabilidad test-</w:t>
      </w:r>
      <w:proofErr w:type="spellStart"/>
      <w:r>
        <w:t>retest</w:t>
      </w:r>
      <w:proofErr w:type="spellEnd"/>
      <w:r>
        <w:t xml:space="preserve"> (Méndez et al., 2004).</w:t>
      </w:r>
    </w:p>
    <w:p w14:paraId="42CC8AD3" w14:textId="77777777" w:rsidR="00E75227" w:rsidRDefault="00000000">
      <w:pPr>
        <w:spacing w:line="360" w:lineRule="auto"/>
        <w:jc w:val="both"/>
        <w:rPr>
          <w:i/>
        </w:rPr>
      </w:pPr>
      <w:r>
        <w:rPr>
          <w:i/>
        </w:rPr>
        <w:t xml:space="preserve">Escala de </w:t>
      </w:r>
      <w:proofErr w:type="spellStart"/>
      <w:r>
        <w:rPr>
          <w:i/>
        </w:rPr>
        <w:t>Autoverbalizaciones</w:t>
      </w:r>
      <w:proofErr w:type="spellEnd"/>
      <w:r>
        <w:rPr>
          <w:i/>
        </w:rPr>
        <w:t xml:space="preserve"> al Hablar en Público (SSPS)</w:t>
      </w:r>
    </w:p>
    <w:p w14:paraId="3BF69818" w14:textId="77777777" w:rsidR="00E75227" w:rsidRDefault="00000000">
      <w:pPr>
        <w:spacing w:line="360" w:lineRule="auto"/>
        <w:ind w:firstLine="708"/>
        <w:jc w:val="both"/>
      </w:pPr>
      <w:r>
        <w:t xml:space="preserve">Se utilizó su versión mexicana (Moral de la Rubia et al., 2016), compuesta por 10 ítems, divididos en dos subescalas, la subescala de </w:t>
      </w:r>
      <w:proofErr w:type="spellStart"/>
      <w:r>
        <w:t>autoverbalizaciones</w:t>
      </w:r>
      <w:proofErr w:type="spellEnd"/>
      <w:r>
        <w:t xml:space="preserve"> positivas y la subescala de </w:t>
      </w:r>
      <w:proofErr w:type="spellStart"/>
      <w:r>
        <w:t>autoverbalizaciones</w:t>
      </w:r>
      <w:proofErr w:type="spellEnd"/>
      <w:r>
        <w:t xml:space="preserve"> negativas. El ítem 8 de esta versión presenta una frase de uso propio en México “la voy a regar”, por lo que se adaptó a una frase utilizada comúnmente en Chile “la voy a embarrar”. La adaptación y validación de la escala en población mexicana tiene una consistencia interna aceptable (Moral de la Rubia et al., 2016; Hofmann y </w:t>
      </w:r>
      <w:proofErr w:type="spellStart"/>
      <w:r>
        <w:t>DiBartolo</w:t>
      </w:r>
      <w:proofErr w:type="spellEnd"/>
      <w:r>
        <w:t>, 2000), y una buena fiabilidad test-</w:t>
      </w:r>
      <w:proofErr w:type="spellStart"/>
      <w:r>
        <w:t>retest</w:t>
      </w:r>
      <w:proofErr w:type="spellEnd"/>
      <w:r>
        <w:t xml:space="preserve"> en ambas subescalas (Hofmann y </w:t>
      </w:r>
      <w:proofErr w:type="spellStart"/>
      <w:r>
        <w:t>DiBartolo</w:t>
      </w:r>
      <w:proofErr w:type="spellEnd"/>
      <w:r>
        <w:t>, 2000).</w:t>
      </w:r>
    </w:p>
    <w:p w14:paraId="7E35A995" w14:textId="77777777" w:rsidR="00E75227" w:rsidRPr="00416B2C" w:rsidRDefault="00000000">
      <w:pPr>
        <w:spacing w:line="360" w:lineRule="auto"/>
        <w:jc w:val="both"/>
        <w:rPr>
          <w:i/>
          <w:lang w:val="en-US"/>
        </w:rPr>
      </w:pPr>
      <w:r w:rsidRPr="00416B2C">
        <w:rPr>
          <w:i/>
          <w:lang w:val="en-US"/>
        </w:rPr>
        <w:t>Clinical Outcomes in Routine Evaluation-Outcome Measure (CORE-OM)</w:t>
      </w:r>
    </w:p>
    <w:p w14:paraId="6BB7A34D" w14:textId="77777777" w:rsidR="00E75227" w:rsidRDefault="00000000">
      <w:pPr>
        <w:spacing w:line="360" w:lineRule="auto"/>
        <w:ind w:firstLine="708"/>
        <w:jc w:val="both"/>
      </w:pPr>
      <w:r>
        <w:t xml:space="preserve">Se utilizó la versión española de </w:t>
      </w:r>
      <w:proofErr w:type="spellStart"/>
      <w:r>
        <w:t>Feixas</w:t>
      </w:r>
      <w:proofErr w:type="spellEnd"/>
      <w:r>
        <w:t xml:space="preserve"> et al. (2012), la cual fue validada en Chile por Errazuriz el </w:t>
      </w:r>
      <w:proofErr w:type="spellStart"/>
      <w:r>
        <w:t>al</w:t>
      </w:r>
      <w:proofErr w:type="spellEnd"/>
      <w:r>
        <w:t>. (2024). Este instrumento está diseñado especialmente para la evaluación del progreso terapéutico de pacientes con problemas y/o patologías diversas, puesto que mide el malestar psicológico. Cuenta con 34 ítems que evalúan una serie de dimensiones tales como el Bienestar subjetivo (W), Problemas/síntomas (P), Funcionamiento general (F) y Riesgo (R). El instrumento cuenta con una medición de significancia clínica, la cual refiere al cambio terapéutico. Posee una buena consistencia interna y fiabilidad test-</w:t>
      </w:r>
      <w:proofErr w:type="spellStart"/>
      <w:r>
        <w:t>retest</w:t>
      </w:r>
      <w:proofErr w:type="spellEnd"/>
      <w:r>
        <w:t>, así como sensibilidad al cambio terapéutico (Errazuriz, et al., 2024).</w:t>
      </w:r>
    </w:p>
    <w:p w14:paraId="7F00A9A5" w14:textId="77777777" w:rsidR="00E75227" w:rsidRDefault="00000000">
      <w:pPr>
        <w:spacing w:line="360" w:lineRule="auto"/>
        <w:jc w:val="both"/>
        <w:rPr>
          <w:i/>
        </w:rPr>
      </w:pPr>
      <w:r>
        <w:rPr>
          <w:i/>
        </w:rPr>
        <w:t>Escala de Ansiedad Social (LSAS)</w:t>
      </w:r>
    </w:p>
    <w:p w14:paraId="577915B4" w14:textId="77777777" w:rsidR="00E75227" w:rsidRDefault="00000000">
      <w:pPr>
        <w:spacing w:line="360" w:lineRule="auto"/>
        <w:ind w:firstLine="708"/>
        <w:jc w:val="both"/>
      </w:pPr>
      <w:r>
        <w:t xml:space="preserve">Se utilizó su versión española (Bobes et al., 1999). Esta escala de 24 ítems está dividida en dos subescalas; una relacionada con ansiedad por actuación y la segunda relacionada a situaciones sociales que frecuentemente son problemáticas para las personas con ansiedad social. Permite evaluar el grado de temor o ansiedad experimentado ante las situaciones y su grado de evitación en cada una de las subescalas. Posee una excelente consistencia interna de </w:t>
      </w:r>
      <w:r>
        <w:lastRenderedPageBreak/>
        <w:t xml:space="preserve">acuerdo con el total de ítems de ansiedad </w:t>
      </w:r>
      <w:proofErr w:type="gramStart"/>
      <w:r>
        <w:t>social  y</w:t>
      </w:r>
      <w:proofErr w:type="gramEnd"/>
      <w:r>
        <w:t xml:space="preserve"> de evitación social y también posee una buena fiabilidad test-</w:t>
      </w:r>
      <w:proofErr w:type="spellStart"/>
      <w:r>
        <w:t>retest</w:t>
      </w:r>
      <w:proofErr w:type="spellEnd"/>
      <w:r>
        <w:t xml:space="preserve"> (Baker et al., 2002).</w:t>
      </w:r>
    </w:p>
    <w:p w14:paraId="5B42707B" w14:textId="77777777" w:rsidR="00E75227" w:rsidRDefault="00000000">
      <w:pPr>
        <w:spacing w:line="360" w:lineRule="auto"/>
        <w:jc w:val="both"/>
        <w:rPr>
          <w:i/>
        </w:rPr>
      </w:pPr>
      <w:r>
        <w:rPr>
          <w:i/>
        </w:rPr>
        <w:t>Escala de Unidades Subjetivas de Malestar (SUDS)</w:t>
      </w:r>
    </w:p>
    <w:p w14:paraId="1EE21393" w14:textId="77777777" w:rsidR="00E75227" w:rsidRDefault="00000000">
      <w:pPr>
        <w:spacing w:line="360" w:lineRule="auto"/>
        <w:ind w:firstLine="708"/>
        <w:jc w:val="both"/>
      </w:pPr>
      <w:r>
        <w:t xml:space="preserve">Esta escala creada por Wolpe (1969), se implementó a través de los lentes de realidad virtual, ya que se encuentra integrada en Amelia Virtual Care. Este instrumento de un ítem de autoinforme reporta la ansiedad experimentada de forma subjetiva. </w:t>
      </w:r>
    </w:p>
    <w:p w14:paraId="6215AFAA" w14:textId="77777777" w:rsidR="00E75227" w:rsidRDefault="00000000">
      <w:pPr>
        <w:pBdr>
          <w:top w:val="nil"/>
          <w:left w:val="nil"/>
          <w:bottom w:val="nil"/>
          <w:right w:val="nil"/>
          <w:between w:val="nil"/>
        </w:pBdr>
        <w:spacing w:line="360" w:lineRule="auto"/>
        <w:jc w:val="both"/>
        <w:rPr>
          <w:b/>
          <w:i/>
          <w:color w:val="000000"/>
        </w:rPr>
      </w:pPr>
      <w:r>
        <w:rPr>
          <w:b/>
          <w:i/>
          <w:color w:val="000000"/>
        </w:rPr>
        <w:t>Procedimientos</w:t>
      </w:r>
    </w:p>
    <w:p w14:paraId="7500EE9C" w14:textId="77777777" w:rsidR="00E75227" w:rsidRDefault="00000000">
      <w:pPr>
        <w:pBdr>
          <w:top w:val="nil"/>
          <w:left w:val="nil"/>
          <w:bottom w:val="nil"/>
          <w:right w:val="nil"/>
          <w:between w:val="nil"/>
        </w:pBdr>
        <w:spacing w:line="360" w:lineRule="auto"/>
        <w:ind w:firstLine="708"/>
        <w:jc w:val="both"/>
        <w:rPr>
          <w:color w:val="000000"/>
        </w:rPr>
      </w:pPr>
      <w:r>
        <w:rPr>
          <w:color w:val="000000"/>
        </w:rPr>
        <w:t xml:space="preserve">Los sujetos se reclutaron mediante una convocatoria abierta y se seleccionaron aquellos que cumplieron los criterios de inclusión. Posterior a esto, firmaron un consentimiento informado antes de iniciar el tratamiento. </w:t>
      </w:r>
    </w:p>
    <w:p w14:paraId="3FCEDF6B" w14:textId="77777777" w:rsidR="00E75227" w:rsidRDefault="00000000">
      <w:pPr>
        <w:pBdr>
          <w:top w:val="nil"/>
          <w:left w:val="nil"/>
          <w:bottom w:val="nil"/>
          <w:right w:val="nil"/>
          <w:between w:val="nil"/>
        </w:pBdr>
        <w:spacing w:line="360" w:lineRule="auto"/>
        <w:ind w:firstLine="708"/>
        <w:jc w:val="both"/>
        <w:rPr>
          <w:color w:val="000000"/>
        </w:rPr>
      </w:pPr>
      <w:r>
        <w:rPr>
          <w:color w:val="000000"/>
        </w:rPr>
        <w:t>Se dividió a los participantes en el grupo control y de tratamiento de manera aleatoria y en ambos se realizaron medidas repetidas. Es decir, mientras el primer grupo recibió tratamiento, el segundo grupo fue sometido a monitoreo a través de las mismas mediciones realizadas al primer grupo. Posteriormente, los participantes del grupo control recibieron el tratamiento.</w:t>
      </w:r>
    </w:p>
    <w:p w14:paraId="7E5DD260" w14:textId="77777777" w:rsidR="00E75227" w:rsidRDefault="00000000">
      <w:pPr>
        <w:pBdr>
          <w:top w:val="nil"/>
          <w:left w:val="nil"/>
          <w:bottom w:val="nil"/>
          <w:right w:val="nil"/>
          <w:between w:val="nil"/>
        </w:pBdr>
        <w:spacing w:line="360" w:lineRule="auto"/>
        <w:ind w:firstLine="708"/>
        <w:jc w:val="both"/>
      </w:pPr>
      <w:r>
        <w:rPr>
          <w:color w:val="000000"/>
        </w:rPr>
        <w:t>El protocolo de tratamiento constó de 7 a 8 sesiones repartidas en 4 módulos (Psicoeducación; Flexibilidad Cognitiva; Exposición y Cierre) con una duración aproximada de una hora por sesión. Estas se llevaron a cabo al interior del Centro de Psicología Aplicada (</w:t>
      </w:r>
      <w:proofErr w:type="spellStart"/>
      <w:r>
        <w:rPr>
          <w:color w:val="000000"/>
        </w:rPr>
        <w:t>CAPs</w:t>
      </w:r>
      <w:proofErr w:type="spellEnd"/>
      <w:r>
        <w:rPr>
          <w:color w:val="000000"/>
        </w:rPr>
        <w:t>) y en la Facultad de Ciencias Sociales de la Universidad de Chile. El protocolo utilizado fue el diseñado por Ayala (2022), el cual fue modificado según las sugerencias que incluyó la autora (</w:t>
      </w:r>
      <w:r>
        <w:t>V</w:t>
      </w:r>
      <w:r>
        <w:rPr>
          <w:color w:val="000000"/>
        </w:rPr>
        <w:t>er Tabla 1). La primera sesión fue de carácter grupal y las siguientes de forma individual.</w:t>
      </w:r>
    </w:p>
    <w:p w14:paraId="705CAA27" w14:textId="77777777" w:rsidR="00E75227" w:rsidRDefault="00E75227">
      <w:pPr>
        <w:pBdr>
          <w:top w:val="nil"/>
          <w:left w:val="nil"/>
          <w:bottom w:val="nil"/>
          <w:right w:val="nil"/>
          <w:between w:val="nil"/>
        </w:pBdr>
        <w:spacing w:line="360" w:lineRule="auto"/>
        <w:ind w:firstLine="708"/>
        <w:jc w:val="both"/>
      </w:pPr>
    </w:p>
    <w:p w14:paraId="2DF88EFC" w14:textId="77777777" w:rsidR="00E75227" w:rsidRDefault="00E75227">
      <w:pPr>
        <w:pBdr>
          <w:top w:val="nil"/>
          <w:left w:val="nil"/>
          <w:bottom w:val="nil"/>
          <w:right w:val="nil"/>
          <w:between w:val="nil"/>
        </w:pBdr>
        <w:spacing w:line="360" w:lineRule="auto"/>
        <w:ind w:firstLine="708"/>
        <w:jc w:val="both"/>
      </w:pPr>
    </w:p>
    <w:p w14:paraId="339213EB" w14:textId="77777777" w:rsidR="00E75227" w:rsidRDefault="00E75227">
      <w:pPr>
        <w:pBdr>
          <w:top w:val="nil"/>
          <w:left w:val="nil"/>
          <w:bottom w:val="nil"/>
          <w:right w:val="nil"/>
          <w:between w:val="nil"/>
        </w:pBdr>
        <w:spacing w:line="360" w:lineRule="auto"/>
        <w:jc w:val="both"/>
      </w:pPr>
    </w:p>
    <w:p w14:paraId="0612E4F5" w14:textId="77777777" w:rsidR="00E75227" w:rsidRDefault="00000000">
      <w:pPr>
        <w:spacing w:after="120"/>
        <w:jc w:val="both"/>
        <w:rPr>
          <w:sz w:val="20"/>
          <w:szCs w:val="20"/>
        </w:rPr>
      </w:pPr>
      <w:r>
        <w:rPr>
          <w:sz w:val="20"/>
          <w:szCs w:val="20"/>
        </w:rPr>
        <w:t>Tabla 1</w:t>
      </w:r>
    </w:p>
    <w:p w14:paraId="1DE64287" w14:textId="77777777" w:rsidR="00E75227" w:rsidRDefault="00000000">
      <w:pPr>
        <w:jc w:val="both"/>
        <w:rPr>
          <w:i/>
          <w:sz w:val="20"/>
          <w:szCs w:val="20"/>
        </w:rPr>
      </w:pPr>
      <w:r>
        <w:rPr>
          <w:i/>
          <w:sz w:val="20"/>
          <w:szCs w:val="20"/>
        </w:rPr>
        <w:t>Protocolo de terapia con realidad virtual para el miedo a hablar en público.</w:t>
      </w:r>
    </w:p>
    <w:p w14:paraId="2592FF60" w14:textId="77777777" w:rsidR="00E75227" w:rsidRDefault="00E75227">
      <w:pPr>
        <w:jc w:val="both"/>
        <w:rPr>
          <w:i/>
          <w:sz w:val="20"/>
          <w:szCs w:val="20"/>
        </w:rPr>
      </w:pPr>
    </w:p>
    <w:sdt>
      <w:sdtPr>
        <w:rPr>
          <w:rFonts w:eastAsia="Times New Roman"/>
          <w:sz w:val="24"/>
          <w:szCs w:val="24"/>
          <w:bdr w:val="none" w:sz="0" w:space="0" w:color="auto"/>
        </w:rPr>
        <w:tag w:val="goog_rdk_0"/>
        <w:id w:val="-1522851253"/>
        <w:lock w:val="contentLocked"/>
      </w:sdtPr>
      <w:sdtContent>
        <w:tbl>
          <w:tblPr>
            <w:tblStyle w:val="a"/>
            <w:tblW w:w="9675"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0"/>
            <w:gridCol w:w="1845"/>
            <w:gridCol w:w="3195"/>
            <w:gridCol w:w="3585"/>
          </w:tblGrid>
          <w:tr w:rsidR="00E75227" w14:paraId="1A5A9A9A" w14:textId="77777777">
            <w:trPr>
              <w:trHeight w:val="469"/>
            </w:trPr>
            <w:tc>
              <w:tcPr>
                <w:tcW w:w="1050" w:type="dxa"/>
                <w:tcBorders>
                  <w:left w:val="single" w:sz="8" w:space="0" w:color="FFFFFF"/>
                  <w:right w:val="single" w:sz="8" w:space="0" w:color="FFFFFF"/>
                </w:tcBorders>
                <w:shd w:val="clear" w:color="auto" w:fill="auto"/>
                <w:tcMar>
                  <w:top w:w="100" w:type="dxa"/>
                  <w:left w:w="100" w:type="dxa"/>
                  <w:bottom w:w="100" w:type="dxa"/>
                  <w:right w:w="100" w:type="dxa"/>
                </w:tcMar>
              </w:tcPr>
              <w:p w14:paraId="135BC08C" w14:textId="77777777" w:rsidR="00E75227" w:rsidRDefault="00000000">
                <w:pPr>
                  <w:widowControl w:val="0"/>
                  <w:jc w:val="center"/>
                </w:pPr>
                <w:r>
                  <w:t>Sesión</w:t>
                </w:r>
              </w:p>
            </w:tc>
            <w:tc>
              <w:tcPr>
                <w:tcW w:w="1845" w:type="dxa"/>
                <w:tcBorders>
                  <w:left w:val="single" w:sz="8" w:space="0" w:color="FFFFFF"/>
                  <w:right w:val="single" w:sz="8" w:space="0" w:color="FFFFFF"/>
                </w:tcBorders>
                <w:shd w:val="clear" w:color="auto" w:fill="auto"/>
                <w:tcMar>
                  <w:top w:w="100" w:type="dxa"/>
                  <w:left w:w="100" w:type="dxa"/>
                  <w:bottom w:w="100" w:type="dxa"/>
                  <w:right w:w="100" w:type="dxa"/>
                </w:tcMar>
              </w:tcPr>
              <w:p w14:paraId="41F676F4" w14:textId="77777777" w:rsidR="00E75227" w:rsidRDefault="00000000">
                <w:pPr>
                  <w:widowControl w:val="0"/>
                  <w:jc w:val="center"/>
                </w:pPr>
                <w:r>
                  <w:t>Módulo</w:t>
                </w:r>
              </w:p>
            </w:tc>
            <w:tc>
              <w:tcPr>
                <w:tcW w:w="3195" w:type="dxa"/>
                <w:tcBorders>
                  <w:left w:val="single" w:sz="8" w:space="0" w:color="FFFFFF"/>
                  <w:right w:val="single" w:sz="8" w:space="0" w:color="FFFFFF"/>
                </w:tcBorders>
                <w:shd w:val="clear" w:color="auto" w:fill="auto"/>
                <w:tcMar>
                  <w:top w:w="100" w:type="dxa"/>
                  <w:left w:w="100" w:type="dxa"/>
                  <w:bottom w:w="100" w:type="dxa"/>
                  <w:right w:w="100" w:type="dxa"/>
                </w:tcMar>
              </w:tcPr>
              <w:p w14:paraId="273E3C0B" w14:textId="77777777" w:rsidR="00E75227" w:rsidRDefault="00000000">
                <w:pPr>
                  <w:widowControl w:val="0"/>
                  <w:jc w:val="center"/>
                </w:pPr>
                <w:r>
                  <w:t>Objetivo</w:t>
                </w:r>
              </w:p>
            </w:tc>
            <w:tc>
              <w:tcPr>
                <w:tcW w:w="3585" w:type="dxa"/>
                <w:tcBorders>
                  <w:left w:val="single" w:sz="8" w:space="0" w:color="FFFFFF"/>
                  <w:right w:val="single" w:sz="8" w:space="0" w:color="FFFFFF"/>
                </w:tcBorders>
                <w:shd w:val="clear" w:color="auto" w:fill="auto"/>
                <w:tcMar>
                  <w:top w:w="100" w:type="dxa"/>
                  <w:left w:w="100" w:type="dxa"/>
                  <w:bottom w:w="100" w:type="dxa"/>
                  <w:right w:w="100" w:type="dxa"/>
                </w:tcMar>
              </w:tcPr>
              <w:p w14:paraId="19923DD4" w14:textId="77777777" w:rsidR="00E75227" w:rsidRDefault="00000000">
                <w:pPr>
                  <w:widowControl w:val="0"/>
                  <w:jc w:val="center"/>
                </w:pPr>
                <w:r>
                  <w:t>Actividad</w:t>
                </w:r>
              </w:p>
            </w:tc>
          </w:tr>
          <w:tr w:rsidR="00E75227" w14:paraId="0EBFF357" w14:textId="77777777">
            <w:tc>
              <w:tcPr>
                <w:tcW w:w="1050" w:type="dxa"/>
                <w:tcBorders>
                  <w:left w:val="single" w:sz="8" w:space="0" w:color="FFFFFF"/>
                  <w:right w:val="single" w:sz="8" w:space="0" w:color="FFFFFF"/>
                </w:tcBorders>
                <w:shd w:val="clear" w:color="auto" w:fill="auto"/>
                <w:tcMar>
                  <w:top w:w="100" w:type="dxa"/>
                  <w:left w:w="100" w:type="dxa"/>
                  <w:bottom w:w="100" w:type="dxa"/>
                  <w:right w:w="100" w:type="dxa"/>
                </w:tcMar>
              </w:tcPr>
              <w:p w14:paraId="20E9BC58" w14:textId="77777777" w:rsidR="00E75227" w:rsidRDefault="00000000">
                <w:pPr>
                  <w:widowControl w:val="0"/>
                  <w:jc w:val="center"/>
                </w:pPr>
                <w:r>
                  <w:t>1</w:t>
                </w:r>
              </w:p>
            </w:tc>
            <w:tc>
              <w:tcPr>
                <w:tcW w:w="1845" w:type="dxa"/>
                <w:tcBorders>
                  <w:left w:val="single" w:sz="8" w:space="0" w:color="FFFFFF"/>
                  <w:right w:val="single" w:sz="8" w:space="0" w:color="FFFFFF"/>
                </w:tcBorders>
                <w:shd w:val="clear" w:color="auto" w:fill="auto"/>
                <w:tcMar>
                  <w:top w:w="100" w:type="dxa"/>
                  <w:left w:w="100" w:type="dxa"/>
                  <w:bottom w:w="100" w:type="dxa"/>
                  <w:right w:w="100" w:type="dxa"/>
                </w:tcMar>
              </w:tcPr>
              <w:p w14:paraId="41EB50DD" w14:textId="77777777" w:rsidR="00E75227" w:rsidRDefault="00000000">
                <w:pPr>
                  <w:widowControl w:val="0"/>
                  <w:jc w:val="center"/>
                </w:pPr>
                <w:r>
                  <w:t xml:space="preserve">Psicoeducación </w:t>
                </w:r>
              </w:p>
            </w:tc>
            <w:tc>
              <w:tcPr>
                <w:tcW w:w="3195" w:type="dxa"/>
                <w:tcBorders>
                  <w:left w:val="single" w:sz="8" w:space="0" w:color="FFFFFF"/>
                  <w:right w:val="single" w:sz="8" w:space="0" w:color="FFFFFF"/>
                </w:tcBorders>
                <w:shd w:val="clear" w:color="auto" w:fill="auto"/>
                <w:tcMar>
                  <w:top w:w="100" w:type="dxa"/>
                  <w:left w:w="100" w:type="dxa"/>
                  <w:bottom w:w="100" w:type="dxa"/>
                  <w:right w:w="100" w:type="dxa"/>
                </w:tcMar>
              </w:tcPr>
              <w:p w14:paraId="7B8A0067" w14:textId="77777777" w:rsidR="00E75227" w:rsidRDefault="00000000">
                <w:pPr>
                  <w:widowControl w:val="0"/>
                </w:pPr>
                <w:r>
                  <w:t>Psicoeducar acerca del miedo al hablar en público, la Terapia Cognitivo Conductual y técnicas para afrontar este miedo.</w:t>
                </w:r>
              </w:p>
            </w:tc>
            <w:tc>
              <w:tcPr>
                <w:tcW w:w="3585" w:type="dxa"/>
                <w:tcBorders>
                  <w:left w:val="single" w:sz="8" w:space="0" w:color="FFFFFF"/>
                  <w:right w:val="single" w:sz="8" w:space="0" w:color="FFFFFF"/>
                </w:tcBorders>
                <w:shd w:val="clear" w:color="auto" w:fill="auto"/>
                <w:tcMar>
                  <w:top w:w="100" w:type="dxa"/>
                  <w:left w:w="100" w:type="dxa"/>
                  <w:bottom w:w="100" w:type="dxa"/>
                  <w:right w:w="100" w:type="dxa"/>
                </w:tcMar>
              </w:tcPr>
              <w:p w14:paraId="783E729D" w14:textId="77777777" w:rsidR="00E75227" w:rsidRDefault="00000000">
                <w:pPr>
                  <w:widowControl w:val="0"/>
                </w:pPr>
                <w:r>
                  <w:t>Taller grupal dividido en grupos de 5 participantes.</w:t>
                </w:r>
              </w:p>
            </w:tc>
          </w:tr>
          <w:tr w:rsidR="00E75227" w14:paraId="3D0A1302" w14:textId="77777777">
            <w:tc>
              <w:tcPr>
                <w:tcW w:w="1050" w:type="dxa"/>
                <w:tcBorders>
                  <w:left w:val="single" w:sz="8" w:space="0" w:color="FFFFFF"/>
                  <w:right w:val="single" w:sz="8" w:space="0" w:color="FFFFFF"/>
                </w:tcBorders>
                <w:shd w:val="clear" w:color="auto" w:fill="auto"/>
                <w:tcMar>
                  <w:top w:w="100" w:type="dxa"/>
                  <w:left w:w="100" w:type="dxa"/>
                  <w:bottom w:w="100" w:type="dxa"/>
                  <w:right w:w="100" w:type="dxa"/>
                </w:tcMar>
              </w:tcPr>
              <w:p w14:paraId="74E6FF48" w14:textId="77777777" w:rsidR="00E75227" w:rsidRDefault="00000000">
                <w:pPr>
                  <w:widowControl w:val="0"/>
                  <w:jc w:val="center"/>
                </w:pPr>
                <w:r>
                  <w:t>2</w:t>
                </w:r>
              </w:p>
            </w:tc>
            <w:tc>
              <w:tcPr>
                <w:tcW w:w="1845" w:type="dxa"/>
                <w:tcBorders>
                  <w:left w:val="single" w:sz="8" w:space="0" w:color="FFFFFF"/>
                  <w:right w:val="single" w:sz="8" w:space="0" w:color="FFFFFF"/>
                </w:tcBorders>
                <w:shd w:val="clear" w:color="auto" w:fill="auto"/>
                <w:tcMar>
                  <w:top w:w="100" w:type="dxa"/>
                  <w:left w:w="100" w:type="dxa"/>
                  <w:bottom w:w="100" w:type="dxa"/>
                  <w:right w:w="100" w:type="dxa"/>
                </w:tcMar>
              </w:tcPr>
              <w:p w14:paraId="5CDC7394" w14:textId="77777777" w:rsidR="00E75227" w:rsidRDefault="00000000">
                <w:pPr>
                  <w:widowControl w:val="0"/>
                  <w:jc w:val="center"/>
                </w:pPr>
                <w:r>
                  <w:t>Flexibilidad Cognitiva</w:t>
                </w:r>
              </w:p>
            </w:tc>
            <w:tc>
              <w:tcPr>
                <w:tcW w:w="3195" w:type="dxa"/>
                <w:tcBorders>
                  <w:left w:val="single" w:sz="8" w:space="0" w:color="FFFFFF"/>
                  <w:right w:val="single" w:sz="8" w:space="0" w:color="FFFFFF"/>
                </w:tcBorders>
                <w:shd w:val="clear" w:color="auto" w:fill="auto"/>
                <w:tcMar>
                  <w:top w:w="100" w:type="dxa"/>
                  <w:left w:w="100" w:type="dxa"/>
                  <w:bottom w:w="100" w:type="dxa"/>
                  <w:right w:w="100" w:type="dxa"/>
                </w:tcMar>
              </w:tcPr>
              <w:p w14:paraId="104AC983" w14:textId="77777777" w:rsidR="00E75227" w:rsidRDefault="00000000">
                <w:pPr>
                  <w:widowControl w:val="0"/>
                </w:pPr>
                <w:r>
                  <w:t xml:space="preserve">Facilitar al participante la capacidad de abordar situaciones que provocan emociones y responder a ellas de </w:t>
                </w:r>
                <w:r>
                  <w:lastRenderedPageBreak/>
                  <w:t xml:space="preserve">forma adaptativa. </w:t>
                </w:r>
              </w:p>
            </w:tc>
            <w:tc>
              <w:tcPr>
                <w:tcW w:w="3585" w:type="dxa"/>
                <w:tcBorders>
                  <w:left w:val="single" w:sz="8" w:space="0" w:color="FFFFFF"/>
                  <w:right w:val="single" w:sz="8" w:space="0" w:color="FFFFFF"/>
                </w:tcBorders>
                <w:shd w:val="clear" w:color="auto" w:fill="auto"/>
                <w:tcMar>
                  <w:top w:w="100" w:type="dxa"/>
                  <w:left w:w="100" w:type="dxa"/>
                  <w:bottom w:w="100" w:type="dxa"/>
                  <w:right w:w="100" w:type="dxa"/>
                </w:tcMar>
              </w:tcPr>
              <w:p w14:paraId="20216AC7" w14:textId="77777777" w:rsidR="00E75227" w:rsidRDefault="00000000">
                <w:pPr>
                  <w:widowControl w:val="0"/>
                </w:pPr>
                <w:r>
                  <w:lastRenderedPageBreak/>
                  <w:t xml:space="preserve">Enfoque cognitivo. Se trabajan algunos registros del Protocolo Unificado para el Tratamiento Transdiagnóstico de los </w:t>
                </w:r>
                <w:r>
                  <w:lastRenderedPageBreak/>
                  <w:t>Trastornos Emocionales (capítulo 4 y 5).</w:t>
                </w:r>
              </w:p>
            </w:tc>
          </w:tr>
          <w:tr w:rsidR="00E75227" w14:paraId="53B6F87A" w14:textId="77777777">
            <w:tc>
              <w:tcPr>
                <w:tcW w:w="1050" w:type="dxa"/>
                <w:tcBorders>
                  <w:left w:val="single" w:sz="8" w:space="0" w:color="FFFFFF"/>
                  <w:right w:val="single" w:sz="8" w:space="0" w:color="FFFFFF"/>
                </w:tcBorders>
                <w:shd w:val="clear" w:color="auto" w:fill="auto"/>
                <w:tcMar>
                  <w:top w:w="100" w:type="dxa"/>
                  <w:left w:w="100" w:type="dxa"/>
                  <w:bottom w:w="100" w:type="dxa"/>
                  <w:right w:w="100" w:type="dxa"/>
                </w:tcMar>
              </w:tcPr>
              <w:p w14:paraId="46880ED7" w14:textId="77777777" w:rsidR="00E75227" w:rsidRDefault="00000000">
                <w:pPr>
                  <w:widowControl w:val="0"/>
                  <w:jc w:val="center"/>
                </w:pPr>
                <w:r>
                  <w:lastRenderedPageBreak/>
                  <w:t>3</w:t>
                </w:r>
              </w:p>
            </w:tc>
            <w:tc>
              <w:tcPr>
                <w:tcW w:w="1845" w:type="dxa"/>
                <w:tcBorders>
                  <w:left w:val="single" w:sz="8" w:space="0" w:color="FFFFFF"/>
                  <w:right w:val="single" w:sz="8" w:space="0" w:color="FFFFFF"/>
                </w:tcBorders>
                <w:shd w:val="clear" w:color="auto" w:fill="auto"/>
                <w:tcMar>
                  <w:top w:w="100" w:type="dxa"/>
                  <w:left w:w="100" w:type="dxa"/>
                  <w:bottom w:w="100" w:type="dxa"/>
                  <w:right w:w="100" w:type="dxa"/>
                </w:tcMar>
              </w:tcPr>
              <w:p w14:paraId="6CAE2326" w14:textId="77777777" w:rsidR="00E75227" w:rsidRDefault="00000000">
                <w:pPr>
                  <w:widowControl w:val="0"/>
                  <w:jc w:val="center"/>
                </w:pPr>
                <w:r>
                  <w:t>Exposición</w:t>
                </w:r>
              </w:p>
            </w:tc>
            <w:tc>
              <w:tcPr>
                <w:tcW w:w="3195" w:type="dxa"/>
                <w:tcBorders>
                  <w:left w:val="single" w:sz="8" w:space="0" w:color="FFFFFF"/>
                  <w:right w:val="single" w:sz="8" w:space="0" w:color="FFFFFF"/>
                </w:tcBorders>
                <w:shd w:val="clear" w:color="auto" w:fill="auto"/>
                <w:tcMar>
                  <w:top w:w="100" w:type="dxa"/>
                  <w:left w:w="100" w:type="dxa"/>
                  <w:bottom w:w="100" w:type="dxa"/>
                  <w:right w:w="100" w:type="dxa"/>
                </w:tcMar>
              </w:tcPr>
              <w:p w14:paraId="6F8748DC" w14:textId="77777777" w:rsidR="00E75227" w:rsidRDefault="00000000">
                <w:pPr>
                  <w:widowControl w:val="0"/>
                </w:pPr>
                <w:r>
                  <w:t>Evaluar cómo reacciona el participante a los lentes VR.</w:t>
                </w:r>
              </w:p>
              <w:p w14:paraId="34031B08" w14:textId="77777777" w:rsidR="00E75227" w:rsidRDefault="00000000">
                <w:pPr>
                  <w:widowControl w:val="0"/>
                </w:pPr>
                <w:r>
                  <w:t xml:space="preserve">Realizar una jerarquía de ansiedad de acuerdo al nivel de malestar en cada escenario. Abordar la evitación del paciente hacia la situación de hablar en público mediante la exposición con VR. </w:t>
                </w:r>
              </w:p>
            </w:tc>
            <w:tc>
              <w:tcPr>
                <w:tcW w:w="3585" w:type="dxa"/>
                <w:tcBorders>
                  <w:left w:val="single" w:sz="8" w:space="0" w:color="FFFFFF"/>
                  <w:right w:val="single" w:sz="8" w:space="0" w:color="FFFFFF"/>
                </w:tcBorders>
                <w:shd w:val="clear" w:color="auto" w:fill="auto"/>
                <w:tcMar>
                  <w:top w:w="100" w:type="dxa"/>
                  <w:left w:w="100" w:type="dxa"/>
                  <w:bottom w:w="100" w:type="dxa"/>
                  <w:right w:w="100" w:type="dxa"/>
                </w:tcMar>
              </w:tcPr>
              <w:p w14:paraId="7630C62A" w14:textId="77777777" w:rsidR="00E75227" w:rsidRDefault="00000000">
                <w:pPr>
                  <w:widowControl w:val="0"/>
                </w:pPr>
                <w:r>
                  <w:t>Probar los lentes de VR y ver cómo reaccionan los participantes. Elaboración de jerarquía de ansiedad de acuerdo a los distintos escenarios.</w:t>
                </w:r>
              </w:p>
              <w:p w14:paraId="482F254E" w14:textId="77777777" w:rsidR="00E75227" w:rsidRDefault="00000000">
                <w:pPr>
                  <w:widowControl w:val="0"/>
                </w:pPr>
                <w:r>
                  <w:t>Exposición al 1er escenario según la jerarquía de ansiedad mediante ejercicios breves (e.g. deletrear, sumar, restar).</w:t>
                </w:r>
              </w:p>
            </w:tc>
          </w:tr>
          <w:tr w:rsidR="00E75227" w14:paraId="356C2109" w14:textId="77777777">
            <w:tc>
              <w:tcPr>
                <w:tcW w:w="1050" w:type="dxa"/>
                <w:tcBorders>
                  <w:left w:val="single" w:sz="8" w:space="0" w:color="FFFFFF"/>
                  <w:right w:val="single" w:sz="8" w:space="0" w:color="FFFFFF"/>
                </w:tcBorders>
                <w:shd w:val="clear" w:color="auto" w:fill="auto"/>
                <w:tcMar>
                  <w:top w:w="100" w:type="dxa"/>
                  <w:left w:w="100" w:type="dxa"/>
                  <w:bottom w:w="100" w:type="dxa"/>
                  <w:right w:w="100" w:type="dxa"/>
                </w:tcMar>
              </w:tcPr>
              <w:p w14:paraId="2D6743AD" w14:textId="77777777" w:rsidR="00E75227" w:rsidRDefault="00000000">
                <w:pPr>
                  <w:widowControl w:val="0"/>
                  <w:jc w:val="center"/>
                </w:pPr>
                <w:r>
                  <w:t>4</w:t>
                </w:r>
              </w:p>
            </w:tc>
            <w:tc>
              <w:tcPr>
                <w:tcW w:w="1845" w:type="dxa"/>
                <w:tcBorders>
                  <w:left w:val="single" w:sz="8" w:space="0" w:color="FFFFFF"/>
                  <w:right w:val="single" w:sz="8" w:space="0" w:color="FFFFFF"/>
                </w:tcBorders>
                <w:shd w:val="clear" w:color="auto" w:fill="auto"/>
                <w:tcMar>
                  <w:top w:w="100" w:type="dxa"/>
                  <w:left w:w="100" w:type="dxa"/>
                  <w:bottom w:w="100" w:type="dxa"/>
                  <w:right w:w="100" w:type="dxa"/>
                </w:tcMar>
              </w:tcPr>
              <w:p w14:paraId="6D9C1824" w14:textId="77777777" w:rsidR="00E75227" w:rsidRDefault="00000000">
                <w:pPr>
                  <w:widowControl w:val="0"/>
                  <w:jc w:val="center"/>
                </w:pPr>
                <w:r>
                  <w:t>Exposición</w:t>
                </w:r>
              </w:p>
            </w:tc>
            <w:tc>
              <w:tcPr>
                <w:tcW w:w="3195" w:type="dxa"/>
                <w:tcBorders>
                  <w:left w:val="single" w:sz="8" w:space="0" w:color="FFFFFF"/>
                  <w:right w:val="single" w:sz="8" w:space="0" w:color="FFFFFF"/>
                </w:tcBorders>
                <w:shd w:val="clear" w:color="auto" w:fill="auto"/>
                <w:tcMar>
                  <w:top w:w="100" w:type="dxa"/>
                  <w:left w:w="100" w:type="dxa"/>
                  <w:bottom w:w="100" w:type="dxa"/>
                  <w:right w:w="100" w:type="dxa"/>
                </w:tcMar>
              </w:tcPr>
              <w:p w14:paraId="1857042F" w14:textId="77777777" w:rsidR="00E75227" w:rsidRDefault="00000000">
                <w:pPr>
                  <w:widowControl w:val="0"/>
                </w:pPr>
                <w:r>
                  <w:t>Abordar la evitación mediante la exposición con VR. Analizar creencias irracionales.</w:t>
                </w:r>
              </w:p>
            </w:tc>
            <w:tc>
              <w:tcPr>
                <w:tcW w:w="3585" w:type="dxa"/>
                <w:tcBorders>
                  <w:left w:val="single" w:sz="8" w:space="0" w:color="FFFFFF"/>
                  <w:right w:val="single" w:sz="8" w:space="0" w:color="FFFFFF"/>
                </w:tcBorders>
                <w:shd w:val="clear" w:color="auto" w:fill="auto"/>
                <w:tcMar>
                  <w:top w:w="100" w:type="dxa"/>
                  <w:left w:w="100" w:type="dxa"/>
                  <w:bottom w:w="100" w:type="dxa"/>
                  <w:right w:w="100" w:type="dxa"/>
                </w:tcMar>
              </w:tcPr>
              <w:p w14:paraId="5D483027" w14:textId="77777777" w:rsidR="00E75227" w:rsidRDefault="00000000">
                <w:pPr>
                  <w:widowControl w:val="0"/>
                </w:pPr>
                <w:r>
                  <w:t>Exposición al 2do y 3er escenario según la jerarquía de ansiedad, mediante actividades cortas de improvisación (descripción personal y temáticas de conocimiento general).  Retroalimentación del tratamiento por parte del terapeuta.</w:t>
                </w:r>
              </w:p>
            </w:tc>
          </w:tr>
          <w:tr w:rsidR="00E75227" w14:paraId="2D9E62F2" w14:textId="77777777">
            <w:tc>
              <w:tcPr>
                <w:tcW w:w="1050" w:type="dxa"/>
                <w:tcBorders>
                  <w:left w:val="single" w:sz="8" w:space="0" w:color="FFFFFF"/>
                  <w:right w:val="single" w:sz="8" w:space="0" w:color="FFFFFF"/>
                </w:tcBorders>
                <w:shd w:val="clear" w:color="auto" w:fill="auto"/>
                <w:tcMar>
                  <w:top w:w="100" w:type="dxa"/>
                  <w:left w:w="100" w:type="dxa"/>
                  <w:bottom w:w="100" w:type="dxa"/>
                  <w:right w:w="100" w:type="dxa"/>
                </w:tcMar>
              </w:tcPr>
              <w:p w14:paraId="103C1A15" w14:textId="77777777" w:rsidR="00E75227" w:rsidRDefault="00000000">
                <w:pPr>
                  <w:widowControl w:val="0"/>
                  <w:jc w:val="center"/>
                </w:pPr>
                <w:r>
                  <w:t>5</w:t>
                </w:r>
              </w:p>
            </w:tc>
            <w:tc>
              <w:tcPr>
                <w:tcW w:w="1845" w:type="dxa"/>
                <w:tcBorders>
                  <w:left w:val="single" w:sz="8" w:space="0" w:color="FFFFFF"/>
                  <w:right w:val="single" w:sz="8" w:space="0" w:color="FFFFFF"/>
                </w:tcBorders>
                <w:shd w:val="clear" w:color="auto" w:fill="auto"/>
                <w:tcMar>
                  <w:top w:w="100" w:type="dxa"/>
                  <w:left w:w="100" w:type="dxa"/>
                  <w:bottom w:w="100" w:type="dxa"/>
                  <w:right w:w="100" w:type="dxa"/>
                </w:tcMar>
              </w:tcPr>
              <w:p w14:paraId="6CC159DD" w14:textId="77777777" w:rsidR="00E75227" w:rsidRDefault="00000000">
                <w:pPr>
                  <w:widowControl w:val="0"/>
                  <w:jc w:val="center"/>
                </w:pPr>
                <w:r>
                  <w:t>Exposición</w:t>
                </w:r>
              </w:p>
            </w:tc>
            <w:tc>
              <w:tcPr>
                <w:tcW w:w="3195" w:type="dxa"/>
                <w:tcBorders>
                  <w:left w:val="single" w:sz="8" w:space="0" w:color="FFFFFF"/>
                  <w:right w:val="single" w:sz="8" w:space="0" w:color="FFFFFF"/>
                </w:tcBorders>
                <w:shd w:val="clear" w:color="auto" w:fill="auto"/>
                <w:tcMar>
                  <w:top w:w="100" w:type="dxa"/>
                  <w:left w:w="100" w:type="dxa"/>
                  <w:bottom w:w="100" w:type="dxa"/>
                  <w:right w:w="100" w:type="dxa"/>
                </w:tcMar>
              </w:tcPr>
              <w:p w14:paraId="50A16301" w14:textId="77777777" w:rsidR="00E75227" w:rsidRDefault="00000000">
                <w:pPr>
                  <w:widowControl w:val="0"/>
                </w:pPr>
                <w:r>
                  <w:t xml:space="preserve">Abordar la evitación mediante la exposición con VR. Analizar creencias irracionales. </w:t>
                </w:r>
              </w:p>
            </w:tc>
            <w:tc>
              <w:tcPr>
                <w:tcW w:w="3585" w:type="dxa"/>
                <w:tcBorders>
                  <w:left w:val="single" w:sz="8" w:space="0" w:color="FFFFFF"/>
                  <w:right w:val="single" w:sz="8" w:space="0" w:color="FFFFFF"/>
                </w:tcBorders>
                <w:shd w:val="clear" w:color="auto" w:fill="auto"/>
                <w:tcMar>
                  <w:top w:w="100" w:type="dxa"/>
                  <w:left w:w="100" w:type="dxa"/>
                  <w:bottom w:w="100" w:type="dxa"/>
                  <w:right w:w="100" w:type="dxa"/>
                </w:tcMar>
              </w:tcPr>
              <w:p w14:paraId="5A5FF09B" w14:textId="77777777" w:rsidR="00E75227" w:rsidRDefault="00000000">
                <w:pPr>
                  <w:widowControl w:val="0"/>
                </w:pPr>
                <w:r>
                  <w:t xml:space="preserve">Exposición al 4to escenario según la jerarquía de ansiedad, mediante una presentación preparada por el participante con preguntas del público virtual al final de esta. Retroalimentación del terapeuta. </w:t>
                </w:r>
              </w:p>
            </w:tc>
          </w:tr>
          <w:tr w:rsidR="00E75227" w14:paraId="01B50F71" w14:textId="77777777">
            <w:tc>
              <w:tcPr>
                <w:tcW w:w="1050" w:type="dxa"/>
                <w:tcBorders>
                  <w:left w:val="single" w:sz="8" w:space="0" w:color="FFFFFF"/>
                  <w:right w:val="single" w:sz="8" w:space="0" w:color="FFFFFF"/>
                </w:tcBorders>
                <w:shd w:val="clear" w:color="auto" w:fill="auto"/>
                <w:tcMar>
                  <w:top w:w="100" w:type="dxa"/>
                  <w:left w:w="100" w:type="dxa"/>
                  <w:bottom w:w="100" w:type="dxa"/>
                  <w:right w:w="100" w:type="dxa"/>
                </w:tcMar>
              </w:tcPr>
              <w:p w14:paraId="3046A253" w14:textId="77777777" w:rsidR="00E75227" w:rsidRDefault="00000000">
                <w:pPr>
                  <w:widowControl w:val="0"/>
                  <w:jc w:val="center"/>
                </w:pPr>
                <w:r>
                  <w:t xml:space="preserve">6 </w:t>
                </w:r>
              </w:p>
            </w:tc>
            <w:tc>
              <w:tcPr>
                <w:tcW w:w="1845" w:type="dxa"/>
                <w:tcBorders>
                  <w:left w:val="single" w:sz="8" w:space="0" w:color="FFFFFF"/>
                  <w:right w:val="single" w:sz="8" w:space="0" w:color="FFFFFF"/>
                </w:tcBorders>
                <w:shd w:val="clear" w:color="auto" w:fill="auto"/>
                <w:tcMar>
                  <w:top w:w="100" w:type="dxa"/>
                  <w:left w:w="100" w:type="dxa"/>
                  <w:bottom w:w="100" w:type="dxa"/>
                  <w:right w:w="100" w:type="dxa"/>
                </w:tcMar>
              </w:tcPr>
              <w:p w14:paraId="20CE1DC6" w14:textId="77777777" w:rsidR="00E75227" w:rsidRDefault="00000000">
                <w:pPr>
                  <w:widowControl w:val="0"/>
                  <w:jc w:val="center"/>
                </w:pPr>
                <w:r>
                  <w:t>Exposición</w:t>
                </w:r>
              </w:p>
            </w:tc>
            <w:tc>
              <w:tcPr>
                <w:tcW w:w="3195" w:type="dxa"/>
                <w:tcBorders>
                  <w:left w:val="single" w:sz="8" w:space="0" w:color="FFFFFF"/>
                  <w:right w:val="single" w:sz="8" w:space="0" w:color="FFFFFF"/>
                </w:tcBorders>
                <w:shd w:val="clear" w:color="auto" w:fill="auto"/>
                <w:tcMar>
                  <w:top w:w="100" w:type="dxa"/>
                  <w:left w:w="100" w:type="dxa"/>
                  <w:bottom w:w="100" w:type="dxa"/>
                  <w:right w:w="100" w:type="dxa"/>
                </w:tcMar>
              </w:tcPr>
              <w:p w14:paraId="1E5903AF" w14:textId="77777777" w:rsidR="00E75227" w:rsidRDefault="00000000">
                <w:pPr>
                  <w:widowControl w:val="0"/>
                </w:pPr>
                <w:r>
                  <w:t>Abordar la evitación mediante la exposición con VR. Analizar creencias irracionales.</w:t>
                </w:r>
              </w:p>
              <w:p w14:paraId="57EF0061" w14:textId="77777777" w:rsidR="00E75227" w:rsidRDefault="00E75227">
                <w:pPr>
                  <w:widowControl w:val="0"/>
                </w:pPr>
              </w:p>
            </w:tc>
            <w:tc>
              <w:tcPr>
                <w:tcW w:w="3585" w:type="dxa"/>
                <w:tcBorders>
                  <w:left w:val="single" w:sz="8" w:space="0" w:color="FFFFFF"/>
                  <w:right w:val="single" w:sz="8" w:space="0" w:color="FFFFFF"/>
                </w:tcBorders>
                <w:shd w:val="clear" w:color="auto" w:fill="auto"/>
                <w:tcMar>
                  <w:top w:w="100" w:type="dxa"/>
                  <w:left w:w="100" w:type="dxa"/>
                  <w:bottom w:w="100" w:type="dxa"/>
                  <w:right w:w="100" w:type="dxa"/>
                </w:tcMar>
              </w:tcPr>
              <w:p w14:paraId="06EE5EBC" w14:textId="77777777" w:rsidR="00E75227" w:rsidRDefault="00000000">
                <w:pPr>
                  <w:widowControl w:val="0"/>
                </w:pPr>
                <w:r>
                  <w:t>Exposición al último escenario según la jerarquía de ansiedad, mediante una presentación preparada de mayor duración con preguntas del público virtual durante la misma.</w:t>
                </w:r>
              </w:p>
            </w:tc>
          </w:tr>
          <w:tr w:rsidR="00E75227" w14:paraId="2D0B5AA1" w14:textId="77777777">
            <w:tc>
              <w:tcPr>
                <w:tcW w:w="1050" w:type="dxa"/>
                <w:tcBorders>
                  <w:left w:val="single" w:sz="8" w:space="0" w:color="FFFFFF"/>
                  <w:right w:val="single" w:sz="8" w:space="0" w:color="FFFFFF"/>
                </w:tcBorders>
                <w:shd w:val="clear" w:color="auto" w:fill="auto"/>
                <w:tcMar>
                  <w:top w:w="100" w:type="dxa"/>
                  <w:left w:w="100" w:type="dxa"/>
                  <w:bottom w:w="100" w:type="dxa"/>
                  <w:right w:w="100" w:type="dxa"/>
                </w:tcMar>
              </w:tcPr>
              <w:p w14:paraId="1A1E1DEC" w14:textId="77777777" w:rsidR="00E75227" w:rsidRDefault="00000000">
                <w:pPr>
                  <w:widowControl w:val="0"/>
                  <w:jc w:val="center"/>
                </w:pPr>
                <w:r>
                  <w:t>7</w:t>
                </w:r>
              </w:p>
            </w:tc>
            <w:tc>
              <w:tcPr>
                <w:tcW w:w="1845" w:type="dxa"/>
                <w:tcBorders>
                  <w:left w:val="single" w:sz="8" w:space="0" w:color="FFFFFF"/>
                  <w:right w:val="single" w:sz="8" w:space="0" w:color="FFFFFF"/>
                </w:tcBorders>
                <w:shd w:val="clear" w:color="auto" w:fill="auto"/>
                <w:tcMar>
                  <w:top w:w="100" w:type="dxa"/>
                  <w:left w:w="100" w:type="dxa"/>
                  <w:bottom w:w="100" w:type="dxa"/>
                  <w:right w:w="100" w:type="dxa"/>
                </w:tcMar>
              </w:tcPr>
              <w:p w14:paraId="106E9F3C" w14:textId="77777777" w:rsidR="00E75227" w:rsidRDefault="00000000">
                <w:pPr>
                  <w:widowControl w:val="0"/>
                  <w:jc w:val="center"/>
                </w:pPr>
                <w:r>
                  <w:t>Exposición</w:t>
                </w:r>
              </w:p>
              <w:p w14:paraId="7EDF89A0" w14:textId="77777777" w:rsidR="00E75227" w:rsidRDefault="00000000">
                <w:pPr>
                  <w:widowControl w:val="0"/>
                  <w:jc w:val="center"/>
                </w:pPr>
                <w:r>
                  <w:t>(opcional)</w:t>
                </w:r>
              </w:p>
            </w:tc>
            <w:tc>
              <w:tcPr>
                <w:tcW w:w="3195" w:type="dxa"/>
                <w:tcBorders>
                  <w:left w:val="single" w:sz="8" w:space="0" w:color="FFFFFF"/>
                  <w:right w:val="single" w:sz="8" w:space="0" w:color="FFFFFF"/>
                </w:tcBorders>
                <w:shd w:val="clear" w:color="auto" w:fill="auto"/>
                <w:tcMar>
                  <w:top w:w="100" w:type="dxa"/>
                  <w:left w:w="100" w:type="dxa"/>
                  <w:bottom w:w="100" w:type="dxa"/>
                  <w:right w:w="100" w:type="dxa"/>
                </w:tcMar>
              </w:tcPr>
              <w:p w14:paraId="60AFAE3E" w14:textId="77777777" w:rsidR="00E75227" w:rsidRDefault="00000000">
                <w:pPr>
                  <w:widowControl w:val="0"/>
                </w:pPr>
                <w:r>
                  <w:t>Abordar la evitación mediante la exposición con VR. Analizar creencias irracionales.</w:t>
                </w:r>
              </w:p>
            </w:tc>
            <w:tc>
              <w:tcPr>
                <w:tcW w:w="3585" w:type="dxa"/>
                <w:tcBorders>
                  <w:left w:val="single" w:sz="8" w:space="0" w:color="FFFFFF"/>
                  <w:right w:val="single" w:sz="8" w:space="0" w:color="FFFFFF"/>
                </w:tcBorders>
                <w:shd w:val="clear" w:color="auto" w:fill="auto"/>
                <w:tcMar>
                  <w:top w:w="100" w:type="dxa"/>
                  <w:left w:w="100" w:type="dxa"/>
                  <w:bottom w:w="100" w:type="dxa"/>
                  <w:right w:w="100" w:type="dxa"/>
                </w:tcMar>
              </w:tcPr>
              <w:p w14:paraId="4EBC68C0" w14:textId="77777777" w:rsidR="00E75227" w:rsidRDefault="00000000">
                <w:pPr>
                  <w:widowControl w:val="0"/>
                </w:pPr>
                <w:r>
                  <w:t xml:space="preserve">Misma actividad de la sesión anterior, para participantes que lo requieran. </w:t>
                </w:r>
              </w:p>
            </w:tc>
          </w:tr>
          <w:tr w:rsidR="00E75227" w14:paraId="438488FC" w14:textId="77777777">
            <w:tc>
              <w:tcPr>
                <w:tcW w:w="1050" w:type="dxa"/>
                <w:tcBorders>
                  <w:left w:val="single" w:sz="8" w:space="0" w:color="FFFFFF"/>
                  <w:right w:val="single" w:sz="8" w:space="0" w:color="FFFFFF"/>
                </w:tcBorders>
                <w:shd w:val="clear" w:color="auto" w:fill="auto"/>
                <w:tcMar>
                  <w:top w:w="100" w:type="dxa"/>
                  <w:left w:w="100" w:type="dxa"/>
                  <w:bottom w:w="100" w:type="dxa"/>
                  <w:right w:w="100" w:type="dxa"/>
                </w:tcMar>
              </w:tcPr>
              <w:p w14:paraId="27A093E7" w14:textId="77777777" w:rsidR="00E75227" w:rsidRDefault="00000000">
                <w:pPr>
                  <w:widowControl w:val="0"/>
                  <w:jc w:val="center"/>
                </w:pPr>
                <w:r>
                  <w:t>8</w:t>
                </w:r>
              </w:p>
            </w:tc>
            <w:tc>
              <w:tcPr>
                <w:tcW w:w="1845" w:type="dxa"/>
                <w:tcBorders>
                  <w:left w:val="single" w:sz="8" w:space="0" w:color="FFFFFF"/>
                  <w:right w:val="single" w:sz="8" w:space="0" w:color="FFFFFF"/>
                </w:tcBorders>
                <w:shd w:val="clear" w:color="auto" w:fill="auto"/>
                <w:tcMar>
                  <w:top w:w="100" w:type="dxa"/>
                  <w:left w:w="100" w:type="dxa"/>
                  <w:bottom w:w="100" w:type="dxa"/>
                  <w:right w:w="100" w:type="dxa"/>
                </w:tcMar>
              </w:tcPr>
              <w:p w14:paraId="5656CE59" w14:textId="77777777" w:rsidR="00E75227" w:rsidRDefault="00000000">
                <w:pPr>
                  <w:widowControl w:val="0"/>
                  <w:jc w:val="center"/>
                </w:pPr>
                <w:r>
                  <w:t>Cierre</w:t>
                </w:r>
              </w:p>
            </w:tc>
            <w:tc>
              <w:tcPr>
                <w:tcW w:w="3195" w:type="dxa"/>
                <w:tcBorders>
                  <w:left w:val="single" w:sz="8" w:space="0" w:color="FFFFFF"/>
                  <w:right w:val="single" w:sz="8" w:space="0" w:color="FFFFFF"/>
                </w:tcBorders>
                <w:shd w:val="clear" w:color="auto" w:fill="auto"/>
                <w:tcMar>
                  <w:top w:w="100" w:type="dxa"/>
                  <w:left w:w="100" w:type="dxa"/>
                  <w:bottom w:w="100" w:type="dxa"/>
                  <w:right w:w="100" w:type="dxa"/>
                </w:tcMar>
              </w:tcPr>
              <w:p w14:paraId="5B370678" w14:textId="77777777" w:rsidR="00E75227" w:rsidRDefault="00000000">
                <w:pPr>
                  <w:widowControl w:val="0"/>
                </w:pPr>
                <w:r>
                  <w:t>Cierre de intervención y prevención de recaídas.</w:t>
                </w:r>
              </w:p>
            </w:tc>
            <w:tc>
              <w:tcPr>
                <w:tcW w:w="3585" w:type="dxa"/>
                <w:tcBorders>
                  <w:left w:val="single" w:sz="8" w:space="0" w:color="FFFFFF"/>
                  <w:right w:val="single" w:sz="8" w:space="0" w:color="FFFFFF"/>
                </w:tcBorders>
                <w:shd w:val="clear" w:color="auto" w:fill="auto"/>
                <w:tcMar>
                  <w:top w:w="100" w:type="dxa"/>
                  <w:left w:w="100" w:type="dxa"/>
                  <w:bottom w:w="100" w:type="dxa"/>
                  <w:right w:w="100" w:type="dxa"/>
                </w:tcMar>
              </w:tcPr>
              <w:p w14:paraId="69001723" w14:textId="77777777" w:rsidR="00E75227" w:rsidRDefault="00000000">
                <w:pPr>
                  <w:widowControl w:val="0"/>
                </w:pPr>
                <w:r>
                  <w:t>Retroalimentación del tratamiento Entrevista cualitativa para el primer escalón.</w:t>
                </w:r>
              </w:p>
            </w:tc>
          </w:tr>
        </w:tbl>
      </w:sdtContent>
    </w:sdt>
    <w:p w14:paraId="4E87FB45" w14:textId="77777777" w:rsidR="00E75227" w:rsidRDefault="00000000">
      <w:pPr>
        <w:spacing w:before="120"/>
        <w:jc w:val="both"/>
        <w:rPr>
          <w:sz w:val="20"/>
          <w:szCs w:val="20"/>
        </w:rPr>
      </w:pPr>
      <w:r>
        <w:rPr>
          <w:i/>
          <w:sz w:val="20"/>
          <w:szCs w:val="20"/>
        </w:rPr>
        <w:t xml:space="preserve">Nota: </w:t>
      </w:r>
      <w:r>
        <w:rPr>
          <w:sz w:val="20"/>
          <w:szCs w:val="20"/>
        </w:rPr>
        <w:t xml:space="preserve">La tabla presentada ofrece un orden cronológico en el desarrollo del protocolo y la planificación de sesiones a lo largo del proyecto. </w:t>
      </w:r>
      <w:r>
        <w:rPr>
          <w:i/>
          <w:sz w:val="20"/>
          <w:szCs w:val="20"/>
        </w:rPr>
        <w:t>Fuente:</w:t>
      </w:r>
      <w:r>
        <w:rPr>
          <w:sz w:val="20"/>
          <w:szCs w:val="20"/>
        </w:rPr>
        <w:t xml:space="preserve"> Elaboración propia.</w:t>
      </w:r>
    </w:p>
    <w:p w14:paraId="51BF6A18" w14:textId="77777777" w:rsidR="00E75227" w:rsidRDefault="00E75227">
      <w:pPr>
        <w:spacing w:before="120"/>
        <w:jc w:val="both"/>
      </w:pPr>
    </w:p>
    <w:p w14:paraId="3756075E" w14:textId="77777777" w:rsidR="00E75227" w:rsidRDefault="00000000">
      <w:pPr>
        <w:spacing w:line="360" w:lineRule="auto"/>
        <w:ind w:firstLine="708"/>
        <w:jc w:val="both"/>
      </w:pPr>
      <w:r>
        <w:t>Para evaluar la eficacia del protocolo, se realizaron las mediciones en 4 etapas, con el fin de evaluar los distintos módulos de la terapia. En la Etapa 1 se evaluó a los sujetos previo al tratamiento, en la Etapa 2 se evaluó luego de los módulos de psicoeducación y flexibilidad cognitiva, en la Etapa 3 se evaluó luego del módulo de exposición y en la Etapa 4 se evaluó a los sujetos post-tratamiento una semana luego del cierre de la intervención. La única medición aplicada de manera distinta fue la Escala de Unidades Subjetivas de Ansiedad (SUDS), la cual se midió en cada sesión de exposición. Esta última se implementó con medidas repetidas intra-sesión cada 2 minutos con el fin de evaluar la variación de la ansiedad durante la sesión.</w:t>
      </w:r>
    </w:p>
    <w:p w14:paraId="7A656328" w14:textId="77777777" w:rsidR="00E75227" w:rsidRDefault="00000000">
      <w:pPr>
        <w:spacing w:line="360" w:lineRule="auto"/>
        <w:ind w:firstLine="708"/>
        <w:jc w:val="both"/>
      </w:pPr>
      <w:r>
        <w:t xml:space="preserve">Cabe mencionar que los procesos fueron llevados a cabo por terapeutas, quienes fueron psicólogos titulados o licenciados que se encontraban cursando o hubieran completado el </w:t>
      </w:r>
      <w:r>
        <w:lastRenderedPageBreak/>
        <w:t xml:space="preserve">Diplomado de Postítulo Formación en Terapia Cognitivo Conductual de la Universidad de Chile. Estos recibieron una capacitación, en la que se </w:t>
      </w:r>
      <w:proofErr w:type="gramStart"/>
      <w:r>
        <w:t>les</w:t>
      </w:r>
      <w:proofErr w:type="gramEnd"/>
      <w:r>
        <w:t xml:space="preserve"> explicó a detalle el protocolo de terapia y seguridad, material terapéutico e instrumentos de RV a utilizar, además de supervisiones cada 2 semanas. Antes de iniciar el proceso, se les solicitó firmar un consentimiento informado. Los investigadores responsables acompañaron todo el proceso, teniendo un rol de </w:t>
      </w:r>
      <w:proofErr w:type="spellStart"/>
      <w:r>
        <w:t>co</w:t>
      </w:r>
      <w:proofErr w:type="spellEnd"/>
      <w:r>
        <w:t xml:space="preserve">-terapeutas durante las sesiones de exposición con realidad virtual. </w:t>
      </w:r>
    </w:p>
    <w:p w14:paraId="1E99F6B6" w14:textId="77777777" w:rsidR="00E75227" w:rsidRDefault="00000000">
      <w:pPr>
        <w:pBdr>
          <w:top w:val="nil"/>
          <w:left w:val="nil"/>
          <w:bottom w:val="nil"/>
          <w:right w:val="nil"/>
          <w:between w:val="nil"/>
        </w:pBdr>
        <w:spacing w:line="360" w:lineRule="auto"/>
        <w:jc w:val="both"/>
        <w:rPr>
          <w:b/>
          <w:i/>
          <w:color w:val="000000"/>
        </w:rPr>
      </w:pPr>
      <w:r>
        <w:rPr>
          <w:b/>
          <w:i/>
          <w:color w:val="000000"/>
        </w:rPr>
        <w:t>Análisis de los datos</w:t>
      </w:r>
    </w:p>
    <w:p w14:paraId="139A5D4A" w14:textId="77777777" w:rsidR="00E75227" w:rsidRDefault="00000000">
      <w:pPr>
        <w:pBdr>
          <w:top w:val="nil"/>
          <w:left w:val="nil"/>
          <w:bottom w:val="nil"/>
          <w:right w:val="nil"/>
          <w:between w:val="nil"/>
        </w:pBdr>
        <w:spacing w:line="360" w:lineRule="auto"/>
        <w:ind w:firstLine="708"/>
        <w:jc w:val="both"/>
        <w:rPr>
          <w:color w:val="000000"/>
        </w:rPr>
      </w:pPr>
      <w:r>
        <w:rPr>
          <w:color w:val="000000"/>
        </w:rPr>
        <w:t xml:space="preserve">Para el análisis de los datos obtenidos, se utilizó la versión 2.3 del software estadístico </w:t>
      </w:r>
      <w:proofErr w:type="spellStart"/>
      <w:r>
        <w:rPr>
          <w:color w:val="000000"/>
        </w:rPr>
        <w:t>Jamovi</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jamovi</w:t>
      </w:r>
      <w:proofErr w:type="spellEnd"/>
      <w:r>
        <w:rPr>
          <w:color w:val="000000"/>
        </w:rPr>
        <w:t xml:space="preserve"> </w:t>
      </w:r>
      <w:proofErr w:type="spellStart"/>
      <w:r>
        <w:rPr>
          <w:color w:val="000000"/>
        </w:rPr>
        <w:t>project</w:t>
      </w:r>
      <w:proofErr w:type="spellEnd"/>
      <w:r>
        <w:rPr>
          <w:color w:val="000000"/>
        </w:rPr>
        <w:t xml:space="preserve">, 2022). Para evaluar la eficacia del protocolo, se realizó un ANOVA mixto de medidas repetidas 4 x 2. El factor </w:t>
      </w:r>
      <w:proofErr w:type="spellStart"/>
      <w:r>
        <w:rPr>
          <w:color w:val="000000"/>
        </w:rPr>
        <w:t>intrasujeto</w:t>
      </w:r>
      <w:proofErr w:type="spellEnd"/>
      <w:r>
        <w:rPr>
          <w:color w:val="000000"/>
        </w:rPr>
        <w:t xml:space="preserve"> correspondió a las 4 etapas de medición y el factor </w:t>
      </w:r>
      <w:proofErr w:type="spellStart"/>
      <w:r>
        <w:rPr>
          <w:color w:val="000000"/>
        </w:rPr>
        <w:t>entresujeto</w:t>
      </w:r>
      <w:proofErr w:type="spellEnd"/>
      <w:r>
        <w:rPr>
          <w:color w:val="000000"/>
        </w:rPr>
        <w:t xml:space="preserve"> corresponde a la condición experimental y la condición control en lista de espera. Se utilizaron los puntajes medios del PRCS-12, el SSPS, LSAS y CORE-OM que se aplicaron previo, durante y posterior al tratamiento. Se realizaron comparaciones </w:t>
      </w:r>
      <w:proofErr w:type="spellStart"/>
      <w:r>
        <w:rPr>
          <w:color w:val="000000"/>
        </w:rPr>
        <w:t>intrasujeto</w:t>
      </w:r>
      <w:proofErr w:type="spellEnd"/>
      <w:r>
        <w:rPr>
          <w:color w:val="000000"/>
        </w:rPr>
        <w:t xml:space="preserve"> y </w:t>
      </w:r>
      <w:proofErr w:type="spellStart"/>
      <w:r>
        <w:rPr>
          <w:color w:val="000000"/>
        </w:rPr>
        <w:t>entresujeto</w:t>
      </w:r>
      <w:proofErr w:type="spellEnd"/>
      <w:r>
        <w:rPr>
          <w:color w:val="000000"/>
        </w:rPr>
        <w:t xml:space="preserve"> de los resultados de cada medición en las escalas PRCS-12 y el SPSS. Consecuentemente, una menor sintomatología se evidencia por una mayor confianza al hablar en público (disminución del puntaje del PRCS-12), mayores </w:t>
      </w:r>
      <w:proofErr w:type="spellStart"/>
      <w:r>
        <w:rPr>
          <w:color w:val="000000"/>
        </w:rPr>
        <w:t>autoverbalizaciones</w:t>
      </w:r>
      <w:proofErr w:type="spellEnd"/>
      <w:r>
        <w:rPr>
          <w:color w:val="000000"/>
        </w:rPr>
        <w:t xml:space="preserve"> positivas (aumento del puntaje de esta subescala del SSPS) y menores </w:t>
      </w:r>
      <w:proofErr w:type="spellStart"/>
      <w:r>
        <w:rPr>
          <w:color w:val="000000"/>
        </w:rPr>
        <w:t>autoverbalizaciones</w:t>
      </w:r>
      <w:proofErr w:type="spellEnd"/>
      <w:r>
        <w:rPr>
          <w:color w:val="000000"/>
        </w:rPr>
        <w:t xml:space="preserve"> negativas (disminución del puntaje de esta subescala del SSPS), además de una disminución de los puntajes en las otras medidas de malestar. </w:t>
      </w:r>
    </w:p>
    <w:p w14:paraId="23F9AA10" w14:textId="77777777" w:rsidR="00E75227" w:rsidRDefault="00000000">
      <w:pPr>
        <w:pBdr>
          <w:top w:val="nil"/>
          <w:left w:val="nil"/>
          <w:bottom w:val="nil"/>
          <w:right w:val="nil"/>
          <w:between w:val="nil"/>
        </w:pBdr>
        <w:spacing w:line="360" w:lineRule="auto"/>
        <w:ind w:firstLine="708"/>
        <w:jc w:val="both"/>
        <w:rPr>
          <w:color w:val="000000"/>
        </w:rPr>
      </w:pPr>
      <w:r>
        <w:rPr>
          <w:color w:val="000000"/>
        </w:rPr>
        <w:t xml:space="preserve">En el caso del CORE-OM, según lo descrito por </w:t>
      </w:r>
      <w:proofErr w:type="spellStart"/>
      <w:r>
        <w:rPr>
          <w:color w:val="000000"/>
        </w:rPr>
        <w:t>Feixas</w:t>
      </w:r>
      <w:proofErr w:type="spellEnd"/>
      <w:r>
        <w:rPr>
          <w:color w:val="000000"/>
        </w:rPr>
        <w:t xml:space="preserve"> et al. (2012), para la puntuación total se calcula el promedio de puntajes de todas sus dimensiones, salvo la dimensión de riesgo. Además, se incluye un análisis de cambio clínico propio del </w:t>
      </w:r>
      <w:proofErr w:type="gramStart"/>
      <w:r>
        <w:rPr>
          <w:color w:val="000000"/>
        </w:rPr>
        <w:t>instrumento ,</w:t>
      </w:r>
      <w:proofErr w:type="gramEnd"/>
      <w:r>
        <w:rPr>
          <w:color w:val="000000"/>
        </w:rPr>
        <w:t xml:space="preserve"> en donde el puntaje de corte para identificar puntuaciones clínicas es 10. Para identificar un cambio clínico fiable, los autores mencionan que debe haber una diferencia de mínimo 5 pts. entre las aplicaciones del cuestionario. Esta significancia se expresa en una disminución del puntaje, de manera que, a menor puntaje, mayor cambio clínico tras el tratamiento realizado.</w:t>
      </w:r>
    </w:p>
    <w:p w14:paraId="3BFDFAE9" w14:textId="77777777" w:rsidR="00E75227" w:rsidRDefault="00000000">
      <w:pPr>
        <w:pBdr>
          <w:top w:val="nil"/>
          <w:left w:val="nil"/>
          <w:bottom w:val="nil"/>
          <w:right w:val="nil"/>
          <w:between w:val="nil"/>
        </w:pBdr>
        <w:spacing w:line="360" w:lineRule="auto"/>
        <w:ind w:firstLine="708"/>
        <w:jc w:val="both"/>
        <w:rPr>
          <w:color w:val="000000"/>
        </w:rPr>
      </w:pPr>
      <w:r>
        <w:rPr>
          <w:color w:val="000000"/>
        </w:rPr>
        <w:t xml:space="preserve">Además, para evaluar SUDS se utilizó un ANOVA </w:t>
      </w:r>
      <w:proofErr w:type="spellStart"/>
      <w:r>
        <w:rPr>
          <w:color w:val="000000"/>
        </w:rPr>
        <w:t>One</w:t>
      </w:r>
      <w:proofErr w:type="spellEnd"/>
      <w:r>
        <w:rPr>
          <w:color w:val="000000"/>
        </w:rPr>
        <w:t xml:space="preserve"> </w:t>
      </w:r>
      <w:proofErr w:type="spellStart"/>
      <w:r>
        <w:rPr>
          <w:color w:val="000000"/>
        </w:rPr>
        <w:t>Way</w:t>
      </w:r>
      <w:proofErr w:type="spellEnd"/>
      <w:r>
        <w:rPr>
          <w:color w:val="000000"/>
        </w:rPr>
        <w:t xml:space="preserve"> de medidas repetidas. El factor </w:t>
      </w:r>
      <w:proofErr w:type="spellStart"/>
      <w:r>
        <w:rPr>
          <w:color w:val="000000"/>
        </w:rPr>
        <w:t>intrasujeto</w:t>
      </w:r>
      <w:proofErr w:type="spellEnd"/>
      <w:r>
        <w:rPr>
          <w:color w:val="000000"/>
        </w:rPr>
        <w:t xml:space="preserve"> fue el puntaje medio </w:t>
      </w:r>
      <w:r>
        <w:t>del grupo</w:t>
      </w:r>
      <w:r>
        <w:rPr>
          <w:color w:val="000000"/>
        </w:rPr>
        <w:t xml:space="preserve"> experimental para cada una de las sesiones de exposición (4). En aquellos participantes que solicitaron una quinta sesión de exposición, se reemplazaron los datos de la cuarta sesión del módulo de </w:t>
      </w:r>
      <w:proofErr w:type="gramStart"/>
      <w:r>
        <w:rPr>
          <w:color w:val="000000"/>
        </w:rPr>
        <w:t>exposición  por</w:t>
      </w:r>
      <w:proofErr w:type="gramEnd"/>
      <w:r>
        <w:rPr>
          <w:color w:val="000000"/>
        </w:rPr>
        <w:t xml:space="preserve"> los datos de esta. Este instrumento se califica desde 1, que indica una ansiedad nula, hasta 10, implicando una ansiedad intolerable, de manera que una baja en los puntajes equivale a una menor ansiedad. </w:t>
      </w:r>
    </w:p>
    <w:p w14:paraId="198F80FB" w14:textId="77777777" w:rsidR="00E75227" w:rsidRDefault="00000000">
      <w:pPr>
        <w:pBdr>
          <w:top w:val="nil"/>
          <w:left w:val="nil"/>
          <w:bottom w:val="nil"/>
          <w:right w:val="nil"/>
          <w:between w:val="nil"/>
        </w:pBdr>
        <w:spacing w:line="360" w:lineRule="auto"/>
        <w:ind w:firstLine="708"/>
        <w:jc w:val="both"/>
      </w:pPr>
      <w:r>
        <w:rPr>
          <w:color w:val="000000"/>
        </w:rPr>
        <w:t xml:space="preserve">Para los efectos principales y las interacciones, se utilizó </w:t>
      </w:r>
      <w:r>
        <w:rPr>
          <w:i/>
          <w:color w:val="000000"/>
        </w:rPr>
        <w:t xml:space="preserve">η²p </w:t>
      </w:r>
      <w:r>
        <w:rPr>
          <w:color w:val="000000"/>
        </w:rPr>
        <w:t xml:space="preserve">(eta cuadrado parcial) para reportar el tamaño del efecto, mientras que el nivel de significancia se fijó en .05. En los casos </w:t>
      </w:r>
      <w:r>
        <w:rPr>
          <w:color w:val="000000"/>
        </w:rPr>
        <w:lastRenderedPageBreak/>
        <w:t>donde no se cumplió el supuesto de esfericidad (</w:t>
      </w:r>
      <w:r>
        <w:rPr>
          <w:i/>
          <w:color w:val="000000"/>
        </w:rPr>
        <w:t>p</w:t>
      </w:r>
      <w:r>
        <w:rPr>
          <w:color w:val="000000"/>
        </w:rPr>
        <w:t xml:space="preserve"> &lt; .05), se aplicaron dos tipos de correcciones: </w:t>
      </w:r>
      <w:proofErr w:type="spellStart"/>
      <w:r>
        <w:rPr>
          <w:color w:val="000000"/>
        </w:rPr>
        <w:t>Greenhouse-Geisser</w:t>
      </w:r>
      <w:proofErr w:type="spellEnd"/>
      <w:r>
        <w:rPr>
          <w:color w:val="000000"/>
        </w:rPr>
        <w:t xml:space="preserve"> (cuando </w:t>
      </w:r>
      <w:r>
        <w:rPr>
          <w:i/>
          <w:color w:val="000000"/>
        </w:rPr>
        <w:t xml:space="preserve">ε </w:t>
      </w:r>
      <w:sdt>
        <w:sdtPr>
          <w:tag w:val="goog_rdk_1"/>
          <w:id w:val="-606187718"/>
        </w:sdtPr>
        <w:sdtContent>
          <w:r>
            <w:rPr>
              <w:rFonts w:ascii="Gungsuh" w:eastAsia="Gungsuh" w:hAnsi="Gungsuh" w:cs="Gungsuh"/>
              <w:color w:val="000000"/>
            </w:rPr>
            <w:t xml:space="preserve">≤ 0.75) o </w:t>
          </w:r>
          <w:proofErr w:type="spellStart"/>
          <w:r>
            <w:rPr>
              <w:rFonts w:ascii="Gungsuh" w:eastAsia="Gungsuh" w:hAnsi="Gungsuh" w:cs="Gungsuh"/>
              <w:color w:val="000000"/>
            </w:rPr>
            <w:t>Huynh-Feldt</w:t>
          </w:r>
          <w:proofErr w:type="spellEnd"/>
          <w:r>
            <w:rPr>
              <w:rFonts w:ascii="Gungsuh" w:eastAsia="Gungsuh" w:hAnsi="Gungsuh" w:cs="Gungsuh"/>
              <w:color w:val="000000"/>
            </w:rPr>
            <w:t xml:space="preserve"> (cuando </w:t>
          </w:r>
        </w:sdtContent>
      </w:sdt>
      <w:r>
        <w:rPr>
          <w:i/>
          <w:color w:val="000000"/>
        </w:rPr>
        <w:t xml:space="preserve">ε </w:t>
      </w:r>
      <w:r>
        <w:rPr>
          <w:color w:val="000000"/>
        </w:rPr>
        <w:t>&gt; 0.75). Además, para los análisis post hoc, cuando se cumplió con el supuesto de esfericidad, se utilizó la corrección de Tukey, mientras que cuando se violó dicho supuesto, se optó por utilizar la corrección de Bonferroni. En adición a esto, se reportó la diferencia de medias (</w:t>
      </w:r>
      <w:r>
        <w:rPr>
          <w:i/>
          <w:color w:val="000000"/>
        </w:rPr>
        <w:t>DM</w:t>
      </w:r>
      <w:r>
        <w:rPr>
          <w:color w:val="000000"/>
        </w:rPr>
        <w:t>) para cada diferencia significativa encontrada.</w:t>
      </w:r>
    </w:p>
    <w:p w14:paraId="3153E9D6" w14:textId="77777777" w:rsidR="00E75227" w:rsidRDefault="00000000">
      <w:pPr>
        <w:pBdr>
          <w:top w:val="nil"/>
          <w:left w:val="nil"/>
          <w:bottom w:val="nil"/>
          <w:right w:val="nil"/>
          <w:between w:val="nil"/>
        </w:pBdr>
        <w:spacing w:line="360" w:lineRule="auto"/>
        <w:jc w:val="both"/>
        <w:rPr>
          <w:b/>
          <w:i/>
          <w:color w:val="000000"/>
        </w:rPr>
      </w:pPr>
      <w:r>
        <w:rPr>
          <w:b/>
          <w:i/>
          <w:color w:val="000000"/>
        </w:rPr>
        <w:t>Consideraciones éticas</w:t>
      </w:r>
    </w:p>
    <w:p w14:paraId="7B3E899C" w14:textId="77777777" w:rsidR="00E75227" w:rsidRDefault="00000000">
      <w:pPr>
        <w:pBdr>
          <w:top w:val="nil"/>
          <w:left w:val="nil"/>
          <w:bottom w:val="nil"/>
          <w:right w:val="nil"/>
          <w:between w:val="nil"/>
        </w:pBdr>
        <w:spacing w:line="360" w:lineRule="auto"/>
        <w:ind w:firstLine="708"/>
        <w:jc w:val="both"/>
        <w:rPr>
          <w:color w:val="000000"/>
        </w:rPr>
      </w:pPr>
      <w:r>
        <w:t>Este proyecto fue aprobado por el Comité de Ética (CEI) de la Facultad de Ciencias Sociales de la Universidad de Chile (</w:t>
      </w:r>
      <w:proofErr w:type="spellStart"/>
      <w:r>
        <w:t>N°</w:t>
      </w:r>
      <w:proofErr w:type="spellEnd"/>
      <w:r>
        <w:t xml:space="preserve"> 26-34/2023).</w:t>
      </w:r>
    </w:p>
    <w:p w14:paraId="293221D4" w14:textId="77777777" w:rsidR="00E75227" w:rsidRDefault="00E75227">
      <w:pPr>
        <w:pBdr>
          <w:top w:val="nil"/>
          <w:left w:val="nil"/>
          <w:bottom w:val="nil"/>
          <w:right w:val="nil"/>
          <w:between w:val="nil"/>
        </w:pBdr>
        <w:jc w:val="center"/>
        <w:rPr>
          <w:b/>
        </w:rPr>
      </w:pPr>
    </w:p>
    <w:p w14:paraId="03489B1C" w14:textId="77777777" w:rsidR="00E75227" w:rsidRDefault="00000000">
      <w:pPr>
        <w:pBdr>
          <w:top w:val="nil"/>
          <w:left w:val="nil"/>
          <w:bottom w:val="nil"/>
          <w:right w:val="nil"/>
          <w:between w:val="nil"/>
        </w:pBdr>
        <w:jc w:val="center"/>
        <w:rPr>
          <w:b/>
          <w:color w:val="000000"/>
        </w:rPr>
      </w:pPr>
      <w:r>
        <w:rPr>
          <w:b/>
          <w:color w:val="000000"/>
        </w:rPr>
        <w:t>Resultados</w:t>
      </w:r>
    </w:p>
    <w:p w14:paraId="13733387" w14:textId="77777777" w:rsidR="00E75227" w:rsidRDefault="00E75227">
      <w:pPr>
        <w:pBdr>
          <w:top w:val="nil"/>
          <w:left w:val="nil"/>
          <w:bottom w:val="nil"/>
          <w:right w:val="nil"/>
          <w:between w:val="nil"/>
        </w:pBdr>
        <w:jc w:val="center"/>
        <w:rPr>
          <w:b/>
        </w:rPr>
      </w:pPr>
    </w:p>
    <w:p w14:paraId="458C77EB" w14:textId="77777777" w:rsidR="00E75227" w:rsidRDefault="00000000">
      <w:pPr>
        <w:pBdr>
          <w:top w:val="nil"/>
          <w:left w:val="nil"/>
          <w:bottom w:val="nil"/>
          <w:right w:val="nil"/>
          <w:between w:val="nil"/>
        </w:pBdr>
        <w:spacing w:line="360" w:lineRule="auto"/>
        <w:jc w:val="both"/>
        <w:rPr>
          <w:b/>
          <w:i/>
        </w:rPr>
      </w:pPr>
      <w:r>
        <w:rPr>
          <w:b/>
          <w:i/>
        </w:rPr>
        <w:t>Cuestionario de Confianza al Hablar en Público (PRCS-12)</w:t>
      </w:r>
    </w:p>
    <w:p w14:paraId="38E153DB" w14:textId="77777777" w:rsidR="00E75227" w:rsidRDefault="00000000">
      <w:pPr>
        <w:pBdr>
          <w:top w:val="nil"/>
          <w:left w:val="nil"/>
          <w:bottom w:val="nil"/>
          <w:right w:val="nil"/>
          <w:between w:val="nil"/>
        </w:pBdr>
        <w:spacing w:line="360" w:lineRule="auto"/>
        <w:ind w:firstLine="708"/>
        <w:jc w:val="both"/>
        <w:rPr>
          <w:i/>
        </w:rPr>
      </w:pPr>
      <w:r>
        <w:t xml:space="preserve">El ANOVA 4 x 2 (Etapa × Condición) para el PRCS-12, se realizó con la corrección de </w:t>
      </w:r>
      <w:proofErr w:type="spellStart"/>
      <w:r>
        <w:t>Greenhouse-Geisser</w:t>
      </w:r>
      <w:proofErr w:type="spellEnd"/>
      <w:r>
        <w:t xml:space="preserve"> (ε = 0.52), revelando que hubo un efecto significativo en Etapa (</w:t>
      </w:r>
      <w:proofErr w:type="gramStart"/>
      <w:r>
        <w:rPr>
          <w:i/>
        </w:rPr>
        <w:t>F</w:t>
      </w:r>
      <w:r>
        <w:t>[</w:t>
      </w:r>
      <w:proofErr w:type="gramEnd"/>
      <w:r>
        <w:t xml:space="preserve">3, 36] = 11.99, </w:t>
      </w:r>
      <w:r>
        <w:rPr>
          <w:i/>
        </w:rPr>
        <w:t>p</w:t>
      </w:r>
      <w:r>
        <w:t xml:space="preserve"> &lt; .001, </w:t>
      </w:r>
      <w:r>
        <w:rPr>
          <w:i/>
        </w:rPr>
        <w:t>η²p</w:t>
      </w:r>
      <w:r>
        <w:t xml:space="preserve"> = 0.50), en Condición (</w:t>
      </w:r>
      <w:r>
        <w:rPr>
          <w:i/>
        </w:rPr>
        <w:t>F</w:t>
      </w:r>
      <w:r>
        <w:t xml:space="preserve">[1, 12] = 24.01, </w:t>
      </w:r>
      <w:r>
        <w:rPr>
          <w:i/>
        </w:rPr>
        <w:t>p</w:t>
      </w:r>
      <w:r>
        <w:t xml:space="preserve"> = &lt; .001, </w:t>
      </w:r>
      <w:r>
        <w:rPr>
          <w:i/>
        </w:rPr>
        <w:t>η²p</w:t>
      </w:r>
      <w:r>
        <w:t xml:space="preserve"> = 0.67) y en la interacción Etapa × Condición (</w:t>
      </w:r>
      <w:r>
        <w:rPr>
          <w:i/>
        </w:rPr>
        <w:t>F</w:t>
      </w:r>
      <w:r>
        <w:t xml:space="preserve">[3, 36] = 11.57, </w:t>
      </w:r>
      <w:r>
        <w:rPr>
          <w:i/>
        </w:rPr>
        <w:t>p</w:t>
      </w:r>
      <w:r>
        <w:t xml:space="preserve"> = .001, </w:t>
      </w:r>
      <w:r>
        <w:rPr>
          <w:i/>
        </w:rPr>
        <w:t>η²p</w:t>
      </w:r>
      <w:r>
        <w:t xml:space="preserve"> = 0.49). Por tanto, estos resultados muestran un aumento de la confianza al hablar en público a lo largo de las etapas en el grupo experimental, más no en el grupo control, expresado en una disminución de los puntajes del PRCS-12 (Ver Figura 1).</w:t>
      </w:r>
    </w:p>
    <w:p w14:paraId="375AB819" w14:textId="77777777" w:rsidR="00E75227" w:rsidRDefault="00E75227">
      <w:pPr>
        <w:spacing w:line="360" w:lineRule="auto"/>
        <w:jc w:val="both"/>
        <w:rPr>
          <w:i/>
        </w:rPr>
      </w:pPr>
    </w:p>
    <w:p w14:paraId="2E55721F" w14:textId="77777777" w:rsidR="00E75227" w:rsidRDefault="00E75227">
      <w:pPr>
        <w:spacing w:line="360" w:lineRule="auto"/>
        <w:jc w:val="both"/>
        <w:rPr>
          <w:i/>
        </w:rPr>
      </w:pPr>
    </w:p>
    <w:p w14:paraId="1F07DD57" w14:textId="77777777" w:rsidR="00E75227" w:rsidRDefault="00E75227">
      <w:pPr>
        <w:spacing w:line="360" w:lineRule="auto"/>
        <w:jc w:val="both"/>
        <w:rPr>
          <w:i/>
        </w:rPr>
      </w:pPr>
    </w:p>
    <w:p w14:paraId="0BC3106D" w14:textId="77777777" w:rsidR="00E75227" w:rsidRDefault="00E75227">
      <w:pPr>
        <w:spacing w:line="360" w:lineRule="auto"/>
        <w:jc w:val="both"/>
        <w:rPr>
          <w:i/>
        </w:rPr>
      </w:pPr>
    </w:p>
    <w:p w14:paraId="5559D374" w14:textId="77777777" w:rsidR="00E75227" w:rsidRDefault="00E75227">
      <w:pPr>
        <w:spacing w:line="360" w:lineRule="auto"/>
        <w:jc w:val="both"/>
        <w:rPr>
          <w:i/>
        </w:rPr>
      </w:pPr>
    </w:p>
    <w:p w14:paraId="7211E945" w14:textId="77777777" w:rsidR="00E75227" w:rsidRDefault="00E75227">
      <w:pPr>
        <w:spacing w:line="360" w:lineRule="auto"/>
        <w:jc w:val="both"/>
        <w:rPr>
          <w:i/>
        </w:rPr>
      </w:pPr>
    </w:p>
    <w:p w14:paraId="342EFDFE" w14:textId="77777777" w:rsidR="00E75227" w:rsidRDefault="00E75227">
      <w:pPr>
        <w:spacing w:line="360" w:lineRule="auto"/>
        <w:jc w:val="both"/>
        <w:rPr>
          <w:i/>
        </w:rPr>
      </w:pPr>
    </w:p>
    <w:p w14:paraId="09D2D1EB" w14:textId="77777777" w:rsidR="00E75227" w:rsidRDefault="00000000">
      <w:pPr>
        <w:spacing w:line="360" w:lineRule="auto"/>
        <w:jc w:val="both"/>
      </w:pPr>
      <w:r>
        <w:rPr>
          <w:i/>
        </w:rPr>
        <w:t>Figura 1</w:t>
      </w:r>
      <w:r>
        <w:t>. Distribución de los puntajes del PRCS-12.</w:t>
      </w:r>
    </w:p>
    <w:p w14:paraId="77CBD346" w14:textId="77777777" w:rsidR="00E75227" w:rsidRDefault="00000000">
      <w:pPr>
        <w:spacing w:before="120" w:line="360" w:lineRule="auto"/>
        <w:rPr>
          <w:rFonts w:ascii="Arial" w:eastAsia="Arial" w:hAnsi="Arial" w:cs="Arial"/>
          <w:b/>
          <w:sz w:val="22"/>
          <w:szCs w:val="22"/>
        </w:rPr>
      </w:pPr>
      <w:r>
        <w:rPr>
          <w:rFonts w:ascii="Arial" w:eastAsia="Arial" w:hAnsi="Arial" w:cs="Arial"/>
          <w:b/>
          <w:noProof/>
          <w:sz w:val="22"/>
          <w:szCs w:val="22"/>
        </w:rPr>
        <w:lastRenderedPageBreak/>
        <w:drawing>
          <wp:inline distT="114300" distB="114300" distL="114300" distR="114300" wp14:anchorId="183C349B" wp14:editId="58BAE1BE">
            <wp:extent cx="4612163" cy="2143237"/>
            <wp:effectExtent l="0" t="0" r="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612163" cy="2143237"/>
                    </a:xfrm>
                    <a:prstGeom prst="rect">
                      <a:avLst/>
                    </a:prstGeom>
                    <a:ln/>
                  </pic:spPr>
                </pic:pic>
              </a:graphicData>
            </a:graphic>
          </wp:inline>
        </w:drawing>
      </w:r>
    </w:p>
    <w:p w14:paraId="61751964" w14:textId="77777777" w:rsidR="00E75227" w:rsidRDefault="00000000">
      <w:pPr>
        <w:jc w:val="both"/>
        <w:rPr>
          <w:sz w:val="20"/>
          <w:szCs w:val="20"/>
        </w:rPr>
      </w:pPr>
      <w:r>
        <w:rPr>
          <w:i/>
          <w:sz w:val="20"/>
          <w:szCs w:val="20"/>
        </w:rPr>
        <w:t xml:space="preserve">Nota: </w:t>
      </w:r>
      <w:r>
        <w:rPr>
          <w:sz w:val="20"/>
          <w:szCs w:val="20"/>
        </w:rPr>
        <w:t xml:space="preserve">Se grafica la media de cada puntaje obtenido en función de cada etapa del tratamiento </w:t>
      </w:r>
      <w:proofErr w:type="gramStart"/>
      <w:r>
        <w:rPr>
          <w:sz w:val="20"/>
          <w:szCs w:val="20"/>
        </w:rPr>
        <w:t>y  se</w:t>
      </w:r>
      <w:proofErr w:type="gramEnd"/>
      <w:r>
        <w:rPr>
          <w:sz w:val="20"/>
          <w:szCs w:val="20"/>
        </w:rPr>
        <w:t xml:space="preserve"> presentan en cada etapa las barras de error estándar de cada grupo. En la distribución de los puntajes del PRCS-12 se observa un aumento de la confianza al hablar en público a lo largo de las etapas en el grupo experimental (●), comparado con el grupo control (□)</w:t>
      </w:r>
      <w:r>
        <w:rPr>
          <w:i/>
          <w:sz w:val="20"/>
          <w:szCs w:val="20"/>
        </w:rPr>
        <w:t xml:space="preserve">. Fuente: </w:t>
      </w:r>
      <w:r>
        <w:rPr>
          <w:sz w:val="20"/>
          <w:szCs w:val="20"/>
        </w:rPr>
        <w:t>elaboración propia.</w:t>
      </w:r>
    </w:p>
    <w:p w14:paraId="645BFFFF" w14:textId="77777777" w:rsidR="00E75227" w:rsidRDefault="00E75227">
      <w:pPr>
        <w:spacing w:line="360" w:lineRule="auto"/>
        <w:jc w:val="both"/>
      </w:pPr>
    </w:p>
    <w:p w14:paraId="3878BE57" w14:textId="77777777" w:rsidR="00E75227" w:rsidRDefault="00000000">
      <w:pPr>
        <w:spacing w:line="360" w:lineRule="auto"/>
        <w:ind w:firstLine="708"/>
        <w:jc w:val="both"/>
      </w:pPr>
      <w:r>
        <w:t>El análisis post hoc realizado con la prueba Bonferroni señaló que, en el grupo experimental, existe una disminución significativa entre la etapa 1 y la etapa 3 (</w:t>
      </w:r>
      <w:r>
        <w:rPr>
          <w:i/>
        </w:rPr>
        <w:t>p</w:t>
      </w:r>
      <w:r>
        <w:t xml:space="preserve"> = .02, </w:t>
      </w:r>
      <w:r>
        <w:rPr>
          <w:i/>
        </w:rPr>
        <w:t xml:space="preserve">DM </w:t>
      </w:r>
      <w:r>
        <w:t>= 18), así como entre la etapa 1 y la etapa 4 (</w:t>
      </w:r>
      <w:r>
        <w:rPr>
          <w:i/>
        </w:rPr>
        <w:t>p</w:t>
      </w:r>
      <w:r>
        <w:t xml:space="preserve"> = .001, </w:t>
      </w:r>
      <w:r>
        <w:rPr>
          <w:i/>
        </w:rPr>
        <w:t xml:space="preserve">DM </w:t>
      </w:r>
      <w:r>
        <w:t>= 20.71). Añadido a esto, se evidenció una disminución significativa entre la etapa 2 y la etapa 3 (</w:t>
      </w:r>
      <w:r>
        <w:rPr>
          <w:i/>
        </w:rPr>
        <w:t>p</w:t>
      </w:r>
      <w:r>
        <w:t xml:space="preserve"> &lt; .05, </w:t>
      </w:r>
      <w:r>
        <w:rPr>
          <w:i/>
        </w:rPr>
        <w:t xml:space="preserve">DM </w:t>
      </w:r>
      <w:r>
        <w:t>= 11.86), y entre la etapa 2 y la etapa 4 (</w:t>
      </w:r>
      <w:r>
        <w:rPr>
          <w:i/>
        </w:rPr>
        <w:t>p</w:t>
      </w:r>
      <w:r>
        <w:t xml:space="preserve"> = .002, </w:t>
      </w:r>
      <w:r>
        <w:rPr>
          <w:i/>
        </w:rPr>
        <w:t>DM</w:t>
      </w:r>
      <w:r>
        <w:t xml:space="preserve"> = 14.57). </w:t>
      </w:r>
    </w:p>
    <w:p w14:paraId="0B2AEE3E" w14:textId="77777777" w:rsidR="00E75227" w:rsidRDefault="00000000">
      <w:pPr>
        <w:spacing w:line="360" w:lineRule="auto"/>
        <w:ind w:firstLine="708"/>
        <w:jc w:val="both"/>
      </w:pPr>
      <w:r>
        <w:t>Por otro lado, en cuanto a las diferencias significativas entre grupos, la prueba Bonferroni arrojó una diferencia significativa entre la etapa 4 del grupo experimental y la etapa 4 del grupo control (</w:t>
      </w:r>
      <w:r>
        <w:rPr>
          <w:i/>
        </w:rPr>
        <w:t>p</w:t>
      </w:r>
      <w:r>
        <w:t xml:space="preserve"> &lt; 0.001, </w:t>
      </w:r>
      <w:r>
        <w:rPr>
          <w:i/>
        </w:rPr>
        <w:t>DM</w:t>
      </w:r>
      <w:r>
        <w:t xml:space="preserve"> = -19.14). Respecto al resto de comparaciones de cada etapa entre grupo, no se encontraron diferencias significativas (</w:t>
      </w:r>
      <w:r>
        <w:rPr>
          <w:i/>
        </w:rPr>
        <w:t>p</w:t>
      </w:r>
      <w:r>
        <w:t xml:space="preserve"> &gt; .05).</w:t>
      </w:r>
    </w:p>
    <w:p w14:paraId="090283D0" w14:textId="77777777" w:rsidR="00E75227" w:rsidRDefault="00000000">
      <w:pPr>
        <w:spacing w:line="360" w:lineRule="auto"/>
        <w:jc w:val="both"/>
        <w:rPr>
          <w:b/>
          <w:i/>
        </w:rPr>
      </w:pPr>
      <w:r>
        <w:rPr>
          <w:b/>
          <w:i/>
        </w:rPr>
        <w:t xml:space="preserve">Escala de </w:t>
      </w:r>
      <w:proofErr w:type="spellStart"/>
      <w:r>
        <w:rPr>
          <w:b/>
          <w:i/>
        </w:rPr>
        <w:t>Autoverbalizaciones</w:t>
      </w:r>
      <w:proofErr w:type="spellEnd"/>
      <w:r>
        <w:rPr>
          <w:b/>
          <w:i/>
        </w:rPr>
        <w:t xml:space="preserve"> al Hablar en Público (SSPS)</w:t>
      </w:r>
    </w:p>
    <w:p w14:paraId="40877A62" w14:textId="77777777" w:rsidR="00E75227" w:rsidRDefault="00000000">
      <w:pPr>
        <w:spacing w:line="360" w:lineRule="auto"/>
        <w:ind w:firstLine="708"/>
        <w:jc w:val="both"/>
      </w:pPr>
      <w:r>
        <w:t xml:space="preserve">Con respecto a la subescala de </w:t>
      </w:r>
      <w:proofErr w:type="spellStart"/>
      <w:r>
        <w:t>autoverbalizaciones</w:t>
      </w:r>
      <w:proofErr w:type="spellEnd"/>
      <w:r>
        <w:t xml:space="preserve"> positivas del SSPS, el ANOVA 4 x 2 (Etapa × Condición) que se realizó con la corrección de </w:t>
      </w:r>
      <w:proofErr w:type="spellStart"/>
      <w:r>
        <w:t>Greenhouse-Geisser</w:t>
      </w:r>
      <w:proofErr w:type="spellEnd"/>
      <w:r>
        <w:t xml:space="preserve"> (</w:t>
      </w:r>
      <w:r>
        <w:rPr>
          <w:i/>
        </w:rPr>
        <w:t>ε</w:t>
      </w:r>
      <w:r>
        <w:t xml:space="preserve"> = 0.52), reveló un efecto principal significativo en Etapa (</w:t>
      </w:r>
      <w:proofErr w:type="gramStart"/>
      <w:r>
        <w:rPr>
          <w:i/>
        </w:rPr>
        <w:t>F</w:t>
      </w:r>
      <w:r>
        <w:t>[</w:t>
      </w:r>
      <w:proofErr w:type="gramEnd"/>
      <w:r>
        <w:t xml:space="preserve">3, 36] = 9.68, </w:t>
      </w:r>
      <w:r>
        <w:rPr>
          <w:i/>
        </w:rPr>
        <w:t xml:space="preserve">p </w:t>
      </w:r>
      <w:r>
        <w:t xml:space="preserve">= .002, </w:t>
      </w:r>
      <w:r>
        <w:rPr>
          <w:i/>
        </w:rPr>
        <w:t>η²p</w:t>
      </w:r>
      <w:r>
        <w:t xml:space="preserve"> = 0.45), pero no en Condición (</w:t>
      </w:r>
      <w:r>
        <w:rPr>
          <w:i/>
        </w:rPr>
        <w:t>F</w:t>
      </w:r>
      <w:r>
        <w:t xml:space="preserve">[1, 12] = 2.63, </w:t>
      </w:r>
      <w:r>
        <w:rPr>
          <w:i/>
        </w:rPr>
        <w:t xml:space="preserve">p </w:t>
      </w:r>
      <w:r>
        <w:t xml:space="preserve">= .13, </w:t>
      </w:r>
      <w:r>
        <w:rPr>
          <w:i/>
        </w:rPr>
        <w:t>η²p</w:t>
      </w:r>
      <w:r>
        <w:t xml:space="preserve"> = 0.18) ni tampoco en la interacción Etapa × Condición (</w:t>
      </w:r>
      <w:r>
        <w:rPr>
          <w:i/>
        </w:rPr>
        <w:t>F</w:t>
      </w:r>
      <w:r>
        <w:t xml:space="preserve">[3, 36] = 3.38 </w:t>
      </w:r>
      <w:r>
        <w:rPr>
          <w:i/>
        </w:rPr>
        <w:t xml:space="preserve">p </w:t>
      </w:r>
      <w:r>
        <w:t xml:space="preserve">= .07, </w:t>
      </w:r>
      <w:r>
        <w:rPr>
          <w:i/>
        </w:rPr>
        <w:t xml:space="preserve">η²p </w:t>
      </w:r>
      <w:r>
        <w:t xml:space="preserve">= 0.22). Estos resultados muestran un aumento de las </w:t>
      </w:r>
      <w:proofErr w:type="spellStart"/>
      <w:r>
        <w:t>autoverbalizaciones</w:t>
      </w:r>
      <w:proofErr w:type="spellEnd"/>
      <w:r>
        <w:t xml:space="preserve"> positivas a través de las etapas, independiente de la condición (Ver Figura 2A).</w:t>
      </w:r>
    </w:p>
    <w:p w14:paraId="286EE7CE" w14:textId="77777777" w:rsidR="00E75227" w:rsidRDefault="00000000">
      <w:pPr>
        <w:spacing w:line="360" w:lineRule="auto"/>
        <w:ind w:firstLine="708"/>
        <w:jc w:val="both"/>
      </w:pPr>
      <w:r>
        <w:t xml:space="preserve">En cuanto a la subescala de </w:t>
      </w:r>
      <w:proofErr w:type="spellStart"/>
      <w:r>
        <w:t>autoverbalizaciones</w:t>
      </w:r>
      <w:proofErr w:type="spellEnd"/>
      <w:r>
        <w:t xml:space="preserve"> negativas del SSPS, el ANOVA 4 x 2 (Etapa × Condición), reveló un efecto principal significativo en Etapa (</w:t>
      </w:r>
      <w:proofErr w:type="gramStart"/>
      <w:r>
        <w:t>F[</w:t>
      </w:r>
      <w:proofErr w:type="gramEnd"/>
      <w:r>
        <w:t>3, 36] = 7.37,</w:t>
      </w:r>
      <w:r>
        <w:rPr>
          <w:i/>
        </w:rPr>
        <w:t xml:space="preserve"> p</w:t>
      </w:r>
      <w:r>
        <w:t xml:space="preserve"> &lt; .001, </w:t>
      </w:r>
      <w:r>
        <w:rPr>
          <w:i/>
        </w:rPr>
        <w:t>η²p</w:t>
      </w:r>
      <w:r>
        <w:t xml:space="preserve"> = 0.38) y en la interacción Etapa × Condición (</w:t>
      </w:r>
      <w:r>
        <w:rPr>
          <w:i/>
        </w:rPr>
        <w:t>F</w:t>
      </w:r>
      <w:r>
        <w:t xml:space="preserve">[3, 36] = 8.35 </w:t>
      </w:r>
      <w:r>
        <w:rPr>
          <w:i/>
        </w:rPr>
        <w:t xml:space="preserve">p </w:t>
      </w:r>
      <w:r>
        <w:t xml:space="preserve">&lt; .001, </w:t>
      </w:r>
      <w:r>
        <w:rPr>
          <w:i/>
        </w:rPr>
        <w:t xml:space="preserve">η²p </w:t>
      </w:r>
      <w:r>
        <w:t>= 0.41); sin embargo, no hubo efecto significativo para Condición (</w:t>
      </w:r>
      <w:r>
        <w:rPr>
          <w:i/>
        </w:rPr>
        <w:t>F</w:t>
      </w:r>
      <w:r>
        <w:t xml:space="preserve">[1, 12] = 0.62, </w:t>
      </w:r>
      <w:r>
        <w:rPr>
          <w:i/>
        </w:rPr>
        <w:t>p</w:t>
      </w:r>
      <w:r>
        <w:t xml:space="preserve"> = .45, </w:t>
      </w:r>
      <w:r>
        <w:rPr>
          <w:i/>
        </w:rPr>
        <w:t>η²p</w:t>
      </w:r>
      <w:r>
        <w:t xml:space="preserve"> = 0.05). Estos resultados muestran una disminución de las </w:t>
      </w:r>
      <w:proofErr w:type="spellStart"/>
      <w:r>
        <w:t>autoverbalizaciones</w:t>
      </w:r>
      <w:proofErr w:type="spellEnd"/>
      <w:r>
        <w:t xml:space="preserve"> negativas a lo largo de </w:t>
      </w:r>
      <w:r>
        <w:lastRenderedPageBreak/>
        <w:t>las etapas en el grupo experimental, en comparación al grupo control, el cual no muestra diferencias entre las etapas (Ver figura 2B).</w:t>
      </w:r>
    </w:p>
    <w:p w14:paraId="41BF9A62" w14:textId="77777777" w:rsidR="00E75227" w:rsidRDefault="00E75227">
      <w:pPr>
        <w:spacing w:line="360" w:lineRule="auto"/>
        <w:ind w:firstLine="708"/>
        <w:jc w:val="both"/>
      </w:pPr>
    </w:p>
    <w:p w14:paraId="6E92858E" w14:textId="77777777" w:rsidR="00E75227" w:rsidRDefault="00000000">
      <w:pPr>
        <w:spacing w:line="360" w:lineRule="auto"/>
        <w:jc w:val="both"/>
      </w:pPr>
      <w:r>
        <w:rPr>
          <w:i/>
        </w:rPr>
        <w:t>Figura 2.</w:t>
      </w:r>
      <w:r>
        <w:t xml:space="preserve"> Distribución de los puntajes del SPSS </w:t>
      </w:r>
      <w:proofErr w:type="gramStart"/>
      <w:r>
        <w:t>de acuerdo a</w:t>
      </w:r>
      <w:proofErr w:type="gramEnd"/>
      <w:r>
        <w:t xml:space="preserve"> la subescala de </w:t>
      </w:r>
      <w:proofErr w:type="spellStart"/>
      <w:r>
        <w:t>autoverbalizaciones</w:t>
      </w:r>
      <w:proofErr w:type="spellEnd"/>
      <w:r>
        <w:t xml:space="preserve"> positivas (2A) y la subescala de </w:t>
      </w:r>
      <w:proofErr w:type="spellStart"/>
      <w:r>
        <w:t>autoverbalizaciones</w:t>
      </w:r>
      <w:proofErr w:type="spellEnd"/>
      <w:r>
        <w:t xml:space="preserve"> negativas (2B)</w:t>
      </w:r>
    </w:p>
    <w:p w14:paraId="061A7E44" w14:textId="77777777" w:rsidR="00E75227" w:rsidRDefault="00000000">
      <w:pPr>
        <w:spacing w:line="360" w:lineRule="auto"/>
        <w:jc w:val="both"/>
      </w:pPr>
      <w:r>
        <w:rPr>
          <w:noProof/>
        </w:rPr>
        <w:drawing>
          <wp:inline distT="114300" distB="114300" distL="114300" distR="114300" wp14:anchorId="14732226" wp14:editId="1FF1C367">
            <wp:extent cx="5760000" cy="2336800"/>
            <wp:effectExtent l="0" t="0" r="0" b="0"/>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760000" cy="2336800"/>
                    </a:xfrm>
                    <a:prstGeom prst="rect">
                      <a:avLst/>
                    </a:prstGeom>
                    <a:ln/>
                  </pic:spPr>
                </pic:pic>
              </a:graphicData>
            </a:graphic>
          </wp:inline>
        </w:drawing>
      </w:r>
    </w:p>
    <w:p w14:paraId="416ABCE9" w14:textId="77777777" w:rsidR="00E75227" w:rsidRDefault="00000000">
      <w:pPr>
        <w:jc w:val="both"/>
        <w:rPr>
          <w:sz w:val="20"/>
          <w:szCs w:val="20"/>
        </w:rPr>
      </w:pPr>
      <w:r>
        <w:rPr>
          <w:i/>
          <w:sz w:val="20"/>
          <w:szCs w:val="20"/>
        </w:rPr>
        <w:t xml:space="preserve">Nota: </w:t>
      </w:r>
      <w:r>
        <w:rPr>
          <w:sz w:val="20"/>
          <w:szCs w:val="20"/>
        </w:rPr>
        <w:t xml:space="preserve">Se grafica la media de cada puntaje obtenido en función de cada etapa del tratamiento y se presentan en cada etapa las barras de error estándar de cada condición. En la Figura 2A se presenta la distribución de los puntajes de las </w:t>
      </w:r>
      <w:proofErr w:type="spellStart"/>
      <w:r>
        <w:rPr>
          <w:sz w:val="20"/>
          <w:szCs w:val="20"/>
        </w:rPr>
        <w:t>autoverbalizaciones</w:t>
      </w:r>
      <w:proofErr w:type="spellEnd"/>
      <w:r>
        <w:rPr>
          <w:sz w:val="20"/>
          <w:szCs w:val="20"/>
        </w:rPr>
        <w:t xml:space="preserve"> positivas, en la que se puede observar que en el grupo experimental (●) hay un leve incremento a lo largo de las etapas, mientras que en el grupo control (□) se observa un aumento menor. En la Figura 2B se puede observar que la distribución de los puntajes de las </w:t>
      </w:r>
      <w:proofErr w:type="spellStart"/>
      <w:r>
        <w:rPr>
          <w:sz w:val="20"/>
          <w:szCs w:val="20"/>
        </w:rPr>
        <w:t>autoverbalizaciones</w:t>
      </w:r>
      <w:proofErr w:type="spellEnd"/>
      <w:r>
        <w:rPr>
          <w:sz w:val="20"/>
          <w:szCs w:val="20"/>
        </w:rPr>
        <w:t xml:space="preserve"> negativas, en la etapa 1, el grupo experimental (●) muestra una media de puntajes mayor que el grupo control (□). Posteriormente, los sujetos del grupo experimental disminuyeron sus puntajes, llegando a ser menor a la de los sujetos del grupo control, el cual tendió a mantenerse a lo largo de las etapas. </w:t>
      </w:r>
      <w:r>
        <w:rPr>
          <w:i/>
          <w:sz w:val="20"/>
          <w:szCs w:val="20"/>
        </w:rPr>
        <w:t xml:space="preserve">Fuente: </w:t>
      </w:r>
      <w:r>
        <w:rPr>
          <w:sz w:val="20"/>
          <w:szCs w:val="20"/>
        </w:rPr>
        <w:t>elaboración propia.</w:t>
      </w:r>
    </w:p>
    <w:p w14:paraId="36DE180D" w14:textId="77777777" w:rsidR="00E75227" w:rsidRDefault="00E75227">
      <w:pPr>
        <w:spacing w:line="360" w:lineRule="auto"/>
        <w:ind w:firstLine="720"/>
        <w:jc w:val="both"/>
      </w:pPr>
    </w:p>
    <w:p w14:paraId="014D89A9" w14:textId="77777777" w:rsidR="00E75227" w:rsidRDefault="00000000">
      <w:pPr>
        <w:spacing w:line="360" w:lineRule="auto"/>
        <w:ind w:firstLine="720"/>
        <w:jc w:val="both"/>
      </w:pPr>
      <w:r>
        <w:t>El análisis Post hoc realizado con la prueba Bonferroni señaló que, en el grupo experimental, existe una disminución significativa entre la etapa 1 y la etapa 3 (</w:t>
      </w:r>
      <w:r>
        <w:rPr>
          <w:i/>
        </w:rPr>
        <w:t>p</w:t>
      </w:r>
      <w:r>
        <w:t xml:space="preserve"> = .001, </w:t>
      </w:r>
      <w:r>
        <w:rPr>
          <w:i/>
        </w:rPr>
        <w:t>DM</w:t>
      </w:r>
      <w:r>
        <w:t xml:space="preserve"> = 6.71), así como entre la etapa 1 y la etapa 4 (</w:t>
      </w:r>
      <w:r>
        <w:rPr>
          <w:i/>
        </w:rPr>
        <w:t>p</w:t>
      </w:r>
      <w:r>
        <w:t xml:space="preserve"> = .005, </w:t>
      </w:r>
      <w:r>
        <w:rPr>
          <w:i/>
        </w:rPr>
        <w:t>DM</w:t>
      </w:r>
      <w:r>
        <w:t xml:space="preserve"> = 7.86). Respecto al resto de comparaciones, no se encontraron diferencias significativas (</w:t>
      </w:r>
      <w:r>
        <w:rPr>
          <w:i/>
        </w:rPr>
        <w:t>p</w:t>
      </w:r>
      <w:r>
        <w:t xml:space="preserve"> &gt; .05).</w:t>
      </w:r>
    </w:p>
    <w:p w14:paraId="16A6D131" w14:textId="77777777" w:rsidR="00E75227" w:rsidRPr="00416B2C" w:rsidRDefault="00000000">
      <w:pPr>
        <w:spacing w:line="360" w:lineRule="auto"/>
        <w:jc w:val="both"/>
        <w:rPr>
          <w:b/>
          <w:i/>
          <w:lang w:val="en-US"/>
        </w:rPr>
      </w:pPr>
      <w:r w:rsidRPr="00416B2C">
        <w:rPr>
          <w:b/>
          <w:i/>
          <w:lang w:val="en-US"/>
        </w:rPr>
        <w:t>Clinical Outcomes in Routine Evaluation-Outcome Measure (CORE-OM</w:t>
      </w:r>
    </w:p>
    <w:p w14:paraId="18B41281" w14:textId="77777777" w:rsidR="00E75227" w:rsidRDefault="00000000">
      <w:pPr>
        <w:spacing w:line="360" w:lineRule="auto"/>
        <w:jc w:val="both"/>
      </w:pPr>
      <w:r>
        <w:rPr>
          <w:i/>
        </w:rPr>
        <w:t xml:space="preserve">Puntaje total CORE-OM </w:t>
      </w:r>
    </w:p>
    <w:p w14:paraId="4F36ABB4" w14:textId="77777777" w:rsidR="00E75227" w:rsidRDefault="00000000">
      <w:pPr>
        <w:spacing w:line="360" w:lineRule="auto"/>
        <w:ind w:firstLine="708"/>
        <w:jc w:val="both"/>
      </w:pPr>
      <w:r>
        <w:t xml:space="preserve">En cuanto a puntaje total del CORE-OM, el ANOVA 4 x 2 (Etapa × Condición) con la corrección de </w:t>
      </w:r>
      <w:proofErr w:type="spellStart"/>
      <w:r>
        <w:t>Greenhouse-Geisser</w:t>
      </w:r>
      <w:proofErr w:type="spellEnd"/>
      <w:r>
        <w:t xml:space="preserve"> (</w:t>
      </w:r>
      <w:r>
        <w:rPr>
          <w:i/>
        </w:rPr>
        <w:t>ε</w:t>
      </w:r>
      <w:r>
        <w:t xml:space="preserve"> = 0.51), el cual reveló un efecto principal significativo para Etapa (</w:t>
      </w:r>
      <w:proofErr w:type="gramStart"/>
      <w:r>
        <w:rPr>
          <w:i/>
        </w:rPr>
        <w:t>F</w:t>
      </w:r>
      <w:r>
        <w:t>[</w:t>
      </w:r>
      <w:proofErr w:type="gramEnd"/>
      <w:r>
        <w:t xml:space="preserve">3, 36] = 5.17, </w:t>
      </w:r>
      <w:r>
        <w:rPr>
          <w:i/>
        </w:rPr>
        <w:t>p</w:t>
      </w:r>
      <w:r>
        <w:t xml:space="preserve"> = .02, </w:t>
      </w:r>
      <w:r>
        <w:rPr>
          <w:i/>
        </w:rPr>
        <w:t>η²p</w:t>
      </w:r>
      <w:r>
        <w:t xml:space="preserve"> = 0.30) y la interacción Etapa × Condición (</w:t>
      </w:r>
      <w:r>
        <w:rPr>
          <w:i/>
        </w:rPr>
        <w:t>F</w:t>
      </w:r>
      <w:r>
        <w:t xml:space="preserve">[3, 36] = 4.20, </w:t>
      </w:r>
      <w:r>
        <w:rPr>
          <w:i/>
        </w:rPr>
        <w:t>p</w:t>
      </w:r>
      <w:r>
        <w:t xml:space="preserve"> &lt; 0.05, </w:t>
      </w:r>
      <w:r>
        <w:rPr>
          <w:i/>
        </w:rPr>
        <w:t>η²p</w:t>
      </w:r>
      <w:r>
        <w:t xml:space="preserve"> = 0.26), mientras que no se encontró efecto significativo para la Condición (F[1, 12] = 2.59, p = .13, η²p = 0.18).  Por tanto, estos resultados muestran una diferencia entre el grupo experimental y el grupo control, expresado en menores puntajes a lo largo de las etapas en el grupo experimental (Ver Figura 3). </w:t>
      </w:r>
    </w:p>
    <w:p w14:paraId="7F65E97F" w14:textId="77777777" w:rsidR="00E75227" w:rsidRDefault="00E75227">
      <w:pPr>
        <w:jc w:val="both"/>
        <w:rPr>
          <w:i/>
        </w:rPr>
      </w:pPr>
    </w:p>
    <w:p w14:paraId="03BBB237" w14:textId="77777777" w:rsidR="00E75227" w:rsidRDefault="00000000">
      <w:pPr>
        <w:spacing w:line="360" w:lineRule="auto"/>
        <w:jc w:val="both"/>
      </w:pPr>
      <w:r>
        <w:rPr>
          <w:i/>
        </w:rPr>
        <w:lastRenderedPageBreak/>
        <w:t>Figura 3.</w:t>
      </w:r>
      <w:r>
        <w:t xml:space="preserve"> Distribución de los puntajes totales del CORE-OM</w:t>
      </w:r>
    </w:p>
    <w:p w14:paraId="52B08BDF" w14:textId="77777777" w:rsidR="00E75227" w:rsidRDefault="00000000">
      <w:pPr>
        <w:spacing w:before="120" w:line="360" w:lineRule="auto"/>
        <w:jc w:val="both"/>
      </w:pPr>
      <w:r>
        <w:rPr>
          <w:rFonts w:ascii="Arial" w:eastAsia="Arial" w:hAnsi="Arial" w:cs="Arial"/>
          <w:noProof/>
          <w:sz w:val="22"/>
          <w:szCs w:val="22"/>
        </w:rPr>
        <w:drawing>
          <wp:inline distT="114300" distB="114300" distL="114300" distR="114300" wp14:anchorId="18E217B8" wp14:editId="34B4A464">
            <wp:extent cx="4546830" cy="2127683"/>
            <wp:effectExtent l="0" t="0" r="0" b="0"/>
            <wp:docPr id="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546830" cy="2127683"/>
                    </a:xfrm>
                    <a:prstGeom prst="rect">
                      <a:avLst/>
                    </a:prstGeom>
                    <a:ln/>
                  </pic:spPr>
                </pic:pic>
              </a:graphicData>
            </a:graphic>
          </wp:inline>
        </w:drawing>
      </w:r>
    </w:p>
    <w:p w14:paraId="59F2C413" w14:textId="77777777" w:rsidR="00E75227" w:rsidRDefault="00000000">
      <w:pPr>
        <w:jc w:val="both"/>
        <w:rPr>
          <w:sz w:val="20"/>
          <w:szCs w:val="20"/>
        </w:rPr>
      </w:pPr>
      <w:r>
        <w:rPr>
          <w:i/>
          <w:sz w:val="20"/>
          <w:szCs w:val="20"/>
        </w:rPr>
        <w:t>Nota.</w:t>
      </w:r>
      <w:r>
        <w:rPr>
          <w:sz w:val="20"/>
          <w:szCs w:val="20"/>
        </w:rPr>
        <w:t xml:space="preserve"> Se grafica la media de cada puntaje obtenido en función de cada etapa del tratamiento y se presentan en cada etapa las barras de error estándar de cada condición. En la distribución de los puntajes totales del CORE-OM, se puede observar que en la etapa 1, el grupo experimental (●) muestra una media de puntajes mayor que el grupo control (□). Posteriormente, la media de puntajes de los sujetos del grupo experimental disminuyó, llegando ser similar a la de los sujetos del grupo control, la cual tendió a mantenerse a lo largo de las etapas. </w:t>
      </w:r>
      <w:r>
        <w:rPr>
          <w:i/>
          <w:sz w:val="20"/>
          <w:szCs w:val="20"/>
        </w:rPr>
        <w:t xml:space="preserve">Fuente: </w:t>
      </w:r>
      <w:r>
        <w:rPr>
          <w:sz w:val="20"/>
          <w:szCs w:val="20"/>
        </w:rPr>
        <w:t>elaboración propia.</w:t>
      </w:r>
    </w:p>
    <w:p w14:paraId="5158F37A" w14:textId="77777777" w:rsidR="00E75227" w:rsidRDefault="00E75227">
      <w:pPr>
        <w:spacing w:line="360" w:lineRule="auto"/>
        <w:jc w:val="both"/>
      </w:pPr>
    </w:p>
    <w:p w14:paraId="5C8182B5" w14:textId="77777777" w:rsidR="00E75227" w:rsidRDefault="00000000">
      <w:pPr>
        <w:spacing w:line="360" w:lineRule="auto"/>
        <w:ind w:firstLine="708"/>
        <w:jc w:val="both"/>
      </w:pPr>
      <w:r>
        <w:t>El análisis post hoc realizado con la prueba Bonferroni señaló que existe una disminución significativa entre la etapa 2 y la etapa 3 del grupo experimental (</w:t>
      </w:r>
      <w:r>
        <w:rPr>
          <w:i/>
        </w:rPr>
        <w:t>p</w:t>
      </w:r>
      <w:r>
        <w:t xml:space="preserve"> = .001, </w:t>
      </w:r>
      <w:r>
        <w:rPr>
          <w:i/>
        </w:rPr>
        <w:t>DM</w:t>
      </w:r>
      <w:r>
        <w:t xml:space="preserve"> = 0.63), así como también se observa esta disminución entre la etapa 2 y la etapa 4 del grupo experimental (</w:t>
      </w:r>
      <w:r>
        <w:rPr>
          <w:i/>
        </w:rPr>
        <w:t>p</w:t>
      </w:r>
      <w:r>
        <w:t xml:space="preserve"> = .005, </w:t>
      </w:r>
      <w:r>
        <w:rPr>
          <w:i/>
        </w:rPr>
        <w:t>DM</w:t>
      </w:r>
      <w:r>
        <w:t xml:space="preserve"> = 0.65). Respecto al resto de comparaciones, no se encontraron diferencias significativas, ya que cuentan con un </w:t>
      </w:r>
      <w:r>
        <w:rPr>
          <w:i/>
        </w:rPr>
        <w:t>p</w:t>
      </w:r>
      <w:r>
        <w:t xml:space="preserve"> &gt; .05.</w:t>
      </w:r>
    </w:p>
    <w:p w14:paraId="6F804F77" w14:textId="77777777" w:rsidR="00E75227" w:rsidRDefault="00000000">
      <w:pPr>
        <w:spacing w:line="360" w:lineRule="auto"/>
        <w:ind w:firstLine="708"/>
        <w:jc w:val="both"/>
      </w:pPr>
      <w:r>
        <w:t xml:space="preserve">Con respecto al análisis de cambio clínico, inicialmente el grupo experimental se encontraba en un nivel de malestar moderado a severo (20.40 pts.). Durante la etapa 2, este malestar aumentó levemente (20.61 pts.), para posteriormente disminuir considerablemente en la etapa 3 (14.28 pts.) y 4 (14.13 pts.) a un nivel de malestar medio. Esto da cuenta de un cambio clínico fiable con una disminución de 6.12 </w:t>
      </w:r>
      <w:proofErr w:type="spellStart"/>
      <w:r>
        <w:t>pts</w:t>
      </w:r>
      <w:proofErr w:type="spellEnd"/>
      <w:r>
        <w:t xml:space="preserve"> entre la etapa 1 y 3, de 6.27 pts. entre la etapa 1 y 4, de 6.33 pts. entre la etapa 2 y 3, y de 6.48 </w:t>
      </w:r>
      <w:proofErr w:type="spellStart"/>
      <w:r>
        <w:t>pts</w:t>
      </w:r>
      <w:proofErr w:type="spellEnd"/>
      <w:r>
        <w:t xml:space="preserve"> entre la etapa 2 y 4. Por otro lado, el grupo control inició con un malestar clínico moderado (15.05 pts.). Sin embargo, este no disminuyó significativamente durante las etapas 2 (14.49 pts.), 3 (14.59 pts.) y 4 (14.29 pts.), por lo que no se encontró un cambio clínicamente fiable.</w:t>
      </w:r>
    </w:p>
    <w:p w14:paraId="28756FC8" w14:textId="77777777" w:rsidR="00E75227" w:rsidRDefault="00000000">
      <w:pPr>
        <w:spacing w:line="360" w:lineRule="auto"/>
        <w:jc w:val="both"/>
        <w:rPr>
          <w:i/>
        </w:rPr>
      </w:pPr>
      <w:r>
        <w:rPr>
          <w:i/>
        </w:rPr>
        <w:t>Dimensiones</w:t>
      </w:r>
    </w:p>
    <w:p w14:paraId="3C4E26B2" w14:textId="77777777" w:rsidR="00E75227" w:rsidRDefault="00000000">
      <w:pPr>
        <w:spacing w:line="360" w:lineRule="auto"/>
        <w:ind w:firstLine="708"/>
        <w:jc w:val="both"/>
      </w:pPr>
      <w:r>
        <w:t xml:space="preserve">No se encontraron resultados estadísticamente significativos en las subescalas. Sin embargo, sí se encontraron cambios clínicos fiables en el análisis clínico propio del instrumento, en todas las dimensiones, exceptuando la de riesgo. </w:t>
      </w:r>
    </w:p>
    <w:p w14:paraId="1D2F48BE" w14:textId="77777777" w:rsidR="00E75227" w:rsidRDefault="00000000">
      <w:pPr>
        <w:spacing w:line="360" w:lineRule="auto"/>
        <w:ind w:firstLine="708"/>
        <w:jc w:val="both"/>
      </w:pPr>
      <w:r>
        <w:t xml:space="preserve">Con respecto a la subescala de bienestar, inicialmente el grupo experimental puntuó 19.64 pts. Este malestar disminuyó considerablemente durante la etapa 3 (13.92 pts.) y 4 (12.85 </w:t>
      </w:r>
      <w:r>
        <w:lastRenderedPageBreak/>
        <w:t xml:space="preserve">pts.). Estos valores dan cuenta de un cambio clínicamente fiable de 5.72 y 6.79 </w:t>
      </w:r>
      <w:proofErr w:type="spellStart"/>
      <w:r>
        <w:t>pts</w:t>
      </w:r>
      <w:proofErr w:type="spellEnd"/>
      <w:r>
        <w:t xml:space="preserve"> respectivamente. A diferencia del grupo experimental, el grupo control inició puntuando 17.50 pts., y se mantuvo a lo largo de todas las mediciones, lo que no muestra un cambio clínicamente fiable. </w:t>
      </w:r>
    </w:p>
    <w:p w14:paraId="3A065ED7" w14:textId="77777777" w:rsidR="00E75227" w:rsidRDefault="00000000">
      <w:pPr>
        <w:spacing w:line="360" w:lineRule="auto"/>
        <w:ind w:firstLine="708"/>
        <w:jc w:val="both"/>
      </w:pPr>
      <w:r>
        <w:t xml:space="preserve">En cuanto a la subescala de síntoma/problema, se evidencia un nivel de malestar clínico inicial de 22.14 pts. en el grupo experimental, el cual </w:t>
      </w:r>
      <w:proofErr w:type="gramStart"/>
      <w:r>
        <w:t>disminuyó  considerablemente</w:t>
      </w:r>
      <w:proofErr w:type="gramEnd"/>
      <w:r>
        <w:t xml:space="preserve"> en la etapa 3 (17.02 pts.) y 4 (16.42 pts.), dando cuenta de un cambio clínicamente fiable con una disminución de 5.12 pts. y de 5.73 pts. respectivamente. El grupo control que inició con un malestar clínico (14.05 pts.), no llegó a tener un cambio clínico fiable en ninguna etapa posterior.</w:t>
      </w:r>
    </w:p>
    <w:p w14:paraId="21713254" w14:textId="77777777" w:rsidR="00E75227" w:rsidRDefault="00000000">
      <w:pPr>
        <w:spacing w:line="360" w:lineRule="auto"/>
        <w:ind w:firstLine="708"/>
        <w:jc w:val="both"/>
      </w:pPr>
      <w:r>
        <w:t xml:space="preserve">Con respecto a la subescala de funcionamiento general, inicialmente el grupo experimental se encontraba con un puntaje de 18.92 pts. Este disminuyó considerablemente durante la etapa 3 (11.66 pts.) y 4 (12.26 pts.). Lo que da cuenta de un cambio clínicamente fiable de 7.26 y 6.66 </w:t>
      </w:r>
      <w:proofErr w:type="spellStart"/>
      <w:r>
        <w:t>pts</w:t>
      </w:r>
      <w:proofErr w:type="spellEnd"/>
      <w:r>
        <w:t xml:space="preserve"> respectivamente. Por otro lado, la condición </w:t>
      </w:r>
      <w:proofErr w:type="spellStart"/>
      <w:r>
        <w:t>controll</w:t>
      </w:r>
      <w:proofErr w:type="spellEnd"/>
      <w:r>
        <w:t xml:space="preserve"> inició con un malestar clínico (15.24 pts.), que disminuyó levemente hacia la etapa 4 (13.81). Lo que no da cuenta de un cambio clínicamente fiable. </w:t>
      </w:r>
    </w:p>
    <w:p w14:paraId="0EA47A4A" w14:textId="77777777" w:rsidR="00E75227" w:rsidRDefault="00000000">
      <w:pPr>
        <w:spacing w:line="360" w:lineRule="auto"/>
        <w:ind w:firstLine="708"/>
        <w:jc w:val="both"/>
      </w:pPr>
      <w:r>
        <w:t>Finalmente, en la subescala de riesgo, tanto en el grupo experimental como en el control hubo una disminución de 1.43 pts., la cual no es clínicamente fiable.</w:t>
      </w:r>
    </w:p>
    <w:p w14:paraId="56F41E15" w14:textId="77777777" w:rsidR="00E75227" w:rsidRDefault="00000000">
      <w:pPr>
        <w:spacing w:line="360" w:lineRule="auto"/>
        <w:jc w:val="both"/>
        <w:rPr>
          <w:b/>
          <w:i/>
        </w:rPr>
      </w:pPr>
      <w:r>
        <w:rPr>
          <w:b/>
          <w:i/>
        </w:rPr>
        <w:t>Resultados de la Escala de Ansiedad Social (LSAS):</w:t>
      </w:r>
    </w:p>
    <w:p w14:paraId="6E32E41E" w14:textId="77777777" w:rsidR="00E75227" w:rsidRDefault="00000000">
      <w:pPr>
        <w:spacing w:line="360" w:lineRule="auto"/>
        <w:jc w:val="both"/>
        <w:rPr>
          <w:i/>
        </w:rPr>
      </w:pPr>
      <w:r>
        <w:rPr>
          <w:i/>
        </w:rPr>
        <w:t xml:space="preserve">Subescala de Actuación </w:t>
      </w:r>
    </w:p>
    <w:p w14:paraId="31664098" w14:textId="77777777" w:rsidR="00E75227" w:rsidRDefault="00000000">
      <w:pPr>
        <w:spacing w:line="360" w:lineRule="auto"/>
        <w:ind w:firstLine="708"/>
        <w:jc w:val="both"/>
      </w:pPr>
      <w:r>
        <w:t xml:space="preserve">Con respecto a la ansiedad en la subescala de actuación del LSAS, el ANOVA 4 x 2 (Etapa × Condición) se realizó con la corrección de </w:t>
      </w:r>
      <w:proofErr w:type="spellStart"/>
      <w:r>
        <w:t>Greenhouse-Geisser</w:t>
      </w:r>
      <w:proofErr w:type="spellEnd"/>
      <w:r>
        <w:t xml:space="preserve"> (</w:t>
      </w:r>
      <w:r>
        <w:rPr>
          <w:i/>
        </w:rPr>
        <w:t xml:space="preserve">ε </w:t>
      </w:r>
      <w:r>
        <w:t>=0.54), revelando que hubo un efecto principal significativo en Etapa (</w:t>
      </w:r>
      <w:proofErr w:type="gramStart"/>
      <w:r>
        <w:rPr>
          <w:i/>
        </w:rPr>
        <w:t>F</w:t>
      </w:r>
      <w:r>
        <w:t>[</w:t>
      </w:r>
      <w:proofErr w:type="gramEnd"/>
      <w:r>
        <w:t xml:space="preserve">3, 36] = 14.75, </w:t>
      </w:r>
      <w:r>
        <w:rPr>
          <w:i/>
        </w:rPr>
        <w:t xml:space="preserve">p </w:t>
      </w:r>
      <w:r>
        <w:t xml:space="preserve">&lt; .001, </w:t>
      </w:r>
      <w:r>
        <w:rPr>
          <w:i/>
        </w:rPr>
        <w:t xml:space="preserve">η²p </w:t>
      </w:r>
      <w:r>
        <w:t>= 0.55), pero no en Condición (</w:t>
      </w:r>
      <w:r>
        <w:rPr>
          <w:i/>
        </w:rPr>
        <w:t>F</w:t>
      </w:r>
      <w:r>
        <w:t xml:space="preserve">[1, 12] = 0.07, </w:t>
      </w:r>
      <w:r>
        <w:rPr>
          <w:i/>
        </w:rPr>
        <w:t xml:space="preserve">p </w:t>
      </w:r>
      <w:r>
        <w:t xml:space="preserve">= .80, </w:t>
      </w:r>
      <w:r>
        <w:rPr>
          <w:i/>
        </w:rPr>
        <w:t>η²p</w:t>
      </w:r>
      <w:r>
        <w:t xml:space="preserve"> = 0.01), ni tampoco en la interacción Etapa × Condición (</w:t>
      </w:r>
      <w:r>
        <w:rPr>
          <w:i/>
        </w:rPr>
        <w:t>F</w:t>
      </w:r>
      <w:r>
        <w:t xml:space="preserve">[3, 36] = 3.38 , </w:t>
      </w:r>
      <w:r>
        <w:rPr>
          <w:i/>
        </w:rPr>
        <w:t>p</w:t>
      </w:r>
      <w:r>
        <w:t xml:space="preserve"> = .06, </w:t>
      </w:r>
      <w:r>
        <w:rPr>
          <w:i/>
        </w:rPr>
        <w:t>η²p</w:t>
      </w:r>
      <w:r>
        <w:t xml:space="preserve"> = 0.22). </w:t>
      </w:r>
    </w:p>
    <w:p w14:paraId="3AC8DE10" w14:textId="77777777" w:rsidR="00E75227" w:rsidRDefault="00000000">
      <w:pPr>
        <w:spacing w:line="360" w:lineRule="auto"/>
        <w:ind w:firstLine="708"/>
        <w:jc w:val="both"/>
      </w:pPr>
      <w:r>
        <w:t xml:space="preserve">Ahora bien, en cuanto a la evitación en la subescala de actuación, el ANOVA 4 x 2 (Etapa × Condición) se realizó con la corrección de </w:t>
      </w:r>
      <w:proofErr w:type="spellStart"/>
      <w:r>
        <w:t>Greenhouse-Geisser</w:t>
      </w:r>
      <w:proofErr w:type="spellEnd"/>
      <w:r>
        <w:t xml:space="preserve"> (</w:t>
      </w:r>
      <w:r>
        <w:rPr>
          <w:i/>
        </w:rPr>
        <w:t>ε</w:t>
      </w:r>
      <w:r>
        <w:t xml:space="preserve"> =0.47), revelando que hubo un efecto principal significativo en Etapa (</w:t>
      </w:r>
      <w:proofErr w:type="gramStart"/>
      <w:r>
        <w:rPr>
          <w:i/>
        </w:rPr>
        <w:t>F</w:t>
      </w:r>
      <w:r>
        <w:t>[</w:t>
      </w:r>
      <w:proofErr w:type="gramEnd"/>
      <w:r>
        <w:t xml:space="preserve">3, 36] = 8.63, </w:t>
      </w:r>
      <w:r>
        <w:rPr>
          <w:i/>
        </w:rPr>
        <w:t xml:space="preserve">p </w:t>
      </w:r>
      <w:r>
        <w:t xml:space="preserve">= .005, </w:t>
      </w:r>
      <w:r>
        <w:rPr>
          <w:i/>
        </w:rPr>
        <w:t xml:space="preserve">η²p </w:t>
      </w:r>
      <w:r>
        <w:t>= 0.42), pero no hubo un efecto significativo en Condición (</w:t>
      </w:r>
      <w:r>
        <w:rPr>
          <w:i/>
        </w:rPr>
        <w:t>F</w:t>
      </w:r>
      <w:r>
        <w:t xml:space="preserve">[1, 12] =0.16, </w:t>
      </w:r>
      <w:r>
        <w:rPr>
          <w:i/>
        </w:rPr>
        <w:t xml:space="preserve">p </w:t>
      </w:r>
      <w:r>
        <w:t xml:space="preserve">= .69, </w:t>
      </w:r>
      <w:r>
        <w:rPr>
          <w:i/>
        </w:rPr>
        <w:t xml:space="preserve">η²p </w:t>
      </w:r>
      <w:r>
        <w:t>= 0.01), ni tampoco en la interacción Etapa × Condición (</w:t>
      </w:r>
      <w:r>
        <w:rPr>
          <w:i/>
        </w:rPr>
        <w:t>F</w:t>
      </w:r>
      <w:r>
        <w:t xml:space="preserve">[3, 36] = 1.22, </w:t>
      </w:r>
      <w:r>
        <w:rPr>
          <w:i/>
        </w:rPr>
        <w:t xml:space="preserve">p </w:t>
      </w:r>
      <w:r>
        <w:t xml:space="preserve">&gt; .31, </w:t>
      </w:r>
      <w:r>
        <w:rPr>
          <w:i/>
        </w:rPr>
        <w:t xml:space="preserve">η²p </w:t>
      </w:r>
      <w:r>
        <w:t xml:space="preserve">= 0.09). </w:t>
      </w:r>
    </w:p>
    <w:p w14:paraId="46FBD34B" w14:textId="77777777" w:rsidR="00E75227" w:rsidRDefault="00000000">
      <w:pPr>
        <w:spacing w:line="360" w:lineRule="auto"/>
        <w:jc w:val="both"/>
        <w:rPr>
          <w:i/>
        </w:rPr>
      </w:pPr>
      <w:r>
        <w:rPr>
          <w:i/>
        </w:rPr>
        <w:t>Subescala de interacción social</w:t>
      </w:r>
    </w:p>
    <w:p w14:paraId="45E5C906" w14:textId="77777777" w:rsidR="00E75227" w:rsidRDefault="00000000">
      <w:pPr>
        <w:spacing w:line="360" w:lineRule="auto"/>
        <w:ind w:firstLine="708"/>
        <w:jc w:val="both"/>
      </w:pPr>
      <w:r>
        <w:t xml:space="preserve">Con respecto a la ansiedad en la subescala de interacción social, el ANOVA 4 x 2 (Etapa × Condición) se realizó con la corrección de </w:t>
      </w:r>
      <w:proofErr w:type="spellStart"/>
      <w:r>
        <w:t>Greenhouse-Geisser</w:t>
      </w:r>
      <w:proofErr w:type="spellEnd"/>
      <w:r>
        <w:t xml:space="preserve"> (</w:t>
      </w:r>
      <w:r>
        <w:rPr>
          <w:i/>
        </w:rPr>
        <w:t>ε</w:t>
      </w:r>
      <w:r>
        <w:t xml:space="preserve"> = 0.48), revelando que hubo un efecto principal significativo en Etapa (</w:t>
      </w:r>
      <w:proofErr w:type="gramStart"/>
      <w:r>
        <w:rPr>
          <w:i/>
        </w:rPr>
        <w:t>F</w:t>
      </w:r>
      <w:r>
        <w:t>[</w:t>
      </w:r>
      <w:proofErr w:type="gramEnd"/>
      <w:r>
        <w:t xml:space="preserve">3, 36] = 4.56, </w:t>
      </w:r>
      <w:r>
        <w:rPr>
          <w:i/>
        </w:rPr>
        <w:t xml:space="preserve">p </w:t>
      </w:r>
      <w:r>
        <w:t xml:space="preserve">= .03, </w:t>
      </w:r>
      <w:r>
        <w:rPr>
          <w:i/>
        </w:rPr>
        <w:t xml:space="preserve">η²p </w:t>
      </w:r>
      <w:r>
        <w:t xml:space="preserve">= 0.28), pero no en </w:t>
      </w:r>
      <w:r>
        <w:lastRenderedPageBreak/>
        <w:t>Condición (</w:t>
      </w:r>
      <w:r>
        <w:rPr>
          <w:i/>
        </w:rPr>
        <w:t>F</w:t>
      </w:r>
      <w:r>
        <w:t xml:space="preserve">[1, 12] = 0.28, </w:t>
      </w:r>
      <w:r>
        <w:rPr>
          <w:i/>
        </w:rPr>
        <w:t xml:space="preserve">p </w:t>
      </w:r>
      <w:r>
        <w:t xml:space="preserve">= .61, </w:t>
      </w:r>
      <w:r>
        <w:rPr>
          <w:i/>
        </w:rPr>
        <w:t xml:space="preserve">η²p </w:t>
      </w:r>
      <w:r>
        <w:t>= 0.02), ni tampoco en la interacción Etapa × Condición (</w:t>
      </w:r>
      <w:r>
        <w:rPr>
          <w:i/>
        </w:rPr>
        <w:t>F</w:t>
      </w:r>
      <w:r>
        <w:t xml:space="preserve">[3, 36] = 3.17, </w:t>
      </w:r>
      <w:r>
        <w:rPr>
          <w:i/>
        </w:rPr>
        <w:t xml:space="preserve">p </w:t>
      </w:r>
      <w:r>
        <w:t xml:space="preserve">= .08, </w:t>
      </w:r>
      <w:r>
        <w:rPr>
          <w:i/>
        </w:rPr>
        <w:t xml:space="preserve">η²p </w:t>
      </w:r>
      <w:r>
        <w:t>= 0.21).</w:t>
      </w:r>
    </w:p>
    <w:p w14:paraId="1B5DD0C9" w14:textId="77777777" w:rsidR="00E75227" w:rsidRDefault="00000000">
      <w:pPr>
        <w:spacing w:line="360" w:lineRule="auto"/>
        <w:ind w:firstLine="708"/>
        <w:jc w:val="both"/>
      </w:pPr>
      <w:r>
        <w:t xml:space="preserve">Con respecto a la evitación en la subescala de interacción social, el ANOVA 4 x 2 (Etapa × Condición) se realizó con la corrección de </w:t>
      </w:r>
      <w:proofErr w:type="spellStart"/>
      <w:r>
        <w:t>Greenhouse-Geisser</w:t>
      </w:r>
      <w:proofErr w:type="spellEnd"/>
      <w:r>
        <w:t xml:space="preserve"> (</w:t>
      </w:r>
      <w:r>
        <w:rPr>
          <w:i/>
        </w:rPr>
        <w:t>ε</w:t>
      </w:r>
      <w:r>
        <w:t xml:space="preserve"> = 0.59), revelando que hubo un efecto principal significativo en Etapa (</w:t>
      </w:r>
      <w:proofErr w:type="gramStart"/>
      <w:r>
        <w:rPr>
          <w:i/>
        </w:rPr>
        <w:t>F</w:t>
      </w:r>
      <w:r>
        <w:t>[</w:t>
      </w:r>
      <w:proofErr w:type="gramEnd"/>
      <w:r>
        <w:t xml:space="preserve">3, 36] = 5.30, </w:t>
      </w:r>
      <w:r>
        <w:rPr>
          <w:i/>
        </w:rPr>
        <w:t xml:space="preserve">p </w:t>
      </w:r>
      <w:r>
        <w:t xml:space="preserve">= .02, </w:t>
      </w:r>
      <w:r>
        <w:rPr>
          <w:i/>
        </w:rPr>
        <w:t xml:space="preserve">η²p </w:t>
      </w:r>
      <w:r>
        <w:t>= 0.31), pero no en Condición (</w:t>
      </w:r>
      <w:r>
        <w:rPr>
          <w:i/>
        </w:rPr>
        <w:t>F</w:t>
      </w:r>
      <w:r>
        <w:t xml:space="preserve">[1, 12] = 0.58, </w:t>
      </w:r>
      <w:r>
        <w:rPr>
          <w:i/>
        </w:rPr>
        <w:t xml:space="preserve">p </w:t>
      </w:r>
      <w:r>
        <w:t xml:space="preserve">= .46, </w:t>
      </w:r>
      <w:r>
        <w:rPr>
          <w:i/>
        </w:rPr>
        <w:t xml:space="preserve">η²p </w:t>
      </w:r>
      <w:r>
        <w:t>= 0.05), ni tampoco en la interacción Etapa × Condición (</w:t>
      </w:r>
      <w:r>
        <w:rPr>
          <w:i/>
        </w:rPr>
        <w:t>F</w:t>
      </w:r>
      <w:r>
        <w:t xml:space="preserve">[3, 36] = 2.84  , </w:t>
      </w:r>
      <w:r>
        <w:rPr>
          <w:i/>
        </w:rPr>
        <w:t xml:space="preserve">p </w:t>
      </w:r>
      <w:r>
        <w:t xml:space="preserve">= .08, </w:t>
      </w:r>
      <w:r>
        <w:rPr>
          <w:i/>
        </w:rPr>
        <w:t xml:space="preserve">η²p </w:t>
      </w:r>
      <w:r>
        <w:t xml:space="preserve">= 0.19). </w:t>
      </w:r>
    </w:p>
    <w:p w14:paraId="791F6E2E" w14:textId="77777777" w:rsidR="00E75227" w:rsidRDefault="00000000">
      <w:pPr>
        <w:spacing w:line="360" w:lineRule="auto"/>
        <w:jc w:val="both"/>
        <w:rPr>
          <w:b/>
          <w:i/>
        </w:rPr>
      </w:pPr>
      <w:r>
        <w:rPr>
          <w:b/>
          <w:i/>
        </w:rPr>
        <w:t>Resultados de la Escala de Unidades Subjetivas de Ansiedad (SUDS):</w:t>
      </w:r>
    </w:p>
    <w:p w14:paraId="45D2DFA2" w14:textId="77777777" w:rsidR="00E75227" w:rsidRDefault="00000000">
      <w:pPr>
        <w:spacing w:line="360" w:lineRule="auto"/>
        <w:ind w:firstLine="708"/>
        <w:jc w:val="both"/>
      </w:pPr>
      <w:r>
        <w:t xml:space="preserve">Con respecto a la escala de unidades subjetivas de ansiedad, de los participantes del grupo experimental, 3 solicitaron una quinta sesión de exposición (42.86%). El ANOVA </w:t>
      </w:r>
      <w:proofErr w:type="spellStart"/>
      <w:r>
        <w:t>One</w:t>
      </w:r>
      <w:proofErr w:type="spellEnd"/>
      <w:r>
        <w:t xml:space="preserve"> </w:t>
      </w:r>
      <w:proofErr w:type="spellStart"/>
      <w:r>
        <w:t>Way</w:t>
      </w:r>
      <w:proofErr w:type="spellEnd"/>
      <w:r>
        <w:t xml:space="preserve"> de medidas repetidas no evidenció diferencias significativas para la Etapa (</w:t>
      </w:r>
      <w:proofErr w:type="gramStart"/>
      <w:r>
        <w:rPr>
          <w:i/>
        </w:rPr>
        <w:t>F</w:t>
      </w:r>
      <w:r>
        <w:t>[</w:t>
      </w:r>
      <w:proofErr w:type="gramEnd"/>
      <w:r>
        <w:t xml:space="preserve">3, 18] = 0.09 , </w:t>
      </w:r>
      <w:r>
        <w:rPr>
          <w:i/>
        </w:rPr>
        <w:t xml:space="preserve">p </w:t>
      </w:r>
      <w:r>
        <w:t xml:space="preserve">= .96, </w:t>
      </w:r>
      <w:r>
        <w:rPr>
          <w:i/>
        </w:rPr>
        <w:t xml:space="preserve">η²p </w:t>
      </w:r>
      <w:r>
        <w:t>= 0.02). Por tanto, no habría cambio en el valor de los SUDS a lo largo de las sesiones del módulo de exposición.</w:t>
      </w:r>
    </w:p>
    <w:p w14:paraId="45DA2CAF" w14:textId="77777777" w:rsidR="00E75227" w:rsidRDefault="00000000">
      <w:pPr>
        <w:pBdr>
          <w:top w:val="nil"/>
          <w:left w:val="nil"/>
          <w:bottom w:val="nil"/>
          <w:right w:val="nil"/>
          <w:between w:val="nil"/>
        </w:pBdr>
        <w:jc w:val="center"/>
        <w:rPr>
          <w:b/>
          <w:color w:val="000000"/>
        </w:rPr>
      </w:pPr>
      <w:r>
        <w:rPr>
          <w:b/>
          <w:color w:val="000000"/>
        </w:rPr>
        <w:t>Discusión</w:t>
      </w:r>
    </w:p>
    <w:p w14:paraId="5DF0FF74" w14:textId="77777777" w:rsidR="00E75227" w:rsidRDefault="00E75227">
      <w:pPr>
        <w:pBdr>
          <w:top w:val="nil"/>
          <w:left w:val="nil"/>
          <w:bottom w:val="nil"/>
          <w:right w:val="nil"/>
          <w:between w:val="nil"/>
        </w:pBdr>
        <w:jc w:val="center"/>
        <w:rPr>
          <w:b/>
        </w:rPr>
      </w:pPr>
    </w:p>
    <w:p w14:paraId="0184E2BB" w14:textId="77777777" w:rsidR="00E75227" w:rsidRDefault="00000000">
      <w:pPr>
        <w:pBdr>
          <w:top w:val="nil"/>
          <w:left w:val="nil"/>
          <w:bottom w:val="nil"/>
          <w:right w:val="nil"/>
          <w:between w:val="nil"/>
        </w:pBdr>
        <w:spacing w:line="360" w:lineRule="auto"/>
        <w:ind w:firstLine="708"/>
        <w:jc w:val="both"/>
      </w:pPr>
      <w:r>
        <w:t xml:space="preserve">La presente investigación evaluó la eficacia de un protocolo de exposición con realidad virtual para el miedo a hablar en público en adultos. La eficacia del tratamiento se evaluó en función de la disminución de síntomas del miedo a hablar en público, la cual fue operacionalizada a través de dos escalas: PRCS-12 y SSPS. Los resultados obtenidos en este ensayo controlado aleatorizado revelaron que la aplicación del protocolo de tratamiento con realidad virtual produjo cambios significativos en el grupo experimental en comparación con el grupo control, particularmente en la reducción de los puntajes del PRCS-12 y en la subescala de </w:t>
      </w:r>
      <w:proofErr w:type="spellStart"/>
      <w:r>
        <w:t>autoverbalizaciones</w:t>
      </w:r>
      <w:proofErr w:type="spellEnd"/>
      <w:r>
        <w:t xml:space="preserve"> negativas del SSPS, confirmando así nuestra hipótesis propuesta. </w:t>
      </w:r>
    </w:p>
    <w:p w14:paraId="61FACE63" w14:textId="77777777" w:rsidR="00E75227" w:rsidRDefault="00000000">
      <w:pPr>
        <w:pBdr>
          <w:top w:val="nil"/>
          <w:left w:val="nil"/>
          <w:bottom w:val="nil"/>
          <w:right w:val="nil"/>
          <w:between w:val="nil"/>
        </w:pBdr>
        <w:spacing w:line="360" w:lineRule="auto"/>
        <w:ind w:firstLine="708"/>
        <w:jc w:val="both"/>
      </w:pPr>
      <w:r>
        <w:t xml:space="preserve">De acuerdo a los resultados, se observó un aumento de la confianza al hablar en </w:t>
      </w:r>
      <w:proofErr w:type="gramStart"/>
      <w:r>
        <w:t>público  a</w:t>
      </w:r>
      <w:proofErr w:type="gramEnd"/>
      <w:r>
        <w:t xml:space="preserve"> lo largo de las diferentes etapas del tratamiento en el grupo experimental, mientras que en grupo control se mantuvo sin diferencias. En este sentido, la sintomatología del grupo que recibió tratamiento se redujo, especialmente luego de realizar las sesiones de exposición. </w:t>
      </w:r>
    </w:p>
    <w:p w14:paraId="6DCC9D7B" w14:textId="77777777" w:rsidR="00E75227" w:rsidRDefault="00000000">
      <w:pPr>
        <w:pBdr>
          <w:top w:val="nil"/>
          <w:left w:val="nil"/>
          <w:bottom w:val="nil"/>
          <w:right w:val="nil"/>
          <w:between w:val="nil"/>
        </w:pBdr>
        <w:spacing w:line="360" w:lineRule="auto"/>
        <w:ind w:firstLine="708"/>
        <w:jc w:val="both"/>
      </w:pPr>
      <w:r>
        <w:t xml:space="preserve">Estos resultados favorables concuerdan con lo encontrado por Anderson et al. (2013) </w:t>
      </w:r>
      <w:proofErr w:type="gramStart"/>
      <w:r>
        <w:t>quienes  también</w:t>
      </w:r>
      <w:proofErr w:type="gramEnd"/>
      <w:r>
        <w:t xml:space="preserve"> evidenciaron un aumento en la confianza al hablar en público  En un grupo que recibió tratamiento de exposición con RV para el miedo a hablar en público, en comparación con un grupo en lista de espera. La consistencia entre estos hallazgos y los de Anderson et al. (2013) refuerza la hipótesis de que el protocolo VRET es eficaz para aumentar la confianza en situaciones de habla en público.</w:t>
      </w:r>
    </w:p>
    <w:p w14:paraId="5DC2641A" w14:textId="77777777" w:rsidR="00E75227" w:rsidRDefault="00000000">
      <w:pPr>
        <w:pBdr>
          <w:top w:val="nil"/>
          <w:left w:val="nil"/>
          <w:bottom w:val="nil"/>
          <w:right w:val="nil"/>
          <w:between w:val="nil"/>
        </w:pBdr>
        <w:spacing w:line="360" w:lineRule="auto"/>
        <w:ind w:firstLine="708"/>
        <w:jc w:val="both"/>
      </w:pPr>
      <w:r>
        <w:lastRenderedPageBreak/>
        <w:t xml:space="preserve">Adicionalmente, estos resultados respaldan al PRCS como una medida confiable para observar cambios post-tratamiento (Comeche et al., 1995; </w:t>
      </w:r>
      <w:proofErr w:type="spellStart"/>
      <w:r>
        <w:t>Leary</w:t>
      </w:r>
      <w:proofErr w:type="spellEnd"/>
      <w:r>
        <w:t xml:space="preserve">, 1990). Esta sensibilidad del instrumento se ha visto expresado en los resultados de otras investigaciones (García-López et al., 2002; Olivares et al., 2002; Anderson et al., 2013; Piñeiro, 2015; </w:t>
      </w:r>
      <w:proofErr w:type="spellStart"/>
      <w:r>
        <w:t>Bartholomay</w:t>
      </w:r>
      <w:proofErr w:type="spellEnd"/>
      <w:r>
        <w:t xml:space="preserve">, 2015; Ayala, 2022), lo que respalda el uso de este instrumento como medida principal para evaluar tratamientos para el miedo a hablar en público. </w:t>
      </w:r>
    </w:p>
    <w:p w14:paraId="0587335C" w14:textId="77777777" w:rsidR="00E75227" w:rsidRDefault="00000000">
      <w:pPr>
        <w:pBdr>
          <w:top w:val="nil"/>
          <w:left w:val="nil"/>
          <w:bottom w:val="nil"/>
          <w:right w:val="nil"/>
          <w:between w:val="nil"/>
        </w:pBdr>
        <w:spacing w:line="360" w:lineRule="auto"/>
        <w:ind w:firstLine="708"/>
        <w:jc w:val="both"/>
      </w:pPr>
      <w:r>
        <w:t xml:space="preserve">Respecto al SSPS, la reducción en las </w:t>
      </w:r>
      <w:proofErr w:type="spellStart"/>
      <w:r>
        <w:t>autoverbalizaciones</w:t>
      </w:r>
      <w:proofErr w:type="spellEnd"/>
      <w:r>
        <w:t xml:space="preserve"> negativas también aporta evidencia a favor de la eficacia del protocolo. Este resultado es particularmente relevante dado que las </w:t>
      </w:r>
      <w:proofErr w:type="spellStart"/>
      <w:r>
        <w:t>autoverbalizaciones</w:t>
      </w:r>
      <w:proofErr w:type="spellEnd"/>
      <w:r>
        <w:t xml:space="preserve"> negativas son un componente central de la ansiedad social, según lo descrito por la APA (2013). Este hallazgo es congruente con estudios previos que indican que la exposición a situaciones temidas puede ayudar a reducir los pensamientos negativos y catastróficos asociados con la ansiedad social (Hofmann et al., 2012). Por tanto, la reducción de </w:t>
      </w:r>
      <w:proofErr w:type="spellStart"/>
      <w:r>
        <w:t>autoverbalizaciones</w:t>
      </w:r>
      <w:proofErr w:type="spellEnd"/>
      <w:r>
        <w:t xml:space="preserve"> negativas podría ser un mediador clave del efecto terapéutico observado en la reducción del miedo a hablar en público.</w:t>
      </w:r>
    </w:p>
    <w:p w14:paraId="2EC9F1D7" w14:textId="77777777" w:rsidR="00E75227" w:rsidRDefault="00000000">
      <w:pPr>
        <w:pBdr>
          <w:top w:val="nil"/>
          <w:left w:val="nil"/>
          <w:bottom w:val="nil"/>
          <w:right w:val="nil"/>
          <w:between w:val="nil"/>
        </w:pBdr>
        <w:spacing w:line="360" w:lineRule="auto"/>
        <w:ind w:firstLine="708"/>
        <w:jc w:val="both"/>
      </w:pPr>
      <w:r>
        <w:t xml:space="preserve">Por otro lado, respecto a las </w:t>
      </w:r>
      <w:proofErr w:type="spellStart"/>
      <w:r>
        <w:t>autoverbalizaciones</w:t>
      </w:r>
      <w:proofErr w:type="spellEnd"/>
      <w:r>
        <w:t xml:space="preserve"> positivas, se observó un aumento significativo a lo largo de las etapas, independiente de la condición. Es importante destacar, que la escala SSPS no suele ser incorporada como medida principal, a diferencia del PRCS, como puede observarse en distintos metaanálisis de tratamientos de exposición para el miedo a hablar en público (</w:t>
      </w:r>
      <w:proofErr w:type="spellStart"/>
      <w:r>
        <w:t>Chesham</w:t>
      </w:r>
      <w:proofErr w:type="spellEnd"/>
      <w:r>
        <w:t xml:space="preserve"> et al., 2018; </w:t>
      </w:r>
      <w:proofErr w:type="spellStart"/>
      <w:r>
        <w:t>Chard</w:t>
      </w:r>
      <w:proofErr w:type="spellEnd"/>
      <w:r>
        <w:t xml:space="preserve"> y van </w:t>
      </w:r>
      <w:proofErr w:type="spellStart"/>
      <w:r>
        <w:t>Zalk</w:t>
      </w:r>
      <w:proofErr w:type="spellEnd"/>
      <w:r>
        <w:t xml:space="preserve">, 2022; </w:t>
      </w:r>
      <w:proofErr w:type="spellStart"/>
      <w:r>
        <w:t>Krijn</w:t>
      </w:r>
      <w:proofErr w:type="spellEnd"/>
      <w:r>
        <w:t xml:space="preserve"> et al., 2004; Reeves et al., 2022). No obstante, el SSPS ha reportado sensibilidad al cambio terapéutico en ambas de sus subescalas (Gallego et al., 2010). Esto concuerda con lo observado por </w:t>
      </w:r>
      <w:proofErr w:type="spellStart"/>
      <w:r>
        <w:t>Zacarín</w:t>
      </w:r>
      <w:proofErr w:type="spellEnd"/>
      <w:r>
        <w:t xml:space="preserve"> et al. (2019), quienes encontraron diferencias en ambas subescalas del SSPS posterior al tratamiento. En dicho estudio, durante todo el tratamiento, hubo un mayor enfoque en exploraciones cognitivas y afectivas de los pacientes, así como también análisis funcionales de la situación de hablar en público. Además, dicho estudio tuvo una mayor duración de tratamiento, siendo de 13 o 15 sesiones dependiendo del grupo. Estos antecedentes son relevantes para poner en contraste con el presente estudio, donde el énfasis del tratamiento fue el módulo de exposición y no el módulo de flexibilidad cognitiva, además, el número de sesiones fue menor. Futuros estudios podrían incorporar un mayor número de sesiones enfocadas en aspectos cognitivos en este protocolo, para comprobar si existen cambios en cuanto a la subescala de </w:t>
      </w:r>
      <w:proofErr w:type="spellStart"/>
      <w:r>
        <w:t>autoverbalizaciones</w:t>
      </w:r>
      <w:proofErr w:type="spellEnd"/>
      <w:r>
        <w:t xml:space="preserve"> positivas del SSPS.</w:t>
      </w:r>
    </w:p>
    <w:p w14:paraId="144F9F66" w14:textId="77777777" w:rsidR="00E75227" w:rsidRDefault="00000000">
      <w:pPr>
        <w:pBdr>
          <w:top w:val="nil"/>
          <w:left w:val="nil"/>
          <w:bottom w:val="nil"/>
          <w:right w:val="nil"/>
          <w:between w:val="nil"/>
        </w:pBdr>
        <w:spacing w:line="360" w:lineRule="auto"/>
        <w:ind w:firstLine="708"/>
        <w:jc w:val="both"/>
      </w:pPr>
      <w:r>
        <w:t xml:space="preserve">Por otra parte, </w:t>
      </w:r>
      <w:proofErr w:type="gramStart"/>
      <w:r>
        <w:t>en relación a</w:t>
      </w:r>
      <w:proofErr w:type="gramEnd"/>
      <w:r>
        <w:t xml:space="preserve"> las medidas secundarias, en el CORE-OM el grupo experimental disminuyó su sintomatología en el puntaje total de la escala. Sin embargo, en la variable condición no hay una diferencia significativa, lo cual pudo deberse a que el grupo </w:t>
      </w:r>
      <w:r>
        <w:lastRenderedPageBreak/>
        <w:t xml:space="preserve">control comenzó con puntajes más bajos que el grupo experimental, por lo que los cambios no se podrían atribuir directamente al tratamiento. Con respecto a los resultados de cambio clínico fiable, se observó un cambio en el grupo experimental, mientras que el grupo control no presenta este cambio. En base a los resultados obtenidos, se puede observar que hay una tendencia hacia una mejora clínicamente significativa, donde se puede destacar el cambio clínico fiable luego de realizar las sesiones de exposición, mostrando que la mayor reducción del malestar se presentó durante dichas sesiones. Aquello constituye una evidencia modesta a favor del tratamiento; sin embargo, esta diferencia podría ser más robusta incorporando una mayor duración en el tratamiento, específicamente en el módulo de exposición. </w:t>
      </w:r>
    </w:p>
    <w:p w14:paraId="4DA2BACF" w14:textId="77777777" w:rsidR="00E75227" w:rsidRDefault="00000000">
      <w:pPr>
        <w:pBdr>
          <w:top w:val="nil"/>
          <w:left w:val="nil"/>
          <w:bottom w:val="nil"/>
          <w:right w:val="nil"/>
          <w:between w:val="nil"/>
        </w:pBdr>
        <w:spacing w:line="360" w:lineRule="auto"/>
        <w:ind w:firstLine="708"/>
        <w:jc w:val="both"/>
      </w:pPr>
      <w:r>
        <w:t>En cuanto al LSAS, los resultados no mostraron diferencias significativas entre el grupo experimental y el grupo control, por lo que los resultados no son atribuibles al tratamiento. Estos resultados se han encontrado en estudios previos como el de Harris et al. (2002) donde se realizó un tratamiento de 4 sesiones de exposición con realidad virtual para el miedo a hablar en público y se comparó con un grupo control en lista de espera. Estos autores hipotetizan que probablemente la reducción de la ansiedad requiera de un tratamiento de mayor duración. Por tanto, futuros estudios podrían evaluar el impacto de un tratamiento prolongado en los valores del LSAS.</w:t>
      </w:r>
    </w:p>
    <w:p w14:paraId="76E57E39" w14:textId="77777777" w:rsidR="00E75227" w:rsidRDefault="00000000">
      <w:pPr>
        <w:pBdr>
          <w:top w:val="nil"/>
          <w:left w:val="nil"/>
          <w:bottom w:val="nil"/>
          <w:right w:val="nil"/>
          <w:between w:val="nil"/>
        </w:pBdr>
        <w:spacing w:line="360" w:lineRule="auto"/>
        <w:ind w:firstLine="708"/>
        <w:jc w:val="both"/>
      </w:pPr>
      <w:r>
        <w:t>Finalmente, respecto a los resultados en SUDS, los análisis mostraron que no hubo cambios significativos a lo largo del módulo de exposición, siendo la media total de las sesiones de 5.2 puntos. Respecto de otros estudios, la mayoría de los pacientes aumentaron sus puntajes de malestar subjetivo en esta escala cuando hubo cambios en el escenario de realidad virtual (</w:t>
      </w:r>
      <w:proofErr w:type="spellStart"/>
      <w:r>
        <w:t>Zacarín</w:t>
      </w:r>
      <w:proofErr w:type="spellEnd"/>
      <w:r>
        <w:t xml:space="preserve"> et al., 2019) o cuando aumentó la complejidad de las tareas en las sesiones (Harris et al., 2002). En el estudio de Takac et al. (2019) se buscó respaldar el modelo de habituación al miedo aplicando SUDS en sesiones de exposición con RV para el miedo a hablar en público; sin embargo, tampoco se encontraron diferencias significativas durante cada sesión, mientras que entre sesiones sólo se encontraron algunas diferencias significativas. Estos antecedentes son relevantes para contrastar con los resultados del presente estudio, dado que, por ejemplo, en las sesiones de exposición también se realizaron cambios de escenario y un aumento gradual en la complejidad de las </w:t>
      </w:r>
      <w:proofErr w:type="gramStart"/>
      <w:r>
        <w:t>tareas..</w:t>
      </w:r>
      <w:proofErr w:type="gramEnd"/>
      <w:r>
        <w:t xml:space="preserve"> De esta manera, una reducción del malestar subjetivo no reflejaría el éxito de un protocolo de exposición, lo cual puede ser el motivo de los resultados obtenidos en la presente investigación, o bien, es posible que el mantener el malestar subjetivo en niveles altos sea necesario para el éxito del tratamiento (</w:t>
      </w:r>
      <w:proofErr w:type="spellStart"/>
      <w:r>
        <w:t>Craske</w:t>
      </w:r>
      <w:proofErr w:type="spellEnd"/>
      <w:r>
        <w:t xml:space="preserve"> et al., 2014). Aquello podría deberse a que, es necesario </w:t>
      </w:r>
      <w:proofErr w:type="spellStart"/>
      <w:r>
        <w:t>elicitar</w:t>
      </w:r>
      <w:proofErr w:type="spellEnd"/>
      <w:r>
        <w:t xml:space="preserve"> una reacción emocional y conductual en el paciente, para </w:t>
      </w:r>
      <w:r>
        <w:lastRenderedPageBreak/>
        <w:t xml:space="preserve">poder ahondar en las creencias disfuncionales a fin de modificar estos procesos y reforzar nuevos aprendizajes adaptativos alternativos en terapia (Beck y </w:t>
      </w:r>
      <w:proofErr w:type="spellStart"/>
      <w:r>
        <w:t>Haigh</w:t>
      </w:r>
      <w:proofErr w:type="spellEnd"/>
      <w:r>
        <w:t xml:space="preserve">, 2014). </w:t>
      </w:r>
    </w:p>
    <w:p w14:paraId="5D28478B" w14:textId="77777777" w:rsidR="00E75227" w:rsidRDefault="00000000">
      <w:pPr>
        <w:pBdr>
          <w:top w:val="nil"/>
          <w:left w:val="nil"/>
          <w:bottom w:val="nil"/>
          <w:right w:val="nil"/>
          <w:between w:val="nil"/>
        </w:pBdr>
        <w:spacing w:line="360" w:lineRule="auto"/>
        <w:jc w:val="both"/>
        <w:rPr>
          <w:b/>
          <w:i/>
        </w:rPr>
      </w:pPr>
      <w:r>
        <w:rPr>
          <w:b/>
          <w:i/>
        </w:rPr>
        <w:t>Limitaciones y consideraciones futuras</w:t>
      </w:r>
    </w:p>
    <w:p w14:paraId="6D4D7CA1" w14:textId="77777777" w:rsidR="00E75227" w:rsidRDefault="00000000">
      <w:pPr>
        <w:pBdr>
          <w:top w:val="nil"/>
          <w:left w:val="nil"/>
          <w:bottom w:val="nil"/>
          <w:right w:val="nil"/>
          <w:between w:val="nil"/>
        </w:pBdr>
        <w:spacing w:line="360" w:lineRule="auto"/>
        <w:ind w:firstLine="708"/>
        <w:jc w:val="both"/>
      </w:pPr>
      <w:r>
        <w:t xml:space="preserve">Ahora bien, en cuanto a las limitaciones de la presente investigación, en esta sólo se comparó la eficacia del tratamiento en contraposición con el no-tratamiento, por lo que, sería ideal que futuros estudios comparan la eficacia de este protocolo con otro tipo de tratamientos, así como también con la exposición in vivo, puesto que en diversos estudios se afirma que la VR ha evidenciado una eficacia equiparable a la terapia de exposición in vivo (Anderson et al. (2013); </w:t>
      </w:r>
      <w:proofErr w:type="spellStart"/>
      <w:r>
        <w:t>Chesham</w:t>
      </w:r>
      <w:proofErr w:type="spellEnd"/>
      <w:r>
        <w:t xml:space="preserve"> et al., 2018; Reeves et al., 2021). Por otro lado, también sería importante incorporar una medición de seguimiento para evaluar efectos a largo plazo y determinar si la eficacia del protocolo se mantiene a través del tiempo (Hill et al., 2016).</w:t>
      </w:r>
    </w:p>
    <w:p w14:paraId="50B32439" w14:textId="77777777" w:rsidR="00E75227" w:rsidRDefault="00000000">
      <w:pPr>
        <w:pBdr>
          <w:top w:val="nil"/>
          <w:left w:val="nil"/>
          <w:bottom w:val="nil"/>
          <w:right w:val="nil"/>
          <w:between w:val="nil"/>
        </w:pBdr>
        <w:spacing w:line="360" w:lineRule="auto"/>
        <w:ind w:firstLine="708"/>
        <w:jc w:val="both"/>
      </w:pPr>
      <w:proofErr w:type="gramStart"/>
      <w:r>
        <w:t>Otra limitación importante a tomar</w:t>
      </w:r>
      <w:proofErr w:type="gramEnd"/>
      <w:r>
        <w:t xml:space="preserve"> en cuenta es que los datos obtenidos podrían estar condicionados por la homogeneidad de la muestra, la cual mayoritariamente representa individuos con un nivel educativo superior. Esto se puede explicar debido a que el miedo a hablar en público es uno de los problemas más frecuentes entre la población universitaria, ya que la capacidad de comunicarse eficazmente ante un auditorio es un factor clave en muchas profesiones (Piñeiro, 2015). Si bien las personas que alcanzan criterios de patología son </w:t>
      </w:r>
      <w:proofErr w:type="gramStart"/>
      <w:r>
        <w:t>ínfimos</w:t>
      </w:r>
      <w:proofErr w:type="gramEnd"/>
      <w:r>
        <w:t xml:space="preserve">, </w:t>
      </w:r>
      <w:proofErr w:type="spellStart"/>
      <w:r>
        <w:t>aún</w:t>
      </w:r>
      <w:proofErr w:type="spellEnd"/>
      <w:r>
        <w:t xml:space="preserve"> así este miedo condiciona lo suficiente para que el 76% evite al menos una exposición a esta situación cada año y un 45% presente mucha o muchísima dificultad para enfrentarse a la misma, siendo los estudiantes universitarios los más afectados (Piñeiro, 2015). Es por esto </w:t>
      </w:r>
      <w:proofErr w:type="gramStart"/>
      <w:r>
        <w:t>que</w:t>
      </w:r>
      <w:proofErr w:type="gramEnd"/>
      <w:r>
        <w:t>, en favor de mejorar la validez externa y la aplicabilidad general de futuras investigaciones, se recomienda incluir una muestra más diversificada en cuanto a los niveles educativos relacionados con el alcance muestral. Este enfoque permitirá una comprensión más completa y matizada del fenómeno en cuestión, así como la posibilidad de extrapolar los resultados de manera más robusta a la población en su conjunto.</w:t>
      </w:r>
    </w:p>
    <w:p w14:paraId="038182BE" w14:textId="77777777" w:rsidR="00E75227" w:rsidRDefault="00000000">
      <w:pPr>
        <w:pBdr>
          <w:top w:val="nil"/>
          <w:left w:val="nil"/>
          <w:bottom w:val="nil"/>
          <w:right w:val="nil"/>
          <w:between w:val="nil"/>
        </w:pBdr>
        <w:spacing w:line="360" w:lineRule="auto"/>
        <w:jc w:val="both"/>
        <w:rPr>
          <w:b/>
          <w:i/>
        </w:rPr>
      </w:pPr>
      <w:r>
        <w:rPr>
          <w:b/>
          <w:i/>
        </w:rPr>
        <w:t>Alcances</w:t>
      </w:r>
    </w:p>
    <w:p w14:paraId="1A8152F2" w14:textId="77777777" w:rsidR="00E75227" w:rsidRDefault="00000000">
      <w:pPr>
        <w:pBdr>
          <w:top w:val="nil"/>
          <w:left w:val="nil"/>
          <w:bottom w:val="nil"/>
          <w:right w:val="nil"/>
          <w:between w:val="nil"/>
        </w:pBdr>
        <w:spacing w:line="360" w:lineRule="auto"/>
        <w:ind w:firstLine="708"/>
        <w:jc w:val="both"/>
      </w:pPr>
      <w:r>
        <w:t xml:space="preserve">En definitiva, estos resultados revelan prometedoras implicancias para el campo de la salud mental, ya que se evidenciaron efectos que sugieren la eficacia del protocolo para tratar el miedo a hablar en público. De esta manera, se aporta significativamente a la elaboración y perfeccionamiento de </w:t>
      </w:r>
      <w:proofErr w:type="gramStart"/>
      <w:r>
        <w:t>tratamientos  en</w:t>
      </w:r>
      <w:proofErr w:type="gramEnd"/>
      <w:r>
        <w:t xml:space="preserve"> el ámbito clínico. </w:t>
      </w:r>
    </w:p>
    <w:p w14:paraId="6E57CFEC" w14:textId="77777777" w:rsidR="00E75227" w:rsidRDefault="00000000">
      <w:pPr>
        <w:pBdr>
          <w:top w:val="nil"/>
          <w:left w:val="nil"/>
          <w:bottom w:val="nil"/>
          <w:right w:val="nil"/>
          <w:between w:val="nil"/>
        </w:pBdr>
        <w:spacing w:line="360" w:lineRule="auto"/>
        <w:ind w:firstLine="708"/>
        <w:jc w:val="both"/>
      </w:pPr>
      <w:r>
        <w:t xml:space="preserve">Una de las ventajas potenciales de la terapia de exposición a la realidad virtual (VRET) para el TAS es </w:t>
      </w:r>
      <w:proofErr w:type="gramStart"/>
      <w:r>
        <w:t>que  puede</w:t>
      </w:r>
      <w:proofErr w:type="gramEnd"/>
      <w:r>
        <w:t xml:space="preserve"> reducir la tasa de abandono del tratamiento, ya que la exposición a situaciones sociales ocurre en un entorno virtual, en lugar de en situaciones de la vida real, como sucede en la exposición in vivo (</w:t>
      </w:r>
      <w:proofErr w:type="spellStart"/>
      <w:r>
        <w:t>Emmelkamp</w:t>
      </w:r>
      <w:proofErr w:type="spellEnd"/>
      <w:r>
        <w:t xml:space="preserve"> et al., 2020).</w:t>
      </w:r>
    </w:p>
    <w:p w14:paraId="39D091E9" w14:textId="77777777" w:rsidR="00E75227" w:rsidRDefault="00000000">
      <w:pPr>
        <w:pBdr>
          <w:top w:val="nil"/>
          <w:left w:val="nil"/>
          <w:bottom w:val="nil"/>
          <w:right w:val="nil"/>
          <w:between w:val="nil"/>
        </w:pBdr>
        <w:spacing w:line="360" w:lineRule="auto"/>
        <w:ind w:firstLine="708"/>
        <w:jc w:val="both"/>
      </w:pPr>
      <w:r>
        <w:lastRenderedPageBreak/>
        <w:t xml:space="preserve">Otra de las implicaciones del presente estudio es el avance en el desarrollo de tratamientos que utilicen nuevas tecnologías. La documentada brecha tecnológica que existe en la región latinoamericana es evidenciada por las barreras de acceso y falta de habilidades digitales (Comisión Económica para América Latina y el Caribe, 2021). Esto cobra suma relevancia, considerando que la OMS (2023) ha declarado que deben adoptarse diversas innovaciones tecnológicas para impactar positivamente en el área de la salud pública y mejorar la calidad de vida de las personas. Ante esta situación, es crucial promover el acceso a tratamientos y dar mayor visibilidad a estos problemas en la región, con el objetivo de brindar apoyo y fomentar la búsqueda de ayuda por parte de quienes lo necesitan. </w:t>
      </w:r>
    </w:p>
    <w:p w14:paraId="117A772E" w14:textId="77777777" w:rsidR="00E75227" w:rsidRDefault="00000000">
      <w:pPr>
        <w:pBdr>
          <w:top w:val="nil"/>
          <w:left w:val="nil"/>
          <w:bottom w:val="nil"/>
          <w:right w:val="nil"/>
          <w:between w:val="nil"/>
        </w:pBdr>
        <w:spacing w:line="360" w:lineRule="auto"/>
        <w:ind w:firstLine="708"/>
        <w:jc w:val="both"/>
        <w:rPr>
          <w:b/>
        </w:rPr>
      </w:pPr>
      <w:r>
        <w:t>En síntesis, considerando la inexistencia de protocolos eficaces con realidad virtual en Chile, los resultados obtenidos en la presente investigación ponen el punto de partida para la elaboración, evaluación y aplicación de protocolos con realidad virtual para abordar distintos trastornos ansiosos en la región.</w:t>
      </w:r>
      <w:r>
        <w:br w:type="page"/>
      </w:r>
    </w:p>
    <w:p w14:paraId="223AE9E4" w14:textId="77777777" w:rsidR="00E75227" w:rsidRDefault="00000000">
      <w:pPr>
        <w:pBdr>
          <w:top w:val="nil"/>
          <w:left w:val="nil"/>
          <w:bottom w:val="nil"/>
          <w:right w:val="nil"/>
          <w:between w:val="nil"/>
        </w:pBdr>
        <w:jc w:val="center"/>
      </w:pPr>
      <w:r>
        <w:rPr>
          <w:b/>
          <w:color w:val="000000"/>
        </w:rPr>
        <w:lastRenderedPageBreak/>
        <w:t>Referencias</w:t>
      </w:r>
    </w:p>
    <w:p w14:paraId="492BA2EC" w14:textId="77777777" w:rsidR="00E75227" w:rsidRDefault="00000000">
      <w:pPr>
        <w:spacing w:line="360" w:lineRule="auto"/>
        <w:ind w:left="720"/>
      </w:pPr>
      <w:r>
        <w:t xml:space="preserve">Amelia Virtual Care. (s.f.). </w:t>
      </w:r>
      <w:r>
        <w:rPr>
          <w:i/>
        </w:rPr>
        <w:t>Realidad virtual para profesionales de la salud mental</w:t>
      </w:r>
      <w:r>
        <w:t xml:space="preserve">. Recuperado el 10 de mayo de 2023 de </w:t>
      </w:r>
      <w:hyperlink r:id="rId11">
        <w:r w:rsidR="00E75227">
          <w:rPr>
            <w:color w:val="1155CC"/>
            <w:u w:val="single"/>
          </w:rPr>
          <w:t>https://ameliavirtualcare.com/</w:t>
        </w:r>
      </w:hyperlink>
    </w:p>
    <w:p w14:paraId="2A16226F" w14:textId="77777777" w:rsidR="00E75227" w:rsidRDefault="00000000">
      <w:pPr>
        <w:spacing w:line="360" w:lineRule="auto"/>
        <w:ind w:left="720"/>
      </w:pPr>
      <w:r>
        <w:t xml:space="preserve"> American </w:t>
      </w:r>
      <w:proofErr w:type="spellStart"/>
      <w:r>
        <w:t>Psychiatric</w:t>
      </w:r>
      <w:proofErr w:type="spellEnd"/>
      <w:r>
        <w:t xml:space="preserve"> </w:t>
      </w:r>
      <w:proofErr w:type="spellStart"/>
      <w:r>
        <w:t>Association</w:t>
      </w:r>
      <w:proofErr w:type="spellEnd"/>
      <w:r>
        <w:t xml:space="preserve"> (APA). </w:t>
      </w:r>
      <w:r w:rsidRPr="00416B2C">
        <w:rPr>
          <w:lang w:val="en-US"/>
        </w:rPr>
        <w:t xml:space="preserve">(2013). </w:t>
      </w:r>
      <w:r w:rsidRPr="00416B2C">
        <w:rPr>
          <w:i/>
          <w:lang w:val="en-US"/>
        </w:rPr>
        <w:t>Diagnostic and statistical manual of mental disorders</w:t>
      </w:r>
      <w:r w:rsidRPr="00416B2C">
        <w:rPr>
          <w:lang w:val="en-US"/>
        </w:rPr>
        <w:t xml:space="preserve"> (5ta ed.). </w:t>
      </w:r>
      <w:r>
        <w:t xml:space="preserve">American </w:t>
      </w:r>
      <w:proofErr w:type="spellStart"/>
      <w:r>
        <w:t>Psychiatric</w:t>
      </w:r>
      <w:proofErr w:type="spellEnd"/>
      <w:r>
        <w:t xml:space="preserve"> </w:t>
      </w:r>
      <w:proofErr w:type="spellStart"/>
      <w:r>
        <w:t>Association</w:t>
      </w:r>
      <w:proofErr w:type="spellEnd"/>
      <w:r>
        <w:t xml:space="preserve">. </w:t>
      </w:r>
      <w:hyperlink r:id="rId12">
        <w:r w:rsidR="00E75227">
          <w:rPr>
            <w:color w:val="1155CC"/>
            <w:u w:val="single"/>
          </w:rPr>
          <w:t>https://doi.org/10.1176/appi.books.9780890425596</w:t>
        </w:r>
      </w:hyperlink>
      <w:r>
        <w:t xml:space="preserve"> </w:t>
      </w:r>
    </w:p>
    <w:p w14:paraId="2E33C8FA" w14:textId="77777777" w:rsidR="00E75227" w:rsidRPr="00416B2C" w:rsidRDefault="00000000">
      <w:pPr>
        <w:spacing w:line="360" w:lineRule="auto"/>
        <w:ind w:left="720"/>
        <w:rPr>
          <w:lang w:val="en-US"/>
        </w:rPr>
      </w:pPr>
      <w:r>
        <w:t xml:space="preserve">Anderson, P. L., Price, M., Edwards, S. M., </w:t>
      </w:r>
      <w:proofErr w:type="spellStart"/>
      <w:r>
        <w:t>Obasaju</w:t>
      </w:r>
      <w:proofErr w:type="spellEnd"/>
      <w:r>
        <w:t xml:space="preserve">, M. A., </w:t>
      </w:r>
      <w:proofErr w:type="spellStart"/>
      <w:r>
        <w:t>Schmertz</w:t>
      </w:r>
      <w:proofErr w:type="spellEnd"/>
      <w:r>
        <w:t xml:space="preserve">, S. K., </w:t>
      </w:r>
      <w:proofErr w:type="spellStart"/>
      <w:r>
        <w:t>Zimand</w:t>
      </w:r>
      <w:proofErr w:type="spellEnd"/>
      <w:r>
        <w:t xml:space="preserve">, E. y Calamaras, M. R. (2013). </w:t>
      </w:r>
      <w:r w:rsidRPr="00416B2C">
        <w:rPr>
          <w:lang w:val="en-US"/>
        </w:rPr>
        <w:t xml:space="preserve">Virtual reality exposure therapy for social anxiety disorder: A randomized controlled trial. </w:t>
      </w:r>
      <w:r w:rsidRPr="00416B2C">
        <w:rPr>
          <w:i/>
          <w:lang w:val="en-US"/>
        </w:rPr>
        <w:t>Journal of Consulting and Clinical Psychology</w:t>
      </w:r>
      <w:r w:rsidRPr="00416B2C">
        <w:rPr>
          <w:lang w:val="en-US"/>
        </w:rPr>
        <w:t xml:space="preserve">, </w:t>
      </w:r>
      <w:r w:rsidRPr="00416B2C">
        <w:rPr>
          <w:i/>
          <w:lang w:val="en-US"/>
        </w:rPr>
        <w:t>81</w:t>
      </w:r>
      <w:r w:rsidRPr="00416B2C">
        <w:rPr>
          <w:lang w:val="en-US"/>
        </w:rPr>
        <w:t xml:space="preserve">(5), 751–760. </w:t>
      </w:r>
      <w:hyperlink r:id="rId13">
        <w:r w:rsidR="00E75227" w:rsidRPr="00416B2C">
          <w:rPr>
            <w:color w:val="1155CC"/>
            <w:u w:val="single"/>
            <w:lang w:val="en-US"/>
          </w:rPr>
          <w:t>https://doi.org/10.1037/a0033559</w:t>
        </w:r>
      </w:hyperlink>
    </w:p>
    <w:p w14:paraId="13B1F1B2" w14:textId="77777777" w:rsidR="00E75227" w:rsidRDefault="00000000">
      <w:pPr>
        <w:spacing w:line="360" w:lineRule="auto"/>
        <w:ind w:left="720"/>
      </w:pPr>
      <w:r w:rsidRPr="00416B2C">
        <w:rPr>
          <w:lang w:val="en-US"/>
        </w:rPr>
        <w:t xml:space="preserve">Pontificia Universidad </w:t>
      </w:r>
      <w:proofErr w:type="spellStart"/>
      <w:r w:rsidRPr="00416B2C">
        <w:rPr>
          <w:lang w:val="en-US"/>
        </w:rPr>
        <w:t>Catolica</w:t>
      </w:r>
      <w:proofErr w:type="spellEnd"/>
      <w:r w:rsidRPr="00416B2C">
        <w:rPr>
          <w:lang w:val="en-US"/>
        </w:rPr>
        <w:t xml:space="preserve">. </w:t>
      </w:r>
      <w:r>
        <w:t xml:space="preserve">(1 de febrero de 2024). </w:t>
      </w:r>
      <w:r>
        <w:rPr>
          <w:i/>
        </w:rPr>
        <w:t>Uno de cada cuatro chilenos presenta síntomas de ansiedad</w:t>
      </w:r>
      <w:r>
        <w:t xml:space="preserve">. </w:t>
      </w:r>
      <w:proofErr w:type="spellStart"/>
      <w:r>
        <w:t>Achs</w:t>
      </w:r>
      <w:proofErr w:type="spellEnd"/>
      <w:r>
        <w:t xml:space="preserve">, seguro laboral. </w:t>
      </w:r>
      <w:hyperlink r:id="rId14">
        <w:r w:rsidR="00E75227">
          <w:rPr>
            <w:color w:val="1155CC"/>
            <w:u w:val="single"/>
          </w:rPr>
          <w:t>https://www.uc.cl/noticias/termometro-de-salud-mental-uno-de-cada-cuatro-chilenos-presenta-sintomas-de-ansiedad/</w:t>
        </w:r>
      </w:hyperlink>
    </w:p>
    <w:p w14:paraId="2C91E918" w14:textId="77777777" w:rsidR="00E75227" w:rsidRPr="00416B2C" w:rsidRDefault="00000000">
      <w:pPr>
        <w:spacing w:line="360" w:lineRule="auto"/>
        <w:ind w:left="720"/>
        <w:rPr>
          <w:lang w:val="en-US"/>
        </w:rPr>
      </w:pPr>
      <w:r>
        <w:t xml:space="preserve">Ayala, G. (2022). </w:t>
      </w:r>
      <w:r>
        <w:rPr>
          <w:i/>
        </w:rPr>
        <w:t xml:space="preserve">Viabilidad de un tratamiento de exposición breve a través de </w:t>
      </w:r>
      <w:proofErr w:type="spellStart"/>
      <w:r>
        <w:rPr>
          <w:i/>
        </w:rPr>
        <w:t>telepsicología</w:t>
      </w:r>
      <w:proofErr w:type="spellEnd"/>
      <w:r>
        <w:rPr>
          <w:i/>
        </w:rPr>
        <w:t xml:space="preserve"> para la ansiedad de hablar en público en estudiantes universitarios</w:t>
      </w:r>
      <w:r>
        <w:t xml:space="preserve"> [Tesis de magíster no publicada]. </w:t>
      </w:r>
      <w:r w:rsidRPr="00416B2C">
        <w:rPr>
          <w:lang w:val="en-US"/>
        </w:rPr>
        <w:t xml:space="preserve">Universidad de Chile. </w:t>
      </w:r>
      <w:hyperlink r:id="rId15">
        <w:r w:rsidR="00E75227" w:rsidRPr="00416B2C">
          <w:rPr>
            <w:color w:val="1155CC"/>
            <w:u w:val="single"/>
            <w:lang w:val="en-US"/>
          </w:rPr>
          <w:t>https://repositorio.uchile.cl/handle/2250/197616</w:t>
        </w:r>
      </w:hyperlink>
      <w:r w:rsidRPr="00416B2C">
        <w:rPr>
          <w:lang w:val="en-US"/>
        </w:rPr>
        <w:t xml:space="preserve"> </w:t>
      </w:r>
    </w:p>
    <w:p w14:paraId="74A816BB" w14:textId="77777777" w:rsidR="00E75227" w:rsidRPr="00416B2C" w:rsidRDefault="00000000">
      <w:pPr>
        <w:spacing w:line="360" w:lineRule="auto"/>
        <w:ind w:left="720"/>
        <w:rPr>
          <w:lang w:val="en-US"/>
        </w:rPr>
      </w:pPr>
      <w:r w:rsidRPr="00416B2C">
        <w:rPr>
          <w:lang w:val="en-US"/>
        </w:rPr>
        <w:t xml:space="preserve">Baker, S., Heinrichs, N., Kim, H. y Hofmann, S. (2002). The Liebowitz Social Anxiety Scale as a self-report instrument: a preliminary psychometric analysis. </w:t>
      </w:r>
      <w:proofErr w:type="spellStart"/>
      <w:r w:rsidRPr="00416B2C">
        <w:rPr>
          <w:i/>
          <w:lang w:val="en-US"/>
        </w:rPr>
        <w:t>Behaviour</w:t>
      </w:r>
      <w:proofErr w:type="spellEnd"/>
      <w:r w:rsidRPr="00416B2C">
        <w:rPr>
          <w:i/>
          <w:lang w:val="en-US"/>
        </w:rPr>
        <w:t xml:space="preserve"> Research and Therapy, 40</w:t>
      </w:r>
      <w:r w:rsidRPr="00416B2C">
        <w:rPr>
          <w:lang w:val="en-US"/>
        </w:rPr>
        <w:t xml:space="preserve">(6), 701–715. </w:t>
      </w:r>
      <w:hyperlink r:id="rId16">
        <w:r w:rsidR="00E75227" w:rsidRPr="00416B2C">
          <w:rPr>
            <w:color w:val="1155CC"/>
            <w:u w:val="single"/>
            <w:lang w:val="en-US"/>
          </w:rPr>
          <w:t>https://doi.org/10.1016/S0005-7967(01)00060-2</w:t>
        </w:r>
      </w:hyperlink>
      <w:r w:rsidRPr="00416B2C">
        <w:rPr>
          <w:lang w:val="en-US"/>
        </w:rPr>
        <w:t xml:space="preserve"> </w:t>
      </w:r>
    </w:p>
    <w:p w14:paraId="6F7CFC0B" w14:textId="77777777" w:rsidR="00E75227" w:rsidRPr="00416B2C" w:rsidRDefault="00000000">
      <w:pPr>
        <w:spacing w:line="360" w:lineRule="auto"/>
        <w:ind w:left="720"/>
        <w:rPr>
          <w:lang w:val="en-US"/>
        </w:rPr>
      </w:pPr>
      <w:r w:rsidRPr="00416B2C">
        <w:rPr>
          <w:lang w:val="en-US"/>
        </w:rPr>
        <w:t xml:space="preserve">Bandura, A. (1997). </w:t>
      </w:r>
      <w:r w:rsidRPr="00416B2C">
        <w:rPr>
          <w:i/>
          <w:lang w:val="en-US"/>
        </w:rPr>
        <w:t>Self-efficacy: The exercise of control</w:t>
      </w:r>
      <w:r w:rsidRPr="00416B2C">
        <w:rPr>
          <w:lang w:val="en-US"/>
        </w:rPr>
        <w:t>. Freeman.</w:t>
      </w:r>
    </w:p>
    <w:p w14:paraId="28DE126E" w14:textId="77777777" w:rsidR="00E75227" w:rsidRDefault="00000000">
      <w:pPr>
        <w:spacing w:line="360" w:lineRule="auto"/>
        <w:ind w:left="720"/>
      </w:pPr>
      <w:r w:rsidRPr="00416B2C">
        <w:rPr>
          <w:lang w:val="en-US"/>
        </w:rPr>
        <w:t xml:space="preserve">Bartholomay, E. M. (2015). </w:t>
      </w:r>
      <w:r w:rsidRPr="00416B2C">
        <w:rPr>
          <w:i/>
          <w:lang w:val="en-US"/>
        </w:rPr>
        <w:t xml:space="preserve">Treating public speaking anxiety: A comparison of exposure and video </w:t>
      </w:r>
      <w:proofErr w:type="spellStart"/>
      <w:r w:rsidRPr="00416B2C">
        <w:rPr>
          <w:i/>
          <w:lang w:val="en-US"/>
        </w:rPr>
        <w:t>self modeling</w:t>
      </w:r>
      <w:proofErr w:type="spellEnd"/>
      <w:r w:rsidRPr="00416B2C">
        <w:rPr>
          <w:lang w:val="en-US"/>
        </w:rPr>
        <w:t xml:space="preserve"> [</w:t>
      </w:r>
      <w:proofErr w:type="gramStart"/>
      <w:r w:rsidRPr="00416B2C">
        <w:rPr>
          <w:lang w:val="en-US"/>
        </w:rPr>
        <w:t>Master’s</w:t>
      </w:r>
      <w:proofErr w:type="gramEnd"/>
      <w:r w:rsidRPr="00416B2C">
        <w:rPr>
          <w:lang w:val="en-US"/>
        </w:rPr>
        <w:t xml:space="preserve"> thesis, Minnesota State University, Mankato]. Cornerstone: A Collection of Scholarly and Creative Works for Minnesota State University, Mankato. </w:t>
      </w:r>
      <w:hyperlink r:id="rId17">
        <w:r w:rsidR="00E75227">
          <w:rPr>
            <w:color w:val="1155CC"/>
            <w:u w:val="single"/>
          </w:rPr>
          <w:t>https://cornerstone.lib.mnsu.edu/etds/415/</w:t>
        </w:r>
      </w:hyperlink>
    </w:p>
    <w:p w14:paraId="6A75D71B" w14:textId="77777777" w:rsidR="00E75227" w:rsidRPr="00416B2C" w:rsidRDefault="00000000">
      <w:pPr>
        <w:spacing w:line="360" w:lineRule="auto"/>
        <w:ind w:left="720" w:hanging="720"/>
        <w:rPr>
          <w:lang w:val="en-US"/>
        </w:rPr>
      </w:pPr>
      <w:proofErr w:type="spellStart"/>
      <w:r>
        <w:t>Bartholomay</w:t>
      </w:r>
      <w:proofErr w:type="spellEnd"/>
      <w:r>
        <w:t xml:space="preserve">, E. M. y </w:t>
      </w:r>
      <w:proofErr w:type="spellStart"/>
      <w:r>
        <w:t>Houlihan</w:t>
      </w:r>
      <w:proofErr w:type="spellEnd"/>
      <w:r>
        <w:t xml:space="preserve">, D. D. (2016). </w:t>
      </w:r>
      <w:r w:rsidRPr="00416B2C">
        <w:rPr>
          <w:lang w:val="en-US"/>
        </w:rPr>
        <w:t xml:space="preserve">Public Speaking Anxiety Scale: Preliminary psychometric data and scale validation. </w:t>
      </w:r>
      <w:r w:rsidRPr="00416B2C">
        <w:rPr>
          <w:i/>
          <w:lang w:val="en-US"/>
        </w:rPr>
        <w:t>Personality and Individual Differences</w:t>
      </w:r>
      <w:r w:rsidRPr="00416B2C">
        <w:rPr>
          <w:lang w:val="en-US"/>
        </w:rPr>
        <w:t xml:space="preserve">, </w:t>
      </w:r>
      <w:r w:rsidRPr="00416B2C">
        <w:rPr>
          <w:i/>
          <w:lang w:val="en-US"/>
        </w:rPr>
        <w:t>94</w:t>
      </w:r>
      <w:r w:rsidRPr="00416B2C">
        <w:rPr>
          <w:lang w:val="en-US"/>
        </w:rPr>
        <w:t xml:space="preserve">, 211–215. </w:t>
      </w:r>
      <w:hyperlink r:id="rId18">
        <w:r w:rsidR="00E75227" w:rsidRPr="00416B2C">
          <w:rPr>
            <w:color w:val="1155CC"/>
            <w:u w:val="single"/>
            <w:lang w:val="en-US"/>
          </w:rPr>
          <w:t>https://doi.org/10.1016/j.paid.2016.01.026</w:t>
        </w:r>
      </w:hyperlink>
    </w:p>
    <w:p w14:paraId="45CA1C25" w14:textId="77777777" w:rsidR="00E75227" w:rsidRPr="00416B2C" w:rsidRDefault="00000000">
      <w:pPr>
        <w:spacing w:line="360" w:lineRule="auto"/>
        <w:ind w:left="720" w:hanging="720"/>
        <w:rPr>
          <w:highlight w:val="white"/>
          <w:lang w:val="en-US"/>
        </w:rPr>
      </w:pPr>
      <w:r w:rsidRPr="00416B2C">
        <w:rPr>
          <w:lang w:val="en-US"/>
        </w:rPr>
        <w:t xml:space="preserve"> </w:t>
      </w:r>
      <w:r w:rsidRPr="00416B2C">
        <w:rPr>
          <w:highlight w:val="white"/>
          <w:lang w:val="en-US"/>
        </w:rPr>
        <w:t xml:space="preserve">Beck, A. y Haigh, E. (2014) Advances in cognitive theory and therapy: The generic cognitive model. </w:t>
      </w:r>
      <w:r w:rsidRPr="00416B2C">
        <w:rPr>
          <w:i/>
          <w:highlight w:val="white"/>
          <w:lang w:val="en-US"/>
        </w:rPr>
        <w:t>Annual Review of Clinical Psychology</w:t>
      </w:r>
      <w:r w:rsidRPr="00416B2C">
        <w:rPr>
          <w:highlight w:val="white"/>
          <w:lang w:val="en-US"/>
        </w:rPr>
        <w:t>, 10, 1</w:t>
      </w:r>
      <w:r w:rsidRPr="00416B2C">
        <w:rPr>
          <w:lang w:val="en-US"/>
        </w:rPr>
        <w:t>–</w:t>
      </w:r>
      <w:r w:rsidRPr="00416B2C">
        <w:rPr>
          <w:highlight w:val="white"/>
          <w:lang w:val="en-US"/>
        </w:rPr>
        <w:t xml:space="preserve">24. </w:t>
      </w:r>
      <w:hyperlink r:id="rId19">
        <w:r w:rsidR="00E75227" w:rsidRPr="00416B2C">
          <w:rPr>
            <w:color w:val="1155CC"/>
            <w:highlight w:val="white"/>
            <w:u w:val="single"/>
            <w:lang w:val="en-US"/>
          </w:rPr>
          <w:t>https://doi.org//10.1146/annurev-clinpsy-032813-153734</w:t>
        </w:r>
      </w:hyperlink>
    </w:p>
    <w:p w14:paraId="75A6A283" w14:textId="77777777" w:rsidR="00E75227" w:rsidRPr="00416B2C" w:rsidRDefault="00000000">
      <w:pPr>
        <w:spacing w:line="360" w:lineRule="auto"/>
        <w:ind w:left="720" w:hanging="720"/>
        <w:rPr>
          <w:lang w:val="en-US"/>
        </w:rPr>
      </w:pPr>
      <w:r w:rsidRPr="00416B2C">
        <w:rPr>
          <w:lang w:val="en-US"/>
        </w:rPr>
        <w:lastRenderedPageBreak/>
        <w:t xml:space="preserve">Berg, H. (2021). Why only efficiency, and not efficacy, matters in psychotherapy practice. </w:t>
      </w:r>
      <w:r w:rsidRPr="00416B2C">
        <w:rPr>
          <w:i/>
          <w:lang w:val="en-US"/>
        </w:rPr>
        <w:t>Frontiers in Psychology</w:t>
      </w:r>
      <w:r w:rsidRPr="00416B2C">
        <w:rPr>
          <w:lang w:val="en-US"/>
        </w:rPr>
        <w:t>,</w:t>
      </w:r>
      <w:r w:rsidRPr="00416B2C">
        <w:rPr>
          <w:i/>
          <w:lang w:val="en-US"/>
        </w:rPr>
        <w:t xml:space="preserve"> 12</w:t>
      </w:r>
      <w:r w:rsidRPr="00416B2C">
        <w:rPr>
          <w:lang w:val="en-US"/>
        </w:rPr>
        <w:t xml:space="preserve">, 603211. </w:t>
      </w:r>
      <w:hyperlink r:id="rId20">
        <w:r w:rsidR="00E75227" w:rsidRPr="00416B2C">
          <w:rPr>
            <w:color w:val="1155CC"/>
            <w:u w:val="single"/>
            <w:lang w:val="en-US"/>
          </w:rPr>
          <w:t>https://doi.org/10.3389/fpsyg.2021.603211</w:t>
        </w:r>
      </w:hyperlink>
    </w:p>
    <w:p w14:paraId="14B56B16" w14:textId="77777777" w:rsidR="00E75227" w:rsidRDefault="00000000">
      <w:pPr>
        <w:spacing w:line="360" w:lineRule="auto"/>
        <w:ind w:left="720" w:hanging="720"/>
      </w:pPr>
      <w:proofErr w:type="spellStart"/>
      <w:r w:rsidRPr="00416B2C">
        <w:rPr>
          <w:lang w:val="en-US"/>
        </w:rPr>
        <w:t>Bobes</w:t>
      </w:r>
      <w:proofErr w:type="spellEnd"/>
      <w:r w:rsidRPr="00416B2C">
        <w:rPr>
          <w:lang w:val="en-US"/>
        </w:rPr>
        <w:t xml:space="preserve">, J., </w:t>
      </w:r>
      <w:proofErr w:type="spellStart"/>
      <w:r w:rsidRPr="00416B2C">
        <w:rPr>
          <w:lang w:val="en-US"/>
        </w:rPr>
        <w:t>Badía</w:t>
      </w:r>
      <w:proofErr w:type="spellEnd"/>
      <w:r w:rsidRPr="00416B2C">
        <w:rPr>
          <w:lang w:val="en-US"/>
        </w:rPr>
        <w:t xml:space="preserve">, X., </w:t>
      </w:r>
      <w:proofErr w:type="spellStart"/>
      <w:r w:rsidRPr="00416B2C">
        <w:rPr>
          <w:lang w:val="en-US"/>
        </w:rPr>
        <w:t>Luque</w:t>
      </w:r>
      <w:proofErr w:type="spellEnd"/>
      <w:r w:rsidRPr="00416B2C">
        <w:rPr>
          <w:lang w:val="en-US"/>
        </w:rPr>
        <w:t xml:space="preserve">, A., García, M., González, M. y Dal-Re, R. (1999). </w:t>
      </w:r>
      <w:r>
        <w:t xml:space="preserve">Validación de las versiones en español de los cuestionarios </w:t>
      </w:r>
      <w:proofErr w:type="spellStart"/>
      <w:r>
        <w:t>Liebowitz</w:t>
      </w:r>
      <w:proofErr w:type="spellEnd"/>
      <w:r>
        <w:t xml:space="preserve"> Social </w:t>
      </w:r>
      <w:proofErr w:type="spellStart"/>
      <w:r>
        <w:t>Anxiety</w:t>
      </w:r>
      <w:proofErr w:type="spellEnd"/>
      <w:r>
        <w:t xml:space="preserve"> </w:t>
      </w:r>
      <w:proofErr w:type="spellStart"/>
      <w:r>
        <w:t>Scale</w:t>
      </w:r>
      <w:proofErr w:type="spellEnd"/>
      <w:r>
        <w:t xml:space="preserve">. Social </w:t>
      </w:r>
      <w:proofErr w:type="spellStart"/>
      <w:r>
        <w:t>Anxiety</w:t>
      </w:r>
      <w:proofErr w:type="spellEnd"/>
      <w:r>
        <w:t xml:space="preserve"> and </w:t>
      </w:r>
      <w:proofErr w:type="spellStart"/>
      <w:r>
        <w:t>Distress</w:t>
      </w:r>
      <w:proofErr w:type="spellEnd"/>
      <w:r>
        <w:t xml:space="preserve"> </w:t>
      </w:r>
      <w:proofErr w:type="spellStart"/>
      <w:r>
        <w:t>Scale</w:t>
      </w:r>
      <w:proofErr w:type="spellEnd"/>
      <w:r>
        <w:t xml:space="preserve"> y Sheehan </w:t>
      </w:r>
      <w:proofErr w:type="spellStart"/>
      <w:r>
        <w:t>Disability</w:t>
      </w:r>
      <w:proofErr w:type="spellEnd"/>
      <w:r>
        <w:t xml:space="preserve"> </w:t>
      </w:r>
      <w:proofErr w:type="spellStart"/>
      <w:r>
        <w:t>Inventory</w:t>
      </w:r>
      <w:proofErr w:type="spellEnd"/>
      <w:r>
        <w:t xml:space="preserve"> para la evaluación de la fobia social. </w:t>
      </w:r>
      <w:r>
        <w:rPr>
          <w:i/>
        </w:rPr>
        <w:t>Medicina Clínica</w:t>
      </w:r>
      <w:r>
        <w:t xml:space="preserve">, </w:t>
      </w:r>
      <w:r>
        <w:rPr>
          <w:i/>
        </w:rPr>
        <w:t>112</w:t>
      </w:r>
      <w:r>
        <w:t xml:space="preserve">. 14–16. </w:t>
      </w:r>
      <w:hyperlink r:id="rId21">
        <w:r w:rsidR="00E75227">
          <w:rPr>
            <w:color w:val="1155CC"/>
            <w:u w:val="single"/>
          </w:rPr>
          <w:t>https://dialnet.unirioja.es/servlet/articulo?codigo=9118046</w:t>
        </w:r>
      </w:hyperlink>
    </w:p>
    <w:p w14:paraId="0ED9E943" w14:textId="77777777" w:rsidR="00E75227" w:rsidRPr="00416B2C" w:rsidRDefault="00000000">
      <w:pPr>
        <w:spacing w:line="360" w:lineRule="auto"/>
        <w:ind w:left="720"/>
        <w:rPr>
          <w:lang w:val="en-US"/>
        </w:rPr>
      </w:pPr>
      <w:proofErr w:type="spellStart"/>
      <w:r w:rsidRPr="00416B2C">
        <w:rPr>
          <w:lang w:val="en-US"/>
        </w:rPr>
        <w:t>Boeldt</w:t>
      </w:r>
      <w:proofErr w:type="spellEnd"/>
      <w:r w:rsidRPr="00416B2C">
        <w:rPr>
          <w:lang w:val="en-US"/>
        </w:rPr>
        <w:t xml:space="preserve">, D., McMahon, E., McFaul, M. y Greenleaf, W. (2019). Using virtual reality exposure therapy to enhance treatment of anxiety disorders: Identifying areas of clinical adoption and potential obstacles. </w:t>
      </w:r>
      <w:r w:rsidRPr="00416B2C">
        <w:rPr>
          <w:i/>
          <w:lang w:val="en-US"/>
        </w:rPr>
        <w:t>Frontiers in Psychiatry</w:t>
      </w:r>
      <w:r w:rsidRPr="00416B2C">
        <w:rPr>
          <w:lang w:val="en-US"/>
        </w:rPr>
        <w:t xml:space="preserve">, </w:t>
      </w:r>
      <w:r w:rsidRPr="00416B2C">
        <w:rPr>
          <w:i/>
          <w:lang w:val="en-US"/>
        </w:rPr>
        <w:t>10</w:t>
      </w:r>
      <w:r w:rsidRPr="00416B2C">
        <w:rPr>
          <w:lang w:val="en-US"/>
        </w:rPr>
        <w:t xml:space="preserve">. </w:t>
      </w:r>
      <w:hyperlink r:id="rId22">
        <w:r w:rsidR="00E75227" w:rsidRPr="00416B2C">
          <w:rPr>
            <w:color w:val="1155CC"/>
            <w:u w:val="single"/>
            <w:lang w:val="en-US"/>
          </w:rPr>
          <w:t>https://doi.org/10.3389/fpsyt.2019.00773</w:t>
        </w:r>
      </w:hyperlink>
    </w:p>
    <w:p w14:paraId="58D660A4" w14:textId="77777777" w:rsidR="00E75227" w:rsidRDefault="00000000">
      <w:pPr>
        <w:spacing w:line="360" w:lineRule="auto"/>
        <w:ind w:left="720"/>
      </w:pPr>
      <w:r w:rsidRPr="00416B2C">
        <w:rPr>
          <w:lang w:val="en-US"/>
        </w:rPr>
        <w:t xml:space="preserve"> Brown, T. y Morrissey, L. (2004). The effectiveness of verbal self‐guidance as a transfer of training intervention: Its impact on presentation performance, self-efficacy and anxiety. </w:t>
      </w:r>
      <w:proofErr w:type="spellStart"/>
      <w:r>
        <w:rPr>
          <w:i/>
        </w:rPr>
        <w:t>Innovations</w:t>
      </w:r>
      <w:proofErr w:type="spellEnd"/>
      <w:r>
        <w:rPr>
          <w:i/>
        </w:rPr>
        <w:t xml:space="preserve"> in </w:t>
      </w:r>
      <w:proofErr w:type="spellStart"/>
      <w:r>
        <w:rPr>
          <w:i/>
        </w:rPr>
        <w:t>Education</w:t>
      </w:r>
      <w:proofErr w:type="spellEnd"/>
      <w:r>
        <w:rPr>
          <w:i/>
        </w:rPr>
        <w:t xml:space="preserve"> and </w:t>
      </w:r>
      <w:proofErr w:type="spellStart"/>
      <w:r>
        <w:rPr>
          <w:i/>
        </w:rPr>
        <w:t>Teaching</w:t>
      </w:r>
      <w:proofErr w:type="spellEnd"/>
      <w:r>
        <w:rPr>
          <w:i/>
        </w:rPr>
        <w:t xml:space="preserve"> International</w:t>
      </w:r>
      <w:r>
        <w:t xml:space="preserve">, </w:t>
      </w:r>
      <w:r>
        <w:rPr>
          <w:i/>
        </w:rPr>
        <w:t>41</w:t>
      </w:r>
      <w:r>
        <w:t xml:space="preserve">(3), 255–271. </w:t>
      </w:r>
      <w:hyperlink r:id="rId23">
        <w:r w:rsidR="00E75227">
          <w:rPr>
            <w:color w:val="1155CC"/>
            <w:u w:val="single"/>
          </w:rPr>
          <w:t>https://doi.org/10.1080/14703290410001733302</w:t>
        </w:r>
      </w:hyperlink>
    </w:p>
    <w:p w14:paraId="33466159" w14:textId="77777777" w:rsidR="00E75227" w:rsidRDefault="00000000">
      <w:pPr>
        <w:spacing w:line="360" w:lineRule="auto"/>
        <w:ind w:left="720" w:hanging="720"/>
      </w:pPr>
      <w:proofErr w:type="spellStart"/>
      <w:r>
        <w:t>Chard</w:t>
      </w:r>
      <w:proofErr w:type="spellEnd"/>
      <w:r>
        <w:t xml:space="preserve">, I. y van </w:t>
      </w:r>
      <w:proofErr w:type="spellStart"/>
      <w:r>
        <w:t>Zalk</w:t>
      </w:r>
      <w:proofErr w:type="spellEnd"/>
      <w:r>
        <w:t xml:space="preserve"> N. (2022). </w:t>
      </w:r>
      <w:r w:rsidRPr="00416B2C">
        <w:rPr>
          <w:lang w:val="en-US"/>
        </w:rPr>
        <w:t xml:space="preserve">Virtual reality exposure therapy for treating social anxiety: A scoping review of treatment designs and adaptation to stuttering. </w:t>
      </w:r>
      <w:proofErr w:type="spellStart"/>
      <w:r>
        <w:rPr>
          <w:i/>
        </w:rPr>
        <w:t>Frontiers</w:t>
      </w:r>
      <w:proofErr w:type="spellEnd"/>
      <w:r>
        <w:rPr>
          <w:i/>
        </w:rPr>
        <w:t xml:space="preserve"> in Digital </w:t>
      </w:r>
      <w:proofErr w:type="spellStart"/>
      <w:r>
        <w:rPr>
          <w:i/>
        </w:rPr>
        <w:t>Health</w:t>
      </w:r>
      <w:proofErr w:type="spellEnd"/>
      <w:r>
        <w:t xml:space="preserve">, </w:t>
      </w:r>
      <w:r>
        <w:rPr>
          <w:i/>
        </w:rPr>
        <w:t>4</w:t>
      </w:r>
      <w:r>
        <w:t xml:space="preserve">, 842460. </w:t>
      </w:r>
      <w:hyperlink r:id="rId24">
        <w:r w:rsidR="00E75227">
          <w:rPr>
            <w:color w:val="1155CC"/>
            <w:u w:val="single"/>
          </w:rPr>
          <w:t>https://doi.org/10.3389/fdgth.2022.842460</w:t>
        </w:r>
      </w:hyperlink>
    </w:p>
    <w:p w14:paraId="2E117125" w14:textId="77777777" w:rsidR="00E75227" w:rsidRPr="00416B2C" w:rsidRDefault="00000000">
      <w:pPr>
        <w:spacing w:line="360" w:lineRule="auto"/>
        <w:ind w:left="720" w:hanging="720"/>
        <w:rPr>
          <w:lang w:val="en-US"/>
        </w:rPr>
      </w:pPr>
      <w:r w:rsidRPr="00416B2C">
        <w:rPr>
          <w:lang w:val="en-US"/>
        </w:rPr>
        <w:t xml:space="preserve">Chesham, R. K., </w:t>
      </w:r>
      <w:proofErr w:type="spellStart"/>
      <w:r w:rsidRPr="00416B2C">
        <w:rPr>
          <w:lang w:val="en-US"/>
        </w:rPr>
        <w:t>Malouff</w:t>
      </w:r>
      <w:proofErr w:type="spellEnd"/>
      <w:r w:rsidRPr="00416B2C">
        <w:rPr>
          <w:lang w:val="en-US"/>
        </w:rPr>
        <w:t xml:space="preserve">, J. M. y Schutte, N. S. (2018). Meta-Analysis of the efficacy of virtual reality exposure therapy for social anxiety. </w:t>
      </w:r>
      <w:proofErr w:type="spellStart"/>
      <w:r w:rsidRPr="00416B2C">
        <w:rPr>
          <w:i/>
          <w:lang w:val="en-US"/>
        </w:rPr>
        <w:t>Behaviour</w:t>
      </w:r>
      <w:proofErr w:type="spellEnd"/>
      <w:r w:rsidRPr="00416B2C">
        <w:rPr>
          <w:i/>
          <w:lang w:val="en-US"/>
        </w:rPr>
        <w:t xml:space="preserve"> Change</w:t>
      </w:r>
      <w:r w:rsidRPr="00416B2C">
        <w:rPr>
          <w:lang w:val="en-US"/>
        </w:rPr>
        <w:t xml:space="preserve">, </w:t>
      </w:r>
      <w:r w:rsidRPr="00416B2C">
        <w:rPr>
          <w:i/>
          <w:lang w:val="en-US"/>
        </w:rPr>
        <w:t>35</w:t>
      </w:r>
      <w:r w:rsidRPr="00416B2C">
        <w:rPr>
          <w:lang w:val="en-US"/>
        </w:rPr>
        <w:t xml:space="preserve">(3), 1–15. </w:t>
      </w:r>
      <w:hyperlink r:id="rId25">
        <w:r w:rsidR="00E75227" w:rsidRPr="00416B2C">
          <w:rPr>
            <w:color w:val="1155CC"/>
            <w:u w:val="single"/>
            <w:lang w:val="en-US"/>
          </w:rPr>
          <w:t>https://doi.org/10.1017/bec.2018.15</w:t>
        </w:r>
      </w:hyperlink>
    </w:p>
    <w:p w14:paraId="6E2E5BCD" w14:textId="77777777" w:rsidR="00E75227" w:rsidRPr="00416B2C" w:rsidRDefault="00000000">
      <w:pPr>
        <w:spacing w:line="360" w:lineRule="auto"/>
        <w:ind w:left="720" w:hanging="720"/>
        <w:rPr>
          <w:lang w:val="en-US"/>
        </w:rPr>
      </w:pPr>
      <w:r w:rsidRPr="00416B2C">
        <w:rPr>
          <w:lang w:val="en-US"/>
        </w:rPr>
        <w:t xml:space="preserve">Clark, D. y Beck, A. (2012). </w:t>
      </w:r>
      <w:proofErr w:type="spellStart"/>
      <w:r w:rsidRPr="00416B2C">
        <w:rPr>
          <w:i/>
          <w:lang w:val="en-US"/>
        </w:rPr>
        <w:t>Terapia</w:t>
      </w:r>
      <w:proofErr w:type="spellEnd"/>
      <w:r w:rsidRPr="00416B2C">
        <w:rPr>
          <w:i/>
          <w:lang w:val="en-US"/>
        </w:rPr>
        <w:t xml:space="preserve"> </w:t>
      </w:r>
      <w:proofErr w:type="spellStart"/>
      <w:r w:rsidRPr="00416B2C">
        <w:rPr>
          <w:i/>
          <w:lang w:val="en-US"/>
        </w:rPr>
        <w:t>cognitiva</w:t>
      </w:r>
      <w:proofErr w:type="spellEnd"/>
      <w:r w:rsidRPr="00416B2C">
        <w:rPr>
          <w:i/>
          <w:lang w:val="en-US"/>
        </w:rPr>
        <w:t xml:space="preserve"> para </w:t>
      </w:r>
      <w:proofErr w:type="spellStart"/>
      <w:r w:rsidRPr="00416B2C">
        <w:rPr>
          <w:i/>
          <w:lang w:val="en-US"/>
        </w:rPr>
        <w:t>trastornos</w:t>
      </w:r>
      <w:proofErr w:type="spellEnd"/>
      <w:r w:rsidRPr="00416B2C">
        <w:rPr>
          <w:i/>
          <w:lang w:val="en-US"/>
        </w:rPr>
        <w:t xml:space="preserve"> de </w:t>
      </w:r>
      <w:proofErr w:type="spellStart"/>
      <w:r w:rsidRPr="00416B2C">
        <w:rPr>
          <w:i/>
          <w:lang w:val="en-US"/>
        </w:rPr>
        <w:t>ansiedad</w:t>
      </w:r>
      <w:proofErr w:type="spellEnd"/>
      <w:r w:rsidRPr="00416B2C">
        <w:rPr>
          <w:lang w:val="en-US"/>
        </w:rPr>
        <w:t xml:space="preserve">. Bilbao: </w:t>
      </w:r>
      <w:proofErr w:type="spellStart"/>
      <w:r w:rsidRPr="00416B2C">
        <w:rPr>
          <w:lang w:val="en-US"/>
        </w:rPr>
        <w:t>Desclée</w:t>
      </w:r>
      <w:proofErr w:type="spellEnd"/>
      <w:r w:rsidRPr="00416B2C">
        <w:rPr>
          <w:lang w:val="en-US"/>
        </w:rPr>
        <w:t xml:space="preserve"> de Brouwer.</w:t>
      </w:r>
    </w:p>
    <w:p w14:paraId="0384ACA1" w14:textId="77777777" w:rsidR="00E75227" w:rsidRDefault="00000000">
      <w:pPr>
        <w:spacing w:line="360" w:lineRule="auto"/>
        <w:ind w:left="720"/>
      </w:pPr>
      <w:r w:rsidRPr="00416B2C">
        <w:rPr>
          <w:lang w:val="en-US"/>
        </w:rPr>
        <w:t xml:space="preserve">Clark, D. M. y Wells, A. (1995). A cognitive model of social phobia. En R. Heimberg, M. Liebowitz, D. A. Hope y F. R. Schneier (Eds.), </w:t>
      </w:r>
      <w:r w:rsidRPr="00416B2C">
        <w:rPr>
          <w:i/>
          <w:lang w:val="en-US"/>
        </w:rPr>
        <w:t>Social phobia: Diagnosis, assessment and treatment,</w:t>
      </w:r>
      <w:r w:rsidRPr="00416B2C">
        <w:rPr>
          <w:lang w:val="en-US"/>
        </w:rPr>
        <w:t xml:space="preserve"> 69–93. </w:t>
      </w:r>
      <w:r>
        <w:t xml:space="preserve">Guilford </w:t>
      </w:r>
      <w:proofErr w:type="spellStart"/>
      <w:r>
        <w:t>Press</w:t>
      </w:r>
      <w:proofErr w:type="spellEnd"/>
      <w:r>
        <w:t xml:space="preserve">. </w:t>
      </w:r>
      <w:hyperlink r:id="rId26">
        <w:r w:rsidR="00E75227">
          <w:rPr>
            <w:color w:val="1155CC"/>
            <w:u w:val="single"/>
          </w:rPr>
          <w:t>https://psycnet.apa.org/record/1995-98887-004</w:t>
        </w:r>
      </w:hyperlink>
    </w:p>
    <w:p w14:paraId="13DF585C" w14:textId="77777777" w:rsidR="00E75227" w:rsidRDefault="00000000">
      <w:pPr>
        <w:spacing w:line="360" w:lineRule="auto"/>
        <w:ind w:left="720"/>
      </w:pPr>
      <w:r>
        <w:t xml:space="preserve">Comeche, M. I., Díaz, M.I. y Vallejo, M. A. (1995). </w:t>
      </w:r>
      <w:r>
        <w:rPr>
          <w:i/>
        </w:rPr>
        <w:t>Cuestionarios, inventarios y escalas: Ansiedad, depresión, habilidades sociales</w:t>
      </w:r>
      <w:r>
        <w:t xml:space="preserve">. Fundación Universidad-Empresa. </w:t>
      </w:r>
      <w:hyperlink r:id="rId27">
        <w:r w:rsidR="00E75227">
          <w:rPr>
            <w:color w:val="1155CC"/>
            <w:u w:val="single"/>
          </w:rPr>
          <w:t>https://www.ncbi.nlm.nih.gov/nlmcatalog/100864584</w:t>
        </w:r>
      </w:hyperlink>
      <w:r>
        <w:t xml:space="preserve"> </w:t>
      </w:r>
    </w:p>
    <w:p w14:paraId="7A4D79EA" w14:textId="77777777" w:rsidR="00E75227" w:rsidRPr="00416B2C" w:rsidRDefault="00000000">
      <w:pPr>
        <w:spacing w:line="360" w:lineRule="auto"/>
        <w:ind w:left="720"/>
        <w:rPr>
          <w:highlight w:val="white"/>
          <w:lang w:val="pt-BR"/>
        </w:rPr>
      </w:pPr>
      <w:r>
        <w:rPr>
          <w:highlight w:val="white"/>
        </w:rPr>
        <w:t xml:space="preserve">Comisión Económica para América Latina y el Caribe (2021). </w:t>
      </w:r>
      <w:r>
        <w:rPr>
          <w:i/>
          <w:highlight w:val="white"/>
        </w:rPr>
        <w:t>Datos y hechos sobre la transformación digital</w:t>
      </w:r>
      <w:r>
        <w:rPr>
          <w:highlight w:val="white"/>
        </w:rPr>
        <w:t xml:space="preserve">. </w:t>
      </w:r>
      <w:r w:rsidRPr="00416B2C">
        <w:rPr>
          <w:highlight w:val="white"/>
          <w:lang w:val="pt-BR"/>
        </w:rPr>
        <w:t xml:space="preserve">CEPAL </w:t>
      </w:r>
      <w:hyperlink r:id="rId28">
        <w:r w:rsidR="00E75227" w:rsidRPr="00416B2C">
          <w:rPr>
            <w:color w:val="1155CC"/>
            <w:highlight w:val="white"/>
            <w:u w:val="single"/>
            <w:lang w:val="pt-BR"/>
          </w:rPr>
          <w:t>https://www.cepal.org/es/publicaciones/46766-datos-hechos-la-transformacion-digital-informe-principales-indicadores-adopcion</w:t>
        </w:r>
      </w:hyperlink>
      <w:r w:rsidRPr="00416B2C">
        <w:rPr>
          <w:highlight w:val="white"/>
          <w:lang w:val="pt-BR"/>
        </w:rPr>
        <w:t xml:space="preserve"> </w:t>
      </w:r>
    </w:p>
    <w:p w14:paraId="094B0491" w14:textId="77777777" w:rsidR="00E75227" w:rsidRPr="00416B2C" w:rsidRDefault="00000000">
      <w:pPr>
        <w:spacing w:line="360" w:lineRule="auto"/>
        <w:ind w:left="720"/>
        <w:rPr>
          <w:lang w:val="en-US"/>
        </w:rPr>
      </w:pPr>
      <w:proofErr w:type="spellStart"/>
      <w:r w:rsidRPr="00416B2C">
        <w:rPr>
          <w:lang w:val="en-US"/>
        </w:rPr>
        <w:lastRenderedPageBreak/>
        <w:t>Craske</w:t>
      </w:r>
      <w:proofErr w:type="spellEnd"/>
      <w:r w:rsidRPr="00416B2C">
        <w:rPr>
          <w:lang w:val="en-US"/>
        </w:rPr>
        <w:t xml:space="preserve">, M., Treanor, M., Conway, C., </w:t>
      </w:r>
      <w:proofErr w:type="spellStart"/>
      <w:r w:rsidRPr="00416B2C">
        <w:rPr>
          <w:lang w:val="en-US"/>
        </w:rPr>
        <w:t>Zbozinek</w:t>
      </w:r>
      <w:proofErr w:type="spellEnd"/>
      <w:r w:rsidRPr="00416B2C">
        <w:rPr>
          <w:lang w:val="en-US"/>
        </w:rPr>
        <w:t xml:space="preserve">, T. y </w:t>
      </w:r>
      <w:proofErr w:type="spellStart"/>
      <w:r w:rsidRPr="00416B2C">
        <w:rPr>
          <w:lang w:val="en-US"/>
        </w:rPr>
        <w:t>Vervliet</w:t>
      </w:r>
      <w:proofErr w:type="spellEnd"/>
      <w:r w:rsidRPr="00416B2C">
        <w:rPr>
          <w:lang w:val="en-US"/>
        </w:rPr>
        <w:t xml:space="preserve">, B. (2014). Maximizing exposure therapy: An inhibitory learning approach. </w:t>
      </w:r>
      <w:r w:rsidRPr="00416B2C">
        <w:rPr>
          <w:i/>
          <w:lang w:val="en-US"/>
        </w:rPr>
        <w:t>Behavior research and therapy, 58,</w:t>
      </w:r>
      <w:r w:rsidRPr="00416B2C">
        <w:rPr>
          <w:lang w:val="en-US"/>
        </w:rPr>
        <w:t xml:space="preserve"> 10–23. </w:t>
      </w:r>
      <w:hyperlink r:id="rId29">
        <w:r w:rsidR="00E75227" w:rsidRPr="00416B2C">
          <w:rPr>
            <w:color w:val="1155CC"/>
            <w:u w:val="single"/>
            <w:lang w:val="en-US"/>
          </w:rPr>
          <w:t>https://doi.org/10.1016/j.brat.2014.04.006</w:t>
        </w:r>
      </w:hyperlink>
    </w:p>
    <w:p w14:paraId="1DFADA36" w14:textId="77777777" w:rsidR="00E75227" w:rsidRDefault="00000000">
      <w:pPr>
        <w:spacing w:line="360" w:lineRule="auto"/>
        <w:ind w:left="720"/>
      </w:pPr>
      <w:proofErr w:type="spellStart"/>
      <w:r w:rsidRPr="00416B2C">
        <w:rPr>
          <w:lang w:val="en-US"/>
        </w:rPr>
        <w:t>Crome</w:t>
      </w:r>
      <w:proofErr w:type="spellEnd"/>
      <w:r w:rsidRPr="00416B2C">
        <w:rPr>
          <w:lang w:val="en-US"/>
        </w:rPr>
        <w:t xml:space="preserve">, E., Grove, R., Baillie, A. J., Sunderland, M., </w:t>
      </w:r>
      <w:proofErr w:type="spellStart"/>
      <w:r w:rsidRPr="00416B2C">
        <w:rPr>
          <w:lang w:val="en-US"/>
        </w:rPr>
        <w:t>Teesson</w:t>
      </w:r>
      <w:proofErr w:type="spellEnd"/>
      <w:r w:rsidRPr="00416B2C">
        <w:rPr>
          <w:lang w:val="en-US"/>
        </w:rPr>
        <w:t xml:space="preserve">, M. y Slade, T. (2015). DSM-IV and DSM-5 social anxiety disorder in the Australian community. </w:t>
      </w:r>
      <w:proofErr w:type="spellStart"/>
      <w:r>
        <w:rPr>
          <w:i/>
        </w:rPr>
        <w:t>Australian</w:t>
      </w:r>
      <w:proofErr w:type="spellEnd"/>
      <w:r>
        <w:rPr>
          <w:i/>
        </w:rPr>
        <w:t xml:space="preserve"> &amp; New </w:t>
      </w:r>
      <w:proofErr w:type="spellStart"/>
      <w:r>
        <w:rPr>
          <w:i/>
        </w:rPr>
        <w:t>Zealand</w:t>
      </w:r>
      <w:proofErr w:type="spellEnd"/>
      <w:r>
        <w:rPr>
          <w:i/>
        </w:rPr>
        <w:t xml:space="preserve"> </w:t>
      </w:r>
      <w:proofErr w:type="spellStart"/>
      <w:r>
        <w:rPr>
          <w:i/>
        </w:rPr>
        <w:t>Journal</w:t>
      </w:r>
      <w:proofErr w:type="spellEnd"/>
      <w:r>
        <w:rPr>
          <w:i/>
        </w:rPr>
        <w:t xml:space="preserve"> </w:t>
      </w:r>
      <w:proofErr w:type="spellStart"/>
      <w:r>
        <w:rPr>
          <w:i/>
        </w:rPr>
        <w:t>of</w:t>
      </w:r>
      <w:proofErr w:type="spellEnd"/>
      <w:r>
        <w:rPr>
          <w:i/>
        </w:rPr>
        <w:t xml:space="preserve"> </w:t>
      </w:r>
      <w:proofErr w:type="spellStart"/>
      <w:r>
        <w:rPr>
          <w:i/>
        </w:rPr>
        <w:t>Psychiatry</w:t>
      </w:r>
      <w:proofErr w:type="spellEnd"/>
      <w:r>
        <w:t xml:space="preserve">, </w:t>
      </w:r>
      <w:r>
        <w:rPr>
          <w:i/>
        </w:rPr>
        <w:t>49</w:t>
      </w:r>
      <w:r>
        <w:t xml:space="preserve">(3), 227–235. </w:t>
      </w:r>
      <w:hyperlink r:id="rId30">
        <w:r w:rsidR="00E75227">
          <w:rPr>
            <w:color w:val="1155CC"/>
            <w:u w:val="single"/>
          </w:rPr>
          <w:t>https://doi.org/10.1177/0004867414546699</w:t>
        </w:r>
      </w:hyperlink>
    </w:p>
    <w:p w14:paraId="3B92118D" w14:textId="77777777" w:rsidR="00E75227" w:rsidRDefault="00000000">
      <w:pPr>
        <w:spacing w:line="360" w:lineRule="auto"/>
        <w:ind w:left="720"/>
      </w:pPr>
      <w:proofErr w:type="spellStart"/>
      <w:r w:rsidRPr="00416B2C">
        <w:rPr>
          <w:lang w:val="en-US"/>
        </w:rPr>
        <w:t>Emmelkamp</w:t>
      </w:r>
      <w:proofErr w:type="spellEnd"/>
      <w:r w:rsidRPr="00416B2C">
        <w:rPr>
          <w:lang w:val="en-US"/>
        </w:rPr>
        <w:t xml:space="preserve">, P. M., </w:t>
      </w:r>
      <w:proofErr w:type="spellStart"/>
      <w:r w:rsidRPr="00416B2C">
        <w:rPr>
          <w:lang w:val="en-US"/>
        </w:rPr>
        <w:t>Meyerbröker</w:t>
      </w:r>
      <w:proofErr w:type="spellEnd"/>
      <w:r w:rsidRPr="00416B2C">
        <w:rPr>
          <w:lang w:val="en-US"/>
        </w:rPr>
        <w:t xml:space="preserve">, K. y Morina, N. (2020). Virtual reality therapy in social anxiety disorder. </w:t>
      </w:r>
      <w:proofErr w:type="spellStart"/>
      <w:r>
        <w:t>Current</w:t>
      </w:r>
      <w:proofErr w:type="spellEnd"/>
      <w:r>
        <w:t xml:space="preserve"> </w:t>
      </w:r>
      <w:proofErr w:type="spellStart"/>
      <w:r>
        <w:t>Psychiatry</w:t>
      </w:r>
      <w:proofErr w:type="spellEnd"/>
      <w:r>
        <w:t xml:space="preserve"> </w:t>
      </w:r>
      <w:proofErr w:type="spellStart"/>
      <w:r>
        <w:t>Reports</w:t>
      </w:r>
      <w:proofErr w:type="spellEnd"/>
      <w:r>
        <w:t xml:space="preserve">, 22(7), 32. </w:t>
      </w:r>
      <w:hyperlink r:id="rId31">
        <w:r w:rsidR="00E75227">
          <w:rPr>
            <w:color w:val="1155CC"/>
            <w:u w:val="single"/>
          </w:rPr>
          <w:t>https://doi.org/10.1007/s11920-020-01156-1</w:t>
        </w:r>
      </w:hyperlink>
      <w:r>
        <w:t xml:space="preserve"> </w:t>
      </w:r>
    </w:p>
    <w:p w14:paraId="6DB81015" w14:textId="77777777" w:rsidR="00E75227" w:rsidRPr="00416B2C" w:rsidRDefault="00000000">
      <w:pPr>
        <w:spacing w:line="360" w:lineRule="auto"/>
        <w:ind w:left="720"/>
        <w:rPr>
          <w:lang w:val="en-US"/>
        </w:rPr>
      </w:pPr>
      <w:r>
        <w:t xml:space="preserve">Errázuriz, A., </w:t>
      </w:r>
      <w:proofErr w:type="spellStart"/>
      <w:r>
        <w:t>Passi</w:t>
      </w:r>
      <w:proofErr w:type="spellEnd"/>
      <w:r>
        <w:t xml:space="preserve"> Solar, A., Beltrán, R., Paz, C., Evans, C. y De la Parra, G. (2024). </w:t>
      </w:r>
      <w:r w:rsidRPr="00416B2C">
        <w:rPr>
          <w:lang w:val="en-US"/>
        </w:rPr>
        <w:t xml:space="preserve">Psychometric properties of the Spanish version of the Clinical Outcomes in Routine Evaluation Outcome Measure (CORE-OM) in Chile. </w:t>
      </w:r>
      <w:r w:rsidRPr="00416B2C">
        <w:rPr>
          <w:i/>
          <w:lang w:val="en-US"/>
        </w:rPr>
        <w:t>Psychotherapy Research</w:t>
      </w:r>
      <w:r w:rsidRPr="00416B2C">
        <w:rPr>
          <w:lang w:val="en-US"/>
        </w:rPr>
        <w:t xml:space="preserve">, 1–13. </w:t>
      </w:r>
      <w:hyperlink r:id="rId32">
        <w:r w:rsidR="00E75227" w:rsidRPr="00416B2C">
          <w:rPr>
            <w:color w:val="1155CC"/>
            <w:u w:val="single"/>
            <w:lang w:val="en-US"/>
          </w:rPr>
          <w:t>https://doi.org/10.1080/10503307.2024.2356195</w:t>
        </w:r>
      </w:hyperlink>
      <w:r w:rsidRPr="00416B2C">
        <w:rPr>
          <w:lang w:val="en-US"/>
        </w:rPr>
        <w:t xml:space="preserve"> </w:t>
      </w:r>
    </w:p>
    <w:p w14:paraId="494DE8DE" w14:textId="77777777" w:rsidR="00E75227" w:rsidRDefault="00000000">
      <w:pPr>
        <w:spacing w:line="360" w:lineRule="auto"/>
        <w:ind w:left="720"/>
      </w:pPr>
      <w:proofErr w:type="spellStart"/>
      <w:r w:rsidRPr="00416B2C">
        <w:rPr>
          <w:lang w:val="en-US"/>
        </w:rPr>
        <w:t>Faul</w:t>
      </w:r>
      <w:proofErr w:type="spellEnd"/>
      <w:r w:rsidRPr="00416B2C">
        <w:rPr>
          <w:lang w:val="en-US"/>
        </w:rPr>
        <w:t xml:space="preserve">, F., </w:t>
      </w:r>
      <w:proofErr w:type="spellStart"/>
      <w:r w:rsidRPr="00416B2C">
        <w:rPr>
          <w:lang w:val="en-US"/>
        </w:rPr>
        <w:t>Erdfelder</w:t>
      </w:r>
      <w:proofErr w:type="spellEnd"/>
      <w:r w:rsidRPr="00416B2C">
        <w:rPr>
          <w:lang w:val="en-US"/>
        </w:rPr>
        <w:t xml:space="preserve">, E., Lang, A. G. y Buchner, A. (2007). G*Power 3: a flexible statistical power analysis program for the social, behavioral, and biomedical sciences. </w:t>
      </w:r>
      <w:proofErr w:type="spellStart"/>
      <w:r>
        <w:rPr>
          <w:i/>
        </w:rPr>
        <w:t>Behavior</w:t>
      </w:r>
      <w:proofErr w:type="spellEnd"/>
      <w:r>
        <w:rPr>
          <w:i/>
        </w:rPr>
        <w:t xml:space="preserve"> </w:t>
      </w:r>
      <w:proofErr w:type="spellStart"/>
      <w:r>
        <w:rPr>
          <w:i/>
        </w:rPr>
        <w:t>Research</w:t>
      </w:r>
      <w:proofErr w:type="spellEnd"/>
      <w:r>
        <w:rPr>
          <w:i/>
        </w:rPr>
        <w:t xml:space="preserve"> </w:t>
      </w:r>
      <w:proofErr w:type="spellStart"/>
      <w:r>
        <w:rPr>
          <w:i/>
        </w:rPr>
        <w:t>Methods</w:t>
      </w:r>
      <w:proofErr w:type="spellEnd"/>
      <w:r>
        <w:t xml:space="preserve">, 39(2), 175–91. </w:t>
      </w:r>
      <w:hyperlink r:id="rId33">
        <w:r w:rsidR="00E75227">
          <w:rPr>
            <w:color w:val="1155CC"/>
            <w:u w:val="single"/>
          </w:rPr>
          <w:t>https://doi.org/10.3758/bf03193146</w:t>
        </w:r>
      </w:hyperlink>
    </w:p>
    <w:p w14:paraId="4CEB7493" w14:textId="77777777" w:rsidR="00E75227" w:rsidRDefault="00000000">
      <w:pPr>
        <w:spacing w:line="360" w:lineRule="auto"/>
        <w:ind w:left="720"/>
      </w:pPr>
      <w:proofErr w:type="spellStart"/>
      <w:r>
        <w:t>Feixas</w:t>
      </w:r>
      <w:proofErr w:type="spellEnd"/>
      <w:r>
        <w:t xml:space="preserve">, G., Evans, C., Trujillo, A., Saúl, L. A., Botella, L., Corbella, S., González, E., Bados, A., </w:t>
      </w:r>
      <w:proofErr w:type="spellStart"/>
      <w:r>
        <w:t>Garcia</w:t>
      </w:r>
      <w:proofErr w:type="spellEnd"/>
      <w:r>
        <w:t xml:space="preserve">-Grau, E. y López-González, M. A. (2012). La versión española del CORE-OM: </w:t>
      </w:r>
      <w:proofErr w:type="spellStart"/>
      <w:r>
        <w:t>Clinical</w:t>
      </w:r>
      <w:proofErr w:type="spellEnd"/>
      <w:r>
        <w:t xml:space="preserve"> </w:t>
      </w:r>
      <w:proofErr w:type="spellStart"/>
      <w:r>
        <w:t>Outcomes</w:t>
      </w:r>
      <w:proofErr w:type="spellEnd"/>
      <w:r>
        <w:t xml:space="preserve"> in </w:t>
      </w:r>
      <w:proofErr w:type="spellStart"/>
      <w:r>
        <w:t>Routine</w:t>
      </w:r>
      <w:proofErr w:type="spellEnd"/>
      <w:r>
        <w:t xml:space="preserve"> </w:t>
      </w:r>
      <w:proofErr w:type="spellStart"/>
      <w:r>
        <w:t>Evaluation</w:t>
      </w:r>
      <w:proofErr w:type="spellEnd"/>
      <w:r>
        <w:t xml:space="preserve"> - </w:t>
      </w:r>
      <w:proofErr w:type="spellStart"/>
      <w:r>
        <w:t>Outcome</w:t>
      </w:r>
      <w:proofErr w:type="spellEnd"/>
      <w:r>
        <w:t xml:space="preserve"> </w:t>
      </w:r>
      <w:proofErr w:type="spellStart"/>
      <w:r>
        <w:t>Measure</w:t>
      </w:r>
      <w:proofErr w:type="spellEnd"/>
      <w:r>
        <w:t xml:space="preserve">. </w:t>
      </w:r>
      <w:r>
        <w:rPr>
          <w:i/>
        </w:rPr>
        <w:t>Revista de Psicoterapia</w:t>
      </w:r>
      <w:r>
        <w:t xml:space="preserve">, </w:t>
      </w:r>
      <w:r>
        <w:rPr>
          <w:i/>
        </w:rPr>
        <w:t>23</w:t>
      </w:r>
      <w:r>
        <w:t xml:space="preserve">(89), 109–135. </w:t>
      </w:r>
      <w:hyperlink r:id="rId34">
        <w:r w:rsidR="00E75227">
          <w:rPr>
            <w:color w:val="1155CC"/>
            <w:u w:val="single"/>
          </w:rPr>
          <w:t>https://doi.org/10.33898/rdp.v23i89.641</w:t>
        </w:r>
      </w:hyperlink>
      <w:r>
        <w:t xml:space="preserve"> </w:t>
      </w:r>
    </w:p>
    <w:p w14:paraId="7FE402C4" w14:textId="77777777" w:rsidR="00E75227" w:rsidRDefault="00000000">
      <w:pPr>
        <w:spacing w:line="360" w:lineRule="auto"/>
        <w:ind w:left="720"/>
      </w:pPr>
      <w:r w:rsidRPr="00416B2C">
        <w:rPr>
          <w:lang w:val="en-US"/>
        </w:rPr>
        <w:t xml:space="preserve">Freeman, D., Reeve, S., Robinson, A., Ehlers, A., Clark, D., </w:t>
      </w:r>
      <w:proofErr w:type="spellStart"/>
      <w:r w:rsidRPr="00416B2C">
        <w:rPr>
          <w:lang w:val="en-US"/>
        </w:rPr>
        <w:t>Spanlang</w:t>
      </w:r>
      <w:proofErr w:type="spellEnd"/>
      <w:r w:rsidRPr="00416B2C">
        <w:rPr>
          <w:lang w:val="en-US"/>
        </w:rPr>
        <w:t xml:space="preserve">, B. y Slater, M. (2017). Virtual reality in the assessment, understanding, and treatment of mental health disorders. </w:t>
      </w:r>
      <w:proofErr w:type="spellStart"/>
      <w:r>
        <w:rPr>
          <w:i/>
        </w:rPr>
        <w:t>Psychological</w:t>
      </w:r>
      <w:proofErr w:type="spellEnd"/>
      <w:r>
        <w:rPr>
          <w:i/>
        </w:rPr>
        <w:t xml:space="preserve"> Medicine</w:t>
      </w:r>
      <w:r>
        <w:t xml:space="preserve">, </w:t>
      </w:r>
      <w:r>
        <w:rPr>
          <w:i/>
        </w:rPr>
        <w:t>47</w:t>
      </w:r>
      <w:r>
        <w:t xml:space="preserve">(14), 2393–2400. </w:t>
      </w:r>
      <w:hyperlink r:id="rId35">
        <w:r w:rsidR="00E75227">
          <w:rPr>
            <w:color w:val="1155CC"/>
            <w:u w:val="single"/>
          </w:rPr>
          <w:t>https://doi.org/10.1017/S003329171700040X</w:t>
        </w:r>
      </w:hyperlink>
    </w:p>
    <w:p w14:paraId="694B1176" w14:textId="77777777" w:rsidR="00E75227" w:rsidRDefault="00000000">
      <w:pPr>
        <w:spacing w:line="360" w:lineRule="auto"/>
        <w:ind w:left="720"/>
        <w:rPr>
          <w:color w:val="1155CC"/>
          <w:u w:val="single"/>
        </w:rPr>
      </w:pPr>
      <w:r>
        <w:t xml:space="preserve">Gallego, M. J., Botella, C., </w:t>
      </w:r>
      <w:proofErr w:type="spellStart"/>
      <w:r>
        <w:t>Garcia</w:t>
      </w:r>
      <w:proofErr w:type="spellEnd"/>
      <w:r>
        <w:t xml:space="preserve">-Palacios, A., Quero, S. y Baños R. (2010). La escala de </w:t>
      </w:r>
      <w:proofErr w:type="spellStart"/>
      <w:r>
        <w:t>autoverbalizaciones</w:t>
      </w:r>
      <w:proofErr w:type="spellEnd"/>
      <w:r>
        <w:t xml:space="preserve"> durante la situación de hablar en público (SSPS): Propiedades psicométricas en una muestra española de fóbicos sociales. </w:t>
      </w:r>
      <w:r>
        <w:rPr>
          <w:i/>
        </w:rPr>
        <w:t>Psicología conductual, 18</w:t>
      </w:r>
      <w:r>
        <w:t xml:space="preserve">(2), 343–363. </w:t>
      </w:r>
      <w:hyperlink r:id="rId36">
        <w:r w:rsidR="00E75227">
          <w:rPr>
            <w:color w:val="1155CC"/>
            <w:u w:val="single"/>
          </w:rPr>
          <w:t>https://www.behavioralpsycho.com/producto/la-escala-de-autoverbalizaciones-durante-la-situacion-de-hablar-en-publico-ssps-propiedades-psicometricas-en-una-muestra-espanola-de-fobicos-sociales/</w:t>
        </w:r>
      </w:hyperlink>
      <w:r>
        <w:t xml:space="preserve"> </w:t>
      </w:r>
      <w:r>
        <w:fldChar w:fldCharType="begin"/>
      </w:r>
      <w:r>
        <w:instrText xml:space="preserve"> HYPERLINK "https://www.researchgate.net/publication/260478560_Self-statements_during_Public_Speaking_Scale_SSPS_psychometric_properties_in_a_Spanish_sample_of_social_phobics_La_Escala_de_Autoverbalizaciones_Durante_la_Situacion_de_Hablar_en_Publico_SSPS_Propieda" </w:instrText>
      </w:r>
      <w:r>
        <w:fldChar w:fldCharType="separate"/>
      </w:r>
    </w:p>
    <w:p w14:paraId="7FE9CA3C" w14:textId="77777777" w:rsidR="00E75227" w:rsidRPr="00416B2C" w:rsidRDefault="00000000">
      <w:pPr>
        <w:spacing w:line="360" w:lineRule="auto"/>
        <w:ind w:left="720"/>
        <w:rPr>
          <w:lang w:val="en-US"/>
        </w:rPr>
      </w:pPr>
      <w:r>
        <w:fldChar w:fldCharType="end"/>
      </w:r>
      <w:r>
        <w:t xml:space="preserve">García-López, L. J., Olivares, J., Turner, S., </w:t>
      </w:r>
      <w:proofErr w:type="spellStart"/>
      <w:r>
        <w:t>Beidel</w:t>
      </w:r>
      <w:proofErr w:type="spellEnd"/>
      <w:r>
        <w:t xml:space="preserve">, D., Albano, A. y Sánchez-Meca, J. (2002). </w:t>
      </w:r>
      <w:r w:rsidRPr="00416B2C">
        <w:rPr>
          <w:lang w:val="en-US"/>
        </w:rPr>
        <w:t xml:space="preserve">Results of long-term among three psychological treatments for adolescents </w:t>
      </w:r>
      <w:r w:rsidRPr="00416B2C">
        <w:rPr>
          <w:lang w:val="en-US"/>
        </w:rPr>
        <w:lastRenderedPageBreak/>
        <w:t xml:space="preserve">with generalized social phobia (II): Clinical significance and effect size. </w:t>
      </w:r>
      <w:proofErr w:type="spellStart"/>
      <w:r w:rsidRPr="00416B2C">
        <w:rPr>
          <w:i/>
          <w:lang w:val="en-US"/>
        </w:rPr>
        <w:t>Psicología</w:t>
      </w:r>
      <w:proofErr w:type="spellEnd"/>
      <w:r w:rsidRPr="00416B2C">
        <w:rPr>
          <w:i/>
          <w:lang w:val="en-US"/>
        </w:rPr>
        <w:t xml:space="preserve"> </w:t>
      </w:r>
      <w:proofErr w:type="spellStart"/>
      <w:r w:rsidRPr="00416B2C">
        <w:rPr>
          <w:i/>
          <w:lang w:val="en-US"/>
        </w:rPr>
        <w:t>Conductual</w:t>
      </w:r>
      <w:proofErr w:type="spellEnd"/>
      <w:r w:rsidRPr="00416B2C">
        <w:rPr>
          <w:i/>
          <w:lang w:val="en-US"/>
        </w:rPr>
        <w:t>, 10,</w:t>
      </w:r>
      <w:r w:rsidRPr="00416B2C">
        <w:rPr>
          <w:lang w:val="en-US"/>
        </w:rPr>
        <w:t xml:space="preserve"> 371–385. </w:t>
      </w:r>
      <w:hyperlink r:id="rId37">
        <w:r w:rsidR="00E75227" w:rsidRPr="00416B2C">
          <w:rPr>
            <w:color w:val="1155CC"/>
            <w:u w:val="single"/>
            <w:lang w:val="en-US"/>
          </w:rPr>
          <w:t>https://psycnet.apa.org/record/2002-06265-008</w:t>
        </w:r>
      </w:hyperlink>
      <w:r w:rsidRPr="00416B2C">
        <w:rPr>
          <w:lang w:val="en-US"/>
        </w:rPr>
        <w:t xml:space="preserve"> </w:t>
      </w:r>
    </w:p>
    <w:p w14:paraId="47004EFE" w14:textId="77777777" w:rsidR="00E75227" w:rsidRPr="00416B2C" w:rsidRDefault="00000000">
      <w:pPr>
        <w:spacing w:line="360" w:lineRule="auto"/>
        <w:ind w:left="720"/>
        <w:rPr>
          <w:lang w:val="en-US"/>
        </w:rPr>
      </w:pPr>
      <w:proofErr w:type="spellStart"/>
      <w:r w:rsidRPr="00416B2C">
        <w:rPr>
          <w:lang w:val="en-US"/>
        </w:rPr>
        <w:t>Gilkinson</w:t>
      </w:r>
      <w:proofErr w:type="spellEnd"/>
      <w:r w:rsidRPr="00416B2C">
        <w:rPr>
          <w:lang w:val="en-US"/>
        </w:rPr>
        <w:t xml:space="preserve">, H. (1942). Social fears reported by students in college speech classes. </w:t>
      </w:r>
      <w:r w:rsidRPr="00416B2C">
        <w:rPr>
          <w:i/>
          <w:lang w:val="en-US"/>
        </w:rPr>
        <w:t xml:space="preserve">Speech Monographs, 9, </w:t>
      </w:r>
      <w:r w:rsidRPr="00416B2C">
        <w:rPr>
          <w:lang w:val="en-US"/>
        </w:rPr>
        <w:t xml:space="preserve">131–160. </w:t>
      </w:r>
      <w:hyperlink r:id="rId38">
        <w:r w:rsidR="00E75227" w:rsidRPr="00416B2C">
          <w:rPr>
            <w:color w:val="1155CC"/>
            <w:u w:val="single"/>
            <w:lang w:val="en-US"/>
          </w:rPr>
          <w:t>https://doi.org/10.1080/03637754209390068</w:t>
        </w:r>
      </w:hyperlink>
      <w:r w:rsidRPr="00416B2C">
        <w:rPr>
          <w:lang w:val="en-US"/>
        </w:rPr>
        <w:t xml:space="preserve"> </w:t>
      </w:r>
    </w:p>
    <w:p w14:paraId="71E32F07" w14:textId="77777777" w:rsidR="00E75227" w:rsidRPr="00416B2C" w:rsidRDefault="00000000">
      <w:pPr>
        <w:spacing w:line="360" w:lineRule="auto"/>
        <w:ind w:left="720"/>
        <w:rPr>
          <w:lang w:val="en-US"/>
        </w:rPr>
      </w:pPr>
      <w:proofErr w:type="spellStart"/>
      <w:r w:rsidRPr="00416B2C">
        <w:rPr>
          <w:lang w:val="en-US"/>
        </w:rPr>
        <w:t>Girondini</w:t>
      </w:r>
      <w:proofErr w:type="spellEnd"/>
      <w:r w:rsidRPr="00416B2C">
        <w:rPr>
          <w:lang w:val="en-US"/>
        </w:rPr>
        <w:t xml:space="preserve">, M., </w:t>
      </w:r>
      <w:proofErr w:type="spellStart"/>
      <w:r w:rsidRPr="00416B2C">
        <w:rPr>
          <w:lang w:val="en-US"/>
        </w:rPr>
        <w:t>Stefanova</w:t>
      </w:r>
      <w:proofErr w:type="spellEnd"/>
      <w:r w:rsidRPr="00416B2C">
        <w:rPr>
          <w:lang w:val="en-US"/>
        </w:rPr>
        <w:t xml:space="preserve">, M., </w:t>
      </w:r>
      <w:proofErr w:type="spellStart"/>
      <w:r w:rsidRPr="00416B2C">
        <w:rPr>
          <w:lang w:val="en-US"/>
        </w:rPr>
        <w:t>Pillan</w:t>
      </w:r>
      <w:proofErr w:type="spellEnd"/>
      <w:r w:rsidRPr="00416B2C">
        <w:rPr>
          <w:lang w:val="en-US"/>
        </w:rPr>
        <w:t xml:space="preserve">, M. y </w:t>
      </w:r>
      <w:proofErr w:type="spellStart"/>
      <w:r w:rsidRPr="00416B2C">
        <w:rPr>
          <w:lang w:val="en-US"/>
        </w:rPr>
        <w:t>Gallace</w:t>
      </w:r>
      <w:proofErr w:type="spellEnd"/>
      <w:r w:rsidRPr="00416B2C">
        <w:rPr>
          <w:lang w:val="en-US"/>
        </w:rPr>
        <w:t>, A. (2023). Speaking in front of cartoon avatars: A behavioral and psychophysiological study on how audience design impacts on public speaking anxiety in virtual environments.</w:t>
      </w:r>
      <w:r w:rsidRPr="00416B2C">
        <w:rPr>
          <w:i/>
          <w:lang w:val="en-US"/>
        </w:rPr>
        <w:t xml:space="preserve"> International Journal of Human-Computer Studies, 179</w:t>
      </w:r>
      <w:r w:rsidRPr="00416B2C">
        <w:rPr>
          <w:lang w:val="en-US"/>
        </w:rPr>
        <w:t xml:space="preserve">(103106), 103106. </w:t>
      </w:r>
      <w:hyperlink r:id="rId39">
        <w:r w:rsidR="00E75227" w:rsidRPr="00416B2C">
          <w:rPr>
            <w:color w:val="1155CC"/>
            <w:u w:val="single"/>
            <w:lang w:val="en-US"/>
          </w:rPr>
          <w:t>https://doi.org/10.1016/j.ijhcs.2023.103106</w:t>
        </w:r>
      </w:hyperlink>
      <w:r w:rsidRPr="00416B2C">
        <w:rPr>
          <w:lang w:val="en-US"/>
        </w:rPr>
        <w:t xml:space="preserve"> </w:t>
      </w:r>
    </w:p>
    <w:p w14:paraId="339007B2" w14:textId="77777777" w:rsidR="00E75227" w:rsidRDefault="00000000">
      <w:pPr>
        <w:spacing w:line="360" w:lineRule="auto"/>
        <w:ind w:left="720"/>
      </w:pPr>
      <w:r w:rsidRPr="00416B2C">
        <w:rPr>
          <w:lang w:val="en-US"/>
        </w:rPr>
        <w:t xml:space="preserve">Goodman, W., Janson, J. y Wolf, J. (2017). Meta-analytical assessment of the effects of protocol variations on cortisol responses to the Trier Social Stress Test. </w:t>
      </w:r>
      <w:proofErr w:type="spellStart"/>
      <w:r>
        <w:rPr>
          <w:i/>
        </w:rPr>
        <w:t>Psychoneuroendocrinology</w:t>
      </w:r>
      <w:proofErr w:type="spellEnd"/>
      <w:r>
        <w:rPr>
          <w:i/>
        </w:rPr>
        <w:t>, 80</w:t>
      </w:r>
      <w:r>
        <w:t xml:space="preserve">, 26–35. </w:t>
      </w:r>
      <w:hyperlink r:id="rId40">
        <w:r w:rsidR="00E75227">
          <w:rPr>
            <w:color w:val="1155CC"/>
            <w:u w:val="single"/>
          </w:rPr>
          <w:t>https://doi.org/10.1016/j.psyneuen.2017.02.030</w:t>
        </w:r>
      </w:hyperlink>
      <w:r>
        <w:t xml:space="preserve">  </w:t>
      </w:r>
    </w:p>
    <w:p w14:paraId="3783FDB9" w14:textId="77777777" w:rsidR="00E75227" w:rsidRPr="00416B2C" w:rsidRDefault="00000000">
      <w:pPr>
        <w:spacing w:line="360" w:lineRule="auto"/>
        <w:ind w:left="720"/>
        <w:rPr>
          <w:lang w:val="en-US"/>
        </w:rPr>
      </w:pPr>
      <w:r w:rsidRPr="00416B2C">
        <w:rPr>
          <w:lang w:val="en-US"/>
        </w:rPr>
        <w:t xml:space="preserve">Harris, S., </w:t>
      </w:r>
      <w:proofErr w:type="spellStart"/>
      <w:r w:rsidRPr="00416B2C">
        <w:rPr>
          <w:lang w:val="en-US"/>
        </w:rPr>
        <w:t>Kemmerling</w:t>
      </w:r>
      <w:proofErr w:type="spellEnd"/>
      <w:r w:rsidRPr="00416B2C">
        <w:rPr>
          <w:lang w:val="en-US"/>
        </w:rPr>
        <w:t xml:space="preserve">, R. y North, M. (2002). Brief virtual reality therapy for public speaking anxiety. </w:t>
      </w:r>
      <w:proofErr w:type="spellStart"/>
      <w:r w:rsidRPr="00416B2C">
        <w:rPr>
          <w:i/>
          <w:lang w:val="en-US"/>
        </w:rPr>
        <w:t>CyberPsychology</w:t>
      </w:r>
      <w:proofErr w:type="spellEnd"/>
      <w:r w:rsidRPr="00416B2C">
        <w:rPr>
          <w:i/>
          <w:lang w:val="en-US"/>
        </w:rPr>
        <w:t xml:space="preserve"> &amp; Behavior,</w:t>
      </w:r>
      <w:r w:rsidRPr="00416B2C">
        <w:rPr>
          <w:lang w:val="en-US"/>
        </w:rPr>
        <w:t xml:space="preserve"> </w:t>
      </w:r>
      <w:r w:rsidRPr="00416B2C">
        <w:rPr>
          <w:i/>
          <w:lang w:val="en-US"/>
        </w:rPr>
        <w:t>5</w:t>
      </w:r>
      <w:r w:rsidRPr="00416B2C">
        <w:rPr>
          <w:lang w:val="en-US"/>
        </w:rPr>
        <w:t xml:space="preserve">(6), 543–550. </w:t>
      </w:r>
      <w:hyperlink r:id="rId41">
        <w:r w:rsidR="00E75227" w:rsidRPr="00416B2C">
          <w:rPr>
            <w:color w:val="1155CC"/>
            <w:u w:val="single"/>
            <w:lang w:val="en-US"/>
          </w:rPr>
          <w:t>https://doi.org/10.1089/109493102321018187</w:t>
        </w:r>
      </w:hyperlink>
    </w:p>
    <w:p w14:paraId="5DA975AD" w14:textId="77777777" w:rsidR="00E75227" w:rsidRPr="00416B2C" w:rsidRDefault="00000000">
      <w:pPr>
        <w:spacing w:line="360" w:lineRule="auto"/>
        <w:ind w:left="720"/>
        <w:rPr>
          <w:lang w:val="en-US"/>
        </w:rPr>
      </w:pPr>
      <w:proofErr w:type="spellStart"/>
      <w:r w:rsidRPr="00416B2C">
        <w:rPr>
          <w:lang w:val="en-US"/>
        </w:rPr>
        <w:t>Hembree</w:t>
      </w:r>
      <w:proofErr w:type="spellEnd"/>
      <w:r w:rsidRPr="00416B2C">
        <w:rPr>
          <w:lang w:val="en-US"/>
        </w:rPr>
        <w:t xml:space="preserve">, E., Rauch, S. y </w:t>
      </w:r>
      <w:proofErr w:type="spellStart"/>
      <w:r w:rsidRPr="00416B2C">
        <w:rPr>
          <w:lang w:val="en-US"/>
        </w:rPr>
        <w:t>Foa</w:t>
      </w:r>
      <w:proofErr w:type="spellEnd"/>
      <w:r w:rsidRPr="00416B2C">
        <w:rPr>
          <w:lang w:val="en-US"/>
        </w:rPr>
        <w:t xml:space="preserve"> E. (2003). Beyond the manual: The insider’s guide to prolonged exposure therapy for PTSD. </w:t>
      </w:r>
      <w:r w:rsidRPr="00416B2C">
        <w:rPr>
          <w:i/>
          <w:lang w:val="en-US"/>
        </w:rPr>
        <w:t>Cognitive and Behavioral Practice</w:t>
      </w:r>
      <w:r w:rsidRPr="00416B2C">
        <w:rPr>
          <w:lang w:val="en-US"/>
        </w:rPr>
        <w:t xml:space="preserve">, </w:t>
      </w:r>
      <w:r w:rsidRPr="00416B2C">
        <w:rPr>
          <w:i/>
          <w:lang w:val="en-US"/>
        </w:rPr>
        <w:t>10</w:t>
      </w:r>
      <w:r w:rsidRPr="00416B2C">
        <w:rPr>
          <w:lang w:val="en-US"/>
        </w:rPr>
        <w:t xml:space="preserve">(1), 22–30. </w:t>
      </w:r>
      <w:hyperlink r:id="rId42">
        <w:r w:rsidR="00E75227" w:rsidRPr="00416B2C">
          <w:rPr>
            <w:color w:val="1155CC"/>
            <w:u w:val="single"/>
            <w:lang w:val="en-US"/>
          </w:rPr>
          <w:t>https://doi.org/10.1016/S1077-7229(03)80005-6</w:t>
        </w:r>
      </w:hyperlink>
      <w:r w:rsidRPr="00416B2C">
        <w:rPr>
          <w:lang w:val="en-US"/>
        </w:rPr>
        <w:t xml:space="preserve"> </w:t>
      </w:r>
    </w:p>
    <w:p w14:paraId="49145506" w14:textId="77777777" w:rsidR="00E75227" w:rsidRDefault="00000000">
      <w:pPr>
        <w:spacing w:line="360" w:lineRule="auto"/>
        <w:ind w:left="720"/>
      </w:pPr>
      <w:r w:rsidRPr="00416B2C">
        <w:rPr>
          <w:lang w:val="en-US"/>
        </w:rPr>
        <w:t xml:space="preserve">Hill, K. G., Woodward, D., </w:t>
      </w:r>
      <w:proofErr w:type="spellStart"/>
      <w:r w:rsidRPr="00416B2C">
        <w:rPr>
          <w:lang w:val="en-US"/>
        </w:rPr>
        <w:t>Woelfel</w:t>
      </w:r>
      <w:proofErr w:type="spellEnd"/>
      <w:r w:rsidRPr="00416B2C">
        <w:rPr>
          <w:lang w:val="en-US"/>
        </w:rPr>
        <w:t xml:space="preserve">, T., Hawkins, J. D. y Green, S. (2016). Planning for long-term follow-up: Strategies learned from longitudinal studies. </w:t>
      </w:r>
      <w:r w:rsidRPr="00416B2C">
        <w:rPr>
          <w:i/>
          <w:lang w:val="en-US"/>
        </w:rPr>
        <w:t>Prevention science: the official journal of the Society for Prevention Research, 17</w:t>
      </w:r>
      <w:r w:rsidRPr="00416B2C">
        <w:rPr>
          <w:lang w:val="en-US"/>
        </w:rPr>
        <w:t xml:space="preserve">(7), 806–818. </w:t>
      </w:r>
      <w:hyperlink r:id="rId43">
        <w:r w:rsidR="00E75227">
          <w:rPr>
            <w:color w:val="1155CC"/>
            <w:u w:val="single"/>
          </w:rPr>
          <w:t>https://doi.org/10.1007/s11121-015-0610-7</w:t>
        </w:r>
      </w:hyperlink>
    </w:p>
    <w:p w14:paraId="2C0EA597" w14:textId="77777777" w:rsidR="00E75227" w:rsidRPr="00416B2C" w:rsidRDefault="00000000">
      <w:pPr>
        <w:spacing w:line="360" w:lineRule="auto"/>
        <w:ind w:left="720"/>
        <w:rPr>
          <w:lang w:val="en-US"/>
        </w:rPr>
      </w:pPr>
      <w:proofErr w:type="spellStart"/>
      <w:r>
        <w:t>Hindo</w:t>
      </w:r>
      <w:proofErr w:type="spellEnd"/>
      <w:r>
        <w:t xml:space="preserve">, C. S. y González-Prendes, A. A. (2011). </w:t>
      </w:r>
      <w:r w:rsidRPr="00416B2C">
        <w:rPr>
          <w:lang w:val="en-US"/>
        </w:rPr>
        <w:t xml:space="preserve">One-session exposure treatment for social anxiety with specific fear of public speaking. </w:t>
      </w:r>
      <w:r w:rsidRPr="00416B2C">
        <w:rPr>
          <w:i/>
          <w:lang w:val="en-US"/>
        </w:rPr>
        <w:t>Research on Social Work Practice</w:t>
      </w:r>
      <w:r w:rsidRPr="00416B2C">
        <w:rPr>
          <w:lang w:val="en-US"/>
        </w:rPr>
        <w:t xml:space="preserve">, </w:t>
      </w:r>
      <w:r w:rsidRPr="00416B2C">
        <w:rPr>
          <w:i/>
          <w:lang w:val="en-US"/>
        </w:rPr>
        <w:t>21</w:t>
      </w:r>
      <w:r w:rsidRPr="00416B2C">
        <w:rPr>
          <w:lang w:val="en-US"/>
        </w:rPr>
        <w:t xml:space="preserve">(5), 528–538. </w:t>
      </w:r>
      <w:hyperlink r:id="rId44">
        <w:r w:rsidR="00E75227" w:rsidRPr="00416B2C">
          <w:rPr>
            <w:color w:val="1155CC"/>
            <w:u w:val="single"/>
            <w:lang w:val="en-US"/>
          </w:rPr>
          <w:t>https://doi.org/10.1177/1049731510393984</w:t>
        </w:r>
      </w:hyperlink>
      <w:r w:rsidRPr="00416B2C">
        <w:rPr>
          <w:lang w:val="en-US"/>
        </w:rPr>
        <w:t xml:space="preserve"> </w:t>
      </w:r>
    </w:p>
    <w:p w14:paraId="48F36699" w14:textId="77777777" w:rsidR="00E75227" w:rsidRPr="00416B2C" w:rsidRDefault="00000000">
      <w:pPr>
        <w:spacing w:line="360" w:lineRule="auto"/>
        <w:ind w:left="720"/>
        <w:rPr>
          <w:lang w:val="en-US"/>
        </w:rPr>
      </w:pPr>
      <w:r w:rsidRPr="00416B2C">
        <w:rPr>
          <w:lang w:val="en-US"/>
        </w:rPr>
        <w:t xml:space="preserve">Hofmann, S. G. y DiBartolo, P. M. (2000). An instrument to assess self-statements during public speaking: Scale development and preliminary psychometric properties. </w:t>
      </w:r>
      <w:r w:rsidRPr="00416B2C">
        <w:rPr>
          <w:i/>
          <w:lang w:val="en-US"/>
        </w:rPr>
        <w:t>Behavior Therapy, 31</w:t>
      </w:r>
      <w:r w:rsidRPr="00416B2C">
        <w:rPr>
          <w:lang w:val="en-US"/>
        </w:rPr>
        <w:t xml:space="preserve">(3), 499–515. </w:t>
      </w:r>
      <w:hyperlink r:id="rId45">
        <w:r w:rsidR="00E75227" w:rsidRPr="00416B2C">
          <w:rPr>
            <w:color w:val="1155CC"/>
            <w:u w:val="single"/>
            <w:lang w:val="en-US"/>
          </w:rPr>
          <w:t>https://doi.org/10.1016/s0005-7894(00)80027-1</w:t>
        </w:r>
      </w:hyperlink>
      <w:r w:rsidRPr="00416B2C">
        <w:rPr>
          <w:lang w:val="en-US"/>
        </w:rPr>
        <w:t xml:space="preserve"> </w:t>
      </w:r>
    </w:p>
    <w:p w14:paraId="3CB3E621" w14:textId="77777777" w:rsidR="00E75227" w:rsidRDefault="00000000">
      <w:pPr>
        <w:spacing w:line="360" w:lineRule="auto"/>
        <w:ind w:left="720"/>
      </w:pPr>
      <w:r w:rsidRPr="00416B2C">
        <w:rPr>
          <w:lang w:val="en-US"/>
        </w:rPr>
        <w:t xml:space="preserve">Hofmann, S. G., </w:t>
      </w:r>
      <w:proofErr w:type="spellStart"/>
      <w:r w:rsidRPr="00416B2C">
        <w:rPr>
          <w:lang w:val="en-US"/>
        </w:rPr>
        <w:t>Asnaani</w:t>
      </w:r>
      <w:proofErr w:type="spellEnd"/>
      <w:r w:rsidRPr="00416B2C">
        <w:rPr>
          <w:lang w:val="en-US"/>
        </w:rPr>
        <w:t xml:space="preserve">, A., </w:t>
      </w:r>
      <w:proofErr w:type="spellStart"/>
      <w:r w:rsidRPr="00416B2C">
        <w:rPr>
          <w:lang w:val="en-US"/>
        </w:rPr>
        <w:t>Vonk</w:t>
      </w:r>
      <w:proofErr w:type="spellEnd"/>
      <w:r w:rsidRPr="00416B2C">
        <w:rPr>
          <w:lang w:val="en-US"/>
        </w:rPr>
        <w:t xml:space="preserve">, I. J., Sawyer, A. T. y Fang, A. (2012). The efficacy of cognitive behavioral therapy: A review of meta-analyses. </w:t>
      </w:r>
      <w:r>
        <w:t xml:space="preserve">Cognitive </w:t>
      </w:r>
      <w:proofErr w:type="spellStart"/>
      <w:r>
        <w:t>Therapy</w:t>
      </w:r>
      <w:proofErr w:type="spellEnd"/>
      <w:r>
        <w:t xml:space="preserve"> and </w:t>
      </w:r>
      <w:proofErr w:type="spellStart"/>
      <w:r>
        <w:t>Research</w:t>
      </w:r>
      <w:proofErr w:type="spellEnd"/>
      <w:r>
        <w:t xml:space="preserve">, 36(5), 427–440. </w:t>
      </w:r>
      <w:hyperlink r:id="rId46">
        <w:r w:rsidR="00E75227">
          <w:rPr>
            <w:color w:val="1155CC"/>
            <w:u w:val="single"/>
          </w:rPr>
          <w:t>https://doi.org/10.1007/s10608-012-9476-1</w:t>
        </w:r>
      </w:hyperlink>
      <w:r>
        <w:t xml:space="preserve"> </w:t>
      </w:r>
    </w:p>
    <w:p w14:paraId="5C906511" w14:textId="77777777" w:rsidR="00E75227" w:rsidRPr="00416B2C" w:rsidRDefault="00000000">
      <w:pPr>
        <w:spacing w:line="360" w:lineRule="auto"/>
        <w:ind w:left="720"/>
        <w:rPr>
          <w:lang w:val="en-US"/>
        </w:rPr>
      </w:pPr>
      <w:r w:rsidRPr="00416B2C">
        <w:rPr>
          <w:lang w:val="en-US"/>
        </w:rPr>
        <w:t xml:space="preserve">Kahlon, S., Lindner, P. y </w:t>
      </w:r>
      <w:proofErr w:type="spellStart"/>
      <w:r w:rsidRPr="00416B2C">
        <w:rPr>
          <w:lang w:val="en-US"/>
        </w:rPr>
        <w:t>Nordgreen</w:t>
      </w:r>
      <w:proofErr w:type="spellEnd"/>
      <w:r w:rsidRPr="00416B2C">
        <w:rPr>
          <w:lang w:val="en-US"/>
        </w:rPr>
        <w:t xml:space="preserve">, T. (2019). Virtual reality exposure therapy for adolescents with fear of public speaking: a non-randomized feasibility and pilot study. </w:t>
      </w:r>
      <w:r w:rsidRPr="00416B2C">
        <w:rPr>
          <w:i/>
          <w:lang w:val="en-US"/>
        </w:rPr>
        <w:lastRenderedPageBreak/>
        <w:t>Child and Adolescent Psychiatry and Mental Health</w:t>
      </w:r>
      <w:r w:rsidRPr="00416B2C">
        <w:rPr>
          <w:lang w:val="en-US"/>
        </w:rPr>
        <w:t xml:space="preserve">, </w:t>
      </w:r>
      <w:r w:rsidRPr="00416B2C">
        <w:rPr>
          <w:i/>
          <w:lang w:val="en-US"/>
        </w:rPr>
        <w:t>13</w:t>
      </w:r>
      <w:r w:rsidRPr="00416B2C">
        <w:rPr>
          <w:lang w:val="en-US"/>
        </w:rPr>
        <w:t xml:space="preserve">(1). </w:t>
      </w:r>
      <w:hyperlink r:id="rId47">
        <w:r w:rsidR="00E75227" w:rsidRPr="00416B2C">
          <w:rPr>
            <w:color w:val="1155CC"/>
            <w:u w:val="single"/>
            <w:lang w:val="en-US"/>
          </w:rPr>
          <w:t>https://doi.org/10.1186/s13034-019-0307-y</w:t>
        </w:r>
      </w:hyperlink>
    </w:p>
    <w:p w14:paraId="2A82184A" w14:textId="77777777" w:rsidR="00E75227" w:rsidRPr="00416B2C" w:rsidRDefault="00000000">
      <w:pPr>
        <w:spacing w:line="360" w:lineRule="auto"/>
        <w:ind w:left="720"/>
        <w:rPr>
          <w:lang w:val="en-US"/>
        </w:rPr>
      </w:pPr>
      <w:proofErr w:type="spellStart"/>
      <w:r w:rsidRPr="00416B2C">
        <w:rPr>
          <w:lang w:val="en-US"/>
        </w:rPr>
        <w:t>Krijn</w:t>
      </w:r>
      <w:proofErr w:type="spellEnd"/>
      <w:r w:rsidRPr="00416B2C">
        <w:rPr>
          <w:lang w:val="en-US"/>
        </w:rPr>
        <w:t xml:space="preserve">, M., </w:t>
      </w:r>
      <w:proofErr w:type="spellStart"/>
      <w:r w:rsidRPr="00416B2C">
        <w:rPr>
          <w:lang w:val="en-US"/>
        </w:rPr>
        <w:t>Emmelkamp</w:t>
      </w:r>
      <w:proofErr w:type="spellEnd"/>
      <w:r w:rsidRPr="00416B2C">
        <w:rPr>
          <w:lang w:val="en-US"/>
        </w:rPr>
        <w:t xml:space="preserve">, P., Olafsson, R. y </w:t>
      </w:r>
      <w:proofErr w:type="spellStart"/>
      <w:r w:rsidRPr="00416B2C">
        <w:rPr>
          <w:lang w:val="en-US"/>
        </w:rPr>
        <w:t>Biemond</w:t>
      </w:r>
      <w:proofErr w:type="spellEnd"/>
      <w:r w:rsidRPr="00416B2C">
        <w:rPr>
          <w:lang w:val="en-US"/>
        </w:rPr>
        <w:t xml:space="preserve">, R. (2004). Virtual reality exposure therapy of anxiety disorders: A review. </w:t>
      </w:r>
      <w:r w:rsidRPr="00416B2C">
        <w:rPr>
          <w:i/>
          <w:lang w:val="en-US"/>
        </w:rPr>
        <w:t>Clinical Psychology Review</w:t>
      </w:r>
      <w:r w:rsidRPr="00416B2C">
        <w:rPr>
          <w:lang w:val="en-US"/>
        </w:rPr>
        <w:t xml:space="preserve">, </w:t>
      </w:r>
      <w:r w:rsidRPr="00416B2C">
        <w:rPr>
          <w:i/>
          <w:lang w:val="en-US"/>
        </w:rPr>
        <w:t>24</w:t>
      </w:r>
      <w:r w:rsidRPr="00416B2C">
        <w:rPr>
          <w:lang w:val="en-US"/>
        </w:rPr>
        <w:t xml:space="preserve">, 259–281. </w:t>
      </w:r>
      <w:hyperlink r:id="rId48">
        <w:r w:rsidR="00E75227" w:rsidRPr="00416B2C">
          <w:rPr>
            <w:color w:val="1155CC"/>
            <w:u w:val="single"/>
            <w:lang w:val="en-US"/>
          </w:rPr>
          <w:t>https://doi.org/10.1016/j.cpr.2004.04.001</w:t>
        </w:r>
      </w:hyperlink>
    </w:p>
    <w:p w14:paraId="5BEAA3ED" w14:textId="77777777" w:rsidR="00E75227" w:rsidRDefault="00000000">
      <w:pPr>
        <w:spacing w:line="360" w:lineRule="auto"/>
        <w:ind w:left="720"/>
        <w:rPr>
          <w:highlight w:val="yellow"/>
        </w:rPr>
      </w:pPr>
      <w:proofErr w:type="spellStart"/>
      <w:r w:rsidRPr="00416B2C">
        <w:rPr>
          <w:lang w:val="en-US"/>
        </w:rPr>
        <w:t>Krypotos</w:t>
      </w:r>
      <w:proofErr w:type="spellEnd"/>
      <w:r w:rsidRPr="00416B2C">
        <w:rPr>
          <w:lang w:val="en-US"/>
        </w:rPr>
        <w:t xml:space="preserve">, A. M., </w:t>
      </w:r>
      <w:proofErr w:type="spellStart"/>
      <w:r w:rsidRPr="00416B2C">
        <w:rPr>
          <w:lang w:val="en-US"/>
        </w:rPr>
        <w:t>Effting</w:t>
      </w:r>
      <w:proofErr w:type="spellEnd"/>
      <w:r w:rsidRPr="00416B2C">
        <w:rPr>
          <w:lang w:val="en-US"/>
        </w:rPr>
        <w:t xml:space="preserve">, M., </w:t>
      </w:r>
      <w:proofErr w:type="spellStart"/>
      <w:r w:rsidRPr="00416B2C">
        <w:rPr>
          <w:lang w:val="en-US"/>
        </w:rPr>
        <w:t>Kindt</w:t>
      </w:r>
      <w:proofErr w:type="spellEnd"/>
      <w:r w:rsidRPr="00416B2C">
        <w:rPr>
          <w:lang w:val="en-US"/>
        </w:rPr>
        <w:t xml:space="preserve">, M. y Beckers, T. (2015). Avoidance learning: a review of theoretical models and recent developments. </w:t>
      </w:r>
      <w:proofErr w:type="spellStart"/>
      <w:r>
        <w:rPr>
          <w:i/>
        </w:rPr>
        <w:t>Frontiers</w:t>
      </w:r>
      <w:proofErr w:type="spellEnd"/>
      <w:r>
        <w:rPr>
          <w:i/>
        </w:rPr>
        <w:t xml:space="preserve"> in </w:t>
      </w:r>
      <w:proofErr w:type="spellStart"/>
      <w:r>
        <w:rPr>
          <w:i/>
        </w:rPr>
        <w:t>Behavioral</w:t>
      </w:r>
      <w:proofErr w:type="spellEnd"/>
      <w:r>
        <w:rPr>
          <w:i/>
        </w:rPr>
        <w:t xml:space="preserve"> </w:t>
      </w:r>
      <w:proofErr w:type="spellStart"/>
      <w:r>
        <w:rPr>
          <w:i/>
        </w:rPr>
        <w:t>Neuroscience</w:t>
      </w:r>
      <w:proofErr w:type="spellEnd"/>
      <w:r>
        <w:t xml:space="preserve">, </w:t>
      </w:r>
      <w:r>
        <w:rPr>
          <w:i/>
        </w:rPr>
        <w:t>9</w:t>
      </w:r>
      <w:r>
        <w:t xml:space="preserve">, 189. </w:t>
      </w:r>
      <w:hyperlink r:id="rId49">
        <w:r w:rsidR="00E75227">
          <w:rPr>
            <w:color w:val="1155CC"/>
            <w:u w:val="single"/>
          </w:rPr>
          <w:t>https://doi.org/10.3389/fnbeh.2015.00189</w:t>
        </w:r>
      </w:hyperlink>
      <w:r>
        <w:t xml:space="preserve"> </w:t>
      </w:r>
    </w:p>
    <w:p w14:paraId="539F9B28" w14:textId="77777777" w:rsidR="00E75227" w:rsidRPr="00416B2C" w:rsidRDefault="00000000">
      <w:pPr>
        <w:spacing w:line="360" w:lineRule="auto"/>
        <w:ind w:left="720"/>
        <w:rPr>
          <w:lang w:val="en-US"/>
        </w:rPr>
      </w:pPr>
      <w:r w:rsidRPr="00416B2C">
        <w:rPr>
          <w:lang w:val="en-US"/>
        </w:rPr>
        <w:t xml:space="preserve">Leary, M. (1990). Social anxiety, shyness and related construct, </w:t>
      </w:r>
      <w:proofErr w:type="spellStart"/>
      <w:r w:rsidRPr="00416B2C">
        <w:rPr>
          <w:lang w:val="en-US"/>
        </w:rPr>
        <w:t>en</w:t>
      </w:r>
      <w:proofErr w:type="spellEnd"/>
      <w:r w:rsidRPr="00416B2C">
        <w:rPr>
          <w:lang w:val="en-US"/>
        </w:rPr>
        <w:t xml:space="preserve"> J. Robinson, P. Shaver y </w:t>
      </w:r>
      <w:proofErr w:type="spellStart"/>
      <w:proofErr w:type="gramStart"/>
      <w:r w:rsidRPr="00416B2C">
        <w:rPr>
          <w:lang w:val="en-US"/>
        </w:rPr>
        <w:t>L.Wrightsman</w:t>
      </w:r>
      <w:proofErr w:type="spellEnd"/>
      <w:proofErr w:type="gramEnd"/>
      <w:r w:rsidRPr="00416B2C">
        <w:rPr>
          <w:lang w:val="en-US"/>
        </w:rPr>
        <w:t xml:space="preserve"> (eds.). </w:t>
      </w:r>
      <w:r w:rsidRPr="00416B2C">
        <w:rPr>
          <w:i/>
          <w:lang w:val="en-US"/>
        </w:rPr>
        <w:t>Measures of Personality and Social Psychological Attitudes</w:t>
      </w:r>
      <w:r w:rsidRPr="00416B2C">
        <w:rPr>
          <w:lang w:val="en-US"/>
        </w:rPr>
        <w:t xml:space="preserve">. Academic Press. </w:t>
      </w:r>
      <w:hyperlink r:id="rId50">
        <w:r w:rsidR="00E75227" w:rsidRPr="00416B2C">
          <w:rPr>
            <w:color w:val="1155CC"/>
            <w:u w:val="single"/>
            <w:lang w:val="en-US"/>
          </w:rPr>
          <w:t>https://doi.org/10.1016/B978-0-12-590241-0.50009-5</w:t>
        </w:r>
      </w:hyperlink>
    </w:p>
    <w:p w14:paraId="2D102220" w14:textId="77777777" w:rsidR="00E75227" w:rsidRDefault="00000000">
      <w:pPr>
        <w:spacing w:line="360" w:lineRule="auto"/>
        <w:ind w:left="720"/>
      </w:pPr>
      <w:r>
        <w:t xml:space="preserve">Maldonado, I. y Reich, M. (2013). Estrategias de afrontamiento y miedo a hablar en público en estudiantes universitarios a nivel de grado. </w:t>
      </w:r>
      <w:r>
        <w:rPr>
          <w:i/>
        </w:rPr>
        <w:t>Ciencias Psicológicas, 7</w:t>
      </w:r>
      <w:r>
        <w:t xml:space="preserve">(2), 165–182. </w:t>
      </w:r>
      <w:hyperlink r:id="rId51">
        <w:r w:rsidR="00E75227">
          <w:rPr>
            <w:color w:val="1155CC"/>
            <w:u w:val="single"/>
          </w:rPr>
          <w:t>http://www.scielo.edu.uy/scielo.php?script=sci_arttext&amp;pid=S1688-42212013000200006&amp;lng=es&amp;tlng=es</w:t>
        </w:r>
      </w:hyperlink>
      <w:r>
        <w:t xml:space="preserve">. </w:t>
      </w:r>
    </w:p>
    <w:p w14:paraId="5EFA023C" w14:textId="77777777" w:rsidR="00E75227" w:rsidRPr="00416B2C" w:rsidRDefault="00000000">
      <w:pPr>
        <w:spacing w:line="360" w:lineRule="auto"/>
        <w:ind w:left="720"/>
        <w:rPr>
          <w:lang w:val="en-US"/>
        </w:rPr>
      </w:pPr>
      <w:r>
        <w:t xml:space="preserve">Mallea, J., Bustamante, J., </w:t>
      </w:r>
      <w:proofErr w:type="spellStart"/>
      <w:r>
        <w:t>Miguez</w:t>
      </w:r>
      <w:proofErr w:type="spellEnd"/>
      <w:r>
        <w:t xml:space="preserve">, G. y Laborda, M. A. (2019). </w:t>
      </w:r>
      <w:r w:rsidRPr="00416B2C">
        <w:rPr>
          <w:lang w:val="en-US"/>
        </w:rPr>
        <w:t xml:space="preserve">Classical conditioning. </w:t>
      </w:r>
      <w:r w:rsidRPr="00416B2C">
        <w:rPr>
          <w:i/>
          <w:lang w:val="en-US"/>
        </w:rPr>
        <w:t xml:space="preserve">Encyclopedia of Animal Cognition and Behavior, </w:t>
      </w:r>
      <w:r w:rsidRPr="00416B2C">
        <w:rPr>
          <w:lang w:val="en-US"/>
        </w:rPr>
        <w:t xml:space="preserve">1–16. </w:t>
      </w:r>
      <w:hyperlink r:id="rId52">
        <w:r w:rsidR="00E75227" w:rsidRPr="00416B2C">
          <w:rPr>
            <w:color w:val="1155CC"/>
            <w:u w:val="single"/>
            <w:lang w:val="en-US"/>
          </w:rPr>
          <w:t>https://doi.org/10.1007/978-3-319-47829-6_1214-1</w:t>
        </w:r>
      </w:hyperlink>
      <w:r w:rsidRPr="00416B2C">
        <w:rPr>
          <w:lang w:val="en-US"/>
        </w:rPr>
        <w:t xml:space="preserve"> </w:t>
      </w:r>
    </w:p>
    <w:p w14:paraId="3834A51E" w14:textId="77777777" w:rsidR="00E75227" w:rsidRDefault="00000000">
      <w:pPr>
        <w:spacing w:line="360" w:lineRule="auto"/>
        <w:ind w:left="720"/>
      </w:pPr>
      <w:r w:rsidRPr="00416B2C">
        <w:rPr>
          <w:lang w:val="en-US"/>
        </w:rPr>
        <w:t>Martinez-</w:t>
      </w:r>
      <w:proofErr w:type="spellStart"/>
      <w:r w:rsidRPr="00416B2C">
        <w:rPr>
          <w:lang w:val="en-US"/>
        </w:rPr>
        <w:t>Pecino</w:t>
      </w:r>
      <w:proofErr w:type="spellEnd"/>
      <w:r w:rsidRPr="00416B2C">
        <w:rPr>
          <w:lang w:val="en-US"/>
        </w:rPr>
        <w:t xml:space="preserve">, R. y Durán, M. (2013). Social communication fears: Factor analysis and gender invariance of the </w:t>
      </w:r>
      <w:proofErr w:type="gramStart"/>
      <w:r w:rsidRPr="00416B2C">
        <w:rPr>
          <w:lang w:val="en-US"/>
        </w:rPr>
        <w:t>short-form</w:t>
      </w:r>
      <w:proofErr w:type="gramEnd"/>
      <w:r w:rsidRPr="00416B2C">
        <w:rPr>
          <w:lang w:val="en-US"/>
        </w:rPr>
        <w:t xml:space="preserve"> of the personal report of confidence as a speaker in Spain. </w:t>
      </w:r>
      <w:proofErr w:type="spellStart"/>
      <w:r>
        <w:rPr>
          <w:i/>
        </w:rPr>
        <w:t>Personality</w:t>
      </w:r>
      <w:proofErr w:type="spellEnd"/>
      <w:r>
        <w:rPr>
          <w:i/>
        </w:rPr>
        <w:t xml:space="preserve"> and Individual </w:t>
      </w:r>
      <w:proofErr w:type="spellStart"/>
      <w:r>
        <w:rPr>
          <w:i/>
        </w:rPr>
        <w:t>Differences</w:t>
      </w:r>
      <w:proofErr w:type="spellEnd"/>
      <w:r>
        <w:t xml:space="preserve">, </w:t>
      </w:r>
      <w:r>
        <w:rPr>
          <w:i/>
        </w:rPr>
        <w:t>55</w:t>
      </w:r>
      <w:r>
        <w:t xml:space="preserve">(6), 680–684. </w:t>
      </w:r>
      <w:hyperlink r:id="rId53">
        <w:r w:rsidR="00E75227">
          <w:rPr>
            <w:color w:val="1155CC"/>
            <w:u w:val="single"/>
          </w:rPr>
          <w:t>https://doi.org/10.1016/j.paid.2013.05.017</w:t>
        </w:r>
      </w:hyperlink>
      <w:r>
        <w:t xml:space="preserve"> </w:t>
      </w:r>
    </w:p>
    <w:p w14:paraId="56AF4A43" w14:textId="77777777" w:rsidR="00E75227" w:rsidRDefault="00000000">
      <w:pPr>
        <w:spacing w:line="360" w:lineRule="auto"/>
        <w:ind w:left="720"/>
      </w:pPr>
      <w:proofErr w:type="spellStart"/>
      <w:r>
        <w:t>Mendez</w:t>
      </w:r>
      <w:proofErr w:type="spellEnd"/>
      <w:r>
        <w:t xml:space="preserve">, F., </w:t>
      </w:r>
      <w:proofErr w:type="gramStart"/>
      <w:r>
        <w:t>Inglés</w:t>
      </w:r>
      <w:proofErr w:type="gramEnd"/>
      <w:r>
        <w:t xml:space="preserve">, C. y Hidalgo, M. (1999). Propiedades psicométricas del cuestionario de confianza para hablar en público: estudio con una muestra de alumnos de enseñanzas medias. </w:t>
      </w:r>
      <w:proofErr w:type="spellStart"/>
      <w:r>
        <w:rPr>
          <w:i/>
        </w:rPr>
        <w:t>Psicothema</w:t>
      </w:r>
      <w:proofErr w:type="spellEnd"/>
      <w:r>
        <w:t xml:space="preserve">, </w:t>
      </w:r>
      <w:r>
        <w:rPr>
          <w:i/>
        </w:rPr>
        <w:t>11</w:t>
      </w:r>
      <w:r>
        <w:t xml:space="preserve">(1), 65–74. </w:t>
      </w:r>
      <w:hyperlink r:id="rId54">
        <w:r w:rsidR="00E75227">
          <w:rPr>
            <w:color w:val="1155CC"/>
            <w:u w:val="single"/>
          </w:rPr>
          <w:t>https://psycnet.apa.org/record/1999-00866-006</w:t>
        </w:r>
      </w:hyperlink>
      <w:r>
        <w:t xml:space="preserve"> </w:t>
      </w:r>
    </w:p>
    <w:p w14:paraId="1DC0C86E" w14:textId="77777777" w:rsidR="00E75227" w:rsidRDefault="00000000">
      <w:pPr>
        <w:spacing w:line="360" w:lineRule="auto"/>
        <w:ind w:left="720"/>
      </w:pPr>
      <w:r>
        <w:t xml:space="preserve">Méndez, F., </w:t>
      </w:r>
      <w:proofErr w:type="gramStart"/>
      <w:r>
        <w:t>Inglés</w:t>
      </w:r>
      <w:proofErr w:type="gramEnd"/>
      <w:r>
        <w:t xml:space="preserve">, C. y Hidalgo, M. (2004). La versión española abreviada del Personal </w:t>
      </w:r>
      <w:proofErr w:type="spellStart"/>
      <w:r>
        <w:t>Report</w:t>
      </w:r>
      <w:proofErr w:type="spellEnd"/>
      <w:r>
        <w:t xml:space="preserve"> </w:t>
      </w:r>
      <w:proofErr w:type="spellStart"/>
      <w:r>
        <w:t>of</w:t>
      </w:r>
      <w:proofErr w:type="spellEnd"/>
      <w:r>
        <w:t xml:space="preserve"> </w:t>
      </w:r>
      <w:proofErr w:type="spellStart"/>
      <w:r>
        <w:t>Confidence</w:t>
      </w:r>
      <w:proofErr w:type="spellEnd"/>
      <w:r>
        <w:t xml:space="preserve"> as Speaker: Fiabilidad y validez en población adolescente. </w:t>
      </w:r>
      <w:r>
        <w:rPr>
          <w:i/>
        </w:rPr>
        <w:t>Psicología Conductual</w:t>
      </w:r>
      <w:r>
        <w:t xml:space="preserve">, </w:t>
      </w:r>
      <w:r>
        <w:rPr>
          <w:i/>
        </w:rPr>
        <w:t>12</w:t>
      </w:r>
      <w:r>
        <w:t>(1)</w:t>
      </w:r>
      <w:r>
        <w:rPr>
          <w:i/>
        </w:rPr>
        <w:t>,</w:t>
      </w:r>
      <w:r>
        <w:t xml:space="preserve"> 25–42. </w:t>
      </w:r>
      <w:hyperlink r:id="rId55">
        <w:r w:rsidR="00E75227">
          <w:rPr>
            <w:color w:val="1155CC"/>
            <w:u w:val="single"/>
          </w:rPr>
          <w:t>https://www.behavioralpsycho.com/wp-content/uploads/2020/04/02.Mendez_12-1oa-1.pdf</w:t>
        </w:r>
      </w:hyperlink>
      <w:r>
        <w:t xml:space="preserve"> </w:t>
      </w:r>
    </w:p>
    <w:p w14:paraId="07D5E082" w14:textId="77777777" w:rsidR="00E75227" w:rsidRDefault="00000000">
      <w:pPr>
        <w:spacing w:line="360" w:lineRule="auto"/>
        <w:ind w:left="720"/>
      </w:pPr>
      <w:proofErr w:type="spellStart"/>
      <w:r>
        <w:t>Mineka</w:t>
      </w:r>
      <w:proofErr w:type="spellEnd"/>
      <w:r>
        <w:t xml:space="preserve">, S. y </w:t>
      </w:r>
      <w:proofErr w:type="spellStart"/>
      <w:r>
        <w:t>Zinbarg</w:t>
      </w:r>
      <w:proofErr w:type="spellEnd"/>
      <w:r>
        <w:t xml:space="preserve">, R. (2006). </w:t>
      </w:r>
      <w:r w:rsidRPr="00416B2C">
        <w:rPr>
          <w:lang w:val="en-US"/>
        </w:rPr>
        <w:t xml:space="preserve">A contemporary learning theory perspective on the etiology of anxiety disorders: It’s not what you thought it was. </w:t>
      </w:r>
      <w:r>
        <w:rPr>
          <w:i/>
        </w:rPr>
        <w:t xml:space="preserve">American </w:t>
      </w:r>
      <w:proofErr w:type="spellStart"/>
      <w:r>
        <w:rPr>
          <w:i/>
        </w:rPr>
        <w:t>Psychologist</w:t>
      </w:r>
      <w:proofErr w:type="spellEnd"/>
      <w:r>
        <w:t xml:space="preserve">, </w:t>
      </w:r>
      <w:r>
        <w:rPr>
          <w:i/>
        </w:rPr>
        <w:t>61</w:t>
      </w:r>
      <w:r>
        <w:t xml:space="preserve">(1), 10–26. </w:t>
      </w:r>
      <w:hyperlink r:id="rId56">
        <w:r w:rsidR="00E75227">
          <w:rPr>
            <w:color w:val="1155CC"/>
            <w:u w:val="single"/>
          </w:rPr>
          <w:t>https://doi.org/10.1037/0003-066X.61.1.10</w:t>
        </w:r>
      </w:hyperlink>
      <w:r>
        <w:t xml:space="preserve"> </w:t>
      </w:r>
    </w:p>
    <w:p w14:paraId="331285B6" w14:textId="77777777" w:rsidR="00E75227" w:rsidRDefault="00000000">
      <w:pPr>
        <w:spacing w:line="360" w:lineRule="auto"/>
        <w:ind w:left="720"/>
      </w:pPr>
      <w:r>
        <w:lastRenderedPageBreak/>
        <w:t xml:space="preserve">Moral de la Rubia, J., </w:t>
      </w:r>
      <w:proofErr w:type="spellStart"/>
      <w:r>
        <w:t>Antona</w:t>
      </w:r>
      <w:proofErr w:type="spellEnd"/>
      <w:r>
        <w:t xml:space="preserve">, C. y García, C. (2016). Validación del inventario de ansiedad y fobia social en una muestra de estudiantes universitarios mexicanos. </w:t>
      </w:r>
      <w:r>
        <w:rPr>
          <w:i/>
        </w:rPr>
        <w:t>Salud &amp; Sociedad</w:t>
      </w:r>
      <w:r>
        <w:t xml:space="preserve">, </w:t>
      </w:r>
      <w:r>
        <w:rPr>
          <w:i/>
        </w:rPr>
        <w:t>3</w:t>
      </w:r>
      <w:r>
        <w:t xml:space="preserve">(3), 313–331. </w:t>
      </w:r>
      <w:hyperlink r:id="rId57">
        <w:r w:rsidR="00E75227">
          <w:rPr>
            <w:color w:val="1155CC"/>
            <w:u w:val="single"/>
          </w:rPr>
          <w:t>https://doi.org/10.22199/S07187475.2012.0003.00006</w:t>
        </w:r>
      </w:hyperlink>
      <w:r>
        <w:t xml:space="preserve"> </w:t>
      </w:r>
    </w:p>
    <w:p w14:paraId="68A07094" w14:textId="77777777" w:rsidR="00E75227" w:rsidRDefault="00000000">
      <w:pPr>
        <w:spacing w:line="360" w:lineRule="auto"/>
        <w:ind w:left="720"/>
      </w:pPr>
      <w:r>
        <w:t xml:space="preserve">Olivares, J., García-López, L. J., </w:t>
      </w:r>
      <w:proofErr w:type="spellStart"/>
      <w:r>
        <w:t>Beidel</w:t>
      </w:r>
      <w:proofErr w:type="spellEnd"/>
      <w:r>
        <w:t xml:space="preserve">, D., Turner, S., Albano, A. y Hidalgo, M.D. (2002). </w:t>
      </w:r>
      <w:r w:rsidRPr="00416B2C">
        <w:rPr>
          <w:lang w:val="en-US"/>
        </w:rPr>
        <w:t xml:space="preserve">Results at long-term among three psychological treatments for adolescents with generalized social phobia (I): Statistical significance. </w:t>
      </w:r>
      <w:r>
        <w:rPr>
          <w:i/>
        </w:rPr>
        <w:t xml:space="preserve">Psicología Conductual, 10, </w:t>
      </w:r>
      <w:r>
        <w:t xml:space="preserve">147–164. </w:t>
      </w:r>
      <w:hyperlink r:id="rId58">
        <w:r w:rsidR="00E75227">
          <w:rPr>
            <w:color w:val="1155CC"/>
            <w:u w:val="single"/>
          </w:rPr>
          <w:t>https://psycnet.apa.org/record/2002-17147-008</w:t>
        </w:r>
      </w:hyperlink>
      <w:r>
        <w:t xml:space="preserve"> </w:t>
      </w:r>
    </w:p>
    <w:p w14:paraId="6E0BD952" w14:textId="77777777" w:rsidR="00E75227" w:rsidRDefault="00000000">
      <w:pPr>
        <w:spacing w:line="360" w:lineRule="auto"/>
        <w:ind w:left="720"/>
        <w:rPr>
          <w:highlight w:val="yellow"/>
        </w:rPr>
      </w:pPr>
      <w:r>
        <w:t xml:space="preserve">Orejudo, S., </w:t>
      </w:r>
      <w:proofErr w:type="spellStart"/>
      <w:r>
        <w:t>Fernandez</w:t>
      </w:r>
      <w:proofErr w:type="spellEnd"/>
      <w:r>
        <w:t xml:space="preserve">-Turrado, T. y Briz, E. (2012). Resultados de un programa para reducir el miedo y aumentar la autoeficacia para hablar en público en estudiantes universitarios de primer año. </w:t>
      </w:r>
      <w:r>
        <w:rPr>
          <w:i/>
        </w:rPr>
        <w:t>Estudios Sobre Educación</w:t>
      </w:r>
      <w:r>
        <w:t xml:space="preserve">, </w:t>
      </w:r>
      <w:r>
        <w:rPr>
          <w:i/>
        </w:rPr>
        <w:t>22</w:t>
      </w:r>
      <w:r>
        <w:t xml:space="preserve">, 199–217. </w:t>
      </w:r>
      <w:hyperlink r:id="rId59">
        <w:r w:rsidR="00E75227">
          <w:rPr>
            <w:color w:val="1155CC"/>
            <w:u w:val="single"/>
          </w:rPr>
          <w:t>https://doi.org/10.15581/004.22.2079</w:t>
        </w:r>
      </w:hyperlink>
      <w:r>
        <w:t xml:space="preserve"> </w:t>
      </w:r>
    </w:p>
    <w:p w14:paraId="579D0CC8" w14:textId="77777777" w:rsidR="00E75227" w:rsidRDefault="00000000">
      <w:pPr>
        <w:spacing w:line="360" w:lineRule="auto"/>
        <w:ind w:left="720"/>
        <w:rPr>
          <w:highlight w:val="white"/>
        </w:rPr>
      </w:pPr>
      <w:r>
        <w:t xml:space="preserve">Organización Mundial de la Salud (2022). </w:t>
      </w:r>
      <w:r w:rsidRPr="00416B2C">
        <w:rPr>
          <w:i/>
          <w:lang w:val="en-US"/>
        </w:rPr>
        <w:t xml:space="preserve">World mental health report: Transforming mental </w:t>
      </w:r>
      <w:r w:rsidRPr="00416B2C">
        <w:rPr>
          <w:i/>
          <w:highlight w:val="white"/>
          <w:lang w:val="en-US"/>
        </w:rPr>
        <w:t>health for all.</w:t>
      </w:r>
      <w:r w:rsidRPr="00416B2C">
        <w:rPr>
          <w:highlight w:val="white"/>
          <w:lang w:val="en-US"/>
        </w:rPr>
        <w:t xml:space="preserve"> </w:t>
      </w:r>
      <w:proofErr w:type="spellStart"/>
      <w:r>
        <w:rPr>
          <w:highlight w:val="white"/>
        </w:rPr>
        <w:t>World</w:t>
      </w:r>
      <w:proofErr w:type="spellEnd"/>
      <w:r>
        <w:rPr>
          <w:highlight w:val="white"/>
        </w:rPr>
        <w:t xml:space="preserve"> </w:t>
      </w:r>
      <w:proofErr w:type="spellStart"/>
      <w:r>
        <w:rPr>
          <w:highlight w:val="white"/>
        </w:rPr>
        <w:t>Health</w:t>
      </w:r>
      <w:proofErr w:type="spellEnd"/>
      <w:r>
        <w:rPr>
          <w:highlight w:val="white"/>
        </w:rPr>
        <w:t xml:space="preserve"> </w:t>
      </w:r>
      <w:proofErr w:type="spellStart"/>
      <w:r>
        <w:rPr>
          <w:highlight w:val="white"/>
        </w:rPr>
        <w:t>Organization</w:t>
      </w:r>
      <w:proofErr w:type="spellEnd"/>
      <w:r>
        <w:rPr>
          <w:highlight w:val="white"/>
        </w:rPr>
        <w:t xml:space="preserve">. Recuperado el 20 de abril de 2023 de </w:t>
      </w:r>
      <w:hyperlink r:id="rId60">
        <w:r w:rsidR="00E75227">
          <w:rPr>
            <w:color w:val="1155CC"/>
            <w:highlight w:val="white"/>
            <w:u w:val="single"/>
          </w:rPr>
          <w:t>https://www.who.int/publications/i/item/9789240049338</w:t>
        </w:r>
      </w:hyperlink>
      <w:r>
        <w:rPr>
          <w:highlight w:val="white"/>
        </w:rPr>
        <w:t xml:space="preserve"> </w:t>
      </w:r>
    </w:p>
    <w:p w14:paraId="3F00475F" w14:textId="77777777" w:rsidR="00E75227" w:rsidRDefault="00000000">
      <w:pPr>
        <w:spacing w:line="360" w:lineRule="auto"/>
        <w:ind w:left="720"/>
      </w:pPr>
      <w:r>
        <w:rPr>
          <w:highlight w:val="white"/>
        </w:rPr>
        <w:t xml:space="preserve">Organización Mundial de la Salud (2023). </w:t>
      </w:r>
      <w:r w:rsidRPr="00416B2C">
        <w:rPr>
          <w:i/>
          <w:highlight w:val="white"/>
          <w:lang w:val="en-US"/>
        </w:rPr>
        <w:t xml:space="preserve">Emerging technologies and scientific innovations: A global public health perspective. </w:t>
      </w:r>
      <w:r>
        <w:rPr>
          <w:highlight w:val="white"/>
        </w:rPr>
        <w:t xml:space="preserve">Recuperado de 18 de marzo de 2024 de </w:t>
      </w:r>
      <w:hyperlink r:id="rId61">
        <w:r w:rsidR="00E75227">
          <w:rPr>
            <w:color w:val="1155CC"/>
            <w:highlight w:val="white"/>
            <w:u w:val="single"/>
          </w:rPr>
          <w:t>https://iris.who.int/bitstream/handle/10665/370365/9789240073876-eng.pdf?sequence=1</w:t>
        </w:r>
      </w:hyperlink>
      <w:r>
        <w:rPr>
          <w:highlight w:val="white"/>
        </w:rPr>
        <w:t xml:space="preserve"> </w:t>
      </w:r>
    </w:p>
    <w:p w14:paraId="08BEE4E0" w14:textId="77777777" w:rsidR="00E75227" w:rsidRDefault="00000000">
      <w:pPr>
        <w:spacing w:line="360" w:lineRule="auto"/>
        <w:ind w:left="720"/>
      </w:pPr>
      <w:r>
        <w:t xml:space="preserve">Piñeiro, M. N. (2015). </w:t>
      </w:r>
      <w:r>
        <w:rPr>
          <w:i/>
        </w:rPr>
        <w:t>Propuesta de tratamiento del miedo a hablar en público. Análisis de la eficacia de cuatro programas de intervención</w:t>
      </w:r>
      <w:r>
        <w:t xml:space="preserve"> [Tesis Doctoral]. </w:t>
      </w:r>
      <w:hyperlink r:id="rId62">
        <w:r w:rsidR="00E75227">
          <w:rPr>
            <w:color w:val="1155CC"/>
            <w:u w:val="single"/>
          </w:rPr>
          <w:t>https://repositorio.uam.es/handle/10486/675288</w:t>
        </w:r>
      </w:hyperlink>
      <w:r>
        <w:t xml:space="preserve"> </w:t>
      </w:r>
    </w:p>
    <w:p w14:paraId="1E5F254B" w14:textId="77777777" w:rsidR="00E75227" w:rsidRDefault="00000000">
      <w:pPr>
        <w:spacing w:line="360" w:lineRule="auto"/>
        <w:ind w:left="720"/>
      </w:pPr>
      <w:r w:rsidRPr="00416B2C">
        <w:rPr>
          <w:lang w:val="en-US"/>
        </w:rPr>
        <w:t xml:space="preserve">Powers, M. y </w:t>
      </w:r>
      <w:proofErr w:type="spellStart"/>
      <w:r w:rsidRPr="00416B2C">
        <w:rPr>
          <w:lang w:val="en-US"/>
        </w:rPr>
        <w:t>Emmelkamp</w:t>
      </w:r>
      <w:proofErr w:type="spellEnd"/>
      <w:r w:rsidRPr="00416B2C">
        <w:rPr>
          <w:lang w:val="en-US"/>
        </w:rPr>
        <w:t xml:space="preserve">, P. (2008). Virtual reality exposure therapy for anxiety disorders: A meta-analysis. </w:t>
      </w:r>
      <w:proofErr w:type="spellStart"/>
      <w:r>
        <w:rPr>
          <w:i/>
        </w:rPr>
        <w:t>Journal</w:t>
      </w:r>
      <w:proofErr w:type="spellEnd"/>
      <w:r>
        <w:rPr>
          <w:i/>
        </w:rPr>
        <w:t xml:space="preserve"> </w:t>
      </w:r>
      <w:proofErr w:type="spellStart"/>
      <w:r>
        <w:rPr>
          <w:i/>
        </w:rPr>
        <w:t>of</w:t>
      </w:r>
      <w:proofErr w:type="spellEnd"/>
      <w:r>
        <w:rPr>
          <w:i/>
        </w:rPr>
        <w:t xml:space="preserve"> </w:t>
      </w:r>
      <w:proofErr w:type="spellStart"/>
      <w:r>
        <w:rPr>
          <w:i/>
        </w:rPr>
        <w:t>Anxiety</w:t>
      </w:r>
      <w:proofErr w:type="spellEnd"/>
      <w:r>
        <w:rPr>
          <w:i/>
        </w:rPr>
        <w:t xml:space="preserve"> </w:t>
      </w:r>
      <w:proofErr w:type="spellStart"/>
      <w:r>
        <w:rPr>
          <w:i/>
        </w:rPr>
        <w:t>Disorders</w:t>
      </w:r>
      <w:proofErr w:type="spellEnd"/>
      <w:r>
        <w:t xml:space="preserve">, </w:t>
      </w:r>
      <w:r>
        <w:rPr>
          <w:i/>
        </w:rPr>
        <w:t>22</w:t>
      </w:r>
      <w:r>
        <w:t xml:space="preserve">(3), 561–569. </w:t>
      </w:r>
      <w:hyperlink r:id="rId63">
        <w:r w:rsidR="00E75227">
          <w:rPr>
            <w:color w:val="1155CC"/>
            <w:u w:val="single"/>
          </w:rPr>
          <w:t>https://doi.org/10.1016/j.janxdis.2007.04.006</w:t>
        </w:r>
      </w:hyperlink>
      <w:r>
        <w:t xml:space="preserve"> </w:t>
      </w:r>
    </w:p>
    <w:p w14:paraId="43265F66" w14:textId="77777777" w:rsidR="00E75227" w:rsidRDefault="00000000">
      <w:pPr>
        <w:spacing w:line="360" w:lineRule="auto"/>
        <w:ind w:left="720"/>
      </w:pPr>
      <w:r w:rsidRPr="00416B2C">
        <w:rPr>
          <w:lang w:val="en-US"/>
        </w:rPr>
        <w:t xml:space="preserve">Reeves, R., Elliott, A., Curran, D., Dyer, K. y Hanna, D. (2021). 360° Video virtual reality exposure therapy for public speaking anxiety: A randomized controlled trial. </w:t>
      </w:r>
      <w:proofErr w:type="spellStart"/>
      <w:r>
        <w:rPr>
          <w:i/>
        </w:rPr>
        <w:t>Journal</w:t>
      </w:r>
      <w:proofErr w:type="spellEnd"/>
      <w:r>
        <w:rPr>
          <w:i/>
        </w:rPr>
        <w:t xml:space="preserve"> </w:t>
      </w:r>
      <w:proofErr w:type="spellStart"/>
      <w:r>
        <w:rPr>
          <w:i/>
        </w:rPr>
        <w:t>of</w:t>
      </w:r>
      <w:proofErr w:type="spellEnd"/>
      <w:r>
        <w:rPr>
          <w:i/>
        </w:rPr>
        <w:t xml:space="preserve"> </w:t>
      </w:r>
      <w:proofErr w:type="spellStart"/>
      <w:r>
        <w:rPr>
          <w:i/>
        </w:rPr>
        <w:t>Anxiety</w:t>
      </w:r>
      <w:proofErr w:type="spellEnd"/>
      <w:r>
        <w:rPr>
          <w:i/>
        </w:rPr>
        <w:t xml:space="preserve"> </w:t>
      </w:r>
      <w:proofErr w:type="spellStart"/>
      <w:r>
        <w:rPr>
          <w:i/>
        </w:rPr>
        <w:t>Disorders</w:t>
      </w:r>
      <w:proofErr w:type="spellEnd"/>
      <w:r>
        <w:rPr>
          <w:i/>
        </w:rPr>
        <w:t>, 83</w:t>
      </w:r>
      <w:r>
        <w:t xml:space="preserve">, 102451. </w:t>
      </w:r>
      <w:hyperlink r:id="rId64">
        <w:r w:rsidR="00E75227">
          <w:rPr>
            <w:color w:val="1155CC"/>
            <w:u w:val="single"/>
          </w:rPr>
          <w:t>https://doi.org/10.1016/j.janxdis.2021.102451</w:t>
        </w:r>
      </w:hyperlink>
      <w:r>
        <w:t xml:space="preserve"> </w:t>
      </w:r>
    </w:p>
    <w:p w14:paraId="3226ABE4" w14:textId="77777777" w:rsidR="00E75227" w:rsidRDefault="00000000">
      <w:pPr>
        <w:spacing w:line="360" w:lineRule="auto"/>
        <w:ind w:left="720"/>
      </w:pPr>
      <w:r>
        <w:t xml:space="preserve">Reeves, R., Curran, D., Gleeson, A. y Hanna, D. (2022). </w:t>
      </w:r>
      <w:r w:rsidRPr="00416B2C">
        <w:rPr>
          <w:lang w:val="en-US"/>
        </w:rPr>
        <w:t xml:space="preserve">A meta-analysis of the efficacy of virtual reality and in vivo exposure therapy as psychological interventions for public speaking anxiety. </w:t>
      </w:r>
      <w:proofErr w:type="spellStart"/>
      <w:r>
        <w:rPr>
          <w:i/>
        </w:rPr>
        <w:t>Behavior</w:t>
      </w:r>
      <w:proofErr w:type="spellEnd"/>
      <w:r>
        <w:rPr>
          <w:i/>
        </w:rPr>
        <w:t xml:space="preserve"> </w:t>
      </w:r>
      <w:proofErr w:type="spellStart"/>
      <w:r>
        <w:rPr>
          <w:i/>
        </w:rPr>
        <w:t>Modification</w:t>
      </w:r>
      <w:proofErr w:type="spellEnd"/>
      <w:r>
        <w:t xml:space="preserve">, </w:t>
      </w:r>
      <w:r>
        <w:rPr>
          <w:i/>
        </w:rPr>
        <w:t>46</w:t>
      </w:r>
      <w:r>
        <w:t xml:space="preserve">(4), 937–965. </w:t>
      </w:r>
      <w:hyperlink r:id="rId65">
        <w:r w:rsidR="00E75227">
          <w:rPr>
            <w:color w:val="1155CC"/>
            <w:u w:val="single"/>
          </w:rPr>
          <w:t>https://doi.org/10.1177/0145445521991102</w:t>
        </w:r>
      </w:hyperlink>
      <w:r>
        <w:t xml:space="preserve"> </w:t>
      </w:r>
    </w:p>
    <w:p w14:paraId="109D0985" w14:textId="77777777" w:rsidR="00E75227" w:rsidRPr="00416B2C" w:rsidRDefault="00000000">
      <w:pPr>
        <w:spacing w:line="360" w:lineRule="auto"/>
        <w:ind w:left="720"/>
        <w:rPr>
          <w:lang w:val="en-US"/>
        </w:rPr>
      </w:pPr>
      <w:proofErr w:type="spellStart"/>
      <w:r w:rsidRPr="00416B2C">
        <w:rPr>
          <w:lang w:val="en-US"/>
        </w:rPr>
        <w:t>Reichenberger</w:t>
      </w:r>
      <w:proofErr w:type="spellEnd"/>
      <w:r w:rsidRPr="00416B2C">
        <w:rPr>
          <w:lang w:val="en-US"/>
        </w:rPr>
        <w:t xml:space="preserve">, J., </w:t>
      </w:r>
      <w:proofErr w:type="spellStart"/>
      <w:r w:rsidRPr="00416B2C">
        <w:rPr>
          <w:lang w:val="en-US"/>
        </w:rPr>
        <w:t>Porsch</w:t>
      </w:r>
      <w:proofErr w:type="spellEnd"/>
      <w:r w:rsidRPr="00416B2C">
        <w:rPr>
          <w:lang w:val="en-US"/>
        </w:rPr>
        <w:t xml:space="preserve">, S., Wittmann, J., Zimmermann, V. y </w:t>
      </w:r>
      <w:proofErr w:type="spellStart"/>
      <w:r w:rsidRPr="00416B2C">
        <w:rPr>
          <w:lang w:val="en-US"/>
        </w:rPr>
        <w:t>Shiban</w:t>
      </w:r>
      <w:proofErr w:type="spellEnd"/>
      <w:r w:rsidRPr="00416B2C">
        <w:rPr>
          <w:lang w:val="en-US"/>
        </w:rPr>
        <w:t xml:space="preserve">, Y. (2017). Social fear conditioning paradigm in virtual reality: Social vs. electrical aversive </w:t>
      </w:r>
      <w:r w:rsidRPr="00416B2C">
        <w:rPr>
          <w:lang w:val="en-US"/>
        </w:rPr>
        <w:lastRenderedPageBreak/>
        <w:t xml:space="preserve">conditioning. </w:t>
      </w:r>
      <w:r w:rsidRPr="00416B2C">
        <w:rPr>
          <w:i/>
          <w:lang w:val="en-US"/>
        </w:rPr>
        <w:t>Frontiers in Psychology</w:t>
      </w:r>
      <w:r w:rsidRPr="00416B2C">
        <w:rPr>
          <w:lang w:val="en-US"/>
        </w:rPr>
        <w:t xml:space="preserve">, </w:t>
      </w:r>
      <w:r w:rsidRPr="00416B2C">
        <w:rPr>
          <w:i/>
          <w:lang w:val="en-US"/>
        </w:rPr>
        <w:t>8</w:t>
      </w:r>
      <w:r w:rsidRPr="00416B2C">
        <w:rPr>
          <w:lang w:val="en-US"/>
        </w:rPr>
        <w:t xml:space="preserve">, 1979. </w:t>
      </w:r>
      <w:hyperlink r:id="rId66">
        <w:r w:rsidR="00E75227" w:rsidRPr="00416B2C">
          <w:rPr>
            <w:color w:val="1155CC"/>
            <w:u w:val="single"/>
            <w:lang w:val="en-US"/>
          </w:rPr>
          <w:t>https://doi.org/10.3389/fpsyg.2017.01979</w:t>
        </w:r>
      </w:hyperlink>
      <w:r w:rsidRPr="00416B2C">
        <w:rPr>
          <w:lang w:val="en-US"/>
        </w:rPr>
        <w:t xml:space="preserve"> </w:t>
      </w:r>
    </w:p>
    <w:p w14:paraId="7382F5ED" w14:textId="77777777" w:rsidR="00E75227" w:rsidRDefault="00000000">
      <w:pPr>
        <w:spacing w:line="360" w:lineRule="auto"/>
        <w:ind w:left="720"/>
      </w:pPr>
      <w:r w:rsidRPr="00416B2C">
        <w:rPr>
          <w:lang w:val="en-US"/>
        </w:rPr>
        <w:t xml:space="preserve">Santoyo, A., Ayala, A., </w:t>
      </w:r>
      <w:proofErr w:type="spellStart"/>
      <w:r w:rsidRPr="00416B2C">
        <w:rPr>
          <w:lang w:val="en-US"/>
        </w:rPr>
        <w:t>Laborda</w:t>
      </w:r>
      <w:proofErr w:type="spellEnd"/>
      <w:r w:rsidRPr="00416B2C">
        <w:rPr>
          <w:lang w:val="en-US"/>
        </w:rPr>
        <w:t xml:space="preserve">, M., </w:t>
      </w:r>
      <w:proofErr w:type="spellStart"/>
      <w:r w:rsidRPr="00416B2C">
        <w:rPr>
          <w:lang w:val="en-US"/>
        </w:rPr>
        <w:t>Miguez</w:t>
      </w:r>
      <w:proofErr w:type="spellEnd"/>
      <w:r w:rsidRPr="00416B2C">
        <w:rPr>
          <w:lang w:val="en-US"/>
        </w:rPr>
        <w:t xml:space="preserve">, G., San Martin, C., Alfaro, F., Diaz, F. y Quezada-Scholz, V. (2021). </w:t>
      </w:r>
      <w:r>
        <w:t xml:space="preserve">Realidad virtual en la investigación e intervención en miedo y ansiedad: una revisión sistemática breve [Memoria de Grado, Universidad de Chile]. </w:t>
      </w:r>
      <w:hyperlink r:id="rId67">
        <w:r w:rsidR="00E75227">
          <w:rPr>
            <w:color w:val="1155CC"/>
            <w:u w:val="single"/>
          </w:rPr>
          <w:t>https://repositorio.uchile.cl/handle/2250/195048</w:t>
        </w:r>
      </w:hyperlink>
      <w:r>
        <w:t xml:space="preserve"> </w:t>
      </w:r>
    </w:p>
    <w:p w14:paraId="0221714C" w14:textId="77777777" w:rsidR="00E75227" w:rsidRPr="00416B2C" w:rsidRDefault="00000000">
      <w:pPr>
        <w:spacing w:line="360" w:lineRule="auto"/>
        <w:ind w:left="720"/>
        <w:rPr>
          <w:lang w:val="en-US"/>
        </w:rPr>
      </w:pPr>
      <w:proofErr w:type="spellStart"/>
      <w:r w:rsidRPr="00416B2C">
        <w:rPr>
          <w:lang w:val="en-US"/>
        </w:rPr>
        <w:t>Takac</w:t>
      </w:r>
      <w:proofErr w:type="spellEnd"/>
      <w:r w:rsidRPr="00416B2C">
        <w:rPr>
          <w:lang w:val="en-US"/>
        </w:rPr>
        <w:t xml:space="preserve">, M., Collett, J., </w:t>
      </w:r>
      <w:proofErr w:type="spellStart"/>
      <w:r w:rsidRPr="00416B2C">
        <w:rPr>
          <w:lang w:val="en-US"/>
        </w:rPr>
        <w:t>Blom</w:t>
      </w:r>
      <w:proofErr w:type="spellEnd"/>
      <w:r w:rsidRPr="00416B2C">
        <w:rPr>
          <w:lang w:val="en-US"/>
        </w:rPr>
        <w:t xml:space="preserve">, K., Conduit, R., Rehm, I. y De Foe, A. (2019). Public speaking anxiety decreases within repeated virtual reality training sessions. </w:t>
      </w:r>
      <w:proofErr w:type="spellStart"/>
      <w:r w:rsidRPr="00416B2C">
        <w:rPr>
          <w:i/>
          <w:lang w:val="en-US"/>
        </w:rPr>
        <w:t>PLoS</w:t>
      </w:r>
      <w:proofErr w:type="spellEnd"/>
      <w:r w:rsidRPr="00416B2C">
        <w:rPr>
          <w:i/>
          <w:lang w:val="en-US"/>
        </w:rPr>
        <w:t xml:space="preserve"> ONE, 14</w:t>
      </w:r>
      <w:r w:rsidRPr="00416B2C">
        <w:rPr>
          <w:lang w:val="en-US"/>
        </w:rPr>
        <w:t xml:space="preserve">(5), e0216288. </w:t>
      </w:r>
      <w:hyperlink r:id="rId68">
        <w:r w:rsidR="00E75227" w:rsidRPr="00416B2C">
          <w:rPr>
            <w:color w:val="1155CC"/>
            <w:u w:val="single"/>
            <w:lang w:val="en-US"/>
          </w:rPr>
          <w:t>https://doi.org/10.1371/journal.pone.0216288</w:t>
        </w:r>
      </w:hyperlink>
      <w:r w:rsidRPr="00416B2C">
        <w:rPr>
          <w:lang w:val="en-US"/>
        </w:rPr>
        <w:t xml:space="preserve"> </w:t>
      </w:r>
    </w:p>
    <w:p w14:paraId="58042F2C" w14:textId="77777777" w:rsidR="00E75227" w:rsidRPr="00416B2C" w:rsidRDefault="00000000">
      <w:pPr>
        <w:spacing w:line="360" w:lineRule="auto"/>
        <w:ind w:left="720"/>
        <w:rPr>
          <w:lang w:val="en-US"/>
        </w:rPr>
      </w:pPr>
      <w:r w:rsidRPr="00416B2C">
        <w:rPr>
          <w:lang w:val="en-US"/>
        </w:rPr>
        <w:t xml:space="preserve">The </w:t>
      </w:r>
      <w:proofErr w:type="spellStart"/>
      <w:r w:rsidRPr="00416B2C">
        <w:rPr>
          <w:lang w:val="en-US"/>
        </w:rPr>
        <w:t>jamovi</w:t>
      </w:r>
      <w:proofErr w:type="spellEnd"/>
      <w:r w:rsidRPr="00416B2C">
        <w:rPr>
          <w:lang w:val="en-US"/>
        </w:rPr>
        <w:t xml:space="preserve"> project (2022). </w:t>
      </w:r>
      <w:proofErr w:type="spellStart"/>
      <w:r w:rsidRPr="00416B2C">
        <w:rPr>
          <w:i/>
          <w:lang w:val="en-US"/>
        </w:rPr>
        <w:t>jamovi</w:t>
      </w:r>
      <w:proofErr w:type="spellEnd"/>
      <w:r w:rsidRPr="00416B2C">
        <w:rPr>
          <w:lang w:val="en-US"/>
        </w:rPr>
        <w:t xml:space="preserve"> </w:t>
      </w:r>
      <w:r w:rsidRPr="00416B2C">
        <w:rPr>
          <w:i/>
          <w:lang w:val="en-US"/>
        </w:rPr>
        <w:t>(Version 2.3)</w:t>
      </w:r>
      <w:r w:rsidRPr="00416B2C">
        <w:rPr>
          <w:lang w:val="en-US"/>
        </w:rPr>
        <w:t xml:space="preserve"> [Computer Software]. </w:t>
      </w:r>
      <w:hyperlink r:id="rId69">
        <w:r w:rsidR="00E75227" w:rsidRPr="00416B2C">
          <w:rPr>
            <w:color w:val="1155CC"/>
            <w:u w:val="single"/>
            <w:lang w:val="en-US"/>
          </w:rPr>
          <w:t>https://www.jamovi.org</w:t>
        </w:r>
      </w:hyperlink>
      <w:r w:rsidRPr="00416B2C">
        <w:rPr>
          <w:lang w:val="en-US"/>
        </w:rPr>
        <w:t xml:space="preserve">. </w:t>
      </w:r>
    </w:p>
    <w:p w14:paraId="33929E87" w14:textId="77777777" w:rsidR="00E75227" w:rsidRPr="00416B2C" w:rsidRDefault="00000000">
      <w:pPr>
        <w:spacing w:line="360" w:lineRule="auto"/>
        <w:ind w:left="720"/>
        <w:rPr>
          <w:lang w:val="en-US"/>
        </w:rPr>
      </w:pPr>
      <w:proofErr w:type="spellStart"/>
      <w:r w:rsidRPr="00416B2C">
        <w:rPr>
          <w:lang w:val="en-US"/>
        </w:rPr>
        <w:t>Thunnissen</w:t>
      </w:r>
      <w:proofErr w:type="spellEnd"/>
      <w:r w:rsidRPr="00416B2C">
        <w:rPr>
          <w:lang w:val="en-US"/>
        </w:rPr>
        <w:t xml:space="preserve"> M., </w:t>
      </w:r>
      <w:proofErr w:type="spellStart"/>
      <w:r w:rsidRPr="00416B2C">
        <w:rPr>
          <w:lang w:val="en-US"/>
        </w:rPr>
        <w:t>Nauta</w:t>
      </w:r>
      <w:proofErr w:type="spellEnd"/>
      <w:r w:rsidRPr="00416B2C">
        <w:rPr>
          <w:lang w:val="en-US"/>
        </w:rPr>
        <w:t xml:space="preserve"> M., de Jong P., </w:t>
      </w:r>
      <w:proofErr w:type="spellStart"/>
      <w:r w:rsidRPr="00416B2C">
        <w:rPr>
          <w:lang w:val="en-US"/>
        </w:rPr>
        <w:t>Rijkeboer</w:t>
      </w:r>
      <w:proofErr w:type="spellEnd"/>
      <w:r w:rsidRPr="00416B2C">
        <w:rPr>
          <w:lang w:val="en-US"/>
        </w:rPr>
        <w:t xml:space="preserve"> M. y </w:t>
      </w:r>
      <w:proofErr w:type="spellStart"/>
      <w:r w:rsidRPr="00416B2C">
        <w:rPr>
          <w:lang w:val="en-US"/>
        </w:rPr>
        <w:t>Voncken</w:t>
      </w:r>
      <w:proofErr w:type="spellEnd"/>
      <w:r w:rsidRPr="00416B2C">
        <w:rPr>
          <w:lang w:val="en-US"/>
        </w:rPr>
        <w:t xml:space="preserve"> M. (2022). Flashforward imagery in speech anxiety: Characteristics and associations with anxiety and avoidance. </w:t>
      </w:r>
      <w:r w:rsidRPr="00416B2C">
        <w:rPr>
          <w:i/>
          <w:lang w:val="en-US"/>
        </w:rPr>
        <w:t>Frontiers in Psychology</w:t>
      </w:r>
      <w:r w:rsidRPr="00416B2C">
        <w:rPr>
          <w:lang w:val="en-US"/>
        </w:rPr>
        <w:t xml:space="preserve">. </w:t>
      </w:r>
      <w:r w:rsidRPr="00416B2C">
        <w:rPr>
          <w:i/>
          <w:lang w:val="en-US"/>
        </w:rPr>
        <w:t>13</w:t>
      </w:r>
      <w:r w:rsidRPr="00416B2C">
        <w:rPr>
          <w:lang w:val="en-US"/>
        </w:rPr>
        <w:t xml:space="preserve">, 975374. </w:t>
      </w:r>
      <w:hyperlink r:id="rId70">
        <w:r w:rsidR="00E75227" w:rsidRPr="00416B2C">
          <w:rPr>
            <w:color w:val="1155CC"/>
            <w:u w:val="single"/>
            <w:lang w:val="en-US"/>
          </w:rPr>
          <w:t>https://doi.org/10.3389/fpsyg.2022.975374</w:t>
        </w:r>
      </w:hyperlink>
      <w:r w:rsidRPr="00416B2C">
        <w:rPr>
          <w:lang w:val="en-US"/>
        </w:rPr>
        <w:t xml:space="preserve"> </w:t>
      </w:r>
    </w:p>
    <w:p w14:paraId="1AD86EF9" w14:textId="77777777" w:rsidR="00E75227" w:rsidRDefault="00000000">
      <w:pPr>
        <w:spacing w:line="360" w:lineRule="auto"/>
        <w:ind w:left="720"/>
      </w:pPr>
      <w:r w:rsidRPr="00416B2C">
        <w:rPr>
          <w:lang w:val="en-US"/>
        </w:rPr>
        <w:t xml:space="preserve">Tron, R., Bravo, M. y Vaquero, J. (2014). </w:t>
      </w:r>
      <w:r>
        <w:t xml:space="preserve">Evaluación y correlación de las </w:t>
      </w:r>
      <w:proofErr w:type="spellStart"/>
      <w:r>
        <w:t>autoverbalizaciones</w:t>
      </w:r>
      <w:proofErr w:type="spellEnd"/>
      <w:r>
        <w:t xml:space="preserve"> y el miedo a hablar en público en estudiantes universitarios.</w:t>
      </w:r>
      <w:r>
        <w:rPr>
          <w:i/>
        </w:rPr>
        <w:t xml:space="preserve"> Revista de Educación y Desarrollo</w:t>
      </w:r>
      <w:r>
        <w:t>,</w:t>
      </w:r>
      <w:r>
        <w:rPr>
          <w:i/>
        </w:rPr>
        <w:t xml:space="preserve"> 30</w:t>
      </w:r>
      <w:r>
        <w:t xml:space="preserve">, 13–18. </w:t>
      </w:r>
      <w:hyperlink r:id="rId71">
        <w:r w:rsidR="00E75227">
          <w:rPr>
            <w:color w:val="1155CC"/>
            <w:u w:val="single"/>
          </w:rPr>
          <w:t>https://www.cucs.udg.mx/revistas/edu_desarrollo/anterioresdetalle.php?n=30</w:t>
        </w:r>
      </w:hyperlink>
      <w:r>
        <w:t xml:space="preserve"> </w:t>
      </w:r>
    </w:p>
    <w:p w14:paraId="7C25F655" w14:textId="77777777" w:rsidR="00E75227" w:rsidRPr="00416B2C" w:rsidRDefault="00000000">
      <w:pPr>
        <w:spacing w:line="360" w:lineRule="auto"/>
        <w:ind w:left="720"/>
        <w:rPr>
          <w:lang w:val="en-US"/>
        </w:rPr>
      </w:pPr>
      <w:proofErr w:type="spellStart"/>
      <w:r w:rsidRPr="00416B2C">
        <w:rPr>
          <w:lang w:val="pt-BR"/>
        </w:rPr>
        <w:t>Verano-Tacoronte</w:t>
      </w:r>
      <w:proofErr w:type="spellEnd"/>
      <w:r w:rsidRPr="00416B2C">
        <w:rPr>
          <w:lang w:val="pt-BR"/>
        </w:rPr>
        <w:t>, D. y Bolívar-Cruz, A. (2015).</w:t>
      </w:r>
      <w:r w:rsidRPr="00416B2C">
        <w:rPr>
          <w:i/>
          <w:lang w:val="pt-BR"/>
        </w:rPr>
        <w:t xml:space="preserve"> </w:t>
      </w:r>
      <w:r>
        <w:rPr>
          <w:i/>
        </w:rPr>
        <w:t xml:space="preserve">La </w:t>
      </w:r>
      <w:proofErr w:type="spellStart"/>
      <w:r>
        <w:rPr>
          <w:i/>
        </w:rPr>
        <w:t>conﬁanza</w:t>
      </w:r>
      <w:proofErr w:type="spellEnd"/>
      <w:r>
        <w:rPr>
          <w:i/>
        </w:rPr>
        <w:t xml:space="preserve"> para hablar en público entre los estudiantes universitarios</w:t>
      </w:r>
      <w:r>
        <w:t xml:space="preserve">. </w:t>
      </w:r>
      <w:r w:rsidRPr="00416B2C">
        <w:rPr>
          <w:lang w:val="en-US"/>
        </w:rPr>
        <w:t xml:space="preserve">XXIX AEDEM Annual Meeting. San Sebastián / </w:t>
      </w:r>
      <w:proofErr w:type="spellStart"/>
      <w:r w:rsidRPr="00416B2C">
        <w:rPr>
          <w:lang w:val="en-US"/>
        </w:rPr>
        <w:t>Donostia</w:t>
      </w:r>
      <w:proofErr w:type="spellEnd"/>
      <w:r w:rsidRPr="00416B2C">
        <w:rPr>
          <w:lang w:val="en-US"/>
        </w:rPr>
        <w:t xml:space="preserve"> 2015. </w:t>
      </w:r>
      <w:hyperlink r:id="rId72">
        <w:r w:rsidR="00E75227" w:rsidRPr="00416B2C">
          <w:rPr>
            <w:color w:val="1155CC"/>
            <w:u w:val="single"/>
            <w:lang w:val="en-US"/>
          </w:rPr>
          <w:t>http://hdl.handle.net/10553/129122</w:t>
        </w:r>
      </w:hyperlink>
      <w:r w:rsidRPr="00416B2C">
        <w:rPr>
          <w:lang w:val="en-US"/>
        </w:rPr>
        <w:t xml:space="preserve"> </w:t>
      </w:r>
    </w:p>
    <w:p w14:paraId="57681DB4" w14:textId="77777777" w:rsidR="00E75227" w:rsidRPr="00416B2C" w:rsidRDefault="00000000">
      <w:pPr>
        <w:spacing w:line="360" w:lineRule="auto"/>
        <w:ind w:left="720"/>
        <w:rPr>
          <w:lang w:val="pt-BR"/>
        </w:rPr>
      </w:pPr>
      <w:r w:rsidRPr="00416B2C">
        <w:rPr>
          <w:lang w:val="en-US"/>
        </w:rPr>
        <w:t xml:space="preserve">Wittchen, H.-U. y </w:t>
      </w:r>
      <w:proofErr w:type="spellStart"/>
      <w:r w:rsidRPr="00416B2C">
        <w:rPr>
          <w:lang w:val="en-US"/>
        </w:rPr>
        <w:t>Fehm</w:t>
      </w:r>
      <w:proofErr w:type="spellEnd"/>
      <w:r w:rsidRPr="00416B2C">
        <w:rPr>
          <w:lang w:val="en-US"/>
        </w:rPr>
        <w:t xml:space="preserve">, L. (2003). Epidemiology and natural course of social fears and social phobia. </w:t>
      </w:r>
      <w:r w:rsidRPr="00416B2C">
        <w:rPr>
          <w:i/>
          <w:lang w:val="pt-BR"/>
        </w:rPr>
        <w:t xml:space="preserve">Acta </w:t>
      </w:r>
      <w:proofErr w:type="spellStart"/>
      <w:r w:rsidRPr="00416B2C">
        <w:rPr>
          <w:i/>
          <w:lang w:val="pt-BR"/>
        </w:rPr>
        <w:t>Psychiatrica</w:t>
      </w:r>
      <w:proofErr w:type="spellEnd"/>
      <w:r w:rsidRPr="00416B2C">
        <w:rPr>
          <w:i/>
          <w:lang w:val="pt-BR"/>
        </w:rPr>
        <w:t xml:space="preserve"> </w:t>
      </w:r>
      <w:proofErr w:type="spellStart"/>
      <w:r w:rsidRPr="00416B2C">
        <w:rPr>
          <w:i/>
          <w:lang w:val="pt-BR"/>
        </w:rPr>
        <w:t>Scandinavica</w:t>
      </w:r>
      <w:proofErr w:type="spellEnd"/>
      <w:r w:rsidRPr="00416B2C">
        <w:rPr>
          <w:lang w:val="pt-BR"/>
        </w:rPr>
        <w:t xml:space="preserve">, </w:t>
      </w:r>
      <w:r w:rsidRPr="00416B2C">
        <w:rPr>
          <w:i/>
          <w:lang w:val="pt-BR"/>
        </w:rPr>
        <w:t>108</w:t>
      </w:r>
      <w:r w:rsidRPr="00416B2C">
        <w:rPr>
          <w:lang w:val="pt-BR"/>
        </w:rPr>
        <w:t xml:space="preserve">(417), 418. </w:t>
      </w:r>
      <w:hyperlink r:id="rId73">
        <w:r w:rsidR="00E75227" w:rsidRPr="00416B2C">
          <w:rPr>
            <w:color w:val="1155CC"/>
            <w:u w:val="single"/>
            <w:lang w:val="pt-BR"/>
          </w:rPr>
          <w:t>https://doi.org/10.1034/j.1600-0447.108.s417.1.x</w:t>
        </w:r>
      </w:hyperlink>
      <w:r w:rsidRPr="00416B2C">
        <w:rPr>
          <w:lang w:val="pt-BR"/>
        </w:rPr>
        <w:t xml:space="preserve"> </w:t>
      </w:r>
    </w:p>
    <w:p w14:paraId="504861EC" w14:textId="77777777" w:rsidR="00E75227" w:rsidRPr="00416B2C" w:rsidRDefault="00000000">
      <w:pPr>
        <w:spacing w:line="360" w:lineRule="auto"/>
        <w:ind w:left="720"/>
        <w:rPr>
          <w:lang w:val="en-US"/>
        </w:rPr>
      </w:pPr>
      <w:r w:rsidRPr="00416B2C">
        <w:rPr>
          <w:lang w:val="pt-BR"/>
        </w:rPr>
        <w:t xml:space="preserve">Wolpe, J. (1969). </w:t>
      </w:r>
      <w:r w:rsidRPr="00416B2C">
        <w:rPr>
          <w:i/>
          <w:lang w:val="en-US"/>
        </w:rPr>
        <w:t>Subjective Units of Distress Scale (SUDS)</w:t>
      </w:r>
      <w:r w:rsidRPr="00416B2C">
        <w:rPr>
          <w:lang w:val="en-US"/>
        </w:rPr>
        <w:t xml:space="preserve"> [Database record]. APA </w:t>
      </w:r>
      <w:proofErr w:type="spellStart"/>
      <w:r w:rsidRPr="00416B2C">
        <w:rPr>
          <w:lang w:val="en-US"/>
        </w:rPr>
        <w:t>PsycTests</w:t>
      </w:r>
      <w:proofErr w:type="spellEnd"/>
      <w:r w:rsidRPr="00416B2C">
        <w:rPr>
          <w:lang w:val="en-US"/>
        </w:rPr>
        <w:t xml:space="preserve">. </w:t>
      </w:r>
      <w:hyperlink r:id="rId74">
        <w:r w:rsidR="00E75227" w:rsidRPr="00416B2C">
          <w:rPr>
            <w:color w:val="1155CC"/>
            <w:u w:val="single"/>
            <w:lang w:val="en-US"/>
          </w:rPr>
          <w:t>https://doi.org/10.1037/t05183-000</w:t>
        </w:r>
      </w:hyperlink>
    </w:p>
    <w:p w14:paraId="03E18B48" w14:textId="77777777" w:rsidR="00E75227" w:rsidRDefault="00000000">
      <w:pPr>
        <w:spacing w:line="360" w:lineRule="auto"/>
        <w:ind w:left="720"/>
      </w:pPr>
      <w:r w:rsidRPr="00416B2C">
        <w:rPr>
          <w:lang w:val="en-US"/>
        </w:rPr>
        <w:t xml:space="preserve">Wong, A., </w:t>
      </w:r>
      <w:proofErr w:type="spellStart"/>
      <w:r w:rsidRPr="00416B2C">
        <w:rPr>
          <w:lang w:val="en-US"/>
        </w:rPr>
        <w:t>Aslanidou</w:t>
      </w:r>
      <w:proofErr w:type="spellEnd"/>
      <w:r w:rsidRPr="00416B2C">
        <w:rPr>
          <w:lang w:val="en-US"/>
        </w:rPr>
        <w:t xml:space="preserve">, A., Malbec, M., </w:t>
      </w:r>
      <w:proofErr w:type="spellStart"/>
      <w:r w:rsidRPr="00416B2C">
        <w:rPr>
          <w:lang w:val="en-US"/>
        </w:rPr>
        <w:t>Pittig</w:t>
      </w:r>
      <w:proofErr w:type="spellEnd"/>
      <w:r w:rsidRPr="00416B2C">
        <w:rPr>
          <w:lang w:val="en-US"/>
        </w:rPr>
        <w:t xml:space="preserve">, A., </w:t>
      </w:r>
      <w:proofErr w:type="spellStart"/>
      <w:r w:rsidRPr="00416B2C">
        <w:rPr>
          <w:lang w:val="en-US"/>
        </w:rPr>
        <w:t>Wieser</w:t>
      </w:r>
      <w:proofErr w:type="spellEnd"/>
      <w:r w:rsidRPr="00416B2C">
        <w:rPr>
          <w:lang w:val="en-US"/>
        </w:rPr>
        <w:t xml:space="preserve">, M. y </w:t>
      </w:r>
      <w:proofErr w:type="spellStart"/>
      <w:r w:rsidRPr="00416B2C">
        <w:rPr>
          <w:lang w:val="en-US"/>
        </w:rPr>
        <w:t>Andreatta</w:t>
      </w:r>
      <w:proofErr w:type="spellEnd"/>
      <w:r w:rsidRPr="00416B2C">
        <w:rPr>
          <w:lang w:val="en-US"/>
        </w:rPr>
        <w:t xml:space="preserve">, M. (2023). A systematic review of the inter-individual differences in avoidance learning. </w:t>
      </w:r>
      <w:proofErr w:type="spellStart"/>
      <w:r>
        <w:rPr>
          <w:i/>
        </w:rPr>
        <w:t>Collabra</w:t>
      </w:r>
      <w:proofErr w:type="spellEnd"/>
      <w:r>
        <w:rPr>
          <w:i/>
        </w:rPr>
        <w:t xml:space="preserve">: </w:t>
      </w:r>
      <w:proofErr w:type="spellStart"/>
      <w:r>
        <w:rPr>
          <w:i/>
        </w:rPr>
        <w:t>Psychology</w:t>
      </w:r>
      <w:proofErr w:type="spellEnd"/>
      <w:r>
        <w:t xml:space="preserve">, </w:t>
      </w:r>
      <w:r>
        <w:rPr>
          <w:i/>
        </w:rPr>
        <w:t>9</w:t>
      </w:r>
      <w:r>
        <w:t xml:space="preserve">(1), 77856, 1–33. </w:t>
      </w:r>
      <w:hyperlink r:id="rId75">
        <w:r w:rsidR="00E75227">
          <w:rPr>
            <w:color w:val="1155CC"/>
            <w:u w:val="single"/>
          </w:rPr>
          <w:t>https://doi.org/10.1525/collabra.77856</w:t>
        </w:r>
      </w:hyperlink>
      <w:r>
        <w:t xml:space="preserve"> </w:t>
      </w:r>
    </w:p>
    <w:p w14:paraId="470579D1" w14:textId="46ECDFA1" w:rsidR="00E75227" w:rsidRDefault="00000000" w:rsidP="00546B4B">
      <w:pPr>
        <w:spacing w:line="360" w:lineRule="auto"/>
        <w:ind w:left="720"/>
        <w:rPr>
          <w:i/>
          <w:sz w:val="20"/>
          <w:szCs w:val="20"/>
        </w:rPr>
      </w:pPr>
      <w:proofErr w:type="spellStart"/>
      <w:r>
        <w:t>Zacarin</w:t>
      </w:r>
      <w:proofErr w:type="spellEnd"/>
      <w:r>
        <w:t xml:space="preserve">, M., </w:t>
      </w:r>
      <w:proofErr w:type="spellStart"/>
      <w:r>
        <w:t>Borloti</w:t>
      </w:r>
      <w:proofErr w:type="spellEnd"/>
      <w:r>
        <w:t xml:space="preserve">, E. y </w:t>
      </w:r>
      <w:proofErr w:type="spellStart"/>
      <w:r>
        <w:t>Haydu</w:t>
      </w:r>
      <w:proofErr w:type="spellEnd"/>
      <w:r>
        <w:t xml:space="preserve">, V. (2019). </w:t>
      </w:r>
      <w:r w:rsidRPr="00416B2C">
        <w:rPr>
          <w:lang w:val="en-US"/>
        </w:rPr>
        <w:t xml:space="preserve">Behavioral therapy and virtual reality exposure for public speaking anxiety. </w:t>
      </w:r>
      <w:r>
        <w:rPr>
          <w:i/>
        </w:rPr>
        <w:t xml:space="preserve">Temas em </w:t>
      </w:r>
      <w:proofErr w:type="spellStart"/>
      <w:r>
        <w:rPr>
          <w:i/>
        </w:rPr>
        <w:t>Psicologia</w:t>
      </w:r>
      <w:proofErr w:type="spellEnd"/>
      <w:r>
        <w:rPr>
          <w:i/>
        </w:rPr>
        <w:t>, 27</w:t>
      </w:r>
      <w:r>
        <w:t xml:space="preserve">(2), 491–507. </w:t>
      </w:r>
      <w:hyperlink r:id="rId76">
        <w:r w:rsidR="00E75227">
          <w:rPr>
            <w:color w:val="1155CC"/>
            <w:u w:val="single"/>
          </w:rPr>
          <w:t>https://doi.org/10.9788/TP2019.2-14</w:t>
        </w:r>
      </w:hyperlink>
    </w:p>
    <w:p w14:paraId="381F23EA" w14:textId="77777777" w:rsidR="00E75227" w:rsidRDefault="00E75227">
      <w:pPr>
        <w:shd w:val="clear" w:color="auto" w:fill="FFFFFF"/>
        <w:rPr>
          <w:color w:val="000000"/>
        </w:rPr>
      </w:pPr>
    </w:p>
    <w:sectPr w:rsidR="00E75227">
      <w:headerReference w:type="even" r:id="rId77"/>
      <w:headerReference w:type="default" r:id="rId78"/>
      <w:footerReference w:type="even" r:id="rId79"/>
      <w:footerReference w:type="default" r:id="rId80"/>
      <w:pgSz w:w="11906" w:h="16838"/>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F49D4" w14:textId="77777777" w:rsidR="003E5F81" w:rsidRDefault="003E5F81">
      <w:r>
        <w:separator/>
      </w:r>
    </w:p>
  </w:endnote>
  <w:endnote w:type="continuationSeparator" w:id="0">
    <w:p w14:paraId="53B186E3" w14:textId="77777777" w:rsidR="003E5F81" w:rsidRDefault="003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64F40" w14:textId="77777777" w:rsidR="00E75227" w:rsidRDefault="00000000">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26388F">
      <w:rPr>
        <w:rFonts w:ascii="Times" w:eastAsia="Times" w:hAnsi="Times" w:cs="Times"/>
        <w:noProof/>
        <w:color w:val="000000"/>
        <w:sz w:val="16"/>
        <w:szCs w:val="16"/>
      </w:rPr>
      <w:t>2</w:t>
    </w:r>
    <w:r>
      <w:rPr>
        <w:rFonts w:ascii="Times" w:eastAsia="Times" w:hAnsi="Times" w:cs="Times"/>
        <w:color w:val="000000"/>
        <w:sz w:val="16"/>
        <w:szCs w:val="16"/>
      </w:rPr>
      <w:fldChar w:fldCharType="end"/>
    </w:r>
  </w:p>
  <w:p w14:paraId="6E7B09A3" w14:textId="77777777" w:rsidR="00E75227" w:rsidRDefault="00E75227">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9DA9A" w14:textId="77777777" w:rsidR="00E75227" w:rsidRDefault="00000000">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26388F">
      <w:rPr>
        <w:rFonts w:ascii="Times" w:eastAsia="Times" w:hAnsi="Times" w:cs="Times"/>
        <w:noProof/>
        <w:color w:val="000000"/>
        <w:sz w:val="16"/>
        <w:szCs w:val="16"/>
      </w:rPr>
      <w:t>1</w:t>
    </w:r>
    <w:r>
      <w:rPr>
        <w:rFonts w:ascii="Times" w:eastAsia="Times" w:hAnsi="Times" w:cs="Times"/>
        <w:color w:val="000000"/>
        <w:sz w:val="16"/>
        <w:szCs w:val="16"/>
      </w:rPr>
      <w:fldChar w:fldCharType="end"/>
    </w:r>
  </w:p>
  <w:p w14:paraId="79843057" w14:textId="77777777" w:rsidR="00E75227" w:rsidRDefault="00E75227">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9479C" w14:textId="77777777" w:rsidR="003E5F81" w:rsidRDefault="003E5F81">
      <w:r>
        <w:separator/>
      </w:r>
    </w:p>
  </w:footnote>
  <w:footnote w:type="continuationSeparator" w:id="0">
    <w:p w14:paraId="40E54646" w14:textId="77777777" w:rsidR="003E5F81" w:rsidRDefault="003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9F69E" w14:textId="77777777" w:rsidR="00E75227" w:rsidRDefault="00000000">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AA202" w14:textId="77777777" w:rsidR="00E75227" w:rsidRDefault="00000000">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bookmarkStart w:id="0" w:name="_Hlk175999979"/>
    <w:bookmarkStart w:id="1" w:name="_Hlk175999980"/>
    <w:bookmarkStart w:id="2" w:name="_Hlk175999981"/>
    <w:bookmarkStart w:id="3" w:name="_Hlk175999982"/>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of</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Psychology</w:t>
    </w:r>
    <w:proofErr w:type="spellEnd"/>
    <w:r>
      <w:rPr>
        <w:noProof/>
      </w:rPr>
      <w:drawing>
        <wp:anchor distT="0" distB="0" distL="114300" distR="114300" simplePos="0" relativeHeight="251658240" behindDoc="0" locked="0" layoutInCell="1" hidden="0" allowOverlap="1" wp14:anchorId="4E38689C" wp14:editId="6511FC5D">
          <wp:simplePos x="0" y="0"/>
          <wp:positionH relativeFrom="column">
            <wp:posOffset>64656</wp:posOffset>
          </wp:positionH>
          <wp:positionV relativeFrom="paragraph">
            <wp:posOffset>-253536</wp:posOffset>
          </wp:positionV>
          <wp:extent cx="681164" cy="628073"/>
          <wp:effectExtent l="0" t="0" r="0" b="0"/>
          <wp:wrapNone/>
          <wp:docPr id="2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4B55F5ED" w14:textId="77777777" w:rsidR="00E75227" w:rsidRDefault="00000000">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Modelo de Envío de Manuscrito</w:t>
    </w:r>
    <w:bookmarkEnd w:id="0"/>
    <w:bookmarkEnd w:id="1"/>
    <w:bookmarkEnd w:id="2"/>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removePersonalInformation/>
  <w:removeDateAndTime/>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227"/>
    <w:rsid w:val="00067506"/>
    <w:rsid w:val="0026388F"/>
    <w:rsid w:val="003E5F81"/>
    <w:rsid w:val="00416B2C"/>
    <w:rsid w:val="00422F55"/>
    <w:rsid w:val="00546B4B"/>
    <w:rsid w:val="0059796B"/>
    <w:rsid w:val="00736F6E"/>
    <w:rsid w:val="009626DA"/>
    <w:rsid w:val="00C20968"/>
    <w:rsid w:val="00C97874"/>
    <w:rsid w:val="00E7522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2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AR"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lang w:val="es-ES_tradnl"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0">
    <w:name w:val="Table Normal"/>
    <w:rsid w:val="00F92F1A"/>
    <w:pPr>
      <w:pBdr>
        <w:top w:val="nil"/>
        <w:left w:val="nil"/>
        <w:bottom w:val="nil"/>
        <w:right w:val="nil"/>
        <w:between w:val="nil"/>
        <w:bar w:val="nil"/>
      </w:pBdr>
    </w:pPr>
    <w:rPr>
      <w:rFonts w:eastAsia="Arial Unicode MS"/>
      <w:sz w:val="20"/>
      <w:szCs w:val="20"/>
      <w:bdr w:val="nil"/>
      <w:lang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s://psycnet.apa.org/record/1995-98887-004" TargetMode="External"/><Relationship Id="rId21" Type="http://schemas.openxmlformats.org/officeDocument/2006/relationships/hyperlink" Target="https://dialnet.unirioja.es/servlet/articulo?codigo=9118046" TargetMode="External"/><Relationship Id="rId42" Type="http://schemas.openxmlformats.org/officeDocument/2006/relationships/hyperlink" Target="https://doi.org/10.1016/S1077-7229(03)80005-6" TargetMode="External"/><Relationship Id="rId47" Type="http://schemas.openxmlformats.org/officeDocument/2006/relationships/hyperlink" Target="https://doi.org/10.1186/s13034-019-0307-y" TargetMode="External"/><Relationship Id="rId63" Type="http://schemas.openxmlformats.org/officeDocument/2006/relationships/hyperlink" Target="https://doi.org/10.1016/j.janxdis.2007.04.006" TargetMode="External"/><Relationship Id="rId68" Type="http://schemas.openxmlformats.org/officeDocument/2006/relationships/hyperlink" Target="https://doi.org/10.1371/journal.pone.0216288" TargetMode="External"/><Relationship Id="rId16" Type="http://schemas.openxmlformats.org/officeDocument/2006/relationships/hyperlink" Target="https://doi.org/10.1016/S0005-7967(01)00060-2" TargetMode="External"/><Relationship Id="rId11" Type="http://schemas.openxmlformats.org/officeDocument/2006/relationships/hyperlink" Target="https://ameliavirtualcare.com/" TargetMode="External"/><Relationship Id="rId32" Type="http://schemas.openxmlformats.org/officeDocument/2006/relationships/hyperlink" Target="https://doi.org/10.1080/10503307.2024.2356195" TargetMode="External"/><Relationship Id="rId37" Type="http://schemas.openxmlformats.org/officeDocument/2006/relationships/hyperlink" Target="https://psycnet.apa.org/record/2002-06265-008" TargetMode="External"/><Relationship Id="rId53" Type="http://schemas.openxmlformats.org/officeDocument/2006/relationships/hyperlink" Target="https://doi.org/10.1016/j.paid.2013.05.017" TargetMode="External"/><Relationship Id="rId58" Type="http://schemas.openxmlformats.org/officeDocument/2006/relationships/hyperlink" Target="https://psycnet.apa.org/record/2002-17147-008" TargetMode="External"/><Relationship Id="rId74" Type="http://schemas.openxmlformats.org/officeDocument/2006/relationships/hyperlink" Target="https://doi.org/10.1037/t05183-000"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iris.who.int/bitstream/handle/10665/370365/9789240073876-eng.pdf?sequence=1" TargetMode="External"/><Relationship Id="rId82" Type="http://schemas.openxmlformats.org/officeDocument/2006/relationships/theme" Target="theme/theme1.xml"/><Relationship Id="rId19" Type="http://schemas.openxmlformats.org/officeDocument/2006/relationships/hyperlink" Target="https://doi.org//10.1146/annurev-clinpsy-032813-153734" TargetMode="External"/><Relationship Id="rId14" Type="http://schemas.openxmlformats.org/officeDocument/2006/relationships/hyperlink" Target="https://www.uc.cl/noticias/termometro-de-salud-mental-uno-de-cada-cuatro-chilenos-presenta-sintomas-de-ansiedad/" TargetMode="External"/><Relationship Id="rId22" Type="http://schemas.openxmlformats.org/officeDocument/2006/relationships/hyperlink" Target="https://doi.org/10.3389/fpsyt.2019.00773" TargetMode="External"/><Relationship Id="rId27" Type="http://schemas.openxmlformats.org/officeDocument/2006/relationships/hyperlink" Target="https://www.ncbi.nlm.nih.gov/nlmcatalog/100864584" TargetMode="External"/><Relationship Id="rId30" Type="http://schemas.openxmlformats.org/officeDocument/2006/relationships/hyperlink" Target="https://doi.org/10.1177/0004867414546699" TargetMode="External"/><Relationship Id="rId35" Type="http://schemas.openxmlformats.org/officeDocument/2006/relationships/hyperlink" Target="https://doi.org/10.1017/S003329171700040X" TargetMode="External"/><Relationship Id="rId43" Type="http://schemas.openxmlformats.org/officeDocument/2006/relationships/hyperlink" Target="https://doi.org/10.1007/s11121-015-0610-7" TargetMode="External"/><Relationship Id="rId48" Type="http://schemas.openxmlformats.org/officeDocument/2006/relationships/hyperlink" Target="https://doi.org/10.1016/j.cpr.2004.04.001" TargetMode="External"/><Relationship Id="rId56" Type="http://schemas.openxmlformats.org/officeDocument/2006/relationships/hyperlink" Target="https://doi.org/10.1037/0003-066X.61.1.10" TargetMode="External"/><Relationship Id="rId64" Type="http://schemas.openxmlformats.org/officeDocument/2006/relationships/hyperlink" Target="https://doi.org/10.1016/j.janxdis.2021.102451" TargetMode="External"/><Relationship Id="rId69" Type="http://schemas.openxmlformats.org/officeDocument/2006/relationships/hyperlink" Target="https://www.jamovi.org" TargetMode="External"/><Relationship Id="rId77"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hyperlink" Target="http://www.scielo.edu.uy/scielo.php?script=sci_arttext&amp;pid=S1688-42212013000200006&amp;lng=es&amp;tlng=es" TargetMode="External"/><Relationship Id="rId72" Type="http://schemas.openxmlformats.org/officeDocument/2006/relationships/hyperlink" Target="http://hdl.handle.net/10553/129122" TargetMode="External"/><Relationship Id="rId80"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doi.org/10.1176/appi.books.9780890425596" TargetMode="External"/><Relationship Id="rId17" Type="http://schemas.openxmlformats.org/officeDocument/2006/relationships/hyperlink" Target="https://cornerstone.lib.mnsu.edu/etds/415/" TargetMode="External"/><Relationship Id="rId25" Type="http://schemas.openxmlformats.org/officeDocument/2006/relationships/hyperlink" Target="https://doi.org/10.1017/bec.2018.15" TargetMode="External"/><Relationship Id="rId33" Type="http://schemas.openxmlformats.org/officeDocument/2006/relationships/hyperlink" Target="https://doi.org/10.3758/bf03193146" TargetMode="External"/><Relationship Id="rId38" Type="http://schemas.openxmlformats.org/officeDocument/2006/relationships/hyperlink" Target="https://doi.org/10.1080/03637754209390068" TargetMode="External"/><Relationship Id="rId46" Type="http://schemas.openxmlformats.org/officeDocument/2006/relationships/hyperlink" Target="https://doi.org/10.1007/s10608-012-9476-1" TargetMode="External"/><Relationship Id="rId59" Type="http://schemas.openxmlformats.org/officeDocument/2006/relationships/hyperlink" Target="https://doi.org/10.15581/004.22.2079" TargetMode="External"/><Relationship Id="rId67" Type="http://schemas.openxmlformats.org/officeDocument/2006/relationships/hyperlink" Target="https://repositorio.uchile.cl/handle/2250/195048" TargetMode="External"/><Relationship Id="rId20" Type="http://schemas.openxmlformats.org/officeDocument/2006/relationships/hyperlink" Target="https://doi.org/10.3389/fpsyg.2021.603211" TargetMode="External"/><Relationship Id="rId41" Type="http://schemas.openxmlformats.org/officeDocument/2006/relationships/hyperlink" Target="https://doi.org/10.1089/109493102321018187" TargetMode="External"/><Relationship Id="rId54" Type="http://schemas.openxmlformats.org/officeDocument/2006/relationships/hyperlink" Target="https://psycnet.apa.org/record/1999-00866-006" TargetMode="External"/><Relationship Id="rId62" Type="http://schemas.openxmlformats.org/officeDocument/2006/relationships/hyperlink" Target="https://repositorio.uam.es/handle/10486/675288" TargetMode="External"/><Relationship Id="rId70" Type="http://schemas.openxmlformats.org/officeDocument/2006/relationships/hyperlink" Target="https://doi.org/10.3389/fpsyg.2022.975374" TargetMode="External"/><Relationship Id="rId75" Type="http://schemas.openxmlformats.org/officeDocument/2006/relationships/hyperlink" Target="https://doi.org/10.1525/collabra.77856"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repositorio.uchile.cl/handle/2250/197616" TargetMode="External"/><Relationship Id="rId23" Type="http://schemas.openxmlformats.org/officeDocument/2006/relationships/hyperlink" Target="https://doi.org/10.1080/14703290410001733302" TargetMode="External"/><Relationship Id="rId28" Type="http://schemas.openxmlformats.org/officeDocument/2006/relationships/hyperlink" Target="https://www.cepal.org/es/publicaciones/46766-datos-hechos-la-transformacion-digital-informe-principales-indicadores-adopcion" TargetMode="External"/><Relationship Id="rId36" Type="http://schemas.openxmlformats.org/officeDocument/2006/relationships/hyperlink" Target="https://www.behavioralpsycho.com/producto/la-escala-de-autoverbalizaciones-durante-la-situacion-de-hablar-en-publico-ssps-propiedades-psicometricas-en-una-muestra-espanola-de-fobicos-sociales/" TargetMode="External"/><Relationship Id="rId49" Type="http://schemas.openxmlformats.org/officeDocument/2006/relationships/hyperlink" Target="https://doi.org/10.3389/fnbeh.2015.00189" TargetMode="External"/><Relationship Id="rId57" Type="http://schemas.openxmlformats.org/officeDocument/2006/relationships/hyperlink" Target="https://doi.org/10.22199/S07187475.2012.0003.00006" TargetMode="External"/><Relationship Id="rId10" Type="http://schemas.openxmlformats.org/officeDocument/2006/relationships/image" Target="media/image4.png"/><Relationship Id="rId31" Type="http://schemas.openxmlformats.org/officeDocument/2006/relationships/hyperlink" Target="https://doi.org/10.1007/s11920-020-01156-1" TargetMode="External"/><Relationship Id="rId44" Type="http://schemas.openxmlformats.org/officeDocument/2006/relationships/hyperlink" Target="https://doi.org/10.1177/1049731510393984" TargetMode="External"/><Relationship Id="rId52" Type="http://schemas.openxmlformats.org/officeDocument/2006/relationships/hyperlink" Target="https://doi.org/10.1007/978-3-319-47829-6_1214-1" TargetMode="External"/><Relationship Id="rId60" Type="http://schemas.openxmlformats.org/officeDocument/2006/relationships/hyperlink" Target="https://www.who.int/publications/i/item/9789240049338" TargetMode="External"/><Relationship Id="rId65" Type="http://schemas.openxmlformats.org/officeDocument/2006/relationships/hyperlink" Target="https://doi.org/10.1177/0145445521991102" TargetMode="External"/><Relationship Id="rId73" Type="http://schemas.openxmlformats.org/officeDocument/2006/relationships/hyperlink" Target="https://doi.org/10.1034/j.1600-0447.108.s417.1.x" TargetMode="External"/><Relationship Id="rId78" Type="http://schemas.openxmlformats.org/officeDocument/2006/relationships/header" Target="header2.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s://doi.org/10.1037/a0033559" TargetMode="External"/><Relationship Id="rId18" Type="http://schemas.openxmlformats.org/officeDocument/2006/relationships/hyperlink" Target="https://doi.org/10.1016/j.paid.2016.01.026" TargetMode="External"/><Relationship Id="rId39" Type="http://schemas.openxmlformats.org/officeDocument/2006/relationships/hyperlink" Target="https://doi.org/10.1016/j.ijhcs.2023.103106" TargetMode="External"/><Relationship Id="rId34" Type="http://schemas.openxmlformats.org/officeDocument/2006/relationships/hyperlink" Target="https://doi.org/10.33898/rdp.v23i89.641" TargetMode="External"/><Relationship Id="rId50" Type="http://schemas.openxmlformats.org/officeDocument/2006/relationships/hyperlink" Target="https://doi.org/10.1016/B978-0-12-590241-0.50009-5" TargetMode="External"/><Relationship Id="rId55" Type="http://schemas.openxmlformats.org/officeDocument/2006/relationships/hyperlink" Target="https://www.behavioralpsycho.com/wp-content/uploads/2020/04/02.Mendez_12-1oa-1.pdf" TargetMode="External"/><Relationship Id="rId76" Type="http://schemas.openxmlformats.org/officeDocument/2006/relationships/hyperlink" Target="https://dx.doi.org/10.9788/TP2019.2-14" TargetMode="External"/><Relationship Id="rId7" Type="http://schemas.openxmlformats.org/officeDocument/2006/relationships/image" Target="media/image1.png"/><Relationship Id="rId71" Type="http://schemas.openxmlformats.org/officeDocument/2006/relationships/hyperlink" Target="https://www.cucs.udg.mx/revistas/edu_desarrollo/anterioresdetalle.php?n=30" TargetMode="External"/><Relationship Id="rId2" Type="http://schemas.openxmlformats.org/officeDocument/2006/relationships/styles" Target="styles.xml"/><Relationship Id="rId29" Type="http://schemas.openxmlformats.org/officeDocument/2006/relationships/hyperlink" Target="https://doi.org/10.1016/j.brat.2014.04.006" TargetMode="External"/><Relationship Id="rId24" Type="http://schemas.openxmlformats.org/officeDocument/2006/relationships/hyperlink" Target="https://doi.org/10.3389/fdgth.2022.842460" TargetMode="External"/><Relationship Id="rId40" Type="http://schemas.openxmlformats.org/officeDocument/2006/relationships/hyperlink" Target="https://doi.org/10.1016/j.psyneuen.2017.02.030" TargetMode="External"/><Relationship Id="rId45" Type="http://schemas.openxmlformats.org/officeDocument/2006/relationships/hyperlink" Target="https://doi.org/10.1016/s0005-7894(00)80027-1" TargetMode="External"/><Relationship Id="rId66" Type="http://schemas.openxmlformats.org/officeDocument/2006/relationships/hyperlink" Target="https://doi.org/10.3389/fpsyg.2017.0197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Z10rfWOpiYAYJZQlpEEqnwFinQ==">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10906</Words>
  <Characters>61624</Characters>
  <Application>Microsoft Office Word</Application>
  <DocSecurity>0</DocSecurity>
  <Lines>1010</Lines>
  <Paragraphs>282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2024-10-09T01:12:00Z</dcterms:created>
  <dcterms:modified xsi:type="dcterms:W3CDTF">2024-10-09T01:12:00Z</dcterms:modified>
</cp:coreProperties>
</file>