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45C53" w14:textId="551CA6E0" w:rsidR="00E10217" w:rsidRPr="00332399" w:rsidRDefault="00D37CF0" w:rsidP="00C06401">
      <w:pPr>
        <w:spacing w:after="0" w:line="360" w:lineRule="auto"/>
        <w:ind w:right="49"/>
        <w:jc w:val="center"/>
        <w:rPr>
          <w:rFonts w:ascii="Century Schoolbook" w:hAnsi="Century Schoolbook" w:cs="Times New Roman"/>
          <w:b/>
          <w:bCs/>
          <w:sz w:val="24"/>
          <w:szCs w:val="24"/>
        </w:rPr>
      </w:pPr>
      <w:bookmarkStart w:id="0" w:name="_Hlk178672050"/>
      <w:proofErr w:type="spellStart"/>
      <w:r w:rsidRPr="00332399">
        <w:rPr>
          <w:rFonts w:ascii="Century Schoolbook" w:hAnsi="Century Schoolbook" w:cs="Times New Roman"/>
          <w:b/>
          <w:bCs/>
          <w:sz w:val="24"/>
          <w:szCs w:val="24"/>
        </w:rPr>
        <w:t>Homonegatividad</w:t>
      </w:r>
      <w:proofErr w:type="spellEnd"/>
      <w:r w:rsidRPr="00332399">
        <w:rPr>
          <w:rFonts w:ascii="Century Schoolbook" w:hAnsi="Century Schoolbook" w:cs="Times New Roman"/>
          <w:b/>
          <w:bCs/>
          <w:sz w:val="24"/>
          <w:szCs w:val="24"/>
        </w:rPr>
        <w:t xml:space="preserve"> Internalizada en Homosexuales Cisgénero: Validación y Ajuste del Modelo IHN-9</w:t>
      </w:r>
    </w:p>
    <w:bookmarkEnd w:id="0"/>
    <w:p w14:paraId="22B2CB68" w14:textId="1DA40B9E" w:rsidR="00E10217" w:rsidRDefault="00D37CF0" w:rsidP="00C06401">
      <w:pPr>
        <w:spacing w:after="0" w:line="360" w:lineRule="auto"/>
        <w:ind w:right="49"/>
        <w:jc w:val="center"/>
        <w:rPr>
          <w:rFonts w:ascii="Century Schoolbook" w:hAnsi="Century Schoolbook" w:cs="Times New Roman"/>
          <w:b/>
          <w:bCs/>
          <w:sz w:val="24"/>
          <w:szCs w:val="24"/>
          <w:lang w:val="en-US"/>
        </w:rPr>
      </w:pPr>
      <w:r w:rsidRPr="00332399">
        <w:rPr>
          <w:rFonts w:ascii="Century Schoolbook" w:hAnsi="Century Schoolbook" w:cs="Times New Roman"/>
          <w:b/>
          <w:bCs/>
          <w:sz w:val="24"/>
          <w:szCs w:val="24"/>
          <w:lang w:val="en-US"/>
        </w:rPr>
        <w:t>Internalized Homonegativity in Cisgender Homosexuals: Validation and Adjustment of the IHN-9 Model</w:t>
      </w:r>
    </w:p>
    <w:p w14:paraId="76937A65" w14:textId="23221D6D" w:rsidR="00332399" w:rsidRDefault="00332399" w:rsidP="00332399">
      <w:pPr>
        <w:spacing w:before="240" w:after="0" w:line="360" w:lineRule="auto"/>
        <w:ind w:right="49"/>
        <w:jc w:val="both"/>
        <w:rPr>
          <w:rFonts w:ascii="Century Schoolbook" w:hAnsi="Century Schoolbook" w:cs="Times New Roman"/>
          <w:sz w:val="24"/>
          <w:szCs w:val="24"/>
        </w:rPr>
      </w:pPr>
      <w:r w:rsidRPr="00332399">
        <w:rPr>
          <w:rFonts w:ascii="Century Schoolbook" w:hAnsi="Century Schoolbook" w:cs="Times New Roman"/>
          <w:i/>
          <w:iCs/>
          <w:sz w:val="24"/>
          <w:szCs w:val="24"/>
        </w:rPr>
        <w:t>Palabras clave:</w:t>
      </w:r>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psicometría, ansiedad, florecimiento, cisgénero</w:t>
      </w:r>
    </w:p>
    <w:p w14:paraId="2CFB4AE0" w14:textId="77777777" w:rsidR="00332399" w:rsidRPr="00332399" w:rsidRDefault="00332399" w:rsidP="00332399">
      <w:pPr>
        <w:spacing w:line="360" w:lineRule="auto"/>
        <w:ind w:right="49"/>
        <w:jc w:val="both"/>
        <w:rPr>
          <w:rFonts w:ascii="Century Schoolbook" w:hAnsi="Century Schoolbook" w:cs="Times New Roman"/>
          <w:sz w:val="24"/>
          <w:szCs w:val="24"/>
          <w:lang w:val="en-US"/>
        </w:rPr>
      </w:pPr>
      <w:r w:rsidRPr="00332399">
        <w:rPr>
          <w:rFonts w:ascii="Century Schoolbook" w:hAnsi="Century Schoolbook" w:cs="Times New Roman"/>
          <w:i/>
          <w:iCs/>
          <w:sz w:val="24"/>
          <w:szCs w:val="24"/>
          <w:lang w:val="en-US"/>
        </w:rPr>
        <w:t>Keywords:</w:t>
      </w:r>
      <w:r w:rsidRPr="00332399">
        <w:rPr>
          <w:rFonts w:ascii="Century Schoolbook" w:hAnsi="Century Schoolbook" w:cs="Times New Roman"/>
          <w:sz w:val="24"/>
          <w:szCs w:val="24"/>
          <w:lang w:val="en-US"/>
        </w:rPr>
        <w:t xml:space="preserve"> internalized homonegativity, psychometrics, anxiety, flourishing, cisgender</w:t>
      </w:r>
    </w:p>
    <w:p w14:paraId="6ECF97B1" w14:textId="3F744AAB"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B614D0C" w14:textId="0ED5B7C7"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37F80EDB" w14:textId="425EBEED"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47CF5BFE" w14:textId="79090D91"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B5A5BE6" w14:textId="048479E0"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9442877" w14:textId="76D14FDE"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56F1F467" w14:textId="1B39FDE5"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1ACDF1F1" w14:textId="69C7636B"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213DFAE8" w14:textId="61CF537F"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9C31855" w14:textId="7C8975FA"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407FF6C0" w14:textId="0829F234"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4C3D6F2F" w14:textId="6BDF440D"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6F4288BA" w14:textId="668437E3" w:rsidR="00332399" w:rsidRDefault="00332399" w:rsidP="00332399">
      <w:pPr>
        <w:spacing w:before="240" w:after="0" w:line="360" w:lineRule="auto"/>
        <w:ind w:right="49"/>
        <w:jc w:val="both"/>
        <w:rPr>
          <w:rFonts w:ascii="Century Schoolbook" w:hAnsi="Century Schoolbook" w:cs="Times New Roman"/>
          <w:sz w:val="24"/>
          <w:szCs w:val="24"/>
          <w:lang w:val="en-US"/>
        </w:rPr>
      </w:pPr>
    </w:p>
    <w:p w14:paraId="7960E417" w14:textId="77777777" w:rsidR="00332399" w:rsidRPr="00332399" w:rsidRDefault="00332399" w:rsidP="00332399">
      <w:pPr>
        <w:spacing w:before="240" w:after="0" w:line="360" w:lineRule="auto"/>
        <w:ind w:right="49"/>
        <w:jc w:val="both"/>
        <w:rPr>
          <w:rFonts w:ascii="Century Schoolbook" w:hAnsi="Century Schoolbook" w:cs="Times New Roman"/>
          <w:sz w:val="24"/>
          <w:szCs w:val="24"/>
          <w:lang w:val="en-US"/>
        </w:rPr>
      </w:pPr>
    </w:p>
    <w:p w14:paraId="395E6D4A" w14:textId="77777777" w:rsidR="00332399" w:rsidRPr="00332399" w:rsidRDefault="00332399" w:rsidP="00C06401">
      <w:pPr>
        <w:spacing w:after="0" w:line="360" w:lineRule="auto"/>
        <w:ind w:right="49"/>
        <w:jc w:val="center"/>
        <w:rPr>
          <w:rFonts w:ascii="Century Schoolbook" w:hAnsi="Century Schoolbook" w:cs="Times New Roman"/>
          <w:b/>
          <w:bCs/>
          <w:sz w:val="24"/>
          <w:szCs w:val="24"/>
          <w:lang w:val="en-US"/>
        </w:rPr>
      </w:pPr>
    </w:p>
    <w:p w14:paraId="0ED54770" w14:textId="77777777" w:rsidR="00332399" w:rsidRPr="00332399" w:rsidRDefault="00332399" w:rsidP="00332399">
      <w:pPr>
        <w:spacing w:before="440" w:line="360" w:lineRule="auto"/>
        <w:ind w:right="49"/>
        <w:jc w:val="both"/>
        <w:rPr>
          <w:rFonts w:ascii="Century Schoolbook" w:hAnsi="Century Schoolbook" w:cs="Times New Roman"/>
          <w:sz w:val="24"/>
          <w:szCs w:val="24"/>
          <w:lang w:val="en-US"/>
        </w:rPr>
      </w:pPr>
      <w:r w:rsidRPr="00332399">
        <w:rPr>
          <w:rFonts w:ascii="Century Schoolbook" w:hAnsi="Century Schoolbook" w:cs="Times New Roman"/>
          <w:sz w:val="24"/>
          <w:szCs w:val="24"/>
          <w:lang w:val="en-US"/>
        </w:rPr>
        <w:lastRenderedPageBreak/>
        <w:t xml:space="preserve">Abstract: Internalized homonegativity is the internalized rejection of sexual orientation, may affect the well-being of cisgender homosexuals. This study examines the validity and reliability of the IHN-9 Model to measure this construct in cisgender homosexual men in Lima, Peru. The adapted Peruvian model of the Internalized Homonegativity scale was adjusted, eliminating an item with high modification to improve internal consistency. Confirmatory factor analyses were applied and the relationships with anxiety and personal flourishing were evaluated. The IHN-9 showed higher internal consistency (α=.82, ω=.82) and better fit compared to the previously proposed model. The IHN-9 Model proves to be a reliable and accurate tool for measuring internalized homonegativity in cisgender homosexual men. Its greater consistency and improved fit suggest that it is a more effective tool for assessing this construct and understanding its impact on psychological well-being.  </w:t>
      </w:r>
    </w:p>
    <w:p w14:paraId="6AABF56F"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58B03C6A"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3E060E82"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607A71B9"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777D8C5E"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6DA309C5" w14:textId="78B4E32F"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4E7C7B3C" w14:textId="18907BB3"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47C68F9B" w14:textId="278017A2"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78177206"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0F7340FD" w14:textId="77777777" w:rsidR="00332399" w:rsidRPr="00332399" w:rsidRDefault="00332399" w:rsidP="00332399">
      <w:pPr>
        <w:spacing w:after="0" w:line="360" w:lineRule="auto"/>
        <w:ind w:right="49"/>
        <w:jc w:val="center"/>
        <w:rPr>
          <w:rFonts w:ascii="Century Schoolbook" w:hAnsi="Century Schoolbook" w:cs="Times New Roman"/>
          <w:b/>
          <w:bCs/>
          <w:sz w:val="24"/>
          <w:szCs w:val="24"/>
        </w:rPr>
      </w:pPr>
      <w:proofErr w:type="spellStart"/>
      <w:r w:rsidRPr="00332399">
        <w:rPr>
          <w:rFonts w:ascii="Century Schoolbook" w:hAnsi="Century Schoolbook" w:cs="Times New Roman"/>
          <w:b/>
          <w:bCs/>
          <w:sz w:val="24"/>
          <w:szCs w:val="24"/>
        </w:rPr>
        <w:lastRenderedPageBreak/>
        <w:t>Homonegatividad</w:t>
      </w:r>
      <w:proofErr w:type="spellEnd"/>
      <w:r w:rsidRPr="00332399">
        <w:rPr>
          <w:rFonts w:ascii="Century Schoolbook" w:hAnsi="Century Schoolbook" w:cs="Times New Roman"/>
          <w:b/>
          <w:bCs/>
          <w:sz w:val="24"/>
          <w:szCs w:val="24"/>
        </w:rPr>
        <w:t xml:space="preserve"> Internalizada en Homosexuales Cisgénero: Validación y Ajuste del Modelo IHN-9</w:t>
      </w:r>
    </w:p>
    <w:p w14:paraId="5390E52D" w14:textId="77777777" w:rsidR="00332399" w:rsidRDefault="00332399" w:rsidP="00332399">
      <w:pPr>
        <w:spacing w:after="0" w:line="360" w:lineRule="auto"/>
        <w:ind w:right="49"/>
        <w:jc w:val="center"/>
        <w:rPr>
          <w:rFonts w:ascii="Century Schoolbook" w:hAnsi="Century Schoolbook" w:cs="Times New Roman"/>
          <w:b/>
          <w:bCs/>
          <w:sz w:val="24"/>
          <w:szCs w:val="24"/>
          <w:lang w:val="en-US"/>
        </w:rPr>
      </w:pPr>
      <w:r w:rsidRPr="00332399">
        <w:rPr>
          <w:rFonts w:ascii="Century Schoolbook" w:hAnsi="Century Schoolbook" w:cs="Times New Roman"/>
          <w:b/>
          <w:bCs/>
          <w:sz w:val="24"/>
          <w:szCs w:val="24"/>
          <w:lang w:val="en-US"/>
        </w:rPr>
        <w:t>Internalized Homonegativity in Cisgender Homosexuals: Validation and Adjustment of the IHN-9 Model</w:t>
      </w:r>
    </w:p>
    <w:p w14:paraId="7080B613" w14:textId="77777777" w:rsidR="00332399" w:rsidRDefault="00332399" w:rsidP="00C06401">
      <w:pPr>
        <w:spacing w:before="440" w:after="0" w:line="360" w:lineRule="auto"/>
        <w:ind w:right="49"/>
        <w:jc w:val="both"/>
        <w:rPr>
          <w:rFonts w:ascii="Century Schoolbook" w:hAnsi="Century Schoolbook" w:cs="Times New Roman"/>
          <w:sz w:val="24"/>
          <w:szCs w:val="24"/>
          <w:lang w:val="en-US"/>
        </w:rPr>
      </w:pPr>
    </w:p>
    <w:p w14:paraId="714D392E" w14:textId="22BABA10" w:rsidR="00D37CF0" w:rsidRPr="00332399" w:rsidRDefault="00EB62A0" w:rsidP="00C06401">
      <w:pPr>
        <w:spacing w:before="440" w:after="0" w:line="360" w:lineRule="auto"/>
        <w:ind w:right="49"/>
        <w:jc w:val="both"/>
        <w:rPr>
          <w:rFonts w:ascii="Century Schoolbook" w:hAnsi="Century Schoolbook" w:cs="Times New Roman"/>
          <w:sz w:val="24"/>
          <w:szCs w:val="24"/>
        </w:rPr>
      </w:pPr>
      <w:r w:rsidRPr="00332399">
        <w:rPr>
          <w:rFonts w:ascii="Century Schoolbook" w:hAnsi="Century Schoolbook" w:cs="Times New Roman"/>
          <w:sz w:val="24"/>
          <w:szCs w:val="24"/>
        </w:rPr>
        <w:t>Resumen:</w:t>
      </w:r>
      <w:r w:rsidR="00D37CF0" w:rsidRPr="00332399">
        <w:rPr>
          <w:rFonts w:ascii="Century Schoolbook" w:hAnsi="Century Schoolbook" w:cs="Times New Roman"/>
          <w:sz w:val="24"/>
          <w:szCs w:val="24"/>
        </w:rPr>
        <w:t xml:space="preserve"> La </w:t>
      </w:r>
      <w:proofErr w:type="spellStart"/>
      <w:r w:rsidR="00D37CF0" w:rsidRPr="00332399">
        <w:rPr>
          <w:rFonts w:ascii="Century Schoolbook" w:hAnsi="Century Schoolbook" w:cs="Times New Roman"/>
          <w:sz w:val="24"/>
          <w:szCs w:val="24"/>
        </w:rPr>
        <w:t>homonegatividad</w:t>
      </w:r>
      <w:proofErr w:type="spellEnd"/>
      <w:r w:rsidR="00D37CF0" w:rsidRPr="00332399">
        <w:rPr>
          <w:rFonts w:ascii="Century Schoolbook" w:hAnsi="Century Schoolbook" w:cs="Times New Roman"/>
          <w:sz w:val="24"/>
          <w:szCs w:val="24"/>
        </w:rPr>
        <w:t xml:space="preserve"> internalizada</w:t>
      </w:r>
      <w:r w:rsidR="002432D9" w:rsidRPr="00332399">
        <w:rPr>
          <w:rFonts w:ascii="Century Schoolbook" w:hAnsi="Century Schoolbook" w:cs="Times New Roman"/>
          <w:sz w:val="24"/>
          <w:szCs w:val="24"/>
        </w:rPr>
        <w:t xml:space="preserve"> es </w:t>
      </w:r>
      <w:r w:rsidR="00D37CF0" w:rsidRPr="00332399">
        <w:rPr>
          <w:rFonts w:ascii="Century Schoolbook" w:hAnsi="Century Schoolbook" w:cs="Times New Roman"/>
          <w:sz w:val="24"/>
          <w:szCs w:val="24"/>
        </w:rPr>
        <w:t>el rechazo interno hacia la orientación sexual</w:t>
      </w:r>
      <w:r w:rsidR="002432D9" w:rsidRPr="00332399">
        <w:rPr>
          <w:rFonts w:ascii="Century Schoolbook" w:hAnsi="Century Schoolbook" w:cs="Times New Roman"/>
          <w:sz w:val="24"/>
          <w:szCs w:val="24"/>
        </w:rPr>
        <w:t xml:space="preserve"> y </w:t>
      </w:r>
      <w:r w:rsidR="00D37CF0" w:rsidRPr="00332399">
        <w:rPr>
          <w:rFonts w:ascii="Century Schoolbook" w:hAnsi="Century Schoolbook" w:cs="Times New Roman"/>
          <w:sz w:val="24"/>
          <w:szCs w:val="24"/>
        </w:rPr>
        <w:t xml:space="preserve">puede afectar el bienestar de los homosexuales cisgénero. Este estudio examina la validez y confiabilidad del Modelo IHN-9 para medir este constructo en hombres homosexuales cisgénero en Lima, Perú. Se ajustó el modelo </w:t>
      </w:r>
      <w:r w:rsidR="002432D9" w:rsidRPr="00332399">
        <w:rPr>
          <w:rFonts w:ascii="Century Schoolbook" w:hAnsi="Century Schoolbook" w:cs="Times New Roman"/>
          <w:sz w:val="24"/>
          <w:szCs w:val="24"/>
        </w:rPr>
        <w:t>adaptado en Perú</w:t>
      </w:r>
      <w:r w:rsidR="00D37CF0" w:rsidRPr="00332399">
        <w:rPr>
          <w:rFonts w:ascii="Century Schoolbook" w:hAnsi="Century Schoolbook" w:cs="Times New Roman"/>
          <w:sz w:val="24"/>
          <w:szCs w:val="24"/>
        </w:rPr>
        <w:t xml:space="preserve"> de la escala de </w:t>
      </w:r>
      <w:proofErr w:type="spellStart"/>
      <w:r w:rsidR="00D37CF0" w:rsidRPr="00332399">
        <w:rPr>
          <w:rFonts w:ascii="Century Schoolbook" w:hAnsi="Century Schoolbook" w:cs="Times New Roman"/>
          <w:sz w:val="24"/>
          <w:szCs w:val="24"/>
        </w:rPr>
        <w:t>Homonegatividad</w:t>
      </w:r>
      <w:proofErr w:type="spellEnd"/>
      <w:r w:rsidR="00D37CF0" w:rsidRPr="00332399">
        <w:rPr>
          <w:rFonts w:ascii="Century Schoolbook" w:hAnsi="Century Schoolbook" w:cs="Times New Roman"/>
          <w:sz w:val="24"/>
          <w:szCs w:val="24"/>
        </w:rPr>
        <w:t xml:space="preserve"> Internalizada, eliminando un ítem con alta modificación para mejorar la consistencia interna. Se aplicaron análisis factoriales confirmatorios y se evaluaron las relaciones con ansiedad y florecimiento personal. El IHN-9 mostró una mayor consistencia interna (α=.82, ω=.82) y un mejor ajuste en comparación con el modelo propuesto anteriormente. El Modelo IHN-9 resulta ser una herramienta confiable y precisa para medir la </w:t>
      </w:r>
      <w:proofErr w:type="spellStart"/>
      <w:r w:rsidR="00D37CF0" w:rsidRPr="00332399">
        <w:rPr>
          <w:rFonts w:ascii="Century Schoolbook" w:hAnsi="Century Schoolbook" w:cs="Times New Roman"/>
          <w:sz w:val="24"/>
          <w:szCs w:val="24"/>
        </w:rPr>
        <w:t>homonegatividad</w:t>
      </w:r>
      <w:proofErr w:type="spellEnd"/>
      <w:r w:rsidR="00D37CF0" w:rsidRPr="00332399">
        <w:rPr>
          <w:rFonts w:ascii="Century Schoolbook" w:hAnsi="Century Schoolbook" w:cs="Times New Roman"/>
          <w:sz w:val="24"/>
          <w:szCs w:val="24"/>
        </w:rPr>
        <w:t xml:space="preserve"> internalizada en hombres homosexuales cisgénero. Su mayor consistencia y ajuste mejorado sugieren que es una herramienta más efectiva para evaluar este constructo y comprender su impacto en el bienestar psicológico. </w:t>
      </w:r>
    </w:p>
    <w:p w14:paraId="3A4E711A" w14:textId="08E27A12" w:rsidR="00D21A24" w:rsidRPr="00332399" w:rsidRDefault="00D21A24" w:rsidP="00C06401">
      <w:pPr>
        <w:spacing w:before="240" w:after="0" w:line="360" w:lineRule="auto"/>
        <w:ind w:right="49"/>
        <w:jc w:val="both"/>
        <w:rPr>
          <w:rFonts w:ascii="Century Schoolbook" w:hAnsi="Century Schoolbook" w:cs="Times New Roman"/>
          <w:sz w:val="24"/>
          <w:szCs w:val="24"/>
        </w:rPr>
      </w:pPr>
      <w:r w:rsidRPr="00332399">
        <w:rPr>
          <w:rFonts w:ascii="Century Schoolbook" w:hAnsi="Century Schoolbook" w:cs="Times New Roman"/>
          <w:i/>
          <w:iCs/>
          <w:sz w:val="24"/>
          <w:szCs w:val="24"/>
        </w:rPr>
        <w:t>Palabras clave:</w:t>
      </w:r>
      <w:r w:rsidR="006D64A7" w:rsidRPr="00332399">
        <w:rPr>
          <w:rFonts w:ascii="Century Schoolbook" w:hAnsi="Century Schoolbook" w:cs="Times New Roman"/>
          <w:sz w:val="24"/>
          <w:szCs w:val="24"/>
        </w:rPr>
        <w:t xml:space="preserve"> </w:t>
      </w:r>
      <w:proofErr w:type="spellStart"/>
      <w:r w:rsidR="00D37CF0" w:rsidRPr="00332399">
        <w:rPr>
          <w:rFonts w:ascii="Century Schoolbook" w:hAnsi="Century Schoolbook" w:cs="Times New Roman"/>
          <w:sz w:val="24"/>
          <w:szCs w:val="24"/>
        </w:rPr>
        <w:t>homonegatividad</w:t>
      </w:r>
      <w:proofErr w:type="spellEnd"/>
      <w:r w:rsidR="00D37CF0" w:rsidRPr="00332399">
        <w:rPr>
          <w:rFonts w:ascii="Century Schoolbook" w:hAnsi="Century Schoolbook" w:cs="Times New Roman"/>
          <w:sz w:val="24"/>
          <w:szCs w:val="24"/>
        </w:rPr>
        <w:t xml:space="preserve"> internalizada, psicometría, ansiedad, florecimiento</w:t>
      </w:r>
      <w:r w:rsidR="00C675B6" w:rsidRPr="00332399">
        <w:rPr>
          <w:rFonts w:ascii="Century Schoolbook" w:hAnsi="Century Schoolbook" w:cs="Times New Roman"/>
          <w:sz w:val="24"/>
          <w:szCs w:val="24"/>
        </w:rPr>
        <w:t>, cisgénero</w:t>
      </w:r>
    </w:p>
    <w:p w14:paraId="22F72624" w14:textId="560439BE" w:rsidR="00D37CF0" w:rsidRPr="00332399" w:rsidRDefault="00CB57A8" w:rsidP="00C06401">
      <w:pPr>
        <w:spacing w:before="440" w:line="360" w:lineRule="auto"/>
        <w:ind w:right="49"/>
        <w:jc w:val="both"/>
        <w:rPr>
          <w:rFonts w:ascii="Century Schoolbook" w:hAnsi="Century Schoolbook" w:cs="Times New Roman"/>
          <w:sz w:val="24"/>
          <w:szCs w:val="24"/>
          <w:lang w:val="en-US"/>
        </w:rPr>
      </w:pPr>
      <w:r w:rsidRPr="00332399">
        <w:rPr>
          <w:rFonts w:ascii="Century Schoolbook" w:hAnsi="Century Schoolbook" w:cs="Times New Roman"/>
          <w:sz w:val="24"/>
          <w:szCs w:val="24"/>
          <w:lang w:val="en-US"/>
        </w:rPr>
        <w:t>Abstract</w:t>
      </w:r>
      <w:r w:rsidR="00EB62A0" w:rsidRPr="00332399">
        <w:rPr>
          <w:rFonts w:ascii="Century Schoolbook" w:hAnsi="Century Schoolbook" w:cs="Times New Roman"/>
          <w:sz w:val="24"/>
          <w:szCs w:val="24"/>
          <w:lang w:val="en-US"/>
        </w:rPr>
        <w:t xml:space="preserve">: </w:t>
      </w:r>
      <w:r w:rsidR="00D37CF0" w:rsidRPr="00332399">
        <w:rPr>
          <w:rFonts w:ascii="Century Schoolbook" w:hAnsi="Century Schoolbook" w:cs="Times New Roman"/>
          <w:sz w:val="24"/>
          <w:szCs w:val="24"/>
          <w:lang w:val="en-US"/>
        </w:rPr>
        <w:t>Internalized homonegativity</w:t>
      </w:r>
      <w:r w:rsidR="002432D9" w:rsidRPr="00332399">
        <w:rPr>
          <w:rFonts w:ascii="Century Schoolbook" w:hAnsi="Century Schoolbook" w:cs="Times New Roman"/>
          <w:sz w:val="24"/>
          <w:szCs w:val="24"/>
          <w:lang w:val="en-US"/>
        </w:rPr>
        <w:t xml:space="preserve"> is </w:t>
      </w:r>
      <w:r w:rsidR="00D37CF0" w:rsidRPr="00332399">
        <w:rPr>
          <w:rFonts w:ascii="Century Schoolbook" w:hAnsi="Century Schoolbook" w:cs="Times New Roman"/>
          <w:sz w:val="24"/>
          <w:szCs w:val="24"/>
          <w:lang w:val="en-US"/>
        </w:rPr>
        <w:t>the internalized rejection of sexual orientation</w:t>
      </w:r>
      <w:r w:rsidR="002432D9" w:rsidRPr="00332399">
        <w:rPr>
          <w:rFonts w:ascii="Century Schoolbook" w:hAnsi="Century Schoolbook" w:cs="Times New Roman"/>
          <w:sz w:val="24"/>
          <w:szCs w:val="24"/>
          <w:lang w:val="en-US"/>
        </w:rPr>
        <w:t xml:space="preserve">, </w:t>
      </w:r>
      <w:r w:rsidR="00D37CF0" w:rsidRPr="00332399">
        <w:rPr>
          <w:rFonts w:ascii="Century Schoolbook" w:hAnsi="Century Schoolbook" w:cs="Times New Roman"/>
          <w:sz w:val="24"/>
          <w:szCs w:val="24"/>
          <w:lang w:val="en-US"/>
        </w:rPr>
        <w:t xml:space="preserve">may affect the well-being of cisgender homosexuals. This study examines the validity and reliability of the IHN-9 Model to measure this construct in cisgender homosexual men in Lima, Peru. </w:t>
      </w:r>
      <w:r w:rsidR="002432D9" w:rsidRPr="00332399">
        <w:rPr>
          <w:rFonts w:ascii="Century Schoolbook" w:hAnsi="Century Schoolbook" w:cs="Times New Roman"/>
          <w:sz w:val="24"/>
          <w:szCs w:val="24"/>
          <w:lang w:val="en-US"/>
        </w:rPr>
        <w:t xml:space="preserve">The adapted Peruvian model of the Internalized Homonegativity scale was adjusted, </w:t>
      </w:r>
      <w:r w:rsidR="00D37CF0" w:rsidRPr="00332399">
        <w:rPr>
          <w:rFonts w:ascii="Century Schoolbook" w:hAnsi="Century Schoolbook" w:cs="Times New Roman"/>
          <w:sz w:val="24"/>
          <w:szCs w:val="24"/>
          <w:lang w:val="en-US"/>
        </w:rPr>
        <w:t xml:space="preserve">eliminating an item with high modification to improve internal consistency. Confirmatory factor analyses were applied and the relationships with anxiety and personal flourishing were evaluated. The IHN-9 showed higher internal consistency (α=.82, ω=.82) and better fit compared to the previously proposed model. The IHN-9 Model proves to </w:t>
      </w:r>
      <w:r w:rsidR="00D37CF0" w:rsidRPr="00332399">
        <w:rPr>
          <w:rFonts w:ascii="Century Schoolbook" w:hAnsi="Century Schoolbook" w:cs="Times New Roman"/>
          <w:sz w:val="24"/>
          <w:szCs w:val="24"/>
          <w:lang w:val="en-US"/>
        </w:rPr>
        <w:lastRenderedPageBreak/>
        <w:t xml:space="preserve">be a reliable and accurate tool for measuring internalized homonegativity in cisgender homosexual men. Its greater consistency and improved fit suggest that it is a more effective tool for assessing this construct and understanding its impact on psychological well-being.  </w:t>
      </w:r>
    </w:p>
    <w:p w14:paraId="6E1A6C36" w14:textId="0B2E879C" w:rsidR="00D21A24" w:rsidRPr="00332399" w:rsidRDefault="00EB62A0" w:rsidP="00C06401">
      <w:pPr>
        <w:spacing w:line="360" w:lineRule="auto"/>
        <w:ind w:right="49"/>
        <w:jc w:val="both"/>
        <w:rPr>
          <w:rFonts w:ascii="Century Schoolbook" w:hAnsi="Century Schoolbook" w:cs="Times New Roman"/>
          <w:sz w:val="24"/>
          <w:szCs w:val="24"/>
          <w:lang w:val="en-US"/>
        </w:rPr>
      </w:pPr>
      <w:r w:rsidRPr="00332399">
        <w:rPr>
          <w:rFonts w:ascii="Century Schoolbook" w:hAnsi="Century Schoolbook" w:cs="Times New Roman"/>
          <w:i/>
          <w:iCs/>
          <w:sz w:val="24"/>
          <w:szCs w:val="24"/>
          <w:lang w:val="en-US"/>
        </w:rPr>
        <w:t>Keywords:</w:t>
      </w:r>
      <w:r w:rsidRPr="00332399">
        <w:rPr>
          <w:rFonts w:ascii="Century Schoolbook" w:hAnsi="Century Schoolbook" w:cs="Times New Roman"/>
          <w:sz w:val="24"/>
          <w:szCs w:val="24"/>
          <w:lang w:val="en-US"/>
        </w:rPr>
        <w:t xml:space="preserve"> </w:t>
      </w:r>
      <w:r w:rsidR="00D37CF0" w:rsidRPr="00332399">
        <w:rPr>
          <w:rFonts w:ascii="Century Schoolbook" w:hAnsi="Century Schoolbook" w:cs="Times New Roman"/>
          <w:sz w:val="24"/>
          <w:szCs w:val="24"/>
          <w:lang w:val="en-US"/>
        </w:rPr>
        <w:t xml:space="preserve">internalized homonegativity, psychometrics, </w:t>
      </w:r>
      <w:r w:rsidR="00C675B6" w:rsidRPr="00332399">
        <w:rPr>
          <w:rFonts w:ascii="Century Schoolbook" w:hAnsi="Century Schoolbook" w:cs="Times New Roman"/>
          <w:sz w:val="24"/>
          <w:szCs w:val="24"/>
          <w:lang w:val="en-US"/>
        </w:rPr>
        <w:t>anxiety</w:t>
      </w:r>
      <w:r w:rsidR="00D37CF0" w:rsidRPr="00332399">
        <w:rPr>
          <w:rFonts w:ascii="Century Schoolbook" w:hAnsi="Century Schoolbook" w:cs="Times New Roman"/>
          <w:sz w:val="24"/>
          <w:szCs w:val="24"/>
          <w:lang w:val="en-US"/>
        </w:rPr>
        <w:t>, flourishing</w:t>
      </w:r>
      <w:r w:rsidR="00C675B6" w:rsidRPr="00332399">
        <w:rPr>
          <w:rFonts w:ascii="Century Schoolbook" w:hAnsi="Century Schoolbook" w:cs="Times New Roman"/>
          <w:sz w:val="24"/>
          <w:szCs w:val="24"/>
          <w:lang w:val="en-US"/>
        </w:rPr>
        <w:t>, cisgender</w:t>
      </w:r>
    </w:p>
    <w:p w14:paraId="1B097354" w14:textId="77777777" w:rsidR="00B64394" w:rsidRPr="00332399" w:rsidRDefault="00B64394" w:rsidP="00C06401">
      <w:pPr>
        <w:spacing w:line="360" w:lineRule="auto"/>
        <w:ind w:right="49"/>
        <w:rPr>
          <w:rFonts w:ascii="Century Schoolbook" w:hAnsi="Century Schoolbook" w:cs="Times New Roman"/>
          <w:sz w:val="24"/>
          <w:szCs w:val="24"/>
          <w:lang w:val="en-US"/>
        </w:rPr>
      </w:pPr>
    </w:p>
    <w:p w14:paraId="549A16FC" w14:textId="77777777" w:rsidR="00B64394" w:rsidRPr="00332399" w:rsidRDefault="00B64394" w:rsidP="00C06401">
      <w:pPr>
        <w:spacing w:line="360" w:lineRule="auto"/>
        <w:ind w:right="49"/>
        <w:rPr>
          <w:rFonts w:ascii="Century Schoolbook" w:hAnsi="Century Schoolbook" w:cs="Times New Roman"/>
          <w:sz w:val="24"/>
          <w:szCs w:val="24"/>
          <w:lang w:val="en-US"/>
        </w:rPr>
      </w:pPr>
    </w:p>
    <w:p w14:paraId="544DC86A" w14:textId="68A566FF" w:rsidR="00732497" w:rsidRPr="00332399" w:rsidRDefault="00732497" w:rsidP="00C06401">
      <w:pPr>
        <w:spacing w:line="360" w:lineRule="auto"/>
        <w:ind w:right="49"/>
        <w:rPr>
          <w:rFonts w:ascii="Century Schoolbook" w:hAnsi="Century Schoolbook" w:cs="Times New Roman"/>
          <w:i/>
          <w:iCs/>
          <w:sz w:val="24"/>
          <w:szCs w:val="24"/>
          <w:lang w:val="en-US"/>
        </w:rPr>
      </w:pPr>
      <w:r w:rsidRPr="00332399">
        <w:rPr>
          <w:rFonts w:ascii="Century Schoolbook" w:hAnsi="Century Schoolbook" w:cs="Times New Roman"/>
          <w:i/>
          <w:iCs/>
          <w:sz w:val="24"/>
          <w:szCs w:val="24"/>
          <w:lang w:val="en-US"/>
        </w:rPr>
        <w:br w:type="page"/>
      </w:r>
    </w:p>
    <w:p w14:paraId="598A380F" w14:textId="77777777" w:rsidR="00D37CF0" w:rsidRPr="00332399" w:rsidRDefault="00D37CF0" w:rsidP="00C06401">
      <w:pPr>
        <w:spacing w:before="80" w:after="0" w:line="360" w:lineRule="auto"/>
        <w:ind w:right="51" w:firstLine="357"/>
        <w:jc w:val="center"/>
        <w:rPr>
          <w:rFonts w:ascii="Century Schoolbook" w:hAnsi="Century Schoolbook" w:cs="Times New Roman"/>
          <w:b/>
          <w:bCs/>
          <w:sz w:val="24"/>
          <w:szCs w:val="24"/>
        </w:rPr>
      </w:pPr>
      <w:proofErr w:type="spellStart"/>
      <w:r w:rsidRPr="00332399">
        <w:rPr>
          <w:rFonts w:ascii="Century Schoolbook" w:hAnsi="Century Schoolbook" w:cs="Times New Roman"/>
          <w:b/>
          <w:bCs/>
          <w:sz w:val="24"/>
          <w:szCs w:val="24"/>
        </w:rPr>
        <w:lastRenderedPageBreak/>
        <w:t>Homonegatividad</w:t>
      </w:r>
      <w:proofErr w:type="spellEnd"/>
      <w:r w:rsidRPr="00332399">
        <w:rPr>
          <w:rFonts w:ascii="Century Schoolbook" w:hAnsi="Century Schoolbook" w:cs="Times New Roman"/>
          <w:b/>
          <w:bCs/>
          <w:sz w:val="24"/>
          <w:szCs w:val="24"/>
        </w:rPr>
        <w:t xml:space="preserve"> Internalizada en Homosexuales Cisgénero: Validación y Ajuste del Modelo IHN-9</w:t>
      </w:r>
    </w:p>
    <w:p w14:paraId="2C789F4F" w14:textId="47900C63"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es un fenómeno psicosocial que hace referencia al conjunto de sentimientos y actitudes negativas que una persona homosexual mantiene, tanto hacia sí misma como hacia otros sujetos homosexuales, debido a la estigmatización sociocultural (</w:t>
      </w:r>
      <w:proofErr w:type="spellStart"/>
      <w:r w:rsidRPr="00332399">
        <w:rPr>
          <w:rFonts w:ascii="Century Schoolbook" w:hAnsi="Century Schoolbook" w:cs="Times New Roman"/>
          <w:sz w:val="24"/>
          <w:szCs w:val="24"/>
        </w:rPr>
        <w:t>Currie</w:t>
      </w:r>
      <w:proofErr w:type="spellEnd"/>
      <w:r w:rsidRPr="00332399">
        <w:rPr>
          <w:rFonts w:ascii="Century Schoolbook" w:hAnsi="Century Schoolbook" w:cs="Times New Roman"/>
          <w:sz w:val="24"/>
          <w:szCs w:val="24"/>
        </w:rPr>
        <w:t xml:space="preserve"> et al., 2004; </w:t>
      </w:r>
      <w:proofErr w:type="spellStart"/>
      <w:r w:rsidRPr="00332399">
        <w:rPr>
          <w:rFonts w:ascii="Century Schoolbook" w:hAnsi="Century Schoolbook" w:cs="Times New Roman"/>
          <w:sz w:val="24"/>
          <w:szCs w:val="24"/>
        </w:rPr>
        <w:t>Berg</w:t>
      </w:r>
      <w:proofErr w:type="spellEnd"/>
      <w:r w:rsidRPr="00332399">
        <w:rPr>
          <w:rFonts w:ascii="Century Schoolbook" w:hAnsi="Century Schoolbook" w:cs="Times New Roman"/>
          <w:sz w:val="24"/>
          <w:szCs w:val="24"/>
        </w:rPr>
        <w:t xml:space="preserve"> et al., 2013; Tran et al., 2018</w:t>
      </w:r>
      <w:r w:rsidR="009822B1" w:rsidRPr="00332399">
        <w:rPr>
          <w:rFonts w:ascii="Century Schoolbook" w:hAnsi="Century Schoolbook" w:cs="Times New Roman"/>
          <w:sz w:val="24"/>
          <w:szCs w:val="24"/>
        </w:rPr>
        <w:t>; Autor, 2024</w:t>
      </w:r>
      <w:r w:rsidR="00936104" w:rsidRPr="00332399">
        <w:rPr>
          <w:rFonts w:ascii="Century Schoolbook" w:hAnsi="Century Schoolbook" w:cs="Times New Roman"/>
          <w:sz w:val="24"/>
          <w:szCs w:val="24"/>
        </w:rPr>
        <w:t>b</w:t>
      </w:r>
      <w:r w:rsidRPr="00332399">
        <w:rPr>
          <w:rFonts w:ascii="Century Schoolbook" w:hAnsi="Century Schoolbook" w:cs="Times New Roman"/>
          <w:sz w:val="24"/>
          <w:szCs w:val="24"/>
        </w:rPr>
        <w:t xml:space="preserve">). La evolución del concepto ha sido progresiva. Inicialmente el término que se utilizó para referirse a estas conductas fue el </w:t>
      </w:r>
      <w:proofErr w:type="spellStart"/>
      <w:r w:rsidRPr="00332399">
        <w:rPr>
          <w:rFonts w:ascii="Century Schoolbook" w:hAnsi="Century Schoolbook" w:cs="Times New Roman"/>
          <w:sz w:val="24"/>
          <w:szCs w:val="24"/>
        </w:rPr>
        <w:t>anti-homosexualismo</w:t>
      </w:r>
      <w:proofErr w:type="spellEnd"/>
      <w:r w:rsidRPr="00332399">
        <w:rPr>
          <w:rFonts w:ascii="Century Schoolbook" w:hAnsi="Century Schoolbook" w:cs="Times New Roman"/>
          <w:sz w:val="24"/>
          <w:szCs w:val="24"/>
        </w:rPr>
        <w:t xml:space="preserve"> (Churchill, 1967), sin embargo, la introducción del término a la literatura científica se dio en los años setenta como homofobia. Weinberg (1972) la definió como el odio y temor hacia el deseo homosexual y la manifestación pública.  Años después, Hudson y Ricketts (1980) plantean un nuevo término y lo denominan como </w:t>
      </w:r>
      <w:proofErr w:type="spellStart"/>
      <w:r w:rsidRPr="00332399">
        <w:rPr>
          <w:rFonts w:ascii="Century Schoolbook" w:hAnsi="Century Schoolbook" w:cs="Times New Roman"/>
          <w:sz w:val="24"/>
          <w:szCs w:val="24"/>
        </w:rPr>
        <w:t>homonegativismo</w:t>
      </w:r>
      <w:proofErr w:type="spellEnd"/>
      <w:r w:rsidRPr="00332399">
        <w:rPr>
          <w:rFonts w:ascii="Century Schoolbook" w:hAnsi="Century Schoolbook" w:cs="Times New Roman"/>
          <w:sz w:val="24"/>
          <w:szCs w:val="24"/>
        </w:rPr>
        <w:t xml:space="preserve"> ya que</w:t>
      </w:r>
      <w:r w:rsidR="002432D9" w:rsidRPr="00332399">
        <w:rPr>
          <w:rFonts w:ascii="Century Schoolbook" w:hAnsi="Century Schoolbook" w:cs="Times New Roman"/>
          <w:sz w:val="24"/>
          <w:szCs w:val="24"/>
        </w:rPr>
        <w:t xml:space="preserve"> es</w:t>
      </w:r>
      <w:r w:rsidRPr="00332399">
        <w:rPr>
          <w:rFonts w:ascii="Century Schoolbook" w:hAnsi="Century Schoolbook" w:cs="Times New Roman"/>
          <w:sz w:val="24"/>
          <w:szCs w:val="24"/>
        </w:rPr>
        <w:t xml:space="preserve"> multidimensional, no obstante, autores como </w:t>
      </w:r>
      <w:proofErr w:type="spellStart"/>
      <w:r w:rsidRPr="00332399">
        <w:rPr>
          <w:rFonts w:ascii="Century Schoolbook" w:hAnsi="Century Schoolbook" w:cs="Times New Roman"/>
          <w:sz w:val="24"/>
          <w:szCs w:val="24"/>
        </w:rPr>
        <w:t>Herek</w:t>
      </w:r>
      <w:proofErr w:type="spellEnd"/>
      <w:r w:rsidRPr="00332399">
        <w:rPr>
          <w:rFonts w:ascii="Century Schoolbook" w:hAnsi="Century Schoolbook" w:cs="Times New Roman"/>
          <w:sz w:val="24"/>
          <w:szCs w:val="24"/>
        </w:rPr>
        <w:t xml:space="preserve"> (2000), critican el factor clínico que involucra llamar homofobia a este conjunto de actitudes porque patologiza a la persona homosexual y propone que el fenómeno se divida en prejuicio (persona heterosexual) y </w:t>
      </w:r>
      <w:proofErr w:type="spellStart"/>
      <w:r w:rsidRPr="00332399">
        <w:rPr>
          <w:rFonts w:ascii="Century Schoolbook" w:hAnsi="Century Schoolbook" w:cs="Times New Roman"/>
          <w:sz w:val="24"/>
          <w:szCs w:val="24"/>
        </w:rPr>
        <w:t>autoestigma</w:t>
      </w:r>
      <w:proofErr w:type="spellEnd"/>
      <w:r w:rsidRPr="00332399">
        <w:rPr>
          <w:rFonts w:ascii="Century Schoolbook" w:hAnsi="Century Schoolbook" w:cs="Times New Roman"/>
          <w:sz w:val="24"/>
          <w:szCs w:val="24"/>
        </w:rPr>
        <w:t xml:space="preserve"> (persona homosexual). En ese sentido, distintos investigadores han utilizado el término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para estudiar el marco de referencia estructural negativo de una persona homosexual hacia lo que implica ser y vivir como homosexual (</w:t>
      </w:r>
      <w:proofErr w:type="spellStart"/>
      <w:r w:rsidRPr="00332399">
        <w:rPr>
          <w:rFonts w:ascii="Century Schoolbook" w:hAnsi="Century Schoolbook" w:cs="Times New Roman"/>
          <w:sz w:val="24"/>
          <w:szCs w:val="24"/>
        </w:rPr>
        <w:t>Mayfield</w:t>
      </w:r>
      <w:proofErr w:type="spellEnd"/>
      <w:r w:rsidRPr="00332399">
        <w:rPr>
          <w:rFonts w:ascii="Century Schoolbook" w:hAnsi="Century Schoolbook" w:cs="Times New Roman"/>
          <w:sz w:val="24"/>
          <w:szCs w:val="24"/>
        </w:rPr>
        <w:t xml:space="preserve">, 2001; Moss, 2022; </w:t>
      </w:r>
      <w:proofErr w:type="spellStart"/>
      <w:r w:rsidRPr="00332399">
        <w:rPr>
          <w:rFonts w:ascii="Century Schoolbook" w:hAnsi="Century Schoolbook" w:cs="Times New Roman"/>
          <w:sz w:val="24"/>
          <w:szCs w:val="24"/>
        </w:rPr>
        <w:t>Currie</w:t>
      </w:r>
      <w:proofErr w:type="spellEnd"/>
      <w:r w:rsidRPr="00332399">
        <w:rPr>
          <w:rFonts w:ascii="Century Schoolbook" w:hAnsi="Century Schoolbook" w:cs="Times New Roman"/>
          <w:sz w:val="24"/>
          <w:szCs w:val="24"/>
        </w:rPr>
        <w:t xml:space="preserve"> et al., 2004; </w:t>
      </w:r>
      <w:proofErr w:type="spellStart"/>
      <w:r w:rsidRPr="00332399">
        <w:rPr>
          <w:rFonts w:ascii="Century Schoolbook" w:hAnsi="Century Schoolbook" w:cs="Times New Roman"/>
          <w:sz w:val="24"/>
          <w:szCs w:val="24"/>
        </w:rPr>
        <w:t>Herek</w:t>
      </w:r>
      <w:proofErr w:type="spellEnd"/>
      <w:r w:rsidRPr="00332399">
        <w:rPr>
          <w:rFonts w:ascii="Century Schoolbook" w:hAnsi="Century Schoolbook" w:cs="Times New Roman"/>
          <w:sz w:val="24"/>
          <w:szCs w:val="24"/>
        </w:rPr>
        <w:t xml:space="preserve">, 2004; </w:t>
      </w:r>
      <w:proofErr w:type="spellStart"/>
      <w:r w:rsidRPr="00332399">
        <w:rPr>
          <w:rFonts w:ascii="Century Schoolbook" w:hAnsi="Century Schoolbook" w:cs="Times New Roman"/>
          <w:sz w:val="24"/>
          <w:szCs w:val="24"/>
        </w:rPr>
        <w:t>Herek</w:t>
      </w:r>
      <w:proofErr w:type="spellEnd"/>
      <w:r w:rsidRPr="00332399">
        <w:rPr>
          <w:rFonts w:ascii="Century Schoolbook" w:hAnsi="Century Schoolbook" w:cs="Times New Roman"/>
          <w:sz w:val="24"/>
          <w:szCs w:val="24"/>
        </w:rPr>
        <w:t xml:space="preserve"> et al., 2009).</w:t>
      </w:r>
    </w:p>
    <w:p w14:paraId="2A846AEC" w14:textId="0CAB3534"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75309D">
        <w:rPr>
          <w:rFonts w:ascii="Century Schoolbook" w:hAnsi="Century Schoolbook" w:cs="Times New Roman"/>
          <w:sz w:val="24"/>
          <w:szCs w:val="24"/>
          <w:highlight w:val="yellow"/>
        </w:rPr>
        <w:t>La investigación ha demostrado que es un tema relevante en la actualidad a nivel internacional y que también debe ser estudiado en el Perú</w:t>
      </w:r>
      <w:r w:rsidR="009822B1" w:rsidRPr="0075309D">
        <w:rPr>
          <w:rFonts w:ascii="Century Schoolbook" w:hAnsi="Century Schoolbook" w:cs="Times New Roman"/>
          <w:sz w:val="24"/>
          <w:szCs w:val="24"/>
          <w:highlight w:val="yellow"/>
        </w:rPr>
        <w:t xml:space="preserve"> (Autor, 2024</w:t>
      </w:r>
      <w:r w:rsidR="00936104" w:rsidRPr="0075309D">
        <w:rPr>
          <w:rFonts w:ascii="Century Schoolbook" w:hAnsi="Century Schoolbook" w:cs="Times New Roman"/>
          <w:sz w:val="24"/>
          <w:szCs w:val="24"/>
          <w:highlight w:val="yellow"/>
        </w:rPr>
        <w:t>c</w:t>
      </w:r>
      <w:r w:rsidR="009822B1" w:rsidRPr="0075309D">
        <w:rPr>
          <w:rFonts w:ascii="Century Schoolbook" w:hAnsi="Century Schoolbook" w:cs="Times New Roman"/>
          <w:sz w:val="24"/>
          <w:szCs w:val="24"/>
          <w:highlight w:val="yellow"/>
        </w:rPr>
        <w:t>)</w:t>
      </w:r>
      <w:r w:rsidRPr="0075309D">
        <w:rPr>
          <w:rFonts w:ascii="Century Schoolbook" w:hAnsi="Century Schoolbook" w:cs="Times New Roman"/>
          <w:sz w:val="24"/>
          <w:szCs w:val="24"/>
          <w:highlight w:val="yellow"/>
        </w:rPr>
        <w:t>.</w:t>
      </w:r>
      <w:r w:rsidRPr="00332399">
        <w:rPr>
          <w:rFonts w:ascii="Century Schoolbook" w:hAnsi="Century Schoolbook" w:cs="Times New Roman"/>
          <w:sz w:val="24"/>
          <w:szCs w:val="24"/>
        </w:rPr>
        <w:t xml:space="preserve"> Datos reflejan que, afecta el bienestar de las personas (</w:t>
      </w:r>
      <w:proofErr w:type="spellStart"/>
      <w:r w:rsidRPr="00332399">
        <w:rPr>
          <w:rFonts w:ascii="Century Schoolbook" w:hAnsi="Century Schoolbook" w:cs="Times New Roman"/>
          <w:sz w:val="24"/>
          <w:szCs w:val="24"/>
        </w:rPr>
        <w:t>Berg</w:t>
      </w:r>
      <w:proofErr w:type="spellEnd"/>
      <w:r w:rsidRPr="00332399">
        <w:rPr>
          <w:rFonts w:ascii="Century Schoolbook" w:hAnsi="Century Schoolbook" w:cs="Times New Roman"/>
          <w:sz w:val="24"/>
          <w:szCs w:val="24"/>
        </w:rPr>
        <w:t xml:space="preserve"> et al., 2015), la depresión (Huang et al., 2020), la autoimagen corporal (Badenes-Ribera et al., 2018) y la propia satisfacción sexual (Bahamondes et al., 2022), entre otros. Asimismo, diversos estudios han demostrado que la aparición de este rechazo se ve fundada por factores religiosos, abandono parental y la discriminación social/legal (</w:t>
      </w:r>
      <w:proofErr w:type="spellStart"/>
      <w:r w:rsidRPr="00332399">
        <w:rPr>
          <w:rFonts w:ascii="Century Schoolbook" w:hAnsi="Century Schoolbook" w:cs="Times New Roman"/>
          <w:sz w:val="24"/>
          <w:szCs w:val="24"/>
        </w:rPr>
        <w:t>Michli</w:t>
      </w:r>
      <w:proofErr w:type="spellEnd"/>
      <w:r w:rsidRPr="00332399">
        <w:rPr>
          <w:rFonts w:ascii="Century Schoolbook" w:hAnsi="Century Schoolbook" w:cs="Times New Roman"/>
          <w:sz w:val="24"/>
          <w:szCs w:val="24"/>
        </w:rPr>
        <w:t xml:space="preserve"> &amp; Jamil, 2020), la cual trae consecuencias en la formación de la identidad como ser humano en la adolescencia y los primeros años de la edad adulta (Moore et al., 2019). Estas consecuencias afectan el sentido de pertenencia y valía personal, la afiliación social homosexual, infelicidad y menor conocimiento </w:t>
      </w:r>
      <w:r w:rsidRPr="00332399">
        <w:rPr>
          <w:rFonts w:ascii="Century Schoolbook" w:hAnsi="Century Schoolbook" w:cs="Times New Roman"/>
          <w:sz w:val="24"/>
          <w:szCs w:val="24"/>
        </w:rPr>
        <w:lastRenderedPageBreak/>
        <w:t>sobre el VIH (</w:t>
      </w:r>
      <w:proofErr w:type="spellStart"/>
      <w:r w:rsidRPr="00332399">
        <w:rPr>
          <w:rFonts w:ascii="Century Schoolbook" w:hAnsi="Century Schoolbook" w:cs="Times New Roman"/>
          <w:sz w:val="24"/>
          <w:szCs w:val="24"/>
        </w:rPr>
        <w:t>Berg</w:t>
      </w:r>
      <w:proofErr w:type="spellEnd"/>
      <w:r w:rsidRPr="00332399">
        <w:rPr>
          <w:rFonts w:ascii="Century Schoolbook" w:hAnsi="Century Schoolbook" w:cs="Times New Roman"/>
          <w:sz w:val="24"/>
          <w:szCs w:val="24"/>
        </w:rPr>
        <w:t xml:space="preserve"> et al., 2015). </w:t>
      </w:r>
      <w:commentRangeStart w:id="1"/>
      <w:r w:rsidRPr="00332399">
        <w:rPr>
          <w:rFonts w:ascii="Century Schoolbook" w:hAnsi="Century Schoolbook" w:cs="Times New Roman"/>
          <w:sz w:val="24"/>
          <w:szCs w:val="24"/>
        </w:rPr>
        <w:t>En ese sentido, a nivel global, este fenómeno es relevante ya que contribuye significativamente tanto a un nivel psicológic</w:t>
      </w:r>
      <w:r w:rsidR="002432D9" w:rsidRPr="00332399">
        <w:rPr>
          <w:rFonts w:ascii="Century Schoolbook" w:hAnsi="Century Schoolbook" w:cs="Times New Roman"/>
          <w:sz w:val="24"/>
          <w:szCs w:val="24"/>
        </w:rPr>
        <w:t>o</w:t>
      </w:r>
      <w:r w:rsidRPr="00332399">
        <w:rPr>
          <w:rFonts w:ascii="Century Schoolbook" w:hAnsi="Century Schoolbook" w:cs="Times New Roman"/>
          <w:sz w:val="24"/>
          <w:szCs w:val="24"/>
        </w:rPr>
        <w:t xml:space="preserve">, social y sexual.   </w:t>
      </w:r>
      <w:commentRangeEnd w:id="1"/>
      <w:r w:rsidR="005E51F0">
        <w:rPr>
          <w:rStyle w:val="Refdecomentario"/>
        </w:rPr>
        <w:commentReference w:id="1"/>
      </w:r>
    </w:p>
    <w:p w14:paraId="3506B5AE" w14:textId="77777777"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En el campo de la psicología aplicada se han creado instrumentos para medir este constructo. En los ochenta se utilizaba de forma instintiva el término homofobia en las escalas de medición y prueba de ello son los títulos de las pruebas psicológicas que aparecieron para medir este fenómeno. Desde entonces, se han desarrollado y publicado en revistas científicas distintas escalas que buscan evaluar el mismo constructo: </w:t>
      </w:r>
      <w:proofErr w:type="spellStart"/>
      <w:r w:rsidRPr="00332399">
        <w:rPr>
          <w:rFonts w:ascii="Century Schoolbook" w:hAnsi="Century Schoolbook" w:cs="Times New Roman"/>
          <w:sz w:val="24"/>
          <w:szCs w:val="24"/>
        </w:rPr>
        <w:t>Nungesser</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Homosexuality</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Attitudes</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Inventory</w:t>
      </w:r>
      <w:proofErr w:type="spellEnd"/>
      <w:r w:rsidRPr="00332399">
        <w:rPr>
          <w:rFonts w:ascii="Century Schoolbook" w:hAnsi="Century Schoolbook" w:cs="Times New Roman"/>
          <w:sz w:val="24"/>
          <w:szCs w:val="24"/>
        </w:rPr>
        <w:t xml:space="preserve"> (NHAI) (</w:t>
      </w:r>
      <w:proofErr w:type="spellStart"/>
      <w:r w:rsidRPr="00332399">
        <w:rPr>
          <w:rFonts w:ascii="Century Schoolbook" w:hAnsi="Century Schoolbook" w:cs="Times New Roman"/>
          <w:sz w:val="24"/>
          <w:szCs w:val="24"/>
        </w:rPr>
        <w:t>Nungesser</w:t>
      </w:r>
      <w:proofErr w:type="spellEnd"/>
      <w:r w:rsidRPr="00332399">
        <w:rPr>
          <w:rFonts w:ascii="Century Schoolbook" w:hAnsi="Century Schoolbook" w:cs="Times New Roman"/>
          <w:sz w:val="24"/>
          <w:szCs w:val="24"/>
        </w:rPr>
        <w:t xml:space="preserve">, 1983), </w:t>
      </w:r>
      <w:proofErr w:type="spellStart"/>
      <w:r w:rsidRPr="00332399">
        <w:rPr>
          <w:rFonts w:ascii="Century Schoolbook" w:hAnsi="Century Schoolbook" w:cs="Times New Roman"/>
          <w:sz w:val="24"/>
          <w:szCs w:val="24"/>
        </w:rPr>
        <w:t>Internalized</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Homophobia</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Scale</w:t>
      </w:r>
      <w:proofErr w:type="spellEnd"/>
      <w:r w:rsidRPr="00332399">
        <w:rPr>
          <w:rFonts w:ascii="Century Schoolbook" w:hAnsi="Century Schoolbook" w:cs="Times New Roman"/>
          <w:sz w:val="24"/>
          <w:szCs w:val="24"/>
        </w:rPr>
        <w:t xml:space="preserve"> (IHS) (</w:t>
      </w:r>
      <w:proofErr w:type="spellStart"/>
      <w:r w:rsidRPr="00332399">
        <w:rPr>
          <w:rFonts w:ascii="Century Schoolbook" w:hAnsi="Century Schoolbook" w:cs="Times New Roman"/>
          <w:sz w:val="24"/>
          <w:szCs w:val="24"/>
        </w:rPr>
        <w:t>Shidlo</w:t>
      </w:r>
      <w:proofErr w:type="spellEnd"/>
      <w:r w:rsidRPr="00332399">
        <w:rPr>
          <w:rFonts w:ascii="Century Schoolbook" w:hAnsi="Century Schoolbook" w:cs="Times New Roman"/>
          <w:sz w:val="24"/>
          <w:szCs w:val="24"/>
        </w:rPr>
        <w:t xml:space="preserve">, 1994; Ross &amp; </w:t>
      </w:r>
      <w:proofErr w:type="spellStart"/>
      <w:r w:rsidRPr="00332399">
        <w:rPr>
          <w:rFonts w:ascii="Century Schoolbook" w:hAnsi="Century Schoolbook" w:cs="Times New Roman"/>
          <w:sz w:val="24"/>
          <w:szCs w:val="24"/>
        </w:rPr>
        <w:t>Rosser</w:t>
      </w:r>
      <w:proofErr w:type="spellEnd"/>
      <w:r w:rsidRPr="00332399">
        <w:rPr>
          <w:rFonts w:ascii="Century Schoolbook" w:hAnsi="Century Schoolbook" w:cs="Times New Roman"/>
          <w:sz w:val="24"/>
          <w:szCs w:val="24"/>
        </w:rPr>
        <w:t xml:space="preserve">, 1996), </w:t>
      </w:r>
      <w:proofErr w:type="spellStart"/>
      <w:r w:rsidRPr="00332399">
        <w:rPr>
          <w:rFonts w:ascii="Century Schoolbook" w:hAnsi="Century Schoolbook" w:cs="Times New Roman"/>
          <w:sz w:val="24"/>
          <w:szCs w:val="24"/>
        </w:rPr>
        <w:t>Internalized</w:t>
      </w:r>
      <w:proofErr w:type="spellEnd"/>
      <w:r w:rsidRPr="00332399">
        <w:rPr>
          <w:rFonts w:ascii="Century Schoolbook" w:hAnsi="Century Schoolbook" w:cs="Times New Roman"/>
          <w:sz w:val="24"/>
          <w:szCs w:val="24"/>
        </w:rPr>
        <w:t xml:space="preserve"> Sexual </w:t>
      </w:r>
      <w:proofErr w:type="spellStart"/>
      <w:r w:rsidRPr="00332399">
        <w:rPr>
          <w:rFonts w:ascii="Century Schoolbook" w:hAnsi="Century Schoolbook" w:cs="Times New Roman"/>
          <w:sz w:val="24"/>
          <w:szCs w:val="24"/>
        </w:rPr>
        <w:t>Stigma</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for</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Lesbians</w:t>
      </w:r>
      <w:proofErr w:type="spellEnd"/>
      <w:r w:rsidRPr="00332399">
        <w:rPr>
          <w:rFonts w:ascii="Century Schoolbook" w:hAnsi="Century Schoolbook" w:cs="Times New Roman"/>
          <w:sz w:val="24"/>
          <w:szCs w:val="24"/>
        </w:rPr>
        <w:t xml:space="preserve"> and Gay </w:t>
      </w:r>
      <w:proofErr w:type="spellStart"/>
      <w:r w:rsidRPr="00332399">
        <w:rPr>
          <w:rFonts w:ascii="Century Schoolbook" w:hAnsi="Century Schoolbook" w:cs="Times New Roman"/>
          <w:sz w:val="24"/>
          <w:szCs w:val="24"/>
        </w:rPr>
        <w:t>Men</w:t>
      </w:r>
      <w:proofErr w:type="spellEnd"/>
      <w:r w:rsidRPr="00332399">
        <w:rPr>
          <w:rFonts w:ascii="Century Schoolbook" w:hAnsi="Century Schoolbook" w:cs="Times New Roman"/>
          <w:sz w:val="24"/>
          <w:szCs w:val="24"/>
        </w:rPr>
        <w:t xml:space="preserve"> (MISS-LG) (</w:t>
      </w:r>
      <w:proofErr w:type="spellStart"/>
      <w:r w:rsidRPr="00332399">
        <w:rPr>
          <w:rFonts w:ascii="Century Schoolbook" w:hAnsi="Century Schoolbook" w:cs="Times New Roman"/>
          <w:sz w:val="24"/>
          <w:szCs w:val="24"/>
        </w:rPr>
        <w:t>Lingiardi</w:t>
      </w:r>
      <w:proofErr w:type="spellEnd"/>
      <w:r w:rsidRPr="00332399">
        <w:rPr>
          <w:rFonts w:ascii="Century Schoolbook" w:hAnsi="Century Schoolbook" w:cs="Times New Roman"/>
          <w:sz w:val="24"/>
          <w:szCs w:val="24"/>
        </w:rPr>
        <w:t xml:space="preserve"> et al., 2012), </w:t>
      </w:r>
      <w:proofErr w:type="spellStart"/>
      <w:r w:rsidRPr="00332399">
        <w:rPr>
          <w:rFonts w:ascii="Century Schoolbook" w:hAnsi="Century Schoolbook" w:cs="Times New Roman"/>
          <w:sz w:val="24"/>
          <w:szCs w:val="24"/>
        </w:rPr>
        <w:t>Internalized</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Homophobia</w:t>
      </w:r>
      <w:proofErr w:type="spellEnd"/>
      <w:r w:rsidRPr="00332399">
        <w:rPr>
          <w:rFonts w:ascii="Century Schoolbook" w:hAnsi="Century Schoolbook" w:cs="Times New Roman"/>
          <w:sz w:val="24"/>
          <w:szCs w:val="24"/>
        </w:rPr>
        <w:t xml:space="preserve"> </w:t>
      </w:r>
      <w:proofErr w:type="spellStart"/>
      <w:r w:rsidRPr="00332399">
        <w:rPr>
          <w:rFonts w:ascii="Century Schoolbook" w:hAnsi="Century Schoolbook" w:cs="Times New Roman"/>
          <w:sz w:val="24"/>
          <w:szCs w:val="24"/>
        </w:rPr>
        <w:t>Scale</w:t>
      </w:r>
      <w:proofErr w:type="spellEnd"/>
      <w:r w:rsidRPr="00332399">
        <w:rPr>
          <w:rFonts w:ascii="Century Schoolbook" w:hAnsi="Century Schoolbook" w:cs="Times New Roman"/>
          <w:sz w:val="24"/>
          <w:szCs w:val="24"/>
        </w:rPr>
        <w:t xml:space="preserve"> (IHP) (Martin &amp; Dean, 1987), entre otros. Cabe destacar que, en su mayoría fueron construidos con el objetivo de evaluar a hombres homosexuales, y pocos fueron adaptados para mujeres. </w:t>
      </w:r>
    </w:p>
    <w:p w14:paraId="5D7494CC" w14:textId="77777777"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En Latinoamérica, Moral y Valle (2013) realizaron la propuesta de una escala traducida al castellano: la Escala de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(IHN-16). Ross y </w:t>
      </w:r>
      <w:proofErr w:type="spellStart"/>
      <w:r w:rsidRPr="00332399">
        <w:rPr>
          <w:rFonts w:ascii="Century Schoolbook" w:hAnsi="Century Schoolbook" w:cs="Times New Roman"/>
          <w:sz w:val="24"/>
          <w:szCs w:val="24"/>
        </w:rPr>
        <w:t>Rosser</w:t>
      </w:r>
      <w:proofErr w:type="spellEnd"/>
      <w:r w:rsidRPr="00332399">
        <w:rPr>
          <w:rFonts w:ascii="Century Schoolbook" w:hAnsi="Century Schoolbook" w:cs="Times New Roman"/>
          <w:sz w:val="24"/>
          <w:szCs w:val="24"/>
        </w:rPr>
        <w:t xml:space="preserve"> (1996) crearon un instrumento con 26 ítems y cuatro factores. Años después, </w:t>
      </w:r>
      <w:proofErr w:type="spellStart"/>
      <w:r w:rsidRPr="00332399">
        <w:rPr>
          <w:rFonts w:ascii="Century Schoolbook" w:hAnsi="Century Schoolbook" w:cs="Times New Roman"/>
          <w:sz w:val="24"/>
          <w:szCs w:val="24"/>
        </w:rPr>
        <w:t>Currie</w:t>
      </w:r>
      <w:proofErr w:type="spellEnd"/>
      <w:r w:rsidRPr="00332399">
        <w:rPr>
          <w:rFonts w:ascii="Century Schoolbook" w:hAnsi="Century Schoolbook" w:cs="Times New Roman"/>
          <w:sz w:val="24"/>
          <w:szCs w:val="24"/>
        </w:rPr>
        <w:t xml:space="preserve"> et al.  (2004) establecieron una nueva escala utilizando factores de la escala de Ross y </w:t>
      </w:r>
      <w:proofErr w:type="spellStart"/>
      <w:r w:rsidRPr="00332399">
        <w:rPr>
          <w:rFonts w:ascii="Century Schoolbook" w:hAnsi="Century Schoolbook" w:cs="Times New Roman"/>
          <w:sz w:val="24"/>
          <w:szCs w:val="24"/>
        </w:rPr>
        <w:t>Rosser</w:t>
      </w:r>
      <w:proofErr w:type="spellEnd"/>
      <w:r w:rsidRPr="00332399">
        <w:rPr>
          <w:rFonts w:ascii="Century Schoolbook" w:hAnsi="Century Schoolbook" w:cs="Times New Roman"/>
          <w:sz w:val="24"/>
          <w:szCs w:val="24"/>
        </w:rPr>
        <w:t xml:space="preserve">, y plantearon el IHN-12, la cual no mide el constructo desde una óptica patológica, sino como un aspecto actitudinal. Sin embargo, </w:t>
      </w:r>
      <w:proofErr w:type="spellStart"/>
      <w:r w:rsidRPr="00332399">
        <w:rPr>
          <w:rFonts w:ascii="Century Schoolbook" w:hAnsi="Century Schoolbook" w:cs="Times New Roman"/>
          <w:sz w:val="24"/>
          <w:szCs w:val="24"/>
        </w:rPr>
        <w:t>Szymanski</w:t>
      </w:r>
      <w:proofErr w:type="spellEnd"/>
      <w:r w:rsidRPr="00332399">
        <w:rPr>
          <w:rFonts w:ascii="Century Schoolbook" w:hAnsi="Century Schoolbook" w:cs="Times New Roman"/>
          <w:sz w:val="24"/>
          <w:szCs w:val="24"/>
        </w:rPr>
        <w:t xml:space="preserve"> (2008) refiere que la escala de Martin y Dean (1987) es un instrumento óptimo para la evaluación desde un aspecto clínico-científico, ya que se guía por criterios diagnósticos de la </w:t>
      </w:r>
      <w:commentRangeStart w:id="2"/>
      <w:r w:rsidRPr="00332399">
        <w:rPr>
          <w:rFonts w:ascii="Century Schoolbook" w:hAnsi="Century Schoolbook" w:cs="Times New Roman"/>
          <w:sz w:val="24"/>
          <w:szCs w:val="24"/>
        </w:rPr>
        <w:t>homosexualidad egodistónica</w:t>
      </w:r>
      <w:commentRangeEnd w:id="2"/>
      <w:r w:rsidR="005E51F0">
        <w:rPr>
          <w:rStyle w:val="Refdecomentario"/>
        </w:rPr>
        <w:commentReference w:id="2"/>
      </w:r>
      <w:r w:rsidRPr="00332399">
        <w:rPr>
          <w:rFonts w:ascii="Century Schoolbook" w:hAnsi="Century Schoolbook" w:cs="Times New Roman"/>
          <w:sz w:val="24"/>
          <w:szCs w:val="24"/>
        </w:rPr>
        <w:t xml:space="preserve">. </w:t>
      </w:r>
    </w:p>
    <w:p w14:paraId="5C7D45FA" w14:textId="77777777"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commentRangeStart w:id="3"/>
      <w:r w:rsidRPr="00332399">
        <w:rPr>
          <w:rFonts w:ascii="Century Schoolbook" w:hAnsi="Century Schoolbook" w:cs="Times New Roman"/>
          <w:sz w:val="24"/>
          <w:szCs w:val="24"/>
        </w:rPr>
        <w:t>Por ello</w:t>
      </w:r>
      <w:commentRangeEnd w:id="3"/>
      <w:r w:rsidR="005E51F0">
        <w:rPr>
          <w:rStyle w:val="Refdecomentario"/>
        </w:rPr>
        <w:commentReference w:id="3"/>
      </w:r>
      <w:r w:rsidRPr="00332399">
        <w:rPr>
          <w:rFonts w:ascii="Century Schoolbook" w:hAnsi="Century Schoolbook" w:cs="Times New Roman"/>
          <w:sz w:val="24"/>
          <w:szCs w:val="24"/>
        </w:rPr>
        <w:t xml:space="preserve">, la propuesta final de Moral y Valle (2013) involucra los 13 ítems de </w:t>
      </w:r>
      <w:proofErr w:type="spellStart"/>
      <w:r w:rsidRPr="00332399">
        <w:rPr>
          <w:rFonts w:ascii="Century Schoolbook" w:hAnsi="Century Schoolbook" w:cs="Times New Roman"/>
          <w:sz w:val="24"/>
          <w:szCs w:val="24"/>
        </w:rPr>
        <w:t>Currie</w:t>
      </w:r>
      <w:proofErr w:type="spellEnd"/>
      <w:r w:rsidRPr="00332399">
        <w:rPr>
          <w:rFonts w:ascii="Century Schoolbook" w:hAnsi="Century Schoolbook" w:cs="Times New Roman"/>
          <w:sz w:val="24"/>
          <w:szCs w:val="24"/>
        </w:rPr>
        <w:t xml:space="preserve"> et al. (2004) y 4 ítems de la escala de Martin y Dean (1987). Finalmente, tras un análisis psicométrico se llegó a la propuesta del IHN-16. Dicha propuesta plantea una visión </w:t>
      </w:r>
      <w:proofErr w:type="spellStart"/>
      <w:r w:rsidRPr="00332399">
        <w:rPr>
          <w:rFonts w:ascii="Century Schoolbook" w:hAnsi="Century Schoolbook" w:cs="Times New Roman"/>
          <w:sz w:val="24"/>
          <w:szCs w:val="24"/>
        </w:rPr>
        <w:t>trifactorial</w:t>
      </w:r>
      <w:proofErr w:type="spellEnd"/>
      <w:r w:rsidRPr="00332399">
        <w:rPr>
          <w:rFonts w:ascii="Century Schoolbook" w:hAnsi="Century Schoolbook" w:cs="Times New Roman"/>
          <w:sz w:val="24"/>
          <w:szCs w:val="24"/>
        </w:rPr>
        <w:t xml:space="preserve"> de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(1) rechazo hacia la manifestación pública de la homosexualidad, por la inseguridad de ser aceptado o no por su entorno; (2) rechazo al propio deseo sexual, que involucra las fantasías e identidad propia; e (3) incapacidad para la intimidad con personas homosexuales, ya que estigmatiza a las relaciones homosexuales de ser </w:t>
      </w:r>
      <w:r w:rsidRPr="00332399">
        <w:rPr>
          <w:rFonts w:ascii="Century Schoolbook" w:hAnsi="Century Schoolbook" w:cs="Times New Roman"/>
          <w:sz w:val="24"/>
          <w:szCs w:val="24"/>
        </w:rPr>
        <w:lastRenderedPageBreak/>
        <w:t xml:space="preserve">transitorias y no mantener los valores tradicionales (Moral &amp; Valle, 2013; Salirrosas-Cabada et al., 2024). </w:t>
      </w:r>
    </w:p>
    <w:p w14:paraId="4CF268ED" w14:textId="77777777" w:rsidR="00D37CF0"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Este instrumento ha sido utilizado en distintos contextos, en México con estudiantes de ciencias de la salud (Moral &amp; Valle, 2013; Moral et al., 2013; Moral &amp; Valle, 2014; Moral et al., 2015) y adolescentes de instituciones públicas (Valdez-Montero et al., 2018). A nivel nacional, en Perú, se realizó un estudio psicométrico del instrumento en jóvenes universitarios y trabajadores de empresas privadas y públicas (Salirrosas-Cabada et al., 2024). Es preciso mencionar que, el fenómeno psicológico de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ha sido inicialmente conceptualizada como una experiencia propia de las personas que se identifican como homosexuales. Este concepto se refiere a la internalización de actitudes negativas hacia la propia orientación sexual. Sin embargo, en los estudios mencionados,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se ha abordado de manera indistinta, involucrando tanto a participantes heterosexuales como no heterosexuales. Aquello puede repercutir en la información porque diluye el constructo original y genera interpretaciones imprecisas en las vivencias de esta comunidad. </w:t>
      </w:r>
    </w:p>
    <w:p w14:paraId="72247723" w14:textId="367E37A8" w:rsidR="005E4FA8"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En ese sentido, pese a la existencia de instrumentos psicométricos para evaluar esta variable, la mayoría se usaron en diferentes culturas y contextos representativos de la población global y no de forma específica. El análisis psicométrico del IHN-1</w:t>
      </w:r>
      <w:r w:rsidR="00A344A3" w:rsidRPr="00332399">
        <w:rPr>
          <w:rFonts w:ascii="Century Schoolbook" w:hAnsi="Century Schoolbook" w:cs="Times New Roman"/>
          <w:sz w:val="24"/>
          <w:szCs w:val="24"/>
        </w:rPr>
        <w:t>0</w:t>
      </w:r>
      <w:r w:rsidRPr="00332399">
        <w:rPr>
          <w:rFonts w:ascii="Century Schoolbook" w:hAnsi="Century Schoolbook" w:cs="Times New Roman"/>
          <w:sz w:val="24"/>
          <w:szCs w:val="24"/>
        </w:rPr>
        <w:t xml:space="preserve"> para el contexto peruano es una tarea imperante por la falta de estudios que aborden el tema desde una perspectiva que involucre la orientación sexual e identidad de género. La importancia del estudio radica en el potencial para mejorar las dinámicas en hombres homosexuales cisgénero y en la comprensión de las actitudes negativas, lo que puede </w:t>
      </w:r>
      <w:commentRangeStart w:id="4"/>
      <w:r w:rsidRPr="00332399">
        <w:rPr>
          <w:rFonts w:ascii="Century Schoolbook" w:hAnsi="Century Schoolbook" w:cs="Times New Roman"/>
          <w:sz w:val="24"/>
          <w:szCs w:val="24"/>
        </w:rPr>
        <w:t>estimular el desarrollo de nuevas prácticas clínicas efectivas</w:t>
      </w:r>
      <w:commentRangeEnd w:id="4"/>
      <w:r w:rsidR="005E51F0">
        <w:rPr>
          <w:rStyle w:val="Refdecomentario"/>
        </w:rPr>
        <w:commentReference w:id="4"/>
      </w:r>
      <w:r w:rsidRPr="00332399">
        <w:rPr>
          <w:rFonts w:ascii="Century Schoolbook" w:hAnsi="Century Schoolbook" w:cs="Times New Roman"/>
          <w:sz w:val="24"/>
          <w:szCs w:val="24"/>
        </w:rPr>
        <w:t xml:space="preserve">. Por lo tanto, el estudio tiene como objetivo analizar las propiedades psicométricas de la Escala de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(IHN-1</w:t>
      </w:r>
      <w:r w:rsidR="00A344A3" w:rsidRPr="00332399">
        <w:rPr>
          <w:rFonts w:ascii="Century Schoolbook" w:hAnsi="Century Schoolbook" w:cs="Times New Roman"/>
          <w:sz w:val="24"/>
          <w:szCs w:val="24"/>
        </w:rPr>
        <w:t>0</w:t>
      </w:r>
      <w:r w:rsidRPr="00332399">
        <w:rPr>
          <w:rFonts w:ascii="Century Schoolbook" w:hAnsi="Century Schoolbook" w:cs="Times New Roman"/>
          <w:sz w:val="24"/>
          <w:szCs w:val="24"/>
        </w:rPr>
        <w:t>) en hombres homosexuales cisgénero.</w:t>
      </w:r>
    </w:p>
    <w:p w14:paraId="2329FC07" w14:textId="1CB663C6" w:rsidR="00332399" w:rsidRDefault="00332399" w:rsidP="00C06401">
      <w:pPr>
        <w:spacing w:before="80" w:after="0" w:line="360" w:lineRule="auto"/>
        <w:ind w:right="51" w:firstLine="357"/>
        <w:jc w:val="both"/>
        <w:rPr>
          <w:rFonts w:ascii="Century Schoolbook" w:hAnsi="Century Schoolbook" w:cs="Times New Roman"/>
          <w:sz w:val="24"/>
          <w:szCs w:val="24"/>
        </w:rPr>
      </w:pPr>
    </w:p>
    <w:p w14:paraId="1C1E647F" w14:textId="55020D24" w:rsidR="00332399" w:rsidRDefault="00332399" w:rsidP="00C06401">
      <w:pPr>
        <w:spacing w:before="80" w:after="0" w:line="360" w:lineRule="auto"/>
        <w:ind w:right="51" w:firstLine="357"/>
        <w:jc w:val="both"/>
        <w:rPr>
          <w:rFonts w:ascii="Century Schoolbook" w:hAnsi="Century Schoolbook" w:cs="Times New Roman"/>
          <w:sz w:val="24"/>
          <w:szCs w:val="24"/>
        </w:rPr>
      </w:pPr>
    </w:p>
    <w:p w14:paraId="4ABEEFF9" w14:textId="77777777" w:rsidR="00332399" w:rsidRPr="00332399" w:rsidRDefault="00332399" w:rsidP="00C06401">
      <w:pPr>
        <w:spacing w:before="80" w:after="0" w:line="360" w:lineRule="auto"/>
        <w:ind w:right="51" w:firstLine="357"/>
        <w:jc w:val="both"/>
        <w:rPr>
          <w:rFonts w:ascii="Century Schoolbook" w:hAnsi="Century Schoolbook" w:cs="Times New Roman"/>
          <w:sz w:val="24"/>
          <w:szCs w:val="24"/>
        </w:rPr>
      </w:pPr>
    </w:p>
    <w:p w14:paraId="3C8ECE6D" w14:textId="04DD14E9" w:rsidR="00B07969" w:rsidRPr="00332399" w:rsidRDefault="005E4FA8" w:rsidP="00C06401">
      <w:pPr>
        <w:spacing w:before="280" w:after="0" w:line="360" w:lineRule="auto"/>
        <w:ind w:right="49"/>
        <w:jc w:val="center"/>
        <w:rPr>
          <w:rFonts w:ascii="Century Schoolbook" w:hAnsi="Century Schoolbook" w:cs="Times New Roman"/>
          <w:b/>
          <w:sz w:val="24"/>
          <w:szCs w:val="24"/>
        </w:rPr>
      </w:pPr>
      <w:r w:rsidRPr="00332399">
        <w:rPr>
          <w:rFonts w:ascii="Century Schoolbook" w:hAnsi="Century Schoolbook" w:cs="Times New Roman"/>
          <w:b/>
          <w:sz w:val="24"/>
          <w:szCs w:val="24"/>
        </w:rPr>
        <w:lastRenderedPageBreak/>
        <w:t>Método</w:t>
      </w:r>
    </w:p>
    <w:p w14:paraId="4D91FC5F" w14:textId="0B6B3847" w:rsidR="00B07969" w:rsidRPr="00332399" w:rsidRDefault="00D37CF0" w:rsidP="00C06401">
      <w:pPr>
        <w:spacing w:before="200" w:after="0" w:line="360" w:lineRule="auto"/>
        <w:ind w:right="49" w:firstLine="357"/>
        <w:jc w:val="both"/>
        <w:rPr>
          <w:rFonts w:ascii="Century Schoolbook" w:hAnsi="Century Schoolbook" w:cs="Times New Roman"/>
          <w:sz w:val="24"/>
          <w:szCs w:val="24"/>
          <w:lang w:val="es-ES"/>
        </w:rPr>
      </w:pPr>
      <w:commentRangeStart w:id="5"/>
      <w:r w:rsidRPr="00332399">
        <w:rPr>
          <w:rFonts w:ascii="Century Schoolbook" w:hAnsi="Century Schoolbook" w:cs="Times New Roman"/>
          <w:sz w:val="24"/>
          <w:szCs w:val="24"/>
        </w:rPr>
        <w:t>El tipo de estudio forma parte de la categoría de estudios instrumentales, ya que el objetivo es validar las propiedades psicométricas del instrumento (Ato et al., 2013).</w:t>
      </w:r>
      <w:commentRangeEnd w:id="5"/>
      <w:r w:rsidR="005E51F0">
        <w:rPr>
          <w:rStyle w:val="Refdecomentario"/>
        </w:rPr>
        <w:commentReference w:id="5"/>
      </w:r>
    </w:p>
    <w:p w14:paraId="77B3EF0C" w14:textId="5A834E02" w:rsidR="005E4FA8" w:rsidRPr="00332399" w:rsidRDefault="005E4FA8" w:rsidP="00C06401">
      <w:pPr>
        <w:spacing w:before="200" w:after="0" w:line="360" w:lineRule="auto"/>
        <w:ind w:right="49"/>
        <w:rPr>
          <w:rFonts w:ascii="Century Schoolbook" w:hAnsi="Century Schoolbook" w:cs="Times New Roman"/>
          <w:b/>
          <w:sz w:val="24"/>
          <w:szCs w:val="24"/>
        </w:rPr>
      </w:pPr>
      <w:r w:rsidRPr="00332399">
        <w:rPr>
          <w:rFonts w:ascii="Century Schoolbook" w:hAnsi="Century Schoolbook" w:cs="Times New Roman"/>
          <w:b/>
          <w:sz w:val="24"/>
          <w:szCs w:val="24"/>
        </w:rPr>
        <w:t>Participantes</w:t>
      </w:r>
    </w:p>
    <w:p w14:paraId="7A548029" w14:textId="5C2F54FF" w:rsidR="005E4FA8" w:rsidRPr="00332399" w:rsidRDefault="00D37CF0" w:rsidP="00C06401">
      <w:pPr>
        <w:spacing w:before="80" w:after="0" w:line="360" w:lineRule="auto"/>
        <w:ind w:right="51"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La muestra fue seleccionada mediante un muestreo por bola de nieve y estuvo conformada por 341 sujetos homosexuales cisgénero de Lima Metropolitana - Perú, con edades entre 18 y 45 años (M = 27.6; DE = 9.63). En las características sociodemográficas, el 83.9% está soltero y el 53.4% tiene una educación superior completa, mientras que el 17.9% cumplió la secundaria. Por otro lado, el 76.2% ha expresado abiertamente su orientación sexual y el 52.2% ha sido víctima de discriminación por ello. </w:t>
      </w:r>
    </w:p>
    <w:p w14:paraId="417E9021" w14:textId="7E869822" w:rsidR="00A97081" w:rsidRPr="00332399" w:rsidRDefault="00A97081" w:rsidP="00C06401">
      <w:pPr>
        <w:spacing w:before="200" w:line="360" w:lineRule="auto"/>
        <w:rPr>
          <w:rFonts w:ascii="Century Schoolbook" w:hAnsi="Century Schoolbook" w:cs="Times New Roman"/>
          <w:b/>
          <w:sz w:val="24"/>
          <w:szCs w:val="24"/>
          <w:lang w:val="es-ES"/>
        </w:rPr>
      </w:pPr>
      <w:commentRangeStart w:id="6"/>
      <w:r w:rsidRPr="00332399">
        <w:rPr>
          <w:rFonts w:ascii="Century Schoolbook" w:hAnsi="Century Schoolbook" w:cs="Times New Roman"/>
          <w:b/>
          <w:sz w:val="24"/>
          <w:szCs w:val="24"/>
          <w:lang w:val="es-ES"/>
        </w:rPr>
        <w:t xml:space="preserve">Materiales </w:t>
      </w:r>
      <w:commentRangeEnd w:id="6"/>
      <w:r w:rsidR="00D57FC9">
        <w:rPr>
          <w:rStyle w:val="Refdecomentario"/>
        </w:rPr>
        <w:commentReference w:id="6"/>
      </w:r>
    </w:p>
    <w:p w14:paraId="6D271A52" w14:textId="4212F607" w:rsidR="00A97081" w:rsidRPr="00332399" w:rsidRDefault="00D37CF0" w:rsidP="00C06401">
      <w:pPr>
        <w:spacing w:before="200" w:line="360" w:lineRule="auto"/>
        <w:jc w:val="both"/>
        <w:rPr>
          <w:rFonts w:ascii="Century Schoolbook" w:hAnsi="Century Schoolbook" w:cs="Times New Roman"/>
          <w:b/>
          <w:i/>
          <w:sz w:val="24"/>
          <w:szCs w:val="24"/>
          <w:lang w:val="es-ES"/>
        </w:rPr>
      </w:pPr>
      <w:r w:rsidRPr="00332399">
        <w:rPr>
          <w:rFonts w:ascii="Century Schoolbook" w:hAnsi="Century Schoolbook" w:cs="Times New Roman"/>
          <w:b/>
          <w:i/>
          <w:sz w:val="24"/>
          <w:szCs w:val="24"/>
          <w:lang w:val="es-ES"/>
        </w:rPr>
        <w:t xml:space="preserve">Escala de </w:t>
      </w:r>
      <w:proofErr w:type="spellStart"/>
      <w:r w:rsidRPr="00332399">
        <w:rPr>
          <w:rFonts w:ascii="Century Schoolbook" w:hAnsi="Century Schoolbook" w:cs="Times New Roman"/>
          <w:b/>
          <w:i/>
          <w:sz w:val="24"/>
          <w:szCs w:val="24"/>
          <w:lang w:val="es-ES"/>
        </w:rPr>
        <w:t>Homonegatividad</w:t>
      </w:r>
      <w:proofErr w:type="spellEnd"/>
      <w:r w:rsidRPr="00332399">
        <w:rPr>
          <w:rFonts w:ascii="Century Schoolbook" w:hAnsi="Century Schoolbook" w:cs="Times New Roman"/>
          <w:b/>
          <w:i/>
          <w:sz w:val="24"/>
          <w:szCs w:val="24"/>
          <w:lang w:val="es-ES"/>
        </w:rPr>
        <w:t xml:space="preserve"> Internalizada (IHN-10)</w:t>
      </w:r>
    </w:p>
    <w:p w14:paraId="44F00B23" w14:textId="126099A8" w:rsidR="00A97081" w:rsidRPr="00332399" w:rsidRDefault="00D37CF0" w:rsidP="00C06401">
      <w:pPr>
        <w:spacing w:before="200" w:line="360" w:lineRule="auto"/>
        <w:jc w:val="both"/>
        <w:rPr>
          <w:rFonts w:ascii="Century Schoolbook" w:hAnsi="Century Schoolbook" w:cs="Times New Roman"/>
          <w:sz w:val="24"/>
          <w:szCs w:val="24"/>
          <w:lang w:val="es-ES"/>
        </w:rPr>
      </w:pPr>
      <w:r w:rsidRPr="00332399">
        <w:rPr>
          <w:rFonts w:ascii="Century Schoolbook" w:hAnsi="Century Schoolbook" w:cs="Times New Roman"/>
          <w:sz w:val="24"/>
          <w:szCs w:val="24"/>
          <w:lang w:val="es-ES"/>
        </w:rPr>
        <w:t xml:space="preserve">Es la propuesta de Salirrosas-Cabada et al. (2024) en Perú, quien se orienta de la versión de Moral y Valle (2013). Los autores validaron las propiedades psicométricas del instrumento en el país. La estructura es de tres factores y 10 </w:t>
      </w:r>
      <w:r w:rsidR="00A344A3" w:rsidRPr="00332399">
        <w:rPr>
          <w:rFonts w:ascii="Century Schoolbook" w:hAnsi="Century Schoolbook" w:cs="Times New Roman"/>
          <w:sz w:val="24"/>
          <w:szCs w:val="24"/>
          <w:lang w:val="es-ES"/>
        </w:rPr>
        <w:t>ítems</w:t>
      </w:r>
      <w:r w:rsidRPr="00332399">
        <w:rPr>
          <w:rFonts w:ascii="Century Schoolbook" w:hAnsi="Century Schoolbook" w:cs="Times New Roman"/>
          <w:sz w:val="24"/>
          <w:szCs w:val="24"/>
          <w:lang w:val="es-ES"/>
        </w:rPr>
        <w:t xml:space="preserve"> con una calificación que va en un rango de 1 a 9 </w:t>
      </w:r>
      <w:commentRangeStart w:id="7"/>
      <w:r w:rsidRPr="00332399">
        <w:rPr>
          <w:rFonts w:ascii="Century Schoolbook" w:hAnsi="Century Schoolbook" w:cs="Times New Roman"/>
          <w:sz w:val="24"/>
          <w:szCs w:val="24"/>
          <w:lang w:val="es-ES"/>
        </w:rPr>
        <w:t xml:space="preserve">(1 = “totalmente en desacuerdo”, 3 = “en desacuerdo”, 5 = “ni de acuerdo ni en desacuerdo”, 7 = “de acuerdo” y 9 = “totalmente de acuerdo”). </w:t>
      </w:r>
      <w:commentRangeEnd w:id="7"/>
      <w:r w:rsidR="005E51F0">
        <w:rPr>
          <w:rStyle w:val="Refdecomentario"/>
        </w:rPr>
        <w:commentReference w:id="7"/>
      </w:r>
      <w:r w:rsidRPr="00332399">
        <w:rPr>
          <w:rFonts w:ascii="Century Schoolbook" w:hAnsi="Century Schoolbook" w:cs="Times New Roman"/>
          <w:sz w:val="24"/>
          <w:szCs w:val="24"/>
          <w:lang w:val="es-ES"/>
        </w:rPr>
        <w:t>El instrumento se divide en tres factores: rechazo al propio deseo sexual (α = .68), rechazo hacia la manifestación pública de la homosexualidad (α = .67) e incapacidad para la intimidad con personas homosexuales (α = .76). Este modelo mostró adecuados índices de ajuste (χ²/gl=2.27, SRMR=.04, RMSEA=.07, TPI=.94, TLI=.92 y PCFI=.68).</w:t>
      </w:r>
    </w:p>
    <w:p w14:paraId="48D427EA" w14:textId="113EDFF3" w:rsidR="00A97081" w:rsidRPr="00332399" w:rsidRDefault="00D37CF0" w:rsidP="00C06401">
      <w:pPr>
        <w:spacing w:before="200" w:line="360" w:lineRule="auto"/>
        <w:jc w:val="both"/>
        <w:rPr>
          <w:rFonts w:ascii="Century Schoolbook" w:hAnsi="Century Schoolbook" w:cs="Times New Roman"/>
          <w:b/>
          <w:i/>
          <w:sz w:val="24"/>
          <w:szCs w:val="24"/>
          <w:lang w:val="es-ES"/>
        </w:rPr>
      </w:pPr>
      <w:r w:rsidRPr="00332399">
        <w:rPr>
          <w:rFonts w:ascii="Century Schoolbook" w:hAnsi="Century Schoolbook" w:cs="Times New Roman"/>
          <w:b/>
          <w:i/>
          <w:sz w:val="24"/>
          <w:szCs w:val="24"/>
          <w:lang w:val="es-ES"/>
        </w:rPr>
        <w:t>Escala de Florecimiento</w:t>
      </w:r>
    </w:p>
    <w:p w14:paraId="27B8CD97" w14:textId="4CD8C2F5" w:rsidR="005E4FA8" w:rsidRPr="00332399" w:rsidRDefault="00D37CF0" w:rsidP="00C06401">
      <w:pPr>
        <w:spacing w:before="200" w:line="360" w:lineRule="auto"/>
        <w:ind w:firstLine="357"/>
        <w:jc w:val="both"/>
        <w:rPr>
          <w:rFonts w:ascii="Century Schoolbook" w:hAnsi="Century Schoolbook" w:cs="Times New Roman"/>
          <w:sz w:val="24"/>
          <w:szCs w:val="24"/>
          <w:lang w:val="es-ES"/>
        </w:rPr>
      </w:pPr>
      <w:r w:rsidRPr="00332399">
        <w:rPr>
          <w:rFonts w:ascii="Century Schoolbook" w:hAnsi="Century Schoolbook" w:cs="Times New Roman"/>
          <w:sz w:val="24"/>
          <w:szCs w:val="24"/>
          <w:lang w:val="es-ES"/>
        </w:rPr>
        <w:t xml:space="preserve">Es </w:t>
      </w:r>
      <w:r w:rsidR="00A344A3" w:rsidRPr="00332399">
        <w:rPr>
          <w:rFonts w:ascii="Century Schoolbook" w:hAnsi="Century Schoolbook" w:cs="Times New Roman"/>
          <w:sz w:val="24"/>
          <w:szCs w:val="24"/>
          <w:lang w:val="es-ES"/>
        </w:rPr>
        <w:t xml:space="preserve">analizado en Perú por Autor (2024b) en hombres homosexuales cisgénero. Conformada por 8 ítems y una evaluación autoadministrable, la redacción de los ítems es de forma positiva y el tipo de respuesta es tipo </w:t>
      </w:r>
      <w:proofErr w:type="spellStart"/>
      <w:r w:rsidR="00A344A3" w:rsidRPr="00D57FC9">
        <w:rPr>
          <w:rFonts w:ascii="Century Schoolbook" w:hAnsi="Century Schoolbook" w:cs="Times New Roman"/>
          <w:sz w:val="24"/>
          <w:szCs w:val="24"/>
          <w:highlight w:val="yellow"/>
          <w:lang w:val="es-ES"/>
        </w:rPr>
        <w:t>likert</w:t>
      </w:r>
      <w:proofErr w:type="spellEnd"/>
      <w:r w:rsidR="00A344A3" w:rsidRPr="00332399">
        <w:rPr>
          <w:rFonts w:ascii="Century Schoolbook" w:hAnsi="Century Schoolbook" w:cs="Times New Roman"/>
          <w:sz w:val="24"/>
          <w:szCs w:val="24"/>
          <w:lang w:val="es-ES"/>
        </w:rPr>
        <w:t xml:space="preserve">, mediante un rango de 1 = Muy en desacuerdo y 7 = Muy de acuerdo. La puntuación final es la suma </w:t>
      </w:r>
      <w:r w:rsidR="00A344A3" w:rsidRPr="00332399">
        <w:rPr>
          <w:rFonts w:ascii="Century Schoolbook" w:hAnsi="Century Schoolbook" w:cs="Times New Roman"/>
          <w:sz w:val="24"/>
          <w:szCs w:val="24"/>
          <w:lang w:val="es-ES"/>
        </w:rPr>
        <w:lastRenderedPageBreak/>
        <w:t>de los ítems y un puntaje alto representa mayor presencia del constructo. Se reportaron índices de ajuste aceptables (CFI = .99, TLI = .98, SRMR = .03).</w:t>
      </w:r>
    </w:p>
    <w:p w14:paraId="437B3A0B" w14:textId="270DAA5F" w:rsidR="00D37CF0" w:rsidRPr="00332399" w:rsidRDefault="00D37CF0" w:rsidP="00C06401">
      <w:pPr>
        <w:tabs>
          <w:tab w:val="left" w:pos="810"/>
        </w:tabs>
        <w:spacing w:before="200" w:line="360" w:lineRule="auto"/>
        <w:jc w:val="both"/>
        <w:rPr>
          <w:rFonts w:ascii="Century Schoolbook" w:hAnsi="Century Schoolbook" w:cs="Times New Roman"/>
          <w:b/>
          <w:i/>
          <w:sz w:val="24"/>
          <w:szCs w:val="24"/>
          <w:lang w:val="es-ES"/>
        </w:rPr>
      </w:pPr>
      <w:proofErr w:type="spellStart"/>
      <w:r w:rsidRPr="00332399">
        <w:rPr>
          <w:rFonts w:ascii="Century Schoolbook" w:hAnsi="Century Schoolbook" w:cs="Times New Roman"/>
          <w:b/>
          <w:i/>
          <w:sz w:val="24"/>
          <w:szCs w:val="24"/>
          <w:lang w:val="es-ES"/>
        </w:rPr>
        <w:t>Generalized</w:t>
      </w:r>
      <w:proofErr w:type="spellEnd"/>
      <w:r w:rsidRPr="00332399">
        <w:rPr>
          <w:rFonts w:ascii="Century Schoolbook" w:hAnsi="Century Schoolbook" w:cs="Times New Roman"/>
          <w:b/>
          <w:i/>
          <w:sz w:val="24"/>
          <w:szCs w:val="24"/>
          <w:lang w:val="es-ES"/>
        </w:rPr>
        <w:t xml:space="preserve"> </w:t>
      </w:r>
      <w:proofErr w:type="spellStart"/>
      <w:r w:rsidRPr="00332399">
        <w:rPr>
          <w:rFonts w:ascii="Century Schoolbook" w:hAnsi="Century Schoolbook" w:cs="Times New Roman"/>
          <w:b/>
          <w:i/>
          <w:sz w:val="24"/>
          <w:szCs w:val="24"/>
          <w:lang w:val="es-ES"/>
        </w:rPr>
        <w:t>Anxiety</w:t>
      </w:r>
      <w:proofErr w:type="spellEnd"/>
      <w:r w:rsidRPr="00332399">
        <w:rPr>
          <w:rFonts w:ascii="Century Schoolbook" w:hAnsi="Century Schoolbook" w:cs="Times New Roman"/>
          <w:b/>
          <w:i/>
          <w:sz w:val="24"/>
          <w:szCs w:val="24"/>
          <w:lang w:val="es-ES"/>
        </w:rPr>
        <w:t xml:space="preserve"> Disorder-7 (GAD-7)</w:t>
      </w:r>
    </w:p>
    <w:p w14:paraId="1E3AE7AC" w14:textId="76606BD3" w:rsidR="00D37CF0" w:rsidRPr="00332399" w:rsidRDefault="00D37CF0" w:rsidP="00C06401">
      <w:pPr>
        <w:tabs>
          <w:tab w:val="left" w:pos="810"/>
        </w:tabs>
        <w:spacing w:before="200" w:line="360" w:lineRule="auto"/>
        <w:ind w:firstLine="357"/>
        <w:jc w:val="both"/>
        <w:rPr>
          <w:rFonts w:ascii="Century Schoolbook" w:hAnsi="Century Schoolbook" w:cs="Times New Roman"/>
          <w:sz w:val="24"/>
          <w:szCs w:val="24"/>
          <w:lang w:val="es-ES"/>
        </w:rPr>
      </w:pPr>
      <w:r w:rsidRPr="00332399">
        <w:rPr>
          <w:rFonts w:ascii="Century Schoolbook" w:hAnsi="Century Schoolbook" w:cs="Times New Roman"/>
          <w:sz w:val="24"/>
          <w:szCs w:val="24"/>
          <w:lang w:val="es-ES"/>
        </w:rPr>
        <w:t>Instrumento diseñado con 7 ítems de autoadministración y evalúa los síntomas de ansiedad descritos en el DSM-IV, considerando tanto la molestia como la frecuencia de estos síntomas en las dos semanas previas. Utiliza una escala de calificación tipo Likert: 0 = Nunca, 1 = Varios días, 2 = Más de la mitad de los días y 3 = Casi todos los días, donde puntuaciones más altas indican un mayor nivel de síntomas de ansiedad. En el presente estudio se empleó la adaptación peruana de Franco-Jiménez y Núñez-Magallanes (2022), que reportó una adecuada consistencia interna y demostró una confiabilidad de α = .91 y ω = .91 en este estudio.</w:t>
      </w:r>
    </w:p>
    <w:p w14:paraId="1EBAC691" w14:textId="4865DF51" w:rsidR="00A97081" w:rsidRPr="00332399" w:rsidRDefault="00A97081" w:rsidP="00C06401">
      <w:pPr>
        <w:spacing w:before="200" w:line="360" w:lineRule="auto"/>
        <w:rPr>
          <w:rFonts w:ascii="Century Schoolbook" w:hAnsi="Century Schoolbook" w:cs="Times New Roman"/>
          <w:b/>
          <w:sz w:val="24"/>
          <w:szCs w:val="24"/>
          <w:lang w:val="es-ES"/>
        </w:rPr>
      </w:pPr>
      <w:r w:rsidRPr="00332399">
        <w:rPr>
          <w:rFonts w:ascii="Century Schoolbook" w:hAnsi="Century Schoolbook" w:cs="Times New Roman"/>
          <w:b/>
          <w:sz w:val="24"/>
          <w:szCs w:val="24"/>
          <w:lang w:val="es-ES"/>
        </w:rPr>
        <w:t>Procedimiento</w:t>
      </w:r>
    </w:p>
    <w:p w14:paraId="0734F614" w14:textId="5E501777" w:rsidR="00A97081" w:rsidRPr="00332399" w:rsidRDefault="00D37CF0" w:rsidP="00C06401">
      <w:pPr>
        <w:spacing w:before="200" w:line="360" w:lineRule="auto"/>
        <w:ind w:firstLine="357"/>
        <w:jc w:val="both"/>
        <w:rPr>
          <w:rFonts w:ascii="Century Schoolbook" w:hAnsi="Century Schoolbook" w:cs="Times New Roman"/>
          <w:sz w:val="24"/>
          <w:szCs w:val="24"/>
          <w:lang w:val="es-ES"/>
        </w:rPr>
      </w:pPr>
      <w:r w:rsidRPr="00332399">
        <w:rPr>
          <w:rFonts w:ascii="Century Schoolbook" w:hAnsi="Century Schoolbook" w:cs="Times New Roman"/>
          <w:sz w:val="24"/>
          <w:szCs w:val="24"/>
          <w:lang w:val="es-ES"/>
        </w:rPr>
        <w:t xml:space="preserve">La recolección de datos se realizó de forma virtual mediante un formulario Google. El enlace de este fue publicado y compartido por distintas redes sociales: Grindr, X, Facebook, Instagram, </w:t>
      </w:r>
      <w:proofErr w:type="spellStart"/>
      <w:r w:rsidRPr="00332399">
        <w:rPr>
          <w:rFonts w:ascii="Century Schoolbook" w:hAnsi="Century Schoolbook" w:cs="Times New Roman"/>
          <w:sz w:val="24"/>
          <w:szCs w:val="24"/>
          <w:lang w:val="es-ES"/>
        </w:rPr>
        <w:t>Threads</w:t>
      </w:r>
      <w:proofErr w:type="spellEnd"/>
      <w:r w:rsidRPr="00332399">
        <w:rPr>
          <w:rFonts w:ascii="Century Schoolbook" w:hAnsi="Century Schoolbook" w:cs="Times New Roman"/>
          <w:sz w:val="24"/>
          <w:szCs w:val="24"/>
          <w:lang w:val="es-ES"/>
        </w:rPr>
        <w:t xml:space="preserve"> y WhatsApp. La participación de la muestra fue voluntaria, y se planteó la solicitud en el consentimiento informado, donde se especifica el objetivo del proyecto.</w:t>
      </w:r>
    </w:p>
    <w:p w14:paraId="046FB0C8" w14:textId="77777777" w:rsidR="00A97081" w:rsidRPr="00332399" w:rsidRDefault="00A97081" w:rsidP="00C06401">
      <w:pPr>
        <w:spacing w:before="200" w:line="360" w:lineRule="auto"/>
        <w:rPr>
          <w:rFonts w:ascii="Century Schoolbook" w:hAnsi="Century Schoolbook" w:cs="Times New Roman"/>
          <w:b/>
          <w:sz w:val="24"/>
          <w:szCs w:val="24"/>
        </w:rPr>
      </w:pPr>
      <w:r w:rsidRPr="00332399">
        <w:rPr>
          <w:rFonts w:ascii="Century Schoolbook" w:hAnsi="Century Schoolbook" w:cs="Times New Roman"/>
          <w:b/>
          <w:sz w:val="24"/>
          <w:szCs w:val="24"/>
        </w:rPr>
        <w:t>Análisis de datos</w:t>
      </w:r>
    </w:p>
    <w:p w14:paraId="4BDDABF1" w14:textId="36B9DD29" w:rsidR="00A97081" w:rsidRPr="00332399" w:rsidRDefault="00D37CF0" w:rsidP="00C06401">
      <w:pPr>
        <w:shd w:val="clear" w:color="auto" w:fill="FFFFFF"/>
        <w:spacing w:before="20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Inicialmente, se desarrolló el análisis descriptivo de las variables generales y sus ítems. Se obtuvo la media, desviación estándar, asimetría y curtosis, aquello con el fin de identificar si la distribución es normal. Por otro lado, se analizaron las variables sociodemográficas mediante la frecuencia y porcentajes. La consistencia interna se evaluó mediante los coeficientes omega y alfa, con un mínimo aceptable de .70. Asimismo, también se realizó el modelamiento de ecuaciones estructurales (SEM) para identificar la estructura de la escala. Para los índices de ajuste se usaron: la raíz cuadrada media del error de aproximación (RMSEA), el error cuadrático medio estandarizado (SRMR), el índice de Tucker-Lewis (TLI) y el índice de ajuste comparativo (CFI). También, se analizaron los índices de </w:t>
      </w:r>
      <w:r w:rsidRPr="00332399">
        <w:rPr>
          <w:rFonts w:ascii="Century Schoolbook" w:hAnsi="Century Schoolbook" w:cs="Times New Roman"/>
          <w:sz w:val="24"/>
          <w:szCs w:val="24"/>
        </w:rPr>
        <w:lastRenderedPageBreak/>
        <w:t xml:space="preserve">correlación y modificación de los ítems de cada factor; además, se evaluó la relación con otras variables (ansiedad y florecimiento). Todos los análisis fueron realizados con </w:t>
      </w:r>
      <w:proofErr w:type="spellStart"/>
      <w:r w:rsidRPr="00332399">
        <w:rPr>
          <w:rFonts w:ascii="Century Schoolbook" w:hAnsi="Century Schoolbook" w:cs="Times New Roman"/>
          <w:sz w:val="24"/>
          <w:szCs w:val="24"/>
        </w:rPr>
        <w:t>Jamovi</w:t>
      </w:r>
      <w:proofErr w:type="spellEnd"/>
      <w:r w:rsidRPr="00332399">
        <w:rPr>
          <w:rFonts w:ascii="Century Schoolbook" w:hAnsi="Century Schoolbook" w:cs="Times New Roman"/>
          <w:sz w:val="24"/>
          <w:szCs w:val="24"/>
        </w:rPr>
        <w:t>.</w:t>
      </w:r>
    </w:p>
    <w:p w14:paraId="121A1ABD" w14:textId="77777777" w:rsidR="00A97081" w:rsidRPr="00332399" w:rsidRDefault="00A97081" w:rsidP="00C06401">
      <w:pPr>
        <w:shd w:val="clear" w:color="auto" w:fill="FFFFFF"/>
        <w:spacing w:before="200" w:line="360" w:lineRule="auto"/>
        <w:jc w:val="both"/>
        <w:rPr>
          <w:rFonts w:ascii="Century Schoolbook" w:hAnsi="Century Schoolbook" w:cs="Times New Roman"/>
          <w:b/>
          <w:sz w:val="24"/>
          <w:szCs w:val="24"/>
        </w:rPr>
      </w:pPr>
      <w:r w:rsidRPr="00332399">
        <w:rPr>
          <w:rFonts w:ascii="Century Schoolbook" w:hAnsi="Century Schoolbook" w:cs="Times New Roman"/>
          <w:b/>
          <w:sz w:val="24"/>
          <w:szCs w:val="24"/>
        </w:rPr>
        <w:t>Aspectos éticos</w:t>
      </w:r>
    </w:p>
    <w:p w14:paraId="0E808481" w14:textId="09DCA104" w:rsidR="00A97081" w:rsidRPr="00332399" w:rsidRDefault="00D37CF0" w:rsidP="00C06401">
      <w:pPr>
        <w:shd w:val="clear" w:color="auto" w:fill="FFFFFF"/>
        <w:spacing w:before="20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Los procedimientos del estudio se concibieron de forma anónima y los datos se obtuvieron con el consentimiento informado de los participantes. Los parámetros establecidos en la investigación se rigen bajo el código de ética del Colegio de Psicólogos de Perú (</w:t>
      </w:r>
      <w:proofErr w:type="spellStart"/>
      <w:r w:rsidRPr="00332399">
        <w:rPr>
          <w:rFonts w:ascii="Century Schoolbook" w:hAnsi="Century Schoolbook" w:cs="Times New Roman"/>
          <w:sz w:val="24"/>
          <w:szCs w:val="24"/>
        </w:rPr>
        <w:t>CPsP</w:t>
      </w:r>
      <w:proofErr w:type="spellEnd"/>
      <w:r w:rsidRPr="00332399">
        <w:rPr>
          <w:rFonts w:ascii="Century Schoolbook" w:hAnsi="Century Schoolbook" w:cs="Times New Roman"/>
          <w:sz w:val="24"/>
          <w:szCs w:val="24"/>
        </w:rPr>
        <w:t>, 2017) y el protocolo establecido por la Declaración de Helsinki (</w:t>
      </w:r>
      <w:proofErr w:type="spellStart"/>
      <w:r w:rsidRPr="00332399">
        <w:rPr>
          <w:rFonts w:ascii="Century Schoolbook" w:hAnsi="Century Schoolbook" w:cs="Times New Roman"/>
          <w:sz w:val="24"/>
          <w:szCs w:val="24"/>
        </w:rPr>
        <w:t>World</w:t>
      </w:r>
      <w:proofErr w:type="spellEnd"/>
      <w:r w:rsidRPr="00332399">
        <w:rPr>
          <w:rFonts w:ascii="Century Schoolbook" w:hAnsi="Century Schoolbook" w:cs="Times New Roman"/>
          <w:sz w:val="24"/>
          <w:szCs w:val="24"/>
        </w:rPr>
        <w:t xml:space="preserve"> Medical Association [WMA], 2001).</w:t>
      </w:r>
    </w:p>
    <w:p w14:paraId="7367F30C" w14:textId="77777777" w:rsidR="00A97081" w:rsidRPr="00332399" w:rsidRDefault="00A97081" w:rsidP="00C06401">
      <w:pPr>
        <w:spacing w:after="0" w:line="360" w:lineRule="auto"/>
        <w:rPr>
          <w:rFonts w:ascii="Century Schoolbook" w:hAnsi="Century Schoolbook" w:cs="Times New Roman"/>
          <w:b/>
          <w:sz w:val="24"/>
          <w:szCs w:val="24"/>
        </w:rPr>
      </w:pPr>
      <w:r w:rsidRPr="00332399">
        <w:rPr>
          <w:rFonts w:ascii="Century Schoolbook" w:hAnsi="Century Schoolbook" w:cs="Times New Roman"/>
          <w:b/>
          <w:sz w:val="24"/>
          <w:szCs w:val="24"/>
        </w:rPr>
        <w:t>Resultados</w:t>
      </w:r>
    </w:p>
    <w:p w14:paraId="7BCB969A" w14:textId="77777777" w:rsidR="00D37CF0" w:rsidRPr="00332399" w:rsidRDefault="00D37CF0" w:rsidP="00C06401">
      <w:pPr>
        <w:spacing w:after="0" w:line="360" w:lineRule="auto"/>
        <w:rPr>
          <w:rFonts w:ascii="Century Schoolbook" w:hAnsi="Century Schoolbook" w:cs="Times New Roman"/>
          <w:b/>
          <w:i/>
          <w:sz w:val="24"/>
          <w:szCs w:val="24"/>
        </w:rPr>
      </w:pPr>
      <w:r w:rsidRPr="00332399">
        <w:rPr>
          <w:rFonts w:ascii="Century Schoolbook" w:hAnsi="Century Schoolbook" w:cs="Times New Roman"/>
          <w:b/>
          <w:i/>
          <w:sz w:val="24"/>
          <w:szCs w:val="24"/>
        </w:rPr>
        <w:t>Características descriptivas</w:t>
      </w:r>
    </w:p>
    <w:p w14:paraId="77B993D3" w14:textId="77CA60E0" w:rsidR="00D37CF0" w:rsidRPr="00332399" w:rsidRDefault="00D37CF0" w:rsidP="00C06401">
      <w:pPr>
        <w:spacing w:line="360" w:lineRule="auto"/>
        <w:ind w:firstLine="284"/>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Las medias de los ítems para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oscilan entre 3.39 y 6.62. Para el florecimiento, las medias se encuentran en el rango de 5.20 a 5.49. En cuanto a la ansiedad, las medias fluctúan entre 0.88 y 1.17. En términos de desviación estándar, los puntajes van desde 2.52 hasta 2.97 para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de 1.61 a 1.74 para el florecimiento</w:t>
      </w:r>
      <w:r w:rsidR="00A344A3" w:rsidRPr="00332399">
        <w:rPr>
          <w:rFonts w:ascii="Century Schoolbook" w:hAnsi="Century Schoolbook" w:cs="Times New Roman"/>
          <w:sz w:val="24"/>
          <w:szCs w:val="24"/>
        </w:rPr>
        <w:t xml:space="preserve"> </w:t>
      </w:r>
      <w:r w:rsidRPr="00332399">
        <w:rPr>
          <w:rFonts w:ascii="Century Schoolbook" w:hAnsi="Century Schoolbook" w:cs="Times New Roman"/>
          <w:sz w:val="24"/>
          <w:szCs w:val="24"/>
        </w:rPr>
        <w:t>y de 0.93 a 1.03 para la ansiedad. La asimetría y la curtosis de los datos están por debajo de ±1.5, como se detalla en la Tabla 1.</w:t>
      </w:r>
    </w:p>
    <w:p w14:paraId="6961A1BE" w14:textId="24D0C245"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Tabla 1</w:t>
      </w:r>
    </w:p>
    <w:p w14:paraId="00EDC381" w14:textId="65181E1B"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Análisis descriptivo</w:t>
      </w:r>
    </w:p>
    <w:tbl>
      <w:tblPr>
        <w:tblW w:w="6010" w:type="dxa"/>
        <w:tblLayout w:type="fixed"/>
        <w:tblCellMar>
          <w:left w:w="10" w:type="dxa"/>
          <w:right w:w="10" w:type="dxa"/>
        </w:tblCellMar>
        <w:tblLook w:val="0000" w:firstRow="0" w:lastRow="0" w:firstColumn="0" w:lastColumn="0" w:noHBand="0" w:noVBand="0"/>
      </w:tblPr>
      <w:tblGrid>
        <w:gridCol w:w="2127"/>
        <w:gridCol w:w="780"/>
        <w:gridCol w:w="732"/>
        <w:gridCol w:w="750"/>
        <w:gridCol w:w="856"/>
        <w:gridCol w:w="765"/>
      </w:tblGrid>
      <w:tr w:rsidR="00D37CF0" w:rsidRPr="00332399" w14:paraId="08FE2CEF" w14:textId="77777777" w:rsidTr="00332399">
        <w:trPr>
          <w:trHeight w:val="300"/>
        </w:trPr>
        <w:tc>
          <w:tcPr>
            <w:tcW w:w="2127" w:type="dxa"/>
            <w:tcBorders>
              <w:top w:val="single" w:sz="8" w:space="0" w:color="000000"/>
              <w:bottom w:val="single" w:sz="8" w:space="0" w:color="000000"/>
            </w:tcBorders>
            <w:tcMar>
              <w:top w:w="0" w:type="dxa"/>
              <w:left w:w="108" w:type="dxa"/>
              <w:bottom w:w="0" w:type="dxa"/>
              <w:right w:w="108" w:type="dxa"/>
            </w:tcMar>
          </w:tcPr>
          <w:p w14:paraId="1114071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Variables</w:t>
            </w:r>
          </w:p>
        </w:tc>
        <w:tc>
          <w:tcPr>
            <w:tcW w:w="780" w:type="dxa"/>
            <w:tcBorders>
              <w:top w:val="single" w:sz="8" w:space="0" w:color="000000"/>
              <w:bottom w:val="single" w:sz="8" w:space="0" w:color="000000"/>
            </w:tcBorders>
            <w:tcMar>
              <w:top w:w="0" w:type="dxa"/>
              <w:left w:w="108" w:type="dxa"/>
              <w:bottom w:w="0" w:type="dxa"/>
              <w:right w:w="108" w:type="dxa"/>
            </w:tcMar>
          </w:tcPr>
          <w:p w14:paraId="48606DC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Ítems</w:t>
            </w:r>
          </w:p>
        </w:tc>
        <w:tc>
          <w:tcPr>
            <w:tcW w:w="732" w:type="dxa"/>
            <w:tcBorders>
              <w:top w:val="single" w:sz="8" w:space="0" w:color="000000"/>
              <w:bottom w:val="single" w:sz="8" w:space="0" w:color="000000"/>
            </w:tcBorders>
            <w:tcMar>
              <w:top w:w="0" w:type="dxa"/>
              <w:left w:w="108" w:type="dxa"/>
              <w:bottom w:w="0" w:type="dxa"/>
              <w:right w:w="108" w:type="dxa"/>
            </w:tcMar>
          </w:tcPr>
          <w:p w14:paraId="366000C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w:t>
            </w:r>
          </w:p>
        </w:tc>
        <w:tc>
          <w:tcPr>
            <w:tcW w:w="750" w:type="dxa"/>
            <w:tcBorders>
              <w:top w:val="single" w:sz="8" w:space="0" w:color="000000"/>
              <w:bottom w:val="single" w:sz="8" w:space="0" w:color="000000"/>
            </w:tcBorders>
            <w:tcMar>
              <w:top w:w="0" w:type="dxa"/>
              <w:left w:w="108" w:type="dxa"/>
              <w:bottom w:w="0" w:type="dxa"/>
              <w:right w:w="108" w:type="dxa"/>
            </w:tcMar>
          </w:tcPr>
          <w:p w14:paraId="1C0B70F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DE</w:t>
            </w:r>
          </w:p>
        </w:tc>
        <w:tc>
          <w:tcPr>
            <w:tcW w:w="856" w:type="dxa"/>
            <w:tcBorders>
              <w:top w:val="single" w:sz="8" w:space="0" w:color="000000"/>
              <w:bottom w:val="single" w:sz="8" w:space="0" w:color="000000"/>
            </w:tcBorders>
            <w:tcMar>
              <w:top w:w="0" w:type="dxa"/>
              <w:left w:w="108" w:type="dxa"/>
              <w:bottom w:w="0" w:type="dxa"/>
              <w:right w:w="108" w:type="dxa"/>
            </w:tcMar>
          </w:tcPr>
          <w:p w14:paraId="7DF9B248"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g</w:t>
            </w:r>
            <w:r w:rsidRPr="00332399">
              <w:rPr>
                <w:rFonts w:ascii="Century Schoolbook" w:eastAsia="Calibri" w:hAnsi="Century Schoolbook" w:cs="Times New Roman"/>
                <w:color w:val="000000"/>
                <w:sz w:val="24"/>
                <w:szCs w:val="24"/>
                <w:vertAlign w:val="superscript"/>
              </w:rPr>
              <w:t>1</w:t>
            </w:r>
          </w:p>
        </w:tc>
        <w:tc>
          <w:tcPr>
            <w:tcW w:w="765" w:type="dxa"/>
            <w:tcBorders>
              <w:top w:val="single" w:sz="8" w:space="0" w:color="000000"/>
              <w:bottom w:val="single" w:sz="8" w:space="0" w:color="000000"/>
            </w:tcBorders>
            <w:tcMar>
              <w:top w:w="0" w:type="dxa"/>
              <w:left w:w="108" w:type="dxa"/>
              <w:bottom w:w="0" w:type="dxa"/>
              <w:right w:w="108" w:type="dxa"/>
            </w:tcMar>
          </w:tcPr>
          <w:p w14:paraId="6F396C57" w14:textId="77777777" w:rsidR="00D37CF0" w:rsidRPr="00332399" w:rsidRDefault="00D37CF0" w:rsidP="00C06401">
            <w:pPr>
              <w:spacing w:after="0" w:line="360" w:lineRule="auto"/>
              <w:jc w:val="center"/>
              <w:rPr>
                <w:rFonts w:ascii="Century Schoolbook" w:hAnsi="Century Schoolbook" w:cs="Times New Roman"/>
                <w:sz w:val="24"/>
                <w:szCs w:val="24"/>
              </w:rPr>
            </w:pPr>
            <w:commentRangeStart w:id="8"/>
            <w:r w:rsidRPr="00332399">
              <w:rPr>
                <w:rFonts w:ascii="Century Schoolbook" w:eastAsia="Calibri" w:hAnsi="Century Schoolbook" w:cs="Times New Roman"/>
                <w:color w:val="000000"/>
                <w:sz w:val="24"/>
                <w:szCs w:val="24"/>
              </w:rPr>
              <w:t>g</w:t>
            </w:r>
            <w:r w:rsidRPr="00332399">
              <w:rPr>
                <w:rFonts w:ascii="Century Schoolbook" w:eastAsia="Calibri" w:hAnsi="Century Schoolbook" w:cs="Times New Roman"/>
                <w:color w:val="000000"/>
                <w:sz w:val="24"/>
                <w:szCs w:val="24"/>
                <w:vertAlign w:val="superscript"/>
              </w:rPr>
              <w:t>2</w:t>
            </w:r>
            <w:commentRangeEnd w:id="8"/>
            <w:r w:rsidR="00D57FC9">
              <w:rPr>
                <w:rStyle w:val="Refdecomentario"/>
              </w:rPr>
              <w:commentReference w:id="8"/>
            </w:r>
          </w:p>
        </w:tc>
      </w:tr>
      <w:tr w:rsidR="00D37CF0" w:rsidRPr="00332399" w14:paraId="49430C29" w14:textId="77777777" w:rsidTr="00332399">
        <w:trPr>
          <w:trHeight w:val="300"/>
        </w:trPr>
        <w:tc>
          <w:tcPr>
            <w:tcW w:w="2127" w:type="dxa"/>
            <w:vMerge w:val="restart"/>
            <w:tcBorders>
              <w:top w:val="single" w:sz="8" w:space="0" w:color="000000"/>
            </w:tcBorders>
            <w:tcMar>
              <w:top w:w="0" w:type="dxa"/>
              <w:left w:w="108" w:type="dxa"/>
              <w:bottom w:w="0" w:type="dxa"/>
              <w:right w:w="108" w:type="dxa"/>
            </w:tcMar>
          </w:tcPr>
          <w:p w14:paraId="1A0E92E3"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3C25BB92"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0E99B738"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3A169764"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0FBAAC13"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07681917"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roofErr w:type="spellStart"/>
            <w:r w:rsidRPr="00332399">
              <w:rPr>
                <w:rFonts w:ascii="Century Schoolbook" w:eastAsia="Calibri" w:hAnsi="Century Schoolbook" w:cs="Times New Roman"/>
                <w:color w:val="000000"/>
                <w:sz w:val="24"/>
                <w:szCs w:val="24"/>
              </w:rPr>
              <w:t>Homonegatividad</w:t>
            </w:r>
            <w:proofErr w:type="spellEnd"/>
            <w:r w:rsidRPr="00332399">
              <w:rPr>
                <w:rFonts w:ascii="Century Schoolbook" w:eastAsia="Calibri" w:hAnsi="Century Schoolbook" w:cs="Times New Roman"/>
                <w:color w:val="000000"/>
                <w:sz w:val="24"/>
                <w:szCs w:val="24"/>
              </w:rPr>
              <w:t xml:space="preserve"> Internalizada</w:t>
            </w:r>
          </w:p>
        </w:tc>
        <w:tc>
          <w:tcPr>
            <w:tcW w:w="780" w:type="dxa"/>
            <w:tcBorders>
              <w:top w:val="single" w:sz="8" w:space="0" w:color="000000"/>
            </w:tcBorders>
            <w:tcMar>
              <w:top w:w="0" w:type="dxa"/>
              <w:left w:w="108" w:type="dxa"/>
              <w:bottom w:w="0" w:type="dxa"/>
              <w:right w:w="108" w:type="dxa"/>
            </w:tcMar>
          </w:tcPr>
          <w:p w14:paraId="3F97461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w:t>
            </w:r>
          </w:p>
        </w:tc>
        <w:tc>
          <w:tcPr>
            <w:tcW w:w="732" w:type="dxa"/>
            <w:tcBorders>
              <w:top w:val="single" w:sz="8" w:space="0" w:color="000000"/>
            </w:tcBorders>
            <w:tcMar>
              <w:top w:w="0" w:type="dxa"/>
              <w:left w:w="108" w:type="dxa"/>
              <w:bottom w:w="0" w:type="dxa"/>
              <w:right w:w="108" w:type="dxa"/>
            </w:tcMar>
          </w:tcPr>
          <w:p w14:paraId="2967FBA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6.62</w:t>
            </w:r>
          </w:p>
        </w:tc>
        <w:tc>
          <w:tcPr>
            <w:tcW w:w="750" w:type="dxa"/>
            <w:tcBorders>
              <w:top w:val="single" w:sz="8" w:space="0" w:color="000000"/>
            </w:tcBorders>
            <w:tcMar>
              <w:top w:w="0" w:type="dxa"/>
              <w:left w:w="108" w:type="dxa"/>
              <w:bottom w:w="0" w:type="dxa"/>
              <w:right w:w="108" w:type="dxa"/>
            </w:tcMar>
          </w:tcPr>
          <w:p w14:paraId="152E0AB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2.57</w:t>
            </w:r>
          </w:p>
        </w:tc>
        <w:tc>
          <w:tcPr>
            <w:tcW w:w="856" w:type="dxa"/>
            <w:tcBorders>
              <w:top w:val="single" w:sz="8" w:space="0" w:color="000000"/>
            </w:tcBorders>
            <w:tcMar>
              <w:top w:w="0" w:type="dxa"/>
              <w:left w:w="108" w:type="dxa"/>
              <w:bottom w:w="0" w:type="dxa"/>
              <w:right w:w="108" w:type="dxa"/>
            </w:tcMar>
          </w:tcPr>
          <w:p w14:paraId="225DC82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c>
          <w:tcPr>
            <w:tcW w:w="765" w:type="dxa"/>
            <w:tcBorders>
              <w:top w:val="single" w:sz="8" w:space="0" w:color="000000"/>
            </w:tcBorders>
            <w:tcMar>
              <w:top w:w="0" w:type="dxa"/>
              <w:left w:w="108" w:type="dxa"/>
              <w:bottom w:w="0" w:type="dxa"/>
              <w:right w:w="108" w:type="dxa"/>
            </w:tcMar>
          </w:tcPr>
          <w:p w14:paraId="02D53AF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-.36</w:t>
            </w:r>
          </w:p>
        </w:tc>
      </w:tr>
      <w:tr w:rsidR="00D37CF0" w:rsidRPr="00332399" w14:paraId="6E3C090A"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2C366E38"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3F2F255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w:t>
            </w:r>
          </w:p>
        </w:tc>
        <w:tc>
          <w:tcPr>
            <w:tcW w:w="732" w:type="dxa"/>
            <w:tcMar>
              <w:top w:w="0" w:type="dxa"/>
              <w:left w:w="108" w:type="dxa"/>
              <w:bottom w:w="0" w:type="dxa"/>
              <w:right w:w="108" w:type="dxa"/>
            </w:tcMar>
          </w:tcPr>
          <w:p w14:paraId="0EB89A5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5.42</w:t>
            </w:r>
          </w:p>
        </w:tc>
        <w:tc>
          <w:tcPr>
            <w:tcW w:w="750" w:type="dxa"/>
            <w:tcMar>
              <w:top w:w="0" w:type="dxa"/>
              <w:left w:w="108" w:type="dxa"/>
              <w:bottom w:w="0" w:type="dxa"/>
              <w:right w:w="108" w:type="dxa"/>
            </w:tcMar>
          </w:tcPr>
          <w:p w14:paraId="5B06526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2.76</w:t>
            </w:r>
          </w:p>
        </w:tc>
        <w:tc>
          <w:tcPr>
            <w:tcW w:w="856" w:type="dxa"/>
            <w:tcMar>
              <w:top w:w="0" w:type="dxa"/>
              <w:left w:w="108" w:type="dxa"/>
              <w:bottom w:w="0" w:type="dxa"/>
              <w:right w:w="108" w:type="dxa"/>
            </w:tcMar>
          </w:tcPr>
          <w:p w14:paraId="1C94F05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-.19</w:t>
            </w:r>
          </w:p>
        </w:tc>
        <w:tc>
          <w:tcPr>
            <w:tcW w:w="765" w:type="dxa"/>
            <w:tcMar>
              <w:top w:w="0" w:type="dxa"/>
              <w:left w:w="108" w:type="dxa"/>
              <w:bottom w:w="0" w:type="dxa"/>
              <w:right w:w="108" w:type="dxa"/>
            </w:tcMar>
          </w:tcPr>
          <w:p w14:paraId="18D63F0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-1.20</w:t>
            </w:r>
          </w:p>
        </w:tc>
      </w:tr>
      <w:tr w:rsidR="00D37CF0" w:rsidRPr="00332399" w14:paraId="168FA7A3"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1033B242"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2A4A379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w:t>
            </w:r>
          </w:p>
        </w:tc>
        <w:tc>
          <w:tcPr>
            <w:tcW w:w="732" w:type="dxa"/>
            <w:tcMar>
              <w:top w:w="0" w:type="dxa"/>
              <w:left w:w="108" w:type="dxa"/>
              <w:bottom w:w="0" w:type="dxa"/>
              <w:right w:w="108" w:type="dxa"/>
            </w:tcMar>
          </w:tcPr>
          <w:p w14:paraId="7C4261E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5.93</w:t>
            </w:r>
          </w:p>
        </w:tc>
        <w:tc>
          <w:tcPr>
            <w:tcW w:w="750" w:type="dxa"/>
            <w:tcMar>
              <w:top w:w="0" w:type="dxa"/>
              <w:left w:w="108" w:type="dxa"/>
              <w:bottom w:w="0" w:type="dxa"/>
              <w:right w:w="108" w:type="dxa"/>
            </w:tcMar>
          </w:tcPr>
          <w:p w14:paraId="19B1FB6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2.57</w:t>
            </w:r>
          </w:p>
        </w:tc>
        <w:tc>
          <w:tcPr>
            <w:tcW w:w="856" w:type="dxa"/>
            <w:tcMar>
              <w:top w:w="0" w:type="dxa"/>
              <w:left w:w="108" w:type="dxa"/>
              <w:bottom w:w="0" w:type="dxa"/>
              <w:right w:w="108" w:type="dxa"/>
            </w:tcMar>
          </w:tcPr>
          <w:p w14:paraId="5C05C82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-.44</w:t>
            </w:r>
          </w:p>
        </w:tc>
        <w:tc>
          <w:tcPr>
            <w:tcW w:w="765" w:type="dxa"/>
            <w:tcMar>
              <w:top w:w="0" w:type="dxa"/>
              <w:left w:w="108" w:type="dxa"/>
              <w:bottom w:w="0" w:type="dxa"/>
              <w:right w:w="108" w:type="dxa"/>
            </w:tcMar>
          </w:tcPr>
          <w:p w14:paraId="64DD3D9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-.85</w:t>
            </w:r>
          </w:p>
        </w:tc>
      </w:tr>
      <w:tr w:rsidR="00D37CF0" w:rsidRPr="00332399" w14:paraId="575537B0"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201EE864"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5CC6057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w:t>
            </w:r>
          </w:p>
        </w:tc>
        <w:tc>
          <w:tcPr>
            <w:tcW w:w="732" w:type="dxa"/>
            <w:tcMar>
              <w:top w:w="0" w:type="dxa"/>
              <w:left w:w="108" w:type="dxa"/>
              <w:bottom w:w="0" w:type="dxa"/>
              <w:right w:w="108" w:type="dxa"/>
            </w:tcMar>
          </w:tcPr>
          <w:p w14:paraId="33CB93F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5.07</w:t>
            </w:r>
          </w:p>
        </w:tc>
        <w:tc>
          <w:tcPr>
            <w:tcW w:w="750" w:type="dxa"/>
            <w:tcMar>
              <w:top w:w="0" w:type="dxa"/>
              <w:left w:w="108" w:type="dxa"/>
              <w:bottom w:w="0" w:type="dxa"/>
              <w:right w:w="108" w:type="dxa"/>
            </w:tcMar>
          </w:tcPr>
          <w:p w14:paraId="23F87BB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2.74</w:t>
            </w:r>
          </w:p>
        </w:tc>
        <w:tc>
          <w:tcPr>
            <w:tcW w:w="856" w:type="dxa"/>
            <w:tcMar>
              <w:top w:w="0" w:type="dxa"/>
              <w:left w:w="108" w:type="dxa"/>
              <w:bottom w:w="0" w:type="dxa"/>
              <w:right w:w="108" w:type="dxa"/>
            </w:tcMar>
          </w:tcPr>
          <w:p w14:paraId="0EAF078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.02</w:t>
            </w:r>
          </w:p>
        </w:tc>
        <w:tc>
          <w:tcPr>
            <w:tcW w:w="765" w:type="dxa"/>
            <w:tcMar>
              <w:top w:w="0" w:type="dxa"/>
              <w:left w:w="108" w:type="dxa"/>
              <w:bottom w:w="0" w:type="dxa"/>
              <w:right w:w="108" w:type="dxa"/>
            </w:tcMar>
          </w:tcPr>
          <w:p w14:paraId="6BC09D0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-1.19</w:t>
            </w:r>
          </w:p>
        </w:tc>
      </w:tr>
      <w:tr w:rsidR="00D37CF0" w:rsidRPr="00332399" w14:paraId="1C1F93FB" w14:textId="77777777" w:rsidTr="00332399">
        <w:trPr>
          <w:trHeight w:val="330"/>
        </w:trPr>
        <w:tc>
          <w:tcPr>
            <w:tcW w:w="2127" w:type="dxa"/>
            <w:vMerge/>
            <w:tcBorders>
              <w:top w:val="single" w:sz="8" w:space="0" w:color="000000"/>
            </w:tcBorders>
            <w:tcMar>
              <w:top w:w="0" w:type="dxa"/>
              <w:left w:w="108" w:type="dxa"/>
              <w:bottom w:w="0" w:type="dxa"/>
              <w:right w:w="108" w:type="dxa"/>
            </w:tcMar>
          </w:tcPr>
          <w:p w14:paraId="7B463778"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4FCB034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w:t>
            </w:r>
          </w:p>
        </w:tc>
        <w:tc>
          <w:tcPr>
            <w:tcW w:w="732" w:type="dxa"/>
            <w:tcMar>
              <w:top w:w="0" w:type="dxa"/>
              <w:left w:w="108" w:type="dxa"/>
              <w:bottom w:w="0" w:type="dxa"/>
              <w:right w:w="108" w:type="dxa"/>
            </w:tcMar>
          </w:tcPr>
          <w:p w14:paraId="3A4ACC5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4.90</w:t>
            </w:r>
          </w:p>
        </w:tc>
        <w:tc>
          <w:tcPr>
            <w:tcW w:w="750" w:type="dxa"/>
            <w:tcMar>
              <w:top w:w="0" w:type="dxa"/>
              <w:left w:w="108" w:type="dxa"/>
              <w:bottom w:w="0" w:type="dxa"/>
              <w:right w:w="108" w:type="dxa"/>
            </w:tcMar>
          </w:tcPr>
          <w:p w14:paraId="628DC28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2.97</w:t>
            </w:r>
          </w:p>
        </w:tc>
        <w:tc>
          <w:tcPr>
            <w:tcW w:w="856" w:type="dxa"/>
            <w:tcMar>
              <w:top w:w="0" w:type="dxa"/>
              <w:left w:w="108" w:type="dxa"/>
              <w:bottom w:w="0" w:type="dxa"/>
              <w:right w:w="108" w:type="dxa"/>
            </w:tcMar>
          </w:tcPr>
          <w:p w14:paraId="736C933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.06</w:t>
            </w:r>
          </w:p>
        </w:tc>
        <w:tc>
          <w:tcPr>
            <w:tcW w:w="765" w:type="dxa"/>
            <w:tcMar>
              <w:top w:w="0" w:type="dxa"/>
              <w:left w:w="108" w:type="dxa"/>
              <w:bottom w:w="0" w:type="dxa"/>
              <w:right w:w="108" w:type="dxa"/>
            </w:tcMar>
          </w:tcPr>
          <w:p w14:paraId="2758FE4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-1.34</w:t>
            </w:r>
          </w:p>
        </w:tc>
      </w:tr>
      <w:tr w:rsidR="00D37CF0" w:rsidRPr="00332399" w14:paraId="38B8D91E"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027CC1C7"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0722AE9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w:t>
            </w:r>
          </w:p>
        </w:tc>
        <w:tc>
          <w:tcPr>
            <w:tcW w:w="732" w:type="dxa"/>
            <w:tcMar>
              <w:top w:w="0" w:type="dxa"/>
              <w:left w:w="108" w:type="dxa"/>
              <w:bottom w:w="0" w:type="dxa"/>
              <w:right w:w="108" w:type="dxa"/>
            </w:tcMar>
          </w:tcPr>
          <w:p w14:paraId="58915CC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4.23</w:t>
            </w:r>
          </w:p>
        </w:tc>
        <w:tc>
          <w:tcPr>
            <w:tcW w:w="750" w:type="dxa"/>
            <w:tcMar>
              <w:top w:w="0" w:type="dxa"/>
              <w:left w:w="108" w:type="dxa"/>
              <w:bottom w:w="0" w:type="dxa"/>
              <w:right w:w="108" w:type="dxa"/>
            </w:tcMar>
          </w:tcPr>
          <w:p w14:paraId="5BA23C4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2.77</w:t>
            </w:r>
          </w:p>
        </w:tc>
        <w:tc>
          <w:tcPr>
            <w:tcW w:w="856" w:type="dxa"/>
            <w:tcMar>
              <w:top w:w="0" w:type="dxa"/>
              <w:left w:w="108" w:type="dxa"/>
              <w:bottom w:w="0" w:type="dxa"/>
              <w:right w:w="108" w:type="dxa"/>
            </w:tcMar>
          </w:tcPr>
          <w:p w14:paraId="79EEEDC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.33</w:t>
            </w:r>
          </w:p>
        </w:tc>
        <w:tc>
          <w:tcPr>
            <w:tcW w:w="765" w:type="dxa"/>
            <w:tcMar>
              <w:top w:w="0" w:type="dxa"/>
              <w:left w:w="108" w:type="dxa"/>
              <w:bottom w:w="0" w:type="dxa"/>
              <w:right w:w="108" w:type="dxa"/>
            </w:tcMar>
          </w:tcPr>
          <w:p w14:paraId="5E247C1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-1.14</w:t>
            </w:r>
          </w:p>
        </w:tc>
      </w:tr>
      <w:tr w:rsidR="00D37CF0" w:rsidRPr="00332399" w14:paraId="74C8A3F6"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266E232D"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6A482F9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w:t>
            </w:r>
          </w:p>
        </w:tc>
        <w:tc>
          <w:tcPr>
            <w:tcW w:w="732" w:type="dxa"/>
            <w:tcMar>
              <w:top w:w="0" w:type="dxa"/>
              <w:left w:w="108" w:type="dxa"/>
              <w:bottom w:w="0" w:type="dxa"/>
              <w:right w:w="108" w:type="dxa"/>
            </w:tcMar>
          </w:tcPr>
          <w:p w14:paraId="6E55ACA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3.89</w:t>
            </w:r>
          </w:p>
        </w:tc>
        <w:tc>
          <w:tcPr>
            <w:tcW w:w="750" w:type="dxa"/>
            <w:tcMar>
              <w:top w:w="0" w:type="dxa"/>
              <w:left w:w="108" w:type="dxa"/>
              <w:bottom w:w="0" w:type="dxa"/>
              <w:right w:w="108" w:type="dxa"/>
            </w:tcMar>
          </w:tcPr>
          <w:p w14:paraId="67CE9BB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2.84</w:t>
            </w:r>
          </w:p>
        </w:tc>
        <w:tc>
          <w:tcPr>
            <w:tcW w:w="856" w:type="dxa"/>
            <w:tcMar>
              <w:top w:w="0" w:type="dxa"/>
              <w:left w:w="108" w:type="dxa"/>
              <w:bottom w:w="0" w:type="dxa"/>
              <w:right w:w="108" w:type="dxa"/>
            </w:tcMar>
          </w:tcPr>
          <w:p w14:paraId="7C38120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.56</w:t>
            </w:r>
          </w:p>
        </w:tc>
        <w:tc>
          <w:tcPr>
            <w:tcW w:w="765" w:type="dxa"/>
            <w:tcMar>
              <w:top w:w="0" w:type="dxa"/>
              <w:left w:w="108" w:type="dxa"/>
              <w:bottom w:w="0" w:type="dxa"/>
              <w:right w:w="108" w:type="dxa"/>
            </w:tcMar>
          </w:tcPr>
          <w:p w14:paraId="0E191F0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-1.04</w:t>
            </w:r>
          </w:p>
        </w:tc>
      </w:tr>
      <w:tr w:rsidR="00D37CF0" w:rsidRPr="00332399" w14:paraId="571A6C74"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504712B2"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51A51A1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w:t>
            </w:r>
          </w:p>
        </w:tc>
        <w:tc>
          <w:tcPr>
            <w:tcW w:w="732" w:type="dxa"/>
            <w:tcMar>
              <w:top w:w="0" w:type="dxa"/>
              <w:left w:w="108" w:type="dxa"/>
              <w:bottom w:w="0" w:type="dxa"/>
              <w:right w:w="108" w:type="dxa"/>
            </w:tcMar>
          </w:tcPr>
          <w:p w14:paraId="45E6E5F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4.41</w:t>
            </w:r>
          </w:p>
        </w:tc>
        <w:tc>
          <w:tcPr>
            <w:tcW w:w="750" w:type="dxa"/>
            <w:tcMar>
              <w:top w:w="0" w:type="dxa"/>
              <w:left w:w="108" w:type="dxa"/>
              <w:bottom w:w="0" w:type="dxa"/>
              <w:right w:w="108" w:type="dxa"/>
            </w:tcMar>
          </w:tcPr>
          <w:p w14:paraId="4611B12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2.52</w:t>
            </w:r>
          </w:p>
        </w:tc>
        <w:tc>
          <w:tcPr>
            <w:tcW w:w="856" w:type="dxa"/>
            <w:tcMar>
              <w:top w:w="0" w:type="dxa"/>
              <w:left w:w="108" w:type="dxa"/>
              <w:bottom w:w="0" w:type="dxa"/>
              <w:right w:w="108" w:type="dxa"/>
            </w:tcMar>
          </w:tcPr>
          <w:p w14:paraId="2FC6701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.22</w:t>
            </w:r>
          </w:p>
        </w:tc>
        <w:tc>
          <w:tcPr>
            <w:tcW w:w="765" w:type="dxa"/>
            <w:tcMar>
              <w:top w:w="0" w:type="dxa"/>
              <w:left w:w="108" w:type="dxa"/>
              <w:bottom w:w="0" w:type="dxa"/>
              <w:right w:w="108" w:type="dxa"/>
            </w:tcMar>
          </w:tcPr>
          <w:p w14:paraId="6AC65E3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-.91</w:t>
            </w:r>
          </w:p>
        </w:tc>
      </w:tr>
      <w:tr w:rsidR="00D37CF0" w:rsidRPr="00332399" w14:paraId="00238C74"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2BBF88C4"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6DEE8CE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w:t>
            </w:r>
          </w:p>
        </w:tc>
        <w:tc>
          <w:tcPr>
            <w:tcW w:w="732" w:type="dxa"/>
            <w:tcMar>
              <w:top w:w="0" w:type="dxa"/>
              <w:left w:w="108" w:type="dxa"/>
              <w:bottom w:w="0" w:type="dxa"/>
              <w:right w:w="108" w:type="dxa"/>
            </w:tcMar>
          </w:tcPr>
          <w:p w14:paraId="739FB77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4.17</w:t>
            </w:r>
          </w:p>
        </w:tc>
        <w:tc>
          <w:tcPr>
            <w:tcW w:w="750" w:type="dxa"/>
            <w:tcMar>
              <w:top w:w="0" w:type="dxa"/>
              <w:left w:w="108" w:type="dxa"/>
              <w:bottom w:w="0" w:type="dxa"/>
              <w:right w:w="108" w:type="dxa"/>
            </w:tcMar>
          </w:tcPr>
          <w:p w14:paraId="514DD8F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2.72</w:t>
            </w:r>
          </w:p>
        </w:tc>
        <w:tc>
          <w:tcPr>
            <w:tcW w:w="856" w:type="dxa"/>
            <w:tcMar>
              <w:top w:w="0" w:type="dxa"/>
              <w:left w:w="108" w:type="dxa"/>
              <w:bottom w:w="0" w:type="dxa"/>
              <w:right w:w="108" w:type="dxa"/>
            </w:tcMar>
          </w:tcPr>
          <w:p w14:paraId="328A923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.31</w:t>
            </w:r>
          </w:p>
        </w:tc>
        <w:tc>
          <w:tcPr>
            <w:tcW w:w="765" w:type="dxa"/>
            <w:tcMar>
              <w:top w:w="0" w:type="dxa"/>
              <w:left w:w="108" w:type="dxa"/>
              <w:bottom w:w="0" w:type="dxa"/>
              <w:right w:w="108" w:type="dxa"/>
            </w:tcMar>
          </w:tcPr>
          <w:p w14:paraId="0918312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-1.13</w:t>
            </w:r>
          </w:p>
        </w:tc>
      </w:tr>
      <w:tr w:rsidR="00D37CF0" w:rsidRPr="00332399" w14:paraId="34699C44" w14:textId="77777777" w:rsidTr="00332399">
        <w:trPr>
          <w:trHeight w:val="300"/>
        </w:trPr>
        <w:tc>
          <w:tcPr>
            <w:tcW w:w="2127" w:type="dxa"/>
            <w:vMerge/>
            <w:tcBorders>
              <w:top w:val="single" w:sz="8" w:space="0" w:color="000000"/>
            </w:tcBorders>
            <w:tcMar>
              <w:top w:w="0" w:type="dxa"/>
              <w:left w:w="108" w:type="dxa"/>
              <w:bottom w:w="0" w:type="dxa"/>
              <w:right w:w="108" w:type="dxa"/>
            </w:tcMar>
          </w:tcPr>
          <w:p w14:paraId="6ECFF057"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3A442E4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w:t>
            </w:r>
          </w:p>
        </w:tc>
        <w:tc>
          <w:tcPr>
            <w:tcW w:w="732" w:type="dxa"/>
            <w:tcMar>
              <w:top w:w="0" w:type="dxa"/>
              <w:left w:w="108" w:type="dxa"/>
              <w:bottom w:w="0" w:type="dxa"/>
              <w:right w:w="108" w:type="dxa"/>
            </w:tcMar>
          </w:tcPr>
          <w:p w14:paraId="64AFEE3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3.39</w:t>
            </w:r>
          </w:p>
        </w:tc>
        <w:tc>
          <w:tcPr>
            <w:tcW w:w="750" w:type="dxa"/>
            <w:tcMar>
              <w:top w:w="0" w:type="dxa"/>
              <w:left w:w="108" w:type="dxa"/>
              <w:bottom w:w="0" w:type="dxa"/>
              <w:right w:w="108" w:type="dxa"/>
            </w:tcMar>
          </w:tcPr>
          <w:p w14:paraId="4C53D74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2.67</w:t>
            </w:r>
          </w:p>
        </w:tc>
        <w:tc>
          <w:tcPr>
            <w:tcW w:w="856" w:type="dxa"/>
            <w:tcMar>
              <w:top w:w="0" w:type="dxa"/>
              <w:left w:w="108" w:type="dxa"/>
              <w:bottom w:w="0" w:type="dxa"/>
              <w:right w:w="108" w:type="dxa"/>
            </w:tcMar>
          </w:tcPr>
          <w:p w14:paraId="4776AA5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.81</w:t>
            </w:r>
          </w:p>
        </w:tc>
        <w:tc>
          <w:tcPr>
            <w:tcW w:w="765" w:type="dxa"/>
            <w:tcMar>
              <w:top w:w="0" w:type="dxa"/>
              <w:left w:w="108" w:type="dxa"/>
              <w:bottom w:w="0" w:type="dxa"/>
              <w:right w:w="108" w:type="dxa"/>
            </w:tcMar>
          </w:tcPr>
          <w:p w14:paraId="2E70B20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-.55</w:t>
            </w:r>
          </w:p>
        </w:tc>
      </w:tr>
      <w:tr w:rsidR="00D37CF0" w:rsidRPr="00332399" w14:paraId="66EB73DB" w14:textId="77777777" w:rsidTr="00332399">
        <w:trPr>
          <w:trHeight w:val="300"/>
        </w:trPr>
        <w:tc>
          <w:tcPr>
            <w:tcW w:w="2127" w:type="dxa"/>
            <w:vMerge w:val="restart"/>
            <w:tcMar>
              <w:top w:w="0" w:type="dxa"/>
              <w:left w:w="108" w:type="dxa"/>
              <w:bottom w:w="0" w:type="dxa"/>
              <w:right w:w="108" w:type="dxa"/>
            </w:tcMar>
          </w:tcPr>
          <w:p w14:paraId="529CB69E"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6116A409"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3C9FE8E7"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5DB6B484"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45381A8C"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Florecimiento</w:t>
            </w:r>
          </w:p>
        </w:tc>
        <w:tc>
          <w:tcPr>
            <w:tcW w:w="780" w:type="dxa"/>
            <w:tcMar>
              <w:top w:w="0" w:type="dxa"/>
              <w:left w:w="108" w:type="dxa"/>
              <w:bottom w:w="0" w:type="dxa"/>
              <w:right w:w="108" w:type="dxa"/>
            </w:tcMar>
          </w:tcPr>
          <w:p w14:paraId="145F4A9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w:t>
            </w:r>
          </w:p>
        </w:tc>
        <w:tc>
          <w:tcPr>
            <w:tcW w:w="732" w:type="dxa"/>
            <w:tcMar>
              <w:top w:w="0" w:type="dxa"/>
              <w:left w:w="108" w:type="dxa"/>
              <w:bottom w:w="0" w:type="dxa"/>
              <w:right w:w="108" w:type="dxa"/>
            </w:tcMar>
          </w:tcPr>
          <w:p w14:paraId="26BD8BF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5.41</w:t>
            </w:r>
          </w:p>
        </w:tc>
        <w:tc>
          <w:tcPr>
            <w:tcW w:w="750" w:type="dxa"/>
            <w:tcMar>
              <w:top w:w="0" w:type="dxa"/>
              <w:left w:w="108" w:type="dxa"/>
              <w:bottom w:w="0" w:type="dxa"/>
              <w:right w:w="108" w:type="dxa"/>
            </w:tcMar>
          </w:tcPr>
          <w:p w14:paraId="50AFB8B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1.66</w:t>
            </w:r>
          </w:p>
        </w:tc>
        <w:tc>
          <w:tcPr>
            <w:tcW w:w="856" w:type="dxa"/>
            <w:tcMar>
              <w:top w:w="0" w:type="dxa"/>
              <w:left w:w="108" w:type="dxa"/>
              <w:bottom w:w="0" w:type="dxa"/>
              <w:right w:w="108" w:type="dxa"/>
            </w:tcMar>
          </w:tcPr>
          <w:p w14:paraId="004EBFA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-1.25</w:t>
            </w:r>
          </w:p>
        </w:tc>
        <w:tc>
          <w:tcPr>
            <w:tcW w:w="765" w:type="dxa"/>
            <w:tcMar>
              <w:top w:w="0" w:type="dxa"/>
              <w:left w:w="108" w:type="dxa"/>
              <w:bottom w:w="0" w:type="dxa"/>
              <w:right w:w="108" w:type="dxa"/>
            </w:tcMar>
          </w:tcPr>
          <w:p w14:paraId="681ACB0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r>
      <w:tr w:rsidR="00D37CF0" w:rsidRPr="00332399" w14:paraId="66649BED" w14:textId="77777777" w:rsidTr="00332399">
        <w:trPr>
          <w:trHeight w:val="300"/>
        </w:trPr>
        <w:tc>
          <w:tcPr>
            <w:tcW w:w="2127" w:type="dxa"/>
            <w:vMerge/>
            <w:tcMar>
              <w:top w:w="0" w:type="dxa"/>
              <w:left w:w="108" w:type="dxa"/>
              <w:bottom w:w="0" w:type="dxa"/>
              <w:right w:w="108" w:type="dxa"/>
            </w:tcMar>
          </w:tcPr>
          <w:p w14:paraId="71C87624"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32693E4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w:t>
            </w:r>
          </w:p>
        </w:tc>
        <w:tc>
          <w:tcPr>
            <w:tcW w:w="732" w:type="dxa"/>
            <w:tcMar>
              <w:top w:w="0" w:type="dxa"/>
              <w:left w:w="108" w:type="dxa"/>
              <w:bottom w:w="0" w:type="dxa"/>
              <w:right w:w="108" w:type="dxa"/>
            </w:tcMar>
          </w:tcPr>
          <w:p w14:paraId="0A865B7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5.28</w:t>
            </w:r>
          </w:p>
        </w:tc>
        <w:tc>
          <w:tcPr>
            <w:tcW w:w="750" w:type="dxa"/>
            <w:tcMar>
              <w:top w:w="0" w:type="dxa"/>
              <w:left w:w="108" w:type="dxa"/>
              <w:bottom w:w="0" w:type="dxa"/>
              <w:right w:w="108" w:type="dxa"/>
            </w:tcMar>
          </w:tcPr>
          <w:p w14:paraId="5F70D1B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1.70</w:t>
            </w:r>
          </w:p>
        </w:tc>
        <w:tc>
          <w:tcPr>
            <w:tcW w:w="856" w:type="dxa"/>
            <w:tcMar>
              <w:top w:w="0" w:type="dxa"/>
              <w:left w:w="108" w:type="dxa"/>
              <w:bottom w:w="0" w:type="dxa"/>
              <w:right w:w="108" w:type="dxa"/>
            </w:tcMar>
          </w:tcPr>
          <w:p w14:paraId="062ACE6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-.93</w:t>
            </w:r>
          </w:p>
        </w:tc>
        <w:tc>
          <w:tcPr>
            <w:tcW w:w="765" w:type="dxa"/>
            <w:tcMar>
              <w:top w:w="0" w:type="dxa"/>
              <w:left w:w="108" w:type="dxa"/>
              <w:bottom w:w="0" w:type="dxa"/>
              <w:right w:w="108" w:type="dxa"/>
            </w:tcMar>
          </w:tcPr>
          <w:p w14:paraId="333DD6C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-.07</w:t>
            </w:r>
          </w:p>
        </w:tc>
      </w:tr>
      <w:tr w:rsidR="00D37CF0" w:rsidRPr="00332399" w14:paraId="267F73D1" w14:textId="77777777" w:rsidTr="00332399">
        <w:trPr>
          <w:trHeight w:val="300"/>
        </w:trPr>
        <w:tc>
          <w:tcPr>
            <w:tcW w:w="2127" w:type="dxa"/>
            <w:vMerge/>
            <w:tcMar>
              <w:top w:w="0" w:type="dxa"/>
              <w:left w:w="108" w:type="dxa"/>
              <w:bottom w:w="0" w:type="dxa"/>
              <w:right w:w="108" w:type="dxa"/>
            </w:tcMar>
          </w:tcPr>
          <w:p w14:paraId="3CBECFEE"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7F3BA87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w:t>
            </w:r>
          </w:p>
        </w:tc>
        <w:tc>
          <w:tcPr>
            <w:tcW w:w="732" w:type="dxa"/>
            <w:tcMar>
              <w:top w:w="0" w:type="dxa"/>
              <w:left w:w="108" w:type="dxa"/>
              <w:bottom w:w="0" w:type="dxa"/>
              <w:right w:w="108" w:type="dxa"/>
            </w:tcMar>
          </w:tcPr>
          <w:p w14:paraId="2EBAB04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5.37</w:t>
            </w:r>
          </w:p>
        </w:tc>
        <w:tc>
          <w:tcPr>
            <w:tcW w:w="750" w:type="dxa"/>
            <w:tcMar>
              <w:top w:w="0" w:type="dxa"/>
              <w:left w:w="108" w:type="dxa"/>
              <w:bottom w:w="0" w:type="dxa"/>
              <w:right w:w="108" w:type="dxa"/>
            </w:tcMar>
          </w:tcPr>
          <w:p w14:paraId="4B086AF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1.67</w:t>
            </w:r>
          </w:p>
        </w:tc>
        <w:tc>
          <w:tcPr>
            <w:tcW w:w="856" w:type="dxa"/>
            <w:tcMar>
              <w:top w:w="0" w:type="dxa"/>
              <w:left w:w="108" w:type="dxa"/>
              <w:bottom w:w="0" w:type="dxa"/>
              <w:right w:w="108" w:type="dxa"/>
            </w:tcMar>
          </w:tcPr>
          <w:p w14:paraId="1CFCEFF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-1.11</w:t>
            </w:r>
          </w:p>
        </w:tc>
        <w:tc>
          <w:tcPr>
            <w:tcW w:w="765" w:type="dxa"/>
            <w:tcMar>
              <w:top w:w="0" w:type="dxa"/>
              <w:left w:w="108" w:type="dxa"/>
              <w:bottom w:w="0" w:type="dxa"/>
              <w:right w:w="108" w:type="dxa"/>
            </w:tcMar>
          </w:tcPr>
          <w:p w14:paraId="2E8E5C8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.37</w:t>
            </w:r>
          </w:p>
        </w:tc>
      </w:tr>
      <w:tr w:rsidR="00D37CF0" w:rsidRPr="00332399" w14:paraId="58E20554" w14:textId="77777777" w:rsidTr="00332399">
        <w:trPr>
          <w:trHeight w:val="300"/>
        </w:trPr>
        <w:tc>
          <w:tcPr>
            <w:tcW w:w="2127" w:type="dxa"/>
            <w:vMerge/>
            <w:tcMar>
              <w:top w:w="0" w:type="dxa"/>
              <w:left w:w="108" w:type="dxa"/>
              <w:bottom w:w="0" w:type="dxa"/>
              <w:right w:w="108" w:type="dxa"/>
            </w:tcMar>
          </w:tcPr>
          <w:p w14:paraId="028AE030"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24C73AF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w:t>
            </w:r>
          </w:p>
        </w:tc>
        <w:tc>
          <w:tcPr>
            <w:tcW w:w="732" w:type="dxa"/>
            <w:tcMar>
              <w:top w:w="0" w:type="dxa"/>
              <w:left w:w="108" w:type="dxa"/>
              <w:bottom w:w="0" w:type="dxa"/>
              <w:right w:w="108" w:type="dxa"/>
            </w:tcMar>
          </w:tcPr>
          <w:p w14:paraId="0A2D47E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5.20</w:t>
            </w:r>
          </w:p>
        </w:tc>
        <w:tc>
          <w:tcPr>
            <w:tcW w:w="750" w:type="dxa"/>
            <w:tcMar>
              <w:top w:w="0" w:type="dxa"/>
              <w:left w:w="108" w:type="dxa"/>
              <w:bottom w:w="0" w:type="dxa"/>
              <w:right w:w="108" w:type="dxa"/>
            </w:tcMar>
          </w:tcPr>
          <w:p w14:paraId="062B7E2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1.70</w:t>
            </w:r>
          </w:p>
        </w:tc>
        <w:tc>
          <w:tcPr>
            <w:tcW w:w="856" w:type="dxa"/>
            <w:tcMar>
              <w:top w:w="0" w:type="dxa"/>
              <w:left w:w="108" w:type="dxa"/>
              <w:bottom w:w="0" w:type="dxa"/>
              <w:right w:w="108" w:type="dxa"/>
            </w:tcMar>
          </w:tcPr>
          <w:p w14:paraId="4D93318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-.893</w:t>
            </w:r>
          </w:p>
        </w:tc>
        <w:tc>
          <w:tcPr>
            <w:tcW w:w="765" w:type="dxa"/>
            <w:tcMar>
              <w:top w:w="0" w:type="dxa"/>
              <w:left w:w="108" w:type="dxa"/>
              <w:bottom w:w="0" w:type="dxa"/>
              <w:right w:w="108" w:type="dxa"/>
            </w:tcMar>
          </w:tcPr>
          <w:p w14:paraId="22DED01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-.09</w:t>
            </w:r>
          </w:p>
        </w:tc>
      </w:tr>
      <w:tr w:rsidR="00D37CF0" w:rsidRPr="00332399" w14:paraId="54D704F6" w14:textId="77777777" w:rsidTr="00332399">
        <w:trPr>
          <w:trHeight w:val="300"/>
        </w:trPr>
        <w:tc>
          <w:tcPr>
            <w:tcW w:w="2127" w:type="dxa"/>
            <w:vMerge/>
            <w:tcMar>
              <w:top w:w="0" w:type="dxa"/>
              <w:left w:w="108" w:type="dxa"/>
              <w:bottom w:w="0" w:type="dxa"/>
              <w:right w:w="108" w:type="dxa"/>
            </w:tcMar>
          </w:tcPr>
          <w:p w14:paraId="71F354D5"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1F0A701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w:t>
            </w:r>
          </w:p>
        </w:tc>
        <w:tc>
          <w:tcPr>
            <w:tcW w:w="732" w:type="dxa"/>
            <w:tcMar>
              <w:top w:w="0" w:type="dxa"/>
              <w:left w:w="108" w:type="dxa"/>
              <w:bottom w:w="0" w:type="dxa"/>
              <w:right w:w="108" w:type="dxa"/>
            </w:tcMar>
          </w:tcPr>
          <w:p w14:paraId="6E7B980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5.49</w:t>
            </w:r>
          </w:p>
        </w:tc>
        <w:tc>
          <w:tcPr>
            <w:tcW w:w="750" w:type="dxa"/>
            <w:tcMar>
              <w:top w:w="0" w:type="dxa"/>
              <w:left w:w="108" w:type="dxa"/>
              <w:bottom w:w="0" w:type="dxa"/>
              <w:right w:w="108" w:type="dxa"/>
            </w:tcMar>
          </w:tcPr>
          <w:p w14:paraId="1684CED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1.67</w:t>
            </w:r>
          </w:p>
        </w:tc>
        <w:tc>
          <w:tcPr>
            <w:tcW w:w="856" w:type="dxa"/>
            <w:tcMar>
              <w:top w:w="0" w:type="dxa"/>
              <w:left w:w="108" w:type="dxa"/>
              <w:bottom w:w="0" w:type="dxa"/>
              <w:right w:w="108" w:type="dxa"/>
            </w:tcMar>
          </w:tcPr>
          <w:p w14:paraId="7FFFD6D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-1.28</w:t>
            </w:r>
          </w:p>
        </w:tc>
        <w:tc>
          <w:tcPr>
            <w:tcW w:w="765" w:type="dxa"/>
            <w:tcMar>
              <w:top w:w="0" w:type="dxa"/>
              <w:left w:w="108" w:type="dxa"/>
              <w:bottom w:w="0" w:type="dxa"/>
              <w:right w:w="108" w:type="dxa"/>
            </w:tcMar>
          </w:tcPr>
          <w:p w14:paraId="14E29E1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.79</w:t>
            </w:r>
          </w:p>
        </w:tc>
      </w:tr>
      <w:tr w:rsidR="00D37CF0" w:rsidRPr="00332399" w14:paraId="0353ED30" w14:textId="77777777" w:rsidTr="00332399">
        <w:trPr>
          <w:trHeight w:val="300"/>
        </w:trPr>
        <w:tc>
          <w:tcPr>
            <w:tcW w:w="2127" w:type="dxa"/>
            <w:vMerge/>
            <w:tcMar>
              <w:top w:w="0" w:type="dxa"/>
              <w:left w:w="108" w:type="dxa"/>
              <w:bottom w:w="0" w:type="dxa"/>
              <w:right w:w="108" w:type="dxa"/>
            </w:tcMar>
          </w:tcPr>
          <w:p w14:paraId="57E624D6"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33200CE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w:t>
            </w:r>
          </w:p>
        </w:tc>
        <w:tc>
          <w:tcPr>
            <w:tcW w:w="732" w:type="dxa"/>
            <w:tcMar>
              <w:top w:w="0" w:type="dxa"/>
              <w:left w:w="108" w:type="dxa"/>
              <w:bottom w:w="0" w:type="dxa"/>
              <w:right w:w="108" w:type="dxa"/>
            </w:tcMar>
          </w:tcPr>
          <w:p w14:paraId="6F9C71C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5.33</w:t>
            </w:r>
          </w:p>
        </w:tc>
        <w:tc>
          <w:tcPr>
            <w:tcW w:w="750" w:type="dxa"/>
            <w:tcMar>
              <w:top w:w="0" w:type="dxa"/>
              <w:left w:w="108" w:type="dxa"/>
              <w:bottom w:w="0" w:type="dxa"/>
              <w:right w:w="108" w:type="dxa"/>
            </w:tcMar>
          </w:tcPr>
          <w:p w14:paraId="5FC5DA6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1.68</w:t>
            </w:r>
          </w:p>
        </w:tc>
        <w:tc>
          <w:tcPr>
            <w:tcW w:w="856" w:type="dxa"/>
            <w:tcMar>
              <w:top w:w="0" w:type="dxa"/>
              <w:left w:w="108" w:type="dxa"/>
              <w:bottom w:w="0" w:type="dxa"/>
              <w:right w:w="108" w:type="dxa"/>
            </w:tcMar>
          </w:tcPr>
          <w:p w14:paraId="445865A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-1.17</w:t>
            </w:r>
          </w:p>
        </w:tc>
        <w:tc>
          <w:tcPr>
            <w:tcW w:w="765" w:type="dxa"/>
            <w:tcMar>
              <w:top w:w="0" w:type="dxa"/>
              <w:left w:w="108" w:type="dxa"/>
              <w:bottom w:w="0" w:type="dxa"/>
              <w:right w:w="108" w:type="dxa"/>
            </w:tcMar>
          </w:tcPr>
          <w:p w14:paraId="0E4189E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.58</w:t>
            </w:r>
          </w:p>
        </w:tc>
      </w:tr>
      <w:tr w:rsidR="00D37CF0" w:rsidRPr="00332399" w14:paraId="2173F145" w14:textId="77777777" w:rsidTr="00332399">
        <w:trPr>
          <w:trHeight w:val="300"/>
        </w:trPr>
        <w:tc>
          <w:tcPr>
            <w:tcW w:w="2127" w:type="dxa"/>
            <w:vMerge/>
            <w:tcMar>
              <w:top w:w="0" w:type="dxa"/>
              <w:left w:w="108" w:type="dxa"/>
              <w:bottom w:w="0" w:type="dxa"/>
              <w:right w:w="108" w:type="dxa"/>
            </w:tcMar>
          </w:tcPr>
          <w:p w14:paraId="45BEF97E"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4A76335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w:t>
            </w:r>
          </w:p>
        </w:tc>
        <w:tc>
          <w:tcPr>
            <w:tcW w:w="732" w:type="dxa"/>
            <w:tcMar>
              <w:top w:w="0" w:type="dxa"/>
              <w:left w:w="108" w:type="dxa"/>
              <w:bottom w:w="0" w:type="dxa"/>
              <w:right w:w="108" w:type="dxa"/>
            </w:tcMar>
          </w:tcPr>
          <w:p w14:paraId="339B5B0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5.31</w:t>
            </w:r>
          </w:p>
        </w:tc>
        <w:tc>
          <w:tcPr>
            <w:tcW w:w="750" w:type="dxa"/>
            <w:tcMar>
              <w:top w:w="0" w:type="dxa"/>
              <w:left w:w="108" w:type="dxa"/>
              <w:bottom w:w="0" w:type="dxa"/>
              <w:right w:w="108" w:type="dxa"/>
            </w:tcMar>
          </w:tcPr>
          <w:p w14:paraId="6A00FD8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1.74</w:t>
            </w:r>
          </w:p>
        </w:tc>
        <w:tc>
          <w:tcPr>
            <w:tcW w:w="856" w:type="dxa"/>
            <w:tcMar>
              <w:top w:w="0" w:type="dxa"/>
              <w:left w:w="108" w:type="dxa"/>
              <w:bottom w:w="0" w:type="dxa"/>
              <w:right w:w="108" w:type="dxa"/>
            </w:tcMar>
          </w:tcPr>
          <w:p w14:paraId="430A1A6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-1.04</w:t>
            </w:r>
          </w:p>
        </w:tc>
        <w:tc>
          <w:tcPr>
            <w:tcW w:w="765" w:type="dxa"/>
            <w:tcMar>
              <w:top w:w="0" w:type="dxa"/>
              <w:left w:w="108" w:type="dxa"/>
              <w:bottom w:w="0" w:type="dxa"/>
              <w:right w:w="108" w:type="dxa"/>
            </w:tcMar>
          </w:tcPr>
          <w:p w14:paraId="75A3A16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.20</w:t>
            </w:r>
          </w:p>
        </w:tc>
      </w:tr>
      <w:tr w:rsidR="00D37CF0" w:rsidRPr="00332399" w14:paraId="4DDB28B5" w14:textId="77777777" w:rsidTr="00332399">
        <w:trPr>
          <w:trHeight w:val="300"/>
        </w:trPr>
        <w:tc>
          <w:tcPr>
            <w:tcW w:w="2127" w:type="dxa"/>
            <w:vMerge/>
            <w:tcMar>
              <w:top w:w="0" w:type="dxa"/>
              <w:left w:w="108" w:type="dxa"/>
              <w:bottom w:w="0" w:type="dxa"/>
              <w:right w:w="108" w:type="dxa"/>
            </w:tcMar>
          </w:tcPr>
          <w:p w14:paraId="77FB997D"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0A3C3DC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w:t>
            </w:r>
          </w:p>
        </w:tc>
        <w:tc>
          <w:tcPr>
            <w:tcW w:w="732" w:type="dxa"/>
            <w:tcMar>
              <w:top w:w="0" w:type="dxa"/>
              <w:left w:w="108" w:type="dxa"/>
              <w:bottom w:w="0" w:type="dxa"/>
              <w:right w:w="108" w:type="dxa"/>
            </w:tcMar>
          </w:tcPr>
          <w:p w14:paraId="441BE92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5.37</w:t>
            </w:r>
          </w:p>
        </w:tc>
        <w:tc>
          <w:tcPr>
            <w:tcW w:w="750" w:type="dxa"/>
            <w:tcMar>
              <w:top w:w="0" w:type="dxa"/>
              <w:left w:w="108" w:type="dxa"/>
              <w:bottom w:w="0" w:type="dxa"/>
              <w:right w:w="108" w:type="dxa"/>
            </w:tcMar>
          </w:tcPr>
          <w:p w14:paraId="7DCCEE9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1.61</w:t>
            </w:r>
          </w:p>
        </w:tc>
        <w:tc>
          <w:tcPr>
            <w:tcW w:w="856" w:type="dxa"/>
            <w:tcMar>
              <w:top w:w="0" w:type="dxa"/>
              <w:left w:w="108" w:type="dxa"/>
              <w:bottom w:w="0" w:type="dxa"/>
              <w:right w:w="108" w:type="dxa"/>
            </w:tcMar>
          </w:tcPr>
          <w:p w14:paraId="39E9D3C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-1.15</w:t>
            </w:r>
          </w:p>
        </w:tc>
        <w:tc>
          <w:tcPr>
            <w:tcW w:w="765" w:type="dxa"/>
            <w:tcMar>
              <w:top w:w="0" w:type="dxa"/>
              <w:left w:w="108" w:type="dxa"/>
              <w:bottom w:w="0" w:type="dxa"/>
              <w:right w:w="108" w:type="dxa"/>
            </w:tcMar>
          </w:tcPr>
          <w:p w14:paraId="5A6E205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.68</w:t>
            </w:r>
          </w:p>
        </w:tc>
      </w:tr>
      <w:tr w:rsidR="00D37CF0" w:rsidRPr="00332399" w14:paraId="472E4C6D" w14:textId="77777777" w:rsidTr="00332399">
        <w:trPr>
          <w:trHeight w:val="300"/>
        </w:trPr>
        <w:tc>
          <w:tcPr>
            <w:tcW w:w="2127" w:type="dxa"/>
            <w:vMerge w:val="restart"/>
            <w:tcBorders>
              <w:bottom w:val="single" w:sz="8" w:space="0" w:color="000000"/>
            </w:tcBorders>
            <w:tcMar>
              <w:top w:w="0" w:type="dxa"/>
              <w:left w:w="108" w:type="dxa"/>
              <w:bottom w:w="0" w:type="dxa"/>
              <w:right w:w="108" w:type="dxa"/>
            </w:tcMar>
          </w:tcPr>
          <w:p w14:paraId="6BB57AB2"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2C3101CA"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6F1E776D"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7ED870A7"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5066B1C6"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Ansiedad</w:t>
            </w:r>
          </w:p>
        </w:tc>
        <w:tc>
          <w:tcPr>
            <w:tcW w:w="780" w:type="dxa"/>
            <w:tcMar>
              <w:top w:w="0" w:type="dxa"/>
              <w:left w:w="108" w:type="dxa"/>
              <w:bottom w:w="0" w:type="dxa"/>
              <w:right w:w="108" w:type="dxa"/>
            </w:tcMar>
          </w:tcPr>
          <w:p w14:paraId="0EBEE38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w:t>
            </w:r>
          </w:p>
        </w:tc>
        <w:tc>
          <w:tcPr>
            <w:tcW w:w="732" w:type="dxa"/>
            <w:tcMar>
              <w:top w:w="0" w:type="dxa"/>
              <w:left w:w="108" w:type="dxa"/>
              <w:bottom w:w="0" w:type="dxa"/>
              <w:right w:w="108" w:type="dxa"/>
            </w:tcMar>
          </w:tcPr>
          <w:p w14:paraId="4C2C844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.97</w:t>
            </w:r>
          </w:p>
        </w:tc>
        <w:tc>
          <w:tcPr>
            <w:tcW w:w="750" w:type="dxa"/>
            <w:tcMar>
              <w:top w:w="0" w:type="dxa"/>
              <w:left w:w="108" w:type="dxa"/>
              <w:bottom w:w="0" w:type="dxa"/>
              <w:right w:w="108" w:type="dxa"/>
            </w:tcMar>
          </w:tcPr>
          <w:p w14:paraId="62DB220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.95</w:t>
            </w:r>
          </w:p>
        </w:tc>
        <w:tc>
          <w:tcPr>
            <w:tcW w:w="856" w:type="dxa"/>
            <w:tcMar>
              <w:top w:w="0" w:type="dxa"/>
              <w:left w:w="108" w:type="dxa"/>
              <w:bottom w:w="0" w:type="dxa"/>
              <w:right w:w="108" w:type="dxa"/>
            </w:tcMar>
          </w:tcPr>
          <w:p w14:paraId="0BB66ED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.73</w:t>
            </w:r>
          </w:p>
        </w:tc>
        <w:tc>
          <w:tcPr>
            <w:tcW w:w="765" w:type="dxa"/>
            <w:tcMar>
              <w:top w:w="0" w:type="dxa"/>
              <w:left w:w="108" w:type="dxa"/>
              <w:bottom w:w="0" w:type="dxa"/>
              <w:right w:w="108" w:type="dxa"/>
            </w:tcMar>
          </w:tcPr>
          <w:p w14:paraId="70C8172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-.39</w:t>
            </w:r>
          </w:p>
        </w:tc>
      </w:tr>
      <w:tr w:rsidR="00D37CF0" w:rsidRPr="00332399" w14:paraId="52D7F011" w14:textId="77777777" w:rsidTr="00332399">
        <w:trPr>
          <w:trHeight w:val="300"/>
        </w:trPr>
        <w:tc>
          <w:tcPr>
            <w:tcW w:w="2127" w:type="dxa"/>
            <w:vMerge/>
            <w:tcBorders>
              <w:bottom w:val="single" w:sz="8" w:space="0" w:color="000000"/>
            </w:tcBorders>
            <w:tcMar>
              <w:top w:w="0" w:type="dxa"/>
              <w:left w:w="108" w:type="dxa"/>
              <w:bottom w:w="0" w:type="dxa"/>
              <w:right w:w="108" w:type="dxa"/>
            </w:tcMar>
          </w:tcPr>
          <w:p w14:paraId="5636D03B"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0FDF511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w:t>
            </w:r>
          </w:p>
        </w:tc>
        <w:tc>
          <w:tcPr>
            <w:tcW w:w="732" w:type="dxa"/>
            <w:tcMar>
              <w:top w:w="0" w:type="dxa"/>
              <w:left w:w="108" w:type="dxa"/>
              <w:bottom w:w="0" w:type="dxa"/>
              <w:right w:w="108" w:type="dxa"/>
            </w:tcMar>
          </w:tcPr>
          <w:p w14:paraId="053670D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.97</w:t>
            </w:r>
          </w:p>
        </w:tc>
        <w:tc>
          <w:tcPr>
            <w:tcW w:w="750" w:type="dxa"/>
            <w:tcMar>
              <w:top w:w="0" w:type="dxa"/>
              <w:left w:w="108" w:type="dxa"/>
              <w:bottom w:w="0" w:type="dxa"/>
              <w:right w:w="108" w:type="dxa"/>
            </w:tcMar>
          </w:tcPr>
          <w:p w14:paraId="1492C1C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.96</w:t>
            </w:r>
          </w:p>
        </w:tc>
        <w:tc>
          <w:tcPr>
            <w:tcW w:w="856" w:type="dxa"/>
            <w:tcMar>
              <w:top w:w="0" w:type="dxa"/>
              <w:left w:w="108" w:type="dxa"/>
              <w:bottom w:w="0" w:type="dxa"/>
              <w:right w:w="108" w:type="dxa"/>
            </w:tcMar>
          </w:tcPr>
          <w:p w14:paraId="5D204CC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765" w:type="dxa"/>
            <w:tcMar>
              <w:top w:w="0" w:type="dxa"/>
              <w:left w:w="108" w:type="dxa"/>
              <w:bottom w:w="0" w:type="dxa"/>
              <w:right w:w="108" w:type="dxa"/>
            </w:tcMar>
          </w:tcPr>
          <w:p w14:paraId="3B2D45B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-.54</w:t>
            </w:r>
          </w:p>
        </w:tc>
      </w:tr>
      <w:tr w:rsidR="00D37CF0" w:rsidRPr="00332399" w14:paraId="2940D519" w14:textId="77777777" w:rsidTr="00332399">
        <w:trPr>
          <w:trHeight w:val="300"/>
        </w:trPr>
        <w:tc>
          <w:tcPr>
            <w:tcW w:w="2127" w:type="dxa"/>
            <w:vMerge/>
            <w:tcBorders>
              <w:bottom w:val="single" w:sz="8" w:space="0" w:color="000000"/>
            </w:tcBorders>
            <w:tcMar>
              <w:top w:w="0" w:type="dxa"/>
              <w:left w:w="108" w:type="dxa"/>
              <w:bottom w:w="0" w:type="dxa"/>
              <w:right w:w="108" w:type="dxa"/>
            </w:tcMar>
          </w:tcPr>
          <w:p w14:paraId="4121A8AC"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4350A8E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w:t>
            </w:r>
          </w:p>
        </w:tc>
        <w:tc>
          <w:tcPr>
            <w:tcW w:w="732" w:type="dxa"/>
            <w:tcMar>
              <w:top w:w="0" w:type="dxa"/>
              <w:left w:w="108" w:type="dxa"/>
              <w:bottom w:w="0" w:type="dxa"/>
              <w:right w:w="108" w:type="dxa"/>
            </w:tcMar>
          </w:tcPr>
          <w:p w14:paraId="086D48C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1.09</w:t>
            </w:r>
          </w:p>
        </w:tc>
        <w:tc>
          <w:tcPr>
            <w:tcW w:w="750" w:type="dxa"/>
            <w:tcMar>
              <w:top w:w="0" w:type="dxa"/>
              <w:left w:w="108" w:type="dxa"/>
              <w:bottom w:w="0" w:type="dxa"/>
              <w:right w:w="108" w:type="dxa"/>
            </w:tcMar>
          </w:tcPr>
          <w:p w14:paraId="638E4C2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.99</w:t>
            </w:r>
          </w:p>
        </w:tc>
        <w:tc>
          <w:tcPr>
            <w:tcW w:w="856" w:type="dxa"/>
            <w:tcMar>
              <w:top w:w="0" w:type="dxa"/>
              <w:left w:w="108" w:type="dxa"/>
              <w:bottom w:w="0" w:type="dxa"/>
              <w:right w:w="108" w:type="dxa"/>
            </w:tcMar>
          </w:tcPr>
          <w:p w14:paraId="650CDED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w:t>
            </w:r>
          </w:p>
        </w:tc>
        <w:tc>
          <w:tcPr>
            <w:tcW w:w="765" w:type="dxa"/>
            <w:tcMar>
              <w:top w:w="0" w:type="dxa"/>
              <w:left w:w="108" w:type="dxa"/>
              <w:bottom w:w="0" w:type="dxa"/>
              <w:right w:w="108" w:type="dxa"/>
            </w:tcMar>
          </w:tcPr>
          <w:p w14:paraId="39CDDA6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-.76</w:t>
            </w:r>
          </w:p>
        </w:tc>
      </w:tr>
      <w:tr w:rsidR="00D37CF0" w:rsidRPr="00332399" w14:paraId="63AE8E9E" w14:textId="77777777" w:rsidTr="00332399">
        <w:trPr>
          <w:trHeight w:val="300"/>
        </w:trPr>
        <w:tc>
          <w:tcPr>
            <w:tcW w:w="2127" w:type="dxa"/>
            <w:vMerge/>
            <w:tcBorders>
              <w:bottom w:val="single" w:sz="8" w:space="0" w:color="000000"/>
            </w:tcBorders>
            <w:tcMar>
              <w:top w:w="0" w:type="dxa"/>
              <w:left w:w="108" w:type="dxa"/>
              <w:bottom w:w="0" w:type="dxa"/>
              <w:right w:w="108" w:type="dxa"/>
            </w:tcMar>
          </w:tcPr>
          <w:p w14:paraId="373BE996"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107D009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w:t>
            </w:r>
          </w:p>
        </w:tc>
        <w:tc>
          <w:tcPr>
            <w:tcW w:w="732" w:type="dxa"/>
            <w:tcMar>
              <w:top w:w="0" w:type="dxa"/>
              <w:left w:w="108" w:type="dxa"/>
              <w:bottom w:w="0" w:type="dxa"/>
              <w:right w:w="108" w:type="dxa"/>
            </w:tcMar>
          </w:tcPr>
          <w:p w14:paraId="268CD70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1.17</w:t>
            </w:r>
          </w:p>
        </w:tc>
        <w:tc>
          <w:tcPr>
            <w:tcW w:w="750" w:type="dxa"/>
            <w:tcMar>
              <w:top w:w="0" w:type="dxa"/>
              <w:left w:w="108" w:type="dxa"/>
              <w:bottom w:w="0" w:type="dxa"/>
              <w:right w:w="108" w:type="dxa"/>
            </w:tcMar>
          </w:tcPr>
          <w:p w14:paraId="0421310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.93</w:t>
            </w:r>
          </w:p>
        </w:tc>
        <w:tc>
          <w:tcPr>
            <w:tcW w:w="856" w:type="dxa"/>
            <w:tcMar>
              <w:top w:w="0" w:type="dxa"/>
              <w:left w:w="108" w:type="dxa"/>
              <w:bottom w:w="0" w:type="dxa"/>
              <w:right w:w="108" w:type="dxa"/>
            </w:tcMar>
          </w:tcPr>
          <w:p w14:paraId="0861E5E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.41</w:t>
            </w:r>
          </w:p>
        </w:tc>
        <w:tc>
          <w:tcPr>
            <w:tcW w:w="765" w:type="dxa"/>
            <w:tcMar>
              <w:top w:w="0" w:type="dxa"/>
              <w:left w:w="108" w:type="dxa"/>
              <w:bottom w:w="0" w:type="dxa"/>
              <w:right w:w="108" w:type="dxa"/>
            </w:tcMar>
          </w:tcPr>
          <w:p w14:paraId="2EBEAAE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-.65</w:t>
            </w:r>
          </w:p>
        </w:tc>
      </w:tr>
      <w:tr w:rsidR="00D37CF0" w:rsidRPr="00332399" w14:paraId="4B8E65D8" w14:textId="77777777" w:rsidTr="00332399">
        <w:trPr>
          <w:trHeight w:val="300"/>
        </w:trPr>
        <w:tc>
          <w:tcPr>
            <w:tcW w:w="2127" w:type="dxa"/>
            <w:vMerge/>
            <w:tcBorders>
              <w:bottom w:val="single" w:sz="8" w:space="0" w:color="000000"/>
            </w:tcBorders>
            <w:tcMar>
              <w:top w:w="0" w:type="dxa"/>
              <w:left w:w="108" w:type="dxa"/>
              <w:bottom w:w="0" w:type="dxa"/>
              <w:right w:w="108" w:type="dxa"/>
            </w:tcMar>
          </w:tcPr>
          <w:p w14:paraId="3AA24088"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7D9261E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w:t>
            </w:r>
          </w:p>
        </w:tc>
        <w:tc>
          <w:tcPr>
            <w:tcW w:w="732" w:type="dxa"/>
            <w:tcMar>
              <w:top w:w="0" w:type="dxa"/>
              <w:left w:w="108" w:type="dxa"/>
              <w:bottom w:w="0" w:type="dxa"/>
              <w:right w:w="108" w:type="dxa"/>
            </w:tcMar>
          </w:tcPr>
          <w:p w14:paraId="73C35D4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.88</w:t>
            </w:r>
          </w:p>
        </w:tc>
        <w:tc>
          <w:tcPr>
            <w:tcW w:w="750" w:type="dxa"/>
            <w:tcMar>
              <w:top w:w="0" w:type="dxa"/>
              <w:left w:w="108" w:type="dxa"/>
              <w:bottom w:w="0" w:type="dxa"/>
              <w:right w:w="108" w:type="dxa"/>
            </w:tcMar>
          </w:tcPr>
          <w:p w14:paraId="28DE054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.93</w:t>
            </w:r>
          </w:p>
        </w:tc>
        <w:tc>
          <w:tcPr>
            <w:tcW w:w="856" w:type="dxa"/>
            <w:tcMar>
              <w:top w:w="0" w:type="dxa"/>
              <w:left w:w="108" w:type="dxa"/>
              <w:bottom w:w="0" w:type="dxa"/>
              <w:right w:w="108" w:type="dxa"/>
            </w:tcMar>
          </w:tcPr>
          <w:p w14:paraId="687DF75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.80</w:t>
            </w:r>
          </w:p>
        </w:tc>
        <w:tc>
          <w:tcPr>
            <w:tcW w:w="765" w:type="dxa"/>
            <w:tcMar>
              <w:top w:w="0" w:type="dxa"/>
              <w:left w:w="108" w:type="dxa"/>
              <w:bottom w:w="0" w:type="dxa"/>
              <w:right w:w="108" w:type="dxa"/>
            </w:tcMar>
          </w:tcPr>
          <w:p w14:paraId="4387CB4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.28</w:t>
            </w:r>
          </w:p>
        </w:tc>
      </w:tr>
      <w:tr w:rsidR="00D37CF0" w:rsidRPr="00332399" w14:paraId="7E9748CE" w14:textId="77777777" w:rsidTr="00332399">
        <w:trPr>
          <w:trHeight w:val="300"/>
        </w:trPr>
        <w:tc>
          <w:tcPr>
            <w:tcW w:w="2127" w:type="dxa"/>
            <w:vMerge/>
            <w:tcBorders>
              <w:bottom w:val="single" w:sz="8" w:space="0" w:color="000000"/>
            </w:tcBorders>
            <w:tcMar>
              <w:top w:w="0" w:type="dxa"/>
              <w:left w:w="108" w:type="dxa"/>
              <w:bottom w:w="0" w:type="dxa"/>
              <w:right w:w="108" w:type="dxa"/>
            </w:tcMar>
          </w:tcPr>
          <w:p w14:paraId="30E5DD65"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Mar>
              <w:top w:w="0" w:type="dxa"/>
              <w:left w:w="108" w:type="dxa"/>
              <w:bottom w:w="0" w:type="dxa"/>
              <w:right w:w="108" w:type="dxa"/>
            </w:tcMar>
          </w:tcPr>
          <w:p w14:paraId="7D6B41E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w:t>
            </w:r>
          </w:p>
        </w:tc>
        <w:tc>
          <w:tcPr>
            <w:tcW w:w="732" w:type="dxa"/>
            <w:tcMar>
              <w:top w:w="0" w:type="dxa"/>
              <w:left w:w="108" w:type="dxa"/>
              <w:bottom w:w="0" w:type="dxa"/>
              <w:right w:w="108" w:type="dxa"/>
            </w:tcMar>
          </w:tcPr>
          <w:p w14:paraId="16CD4A4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1.16</w:t>
            </w:r>
          </w:p>
        </w:tc>
        <w:tc>
          <w:tcPr>
            <w:tcW w:w="750" w:type="dxa"/>
            <w:tcMar>
              <w:top w:w="0" w:type="dxa"/>
              <w:left w:w="108" w:type="dxa"/>
              <w:bottom w:w="0" w:type="dxa"/>
              <w:right w:w="108" w:type="dxa"/>
            </w:tcMar>
          </w:tcPr>
          <w:p w14:paraId="5CA7B20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1.03</w:t>
            </w:r>
          </w:p>
        </w:tc>
        <w:tc>
          <w:tcPr>
            <w:tcW w:w="856" w:type="dxa"/>
            <w:tcMar>
              <w:top w:w="0" w:type="dxa"/>
              <w:left w:w="108" w:type="dxa"/>
              <w:bottom w:w="0" w:type="dxa"/>
              <w:right w:w="108" w:type="dxa"/>
            </w:tcMar>
          </w:tcPr>
          <w:p w14:paraId="28668D4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.46</w:t>
            </w:r>
          </w:p>
        </w:tc>
        <w:tc>
          <w:tcPr>
            <w:tcW w:w="765" w:type="dxa"/>
            <w:tcMar>
              <w:top w:w="0" w:type="dxa"/>
              <w:left w:w="108" w:type="dxa"/>
              <w:bottom w:w="0" w:type="dxa"/>
              <w:right w:w="108" w:type="dxa"/>
            </w:tcMar>
          </w:tcPr>
          <w:p w14:paraId="01463CC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.95</w:t>
            </w:r>
          </w:p>
        </w:tc>
      </w:tr>
      <w:tr w:rsidR="00D37CF0" w:rsidRPr="00332399" w14:paraId="19CD3F9D" w14:textId="77777777" w:rsidTr="00332399">
        <w:trPr>
          <w:trHeight w:val="300"/>
        </w:trPr>
        <w:tc>
          <w:tcPr>
            <w:tcW w:w="2127" w:type="dxa"/>
            <w:vMerge/>
            <w:tcBorders>
              <w:bottom w:val="single" w:sz="8" w:space="0" w:color="000000"/>
            </w:tcBorders>
            <w:tcMar>
              <w:top w:w="0" w:type="dxa"/>
              <w:left w:w="108" w:type="dxa"/>
              <w:bottom w:w="0" w:type="dxa"/>
              <w:right w:w="108" w:type="dxa"/>
            </w:tcMar>
          </w:tcPr>
          <w:p w14:paraId="0CD0F9DB" w14:textId="77777777" w:rsidR="00D37CF0" w:rsidRPr="00332399" w:rsidRDefault="00D37CF0" w:rsidP="00C06401">
            <w:pPr>
              <w:spacing w:after="0" w:line="360" w:lineRule="auto"/>
              <w:rPr>
                <w:rFonts w:ascii="Century Schoolbook" w:hAnsi="Century Schoolbook" w:cs="Times New Roman"/>
                <w:sz w:val="24"/>
                <w:szCs w:val="24"/>
              </w:rPr>
            </w:pPr>
          </w:p>
        </w:tc>
        <w:tc>
          <w:tcPr>
            <w:tcW w:w="780" w:type="dxa"/>
            <w:tcBorders>
              <w:bottom w:val="single" w:sz="8" w:space="0" w:color="000000"/>
            </w:tcBorders>
            <w:tcMar>
              <w:top w:w="0" w:type="dxa"/>
              <w:left w:w="108" w:type="dxa"/>
              <w:bottom w:w="0" w:type="dxa"/>
              <w:right w:w="108" w:type="dxa"/>
            </w:tcMar>
          </w:tcPr>
          <w:p w14:paraId="480DFEA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w:t>
            </w:r>
          </w:p>
        </w:tc>
        <w:tc>
          <w:tcPr>
            <w:tcW w:w="732" w:type="dxa"/>
            <w:tcBorders>
              <w:bottom w:val="single" w:sz="8" w:space="0" w:color="000000"/>
            </w:tcBorders>
            <w:tcMar>
              <w:top w:w="0" w:type="dxa"/>
              <w:left w:w="108" w:type="dxa"/>
              <w:bottom w:w="0" w:type="dxa"/>
              <w:right w:w="108" w:type="dxa"/>
            </w:tcMar>
          </w:tcPr>
          <w:p w14:paraId="5BF034E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1.07</w:t>
            </w:r>
          </w:p>
        </w:tc>
        <w:tc>
          <w:tcPr>
            <w:tcW w:w="750" w:type="dxa"/>
            <w:tcBorders>
              <w:bottom w:val="single" w:sz="8" w:space="0" w:color="000000"/>
            </w:tcBorders>
            <w:tcMar>
              <w:top w:w="0" w:type="dxa"/>
              <w:left w:w="108" w:type="dxa"/>
              <w:bottom w:w="0" w:type="dxa"/>
              <w:right w:w="108" w:type="dxa"/>
            </w:tcMar>
          </w:tcPr>
          <w:p w14:paraId="292B282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1.01</w:t>
            </w:r>
          </w:p>
        </w:tc>
        <w:tc>
          <w:tcPr>
            <w:tcW w:w="856" w:type="dxa"/>
            <w:tcBorders>
              <w:bottom w:val="single" w:sz="8" w:space="0" w:color="000000"/>
            </w:tcBorders>
            <w:tcMar>
              <w:top w:w="0" w:type="dxa"/>
              <w:left w:w="108" w:type="dxa"/>
              <w:bottom w:w="0" w:type="dxa"/>
              <w:right w:w="108" w:type="dxa"/>
            </w:tcMar>
          </w:tcPr>
          <w:p w14:paraId="77B0925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.62</w:t>
            </w:r>
          </w:p>
        </w:tc>
        <w:tc>
          <w:tcPr>
            <w:tcW w:w="765" w:type="dxa"/>
            <w:tcBorders>
              <w:bottom w:val="single" w:sz="8" w:space="0" w:color="000000"/>
            </w:tcBorders>
            <w:tcMar>
              <w:top w:w="0" w:type="dxa"/>
              <w:left w:w="108" w:type="dxa"/>
              <w:bottom w:w="0" w:type="dxa"/>
              <w:right w:w="108" w:type="dxa"/>
            </w:tcMar>
          </w:tcPr>
          <w:p w14:paraId="4BEB37E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-.71</w:t>
            </w:r>
          </w:p>
        </w:tc>
      </w:tr>
    </w:tbl>
    <w:p w14:paraId="5278608D" w14:textId="3B2E6351" w:rsidR="00D37CF0" w:rsidRPr="00332399" w:rsidRDefault="00D37CF0" w:rsidP="00C06401">
      <w:pPr>
        <w:spacing w:after="0" w:line="360" w:lineRule="auto"/>
        <w:ind w:firstLine="2"/>
        <w:jc w:val="both"/>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 xml:space="preserve">Nota: M=media, DE=desviación </w:t>
      </w:r>
      <w:r w:rsidR="009822B1" w:rsidRPr="00332399">
        <w:rPr>
          <w:rFonts w:ascii="Century Schoolbook" w:eastAsia="Calibri" w:hAnsi="Century Schoolbook" w:cs="Times New Roman"/>
          <w:color w:val="000000"/>
          <w:sz w:val="24"/>
          <w:szCs w:val="24"/>
        </w:rPr>
        <w:t>estándar</w:t>
      </w:r>
      <w:r w:rsidRPr="00332399">
        <w:rPr>
          <w:rFonts w:ascii="Century Schoolbook" w:eastAsia="Calibri" w:hAnsi="Century Schoolbook" w:cs="Times New Roman"/>
          <w:color w:val="000000"/>
          <w:sz w:val="24"/>
          <w:szCs w:val="24"/>
        </w:rPr>
        <w:t>, g</w:t>
      </w:r>
      <w:r w:rsidRPr="00332399">
        <w:rPr>
          <w:rFonts w:ascii="Century Schoolbook" w:eastAsia="Calibri" w:hAnsi="Century Schoolbook" w:cs="Times New Roman"/>
          <w:color w:val="000000"/>
          <w:sz w:val="24"/>
          <w:szCs w:val="24"/>
          <w:vertAlign w:val="superscript"/>
        </w:rPr>
        <w:t>1</w:t>
      </w:r>
      <w:r w:rsidRPr="00332399">
        <w:rPr>
          <w:rFonts w:ascii="Century Schoolbook" w:eastAsia="Calibri" w:hAnsi="Century Schoolbook" w:cs="Times New Roman"/>
          <w:color w:val="000000"/>
          <w:sz w:val="24"/>
          <w:szCs w:val="24"/>
        </w:rPr>
        <w:t>=asimetría, g</w:t>
      </w:r>
      <w:r w:rsidRPr="00332399">
        <w:rPr>
          <w:rFonts w:ascii="Century Schoolbook" w:eastAsia="Calibri" w:hAnsi="Century Schoolbook" w:cs="Times New Roman"/>
          <w:color w:val="000000"/>
          <w:sz w:val="24"/>
          <w:szCs w:val="24"/>
          <w:vertAlign w:val="superscript"/>
        </w:rPr>
        <w:t>2</w:t>
      </w:r>
      <w:r w:rsidRPr="00332399">
        <w:rPr>
          <w:rFonts w:ascii="Century Schoolbook" w:eastAsia="Calibri" w:hAnsi="Century Schoolbook" w:cs="Times New Roman"/>
          <w:color w:val="000000"/>
          <w:sz w:val="24"/>
          <w:szCs w:val="24"/>
        </w:rPr>
        <w:t>=curtosis</w:t>
      </w:r>
    </w:p>
    <w:p w14:paraId="6C2FCE10" w14:textId="0D54ECDE" w:rsidR="00D37CF0" w:rsidRDefault="00D37CF0" w:rsidP="00C06401">
      <w:pPr>
        <w:spacing w:before="200" w:after="0" w:line="360" w:lineRule="auto"/>
        <w:ind w:firstLine="426"/>
        <w:jc w:val="both"/>
        <w:rPr>
          <w:rFonts w:ascii="Century Schoolbook" w:hAnsi="Century Schoolbook" w:cs="Times New Roman"/>
          <w:sz w:val="24"/>
          <w:szCs w:val="24"/>
        </w:rPr>
      </w:pPr>
      <w:commentRangeStart w:id="9"/>
      <w:r w:rsidRPr="00332399">
        <w:rPr>
          <w:rFonts w:ascii="Century Schoolbook" w:hAnsi="Century Schoolbook" w:cs="Times New Roman"/>
          <w:sz w:val="24"/>
          <w:szCs w:val="24"/>
        </w:rPr>
        <w:t>En la Tabla 2</w:t>
      </w:r>
      <w:r w:rsidR="00A344A3" w:rsidRPr="00332399">
        <w:rPr>
          <w:rFonts w:ascii="Century Schoolbook" w:hAnsi="Century Schoolbook" w:cs="Times New Roman"/>
          <w:sz w:val="24"/>
          <w:szCs w:val="24"/>
        </w:rPr>
        <w:t>,</w:t>
      </w:r>
      <w:r w:rsidRPr="00332399">
        <w:rPr>
          <w:rFonts w:ascii="Century Schoolbook" w:hAnsi="Century Schoolbook" w:cs="Times New Roman"/>
          <w:sz w:val="24"/>
          <w:szCs w:val="24"/>
        </w:rPr>
        <w:t xml:space="preserve"> se presentan los coeficientes de correlación y la </w:t>
      </w:r>
      <w:commentRangeStart w:id="10"/>
      <w:r w:rsidRPr="00332399">
        <w:rPr>
          <w:rFonts w:ascii="Century Schoolbook" w:hAnsi="Century Schoolbook" w:cs="Times New Roman"/>
          <w:sz w:val="24"/>
          <w:szCs w:val="24"/>
        </w:rPr>
        <w:t xml:space="preserve">magnitud del efecto para los ítems y </w:t>
      </w:r>
      <w:commentRangeStart w:id="11"/>
      <w:r w:rsidRPr="00332399">
        <w:rPr>
          <w:rFonts w:ascii="Century Schoolbook" w:hAnsi="Century Schoolbook" w:cs="Times New Roman"/>
          <w:sz w:val="24"/>
          <w:szCs w:val="24"/>
        </w:rPr>
        <w:t xml:space="preserve">factores evaluados. </w:t>
      </w:r>
      <w:commentRangeEnd w:id="11"/>
      <w:r w:rsidR="0039277A">
        <w:rPr>
          <w:rStyle w:val="Refdecomentario"/>
        </w:rPr>
        <w:commentReference w:id="11"/>
      </w:r>
      <w:commentRangeEnd w:id="10"/>
      <w:r w:rsidR="005B1093">
        <w:rPr>
          <w:rStyle w:val="Refdecomentario"/>
        </w:rPr>
        <w:commentReference w:id="10"/>
      </w:r>
      <w:r w:rsidRPr="00332399">
        <w:rPr>
          <w:rFonts w:ascii="Century Schoolbook" w:hAnsi="Century Schoolbook" w:cs="Times New Roman"/>
          <w:sz w:val="24"/>
          <w:szCs w:val="24"/>
        </w:rPr>
        <w:t>Según datos obtenidos, se propuso un segundo modelo que omitió el ítem 1, que presentaba el mayor índice de modificación. Ambos modelos muestran valores de correlación de Pearson entre .63 y .87, mientras que el tamaño del efecto varía entre .40 y .74, lo que indica una correlación alta y positiva. La eliminación del ítem 1 en el segundo modelo resultó en una estructura de 9 ítems, con valores de Pearson para los factores en relación con la escala general entre .67 y .88, y valores de r² que oscilan entre .45 y .77. Además, las cargas factoriales aumentaron en el Modelo 2, indicando una mejora en la estructura del modelo.</w:t>
      </w:r>
      <w:commentRangeEnd w:id="9"/>
      <w:r w:rsidR="0039277A">
        <w:rPr>
          <w:rStyle w:val="Refdecomentario"/>
        </w:rPr>
        <w:commentReference w:id="9"/>
      </w:r>
    </w:p>
    <w:p w14:paraId="0E0FAF55" w14:textId="0AC60994" w:rsidR="00332399" w:rsidRDefault="00332399" w:rsidP="00C06401">
      <w:pPr>
        <w:spacing w:before="200" w:after="0" w:line="360" w:lineRule="auto"/>
        <w:ind w:firstLine="426"/>
        <w:jc w:val="both"/>
        <w:rPr>
          <w:rFonts w:ascii="Century Schoolbook" w:hAnsi="Century Schoolbook" w:cs="Times New Roman"/>
          <w:sz w:val="24"/>
          <w:szCs w:val="24"/>
        </w:rPr>
      </w:pPr>
    </w:p>
    <w:p w14:paraId="6A6A20FE" w14:textId="77777777" w:rsidR="00332399" w:rsidRPr="00332399" w:rsidRDefault="00332399" w:rsidP="00C06401">
      <w:pPr>
        <w:spacing w:before="200" w:after="0" w:line="360" w:lineRule="auto"/>
        <w:ind w:firstLine="426"/>
        <w:jc w:val="both"/>
        <w:rPr>
          <w:rFonts w:ascii="Century Schoolbook" w:hAnsi="Century Schoolbook" w:cs="Times New Roman"/>
          <w:sz w:val="24"/>
          <w:szCs w:val="24"/>
        </w:rPr>
      </w:pPr>
    </w:p>
    <w:p w14:paraId="45CCE36E"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p>
    <w:p w14:paraId="10D028A4" w14:textId="1EA1F1FB"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Tabla 2</w:t>
      </w:r>
    </w:p>
    <w:p w14:paraId="1CB3CC22"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Coeficiente de correlación e índice de modificación</w:t>
      </w:r>
    </w:p>
    <w:tbl>
      <w:tblPr>
        <w:tblW w:w="8960" w:type="dxa"/>
        <w:tblLayout w:type="fixed"/>
        <w:tblCellMar>
          <w:left w:w="10" w:type="dxa"/>
          <w:right w:w="10" w:type="dxa"/>
        </w:tblCellMar>
        <w:tblLook w:val="0000" w:firstRow="0" w:lastRow="0" w:firstColumn="0" w:lastColumn="0" w:noHBand="0" w:noVBand="0"/>
      </w:tblPr>
      <w:tblGrid>
        <w:gridCol w:w="3353"/>
        <w:gridCol w:w="706"/>
        <w:gridCol w:w="692"/>
        <w:gridCol w:w="665"/>
        <w:gridCol w:w="821"/>
        <w:gridCol w:w="567"/>
        <w:gridCol w:w="709"/>
        <w:gridCol w:w="720"/>
        <w:gridCol w:w="720"/>
        <w:gridCol w:w="7"/>
      </w:tblGrid>
      <w:tr w:rsidR="00D37CF0" w:rsidRPr="00332399" w14:paraId="0732238F" w14:textId="77777777" w:rsidTr="00332399">
        <w:trPr>
          <w:trHeight w:val="330"/>
        </w:trPr>
        <w:tc>
          <w:tcPr>
            <w:tcW w:w="3353" w:type="dxa"/>
            <w:vMerge w:val="restart"/>
            <w:tcBorders>
              <w:top w:val="single" w:sz="8" w:space="0" w:color="000000"/>
            </w:tcBorders>
            <w:tcMar>
              <w:top w:w="0" w:type="dxa"/>
              <w:left w:w="108" w:type="dxa"/>
              <w:bottom w:w="0" w:type="dxa"/>
              <w:right w:w="108" w:type="dxa"/>
            </w:tcMar>
          </w:tcPr>
          <w:p w14:paraId="38AB02CD"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13975322"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Factores</w:t>
            </w:r>
          </w:p>
        </w:tc>
        <w:tc>
          <w:tcPr>
            <w:tcW w:w="706" w:type="dxa"/>
            <w:vMerge w:val="restart"/>
            <w:tcBorders>
              <w:top w:val="single" w:sz="8" w:space="0" w:color="000000"/>
            </w:tcBorders>
            <w:tcMar>
              <w:top w:w="0" w:type="dxa"/>
              <w:left w:w="108" w:type="dxa"/>
              <w:bottom w:w="0" w:type="dxa"/>
              <w:right w:w="108" w:type="dxa"/>
            </w:tcMar>
          </w:tcPr>
          <w:p w14:paraId="2F5CFEF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p w14:paraId="1DAE2BB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Ítems</w:t>
            </w:r>
          </w:p>
        </w:tc>
        <w:tc>
          <w:tcPr>
            <w:tcW w:w="2745" w:type="dxa"/>
            <w:gridSpan w:val="4"/>
            <w:tcBorders>
              <w:top w:val="single" w:sz="8" w:space="0" w:color="000000"/>
              <w:bottom w:val="single" w:sz="8" w:space="0" w:color="000000"/>
            </w:tcBorders>
            <w:tcMar>
              <w:top w:w="0" w:type="dxa"/>
              <w:left w:w="108" w:type="dxa"/>
              <w:bottom w:w="0" w:type="dxa"/>
              <w:right w:w="108" w:type="dxa"/>
            </w:tcMar>
          </w:tcPr>
          <w:p w14:paraId="3DD0BB9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1</w:t>
            </w:r>
          </w:p>
        </w:tc>
        <w:tc>
          <w:tcPr>
            <w:tcW w:w="2156" w:type="dxa"/>
            <w:gridSpan w:val="4"/>
            <w:tcBorders>
              <w:top w:val="single" w:sz="8" w:space="0" w:color="000000"/>
              <w:bottom w:val="single" w:sz="8" w:space="0" w:color="000000"/>
            </w:tcBorders>
            <w:tcMar>
              <w:top w:w="0" w:type="dxa"/>
              <w:left w:w="108" w:type="dxa"/>
              <w:bottom w:w="0" w:type="dxa"/>
              <w:right w:w="108" w:type="dxa"/>
            </w:tcMar>
          </w:tcPr>
          <w:p w14:paraId="0BBA5A9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2</w:t>
            </w:r>
          </w:p>
        </w:tc>
      </w:tr>
      <w:tr w:rsidR="00D37CF0" w:rsidRPr="00332399" w14:paraId="0D28924E" w14:textId="77777777" w:rsidTr="00332399">
        <w:trPr>
          <w:gridAfter w:val="1"/>
          <w:wAfter w:w="7" w:type="dxa"/>
          <w:trHeight w:val="300"/>
        </w:trPr>
        <w:tc>
          <w:tcPr>
            <w:tcW w:w="3353" w:type="dxa"/>
            <w:vMerge/>
            <w:tcBorders>
              <w:top w:val="single" w:sz="8" w:space="0" w:color="000000"/>
            </w:tcBorders>
            <w:tcMar>
              <w:top w:w="0" w:type="dxa"/>
              <w:left w:w="108" w:type="dxa"/>
              <w:bottom w:w="0" w:type="dxa"/>
              <w:right w:w="108" w:type="dxa"/>
            </w:tcMar>
          </w:tcPr>
          <w:p w14:paraId="298ACA1E"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vMerge/>
            <w:tcBorders>
              <w:top w:val="single" w:sz="8" w:space="0" w:color="000000"/>
            </w:tcBorders>
            <w:tcMar>
              <w:top w:w="0" w:type="dxa"/>
              <w:left w:w="108" w:type="dxa"/>
              <w:bottom w:w="0" w:type="dxa"/>
              <w:right w:w="108" w:type="dxa"/>
            </w:tcMar>
          </w:tcPr>
          <w:p w14:paraId="4C7897F8" w14:textId="77777777" w:rsidR="00D37CF0" w:rsidRPr="00332399" w:rsidRDefault="00D37CF0" w:rsidP="00C06401">
            <w:pPr>
              <w:spacing w:after="0" w:line="360" w:lineRule="auto"/>
              <w:rPr>
                <w:rFonts w:ascii="Century Schoolbook" w:hAnsi="Century Schoolbook" w:cs="Times New Roman"/>
                <w:sz w:val="24"/>
                <w:szCs w:val="24"/>
              </w:rPr>
            </w:pPr>
          </w:p>
        </w:tc>
        <w:tc>
          <w:tcPr>
            <w:tcW w:w="692" w:type="dxa"/>
            <w:tcBorders>
              <w:top w:val="single" w:sz="8" w:space="0" w:color="000000"/>
              <w:bottom w:val="single" w:sz="8" w:space="0" w:color="000000"/>
            </w:tcBorders>
            <w:tcMar>
              <w:top w:w="0" w:type="dxa"/>
              <w:left w:w="108" w:type="dxa"/>
              <w:bottom w:w="0" w:type="dxa"/>
              <w:right w:w="108" w:type="dxa"/>
            </w:tcMar>
          </w:tcPr>
          <w:p w14:paraId="496AF257" w14:textId="77777777" w:rsidR="00D37CF0" w:rsidRPr="00332399" w:rsidRDefault="00D37CF0" w:rsidP="00C06401">
            <w:pPr>
              <w:spacing w:after="0" w:line="360" w:lineRule="auto"/>
              <w:jc w:val="center"/>
              <w:rPr>
                <w:rFonts w:ascii="Century Schoolbook" w:eastAsia="Calibri" w:hAnsi="Century Schoolbook" w:cs="Times New Roman"/>
                <w:i/>
                <w:color w:val="000000"/>
                <w:sz w:val="24"/>
                <w:szCs w:val="24"/>
              </w:rPr>
            </w:pPr>
            <w:r w:rsidRPr="00332399">
              <w:rPr>
                <w:rFonts w:ascii="Century Schoolbook" w:eastAsia="Calibri" w:hAnsi="Century Schoolbook" w:cs="Times New Roman"/>
                <w:i/>
                <w:color w:val="000000"/>
                <w:sz w:val="24"/>
                <w:szCs w:val="24"/>
              </w:rPr>
              <w:t>r</w:t>
            </w:r>
          </w:p>
        </w:tc>
        <w:tc>
          <w:tcPr>
            <w:tcW w:w="665" w:type="dxa"/>
            <w:tcBorders>
              <w:top w:val="single" w:sz="8" w:space="0" w:color="000000"/>
              <w:bottom w:val="single" w:sz="8" w:space="0" w:color="000000"/>
            </w:tcBorders>
            <w:tcMar>
              <w:top w:w="0" w:type="dxa"/>
              <w:left w:w="108" w:type="dxa"/>
              <w:bottom w:w="0" w:type="dxa"/>
              <w:right w:w="108" w:type="dxa"/>
            </w:tcMar>
          </w:tcPr>
          <w:p w14:paraId="26DFC701" w14:textId="77777777" w:rsidR="00D37CF0" w:rsidRPr="00332399" w:rsidRDefault="00D37CF0" w:rsidP="00C06401">
            <w:pPr>
              <w:spacing w:after="0" w:line="360" w:lineRule="auto"/>
              <w:jc w:val="center"/>
              <w:rPr>
                <w:rFonts w:ascii="Century Schoolbook" w:hAnsi="Century Schoolbook" w:cs="Times New Roman"/>
                <w:i/>
                <w:sz w:val="24"/>
                <w:szCs w:val="24"/>
              </w:rPr>
            </w:pP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p>
        </w:tc>
        <w:tc>
          <w:tcPr>
            <w:tcW w:w="821" w:type="dxa"/>
            <w:tcBorders>
              <w:top w:val="single" w:sz="8" w:space="0" w:color="000000"/>
              <w:bottom w:val="single" w:sz="8" w:space="0" w:color="000000"/>
            </w:tcBorders>
            <w:tcMar>
              <w:top w:w="0" w:type="dxa"/>
              <w:left w:w="108" w:type="dxa"/>
              <w:bottom w:w="0" w:type="dxa"/>
              <w:right w:w="108" w:type="dxa"/>
            </w:tcMar>
          </w:tcPr>
          <w:p w14:paraId="71E22B3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MI</w:t>
            </w:r>
          </w:p>
        </w:tc>
        <w:tc>
          <w:tcPr>
            <w:tcW w:w="567" w:type="dxa"/>
            <w:tcBorders>
              <w:top w:val="single" w:sz="8" w:space="0" w:color="000000"/>
              <w:bottom w:val="single" w:sz="8" w:space="0" w:color="000000"/>
            </w:tcBorders>
            <w:tcMar>
              <w:top w:w="0" w:type="dxa"/>
              <w:left w:w="108" w:type="dxa"/>
              <w:bottom w:w="0" w:type="dxa"/>
              <w:right w:w="108" w:type="dxa"/>
            </w:tcMar>
          </w:tcPr>
          <w:p w14:paraId="0CA072C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λ</w:t>
            </w:r>
          </w:p>
        </w:tc>
        <w:tc>
          <w:tcPr>
            <w:tcW w:w="709" w:type="dxa"/>
            <w:tcBorders>
              <w:top w:val="single" w:sz="8" w:space="0" w:color="000000"/>
              <w:bottom w:val="single" w:sz="8" w:space="0" w:color="000000"/>
            </w:tcBorders>
            <w:tcMar>
              <w:top w:w="0" w:type="dxa"/>
              <w:left w:w="108" w:type="dxa"/>
              <w:bottom w:w="0" w:type="dxa"/>
              <w:right w:w="108" w:type="dxa"/>
            </w:tcMar>
          </w:tcPr>
          <w:p w14:paraId="02605D78" w14:textId="77777777" w:rsidR="00D37CF0" w:rsidRPr="00332399" w:rsidRDefault="00D37CF0" w:rsidP="00C06401">
            <w:pPr>
              <w:spacing w:after="0" w:line="360" w:lineRule="auto"/>
              <w:jc w:val="center"/>
              <w:rPr>
                <w:rFonts w:ascii="Century Schoolbook" w:eastAsia="Calibri" w:hAnsi="Century Schoolbook" w:cs="Times New Roman"/>
                <w:i/>
                <w:color w:val="000000"/>
                <w:sz w:val="24"/>
                <w:szCs w:val="24"/>
              </w:rPr>
            </w:pPr>
            <w:r w:rsidRPr="00332399">
              <w:rPr>
                <w:rFonts w:ascii="Century Schoolbook" w:eastAsia="Calibri" w:hAnsi="Century Schoolbook" w:cs="Times New Roman"/>
                <w:i/>
                <w:color w:val="000000"/>
                <w:sz w:val="24"/>
                <w:szCs w:val="24"/>
              </w:rPr>
              <w:t>r</w:t>
            </w:r>
          </w:p>
        </w:tc>
        <w:tc>
          <w:tcPr>
            <w:tcW w:w="720" w:type="dxa"/>
            <w:tcBorders>
              <w:top w:val="single" w:sz="8" w:space="0" w:color="000000"/>
              <w:bottom w:val="single" w:sz="8" w:space="0" w:color="000000"/>
            </w:tcBorders>
            <w:tcMar>
              <w:top w:w="0" w:type="dxa"/>
              <w:left w:w="108" w:type="dxa"/>
              <w:bottom w:w="0" w:type="dxa"/>
              <w:right w:w="108" w:type="dxa"/>
            </w:tcMar>
          </w:tcPr>
          <w:p w14:paraId="45EE6CE8" w14:textId="77777777" w:rsidR="00D37CF0" w:rsidRPr="00332399" w:rsidRDefault="00D37CF0" w:rsidP="00C06401">
            <w:pPr>
              <w:spacing w:after="0" w:line="360" w:lineRule="auto"/>
              <w:jc w:val="center"/>
              <w:rPr>
                <w:rFonts w:ascii="Century Schoolbook" w:hAnsi="Century Schoolbook" w:cs="Times New Roman"/>
                <w:i/>
                <w:sz w:val="24"/>
                <w:szCs w:val="24"/>
              </w:rPr>
            </w:pP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p>
        </w:tc>
        <w:tc>
          <w:tcPr>
            <w:tcW w:w="720" w:type="dxa"/>
            <w:tcBorders>
              <w:top w:val="single" w:sz="8" w:space="0" w:color="000000"/>
              <w:bottom w:val="single" w:sz="8" w:space="0" w:color="000000"/>
            </w:tcBorders>
            <w:tcMar>
              <w:top w:w="0" w:type="dxa"/>
              <w:left w:w="108" w:type="dxa"/>
              <w:bottom w:w="0" w:type="dxa"/>
              <w:right w:w="108" w:type="dxa"/>
            </w:tcMar>
          </w:tcPr>
          <w:p w14:paraId="66D4CF7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λ</w:t>
            </w:r>
          </w:p>
        </w:tc>
      </w:tr>
      <w:tr w:rsidR="00D37CF0" w:rsidRPr="00332399" w14:paraId="6E158FE9" w14:textId="77777777" w:rsidTr="00332399">
        <w:trPr>
          <w:gridAfter w:val="1"/>
          <w:wAfter w:w="7" w:type="dxa"/>
          <w:trHeight w:val="300"/>
        </w:trPr>
        <w:tc>
          <w:tcPr>
            <w:tcW w:w="3353" w:type="dxa"/>
            <w:vMerge w:val="restart"/>
            <w:tcBorders>
              <w:top w:val="single" w:sz="8" w:space="0" w:color="000000"/>
            </w:tcBorders>
            <w:tcMar>
              <w:top w:w="0" w:type="dxa"/>
              <w:left w:w="108" w:type="dxa"/>
              <w:bottom w:w="0" w:type="dxa"/>
              <w:right w:w="108" w:type="dxa"/>
            </w:tcMar>
          </w:tcPr>
          <w:p w14:paraId="68816E09"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486735D9"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F1: Rechazo hacia la manifestación pública de la homosexualidad</w:t>
            </w:r>
          </w:p>
        </w:tc>
        <w:tc>
          <w:tcPr>
            <w:tcW w:w="706" w:type="dxa"/>
            <w:tcBorders>
              <w:top w:val="single" w:sz="8" w:space="0" w:color="000000"/>
            </w:tcBorders>
            <w:tcMar>
              <w:top w:w="0" w:type="dxa"/>
              <w:left w:w="108" w:type="dxa"/>
              <w:bottom w:w="0" w:type="dxa"/>
              <w:right w:w="108" w:type="dxa"/>
            </w:tcMar>
          </w:tcPr>
          <w:p w14:paraId="3A8992D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w:t>
            </w:r>
          </w:p>
        </w:tc>
        <w:tc>
          <w:tcPr>
            <w:tcW w:w="692" w:type="dxa"/>
            <w:tcBorders>
              <w:top w:val="single" w:sz="8" w:space="0" w:color="000000"/>
            </w:tcBorders>
            <w:tcMar>
              <w:top w:w="0" w:type="dxa"/>
              <w:left w:w="108" w:type="dxa"/>
              <w:bottom w:w="0" w:type="dxa"/>
              <w:right w:w="108" w:type="dxa"/>
            </w:tcMar>
          </w:tcPr>
          <w:p w14:paraId="4AD3D145"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.46*</w:t>
            </w:r>
          </w:p>
        </w:tc>
        <w:tc>
          <w:tcPr>
            <w:tcW w:w="665" w:type="dxa"/>
            <w:tcBorders>
              <w:top w:val="single" w:sz="8" w:space="0" w:color="000000"/>
            </w:tcBorders>
            <w:tcMar>
              <w:top w:w="0" w:type="dxa"/>
              <w:left w:w="108" w:type="dxa"/>
              <w:bottom w:w="0" w:type="dxa"/>
              <w:right w:w="108" w:type="dxa"/>
            </w:tcMar>
          </w:tcPr>
          <w:p w14:paraId="3B102B9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.21</w:t>
            </w:r>
          </w:p>
        </w:tc>
        <w:tc>
          <w:tcPr>
            <w:tcW w:w="821" w:type="dxa"/>
            <w:tcBorders>
              <w:top w:val="single" w:sz="8" w:space="0" w:color="000000"/>
            </w:tcBorders>
            <w:tcMar>
              <w:top w:w="0" w:type="dxa"/>
              <w:left w:w="108" w:type="dxa"/>
              <w:bottom w:w="0" w:type="dxa"/>
              <w:right w:w="108" w:type="dxa"/>
            </w:tcMar>
          </w:tcPr>
          <w:p w14:paraId="7666274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19.76</w:t>
            </w:r>
          </w:p>
        </w:tc>
        <w:tc>
          <w:tcPr>
            <w:tcW w:w="567" w:type="dxa"/>
            <w:tcBorders>
              <w:top w:val="single" w:sz="8" w:space="0" w:color="000000"/>
            </w:tcBorders>
            <w:tcMar>
              <w:top w:w="0" w:type="dxa"/>
              <w:left w:w="108" w:type="dxa"/>
              <w:bottom w:w="0" w:type="dxa"/>
              <w:right w:w="108" w:type="dxa"/>
            </w:tcMar>
          </w:tcPr>
          <w:p w14:paraId="47FE020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.32</w:t>
            </w:r>
          </w:p>
        </w:tc>
        <w:tc>
          <w:tcPr>
            <w:tcW w:w="709" w:type="dxa"/>
            <w:tcBorders>
              <w:top w:val="single" w:sz="8" w:space="0" w:color="000000"/>
            </w:tcBorders>
            <w:tcMar>
              <w:top w:w="0" w:type="dxa"/>
              <w:left w:w="108" w:type="dxa"/>
              <w:bottom w:w="0" w:type="dxa"/>
              <w:right w:w="108" w:type="dxa"/>
            </w:tcMar>
          </w:tcPr>
          <w:p w14:paraId="76A0663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20" w:type="dxa"/>
            <w:tcBorders>
              <w:top w:val="single" w:sz="8" w:space="0" w:color="000000"/>
            </w:tcBorders>
            <w:tcMar>
              <w:top w:w="0" w:type="dxa"/>
              <w:left w:w="108" w:type="dxa"/>
              <w:bottom w:w="0" w:type="dxa"/>
              <w:right w:w="108" w:type="dxa"/>
            </w:tcMar>
          </w:tcPr>
          <w:p w14:paraId="027F05A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20" w:type="dxa"/>
            <w:tcBorders>
              <w:top w:val="single" w:sz="8" w:space="0" w:color="000000"/>
            </w:tcBorders>
            <w:tcMar>
              <w:top w:w="0" w:type="dxa"/>
              <w:left w:w="108" w:type="dxa"/>
              <w:bottom w:w="0" w:type="dxa"/>
              <w:right w:w="108" w:type="dxa"/>
            </w:tcMar>
          </w:tcPr>
          <w:p w14:paraId="5E07D8D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r>
      <w:tr w:rsidR="00D37CF0" w:rsidRPr="00332399" w14:paraId="52C5958D" w14:textId="77777777" w:rsidTr="00332399">
        <w:trPr>
          <w:gridAfter w:val="1"/>
          <w:wAfter w:w="7" w:type="dxa"/>
          <w:trHeight w:val="300"/>
        </w:trPr>
        <w:tc>
          <w:tcPr>
            <w:tcW w:w="3353" w:type="dxa"/>
            <w:vMerge/>
            <w:tcBorders>
              <w:top w:val="single" w:sz="8" w:space="0" w:color="000000"/>
            </w:tcBorders>
            <w:tcMar>
              <w:top w:w="0" w:type="dxa"/>
              <w:left w:w="108" w:type="dxa"/>
              <w:bottom w:w="0" w:type="dxa"/>
              <w:right w:w="108" w:type="dxa"/>
            </w:tcMar>
          </w:tcPr>
          <w:p w14:paraId="4C3EC126"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1E84B10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w:t>
            </w:r>
          </w:p>
        </w:tc>
        <w:tc>
          <w:tcPr>
            <w:tcW w:w="692" w:type="dxa"/>
            <w:tcMar>
              <w:top w:w="0" w:type="dxa"/>
              <w:left w:w="108" w:type="dxa"/>
              <w:bottom w:w="0" w:type="dxa"/>
              <w:right w:w="108" w:type="dxa"/>
            </w:tcMar>
          </w:tcPr>
          <w:p w14:paraId="63888520"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.78*</w:t>
            </w:r>
          </w:p>
        </w:tc>
        <w:tc>
          <w:tcPr>
            <w:tcW w:w="665" w:type="dxa"/>
            <w:tcMar>
              <w:top w:w="0" w:type="dxa"/>
              <w:left w:w="108" w:type="dxa"/>
              <w:bottom w:w="0" w:type="dxa"/>
              <w:right w:w="108" w:type="dxa"/>
            </w:tcMar>
          </w:tcPr>
          <w:p w14:paraId="07681B2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.61</w:t>
            </w:r>
          </w:p>
        </w:tc>
        <w:tc>
          <w:tcPr>
            <w:tcW w:w="821" w:type="dxa"/>
            <w:tcMar>
              <w:top w:w="0" w:type="dxa"/>
              <w:left w:w="108" w:type="dxa"/>
              <w:bottom w:w="0" w:type="dxa"/>
              <w:right w:w="108" w:type="dxa"/>
            </w:tcMar>
          </w:tcPr>
          <w:p w14:paraId="3FE7858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5.05</w:t>
            </w:r>
          </w:p>
        </w:tc>
        <w:tc>
          <w:tcPr>
            <w:tcW w:w="567" w:type="dxa"/>
            <w:tcMar>
              <w:top w:w="0" w:type="dxa"/>
              <w:left w:w="108" w:type="dxa"/>
              <w:bottom w:w="0" w:type="dxa"/>
              <w:right w:w="108" w:type="dxa"/>
            </w:tcMar>
          </w:tcPr>
          <w:p w14:paraId="2FFA99B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.38</w:t>
            </w:r>
          </w:p>
        </w:tc>
        <w:tc>
          <w:tcPr>
            <w:tcW w:w="709" w:type="dxa"/>
            <w:tcMar>
              <w:top w:w="0" w:type="dxa"/>
              <w:left w:w="108" w:type="dxa"/>
              <w:bottom w:w="0" w:type="dxa"/>
              <w:right w:w="108" w:type="dxa"/>
            </w:tcMar>
          </w:tcPr>
          <w:p w14:paraId="3BE8874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c>
          <w:tcPr>
            <w:tcW w:w="720" w:type="dxa"/>
            <w:tcMar>
              <w:top w:w="0" w:type="dxa"/>
              <w:left w:w="108" w:type="dxa"/>
              <w:bottom w:w="0" w:type="dxa"/>
              <w:right w:w="108" w:type="dxa"/>
            </w:tcMar>
          </w:tcPr>
          <w:p w14:paraId="629AA1A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720" w:type="dxa"/>
            <w:tcMar>
              <w:top w:w="0" w:type="dxa"/>
              <w:left w:w="108" w:type="dxa"/>
              <w:bottom w:w="0" w:type="dxa"/>
              <w:right w:w="108" w:type="dxa"/>
            </w:tcMar>
          </w:tcPr>
          <w:p w14:paraId="6138955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 .43</w:t>
            </w:r>
          </w:p>
        </w:tc>
      </w:tr>
      <w:tr w:rsidR="00D37CF0" w:rsidRPr="00332399" w14:paraId="5580394F" w14:textId="77777777" w:rsidTr="00332399">
        <w:trPr>
          <w:gridAfter w:val="1"/>
          <w:wAfter w:w="7" w:type="dxa"/>
          <w:trHeight w:val="300"/>
        </w:trPr>
        <w:tc>
          <w:tcPr>
            <w:tcW w:w="3353" w:type="dxa"/>
            <w:vMerge/>
            <w:tcBorders>
              <w:top w:val="single" w:sz="8" w:space="0" w:color="000000"/>
            </w:tcBorders>
            <w:tcMar>
              <w:top w:w="0" w:type="dxa"/>
              <w:left w:w="108" w:type="dxa"/>
              <w:bottom w:w="0" w:type="dxa"/>
              <w:right w:w="108" w:type="dxa"/>
            </w:tcMar>
          </w:tcPr>
          <w:p w14:paraId="01071A7E"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0890063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w:t>
            </w:r>
          </w:p>
        </w:tc>
        <w:tc>
          <w:tcPr>
            <w:tcW w:w="692" w:type="dxa"/>
            <w:tcMar>
              <w:top w:w="0" w:type="dxa"/>
              <w:left w:w="108" w:type="dxa"/>
              <w:bottom w:w="0" w:type="dxa"/>
              <w:right w:w="108" w:type="dxa"/>
            </w:tcMar>
          </w:tcPr>
          <w:p w14:paraId="184AB5BC"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.83*</w:t>
            </w:r>
          </w:p>
        </w:tc>
        <w:tc>
          <w:tcPr>
            <w:tcW w:w="665" w:type="dxa"/>
            <w:tcMar>
              <w:top w:w="0" w:type="dxa"/>
              <w:left w:w="108" w:type="dxa"/>
              <w:bottom w:w="0" w:type="dxa"/>
              <w:right w:w="108" w:type="dxa"/>
            </w:tcMar>
          </w:tcPr>
          <w:p w14:paraId="052ABF2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821" w:type="dxa"/>
            <w:tcMar>
              <w:top w:w="0" w:type="dxa"/>
              <w:left w:w="108" w:type="dxa"/>
              <w:bottom w:w="0" w:type="dxa"/>
              <w:right w:w="108" w:type="dxa"/>
            </w:tcMar>
          </w:tcPr>
          <w:p w14:paraId="53F4392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567" w:type="dxa"/>
            <w:tcMar>
              <w:top w:w="0" w:type="dxa"/>
              <w:left w:w="108" w:type="dxa"/>
              <w:bottom w:w="0" w:type="dxa"/>
              <w:right w:w="108" w:type="dxa"/>
            </w:tcMar>
          </w:tcPr>
          <w:p w14:paraId="5B41B0F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.41</w:t>
            </w:r>
          </w:p>
        </w:tc>
        <w:tc>
          <w:tcPr>
            <w:tcW w:w="709" w:type="dxa"/>
            <w:tcMar>
              <w:top w:w="0" w:type="dxa"/>
              <w:left w:w="108" w:type="dxa"/>
              <w:bottom w:w="0" w:type="dxa"/>
              <w:right w:w="108" w:type="dxa"/>
            </w:tcMar>
          </w:tcPr>
          <w:p w14:paraId="023019B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.87*</w:t>
            </w:r>
          </w:p>
        </w:tc>
        <w:tc>
          <w:tcPr>
            <w:tcW w:w="720" w:type="dxa"/>
            <w:tcMar>
              <w:top w:w="0" w:type="dxa"/>
              <w:left w:w="108" w:type="dxa"/>
              <w:bottom w:w="0" w:type="dxa"/>
              <w:right w:w="108" w:type="dxa"/>
            </w:tcMar>
          </w:tcPr>
          <w:p w14:paraId="0A57CE6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.74</w:t>
            </w:r>
          </w:p>
        </w:tc>
        <w:tc>
          <w:tcPr>
            <w:tcW w:w="720" w:type="dxa"/>
            <w:tcMar>
              <w:top w:w="0" w:type="dxa"/>
              <w:left w:w="108" w:type="dxa"/>
              <w:bottom w:w="0" w:type="dxa"/>
              <w:right w:w="108" w:type="dxa"/>
            </w:tcMar>
          </w:tcPr>
          <w:p w14:paraId="659663D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.49</w:t>
            </w:r>
          </w:p>
        </w:tc>
      </w:tr>
      <w:tr w:rsidR="00D37CF0" w:rsidRPr="00332399" w14:paraId="5FAD286D" w14:textId="77777777" w:rsidTr="00332399">
        <w:trPr>
          <w:gridAfter w:val="1"/>
          <w:wAfter w:w="7" w:type="dxa"/>
          <w:trHeight w:val="300"/>
        </w:trPr>
        <w:tc>
          <w:tcPr>
            <w:tcW w:w="3353" w:type="dxa"/>
            <w:vMerge/>
            <w:tcBorders>
              <w:top w:val="single" w:sz="8" w:space="0" w:color="000000"/>
            </w:tcBorders>
            <w:tcMar>
              <w:top w:w="0" w:type="dxa"/>
              <w:left w:w="108" w:type="dxa"/>
              <w:bottom w:w="0" w:type="dxa"/>
              <w:right w:w="108" w:type="dxa"/>
            </w:tcMar>
          </w:tcPr>
          <w:p w14:paraId="332367F0"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70572CA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w:t>
            </w:r>
          </w:p>
        </w:tc>
        <w:tc>
          <w:tcPr>
            <w:tcW w:w="692" w:type="dxa"/>
            <w:tcMar>
              <w:top w:w="0" w:type="dxa"/>
              <w:left w:w="108" w:type="dxa"/>
              <w:bottom w:w="0" w:type="dxa"/>
              <w:right w:w="108" w:type="dxa"/>
            </w:tcMar>
          </w:tcPr>
          <w:p w14:paraId="5B5964BA"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.67*</w:t>
            </w:r>
          </w:p>
        </w:tc>
        <w:tc>
          <w:tcPr>
            <w:tcW w:w="665" w:type="dxa"/>
            <w:tcMar>
              <w:top w:w="0" w:type="dxa"/>
              <w:left w:w="108" w:type="dxa"/>
              <w:bottom w:w="0" w:type="dxa"/>
              <w:right w:w="108" w:type="dxa"/>
            </w:tcMar>
          </w:tcPr>
          <w:p w14:paraId="0F7A0DD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.45</w:t>
            </w:r>
          </w:p>
        </w:tc>
        <w:tc>
          <w:tcPr>
            <w:tcW w:w="821" w:type="dxa"/>
            <w:tcMar>
              <w:top w:w="0" w:type="dxa"/>
              <w:left w:w="108" w:type="dxa"/>
              <w:bottom w:w="0" w:type="dxa"/>
              <w:right w:w="108" w:type="dxa"/>
            </w:tcMar>
          </w:tcPr>
          <w:p w14:paraId="5872860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2.86</w:t>
            </w:r>
          </w:p>
        </w:tc>
        <w:tc>
          <w:tcPr>
            <w:tcW w:w="567" w:type="dxa"/>
            <w:tcMar>
              <w:top w:w="0" w:type="dxa"/>
              <w:left w:w="108" w:type="dxa"/>
              <w:bottom w:w="0" w:type="dxa"/>
              <w:right w:w="108" w:type="dxa"/>
            </w:tcMar>
          </w:tcPr>
          <w:p w14:paraId="3C8D14A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.37</w:t>
            </w:r>
          </w:p>
        </w:tc>
        <w:tc>
          <w:tcPr>
            <w:tcW w:w="709" w:type="dxa"/>
            <w:tcMar>
              <w:top w:w="0" w:type="dxa"/>
              <w:left w:w="108" w:type="dxa"/>
              <w:bottom w:w="0" w:type="dxa"/>
              <w:right w:w="108" w:type="dxa"/>
            </w:tcMar>
          </w:tcPr>
          <w:p w14:paraId="0B5E67D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.68*</w:t>
            </w:r>
          </w:p>
        </w:tc>
        <w:tc>
          <w:tcPr>
            <w:tcW w:w="720" w:type="dxa"/>
            <w:tcMar>
              <w:top w:w="0" w:type="dxa"/>
              <w:left w:w="108" w:type="dxa"/>
              <w:bottom w:w="0" w:type="dxa"/>
              <w:right w:w="108" w:type="dxa"/>
            </w:tcMar>
          </w:tcPr>
          <w:p w14:paraId="3FC38CA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.46</w:t>
            </w:r>
          </w:p>
        </w:tc>
        <w:tc>
          <w:tcPr>
            <w:tcW w:w="720" w:type="dxa"/>
            <w:tcMar>
              <w:top w:w="0" w:type="dxa"/>
              <w:left w:w="108" w:type="dxa"/>
              <w:bottom w:w="0" w:type="dxa"/>
              <w:right w:w="108" w:type="dxa"/>
            </w:tcMar>
          </w:tcPr>
          <w:p w14:paraId="4BF70CA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.42</w:t>
            </w:r>
          </w:p>
        </w:tc>
      </w:tr>
      <w:tr w:rsidR="00D37CF0" w:rsidRPr="00332399" w14:paraId="4B89644F" w14:textId="77777777" w:rsidTr="00332399">
        <w:trPr>
          <w:gridAfter w:val="1"/>
          <w:wAfter w:w="7" w:type="dxa"/>
          <w:trHeight w:val="330"/>
        </w:trPr>
        <w:tc>
          <w:tcPr>
            <w:tcW w:w="3353" w:type="dxa"/>
            <w:vMerge w:val="restart"/>
            <w:tcMar>
              <w:top w:w="0" w:type="dxa"/>
              <w:left w:w="108" w:type="dxa"/>
              <w:bottom w:w="0" w:type="dxa"/>
              <w:right w:w="108" w:type="dxa"/>
            </w:tcMar>
          </w:tcPr>
          <w:p w14:paraId="10F4BB90"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17CC2E40"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F2: Rechazo al propio deseo sexual</w:t>
            </w:r>
          </w:p>
        </w:tc>
        <w:tc>
          <w:tcPr>
            <w:tcW w:w="706" w:type="dxa"/>
            <w:tcMar>
              <w:top w:w="0" w:type="dxa"/>
              <w:left w:w="108" w:type="dxa"/>
              <w:bottom w:w="0" w:type="dxa"/>
              <w:right w:w="108" w:type="dxa"/>
            </w:tcMar>
          </w:tcPr>
          <w:p w14:paraId="0F1703C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w:t>
            </w:r>
          </w:p>
        </w:tc>
        <w:tc>
          <w:tcPr>
            <w:tcW w:w="692" w:type="dxa"/>
            <w:tcMar>
              <w:top w:w="0" w:type="dxa"/>
              <w:left w:w="108" w:type="dxa"/>
              <w:bottom w:w="0" w:type="dxa"/>
              <w:right w:w="108" w:type="dxa"/>
            </w:tcMar>
          </w:tcPr>
          <w:p w14:paraId="00F98BF2"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.73*</w:t>
            </w:r>
          </w:p>
        </w:tc>
        <w:tc>
          <w:tcPr>
            <w:tcW w:w="665" w:type="dxa"/>
            <w:tcMar>
              <w:top w:w="0" w:type="dxa"/>
              <w:left w:w="108" w:type="dxa"/>
              <w:bottom w:w="0" w:type="dxa"/>
              <w:right w:w="108" w:type="dxa"/>
            </w:tcMar>
          </w:tcPr>
          <w:p w14:paraId="007A666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w:t>
            </w:r>
          </w:p>
        </w:tc>
        <w:tc>
          <w:tcPr>
            <w:tcW w:w="821" w:type="dxa"/>
            <w:tcMar>
              <w:top w:w="0" w:type="dxa"/>
              <w:left w:w="108" w:type="dxa"/>
              <w:bottom w:w="0" w:type="dxa"/>
              <w:right w:w="108" w:type="dxa"/>
            </w:tcMar>
          </w:tcPr>
          <w:p w14:paraId="72B8678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1.53</w:t>
            </w:r>
          </w:p>
        </w:tc>
        <w:tc>
          <w:tcPr>
            <w:tcW w:w="567" w:type="dxa"/>
            <w:tcMar>
              <w:top w:w="0" w:type="dxa"/>
              <w:left w:w="108" w:type="dxa"/>
              <w:bottom w:w="0" w:type="dxa"/>
              <w:right w:w="108" w:type="dxa"/>
            </w:tcMar>
          </w:tcPr>
          <w:p w14:paraId="2769462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.40</w:t>
            </w:r>
          </w:p>
        </w:tc>
        <w:tc>
          <w:tcPr>
            <w:tcW w:w="709" w:type="dxa"/>
            <w:tcMar>
              <w:top w:w="0" w:type="dxa"/>
              <w:left w:w="108" w:type="dxa"/>
              <w:bottom w:w="0" w:type="dxa"/>
              <w:right w:w="108" w:type="dxa"/>
            </w:tcMar>
          </w:tcPr>
          <w:p w14:paraId="0CB615A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.73*</w:t>
            </w:r>
          </w:p>
        </w:tc>
        <w:tc>
          <w:tcPr>
            <w:tcW w:w="720" w:type="dxa"/>
            <w:tcMar>
              <w:top w:w="0" w:type="dxa"/>
              <w:left w:w="108" w:type="dxa"/>
              <w:bottom w:w="0" w:type="dxa"/>
              <w:right w:w="108" w:type="dxa"/>
            </w:tcMar>
          </w:tcPr>
          <w:p w14:paraId="4068567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.53</w:t>
            </w:r>
          </w:p>
        </w:tc>
        <w:tc>
          <w:tcPr>
            <w:tcW w:w="720" w:type="dxa"/>
            <w:tcMar>
              <w:top w:w="0" w:type="dxa"/>
              <w:left w:w="108" w:type="dxa"/>
              <w:bottom w:w="0" w:type="dxa"/>
              <w:right w:w="108" w:type="dxa"/>
            </w:tcMar>
          </w:tcPr>
          <w:p w14:paraId="7DCA0E0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.45</w:t>
            </w:r>
          </w:p>
        </w:tc>
      </w:tr>
      <w:tr w:rsidR="00D37CF0" w:rsidRPr="00332399" w14:paraId="75457D98" w14:textId="77777777" w:rsidTr="00332399">
        <w:trPr>
          <w:gridAfter w:val="1"/>
          <w:wAfter w:w="7" w:type="dxa"/>
          <w:trHeight w:val="300"/>
        </w:trPr>
        <w:tc>
          <w:tcPr>
            <w:tcW w:w="3353" w:type="dxa"/>
            <w:vMerge/>
            <w:tcMar>
              <w:top w:w="0" w:type="dxa"/>
              <w:left w:w="108" w:type="dxa"/>
              <w:bottom w:w="0" w:type="dxa"/>
              <w:right w:w="108" w:type="dxa"/>
            </w:tcMar>
          </w:tcPr>
          <w:p w14:paraId="70D9FA0C"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755A85E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w:t>
            </w:r>
          </w:p>
        </w:tc>
        <w:tc>
          <w:tcPr>
            <w:tcW w:w="692" w:type="dxa"/>
            <w:tcMar>
              <w:top w:w="0" w:type="dxa"/>
              <w:left w:w="108" w:type="dxa"/>
              <w:bottom w:w="0" w:type="dxa"/>
              <w:right w:w="108" w:type="dxa"/>
            </w:tcMar>
          </w:tcPr>
          <w:p w14:paraId="2CD016AF"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.82*</w:t>
            </w:r>
          </w:p>
        </w:tc>
        <w:tc>
          <w:tcPr>
            <w:tcW w:w="665" w:type="dxa"/>
            <w:tcMar>
              <w:top w:w="0" w:type="dxa"/>
              <w:left w:w="108" w:type="dxa"/>
              <w:bottom w:w="0" w:type="dxa"/>
              <w:right w:w="108" w:type="dxa"/>
            </w:tcMar>
          </w:tcPr>
          <w:p w14:paraId="460305B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821" w:type="dxa"/>
            <w:tcMar>
              <w:top w:w="0" w:type="dxa"/>
              <w:left w:w="108" w:type="dxa"/>
              <w:bottom w:w="0" w:type="dxa"/>
              <w:right w:w="108" w:type="dxa"/>
            </w:tcMar>
          </w:tcPr>
          <w:p w14:paraId="7CFF755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4.16</w:t>
            </w:r>
          </w:p>
        </w:tc>
        <w:tc>
          <w:tcPr>
            <w:tcW w:w="567" w:type="dxa"/>
            <w:tcMar>
              <w:top w:w="0" w:type="dxa"/>
              <w:left w:w="108" w:type="dxa"/>
              <w:bottom w:w="0" w:type="dxa"/>
              <w:right w:w="108" w:type="dxa"/>
            </w:tcMar>
          </w:tcPr>
          <w:p w14:paraId="6F45F42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.61</w:t>
            </w:r>
          </w:p>
        </w:tc>
        <w:tc>
          <w:tcPr>
            <w:tcW w:w="709" w:type="dxa"/>
            <w:tcMar>
              <w:top w:w="0" w:type="dxa"/>
              <w:left w:w="108" w:type="dxa"/>
              <w:bottom w:w="0" w:type="dxa"/>
              <w:right w:w="108" w:type="dxa"/>
            </w:tcMar>
          </w:tcPr>
          <w:p w14:paraId="69B4831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.82*</w:t>
            </w:r>
          </w:p>
        </w:tc>
        <w:tc>
          <w:tcPr>
            <w:tcW w:w="720" w:type="dxa"/>
            <w:tcMar>
              <w:top w:w="0" w:type="dxa"/>
              <w:left w:w="108" w:type="dxa"/>
              <w:bottom w:w="0" w:type="dxa"/>
              <w:right w:w="108" w:type="dxa"/>
            </w:tcMar>
          </w:tcPr>
          <w:p w14:paraId="4D16CE9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720" w:type="dxa"/>
            <w:tcMar>
              <w:top w:w="0" w:type="dxa"/>
              <w:left w:w="108" w:type="dxa"/>
              <w:bottom w:w="0" w:type="dxa"/>
              <w:right w:w="108" w:type="dxa"/>
            </w:tcMar>
          </w:tcPr>
          <w:p w14:paraId="7F01707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.66</w:t>
            </w:r>
          </w:p>
        </w:tc>
      </w:tr>
      <w:tr w:rsidR="00D37CF0" w:rsidRPr="00332399" w14:paraId="46DDB341" w14:textId="77777777" w:rsidTr="00332399">
        <w:trPr>
          <w:gridAfter w:val="1"/>
          <w:wAfter w:w="7" w:type="dxa"/>
          <w:trHeight w:val="300"/>
        </w:trPr>
        <w:tc>
          <w:tcPr>
            <w:tcW w:w="3353" w:type="dxa"/>
            <w:vMerge/>
            <w:tcMar>
              <w:top w:w="0" w:type="dxa"/>
              <w:left w:w="108" w:type="dxa"/>
              <w:bottom w:w="0" w:type="dxa"/>
              <w:right w:w="108" w:type="dxa"/>
            </w:tcMar>
          </w:tcPr>
          <w:p w14:paraId="05F018BF"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66F219D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w:t>
            </w:r>
          </w:p>
        </w:tc>
        <w:tc>
          <w:tcPr>
            <w:tcW w:w="692" w:type="dxa"/>
            <w:tcMar>
              <w:top w:w="0" w:type="dxa"/>
              <w:left w:w="108" w:type="dxa"/>
              <w:bottom w:w="0" w:type="dxa"/>
              <w:right w:w="108" w:type="dxa"/>
            </w:tcMar>
          </w:tcPr>
          <w:p w14:paraId="70D67817"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.79*</w:t>
            </w:r>
          </w:p>
        </w:tc>
        <w:tc>
          <w:tcPr>
            <w:tcW w:w="665" w:type="dxa"/>
            <w:tcMar>
              <w:top w:w="0" w:type="dxa"/>
              <w:left w:w="108" w:type="dxa"/>
              <w:bottom w:w="0" w:type="dxa"/>
              <w:right w:w="108" w:type="dxa"/>
            </w:tcMar>
          </w:tcPr>
          <w:p w14:paraId="6EC9F78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.62</w:t>
            </w:r>
          </w:p>
        </w:tc>
        <w:tc>
          <w:tcPr>
            <w:tcW w:w="821" w:type="dxa"/>
            <w:tcMar>
              <w:top w:w="0" w:type="dxa"/>
              <w:left w:w="108" w:type="dxa"/>
              <w:bottom w:w="0" w:type="dxa"/>
              <w:right w:w="108" w:type="dxa"/>
            </w:tcMar>
          </w:tcPr>
          <w:p w14:paraId="5529C28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.63</w:t>
            </w:r>
          </w:p>
        </w:tc>
        <w:tc>
          <w:tcPr>
            <w:tcW w:w="567" w:type="dxa"/>
            <w:tcMar>
              <w:top w:w="0" w:type="dxa"/>
              <w:left w:w="108" w:type="dxa"/>
              <w:bottom w:w="0" w:type="dxa"/>
              <w:right w:w="108" w:type="dxa"/>
            </w:tcMar>
          </w:tcPr>
          <w:p w14:paraId="3E1939D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.58</w:t>
            </w:r>
          </w:p>
        </w:tc>
        <w:tc>
          <w:tcPr>
            <w:tcW w:w="709" w:type="dxa"/>
            <w:tcMar>
              <w:top w:w="0" w:type="dxa"/>
              <w:left w:w="108" w:type="dxa"/>
              <w:bottom w:w="0" w:type="dxa"/>
              <w:right w:w="108" w:type="dxa"/>
            </w:tcMar>
          </w:tcPr>
          <w:p w14:paraId="68CDDEA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.79*</w:t>
            </w:r>
          </w:p>
        </w:tc>
        <w:tc>
          <w:tcPr>
            <w:tcW w:w="720" w:type="dxa"/>
            <w:tcMar>
              <w:top w:w="0" w:type="dxa"/>
              <w:left w:w="108" w:type="dxa"/>
              <w:bottom w:w="0" w:type="dxa"/>
              <w:right w:w="108" w:type="dxa"/>
            </w:tcMar>
          </w:tcPr>
          <w:p w14:paraId="3CE380D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.62</w:t>
            </w:r>
          </w:p>
        </w:tc>
        <w:tc>
          <w:tcPr>
            <w:tcW w:w="720" w:type="dxa"/>
            <w:tcMar>
              <w:top w:w="0" w:type="dxa"/>
              <w:left w:w="108" w:type="dxa"/>
              <w:bottom w:w="0" w:type="dxa"/>
              <w:right w:w="108" w:type="dxa"/>
            </w:tcMar>
          </w:tcPr>
          <w:p w14:paraId="7ED184B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.63</w:t>
            </w:r>
          </w:p>
        </w:tc>
      </w:tr>
      <w:tr w:rsidR="00D37CF0" w:rsidRPr="00332399" w14:paraId="10A5A992" w14:textId="77777777" w:rsidTr="00332399">
        <w:trPr>
          <w:gridAfter w:val="1"/>
          <w:wAfter w:w="7" w:type="dxa"/>
          <w:trHeight w:val="300"/>
        </w:trPr>
        <w:tc>
          <w:tcPr>
            <w:tcW w:w="3353" w:type="dxa"/>
            <w:vMerge w:val="restart"/>
            <w:tcMar>
              <w:top w:w="0" w:type="dxa"/>
              <w:left w:w="108" w:type="dxa"/>
              <w:bottom w:w="0" w:type="dxa"/>
              <w:right w:w="108" w:type="dxa"/>
            </w:tcMar>
          </w:tcPr>
          <w:p w14:paraId="42329CCE"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p>
          <w:p w14:paraId="310D805C" w14:textId="6A079474" w:rsidR="00D37CF0" w:rsidRPr="00332399" w:rsidRDefault="00D37CF0" w:rsidP="00D57FC9">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F3: Incapacidad para la intimidad con personas homosexuales</w:t>
            </w:r>
          </w:p>
        </w:tc>
        <w:tc>
          <w:tcPr>
            <w:tcW w:w="706" w:type="dxa"/>
            <w:tcMar>
              <w:top w:w="0" w:type="dxa"/>
              <w:left w:w="108" w:type="dxa"/>
              <w:bottom w:w="0" w:type="dxa"/>
              <w:right w:w="108" w:type="dxa"/>
            </w:tcMar>
          </w:tcPr>
          <w:p w14:paraId="6E020F6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w:t>
            </w:r>
          </w:p>
        </w:tc>
        <w:tc>
          <w:tcPr>
            <w:tcW w:w="692" w:type="dxa"/>
            <w:tcMar>
              <w:top w:w="0" w:type="dxa"/>
              <w:left w:w="108" w:type="dxa"/>
              <w:bottom w:w="0" w:type="dxa"/>
              <w:right w:w="108" w:type="dxa"/>
            </w:tcMar>
          </w:tcPr>
          <w:p w14:paraId="6015D548"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.78*</w:t>
            </w:r>
          </w:p>
        </w:tc>
        <w:tc>
          <w:tcPr>
            <w:tcW w:w="665" w:type="dxa"/>
            <w:tcMar>
              <w:top w:w="0" w:type="dxa"/>
              <w:left w:w="108" w:type="dxa"/>
              <w:bottom w:w="0" w:type="dxa"/>
              <w:right w:w="108" w:type="dxa"/>
            </w:tcMar>
          </w:tcPr>
          <w:p w14:paraId="40A4168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.61</w:t>
            </w:r>
          </w:p>
        </w:tc>
        <w:tc>
          <w:tcPr>
            <w:tcW w:w="821" w:type="dxa"/>
            <w:tcMar>
              <w:top w:w="0" w:type="dxa"/>
              <w:left w:w="108" w:type="dxa"/>
              <w:bottom w:w="0" w:type="dxa"/>
              <w:right w:w="108" w:type="dxa"/>
            </w:tcMar>
          </w:tcPr>
          <w:p w14:paraId="72011E0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10.36</w:t>
            </w:r>
          </w:p>
        </w:tc>
        <w:tc>
          <w:tcPr>
            <w:tcW w:w="567" w:type="dxa"/>
            <w:tcMar>
              <w:top w:w="0" w:type="dxa"/>
              <w:left w:w="108" w:type="dxa"/>
              <w:bottom w:w="0" w:type="dxa"/>
              <w:right w:w="108" w:type="dxa"/>
            </w:tcMar>
          </w:tcPr>
          <w:p w14:paraId="2FEA868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.62</w:t>
            </w:r>
          </w:p>
        </w:tc>
        <w:tc>
          <w:tcPr>
            <w:tcW w:w="709" w:type="dxa"/>
            <w:tcMar>
              <w:top w:w="0" w:type="dxa"/>
              <w:left w:w="108" w:type="dxa"/>
              <w:bottom w:w="0" w:type="dxa"/>
              <w:right w:w="108" w:type="dxa"/>
            </w:tcMar>
          </w:tcPr>
          <w:p w14:paraId="5336DC1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.78*</w:t>
            </w:r>
          </w:p>
        </w:tc>
        <w:tc>
          <w:tcPr>
            <w:tcW w:w="720" w:type="dxa"/>
            <w:tcMar>
              <w:top w:w="0" w:type="dxa"/>
              <w:left w:w="108" w:type="dxa"/>
              <w:bottom w:w="0" w:type="dxa"/>
              <w:right w:w="108" w:type="dxa"/>
            </w:tcMar>
          </w:tcPr>
          <w:p w14:paraId="7AA6B81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.61</w:t>
            </w:r>
          </w:p>
        </w:tc>
        <w:tc>
          <w:tcPr>
            <w:tcW w:w="720" w:type="dxa"/>
            <w:tcMar>
              <w:top w:w="0" w:type="dxa"/>
              <w:left w:w="108" w:type="dxa"/>
              <w:bottom w:w="0" w:type="dxa"/>
              <w:right w:w="108" w:type="dxa"/>
            </w:tcMar>
          </w:tcPr>
          <w:p w14:paraId="68F16B1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.68</w:t>
            </w:r>
          </w:p>
        </w:tc>
      </w:tr>
      <w:tr w:rsidR="00D37CF0" w:rsidRPr="00332399" w14:paraId="667BFBB8" w14:textId="77777777" w:rsidTr="00332399">
        <w:trPr>
          <w:gridAfter w:val="1"/>
          <w:wAfter w:w="7" w:type="dxa"/>
          <w:trHeight w:val="300"/>
        </w:trPr>
        <w:tc>
          <w:tcPr>
            <w:tcW w:w="3353" w:type="dxa"/>
            <w:vMerge/>
            <w:tcMar>
              <w:top w:w="0" w:type="dxa"/>
              <w:left w:w="108" w:type="dxa"/>
              <w:bottom w:w="0" w:type="dxa"/>
              <w:right w:w="108" w:type="dxa"/>
            </w:tcMar>
          </w:tcPr>
          <w:p w14:paraId="3E670E92"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12A6CA4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w:t>
            </w:r>
          </w:p>
        </w:tc>
        <w:tc>
          <w:tcPr>
            <w:tcW w:w="692" w:type="dxa"/>
            <w:tcMar>
              <w:top w:w="0" w:type="dxa"/>
              <w:left w:w="108" w:type="dxa"/>
              <w:bottom w:w="0" w:type="dxa"/>
              <w:right w:w="108" w:type="dxa"/>
            </w:tcMar>
          </w:tcPr>
          <w:p w14:paraId="23AB24CB"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.86*</w:t>
            </w:r>
          </w:p>
        </w:tc>
        <w:tc>
          <w:tcPr>
            <w:tcW w:w="665" w:type="dxa"/>
            <w:tcMar>
              <w:top w:w="0" w:type="dxa"/>
              <w:left w:w="108" w:type="dxa"/>
              <w:bottom w:w="0" w:type="dxa"/>
              <w:right w:w="108" w:type="dxa"/>
            </w:tcMar>
          </w:tcPr>
          <w:p w14:paraId="77AF442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.74</w:t>
            </w:r>
          </w:p>
        </w:tc>
        <w:tc>
          <w:tcPr>
            <w:tcW w:w="821" w:type="dxa"/>
            <w:tcMar>
              <w:top w:w="0" w:type="dxa"/>
              <w:left w:w="108" w:type="dxa"/>
              <w:bottom w:w="0" w:type="dxa"/>
              <w:right w:w="108" w:type="dxa"/>
            </w:tcMar>
          </w:tcPr>
          <w:p w14:paraId="19D6862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.01</w:t>
            </w:r>
          </w:p>
        </w:tc>
        <w:tc>
          <w:tcPr>
            <w:tcW w:w="567" w:type="dxa"/>
            <w:tcMar>
              <w:top w:w="0" w:type="dxa"/>
              <w:left w:w="108" w:type="dxa"/>
              <w:bottom w:w="0" w:type="dxa"/>
              <w:right w:w="108" w:type="dxa"/>
            </w:tcMar>
          </w:tcPr>
          <w:p w14:paraId="55E554E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.78</w:t>
            </w:r>
          </w:p>
        </w:tc>
        <w:tc>
          <w:tcPr>
            <w:tcW w:w="709" w:type="dxa"/>
            <w:tcMar>
              <w:top w:w="0" w:type="dxa"/>
              <w:left w:w="108" w:type="dxa"/>
              <w:bottom w:w="0" w:type="dxa"/>
              <w:right w:w="108" w:type="dxa"/>
            </w:tcMar>
          </w:tcPr>
          <w:p w14:paraId="59F7918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.86*</w:t>
            </w:r>
          </w:p>
        </w:tc>
        <w:tc>
          <w:tcPr>
            <w:tcW w:w="720" w:type="dxa"/>
            <w:tcMar>
              <w:top w:w="0" w:type="dxa"/>
              <w:left w:w="108" w:type="dxa"/>
              <w:bottom w:w="0" w:type="dxa"/>
              <w:right w:w="108" w:type="dxa"/>
            </w:tcMar>
          </w:tcPr>
          <w:p w14:paraId="099730A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.74</w:t>
            </w:r>
          </w:p>
        </w:tc>
        <w:tc>
          <w:tcPr>
            <w:tcW w:w="720" w:type="dxa"/>
            <w:tcMar>
              <w:top w:w="0" w:type="dxa"/>
              <w:left w:w="108" w:type="dxa"/>
              <w:bottom w:w="0" w:type="dxa"/>
              <w:right w:w="108" w:type="dxa"/>
            </w:tcMar>
          </w:tcPr>
          <w:p w14:paraId="08314DA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.81</w:t>
            </w:r>
          </w:p>
        </w:tc>
      </w:tr>
      <w:tr w:rsidR="00D37CF0" w:rsidRPr="00332399" w14:paraId="39CCA4D9" w14:textId="77777777" w:rsidTr="00332399">
        <w:trPr>
          <w:gridAfter w:val="1"/>
          <w:wAfter w:w="7" w:type="dxa"/>
          <w:trHeight w:val="300"/>
        </w:trPr>
        <w:tc>
          <w:tcPr>
            <w:tcW w:w="3353" w:type="dxa"/>
            <w:vMerge/>
            <w:tcMar>
              <w:top w:w="0" w:type="dxa"/>
              <w:left w:w="108" w:type="dxa"/>
              <w:bottom w:w="0" w:type="dxa"/>
              <w:right w:w="108" w:type="dxa"/>
            </w:tcMar>
          </w:tcPr>
          <w:p w14:paraId="3D74A0B4"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3E45F19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w:t>
            </w:r>
          </w:p>
        </w:tc>
        <w:tc>
          <w:tcPr>
            <w:tcW w:w="692" w:type="dxa"/>
            <w:tcMar>
              <w:top w:w="0" w:type="dxa"/>
              <w:left w:w="108" w:type="dxa"/>
              <w:bottom w:w="0" w:type="dxa"/>
              <w:right w:w="108" w:type="dxa"/>
            </w:tcMar>
          </w:tcPr>
          <w:p w14:paraId="1C51B2F4"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.83*</w:t>
            </w:r>
          </w:p>
        </w:tc>
        <w:tc>
          <w:tcPr>
            <w:tcW w:w="665" w:type="dxa"/>
            <w:tcMar>
              <w:top w:w="0" w:type="dxa"/>
              <w:left w:w="108" w:type="dxa"/>
              <w:bottom w:w="0" w:type="dxa"/>
              <w:right w:w="108" w:type="dxa"/>
            </w:tcMar>
          </w:tcPr>
          <w:p w14:paraId="054AFB9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821" w:type="dxa"/>
            <w:tcMar>
              <w:top w:w="0" w:type="dxa"/>
              <w:left w:w="108" w:type="dxa"/>
              <w:bottom w:w="0" w:type="dxa"/>
              <w:right w:w="108" w:type="dxa"/>
            </w:tcMar>
          </w:tcPr>
          <w:p w14:paraId="28A32F4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5.06</w:t>
            </w:r>
          </w:p>
        </w:tc>
        <w:tc>
          <w:tcPr>
            <w:tcW w:w="567" w:type="dxa"/>
            <w:tcMar>
              <w:top w:w="0" w:type="dxa"/>
              <w:left w:w="108" w:type="dxa"/>
              <w:bottom w:w="0" w:type="dxa"/>
              <w:right w:w="108" w:type="dxa"/>
            </w:tcMar>
          </w:tcPr>
          <w:p w14:paraId="175A1CC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.39</w:t>
            </w:r>
          </w:p>
        </w:tc>
        <w:tc>
          <w:tcPr>
            <w:tcW w:w="709" w:type="dxa"/>
            <w:tcMar>
              <w:top w:w="0" w:type="dxa"/>
              <w:left w:w="108" w:type="dxa"/>
              <w:bottom w:w="0" w:type="dxa"/>
              <w:right w:w="108" w:type="dxa"/>
            </w:tcMar>
          </w:tcPr>
          <w:p w14:paraId="770DB6A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c>
          <w:tcPr>
            <w:tcW w:w="720" w:type="dxa"/>
            <w:tcMar>
              <w:top w:w="0" w:type="dxa"/>
              <w:left w:w="108" w:type="dxa"/>
              <w:bottom w:w="0" w:type="dxa"/>
              <w:right w:w="108" w:type="dxa"/>
            </w:tcMar>
          </w:tcPr>
          <w:p w14:paraId="6426359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720" w:type="dxa"/>
            <w:tcMar>
              <w:top w:w="0" w:type="dxa"/>
              <w:left w:w="108" w:type="dxa"/>
              <w:bottom w:w="0" w:type="dxa"/>
              <w:right w:w="108" w:type="dxa"/>
            </w:tcMar>
          </w:tcPr>
          <w:p w14:paraId="28E37A0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.43</w:t>
            </w:r>
          </w:p>
        </w:tc>
      </w:tr>
      <w:tr w:rsidR="00D37CF0" w:rsidRPr="00332399" w14:paraId="41319CDC" w14:textId="77777777" w:rsidTr="00332399">
        <w:trPr>
          <w:gridAfter w:val="1"/>
          <w:wAfter w:w="7" w:type="dxa"/>
          <w:trHeight w:val="300"/>
        </w:trPr>
        <w:tc>
          <w:tcPr>
            <w:tcW w:w="3353" w:type="dxa"/>
            <w:vMerge w:val="restart"/>
            <w:tcBorders>
              <w:bottom w:val="single" w:sz="8" w:space="0" w:color="000000"/>
            </w:tcBorders>
            <w:tcMar>
              <w:top w:w="0" w:type="dxa"/>
              <w:left w:w="108" w:type="dxa"/>
              <w:bottom w:w="0" w:type="dxa"/>
              <w:right w:w="108" w:type="dxa"/>
            </w:tcMar>
          </w:tcPr>
          <w:p w14:paraId="7ADCF7EA"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
          <w:p w14:paraId="0A1FB91B"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General</w:t>
            </w:r>
          </w:p>
        </w:tc>
        <w:tc>
          <w:tcPr>
            <w:tcW w:w="706" w:type="dxa"/>
            <w:tcMar>
              <w:top w:w="0" w:type="dxa"/>
              <w:left w:w="108" w:type="dxa"/>
              <w:bottom w:w="0" w:type="dxa"/>
              <w:right w:w="108" w:type="dxa"/>
            </w:tcMar>
          </w:tcPr>
          <w:p w14:paraId="7E0D064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 F1</w:t>
            </w:r>
          </w:p>
        </w:tc>
        <w:tc>
          <w:tcPr>
            <w:tcW w:w="692" w:type="dxa"/>
            <w:tcMar>
              <w:top w:w="0" w:type="dxa"/>
              <w:left w:w="108" w:type="dxa"/>
              <w:bottom w:w="0" w:type="dxa"/>
              <w:right w:w="108" w:type="dxa"/>
            </w:tcMar>
          </w:tcPr>
          <w:p w14:paraId="54B64727"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.85*</w:t>
            </w:r>
          </w:p>
        </w:tc>
        <w:tc>
          <w:tcPr>
            <w:tcW w:w="665" w:type="dxa"/>
            <w:tcMar>
              <w:top w:w="0" w:type="dxa"/>
              <w:left w:w="108" w:type="dxa"/>
              <w:bottom w:w="0" w:type="dxa"/>
              <w:right w:w="108" w:type="dxa"/>
            </w:tcMar>
          </w:tcPr>
          <w:p w14:paraId="6FD4851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.72</w:t>
            </w:r>
          </w:p>
        </w:tc>
        <w:tc>
          <w:tcPr>
            <w:tcW w:w="821" w:type="dxa"/>
            <w:tcMar>
              <w:top w:w="0" w:type="dxa"/>
              <w:left w:w="108" w:type="dxa"/>
              <w:bottom w:w="0" w:type="dxa"/>
              <w:right w:w="108" w:type="dxa"/>
            </w:tcMar>
          </w:tcPr>
          <w:p w14:paraId="4702F96E"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567" w:type="dxa"/>
            <w:tcMar>
              <w:top w:w="0" w:type="dxa"/>
              <w:left w:w="108" w:type="dxa"/>
              <w:bottom w:w="0" w:type="dxa"/>
              <w:right w:w="108" w:type="dxa"/>
            </w:tcMar>
          </w:tcPr>
          <w:p w14:paraId="5827D9C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09" w:type="dxa"/>
            <w:tcMar>
              <w:top w:w="0" w:type="dxa"/>
              <w:left w:w="108" w:type="dxa"/>
              <w:bottom w:w="0" w:type="dxa"/>
              <w:right w:w="108" w:type="dxa"/>
            </w:tcMar>
          </w:tcPr>
          <w:p w14:paraId="0BDAD24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.88*</w:t>
            </w:r>
          </w:p>
        </w:tc>
        <w:tc>
          <w:tcPr>
            <w:tcW w:w="720" w:type="dxa"/>
            <w:tcMar>
              <w:top w:w="0" w:type="dxa"/>
              <w:left w:w="108" w:type="dxa"/>
              <w:bottom w:w="0" w:type="dxa"/>
              <w:right w:w="108" w:type="dxa"/>
            </w:tcMar>
          </w:tcPr>
          <w:p w14:paraId="64C1DAF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.77</w:t>
            </w:r>
          </w:p>
        </w:tc>
        <w:tc>
          <w:tcPr>
            <w:tcW w:w="720" w:type="dxa"/>
            <w:tcMar>
              <w:top w:w="0" w:type="dxa"/>
              <w:left w:w="108" w:type="dxa"/>
              <w:bottom w:w="0" w:type="dxa"/>
              <w:right w:w="108" w:type="dxa"/>
            </w:tcMar>
          </w:tcPr>
          <w:p w14:paraId="7BFA022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r>
      <w:tr w:rsidR="00D37CF0" w:rsidRPr="00332399" w14:paraId="08589A2A" w14:textId="77777777" w:rsidTr="00332399">
        <w:trPr>
          <w:gridAfter w:val="1"/>
          <w:wAfter w:w="7" w:type="dxa"/>
          <w:trHeight w:val="300"/>
        </w:trPr>
        <w:tc>
          <w:tcPr>
            <w:tcW w:w="3353" w:type="dxa"/>
            <w:vMerge/>
            <w:tcBorders>
              <w:bottom w:val="single" w:sz="8" w:space="0" w:color="000000"/>
            </w:tcBorders>
            <w:tcMar>
              <w:top w:w="0" w:type="dxa"/>
              <w:left w:w="108" w:type="dxa"/>
              <w:bottom w:w="0" w:type="dxa"/>
              <w:right w:w="108" w:type="dxa"/>
            </w:tcMar>
          </w:tcPr>
          <w:p w14:paraId="275B8628"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Mar>
              <w:top w:w="0" w:type="dxa"/>
              <w:left w:w="108" w:type="dxa"/>
              <w:bottom w:w="0" w:type="dxa"/>
              <w:right w:w="108" w:type="dxa"/>
            </w:tcMar>
          </w:tcPr>
          <w:p w14:paraId="7D36650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 F2</w:t>
            </w:r>
          </w:p>
        </w:tc>
        <w:tc>
          <w:tcPr>
            <w:tcW w:w="692" w:type="dxa"/>
            <w:tcMar>
              <w:top w:w="0" w:type="dxa"/>
              <w:left w:w="108" w:type="dxa"/>
              <w:bottom w:w="0" w:type="dxa"/>
              <w:right w:w="108" w:type="dxa"/>
            </w:tcMar>
          </w:tcPr>
          <w:p w14:paraId="2ACE95BC"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.80*</w:t>
            </w:r>
          </w:p>
        </w:tc>
        <w:tc>
          <w:tcPr>
            <w:tcW w:w="665" w:type="dxa"/>
            <w:tcMar>
              <w:top w:w="0" w:type="dxa"/>
              <w:left w:w="108" w:type="dxa"/>
              <w:bottom w:w="0" w:type="dxa"/>
              <w:right w:w="108" w:type="dxa"/>
            </w:tcMar>
          </w:tcPr>
          <w:p w14:paraId="52531F3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.64</w:t>
            </w:r>
          </w:p>
        </w:tc>
        <w:tc>
          <w:tcPr>
            <w:tcW w:w="821" w:type="dxa"/>
            <w:tcMar>
              <w:top w:w="0" w:type="dxa"/>
              <w:left w:w="108" w:type="dxa"/>
              <w:bottom w:w="0" w:type="dxa"/>
              <w:right w:w="108" w:type="dxa"/>
            </w:tcMar>
          </w:tcPr>
          <w:p w14:paraId="59E0891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567" w:type="dxa"/>
            <w:tcMar>
              <w:top w:w="0" w:type="dxa"/>
              <w:left w:w="108" w:type="dxa"/>
              <w:bottom w:w="0" w:type="dxa"/>
              <w:right w:w="108" w:type="dxa"/>
            </w:tcMar>
          </w:tcPr>
          <w:p w14:paraId="15F845F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09" w:type="dxa"/>
            <w:tcMar>
              <w:top w:w="0" w:type="dxa"/>
              <w:left w:w="108" w:type="dxa"/>
              <w:bottom w:w="0" w:type="dxa"/>
              <w:right w:w="108" w:type="dxa"/>
            </w:tcMar>
          </w:tcPr>
          <w:p w14:paraId="70A021C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.83*</w:t>
            </w:r>
          </w:p>
        </w:tc>
        <w:tc>
          <w:tcPr>
            <w:tcW w:w="720" w:type="dxa"/>
            <w:tcMar>
              <w:top w:w="0" w:type="dxa"/>
              <w:left w:w="108" w:type="dxa"/>
              <w:bottom w:w="0" w:type="dxa"/>
              <w:right w:w="108" w:type="dxa"/>
            </w:tcMar>
          </w:tcPr>
          <w:p w14:paraId="4A3D2A2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.69</w:t>
            </w:r>
          </w:p>
        </w:tc>
        <w:tc>
          <w:tcPr>
            <w:tcW w:w="720" w:type="dxa"/>
            <w:tcMar>
              <w:top w:w="0" w:type="dxa"/>
              <w:left w:w="108" w:type="dxa"/>
              <w:bottom w:w="0" w:type="dxa"/>
              <w:right w:w="108" w:type="dxa"/>
            </w:tcMar>
          </w:tcPr>
          <w:p w14:paraId="2787306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r>
      <w:tr w:rsidR="00D37CF0" w:rsidRPr="00332399" w14:paraId="21D3A36F" w14:textId="77777777" w:rsidTr="00332399">
        <w:trPr>
          <w:gridAfter w:val="1"/>
          <w:wAfter w:w="7" w:type="dxa"/>
          <w:trHeight w:val="300"/>
        </w:trPr>
        <w:tc>
          <w:tcPr>
            <w:tcW w:w="3353" w:type="dxa"/>
            <w:vMerge/>
            <w:tcBorders>
              <w:bottom w:val="single" w:sz="8" w:space="0" w:color="000000"/>
            </w:tcBorders>
            <w:tcMar>
              <w:top w:w="0" w:type="dxa"/>
              <w:left w:w="108" w:type="dxa"/>
              <w:bottom w:w="0" w:type="dxa"/>
              <w:right w:w="108" w:type="dxa"/>
            </w:tcMar>
          </w:tcPr>
          <w:p w14:paraId="4A1F0051" w14:textId="77777777" w:rsidR="00D37CF0" w:rsidRPr="00332399" w:rsidRDefault="00D37CF0" w:rsidP="00C06401">
            <w:pPr>
              <w:spacing w:after="0" w:line="360" w:lineRule="auto"/>
              <w:rPr>
                <w:rFonts w:ascii="Century Schoolbook" w:hAnsi="Century Schoolbook" w:cs="Times New Roman"/>
                <w:sz w:val="24"/>
                <w:szCs w:val="24"/>
              </w:rPr>
            </w:pPr>
          </w:p>
        </w:tc>
        <w:tc>
          <w:tcPr>
            <w:tcW w:w="706" w:type="dxa"/>
            <w:tcBorders>
              <w:bottom w:val="single" w:sz="8" w:space="0" w:color="000000"/>
            </w:tcBorders>
            <w:tcMar>
              <w:top w:w="0" w:type="dxa"/>
              <w:left w:w="108" w:type="dxa"/>
              <w:bottom w:w="0" w:type="dxa"/>
              <w:right w:w="108" w:type="dxa"/>
            </w:tcMar>
          </w:tcPr>
          <w:p w14:paraId="225C131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F3</w:t>
            </w:r>
          </w:p>
        </w:tc>
        <w:tc>
          <w:tcPr>
            <w:tcW w:w="692" w:type="dxa"/>
            <w:tcBorders>
              <w:bottom w:val="single" w:sz="8" w:space="0" w:color="000000"/>
            </w:tcBorders>
            <w:tcMar>
              <w:top w:w="0" w:type="dxa"/>
              <w:left w:w="108" w:type="dxa"/>
              <w:bottom w:w="0" w:type="dxa"/>
              <w:right w:w="108" w:type="dxa"/>
            </w:tcMar>
          </w:tcPr>
          <w:p w14:paraId="415465BE"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.63*</w:t>
            </w:r>
          </w:p>
        </w:tc>
        <w:tc>
          <w:tcPr>
            <w:tcW w:w="665" w:type="dxa"/>
            <w:tcBorders>
              <w:bottom w:val="single" w:sz="8" w:space="0" w:color="000000"/>
            </w:tcBorders>
            <w:tcMar>
              <w:top w:w="0" w:type="dxa"/>
              <w:left w:w="108" w:type="dxa"/>
              <w:bottom w:w="0" w:type="dxa"/>
              <w:right w:w="108" w:type="dxa"/>
            </w:tcMar>
          </w:tcPr>
          <w:p w14:paraId="5DCFF97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.40</w:t>
            </w:r>
          </w:p>
        </w:tc>
        <w:tc>
          <w:tcPr>
            <w:tcW w:w="821" w:type="dxa"/>
            <w:tcBorders>
              <w:bottom w:val="single" w:sz="8" w:space="0" w:color="000000"/>
            </w:tcBorders>
            <w:tcMar>
              <w:top w:w="0" w:type="dxa"/>
              <w:left w:w="108" w:type="dxa"/>
              <w:bottom w:w="0" w:type="dxa"/>
              <w:right w:w="108" w:type="dxa"/>
            </w:tcMar>
          </w:tcPr>
          <w:p w14:paraId="0EA178F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567" w:type="dxa"/>
            <w:tcBorders>
              <w:bottom w:val="single" w:sz="8" w:space="0" w:color="000000"/>
            </w:tcBorders>
            <w:tcMar>
              <w:top w:w="0" w:type="dxa"/>
              <w:left w:w="108" w:type="dxa"/>
              <w:bottom w:w="0" w:type="dxa"/>
              <w:right w:w="108" w:type="dxa"/>
            </w:tcMar>
          </w:tcPr>
          <w:p w14:paraId="63A93F9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c>
          <w:tcPr>
            <w:tcW w:w="709" w:type="dxa"/>
            <w:tcBorders>
              <w:bottom w:val="single" w:sz="8" w:space="0" w:color="000000"/>
            </w:tcBorders>
            <w:tcMar>
              <w:top w:w="0" w:type="dxa"/>
              <w:left w:w="108" w:type="dxa"/>
              <w:bottom w:w="0" w:type="dxa"/>
              <w:right w:w="108" w:type="dxa"/>
            </w:tcMar>
          </w:tcPr>
          <w:p w14:paraId="6EF96AB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720" w:type="dxa"/>
            <w:tcBorders>
              <w:bottom w:val="single" w:sz="8" w:space="0" w:color="000000"/>
            </w:tcBorders>
            <w:tcMar>
              <w:top w:w="0" w:type="dxa"/>
              <w:left w:w="108" w:type="dxa"/>
              <w:bottom w:w="0" w:type="dxa"/>
              <w:right w:w="108" w:type="dxa"/>
            </w:tcMar>
          </w:tcPr>
          <w:p w14:paraId="718070D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.45</w:t>
            </w:r>
          </w:p>
        </w:tc>
        <w:tc>
          <w:tcPr>
            <w:tcW w:w="720" w:type="dxa"/>
            <w:tcBorders>
              <w:bottom w:val="single" w:sz="8" w:space="0" w:color="000000"/>
            </w:tcBorders>
            <w:tcMar>
              <w:top w:w="0" w:type="dxa"/>
              <w:left w:w="108" w:type="dxa"/>
              <w:bottom w:w="0" w:type="dxa"/>
              <w:right w:w="108" w:type="dxa"/>
            </w:tcMar>
          </w:tcPr>
          <w:p w14:paraId="6775809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p>
        </w:tc>
      </w:tr>
    </w:tbl>
    <w:p w14:paraId="4F31AD18" w14:textId="77777777" w:rsidR="00D37CF0" w:rsidRPr="00332399" w:rsidRDefault="00D37CF0" w:rsidP="00C06401">
      <w:pPr>
        <w:spacing w:after="0" w:line="360" w:lineRule="auto"/>
        <w:jc w:val="both"/>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Nota:</w:t>
      </w:r>
      <w:r w:rsidRPr="00332399">
        <w:rPr>
          <w:rFonts w:ascii="Century Schoolbook" w:eastAsia="Calibri" w:hAnsi="Century Schoolbook" w:cs="Times New Roman"/>
          <w:i/>
          <w:color w:val="000000"/>
          <w:sz w:val="24"/>
          <w:szCs w:val="24"/>
        </w:rPr>
        <w:t xml:space="preserve"> r</w:t>
      </w:r>
      <w:r w:rsidRPr="00332399">
        <w:rPr>
          <w:rFonts w:ascii="Century Schoolbook" w:eastAsia="Calibri" w:hAnsi="Century Schoolbook" w:cs="Times New Roman"/>
          <w:color w:val="000000"/>
          <w:sz w:val="24"/>
          <w:szCs w:val="24"/>
        </w:rPr>
        <w:t xml:space="preserve">=coeficiente de Pearson, </w:t>
      </w: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r w:rsidRPr="00332399">
        <w:rPr>
          <w:rFonts w:ascii="Century Schoolbook" w:eastAsia="Calibri" w:hAnsi="Century Schoolbook" w:cs="Times New Roman"/>
          <w:color w:val="000000"/>
          <w:sz w:val="24"/>
          <w:szCs w:val="24"/>
        </w:rPr>
        <w:t>=magnitud del efecto, MI=índice de modificación, *=p</w:t>
      </w:r>
      <w:r w:rsidRPr="00332399">
        <w:rPr>
          <w:rFonts w:ascii="Century Schoolbook" w:hAnsi="Century Schoolbook" w:cs="Times New Roman"/>
          <w:color w:val="000000"/>
          <w:sz w:val="24"/>
          <w:szCs w:val="24"/>
        </w:rPr>
        <w:t>&lt;</w:t>
      </w:r>
      <w:r w:rsidRPr="00332399">
        <w:rPr>
          <w:rFonts w:ascii="Times New Roman" w:hAnsi="Times New Roman" w:cs="Times New Roman"/>
          <w:color w:val="000000"/>
          <w:sz w:val="24"/>
          <w:szCs w:val="24"/>
        </w:rPr>
        <w:t> </w:t>
      </w:r>
      <w:r w:rsidRPr="00332399">
        <w:rPr>
          <w:rFonts w:ascii="Century Schoolbook" w:hAnsi="Century Schoolbook" w:cs="Times New Roman"/>
          <w:color w:val="000000"/>
          <w:sz w:val="24"/>
          <w:szCs w:val="24"/>
        </w:rPr>
        <w:t>.001</w:t>
      </w:r>
    </w:p>
    <w:p w14:paraId="04DD7424" w14:textId="77777777" w:rsidR="009822B1" w:rsidRPr="00332399" w:rsidRDefault="009822B1" w:rsidP="00C06401">
      <w:pPr>
        <w:spacing w:line="360" w:lineRule="auto"/>
        <w:rPr>
          <w:rFonts w:ascii="Century Schoolbook" w:hAnsi="Century Schoolbook" w:cs="Times New Roman"/>
          <w:b/>
          <w:bCs/>
          <w:color w:val="000000"/>
          <w:sz w:val="24"/>
          <w:szCs w:val="24"/>
        </w:rPr>
      </w:pPr>
    </w:p>
    <w:p w14:paraId="4E972AFF" w14:textId="7DA4F888" w:rsidR="00D37CF0" w:rsidRPr="00332399" w:rsidRDefault="00D37CF0" w:rsidP="00C06401">
      <w:pPr>
        <w:spacing w:line="360" w:lineRule="auto"/>
        <w:rPr>
          <w:rFonts w:ascii="Century Schoolbook" w:hAnsi="Century Schoolbook" w:cs="Times New Roman"/>
          <w:b/>
          <w:bCs/>
          <w:i/>
          <w:color w:val="000000"/>
          <w:sz w:val="24"/>
          <w:szCs w:val="24"/>
        </w:rPr>
      </w:pPr>
      <w:r w:rsidRPr="00332399">
        <w:rPr>
          <w:rFonts w:ascii="Century Schoolbook" w:hAnsi="Century Schoolbook" w:cs="Times New Roman"/>
          <w:b/>
          <w:bCs/>
          <w:i/>
          <w:color w:val="000000"/>
          <w:sz w:val="24"/>
          <w:szCs w:val="24"/>
        </w:rPr>
        <w:t>Consistencia interna</w:t>
      </w:r>
    </w:p>
    <w:p w14:paraId="51B46694" w14:textId="4390B2B8" w:rsidR="00D37CF0" w:rsidRPr="00332399" w:rsidRDefault="00D37CF0" w:rsidP="00C06401">
      <w:pPr>
        <w:spacing w:before="200" w:after="0" w:line="360" w:lineRule="auto"/>
        <w:ind w:firstLine="426"/>
        <w:jc w:val="both"/>
        <w:rPr>
          <w:rFonts w:ascii="Century Schoolbook" w:hAnsi="Century Schoolbook" w:cs="Times New Roman"/>
          <w:color w:val="000000"/>
          <w:sz w:val="24"/>
          <w:szCs w:val="24"/>
        </w:rPr>
      </w:pPr>
      <w:r w:rsidRPr="00332399">
        <w:rPr>
          <w:rFonts w:ascii="Century Schoolbook" w:hAnsi="Century Schoolbook" w:cs="Times New Roman"/>
          <w:color w:val="000000"/>
          <w:sz w:val="24"/>
          <w:szCs w:val="24"/>
        </w:rPr>
        <w:t>La puntuación del Modelo 1, como instrumento general, presenta valores de confiabilidad de α=.78 y ω=.78. Sin embargo, al aplicar el Modelo 2, con un ítem eliminado, la confiabilidad aumenta a α=.82 y ω=.82. Específicamente, el Factor 1: Rechazo hacia la manifestación pública de la homosexualidad, muestra una mejora en la confiabilidad con el segundo modelo, pasando de α=.68 y ω=.67 a α=.74 y ω=.75. Los resultados detallados se presentan en la Tabla 3.</w:t>
      </w:r>
    </w:p>
    <w:p w14:paraId="7CF9C30E" w14:textId="77777777" w:rsidR="009822B1" w:rsidRPr="00332399" w:rsidRDefault="009822B1" w:rsidP="00C06401">
      <w:pPr>
        <w:spacing w:after="0" w:line="360" w:lineRule="auto"/>
        <w:jc w:val="both"/>
        <w:rPr>
          <w:rFonts w:ascii="Century Schoolbook" w:eastAsia="Calibri" w:hAnsi="Century Schoolbook" w:cs="Times New Roman"/>
          <w:color w:val="000000"/>
          <w:sz w:val="24"/>
          <w:szCs w:val="24"/>
        </w:rPr>
      </w:pPr>
    </w:p>
    <w:p w14:paraId="292E6EDE" w14:textId="3EBD3DD4"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lastRenderedPageBreak/>
        <w:t>Tabla 3</w:t>
      </w:r>
    </w:p>
    <w:p w14:paraId="755FF0F8"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Análisis de confiabilidad</w:t>
      </w:r>
    </w:p>
    <w:tbl>
      <w:tblPr>
        <w:tblW w:w="5000" w:type="pct"/>
        <w:tblCellMar>
          <w:left w:w="10" w:type="dxa"/>
          <w:right w:w="10" w:type="dxa"/>
        </w:tblCellMar>
        <w:tblLook w:val="0000" w:firstRow="0" w:lastRow="0" w:firstColumn="0" w:lastColumn="0" w:noHBand="0" w:noVBand="0"/>
      </w:tblPr>
      <w:tblGrid>
        <w:gridCol w:w="6179"/>
        <w:gridCol w:w="749"/>
        <w:gridCol w:w="715"/>
        <w:gridCol w:w="678"/>
        <w:gridCol w:w="749"/>
      </w:tblGrid>
      <w:tr w:rsidR="00D37CF0" w:rsidRPr="00332399" w14:paraId="214220D7" w14:textId="77777777" w:rsidTr="0039277A">
        <w:trPr>
          <w:trHeight w:val="300"/>
        </w:trPr>
        <w:tc>
          <w:tcPr>
            <w:tcW w:w="3406" w:type="pct"/>
            <w:vMerge w:val="restart"/>
            <w:tcBorders>
              <w:top w:val="single" w:sz="8" w:space="0" w:color="000000"/>
            </w:tcBorders>
            <w:tcMar>
              <w:top w:w="0" w:type="dxa"/>
              <w:left w:w="108" w:type="dxa"/>
              <w:bottom w:w="0" w:type="dxa"/>
              <w:right w:w="108" w:type="dxa"/>
            </w:tcMar>
          </w:tcPr>
          <w:p w14:paraId="7CAC4E61"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    </w:t>
            </w:r>
          </w:p>
          <w:p w14:paraId="7947DBD7"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roofErr w:type="spellStart"/>
            <w:r w:rsidRPr="00332399">
              <w:rPr>
                <w:rFonts w:ascii="Century Schoolbook" w:eastAsia="Calibri" w:hAnsi="Century Schoolbook" w:cs="Times New Roman"/>
                <w:color w:val="000000"/>
                <w:sz w:val="24"/>
                <w:szCs w:val="24"/>
              </w:rPr>
              <w:t>Homonegatividad</w:t>
            </w:r>
            <w:proofErr w:type="spellEnd"/>
            <w:r w:rsidRPr="00332399">
              <w:rPr>
                <w:rFonts w:ascii="Century Schoolbook" w:eastAsia="Calibri" w:hAnsi="Century Schoolbook" w:cs="Times New Roman"/>
                <w:color w:val="000000"/>
                <w:sz w:val="24"/>
                <w:szCs w:val="24"/>
              </w:rPr>
              <w:t xml:space="preserve"> Internalizada</w:t>
            </w:r>
          </w:p>
        </w:tc>
        <w:tc>
          <w:tcPr>
            <w:tcW w:w="807" w:type="pct"/>
            <w:gridSpan w:val="2"/>
            <w:tcBorders>
              <w:top w:val="single" w:sz="8" w:space="0" w:color="000000"/>
              <w:bottom w:val="single" w:sz="8" w:space="0" w:color="000000"/>
            </w:tcBorders>
            <w:tcMar>
              <w:top w:w="0" w:type="dxa"/>
              <w:left w:w="108" w:type="dxa"/>
              <w:bottom w:w="0" w:type="dxa"/>
              <w:right w:w="108" w:type="dxa"/>
            </w:tcMar>
          </w:tcPr>
          <w:p w14:paraId="54C9CA0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1</w:t>
            </w:r>
          </w:p>
        </w:tc>
        <w:tc>
          <w:tcPr>
            <w:tcW w:w="787" w:type="pct"/>
            <w:gridSpan w:val="2"/>
            <w:tcBorders>
              <w:top w:val="single" w:sz="8" w:space="0" w:color="000000"/>
              <w:bottom w:val="single" w:sz="8" w:space="0" w:color="000000"/>
            </w:tcBorders>
            <w:tcMar>
              <w:top w:w="0" w:type="dxa"/>
              <w:left w:w="108" w:type="dxa"/>
              <w:bottom w:w="0" w:type="dxa"/>
              <w:right w:w="108" w:type="dxa"/>
            </w:tcMar>
          </w:tcPr>
          <w:p w14:paraId="5C576EC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2</w:t>
            </w:r>
          </w:p>
        </w:tc>
      </w:tr>
      <w:tr w:rsidR="00D37CF0" w:rsidRPr="00332399" w14:paraId="5954DFCE" w14:textId="77777777" w:rsidTr="0039277A">
        <w:trPr>
          <w:trHeight w:val="300"/>
        </w:trPr>
        <w:tc>
          <w:tcPr>
            <w:tcW w:w="3406" w:type="pct"/>
            <w:vMerge/>
            <w:tcBorders>
              <w:top w:val="single" w:sz="8" w:space="0" w:color="000000"/>
            </w:tcBorders>
            <w:tcMar>
              <w:top w:w="0" w:type="dxa"/>
              <w:left w:w="108" w:type="dxa"/>
              <w:bottom w:w="0" w:type="dxa"/>
              <w:right w:w="108" w:type="dxa"/>
            </w:tcMar>
          </w:tcPr>
          <w:p w14:paraId="00F28956" w14:textId="77777777" w:rsidR="00D37CF0" w:rsidRPr="00332399" w:rsidRDefault="00D37CF0" w:rsidP="00C06401">
            <w:pPr>
              <w:spacing w:after="0" w:line="360" w:lineRule="auto"/>
              <w:rPr>
                <w:rFonts w:ascii="Century Schoolbook" w:hAnsi="Century Schoolbook" w:cs="Times New Roman"/>
                <w:sz w:val="24"/>
                <w:szCs w:val="24"/>
              </w:rPr>
            </w:pPr>
          </w:p>
        </w:tc>
        <w:tc>
          <w:tcPr>
            <w:tcW w:w="413" w:type="pct"/>
            <w:tcBorders>
              <w:top w:val="single" w:sz="8" w:space="0" w:color="000000"/>
              <w:bottom w:val="single" w:sz="8" w:space="0" w:color="000000"/>
            </w:tcBorders>
            <w:tcMar>
              <w:top w:w="0" w:type="dxa"/>
              <w:left w:w="108" w:type="dxa"/>
              <w:bottom w:w="0" w:type="dxa"/>
              <w:right w:w="108" w:type="dxa"/>
            </w:tcMar>
          </w:tcPr>
          <w:p w14:paraId="738B68A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α</w:t>
            </w:r>
          </w:p>
        </w:tc>
        <w:tc>
          <w:tcPr>
            <w:tcW w:w="394" w:type="pct"/>
            <w:tcBorders>
              <w:top w:val="single" w:sz="8" w:space="0" w:color="000000"/>
              <w:bottom w:val="single" w:sz="8" w:space="0" w:color="000000"/>
            </w:tcBorders>
            <w:tcMar>
              <w:top w:w="0" w:type="dxa"/>
              <w:left w:w="108" w:type="dxa"/>
              <w:bottom w:w="0" w:type="dxa"/>
              <w:right w:w="108" w:type="dxa"/>
            </w:tcMar>
          </w:tcPr>
          <w:p w14:paraId="463BBD2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ω</w:t>
            </w:r>
          </w:p>
        </w:tc>
        <w:tc>
          <w:tcPr>
            <w:tcW w:w="374" w:type="pct"/>
            <w:tcBorders>
              <w:top w:val="single" w:sz="8" w:space="0" w:color="000000"/>
              <w:bottom w:val="single" w:sz="8" w:space="0" w:color="000000"/>
            </w:tcBorders>
            <w:tcMar>
              <w:top w:w="0" w:type="dxa"/>
              <w:left w:w="108" w:type="dxa"/>
              <w:bottom w:w="0" w:type="dxa"/>
              <w:right w:w="108" w:type="dxa"/>
            </w:tcMar>
          </w:tcPr>
          <w:p w14:paraId="7CD4030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α</w:t>
            </w:r>
          </w:p>
        </w:tc>
        <w:tc>
          <w:tcPr>
            <w:tcW w:w="413" w:type="pct"/>
            <w:tcBorders>
              <w:top w:val="single" w:sz="8" w:space="0" w:color="000000"/>
              <w:bottom w:val="single" w:sz="8" w:space="0" w:color="000000"/>
            </w:tcBorders>
            <w:tcMar>
              <w:top w:w="0" w:type="dxa"/>
              <w:left w:w="108" w:type="dxa"/>
              <w:bottom w:w="0" w:type="dxa"/>
              <w:right w:w="108" w:type="dxa"/>
            </w:tcMar>
          </w:tcPr>
          <w:p w14:paraId="6C85853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ω</w:t>
            </w:r>
          </w:p>
        </w:tc>
      </w:tr>
      <w:tr w:rsidR="00D37CF0" w:rsidRPr="00332399" w14:paraId="0C741CF1" w14:textId="77777777" w:rsidTr="0039277A">
        <w:trPr>
          <w:trHeight w:val="300"/>
        </w:trPr>
        <w:tc>
          <w:tcPr>
            <w:tcW w:w="3406" w:type="pct"/>
            <w:tcBorders>
              <w:top w:val="single" w:sz="8" w:space="0" w:color="000000"/>
            </w:tcBorders>
            <w:tcMar>
              <w:top w:w="0" w:type="dxa"/>
              <w:left w:w="108" w:type="dxa"/>
              <w:bottom w:w="0" w:type="dxa"/>
              <w:right w:w="108" w:type="dxa"/>
            </w:tcMar>
          </w:tcPr>
          <w:p w14:paraId="281AC4AB"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General</w:t>
            </w:r>
          </w:p>
        </w:tc>
        <w:tc>
          <w:tcPr>
            <w:tcW w:w="413" w:type="pct"/>
            <w:tcBorders>
              <w:top w:val="single" w:sz="8" w:space="0" w:color="000000"/>
            </w:tcBorders>
            <w:tcMar>
              <w:top w:w="0" w:type="dxa"/>
              <w:left w:w="108" w:type="dxa"/>
              <w:bottom w:w="0" w:type="dxa"/>
              <w:right w:w="108" w:type="dxa"/>
            </w:tcMar>
          </w:tcPr>
          <w:p w14:paraId="25F79E0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.78</w:t>
            </w:r>
          </w:p>
        </w:tc>
        <w:tc>
          <w:tcPr>
            <w:tcW w:w="394" w:type="pct"/>
            <w:tcBorders>
              <w:top w:val="single" w:sz="8" w:space="0" w:color="000000"/>
            </w:tcBorders>
            <w:tcMar>
              <w:top w:w="0" w:type="dxa"/>
              <w:left w:w="108" w:type="dxa"/>
              <w:bottom w:w="0" w:type="dxa"/>
              <w:right w:w="108" w:type="dxa"/>
            </w:tcMar>
          </w:tcPr>
          <w:p w14:paraId="2775439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.78</w:t>
            </w:r>
          </w:p>
        </w:tc>
        <w:tc>
          <w:tcPr>
            <w:tcW w:w="374" w:type="pct"/>
            <w:tcBorders>
              <w:top w:val="single" w:sz="8" w:space="0" w:color="000000"/>
            </w:tcBorders>
            <w:tcMar>
              <w:top w:w="0" w:type="dxa"/>
              <w:left w:w="108" w:type="dxa"/>
              <w:bottom w:w="0" w:type="dxa"/>
              <w:right w:w="108" w:type="dxa"/>
            </w:tcMar>
          </w:tcPr>
          <w:p w14:paraId="58AEA64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.82</w:t>
            </w:r>
          </w:p>
        </w:tc>
        <w:tc>
          <w:tcPr>
            <w:tcW w:w="413" w:type="pct"/>
            <w:tcBorders>
              <w:top w:val="single" w:sz="8" w:space="0" w:color="000000"/>
            </w:tcBorders>
            <w:tcMar>
              <w:top w:w="0" w:type="dxa"/>
              <w:left w:w="108" w:type="dxa"/>
              <w:bottom w:w="0" w:type="dxa"/>
              <w:right w:w="108" w:type="dxa"/>
            </w:tcMar>
          </w:tcPr>
          <w:p w14:paraId="3F2F163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.82</w:t>
            </w:r>
          </w:p>
        </w:tc>
      </w:tr>
      <w:tr w:rsidR="00D37CF0" w:rsidRPr="00332399" w14:paraId="0FB1186E" w14:textId="77777777" w:rsidTr="0039277A">
        <w:trPr>
          <w:trHeight w:val="300"/>
        </w:trPr>
        <w:tc>
          <w:tcPr>
            <w:tcW w:w="3406" w:type="pct"/>
            <w:tcMar>
              <w:top w:w="0" w:type="dxa"/>
              <w:left w:w="108" w:type="dxa"/>
              <w:bottom w:w="0" w:type="dxa"/>
              <w:right w:w="108" w:type="dxa"/>
            </w:tcMar>
          </w:tcPr>
          <w:p w14:paraId="5D86FEAC"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F1: Rechazo hacia la manifestación pública de la homosexualidad</w:t>
            </w:r>
          </w:p>
        </w:tc>
        <w:tc>
          <w:tcPr>
            <w:tcW w:w="413" w:type="pct"/>
            <w:tcMar>
              <w:top w:w="0" w:type="dxa"/>
              <w:left w:w="108" w:type="dxa"/>
              <w:bottom w:w="0" w:type="dxa"/>
              <w:right w:w="108" w:type="dxa"/>
            </w:tcMar>
          </w:tcPr>
          <w:p w14:paraId="1EE5045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.68</w:t>
            </w:r>
          </w:p>
        </w:tc>
        <w:tc>
          <w:tcPr>
            <w:tcW w:w="394" w:type="pct"/>
            <w:tcMar>
              <w:top w:w="0" w:type="dxa"/>
              <w:left w:w="108" w:type="dxa"/>
              <w:bottom w:w="0" w:type="dxa"/>
              <w:right w:w="108" w:type="dxa"/>
            </w:tcMar>
          </w:tcPr>
          <w:p w14:paraId="52E57BF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374" w:type="pct"/>
            <w:tcMar>
              <w:top w:w="0" w:type="dxa"/>
              <w:left w:w="108" w:type="dxa"/>
              <w:bottom w:w="0" w:type="dxa"/>
              <w:right w:w="108" w:type="dxa"/>
            </w:tcMar>
          </w:tcPr>
          <w:p w14:paraId="48D1893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.74</w:t>
            </w:r>
          </w:p>
        </w:tc>
        <w:tc>
          <w:tcPr>
            <w:tcW w:w="413" w:type="pct"/>
            <w:tcMar>
              <w:top w:w="0" w:type="dxa"/>
              <w:left w:w="108" w:type="dxa"/>
              <w:bottom w:w="0" w:type="dxa"/>
              <w:right w:w="108" w:type="dxa"/>
            </w:tcMar>
          </w:tcPr>
          <w:p w14:paraId="2989348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.75</w:t>
            </w:r>
          </w:p>
        </w:tc>
      </w:tr>
      <w:tr w:rsidR="00D37CF0" w:rsidRPr="00332399" w14:paraId="4CDCF758" w14:textId="77777777" w:rsidTr="0039277A">
        <w:trPr>
          <w:trHeight w:val="300"/>
        </w:trPr>
        <w:tc>
          <w:tcPr>
            <w:tcW w:w="3406" w:type="pct"/>
            <w:tcMar>
              <w:top w:w="0" w:type="dxa"/>
              <w:left w:w="108" w:type="dxa"/>
              <w:bottom w:w="0" w:type="dxa"/>
              <w:right w:w="108" w:type="dxa"/>
            </w:tcMar>
          </w:tcPr>
          <w:p w14:paraId="1802F154"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F2: Rechazo al propio deseo sexual</w:t>
            </w:r>
          </w:p>
        </w:tc>
        <w:tc>
          <w:tcPr>
            <w:tcW w:w="413" w:type="pct"/>
            <w:tcMar>
              <w:top w:w="0" w:type="dxa"/>
              <w:left w:w="108" w:type="dxa"/>
              <w:bottom w:w="0" w:type="dxa"/>
              <w:right w:w="108" w:type="dxa"/>
            </w:tcMar>
          </w:tcPr>
          <w:p w14:paraId="43F0F44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394" w:type="pct"/>
            <w:tcMar>
              <w:top w:w="0" w:type="dxa"/>
              <w:left w:w="108" w:type="dxa"/>
              <w:bottom w:w="0" w:type="dxa"/>
              <w:right w:w="108" w:type="dxa"/>
            </w:tcMar>
          </w:tcPr>
          <w:p w14:paraId="0DD88D6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.66</w:t>
            </w:r>
          </w:p>
        </w:tc>
        <w:tc>
          <w:tcPr>
            <w:tcW w:w="374" w:type="pct"/>
            <w:tcMar>
              <w:top w:w="0" w:type="dxa"/>
              <w:left w:w="108" w:type="dxa"/>
              <w:bottom w:w="0" w:type="dxa"/>
              <w:right w:w="108" w:type="dxa"/>
            </w:tcMar>
          </w:tcPr>
          <w:p w14:paraId="47B49B8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.67</w:t>
            </w:r>
          </w:p>
        </w:tc>
        <w:tc>
          <w:tcPr>
            <w:tcW w:w="413" w:type="pct"/>
            <w:tcMar>
              <w:top w:w="0" w:type="dxa"/>
              <w:left w:w="108" w:type="dxa"/>
              <w:bottom w:w="0" w:type="dxa"/>
              <w:right w:w="108" w:type="dxa"/>
            </w:tcMar>
          </w:tcPr>
          <w:p w14:paraId="76C05DD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.66</w:t>
            </w:r>
          </w:p>
        </w:tc>
      </w:tr>
      <w:tr w:rsidR="00D37CF0" w:rsidRPr="00332399" w14:paraId="7F880A3A" w14:textId="77777777" w:rsidTr="0039277A">
        <w:trPr>
          <w:trHeight w:val="300"/>
        </w:trPr>
        <w:tc>
          <w:tcPr>
            <w:tcW w:w="3406" w:type="pct"/>
            <w:tcBorders>
              <w:bottom w:val="single" w:sz="8" w:space="0" w:color="000000"/>
            </w:tcBorders>
            <w:tcMar>
              <w:top w:w="0" w:type="dxa"/>
              <w:left w:w="108" w:type="dxa"/>
              <w:bottom w:w="0" w:type="dxa"/>
              <w:right w:w="108" w:type="dxa"/>
            </w:tcMar>
          </w:tcPr>
          <w:p w14:paraId="5409B6B8"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F3: Incapacidad para la intimidad con personas homosexuales</w:t>
            </w:r>
          </w:p>
        </w:tc>
        <w:tc>
          <w:tcPr>
            <w:tcW w:w="413" w:type="pct"/>
            <w:tcBorders>
              <w:bottom w:val="single" w:sz="8" w:space="0" w:color="000000"/>
            </w:tcBorders>
            <w:tcMar>
              <w:top w:w="0" w:type="dxa"/>
              <w:left w:w="108" w:type="dxa"/>
              <w:bottom w:w="0" w:type="dxa"/>
              <w:right w:w="108" w:type="dxa"/>
            </w:tcMar>
          </w:tcPr>
          <w:p w14:paraId="13B3A33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.76</w:t>
            </w:r>
          </w:p>
        </w:tc>
        <w:tc>
          <w:tcPr>
            <w:tcW w:w="394" w:type="pct"/>
            <w:tcBorders>
              <w:bottom w:val="single" w:sz="8" w:space="0" w:color="000000"/>
            </w:tcBorders>
            <w:tcMar>
              <w:top w:w="0" w:type="dxa"/>
              <w:left w:w="108" w:type="dxa"/>
              <w:bottom w:w="0" w:type="dxa"/>
              <w:right w:w="108" w:type="dxa"/>
            </w:tcMar>
          </w:tcPr>
          <w:p w14:paraId="6D8822F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.75</w:t>
            </w:r>
          </w:p>
        </w:tc>
        <w:tc>
          <w:tcPr>
            <w:tcW w:w="374" w:type="pct"/>
            <w:tcBorders>
              <w:bottom w:val="single" w:sz="8" w:space="0" w:color="000000"/>
            </w:tcBorders>
            <w:tcMar>
              <w:top w:w="0" w:type="dxa"/>
              <w:left w:w="108" w:type="dxa"/>
              <w:bottom w:w="0" w:type="dxa"/>
              <w:right w:w="108" w:type="dxa"/>
            </w:tcMar>
          </w:tcPr>
          <w:p w14:paraId="1AB1E58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.76</w:t>
            </w:r>
          </w:p>
        </w:tc>
        <w:tc>
          <w:tcPr>
            <w:tcW w:w="413" w:type="pct"/>
            <w:tcBorders>
              <w:bottom w:val="single" w:sz="8" w:space="0" w:color="000000"/>
            </w:tcBorders>
            <w:tcMar>
              <w:top w:w="0" w:type="dxa"/>
              <w:left w:w="108" w:type="dxa"/>
              <w:bottom w:w="0" w:type="dxa"/>
              <w:right w:w="108" w:type="dxa"/>
            </w:tcMar>
          </w:tcPr>
          <w:p w14:paraId="35BF1B5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.75</w:t>
            </w:r>
          </w:p>
        </w:tc>
      </w:tr>
    </w:tbl>
    <w:p w14:paraId="20FD536D" w14:textId="77777777" w:rsidR="00D37CF0" w:rsidRPr="00A061A5" w:rsidRDefault="00D37CF0" w:rsidP="00C06401">
      <w:pPr>
        <w:spacing w:after="0" w:line="360" w:lineRule="auto"/>
        <w:jc w:val="both"/>
        <w:rPr>
          <w:rFonts w:ascii="Century Schoolbook" w:eastAsia="Calibri" w:hAnsi="Century Schoolbook" w:cs="Times New Roman"/>
          <w:color w:val="000000"/>
          <w:sz w:val="24"/>
          <w:szCs w:val="24"/>
          <w:lang w:val="pt-PT"/>
        </w:rPr>
      </w:pPr>
      <w:r w:rsidRPr="00A061A5">
        <w:rPr>
          <w:rFonts w:ascii="Century Schoolbook" w:eastAsia="Calibri" w:hAnsi="Century Schoolbook" w:cs="Times New Roman"/>
          <w:color w:val="000000"/>
          <w:sz w:val="24"/>
          <w:szCs w:val="24"/>
          <w:lang w:val="pt-PT"/>
        </w:rPr>
        <w:t xml:space="preserve">Nota: </w:t>
      </w:r>
      <w:r w:rsidRPr="00332399">
        <w:rPr>
          <w:rFonts w:ascii="Century Schoolbook" w:eastAsia="Calibri" w:hAnsi="Century Schoolbook" w:cs="Times New Roman"/>
          <w:color w:val="000000"/>
          <w:sz w:val="24"/>
          <w:szCs w:val="24"/>
        </w:rPr>
        <w:t>α</w:t>
      </w:r>
      <w:r w:rsidRPr="00A061A5">
        <w:rPr>
          <w:rFonts w:ascii="Century Schoolbook" w:eastAsia="Calibri" w:hAnsi="Century Schoolbook" w:cs="Times New Roman"/>
          <w:color w:val="000000"/>
          <w:sz w:val="24"/>
          <w:szCs w:val="24"/>
          <w:lang w:val="pt-PT"/>
        </w:rPr>
        <w:t xml:space="preserve">=alfa de Cronbach, </w:t>
      </w:r>
      <w:r w:rsidRPr="00332399">
        <w:rPr>
          <w:rFonts w:ascii="Century Schoolbook" w:eastAsia="Calibri" w:hAnsi="Century Schoolbook" w:cs="Times New Roman"/>
          <w:color w:val="000000"/>
          <w:sz w:val="24"/>
          <w:szCs w:val="24"/>
        </w:rPr>
        <w:t>ω</w:t>
      </w:r>
      <w:r w:rsidRPr="00A061A5">
        <w:rPr>
          <w:rFonts w:ascii="Century Schoolbook" w:eastAsia="Calibri" w:hAnsi="Century Schoolbook" w:cs="Times New Roman"/>
          <w:color w:val="000000"/>
          <w:sz w:val="24"/>
          <w:szCs w:val="24"/>
          <w:lang w:val="pt-PT"/>
        </w:rPr>
        <w:t>=omega de McDonald</w:t>
      </w:r>
    </w:p>
    <w:p w14:paraId="3049ADF9" w14:textId="77777777" w:rsidR="009822B1" w:rsidRPr="00A061A5" w:rsidRDefault="009822B1" w:rsidP="00C06401">
      <w:pPr>
        <w:spacing w:line="360" w:lineRule="auto"/>
        <w:rPr>
          <w:rFonts w:ascii="Century Schoolbook" w:hAnsi="Century Schoolbook" w:cs="Times New Roman"/>
          <w:b/>
          <w:bCs/>
          <w:i/>
          <w:color w:val="000000"/>
          <w:sz w:val="24"/>
          <w:szCs w:val="24"/>
          <w:lang w:val="pt-PT"/>
        </w:rPr>
      </w:pPr>
    </w:p>
    <w:p w14:paraId="31D8239C" w14:textId="14BCF683" w:rsidR="00D37CF0" w:rsidRPr="00332399" w:rsidRDefault="00D37CF0" w:rsidP="00C06401">
      <w:pPr>
        <w:spacing w:line="360" w:lineRule="auto"/>
        <w:rPr>
          <w:rFonts w:ascii="Century Schoolbook" w:hAnsi="Century Schoolbook" w:cs="Times New Roman"/>
          <w:b/>
          <w:bCs/>
          <w:i/>
          <w:color w:val="000000"/>
          <w:sz w:val="24"/>
          <w:szCs w:val="24"/>
        </w:rPr>
      </w:pPr>
      <w:r w:rsidRPr="00332399">
        <w:rPr>
          <w:rFonts w:ascii="Century Schoolbook" w:hAnsi="Century Schoolbook" w:cs="Times New Roman"/>
          <w:b/>
          <w:bCs/>
          <w:i/>
          <w:color w:val="000000"/>
          <w:sz w:val="24"/>
          <w:szCs w:val="24"/>
        </w:rPr>
        <w:t>Análisis factorial confirmatorio</w:t>
      </w:r>
    </w:p>
    <w:p w14:paraId="4BDADB55" w14:textId="77777777" w:rsidR="00D37CF0" w:rsidRPr="00332399" w:rsidRDefault="00D37CF0" w:rsidP="00C06401">
      <w:pPr>
        <w:spacing w:line="360" w:lineRule="auto"/>
        <w:ind w:firstLine="426"/>
        <w:jc w:val="both"/>
        <w:rPr>
          <w:rFonts w:ascii="Century Schoolbook" w:hAnsi="Century Schoolbook" w:cs="Times New Roman"/>
          <w:sz w:val="24"/>
          <w:szCs w:val="24"/>
        </w:rPr>
      </w:pPr>
      <w:r w:rsidRPr="00332399">
        <w:rPr>
          <w:rFonts w:ascii="Century Schoolbook" w:eastAsia="MS Mincho" w:hAnsi="Century Schoolbook" w:cs="Times New Roman"/>
          <w:color w:val="000000"/>
          <w:sz w:val="24"/>
          <w:szCs w:val="24"/>
        </w:rPr>
        <w:t>Los valores indican un mejor ajuste con el Modelo 2. En cuanto al índice χ²/gl, se observa que ambos modelos presentan un ajuste aceptable. De manera similar, los índices CFI y TLI también reflejan un ajuste adecuado en ambos casos. No obstante, en lo que respecta a los índices SRMR y RMSEA, el segundo modelo muestra una mejora, con valores de .05 y .07, respectivamente.</w:t>
      </w:r>
    </w:p>
    <w:p w14:paraId="62E8150B"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Tabla 4</w:t>
      </w:r>
    </w:p>
    <w:p w14:paraId="7C7C3FDA" w14:textId="77777777" w:rsidR="00D37CF0" w:rsidRPr="00332399" w:rsidRDefault="00D37CF0" w:rsidP="00C06401">
      <w:pPr>
        <w:spacing w:after="0" w:line="360" w:lineRule="auto"/>
        <w:jc w:val="both"/>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 xml:space="preserve">Índices de ajuste de la Escala de </w:t>
      </w:r>
      <w:proofErr w:type="spellStart"/>
      <w:r w:rsidRPr="00332399">
        <w:rPr>
          <w:rFonts w:ascii="Century Schoolbook" w:eastAsia="Calibri" w:hAnsi="Century Schoolbook" w:cs="Times New Roman"/>
          <w:color w:val="000000"/>
          <w:sz w:val="24"/>
          <w:szCs w:val="24"/>
        </w:rPr>
        <w:t>Homonegatividad</w:t>
      </w:r>
      <w:proofErr w:type="spellEnd"/>
      <w:r w:rsidRPr="00332399">
        <w:rPr>
          <w:rFonts w:ascii="Century Schoolbook" w:eastAsia="Calibri" w:hAnsi="Century Schoolbook" w:cs="Times New Roman"/>
          <w:color w:val="000000"/>
          <w:sz w:val="24"/>
          <w:szCs w:val="24"/>
        </w:rPr>
        <w:t xml:space="preserve"> Internalizada</w:t>
      </w:r>
    </w:p>
    <w:tbl>
      <w:tblPr>
        <w:tblW w:w="7306" w:type="dxa"/>
        <w:tblLayout w:type="fixed"/>
        <w:tblCellMar>
          <w:left w:w="10" w:type="dxa"/>
          <w:right w:w="10" w:type="dxa"/>
        </w:tblCellMar>
        <w:tblLook w:val="0000" w:firstRow="0" w:lastRow="0" w:firstColumn="0" w:lastColumn="0" w:noHBand="0" w:noVBand="0"/>
      </w:tblPr>
      <w:tblGrid>
        <w:gridCol w:w="1276"/>
        <w:gridCol w:w="705"/>
        <w:gridCol w:w="765"/>
        <w:gridCol w:w="765"/>
        <w:gridCol w:w="645"/>
        <w:gridCol w:w="690"/>
        <w:gridCol w:w="825"/>
        <w:gridCol w:w="1635"/>
      </w:tblGrid>
      <w:tr w:rsidR="00D37CF0" w:rsidRPr="00332399" w14:paraId="73278FFD" w14:textId="77777777" w:rsidTr="00332399">
        <w:trPr>
          <w:trHeight w:val="375"/>
        </w:trPr>
        <w:tc>
          <w:tcPr>
            <w:tcW w:w="1276" w:type="dxa"/>
            <w:tcBorders>
              <w:top w:val="single" w:sz="8" w:space="0" w:color="000000"/>
              <w:bottom w:val="single" w:sz="8" w:space="0" w:color="000000"/>
            </w:tcBorders>
            <w:tcMar>
              <w:top w:w="0" w:type="dxa"/>
              <w:left w:w="108" w:type="dxa"/>
              <w:bottom w:w="0" w:type="dxa"/>
              <w:right w:w="108" w:type="dxa"/>
            </w:tcMar>
          </w:tcPr>
          <w:p w14:paraId="45AA8DE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Modelos</w:t>
            </w:r>
          </w:p>
        </w:tc>
        <w:tc>
          <w:tcPr>
            <w:tcW w:w="705" w:type="dxa"/>
            <w:tcBorders>
              <w:top w:val="single" w:sz="8" w:space="0" w:color="000000"/>
              <w:bottom w:val="single" w:sz="8" w:space="0" w:color="000000"/>
            </w:tcBorders>
            <w:tcMar>
              <w:top w:w="0" w:type="dxa"/>
              <w:left w:w="108" w:type="dxa"/>
              <w:bottom w:w="0" w:type="dxa"/>
              <w:right w:w="108" w:type="dxa"/>
            </w:tcMar>
          </w:tcPr>
          <w:p w14:paraId="3B1191A2"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i/>
                <w:iCs/>
                <w:color w:val="000000"/>
                <w:sz w:val="24"/>
                <w:szCs w:val="24"/>
              </w:rPr>
              <w:t>χ</w:t>
            </w:r>
            <w:r w:rsidRPr="00332399">
              <w:rPr>
                <w:rFonts w:ascii="Century Schoolbook" w:eastAsia="Calibri" w:hAnsi="Century Schoolbook" w:cs="Times New Roman"/>
                <w:color w:val="000000"/>
                <w:sz w:val="24"/>
                <w:szCs w:val="24"/>
              </w:rPr>
              <w:t>²</w:t>
            </w:r>
          </w:p>
        </w:tc>
        <w:tc>
          <w:tcPr>
            <w:tcW w:w="765" w:type="dxa"/>
            <w:tcBorders>
              <w:top w:val="single" w:sz="8" w:space="0" w:color="000000"/>
              <w:bottom w:val="single" w:sz="8" w:space="0" w:color="000000"/>
            </w:tcBorders>
            <w:tcMar>
              <w:top w:w="0" w:type="dxa"/>
              <w:left w:w="108" w:type="dxa"/>
              <w:bottom w:w="0" w:type="dxa"/>
              <w:right w:w="108" w:type="dxa"/>
            </w:tcMar>
          </w:tcPr>
          <w:p w14:paraId="2C0CC3B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gl</w:t>
            </w:r>
          </w:p>
        </w:tc>
        <w:tc>
          <w:tcPr>
            <w:tcW w:w="765" w:type="dxa"/>
            <w:tcBorders>
              <w:top w:val="single" w:sz="8" w:space="0" w:color="000000"/>
              <w:bottom w:val="single" w:sz="8" w:space="0" w:color="000000"/>
            </w:tcBorders>
            <w:tcMar>
              <w:top w:w="0" w:type="dxa"/>
              <w:left w:w="108" w:type="dxa"/>
              <w:bottom w:w="0" w:type="dxa"/>
              <w:right w:w="108" w:type="dxa"/>
            </w:tcMar>
          </w:tcPr>
          <w:p w14:paraId="00BD822D" w14:textId="77777777" w:rsidR="00D37CF0" w:rsidRPr="00332399" w:rsidRDefault="00D37CF0" w:rsidP="00C06401">
            <w:pPr>
              <w:spacing w:after="0" w:line="360" w:lineRule="auto"/>
              <w:jc w:val="center"/>
              <w:rPr>
                <w:rFonts w:ascii="Century Schoolbook" w:hAnsi="Century Schoolbook" w:cs="Times New Roman"/>
                <w:sz w:val="24"/>
                <w:szCs w:val="24"/>
              </w:rPr>
            </w:pPr>
            <w:r w:rsidRPr="00332399">
              <w:rPr>
                <w:rFonts w:ascii="Century Schoolbook" w:eastAsia="Calibri" w:hAnsi="Century Schoolbook" w:cs="Times New Roman"/>
                <w:i/>
                <w:iCs/>
                <w:color w:val="000000"/>
                <w:sz w:val="24"/>
                <w:szCs w:val="24"/>
              </w:rPr>
              <w:t>χ</w:t>
            </w:r>
            <w:r w:rsidRPr="00332399">
              <w:rPr>
                <w:rFonts w:ascii="Century Schoolbook" w:eastAsia="Calibri" w:hAnsi="Century Schoolbook" w:cs="Times New Roman"/>
                <w:color w:val="000000"/>
                <w:sz w:val="24"/>
                <w:szCs w:val="24"/>
              </w:rPr>
              <w:t>²/gl</w:t>
            </w:r>
          </w:p>
        </w:tc>
        <w:tc>
          <w:tcPr>
            <w:tcW w:w="645" w:type="dxa"/>
            <w:tcBorders>
              <w:top w:val="single" w:sz="8" w:space="0" w:color="000000"/>
              <w:bottom w:val="single" w:sz="8" w:space="0" w:color="000000"/>
            </w:tcBorders>
            <w:tcMar>
              <w:top w:w="0" w:type="dxa"/>
              <w:left w:w="108" w:type="dxa"/>
              <w:bottom w:w="0" w:type="dxa"/>
              <w:right w:w="108" w:type="dxa"/>
            </w:tcMar>
          </w:tcPr>
          <w:p w14:paraId="0137B66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CFI</w:t>
            </w:r>
          </w:p>
        </w:tc>
        <w:tc>
          <w:tcPr>
            <w:tcW w:w="690" w:type="dxa"/>
            <w:tcBorders>
              <w:top w:val="single" w:sz="8" w:space="0" w:color="000000"/>
              <w:bottom w:val="single" w:sz="8" w:space="0" w:color="000000"/>
            </w:tcBorders>
            <w:tcMar>
              <w:top w:w="0" w:type="dxa"/>
              <w:left w:w="108" w:type="dxa"/>
              <w:bottom w:w="0" w:type="dxa"/>
              <w:right w:w="108" w:type="dxa"/>
            </w:tcMar>
          </w:tcPr>
          <w:p w14:paraId="515CDD17"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TLI</w:t>
            </w:r>
          </w:p>
        </w:tc>
        <w:tc>
          <w:tcPr>
            <w:tcW w:w="825" w:type="dxa"/>
            <w:tcBorders>
              <w:top w:val="single" w:sz="8" w:space="0" w:color="000000"/>
              <w:bottom w:val="single" w:sz="8" w:space="0" w:color="000000"/>
            </w:tcBorders>
            <w:tcMar>
              <w:top w:w="0" w:type="dxa"/>
              <w:left w:w="108" w:type="dxa"/>
              <w:bottom w:w="0" w:type="dxa"/>
              <w:right w:w="108" w:type="dxa"/>
            </w:tcMar>
          </w:tcPr>
          <w:p w14:paraId="729A9A9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SRMR</w:t>
            </w:r>
          </w:p>
        </w:tc>
        <w:tc>
          <w:tcPr>
            <w:tcW w:w="1635" w:type="dxa"/>
            <w:tcBorders>
              <w:top w:val="single" w:sz="8" w:space="0" w:color="000000"/>
              <w:bottom w:val="single" w:sz="8" w:space="0" w:color="000000"/>
            </w:tcBorders>
            <w:tcMar>
              <w:top w:w="0" w:type="dxa"/>
              <w:left w:w="108" w:type="dxa"/>
              <w:bottom w:w="0" w:type="dxa"/>
              <w:right w:w="108" w:type="dxa"/>
            </w:tcMar>
          </w:tcPr>
          <w:p w14:paraId="302AC07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RMSEA [IC 90%]</w:t>
            </w:r>
          </w:p>
        </w:tc>
      </w:tr>
      <w:tr w:rsidR="00D37CF0" w:rsidRPr="00332399" w14:paraId="03F2837F" w14:textId="77777777" w:rsidTr="00332399">
        <w:trPr>
          <w:trHeight w:val="300"/>
        </w:trPr>
        <w:tc>
          <w:tcPr>
            <w:tcW w:w="1276" w:type="dxa"/>
            <w:tcBorders>
              <w:top w:val="single" w:sz="8" w:space="0" w:color="000000"/>
            </w:tcBorders>
            <w:tcMar>
              <w:top w:w="0" w:type="dxa"/>
              <w:left w:w="108" w:type="dxa"/>
              <w:bottom w:w="0" w:type="dxa"/>
              <w:right w:w="108" w:type="dxa"/>
            </w:tcMar>
          </w:tcPr>
          <w:p w14:paraId="4FCBE48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1</w:t>
            </w:r>
          </w:p>
        </w:tc>
        <w:tc>
          <w:tcPr>
            <w:tcW w:w="705" w:type="dxa"/>
            <w:tcBorders>
              <w:top w:val="single" w:sz="8" w:space="0" w:color="000000"/>
            </w:tcBorders>
            <w:tcMar>
              <w:top w:w="0" w:type="dxa"/>
              <w:left w:w="108" w:type="dxa"/>
              <w:bottom w:w="0" w:type="dxa"/>
              <w:right w:w="108" w:type="dxa"/>
            </w:tcMar>
          </w:tcPr>
          <w:p w14:paraId="5C0B068D"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115</w:t>
            </w:r>
          </w:p>
        </w:tc>
        <w:tc>
          <w:tcPr>
            <w:tcW w:w="765" w:type="dxa"/>
            <w:tcBorders>
              <w:top w:val="single" w:sz="8" w:space="0" w:color="000000"/>
            </w:tcBorders>
            <w:tcMar>
              <w:top w:w="0" w:type="dxa"/>
              <w:left w:w="108" w:type="dxa"/>
              <w:bottom w:w="0" w:type="dxa"/>
              <w:right w:w="108" w:type="dxa"/>
            </w:tcMar>
          </w:tcPr>
          <w:p w14:paraId="2E07449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32</w:t>
            </w:r>
          </w:p>
        </w:tc>
        <w:tc>
          <w:tcPr>
            <w:tcW w:w="765" w:type="dxa"/>
            <w:tcBorders>
              <w:top w:val="single" w:sz="8" w:space="0" w:color="000000"/>
            </w:tcBorders>
            <w:tcMar>
              <w:top w:w="0" w:type="dxa"/>
              <w:left w:w="108" w:type="dxa"/>
              <w:bottom w:w="0" w:type="dxa"/>
              <w:right w:w="108" w:type="dxa"/>
            </w:tcMar>
          </w:tcPr>
          <w:p w14:paraId="67DE0D0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3.59</w:t>
            </w:r>
          </w:p>
        </w:tc>
        <w:tc>
          <w:tcPr>
            <w:tcW w:w="645" w:type="dxa"/>
            <w:tcBorders>
              <w:top w:val="single" w:sz="8" w:space="0" w:color="000000"/>
            </w:tcBorders>
            <w:tcMar>
              <w:top w:w="0" w:type="dxa"/>
              <w:left w:w="108" w:type="dxa"/>
              <w:bottom w:w="0" w:type="dxa"/>
              <w:right w:w="108" w:type="dxa"/>
            </w:tcMar>
          </w:tcPr>
          <w:p w14:paraId="4CA6684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.92</w:t>
            </w:r>
          </w:p>
        </w:tc>
        <w:tc>
          <w:tcPr>
            <w:tcW w:w="690" w:type="dxa"/>
            <w:tcBorders>
              <w:top w:val="single" w:sz="8" w:space="0" w:color="000000"/>
            </w:tcBorders>
            <w:tcMar>
              <w:top w:w="0" w:type="dxa"/>
              <w:left w:w="108" w:type="dxa"/>
              <w:bottom w:w="0" w:type="dxa"/>
              <w:right w:w="108" w:type="dxa"/>
            </w:tcMar>
          </w:tcPr>
          <w:p w14:paraId="26FC8354"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.89</w:t>
            </w:r>
          </w:p>
        </w:tc>
        <w:tc>
          <w:tcPr>
            <w:tcW w:w="825" w:type="dxa"/>
            <w:tcBorders>
              <w:top w:val="single" w:sz="8" w:space="0" w:color="000000"/>
            </w:tcBorders>
            <w:tcMar>
              <w:top w:w="0" w:type="dxa"/>
              <w:left w:w="108" w:type="dxa"/>
              <w:bottom w:w="0" w:type="dxa"/>
              <w:right w:w="108" w:type="dxa"/>
            </w:tcMar>
          </w:tcPr>
          <w:p w14:paraId="4047052F"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.06</w:t>
            </w:r>
          </w:p>
        </w:tc>
        <w:tc>
          <w:tcPr>
            <w:tcW w:w="1635" w:type="dxa"/>
            <w:tcBorders>
              <w:top w:val="single" w:sz="8" w:space="0" w:color="000000"/>
            </w:tcBorders>
            <w:tcMar>
              <w:top w:w="0" w:type="dxa"/>
              <w:left w:w="108" w:type="dxa"/>
              <w:bottom w:w="0" w:type="dxa"/>
              <w:right w:w="108" w:type="dxa"/>
            </w:tcMar>
          </w:tcPr>
          <w:p w14:paraId="7F9EA37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.09 [.07-.10]</w:t>
            </w:r>
          </w:p>
        </w:tc>
      </w:tr>
      <w:tr w:rsidR="00D37CF0" w:rsidRPr="00332399" w14:paraId="79017E4D" w14:textId="77777777" w:rsidTr="00332399">
        <w:trPr>
          <w:trHeight w:val="300"/>
        </w:trPr>
        <w:tc>
          <w:tcPr>
            <w:tcW w:w="1276" w:type="dxa"/>
            <w:tcBorders>
              <w:bottom w:val="single" w:sz="8" w:space="0" w:color="000000"/>
            </w:tcBorders>
            <w:tcMar>
              <w:top w:w="0" w:type="dxa"/>
              <w:left w:w="108" w:type="dxa"/>
              <w:bottom w:w="0" w:type="dxa"/>
              <w:right w:w="108" w:type="dxa"/>
            </w:tcMar>
          </w:tcPr>
          <w:p w14:paraId="09AB628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Modelo 2</w:t>
            </w:r>
          </w:p>
        </w:tc>
        <w:tc>
          <w:tcPr>
            <w:tcW w:w="705" w:type="dxa"/>
            <w:tcBorders>
              <w:bottom w:val="single" w:sz="8" w:space="0" w:color="000000"/>
            </w:tcBorders>
            <w:tcMar>
              <w:top w:w="0" w:type="dxa"/>
              <w:left w:w="108" w:type="dxa"/>
              <w:bottom w:w="0" w:type="dxa"/>
              <w:right w:w="108" w:type="dxa"/>
            </w:tcMar>
          </w:tcPr>
          <w:p w14:paraId="0EEE874B"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76.1</w:t>
            </w:r>
          </w:p>
        </w:tc>
        <w:tc>
          <w:tcPr>
            <w:tcW w:w="765" w:type="dxa"/>
            <w:tcBorders>
              <w:bottom w:val="single" w:sz="8" w:space="0" w:color="000000"/>
            </w:tcBorders>
            <w:tcMar>
              <w:top w:w="0" w:type="dxa"/>
              <w:left w:w="108" w:type="dxa"/>
              <w:bottom w:w="0" w:type="dxa"/>
              <w:right w:w="108" w:type="dxa"/>
            </w:tcMar>
          </w:tcPr>
          <w:p w14:paraId="6FC903F6"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24</w:t>
            </w:r>
          </w:p>
        </w:tc>
        <w:tc>
          <w:tcPr>
            <w:tcW w:w="765" w:type="dxa"/>
            <w:tcBorders>
              <w:bottom w:val="single" w:sz="8" w:space="0" w:color="000000"/>
            </w:tcBorders>
            <w:tcMar>
              <w:top w:w="0" w:type="dxa"/>
              <w:left w:w="108" w:type="dxa"/>
              <w:bottom w:w="0" w:type="dxa"/>
              <w:right w:w="108" w:type="dxa"/>
            </w:tcMar>
          </w:tcPr>
          <w:p w14:paraId="0DA9EBA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3.17</w:t>
            </w:r>
          </w:p>
        </w:tc>
        <w:tc>
          <w:tcPr>
            <w:tcW w:w="645" w:type="dxa"/>
            <w:tcBorders>
              <w:bottom w:val="single" w:sz="8" w:space="0" w:color="000000"/>
            </w:tcBorders>
            <w:tcMar>
              <w:top w:w="0" w:type="dxa"/>
              <w:left w:w="108" w:type="dxa"/>
              <w:bottom w:w="0" w:type="dxa"/>
              <w:right w:w="108" w:type="dxa"/>
            </w:tcMar>
          </w:tcPr>
          <w:p w14:paraId="4AC2461A"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.95</w:t>
            </w:r>
          </w:p>
        </w:tc>
        <w:tc>
          <w:tcPr>
            <w:tcW w:w="690" w:type="dxa"/>
            <w:tcBorders>
              <w:bottom w:val="single" w:sz="8" w:space="0" w:color="000000"/>
            </w:tcBorders>
            <w:tcMar>
              <w:top w:w="0" w:type="dxa"/>
              <w:left w:w="108" w:type="dxa"/>
              <w:bottom w:w="0" w:type="dxa"/>
              <w:right w:w="108" w:type="dxa"/>
            </w:tcMar>
          </w:tcPr>
          <w:p w14:paraId="1A082485"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.92</w:t>
            </w:r>
          </w:p>
        </w:tc>
        <w:tc>
          <w:tcPr>
            <w:tcW w:w="825" w:type="dxa"/>
            <w:tcBorders>
              <w:bottom w:val="single" w:sz="8" w:space="0" w:color="000000"/>
            </w:tcBorders>
            <w:tcMar>
              <w:top w:w="0" w:type="dxa"/>
              <w:left w:w="108" w:type="dxa"/>
              <w:bottom w:w="0" w:type="dxa"/>
              <w:right w:w="108" w:type="dxa"/>
            </w:tcMar>
          </w:tcPr>
          <w:p w14:paraId="456DCA5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.05</w:t>
            </w:r>
          </w:p>
        </w:tc>
        <w:tc>
          <w:tcPr>
            <w:tcW w:w="1635" w:type="dxa"/>
            <w:tcBorders>
              <w:bottom w:val="single" w:sz="8" w:space="0" w:color="000000"/>
            </w:tcBorders>
            <w:tcMar>
              <w:top w:w="0" w:type="dxa"/>
              <w:left w:w="108" w:type="dxa"/>
              <w:bottom w:w="0" w:type="dxa"/>
              <w:right w:w="108" w:type="dxa"/>
            </w:tcMar>
          </w:tcPr>
          <w:p w14:paraId="1FF79AF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.07 [.06-.10]</w:t>
            </w:r>
          </w:p>
        </w:tc>
      </w:tr>
    </w:tbl>
    <w:p w14:paraId="5614BF5C" w14:textId="1B55FACC" w:rsidR="00D37CF0" w:rsidRPr="00332399" w:rsidRDefault="009822B1" w:rsidP="00C06401">
      <w:pPr>
        <w:spacing w:after="0" w:line="360" w:lineRule="auto"/>
        <w:jc w:val="both"/>
        <w:rPr>
          <w:rFonts w:ascii="Century Schoolbook" w:eastAsia="MS Mincho" w:hAnsi="Century Schoolbook" w:cs="Times New Roman"/>
          <w:color w:val="000000"/>
          <w:sz w:val="24"/>
          <w:szCs w:val="24"/>
        </w:rPr>
      </w:pPr>
      <w:r w:rsidRPr="00332399">
        <w:rPr>
          <w:rFonts w:ascii="Century Schoolbook" w:eastAsia="Calibri" w:hAnsi="Century Schoolbook" w:cs="Times New Roman"/>
          <w:color w:val="000000"/>
          <w:sz w:val="24"/>
          <w:szCs w:val="24"/>
        </w:rPr>
        <w:t>Nota: RMSEA=</w:t>
      </w:r>
      <w:r w:rsidR="00D37CF0" w:rsidRPr="00332399">
        <w:rPr>
          <w:rFonts w:ascii="Century Schoolbook" w:eastAsia="MS Mincho" w:hAnsi="Century Schoolbook" w:cs="Times New Roman"/>
          <w:color w:val="000000"/>
          <w:sz w:val="24"/>
          <w:szCs w:val="24"/>
        </w:rPr>
        <w:t>raíz cuadrada media del error de aproximación</w:t>
      </w:r>
      <w:r w:rsidRPr="00332399">
        <w:rPr>
          <w:rFonts w:ascii="Century Schoolbook" w:eastAsia="MS Mincho" w:hAnsi="Century Schoolbook" w:cs="Times New Roman"/>
          <w:color w:val="000000"/>
          <w:sz w:val="24"/>
          <w:szCs w:val="24"/>
        </w:rPr>
        <w:t>, SRMR=</w:t>
      </w:r>
      <w:r w:rsidR="00D37CF0" w:rsidRPr="00332399">
        <w:rPr>
          <w:rFonts w:ascii="Century Schoolbook" w:eastAsia="MS Mincho" w:hAnsi="Century Schoolbook" w:cs="Times New Roman"/>
          <w:color w:val="000000"/>
          <w:sz w:val="24"/>
          <w:szCs w:val="24"/>
        </w:rPr>
        <w:t>error cuadrático medio estandarizado</w:t>
      </w:r>
      <w:r w:rsidRPr="00332399">
        <w:rPr>
          <w:rFonts w:ascii="Century Schoolbook" w:eastAsia="MS Mincho" w:hAnsi="Century Schoolbook" w:cs="Times New Roman"/>
          <w:color w:val="000000"/>
          <w:sz w:val="24"/>
          <w:szCs w:val="24"/>
        </w:rPr>
        <w:t>, TLI=</w:t>
      </w:r>
      <w:r w:rsidR="00D37CF0" w:rsidRPr="00332399">
        <w:rPr>
          <w:rFonts w:ascii="Century Schoolbook" w:eastAsia="MS Mincho" w:hAnsi="Century Schoolbook" w:cs="Times New Roman"/>
          <w:color w:val="000000"/>
          <w:sz w:val="24"/>
          <w:szCs w:val="24"/>
        </w:rPr>
        <w:t>índice de Tucker-Lewis</w:t>
      </w:r>
      <w:r w:rsidRPr="00332399">
        <w:rPr>
          <w:rFonts w:ascii="Century Schoolbook" w:eastAsia="MS Mincho" w:hAnsi="Century Schoolbook" w:cs="Times New Roman"/>
          <w:color w:val="000000"/>
          <w:sz w:val="24"/>
          <w:szCs w:val="24"/>
        </w:rPr>
        <w:t>, CFI=</w:t>
      </w:r>
      <w:r w:rsidR="00D37CF0" w:rsidRPr="00332399">
        <w:rPr>
          <w:rFonts w:ascii="Century Schoolbook" w:eastAsia="MS Mincho" w:hAnsi="Century Schoolbook" w:cs="Times New Roman"/>
          <w:color w:val="000000"/>
          <w:sz w:val="24"/>
          <w:szCs w:val="24"/>
        </w:rPr>
        <w:t>índice de ajuste comparativo</w:t>
      </w:r>
    </w:p>
    <w:p w14:paraId="4C8337BB" w14:textId="78CD2344" w:rsidR="009822B1" w:rsidRDefault="009822B1" w:rsidP="00C06401">
      <w:pPr>
        <w:spacing w:after="0" w:line="360" w:lineRule="auto"/>
        <w:jc w:val="both"/>
        <w:rPr>
          <w:rFonts w:ascii="Century Schoolbook" w:eastAsia="Calibri" w:hAnsi="Century Schoolbook" w:cs="Times New Roman"/>
          <w:color w:val="000000"/>
          <w:sz w:val="24"/>
          <w:szCs w:val="24"/>
        </w:rPr>
      </w:pPr>
    </w:p>
    <w:p w14:paraId="70CEDF23" w14:textId="77777777" w:rsidR="00332399" w:rsidRPr="00332399" w:rsidRDefault="00332399" w:rsidP="00C06401">
      <w:pPr>
        <w:spacing w:after="0" w:line="360" w:lineRule="auto"/>
        <w:jc w:val="both"/>
        <w:rPr>
          <w:rFonts w:ascii="Century Schoolbook" w:eastAsia="Calibri" w:hAnsi="Century Schoolbook" w:cs="Times New Roman"/>
          <w:color w:val="000000"/>
          <w:sz w:val="24"/>
          <w:szCs w:val="24"/>
        </w:rPr>
      </w:pPr>
    </w:p>
    <w:p w14:paraId="475C7418" w14:textId="4A4F0F8F" w:rsidR="00D37CF0" w:rsidRPr="00332399" w:rsidRDefault="00D37CF0" w:rsidP="00C06401">
      <w:pPr>
        <w:spacing w:after="240" w:line="360" w:lineRule="auto"/>
        <w:rPr>
          <w:rFonts w:ascii="Century Schoolbook" w:eastAsia="MS Mincho" w:hAnsi="Century Schoolbook" w:cs="Times New Roman"/>
          <w:b/>
          <w:bCs/>
          <w:i/>
          <w:color w:val="000000"/>
          <w:sz w:val="24"/>
          <w:szCs w:val="24"/>
        </w:rPr>
      </w:pPr>
      <w:r w:rsidRPr="00332399">
        <w:rPr>
          <w:rFonts w:ascii="Century Schoolbook" w:eastAsia="MS Mincho" w:hAnsi="Century Schoolbook" w:cs="Times New Roman"/>
          <w:b/>
          <w:bCs/>
          <w:i/>
          <w:color w:val="000000"/>
          <w:sz w:val="24"/>
          <w:szCs w:val="24"/>
        </w:rPr>
        <w:t>Relación con otras variables</w:t>
      </w:r>
    </w:p>
    <w:p w14:paraId="40DE8F24" w14:textId="77777777" w:rsidR="00D37CF0" w:rsidRPr="00332399" w:rsidRDefault="00D37CF0" w:rsidP="00C06401">
      <w:pPr>
        <w:spacing w:before="240" w:after="240" w:line="360" w:lineRule="auto"/>
        <w:ind w:firstLine="426"/>
        <w:jc w:val="both"/>
        <w:rPr>
          <w:rFonts w:ascii="Century Schoolbook" w:hAnsi="Century Schoolbook" w:cs="Times New Roman"/>
          <w:color w:val="000000"/>
          <w:sz w:val="24"/>
          <w:szCs w:val="24"/>
        </w:rPr>
      </w:pPr>
      <w:r w:rsidRPr="00332399">
        <w:rPr>
          <w:rFonts w:ascii="Century Schoolbook" w:hAnsi="Century Schoolbook" w:cs="Times New Roman"/>
          <w:color w:val="000000"/>
          <w:sz w:val="24"/>
          <w:szCs w:val="24"/>
        </w:rPr>
        <w:lastRenderedPageBreak/>
        <w:t xml:space="preserve">Los participantes del estudio también completaron otros instrumentos de evaluación, lo que permitió identificar correlaciones </w:t>
      </w:r>
      <w:commentRangeStart w:id="12"/>
      <w:r w:rsidRPr="00332399">
        <w:rPr>
          <w:rFonts w:ascii="Century Schoolbook" w:hAnsi="Century Schoolbook" w:cs="Times New Roman"/>
          <w:color w:val="000000"/>
          <w:sz w:val="24"/>
          <w:szCs w:val="24"/>
        </w:rPr>
        <w:t>estadísticamente significativas.</w:t>
      </w:r>
      <w:commentRangeEnd w:id="12"/>
      <w:r w:rsidR="0039277A">
        <w:rPr>
          <w:rStyle w:val="Refdecomentario"/>
        </w:rPr>
        <w:commentReference w:id="12"/>
      </w:r>
      <w:r w:rsidRPr="00332399">
        <w:rPr>
          <w:rFonts w:ascii="Century Schoolbook" w:hAnsi="Century Schoolbook" w:cs="Times New Roman"/>
          <w:color w:val="000000"/>
          <w:sz w:val="24"/>
          <w:szCs w:val="24"/>
        </w:rPr>
        <w:t xml:space="preserve"> Se observó una relación positiva, aunque débil, entre la </w:t>
      </w:r>
      <w:proofErr w:type="spellStart"/>
      <w:r w:rsidRPr="00332399">
        <w:rPr>
          <w:rFonts w:ascii="Century Schoolbook" w:hAnsi="Century Schoolbook" w:cs="Times New Roman"/>
          <w:color w:val="000000"/>
          <w:sz w:val="24"/>
          <w:szCs w:val="24"/>
        </w:rPr>
        <w:t>homonegatividad</w:t>
      </w:r>
      <w:proofErr w:type="spellEnd"/>
      <w:r w:rsidRPr="00332399">
        <w:rPr>
          <w:rFonts w:ascii="Century Schoolbook" w:hAnsi="Century Schoolbook" w:cs="Times New Roman"/>
          <w:color w:val="000000"/>
          <w:sz w:val="24"/>
          <w:szCs w:val="24"/>
        </w:rPr>
        <w:t xml:space="preserve"> internalizada y la ansiedad. Por otro lado, se halló una relación negativa entre el florecimiento y la </w:t>
      </w:r>
      <w:proofErr w:type="spellStart"/>
      <w:r w:rsidRPr="00332399">
        <w:rPr>
          <w:rFonts w:ascii="Century Schoolbook" w:hAnsi="Century Schoolbook" w:cs="Times New Roman"/>
          <w:color w:val="000000"/>
          <w:sz w:val="24"/>
          <w:szCs w:val="24"/>
        </w:rPr>
        <w:t>homonegatividad</w:t>
      </w:r>
      <w:proofErr w:type="spellEnd"/>
      <w:r w:rsidRPr="00332399">
        <w:rPr>
          <w:rFonts w:ascii="Century Schoolbook" w:hAnsi="Century Schoolbook" w:cs="Times New Roman"/>
          <w:color w:val="000000"/>
          <w:sz w:val="24"/>
          <w:szCs w:val="24"/>
        </w:rPr>
        <w:t xml:space="preserve"> internalizada. </w:t>
      </w:r>
    </w:p>
    <w:p w14:paraId="4C602CEE" w14:textId="77777777" w:rsidR="009822B1" w:rsidRPr="00332399" w:rsidRDefault="00D37CF0" w:rsidP="00C06401">
      <w:pPr>
        <w:spacing w:after="0" w:line="360" w:lineRule="auto"/>
        <w:jc w:val="both"/>
        <w:rPr>
          <w:rFonts w:ascii="Century Schoolbook" w:hAnsi="Century Schoolbook" w:cs="Times New Roman"/>
          <w:sz w:val="24"/>
          <w:szCs w:val="24"/>
        </w:rPr>
      </w:pPr>
      <w:r w:rsidRPr="00332399">
        <w:rPr>
          <w:rFonts w:ascii="Century Schoolbook" w:hAnsi="Century Schoolbook" w:cs="Times New Roman"/>
          <w:sz w:val="24"/>
          <w:szCs w:val="24"/>
        </w:rPr>
        <w:t>Tabla 5</w:t>
      </w:r>
      <w:commentRangeStart w:id="13"/>
    </w:p>
    <w:p w14:paraId="7AA65C1D" w14:textId="1069F81D" w:rsidR="00D37CF0" w:rsidRPr="00332399" w:rsidRDefault="00D37CF0" w:rsidP="00C06401">
      <w:pPr>
        <w:spacing w:after="0" w:line="360" w:lineRule="auto"/>
        <w:jc w:val="both"/>
        <w:rPr>
          <w:rFonts w:ascii="Century Schoolbook" w:hAnsi="Century Schoolbook" w:cs="Times New Roman"/>
          <w:sz w:val="24"/>
          <w:szCs w:val="24"/>
        </w:rPr>
      </w:pPr>
      <w:r w:rsidRPr="00332399">
        <w:rPr>
          <w:rFonts w:ascii="Century Schoolbook" w:hAnsi="Century Schoolbook" w:cs="Times New Roman"/>
          <w:sz w:val="24"/>
          <w:szCs w:val="24"/>
        </w:rPr>
        <w:t>Análisis correlacional con otras variables</w:t>
      </w:r>
      <w:commentRangeEnd w:id="13"/>
      <w:r w:rsidR="007F11D0">
        <w:rPr>
          <w:rStyle w:val="Refdecomentario"/>
        </w:rPr>
        <w:commentReference w:id="13"/>
      </w:r>
    </w:p>
    <w:tbl>
      <w:tblPr>
        <w:tblW w:w="5000" w:type="pct"/>
        <w:tblCellMar>
          <w:left w:w="10" w:type="dxa"/>
          <w:right w:w="10" w:type="dxa"/>
        </w:tblCellMar>
        <w:tblLook w:val="0000" w:firstRow="0" w:lastRow="0" w:firstColumn="0" w:lastColumn="0" w:noHBand="0" w:noVBand="0"/>
      </w:tblPr>
      <w:tblGrid>
        <w:gridCol w:w="3628"/>
        <w:gridCol w:w="960"/>
        <w:gridCol w:w="1761"/>
        <w:gridCol w:w="2721"/>
      </w:tblGrid>
      <w:tr w:rsidR="00D37CF0" w:rsidRPr="00332399" w14:paraId="0FDDD46B" w14:textId="77777777" w:rsidTr="0039277A">
        <w:trPr>
          <w:trHeight w:val="300"/>
        </w:trPr>
        <w:tc>
          <w:tcPr>
            <w:tcW w:w="2529" w:type="pct"/>
            <w:gridSpan w:val="2"/>
            <w:tcBorders>
              <w:top w:val="single" w:sz="8" w:space="0" w:color="000000"/>
              <w:bottom w:val="single" w:sz="8" w:space="0" w:color="000000"/>
            </w:tcBorders>
            <w:tcMar>
              <w:top w:w="0" w:type="dxa"/>
              <w:left w:w="108" w:type="dxa"/>
              <w:bottom w:w="0" w:type="dxa"/>
              <w:right w:w="108" w:type="dxa"/>
            </w:tcMar>
          </w:tcPr>
          <w:p w14:paraId="5B28C81C"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commentRangeStart w:id="14"/>
            <w:commentRangeStart w:id="15"/>
            <w:r w:rsidRPr="00332399">
              <w:rPr>
                <w:rFonts w:ascii="Century Schoolbook" w:eastAsia="Calibri" w:hAnsi="Century Schoolbook" w:cs="Times New Roman"/>
                <w:color w:val="000000"/>
                <w:sz w:val="24"/>
                <w:szCs w:val="24"/>
              </w:rPr>
              <w:t>Variables</w:t>
            </w:r>
          </w:p>
        </w:tc>
        <w:tc>
          <w:tcPr>
            <w:tcW w:w="971" w:type="pct"/>
            <w:tcBorders>
              <w:top w:val="single" w:sz="8" w:space="0" w:color="000000"/>
              <w:bottom w:val="single" w:sz="8" w:space="0" w:color="000000"/>
            </w:tcBorders>
            <w:tcMar>
              <w:top w:w="0" w:type="dxa"/>
              <w:left w:w="108" w:type="dxa"/>
              <w:bottom w:w="0" w:type="dxa"/>
              <w:right w:w="108" w:type="dxa"/>
            </w:tcMar>
          </w:tcPr>
          <w:p w14:paraId="4691B283"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Ansiedad</w:t>
            </w:r>
          </w:p>
        </w:tc>
        <w:tc>
          <w:tcPr>
            <w:tcW w:w="1500" w:type="pct"/>
            <w:tcBorders>
              <w:top w:val="single" w:sz="8" w:space="0" w:color="000000"/>
              <w:bottom w:val="single" w:sz="8" w:space="0" w:color="000000"/>
            </w:tcBorders>
            <w:tcMar>
              <w:top w:w="0" w:type="dxa"/>
              <w:left w:w="108" w:type="dxa"/>
              <w:bottom w:w="0" w:type="dxa"/>
              <w:right w:w="108" w:type="dxa"/>
            </w:tcMar>
          </w:tcPr>
          <w:p w14:paraId="5E7A2B5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Florecimiento</w:t>
            </w:r>
          </w:p>
        </w:tc>
      </w:tr>
      <w:tr w:rsidR="00D37CF0" w:rsidRPr="00332399" w14:paraId="39B75C31" w14:textId="77777777" w:rsidTr="0039277A">
        <w:trPr>
          <w:trHeight w:val="300"/>
        </w:trPr>
        <w:tc>
          <w:tcPr>
            <w:tcW w:w="2000" w:type="pct"/>
            <w:vMerge w:val="restart"/>
            <w:tcBorders>
              <w:top w:val="single" w:sz="8" w:space="0" w:color="000000"/>
              <w:bottom w:val="single" w:sz="8" w:space="0" w:color="000000"/>
            </w:tcBorders>
            <w:tcMar>
              <w:top w:w="0" w:type="dxa"/>
              <w:left w:w="108" w:type="dxa"/>
              <w:bottom w:w="0" w:type="dxa"/>
              <w:right w:w="108" w:type="dxa"/>
            </w:tcMar>
          </w:tcPr>
          <w:p w14:paraId="4C2AD39A" w14:textId="77777777" w:rsidR="00D37CF0" w:rsidRPr="00332399" w:rsidRDefault="00D37CF0" w:rsidP="00C06401">
            <w:pPr>
              <w:spacing w:after="0" w:line="360" w:lineRule="auto"/>
              <w:rPr>
                <w:rFonts w:ascii="Century Schoolbook" w:eastAsia="Calibri" w:hAnsi="Century Schoolbook" w:cs="Times New Roman"/>
                <w:color w:val="000000"/>
                <w:sz w:val="24"/>
                <w:szCs w:val="24"/>
              </w:rPr>
            </w:pPr>
            <w:proofErr w:type="spellStart"/>
            <w:r w:rsidRPr="00332399">
              <w:rPr>
                <w:rFonts w:ascii="Century Schoolbook" w:eastAsia="Calibri" w:hAnsi="Century Schoolbook" w:cs="Times New Roman"/>
                <w:color w:val="000000"/>
                <w:sz w:val="24"/>
                <w:szCs w:val="24"/>
              </w:rPr>
              <w:t>Homonegatividad</w:t>
            </w:r>
            <w:proofErr w:type="spellEnd"/>
            <w:r w:rsidRPr="00332399">
              <w:rPr>
                <w:rFonts w:ascii="Century Schoolbook" w:eastAsia="Calibri" w:hAnsi="Century Schoolbook" w:cs="Times New Roman"/>
                <w:color w:val="000000"/>
                <w:sz w:val="24"/>
                <w:szCs w:val="24"/>
              </w:rPr>
              <w:t xml:space="preserve"> internalizada</w:t>
            </w:r>
          </w:p>
        </w:tc>
        <w:tc>
          <w:tcPr>
            <w:tcW w:w="529" w:type="pct"/>
            <w:tcBorders>
              <w:top w:val="single" w:sz="8" w:space="0" w:color="000000"/>
            </w:tcBorders>
            <w:tcMar>
              <w:top w:w="0" w:type="dxa"/>
              <w:left w:w="108" w:type="dxa"/>
              <w:bottom w:w="0" w:type="dxa"/>
              <w:right w:w="108" w:type="dxa"/>
            </w:tcMar>
          </w:tcPr>
          <w:p w14:paraId="2204A6C5" w14:textId="77777777" w:rsidR="00D37CF0" w:rsidRPr="00332399" w:rsidRDefault="00D37CF0" w:rsidP="00C06401">
            <w:pPr>
              <w:spacing w:after="0" w:line="360" w:lineRule="auto"/>
              <w:jc w:val="center"/>
              <w:rPr>
                <w:rFonts w:ascii="Century Schoolbook" w:eastAsia="Calibri" w:hAnsi="Century Schoolbook" w:cs="Times New Roman"/>
                <w:i/>
                <w:color w:val="000000"/>
                <w:sz w:val="24"/>
                <w:szCs w:val="24"/>
              </w:rPr>
            </w:pPr>
            <w:r w:rsidRPr="00332399">
              <w:rPr>
                <w:rFonts w:ascii="Century Schoolbook" w:eastAsia="Calibri" w:hAnsi="Century Schoolbook" w:cs="Times New Roman"/>
                <w:i/>
                <w:color w:val="000000"/>
                <w:sz w:val="24"/>
                <w:szCs w:val="24"/>
              </w:rPr>
              <w:t>r</w:t>
            </w:r>
          </w:p>
        </w:tc>
        <w:tc>
          <w:tcPr>
            <w:tcW w:w="971" w:type="pct"/>
            <w:tcBorders>
              <w:top w:val="single" w:sz="8" w:space="0" w:color="000000"/>
            </w:tcBorders>
            <w:tcMar>
              <w:top w:w="0" w:type="dxa"/>
              <w:left w:w="108" w:type="dxa"/>
              <w:bottom w:w="0" w:type="dxa"/>
              <w:right w:w="108" w:type="dxa"/>
            </w:tcMar>
          </w:tcPr>
          <w:p w14:paraId="277E95A8"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.23</w:t>
            </w:r>
          </w:p>
        </w:tc>
        <w:tc>
          <w:tcPr>
            <w:tcW w:w="1500" w:type="pct"/>
            <w:tcBorders>
              <w:top w:val="single" w:sz="8" w:space="0" w:color="000000"/>
            </w:tcBorders>
            <w:tcMar>
              <w:top w:w="0" w:type="dxa"/>
              <w:left w:w="108" w:type="dxa"/>
              <w:bottom w:w="0" w:type="dxa"/>
              <w:right w:w="108" w:type="dxa"/>
            </w:tcMar>
          </w:tcPr>
          <w:p w14:paraId="3E400973" w14:textId="228F962D"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-.19</w:t>
            </w:r>
          </w:p>
        </w:tc>
      </w:tr>
      <w:tr w:rsidR="00D37CF0" w:rsidRPr="00332399" w14:paraId="186E5E51" w14:textId="77777777" w:rsidTr="0039277A">
        <w:trPr>
          <w:trHeight w:val="300"/>
        </w:trPr>
        <w:tc>
          <w:tcPr>
            <w:tcW w:w="2000" w:type="pct"/>
            <w:vMerge/>
            <w:tcBorders>
              <w:top w:val="single" w:sz="8" w:space="0" w:color="000000"/>
              <w:bottom w:val="single" w:sz="8" w:space="0" w:color="000000"/>
            </w:tcBorders>
            <w:tcMar>
              <w:top w:w="0" w:type="dxa"/>
              <w:left w:w="108" w:type="dxa"/>
              <w:bottom w:w="0" w:type="dxa"/>
              <w:right w:w="108" w:type="dxa"/>
            </w:tcMar>
          </w:tcPr>
          <w:p w14:paraId="4A588E5B" w14:textId="77777777" w:rsidR="00D37CF0" w:rsidRPr="00332399" w:rsidRDefault="00D37CF0" w:rsidP="00C06401">
            <w:pPr>
              <w:spacing w:after="0" w:line="360" w:lineRule="auto"/>
              <w:rPr>
                <w:rFonts w:ascii="Century Schoolbook" w:hAnsi="Century Schoolbook" w:cs="Times New Roman"/>
                <w:sz w:val="24"/>
                <w:szCs w:val="24"/>
              </w:rPr>
            </w:pPr>
          </w:p>
        </w:tc>
        <w:tc>
          <w:tcPr>
            <w:tcW w:w="529" w:type="pct"/>
            <w:tcMar>
              <w:top w:w="0" w:type="dxa"/>
              <w:left w:w="108" w:type="dxa"/>
              <w:bottom w:w="0" w:type="dxa"/>
              <w:right w:w="108" w:type="dxa"/>
            </w:tcMar>
          </w:tcPr>
          <w:p w14:paraId="425A08A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p</w:t>
            </w:r>
          </w:p>
        </w:tc>
        <w:tc>
          <w:tcPr>
            <w:tcW w:w="971" w:type="pct"/>
            <w:tcMar>
              <w:top w:w="0" w:type="dxa"/>
              <w:left w:w="108" w:type="dxa"/>
              <w:bottom w:w="0" w:type="dxa"/>
              <w:right w:w="108" w:type="dxa"/>
            </w:tcMar>
          </w:tcPr>
          <w:p w14:paraId="130A04F2"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&lt;</w:t>
            </w:r>
            <w:r w:rsidRPr="00332399">
              <w:rPr>
                <w:rFonts w:ascii="Times New Roman" w:eastAsia="Calibri" w:hAnsi="Times New Roman" w:cs="Times New Roman"/>
                <w:color w:val="000000"/>
                <w:sz w:val="24"/>
                <w:szCs w:val="24"/>
              </w:rPr>
              <w:t> </w:t>
            </w:r>
            <w:r w:rsidRPr="00332399">
              <w:rPr>
                <w:rFonts w:ascii="Century Schoolbook" w:eastAsia="Calibri" w:hAnsi="Century Schoolbook" w:cs="Times New Roman"/>
                <w:color w:val="000000"/>
                <w:sz w:val="24"/>
                <w:szCs w:val="24"/>
              </w:rPr>
              <w:t>.001</w:t>
            </w:r>
          </w:p>
        </w:tc>
        <w:tc>
          <w:tcPr>
            <w:tcW w:w="1500" w:type="pct"/>
            <w:tcMar>
              <w:top w:w="0" w:type="dxa"/>
              <w:left w:w="108" w:type="dxa"/>
              <w:bottom w:w="0" w:type="dxa"/>
              <w:right w:w="108" w:type="dxa"/>
            </w:tcMar>
          </w:tcPr>
          <w:p w14:paraId="026C8671"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&lt;</w:t>
            </w:r>
            <w:r w:rsidRPr="00332399">
              <w:rPr>
                <w:rFonts w:ascii="Times New Roman" w:eastAsia="Calibri" w:hAnsi="Times New Roman" w:cs="Times New Roman"/>
                <w:color w:val="000000"/>
                <w:sz w:val="24"/>
                <w:szCs w:val="24"/>
              </w:rPr>
              <w:t> </w:t>
            </w:r>
            <w:r w:rsidRPr="00332399">
              <w:rPr>
                <w:rFonts w:ascii="Century Schoolbook" w:eastAsia="Calibri" w:hAnsi="Century Schoolbook" w:cs="Times New Roman"/>
                <w:color w:val="000000"/>
                <w:sz w:val="24"/>
                <w:szCs w:val="24"/>
              </w:rPr>
              <w:t>.001</w:t>
            </w:r>
          </w:p>
        </w:tc>
      </w:tr>
      <w:tr w:rsidR="00D37CF0" w:rsidRPr="00332399" w14:paraId="7F68CAE3" w14:textId="77777777" w:rsidTr="0039277A">
        <w:trPr>
          <w:trHeight w:val="300"/>
        </w:trPr>
        <w:tc>
          <w:tcPr>
            <w:tcW w:w="2000" w:type="pct"/>
            <w:vMerge/>
            <w:tcBorders>
              <w:top w:val="single" w:sz="8" w:space="0" w:color="000000"/>
              <w:bottom w:val="single" w:sz="8" w:space="0" w:color="000000"/>
            </w:tcBorders>
            <w:tcMar>
              <w:top w:w="0" w:type="dxa"/>
              <w:left w:w="108" w:type="dxa"/>
              <w:bottom w:w="0" w:type="dxa"/>
              <w:right w:w="108" w:type="dxa"/>
            </w:tcMar>
          </w:tcPr>
          <w:p w14:paraId="5D2504EB" w14:textId="77777777" w:rsidR="00D37CF0" w:rsidRPr="00332399" w:rsidRDefault="00D37CF0" w:rsidP="00C06401">
            <w:pPr>
              <w:spacing w:after="0" w:line="360" w:lineRule="auto"/>
              <w:rPr>
                <w:rFonts w:ascii="Century Schoolbook" w:hAnsi="Century Schoolbook" w:cs="Times New Roman"/>
                <w:sz w:val="24"/>
                <w:szCs w:val="24"/>
              </w:rPr>
            </w:pPr>
          </w:p>
        </w:tc>
        <w:tc>
          <w:tcPr>
            <w:tcW w:w="529" w:type="pct"/>
            <w:tcBorders>
              <w:bottom w:val="single" w:sz="8" w:space="0" w:color="000000"/>
            </w:tcBorders>
            <w:tcMar>
              <w:top w:w="0" w:type="dxa"/>
              <w:left w:w="108" w:type="dxa"/>
              <w:bottom w:w="0" w:type="dxa"/>
              <w:right w:w="108" w:type="dxa"/>
            </w:tcMar>
          </w:tcPr>
          <w:p w14:paraId="703AA4C1" w14:textId="77777777" w:rsidR="00D37CF0" w:rsidRPr="00332399" w:rsidRDefault="00D37CF0" w:rsidP="00C06401">
            <w:pPr>
              <w:spacing w:after="0" w:line="360" w:lineRule="auto"/>
              <w:jc w:val="center"/>
              <w:rPr>
                <w:rFonts w:ascii="Century Schoolbook" w:hAnsi="Century Schoolbook" w:cs="Times New Roman"/>
                <w:i/>
                <w:sz w:val="24"/>
                <w:szCs w:val="24"/>
              </w:rPr>
            </w:pP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p>
        </w:tc>
        <w:tc>
          <w:tcPr>
            <w:tcW w:w="971" w:type="pct"/>
            <w:tcBorders>
              <w:bottom w:val="single" w:sz="8" w:space="0" w:color="000000"/>
            </w:tcBorders>
            <w:tcMar>
              <w:top w:w="0" w:type="dxa"/>
              <w:left w:w="108" w:type="dxa"/>
              <w:bottom w:w="0" w:type="dxa"/>
              <w:right w:w="108" w:type="dxa"/>
            </w:tcMar>
          </w:tcPr>
          <w:p w14:paraId="14CF63D9"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.05</w:t>
            </w:r>
          </w:p>
        </w:tc>
        <w:tc>
          <w:tcPr>
            <w:tcW w:w="1500" w:type="pct"/>
            <w:tcBorders>
              <w:bottom w:val="single" w:sz="8" w:space="0" w:color="000000"/>
            </w:tcBorders>
            <w:tcMar>
              <w:top w:w="0" w:type="dxa"/>
              <w:left w:w="108" w:type="dxa"/>
              <w:bottom w:w="0" w:type="dxa"/>
              <w:right w:w="108" w:type="dxa"/>
            </w:tcMar>
          </w:tcPr>
          <w:p w14:paraId="73362650" w14:textId="77777777" w:rsidR="00D37CF0" w:rsidRPr="00332399" w:rsidRDefault="00D37CF0" w:rsidP="00C06401">
            <w:pPr>
              <w:spacing w:after="0" w:line="360" w:lineRule="auto"/>
              <w:jc w:val="center"/>
              <w:rPr>
                <w:rFonts w:ascii="Century Schoolbook" w:eastAsia="Calibri" w:hAnsi="Century Schoolbook" w:cs="Times New Roman"/>
                <w:color w:val="000000"/>
                <w:sz w:val="24"/>
                <w:szCs w:val="24"/>
              </w:rPr>
            </w:pPr>
            <w:r w:rsidRPr="00332399">
              <w:rPr>
                <w:rFonts w:ascii="Century Schoolbook" w:eastAsia="Calibri" w:hAnsi="Century Schoolbook" w:cs="Times New Roman"/>
                <w:color w:val="000000"/>
                <w:sz w:val="24"/>
                <w:szCs w:val="24"/>
              </w:rPr>
              <w:t>.04</w:t>
            </w:r>
            <w:commentRangeEnd w:id="14"/>
            <w:r w:rsidR="0039277A">
              <w:rPr>
                <w:rStyle w:val="Refdecomentario"/>
              </w:rPr>
              <w:commentReference w:id="14"/>
            </w:r>
            <w:r w:rsidR="0039277A">
              <w:rPr>
                <w:rStyle w:val="Refdecomentario"/>
              </w:rPr>
              <w:commentReference w:id="15"/>
            </w:r>
          </w:p>
        </w:tc>
      </w:tr>
    </w:tbl>
    <w:commentRangeEnd w:id="15"/>
    <w:p w14:paraId="212525F8" w14:textId="44120E81" w:rsidR="00D37CF0" w:rsidRPr="00332399" w:rsidRDefault="009822B1" w:rsidP="00C06401">
      <w:pPr>
        <w:spacing w:after="0" w:line="360" w:lineRule="auto"/>
        <w:jc w:val="both"/>
        <w:rPr>
          <w:rFonts w:ascii="Century Schoolbook" w:hAnsi="Century Schoolbook" w:cs="Times New Roman"/>
          <w:sz w:val="24"/>
          <w:szCs w:val="24"/>
        </w:rPr>
      </w:pPr>
      <w:r w:rsidRPr="00332399">
        <w:rPr>
          <w:rFonts w:ascii="Century Schoolbook" w:eastAsia="Calibri" w:hAnsi="Century Schoolbook" w:cs="Times New Roman"/>
          <w:color w:val="000000"/>
          <w:sz w:val="24"/>
          <w:szCs w:val="24"/>
        </w:rPr>
        <w:t>Nota:</w:t>
      </w:r>
      <w:r w:rsidRPr="00332399">
        <w:rPr>
          <w:rFonts w:ascii="Century Schoolbook" w:eastAsia="Calibri" w:hAnsi="Century Schoolbook" w:cs="Times New Roman"/>
          <w:i/>
          <w:color w:val="000000"/>
          <w:sz w:val="24"/>
          <w:szCs w:val="24"/>
        </w:rPr>
        <w:t xml:space="preserve"> r</w:t>
      </w:r>
      <w:r w:rsidRPr="00332399">
        <w:rPr>
          <w:rFonts w:ascii="Century Schoolbook" w:eastAsia="Calibri" w:hAnsi="Century Schoolbook" w:cs="Times New Roman"/>
          <w:color w:val="000000"/>
          <w:sz w:val="24"/>
          <w:szCs w:val="24"/>
        </w:rPr>
        <w:t xml:space="preserve">=coeficiente de Pearson, </w:t>
      </w:r>
      <w:r w:rsidRPr="00332399">
        <w:rPr>
          <w:rFonts w:ascii="Century Schoolbook" w:eastAsia="Calibri" w:hAnsi="Century Schoolbook" w:cs="Times New Roman"/>
          <w:i/>
          <w:color w:val="000000"/>
          <w:sz w:val="24"/>
          <w:szCs w:val="24"/>
        </w:rPr>
        <w:t>r</w:t>
      </w:r>
      <w:r w:rsidRPr="00332399">
        <w:rPr>
          <w:rFonts w:ascii="Century Schoolbook" w:eastAsia="Calibri" w:hAnsi="Century Schoolbook" w:cs="Times New Roman"/>
          <w:i/>
          <w:color w:val="000000"/>
          <w:sz w:val="24"/>
          <w:szCs w:val="24"/>
          <w:vertAlign w:val="superscript"/>
        </w:rPr>
        <w:t>2</w:t>
      </w:r>
      <w:r w:rsidRPr="00332399">
        <w:rPr>
          <w:rFonts w:ascii="Century Schoolbook" w:eastAsia="Calibri" w:hAnsi="Century Schoolbook" w:cs="Times New Roman"/>
          <w:color w:val="000000"/>
          <w:sz w:val="24"/>
          <w:szCs w:val="24"/>
        </w:rPr>
        <w:t>=magnitud del efecto</w:t>
      </w:r>
    </w:p>
    <w:p w14:paraId="1EFF507D" w14:textId="77777777" w:rsidR="00D37CF0" w:rsidRPr="00332399" w:rsidRDefault="00D37CF0" w:rsidP="00C06401">
      <w:pPr>
        <w:spacing w:before="200" w:after="0" w:line="360" w:lineRule="auto"/>
        <w:ind w:firstLine="426"/>
        <w:jc w:val="both"/>
        <w:rPr>
          <w:rFonts w:ascii="Century Schoolbook" w:hAnsi="Century Schoolbook" w:cs="Times New Roman"/>
          <w:sz w:val="24"/>
          <w:szCs w:val="24"/>
        </w:rPr>
      </w:pPr>
    </w:p>
    <w:p w14:paraId="5796C5FC" w14:textId="440195FB" w:rsidR="00A97081" w:rsidRPr="00332399" w:rsidRDefault="00A97081" w:rsidP="00C06401">
      <w:pPr>
        <w:spacing w:before="200" w:after="0" w:line="360" w:lineRule="auto"/>
        <w:rPr>
          <w:rFonts w:ascii="Century Schoolbook" w:hAnsi="Century Schoolbook" w:cs="Times New Roman"/>
          <w:b/>
          <w:sz w:val="24"/>
          <w:szCs w:val="24"/>
        </w:rPr>
      </w:pPr>
      <w:r w:rsidRPr="00332399">
        <w:rPr>
          <w:rFonts w:ascii="Century Schoolbook" w:hAnsi="Century Schoolbook" w:cs="Times New Roman"/>
          <w:b/>
          <w:sz w:val="24"/>
          <w:szCs w:val="24"/>
        </w:rPr>
        <w:t>Discusión</w:t>
      </w:r>
    </w:p>
    <w:p w14:paraId="65C70937" w14:textId="387023F9"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Los hallazgos encontrados demuestran distintas evidencias </w:t>
      </w:r>
      <w:commentRangeStart w:id="16"/>
      <w:r w:rsidRPr="00332399">
        <w:rPr>
          <w:rFonts w:ascii="Century Schoolbook" w:hAnsi="Century Schoolbook" w:cs="Times New Roman"/>
          <w:sz w:val="24"/>
          <w:szCs w:val="24"/>
        </w:rPr>
        <w:t xml:space="preserve">sobre con la </w:t>
      </w:r>
      <w:commentRangeEnd w:id="16"/>
      <w:r w:rsidR="0039277A">
        <w:rPr>
          <w:rStyle w:val="Refdecomentario"/>
        </w:rPr>
        <w:commentReference w:id="16"/>
      </w:r>
      <w:r w:rsidRPr="00332399">
        <w:rPr>
          <w:rFonts w:ascii="Century Schoolbook" w:hAnsi="Century Schoolbook" w:cs="Times New Roman"/>
          <w:sz w:val="24"/>
          <w:szCs w:val="24"/>
        </w:rPr>
        <w:t xml:space="preserve">confiabilidad y validez de la interpretación de la escala de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en hombres homosexuales cisgénero en Lima - Perú.  </w:t>
      </w:r>
      <w:commentRangeStart w:id="17"/>
      <w:r w:rsidRPr="00332399">
        <w:rPr>
          <w:rFonts w:ascii="Century Schoolbook" w:hAnsi="Century Schoolbook" w:cs="Times New Roman"/>
          <w:sz w:val="24"/>
          <w:szCs w:val="24"/>
        </w:rPr>
        <w:t>Inicialmente, al realizar las correlaciones de ítems-factor, se encontró un índice de modificación alto (</w:t>
      </w:r>
      <w:proofErr w:type="spellStart"/>
      <w:r w:rsidRPr="00332399">
        <w:rPr>
          <w:rFonts w:ascii="Century Schoolbook" w:hAnsi="Century Schoolbook" w:cs="Times New Roman"/>
          <w:sz w:val="24"/>
          <w:szCs w:val="24"/>
        </w:rPr>
        <w:t>Schumacker</w:t>
      </w:r>
      <w:proofErr w:type="spellEnd"/>
      <w:r w:rsidRPr="00332399">
        <w:rPr>
          <w:rFonts w:ascii="Century Schoolbook" w:hAnsi="Century Schoolbook" w:cs="Times New Roman"/>
          <w:sz w:val="24"/>
          <w:szCs w:val="24"/>
        </w:rPr>
        <w:t xml:space="preserve"> &amp; </w:t>
      </w:r>
      <w:proofErr w:type="spellStart"/>
      <w:r w:rsidRPr="00332399">
        <w:rPr>
          <w:rFonts w:ascii="Century Schoolbook" w:hAnsi="Century Schoolbook" w:cs="Times New Roman"/>
          <w:sz w:val="24"/>
          <w:szCs w:val="24"/>
        </w:rPr>
        <w:t>Lomax</w:t>
      </w:r>
      <w:proofErr w:type="spellEnd"/>
      <w:r w:rsidRPr="00332399">
        <w:rPr>
          <w:rFonts w:ascii="Century Schoolbook" w:hAnsi="Century Schoolbook" w:cs="Times New Roman"/>
          <w:sz w:val="24"/>
          <w:szCs w:val="24"/>
        </w:rPr>
        <w:t xml:space="preserve">, 2016) en el análisis del ítem 1 (“Me siento cómodo al hablar sobre homosexualidad en situaciones públicas”), por lo cual se propuso un segundo modelo, donde cada factor tiene 3 ítems y el ítem con puntuación alta (MI=19.76) en modificación es eliminado. En los análisis descriptivos, se encontró que las relaciones entre los ítems y los factores, y entre los factores y la variable general, muestran una tendencia a aumentar en cuanto a la fuerza de la correlación. Esto podría significar que el Modelo 2 presenta un ajuste mejorado o una estructura más clara en comparación con otros modelos, ya que las correlaciones entre las variables son más fuertes y consistentes. </w:t>
      </w:r>
      <w:commentRangeStart w:id="18"/>
      <w:r w:rsidRPr="00332399">
        <w:rPr>
          <w:rFonts w:ascii="Century Schoolbook" w:hAnsi="Century Schoolbook" w:cs="Times New Roman"/>
          <w:sz w:val="24"/>
          <w:szCs w:val="24"/>
        </w:rPr>
        <w:t xml:space="preserve">El ítem eliminado mide la autoeficacia y disposición personal para discutir el tema, en lugar de evaluar el rechazo hacia la visibilidad pública de la homosexualidad. </w:t>
      </w:r>
      <w:commentRangeEnd w:id="18"/>
      <w:r w:rsidR="00196635">
        <w:rPr>
          <w:rStyle w:val="Refdecomentario"/>
        </w:rPr>
        <w:commentReference w:id="18"/>
      </w:r>
      <w:r w:rsidRPr="00332399">
        <w:rPr>
          <w:rFonts w:ascii="Century Schoolbook" w:hAnsi="Century Schoolbook" w:cs="Times New Roman"/>
          <w:sz w:val="24"/>
          <w:szCs w:val="24"/>
        </w:rPr>
        <w:t xml:space="preserve">Según </w:t>
      </w:r>
      <w:proofErr w:type="spellStart"/>
      <w:r w:rsidRPr="00332399">
        <w:rPr>
          <w:rFonts w:ascii="Century Schoolbook" w:hAnsi="Century Schoolbook" w:cs="Times New Roman"/>
          <w:sz w:val="24"/>
          <w:szCs w:val="24"/>
        </w:rPr>
        <w:t>Herek</w:t>
      </w:r>
      <w:proofErr w:type="spellEnd"/>
      <w:r w:rsidRPr="00332399">
        <w:rPr>
          <w:rFonts w:ascii="Century Schoolbook" w:hAnsi="Century Schoolbook" w:cs="Times New Roman"/>
          <w:sz w:val="24"/>
          <w:szCs w:val="24"/>
        </w:rPr>
        <w:t xml:space="preserve"> (2004), el rechazo hacia la manifestación pública se relaciona con actitudes </w:t>
      </w:r>
      <w:r w:rsidRPr="00332399">
        <w:rPr>
          <w:rFonts w:ascii="Century Schoolbook" w:hAnsi="Century Schoolbook" w:cs="Times New Roman"/>
          <w:sz w:val="24"/>
          <w:szCs w:val="24"/>
        </w:rPr>
        <w:lastRenderedPageBreak/>
        <w:t xml:space="preserve">negativas hacia la visibilidad de identidades no normativas, mientras que, la comodidad en la conversación sobre temas LGBTQ+ suele estar asociada con una visión más tolerante y respetuosa de la diversidad sexual (American Psychological Association, 2023). </w:t>
      </w:r>
    </w:p>
    <w:p w14:paraId="1FB97540" w14:textId="77777777"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Además, dado que el ítem es inverso, su interpretación y dirección son diferentes a los ítems que miden directamente el rechazo hacia la manifestación pública. </w:t>
      </w:r>
      <w:commentRangeEnd w:id="17"/>
      <w:r w:rsidR="005B1093">
        <w:rPr>
          <w:rStyle w:val="Refdecomentario"/>
        </w:rPr>
        <w:commentReference w:id="17"/>
      </w:r>
      <w:commentRangeStart w:id="19"/>
      <w:r w:rsidRPr="00332399">
        <w:rPr>
          <w:rFonts w:ascii="Century Schoolbook" w:hAnsi="Century Schoolbook" w:cs="Times New Roman"/>
          <w:sz w:val="24"/>
          <w:szCs w:val="24"/>
        </w:rPr>
        <w:t xml:space="preserve">Se realizó el análisis de consistencia interna de ambas propuestas: la estructura que tuvo la validación en Perú (Salirrosas-Cabada et al., 2024) y el Modelo 2. Entre el factor 2 (Rechazo al propio deseo sexual) y el factor 3 (Incapacidad para la intimidad con personas homosexuales) no hay diferencia en la confiabilidad en ambos modelos, puesto que no hubo variación en sus ítems. Sin embargo, con el primer factor si se encontraron diferencias en los modelos. El Modelo 2 ofrece una puntuación mayor en confiabilidad (α=.82, ω=82) en comparación con el factor de 4 ítems que propone el primer modelo (α=.78, ω=78). De modo que, en el análisis de confiabilidad del constructo como variable general se encontró que en el Modelo 2 aumenta la confiabilidad a α=.82, ω=.82. Finalmente, estos coeficientes indican que el modelo propuesto por el autor tiene mayor consistencia interna, lo que significa que la estructura del instrumento y la interacción de los ítems están midiendo de manera más uniforme el constructo y, por consiguiente, es más fiable la nueva propuesta de evaluación para esta variable (Cook &amp; Beckman, 2006; </w:t>
      </w:r>
      <w:proofErr w:type="spellStart"/>
      <w:r w:rsidRPr="00332399">
        <w:rPr>
          <w:rFonts w:ascii="Century Schoolbook" w:hAnsi="Century Schoolbook" w:cs="Times New Roman"/>
          <w:sz w:val="24"/>
          <w:szCs w:val="24"/>
        </w:rPr>
        <w:t>Viladrich</w:t>
      </w:r>
      <w:proofErr w:type="spellEnd"/>
      <w:r w:rsidRPr="00332399">
        <w:rPr>
          <w:rFonts w:ascii="Century Schoolbook" w:hAnsi="Century Schoolbook" w:cs="Times New Roman"/>
          <w:sz w:val="24"/>
          <w:szCs w:val="24"/>
        </w:rPr>
        <w:t xml:space="preserve"> et al., 2017). </w:t>
      </w:r>
      <w:commentRangeEnd w:id="19"/>
      <w:r w:rsidR="005B1093">
        <w:rPr>
          <w:rStyle w:val="Refdecomentario"/>
        </w:rPr>
        <w:commentReference w:id="19"/>
      </w:r>
    </w:p>
    <w:p w14:paraId="28D3CBCD" w14:textId="0CD99CD2"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Tras eliminar un ítem para mejorar la eficacia del modelo de evaluación, se realizó un análisis factorial confirmatorio. Este análisis permitió identificar que el Modelo 2 no solo presenta mejores índices de ajuste en comparación con el modelo anterior, sino que también ofrece una estructura más coherente y robusta para la medición del constructo en estudio. Estos resultados sugieren que el ajuste logrado con el Modelo 2 es estadísticamente más adecuado, lo que refuerza su validez como herramienta de evaluación en contextos similares. Ambos modelos tienen ajustes aceptables con los índices χ²/gl, CFI y TLI, sin embargo, con relación a los índices SRMR y RMSEA se encuentra que </w:t>
      </w:r>
      <w:commentRangeStart w:id="20"/>
      <w:r w:rsidRPr="00332399">
        <w:rPr>
          <w:rFonts w:ascii="Century Schoolbook" w:hAnsi="Century Schoolbook" w:cs="Times New Roman"/>
          <w:sz w:val="24"/>
          <w:szCs w:val="24"/>
        </w:rPr>
        <w:t xml:space="preserve">el segundo modelo tiene una mejora notable. </w:t>
      </w:r>
      <w:commentRangeEnd w:id="20"/>
      <w:r w:rsidR="005B1093">
        <w:rPr>
          <w:rStyle w:val="Refdecomentario"/>
        </w:rPr>
        <w:commentReference w:id="20"/>
      </w:r>
      <w:r w:rsidRPr="00332399">
        <w:rPr>
          <w:rFonts w:ascii="Century Schoolbook" w:hAnsi="Century Schoolbook" w:cs="Times New Roman"/>
          <w:sz w:val="24"/>
          <w:szCs w:val="24"/>
        </w:rPr>
        <w:t xml:space="preserve">De esa forma, el modelo propuesto es superior porque presenta un ajuste más </w:t>
      </w:r>
      <w:r w:rsidRPr="00332399">
        <w:rPr>
          <w:rFonts w:ascii="Century Schoolbook" w:hAnsi="Century Schoolbook" w:cs="Times New Roman"/>
          <w:sz w:val="24"/>
          <w:szCs w:val="24"/>
        </w:rPr>
        <w:lastRenderedPageBreak/>
        <w:t xml:space="preserve">preciso a los datos observados, evidenciando mejoras en ambos índices, que </w:t>
      </w:r>
      <w:r w:rsidR="00A344A3" w:rsidRPr="00332399">
        <w:rPr>
          <w:rFonts w:ascii="Century Schoolbook" w:hAnsi="Century Schoolbook" w:cs="Times New Roman"/>
          <w:sz w:val="24"/>
          <w:szCs w:val="24"/>
        </w:rPr>
        <w:t>indican</w:t>
      </w:r>
      <w:r w:rsidRPr="00332399">
        <w:rPr>
          <w:rFonts w:ascii="Century Schoolbook" w:hAnsi="Century Schoolbook" w:cs="Times New Roman"/>
          <w:sz w:val="24"/>
          <w:szCs w:val="24"/>
        </w:rPr>
        <w:t xml:space="preserve"> una menor discrepancia y </w:t>
      </w:r>
      <w:commentRangeStart w:id="21"/>
      <w:r w:rsidRPr="00332399">
        <w:rPr>
          <w:rFonts w:ascii="Century Schoolbook" w:hAnsi="Century Schoolbook" w:cs="Times New Roman"/>
          <w:sz w:val="24"/>
          <w:szCs w:val="24"/>
        </w:rPr>
        <w:t xml:space="preserve">una representación más exacta del constructo </w:t>
      </w:r>
      <w:commentRangeEnd w:id="21"/>
      <w:r w:rsidR="005B1093">
        <w:rPr>
          <w:rStyle w:val="Refdecomentario"/>
        </w:rPr>
        <w:commentReference w:id="21"/>
      </w:r>
      <w:r w:rsidRPr="00332399">
        <w:rPr>
          <w:rFonts w:ascii="Century Schoolbook" w:hAnsi="Century Schoolbook" w:cs="Times New Roman"/>
          <w:sz w:val="24"/>
          <w:szCs w:val="24"/>
        </w:rPr>
        <w:t>(</w:t>
      </w:r>
      <w:proofErr w:type="spellStart"/>
      <w:r w:rsidRPr="00332399">
        <w:rPr>
          <w:rFonts w:ascii="Century Schoolbook" w:hAnsi="Century Schoolbook" w:cs="Times New Roman"/>
          <w:sz w:val="24"/>
          <w:szCs w:val="24"/>
        </w:rPr>
        <w:t>Hu</w:t>
      </w:r>
      <w:proofErr w:type="spellEnd"/>
      <w:r w:rsidRPr="00332399">
        <w:rPr>
          <w:rFonts w:ascii="Century Schoolbook" w:hAnsi="Century Schoolbook" w:cs="Times New Roman"/>
          <w:sz w:val="24"/>
          <w:szCs w:val="24"/>
        </w:rPr>
        <w:t xml:space="preserve"> &amp; </w:t>
      </w:r>
      <w:proofErr w:type="spellStart"/>
      <w:r w:rsidRPr="00332399">
        <w:rPr>
          <w:rFonts w:ascii="Century Schoolbook" w:hAnsi="Century Schoolbook" w:cs="Times New Roman"/>
          <w:sz w:val="24"/>
          <w:szCs w:val="24"/>
        </w:rPr>
        <w:t>Bentler</w:t>
      </w:r>
      <w:proofErr w:type="spellEnd"/>
      <w:r w:rsidRPr="00332399">
        <w:rPr>
          <w:rFonts w:ascii="Century Schoolbook" w:hAnsi="Century Schoolbook" w:cs="Times New Roman"/>
          <w:sz w:val="24"/>
          <w:szCs w:val="24"/>
        </w:rPr>
        <w:t xml:space="preserve">, 1999; </w:t>
      </w:r>
      <w:proofErr w:type="spellStart"/>
      <w:r w:rsidRPr="00332399">
        <w:rPr>
          <w:rFonts w:ascii="Century Schoolbook" w:hAnsi="Century Schoolbook" w:cs="Times New Roman"/>
          <w:sz w:val="24"/>
          <w:szCs w:val="24"/>
        </w:rPr>
        <w:t>McNeish</w:t>
      </w:r>
      <w:proofErr w:type="spellEnd"/>
      <w:r w:rsidRPr="00332399">
        <w:rPr>
          <w:rFonts w:ascii="Century Schoolbook" w:hAnsi="Century Schoolbook" w:cs="Times New Roman"/>
          <w:sz w:val="24"/>
          <w:szCs w:val="24"/>
        </w:rPr>
        <w:t>, 2018).</w:t>
      </w:r>
    </w:p>
    <w:p w14:paraId="603E501C" w14:textId="77777777"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Por otro lado, la </w:t>
      </w:r>
      <w:commentRangeStart w:id="22"/>
      <w:r w:rsidRPr="00332399">
        <w:rPr>
          <w:rFonts w:ascii="Century Schoolbook" w:hAnsi="Century Schoolbook" w:cs="Times New Roman"/>
          <w:sz w:val="24"/>
          <w:szCs w:val="24"/>
        </w:rPr>
        <w:t xml:space="preserve">validez de relación con otras variables se determinó mediante la correlación con la ansiedad y florecimiento. </w:t>
      </w:r>
      <w:commentRangeEnd w:id="22"/>
      <w:r w:rsidR="005B1093">
        <w:rPr>
          <w:rStyle w:val="Refdecomentario"/>
        </w:rPr>
        <w:commentReference w:id="22"/>
      </w:r>
      <w:r w:rsidRPr="00332399">
        <w:rPr>
          <w:rFonts w:ascii="Century Schoolbook" w:hAnsi="Century Schoolbook" w:cs="Times New Roman"/>
          <w:sz w:val="24"/>
          <w:szCs w:val="24"/>
        </w:rPr>
        <w:t xml:space="preserve">La relación positiva entre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y ansiedad indica que, a mayor internalización de prejuicios contra la propia orientación sexual, mayor es el nivel de ansiedad experimentado. Esto se debe a que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puede incrementar el estrés emocional y psicológico, contribuyendo a una mayor ansiedad (</w:t>
      </w:r>
      <w:proofErr w:type="spellStart"/>
      <w:r w:rsidRPr="00332399">
        <w:rPr>
          <w:rFonts w:ascii="Century Schoolbook" w:hAnsi="Century Schoolbook" w:cs="Times New Roman"/>
          <w:sz w:val="24"/>
          <w:szCs w:val="24"/>
        </w:rPr>
        <w:t>Budge</w:t>
      </w:r>
      <w:proofErr w:type="spellEnd"/>
      <w:r w:rsidRPr="00332399">
        <w:rPr>
          <w:rFonts w:ascii="Century Schoolbook" w:hAnsi="Century Schoolbook" w:cs="Times New Roman"/>
          <w:sz w:val="24"/>
          <w:szCs w:val="24"/>
        </w:rPr>
        <w:t xml:space="preserve"> et al., 2013; Liu &amp; Ren, 2023; </w:t>
      </w:r>
      <w:proofErr w:type="spellStart"/>
      <w:r w:rsidRPr="00332399">
        <w:rPr>
          <w:rFonts w:ascii="Century Schoolbook" w:hAnsi="Century Schoolbook" w:cs="Times New Roman"/>
          <w:sz w:val="24"/>
          <w:szCs w:val="24"/>
        </w:rPr>
        <w:t>Ünsal</w:t>
      </w:r>
      <w:proofErr w:type="spellEnd"/>
      <w:r w:rsidRPr="00332399">
        <w:rPr>
          <w:rFonts w:ascii="Century Schoolbook" w:hAnsi="Century Schoolbook" w:cs="Times New Roman"/>
          <w:sz w:val="24"/>
          <w:szCs w:val="24"/>
        </w:rPr>
        <w:t xml:space="preserve"> &amp; Bozo, 2022). Finalmente, la relación negativa entre el florecimiento y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demuestra que, a medida que aumenta la internalización de prejuicios negativos sobre la orientación sexual propia, el nivel de florecimiento personal disminuye (</w:t>
      </w:r>
      <w:proofErr w:type="spellStart"/>
      <w:r w:rsidRPr="00332399">
        <w:rPr>
          <w:rFonts w:ascii="Century Schoolbook" w:hAnsi="Century Schoolbook" w:cs="Times New Roman"/>
          <w:sz w:val="24"/>
          <w:szCs w:val="24"/>
        </w:rPr>
        <w:t>Berg</w:t>
      </w:r>
      <w:proofErr w:type="spellEnd"/>
      <w:r w:rsidRPr="00332399">
        <w:rPr>
          <w:rFonts w:ascii="Century Schoolbook" w:hAnsi="Century Schoolbook" w:cs="Times New Roman"/>
          <w:sz w:val="24"/>
          <w:szCs w:val="24"/>
        </w:rPr>
        <w:t xml:space="preserve"> et al., 2015; </w:t>
      </w:r>
      <w:proofErr w:type="spellStart"/>
      <w:r w:rsidRPr="00332399">
        <w:rPr>
          <w:rFonts w:ascii="Century Schoolbook" w:hAnsi="Century Schoolbook" w:cs="Times New Roman"/>
          <w:sz w:val="24"/>
          <w:szCs w:val="24"/>
        </w:rPr>
        <w:t>Antebi-Gruszka</w:t>
      </w:r>
      <w:proofErr w:type="spellEnd"/>
      <w:r w:rsidRPr="00332399">
        <w:rPr>
          <w:rFonts w:ascii="Century Schoolbook" w:hAnsi="Century Schoolbook" w:cs="Times New Roman"/>
          <w:sz w:val="24"/>
          <w:szCs w:val="24"/>
        </w:rPr>
        <w:t xml:space="preserve"> &amp; </w:t>
      </w:r>
      <w:proofErr w:type="spellStart"/>
      <w:r w:rsidRPr="00332399">
        <w:rPr>
          <w:rFonts w:ascii="Century Schoolbook" w:hAnsi="Century Schoolbook" w:cs="Times New Roman"/>
          <w:sz w:val="24"/>
          <w:szCs w:val="24"/>
        </w:rPr>
        <w:t>Schrimshaw</w:t>
      </w:r>
      <w:proofErr w:type="spellEnd"/>
      <w:r w:rsidRPr="00332399">
        <w:rPr>
          <w:rFonts w:ascii="Century Schoolbook" w:hAnsi="Century Schoolbook" w:cs="Times New Roman"/>
          <w:sz w:val="24"/>
          <w:szCs w:val="24"/>
        </w:rPr>
        <w:t xml:space="preserve"> et al., 2018). En otras palabras, las personas que internalizan actitudes negativas hacia su orientación sexual tienden a experimentar menos bienestar general y satisfacción con la vida (</w:t>
      </w:r>
      <w:proofErr w:type="spellStart"/>
      <w:r w:rsidRPr="00332399">
        <w:rPr>
          <w:rFonts w:ascii="Century Schoolbook" w:hAnsi="Century Schoolbook" w:cs="Times New Roman"/>
          <w:sz w:val="24"/>
          <w:szCs w:val="24"/>
        </w:rPr>
        <w:t>Skerven</w:t>
      </w:r>
      <w:proofErr w:type="spellEnd"/>
      <w:r w:rsidRPr="00332399">
        <w:rPr>
          <w:rFonts w:ascii="Century Schoolbook" w:hAnsi="Century Schoolbook" w:cs="Times New Roman"/>
          <w:sz w:val="24"/>
          <w:szCs w:val="24"/>
        </w:rPr>
        <w:t xml:space="preserve"> &amp; Aubin, 2015). </w:t>
      </w:r>
      <w:commentRangeStart w:id="23"/>
      <w:r w:rsidRPr="00332399">
        <w:rPr>
          <w:rFonts w:ascii="Century Schoolbook" w:hAnsi="Century Schoolbook" w:cs="Times New Roman"/>
          <w:sz w:val="24"/>
          <w:szCs w:val="24"/>
        </w:rPr>
        <w:t xml:space="preserve">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afecta negativamente la autoaceptación y el bienestar emocional, lo cual puede reducir el florecimiento personal. La autoaceptación es fundamental para el bienestar psicológico, </w:t>
      </w:r>
      <w:proofErr w:type="spellStart"/>
      <w:r w:rsidRPr="00332399">
        <w:rPr>
          <w:rFonts w:ascii="Century Schoolbook" w:hAnsi="Century Schoolbook" w:cs="Times New Roman"/>
          <w:sz w:val="24"/>
          <w:szCs w:val="24"/>
        </w:rPr>
        <w:t>y</w:t>
      </w:r>
      <w:proofErr w:type="spellEnd"/>
      <w:r w:rsidRPr="00332399">
        <w:rPr>
          <w:rFonts w:ascii="Century Schoolbook" w:hAnsi="Century Schoolbook" w:cs="Times New Roman"/>
          <w:sz w:val="24"/>
          <w:szCs w:val="24"/>
        </w:rPr>
        <w:t xml:space="preserve"> internalizar prejuicios puede impedir que las personas se sientan satisfechas con su vida (Diener, 2010). </w:t>
      </w:r>
      <w:commentRangeEnd w:id="23"/>
      <w:r w:rsidR="005B1093">
        <w:rPr>
          <w:rStyle w:val="Refdecomentario"/>
        </w:rPr>
        <w:commentReference w:id="23"/>
      </w:r>
    </w:p>
    <w:p w14:paraId="51943DCE" w14:textId="606B3B65"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En resumen, los hallazgos de esta investigación refuerzan la validez y confiabilidad del Modelo 2 de la escala de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al eliminar el ítem que no alineaba adecuadamente con el constructo evaluado. La mejora en los índices de ajuste y la consistencia interna del modelo propuesto indican una mayor precisión en la medición del constructo en comparación con el modelo de Salirrosas-Cabada et al. (2024). </w:t>
      </w:r>
      <w:commentRangeStart w:id="24"/>
      <w:r w:rsidRPr="00332399">
        <w:rPr>
          <w:rFonts w:ascii="Century Schoolbook" w:hAnsi="Century Schoolbook" w:cs="Times New Roman"/>
          <w:sz w:val="24"/>
          <w:szCs w:val="24"/>
        </w:rPr>
        <w:t>Las correlaciones encontradas reflejan cómo la internalización de prejuicios puede incrementar la ansiedad</w:t>
      </w:r>
      <w:r w:rsidR="00A344A3" w:rsidRPr="00332399">
        <w:rPr>
          <w:rFonts w:ascii="Century Schoolbook" w:hAnsi="Century Schoolbook" w:cs="Times New Roman"/>
          <w:sz w:val="24"/>
          <w:szCs w:val="24"/>
        </w:rPr>
        <w:t xml:space="preserve"> y</w:t>
      </w:r>
      <w:r w:rsidRPr="00332399">
        <w:rPr>
          <w:rFonts w:ascii="Century Schoolbook" w:hAnsi="Century Schoolbook" w:cs="Times New Roman"/>
          <w:sz w:val="24"/>
          <w:szCs w:val="24"/>
        </w:rPr>
        <w:t xml:space="preserve"> reducir el bienestar personal. </w:t>
      </w:r>
      <w:commentRangeEnd w:id="24"/>
      <w:r w:rsidR="005B1093">
        <w:rPr>
          <w:rStyle w:val="Refdecomentario"/>
        </w:rPr>
        <w:commentReference w:id="24"/>
      </w:r>
      <w:r w:rsidRPr="00332399">
        <w:rPr>
          <w:rFonts w:ascii="Century Schoolbook" w:hAnsi="Century Schoolbook" w:cs="Times New Roman"/>
          <w:sz w:val="24"/>
          <w:szCs w:val="24"/>
        </w:rPr>
        <w:t xml:space="preserve">Estos resultados subrayan la importancia de un enfoque preciso en la evaluación de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para entender mejor su impacto en el bienestar psicológico de los hombres homosexuales</w:t>
      </w:r>
      <w:r w:rsidR="00A344A3" w:rsidRPr="00332399">
        <w:rPr>
          <w:rFonts w:ascii="Century Schoolbook" w:hAnsi="Century Schoolbook" w:cs="Times New Roman"/>
          <w:sz w:val="24"/>
          <w:szCs w:val="24"/>
        </w:rPr>
        <w:t xml:space="preserve">. </w:t>
      </w:r>
      <w:r w:rsidRPr="00332399">
        <w:rPr>
          <w:rFonts w:ascii="Century Schoolbook" w:hAnsi="Century Schoolbook" w:cs="Times New Roman"/>
          <w:sz w:val="24"/>
          <w:szCs w:val="24"/>
        </w:rPr>
        <w:t xml:space="preserve">Por lo tanto, </w:t>
      </w:r>
      <w:r w:rsidRPr="00332399">
        <w:rPr>
          <w:rFonts w:ascii="Century Schoolbook" w:hAnsi="Century Schoolbook" w:cs="Times New Roman"/>
          <w:sz w:val="24"/>
          <w:szCs w:val="24"/>
        </w:rPr>
        <w:lastRenderedPageBreak/>
        <w:t xml:space="preserve">el Modelo 2 se presenta como una herramienta más robusta y válida para medir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ofreciendo una estructura más coherente y confiable para futuras investigaciones y aplicaciones prácticas en contextos similares.</w:t>
      </w:r>
    </w:p>
    <w:p w14:paraId="2DDE6B1C" w14:textId="244D9F58" w:rsidR="009822B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El estudio presenta oportunidades para mejorar en futuras investigaciones. La muestra, compuesta exclusivamente por hombres homosexuales cisgénero en Lima, Perú, limita la generalización de los resultados a otras poblaciones y contextos culturales. Ampliar la muestra a diferentes regiones y grupos podría fortalecer la aplicabilidad de los hallazgos. A</w:t>
      </w:r>
      <w:r w:rsidRPr="005B1093">
        <w:rPr>
          <w:rFonts w:ascii="Century Schoolbook" w:hAnsi="Century Schoolbook" w:cs="Times New Roman"/>
          <w:sz w:val="24"/>
          <w:szCs w:val="24"/>
          <w:highlight w:val="yellow"/>
        </w:rPr>
        <w:t>demás, la eliminación del ítem con alta modificación, aunque mejoró la consistencia interna, puede haber reducido la complejidad del constructo.</w:t>
      </w:r>
      <w:r w:rsidRPr="00332399">
        <w:rPr>
          <w:rFonts w:ascii="Century Schoolbook" w:hAnsi="Century Schoolbook" w:cs="Times New Roman"/>
          <w:sz w:val="24"/>
          <w:szCs w:val="24"/>
        </w:rPr>
        <w:t xml:space="preserve"> Finalmente, </w:t>
      </w:r>
      <w:commentRangeStart w:id="25"/>
      <w:r w:rsidRPr="00332399">
        <w:rPr>
          <w:rFonts w:ascii="Century Schoolbook" w:hAnsi="Century Schoolbook" w:cs="Times New Roman"/>
          <w:sz w:val="24"/>
          <w:szCs w:val="24"/>
        </w:rPr>
        <w:t xml:space="preserve">el diseño transversal </w:t>
      </w:r>
      <w:commentRangeEnd w:id="25"/>
      <w:r w:rsidR="005B1093">
        <w:rPr>
          <w:rStyle w:val="Refdecomentario"/>
        </w:rPr>
        <w:commentReference w:id="25"/>
      </w:r>
      <w:r w:rsidRPr="00332399">
        <w:rPr>
          <w:rFonts w:ascii="Century Schoolbook" w:hAnsi="Century Schoolbook" w:cs="Times New Roman"/>
          <w:sz w:val="24"/>
          <w:szCs w:val="24"/>
        </w:rPr>
        <w:t>del estudio impide establecer causalidad, por lo que estudios longitudinales serían beneficiosos para explorar las relaciones entre las variables a lo largo del tiempo. Estas mejoras podrían fortalecer la validez y la generalización de los resultados.</w:t>
      </w:r>
    </w:p>
    <w:p w14:paraId="525B503F" w14:textId="51506827" w:rsidR="00A97081" w:rsidRPr="00332399" w:rsidRDefault="009822B1" w:rsidP="00C06401">
      <w:pPr>
        <w:spacing w:before="200" w:after="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Este estudio valida el IHN-9 como una herramienta confiable para medir la </w:t>
      </w:r>
      <w:proofErr w:type="spellStart"/>
      <w:r w:rsidRPr="00332399">
        <w:rPr>
          <w:rFonts w:ascii="Century Schoolbook" w:hAnsi="Century Schoolbook" w:cs="Times New Roman"/>
          <w:sz w:val="24"/>
          <w:szCs w:val="24"/>
        </w:rPr>
        <w:t>homonegatividad</w:t>
      </w:r>
      <w:proofErr w:type="spellEnd"/>
      <w:r w:rsidRPr="00332399">
        <w:rPr>
          <w:rFonts w:ascii="Century Schoolbook" w:hAnsi="Century Schoolbook" w:cs="Times New Roman"/>
          <w:sz w:val="24"/>
          <w:szCs w:val="24"/>
        </w:rPr>
        <w:t xml:space="preserve"> internalizada en hombres homosexuales cisgénero en Lima, Perú. El IHN-9 mejora la consistencia interna y ofrece una estructura más clara, relacionándose significativamente con la ansiedad y el florecimiento. Aunque se lograron avances importantes, futuras investigaciones podrían ampliar estos hallazgos mediante muestras más diversas y estudios longitudinales. En definitiva, el IHN-9 proporciona una base sólida para evaluar y comprender los desafíos psicológicos en la comunidad LGBTQ+.</w:t>
      </w:r>
    </w:p>
    <w:p w14:paraId="14225123" w14:textId="77777777" w:rsidR="00A97081" w:rsidRPr="00332399" w:rsidRDefault="00A97081" w:rsidP="00C06401">
      <w:pPr>
        <w:spacing w:before="200" w:line="360" w:lineRule="auto"/>
        <w:jc w:val="both"/>
        <w:rPr>
          <w:rFonts w:ascii="Century Schoolbook" w:hAnsi="Century Schoolbook" w:cs="Times New Roman"/>
          <w:b/>
          <w:sz w:val="24"/>
          <w:szCs w:val="24"/>
        </w:rPr>
      </w:pPr>
      <w:r w:rsidRPr="00332399">
        <w:rPr>
          <w:rFonts w:ascii="Century Schoolbook" w:hAnsi="Century Schoolbook" w:cs="Times New Roman"/>
          <w:b/>
          <w:sz w:val="24"/>
          <w:szCs w:val="24"/>
        </w:rPr>
        <w:t>Conflicto de intereses</w:t>
      </w:r>
    </w:p>
    <w:p w14:paraId="2DCF25C8" w14:textId="18AC73E7" w:rsidR="009846AA" w:rsidRDefault="00A97081" w:rsidP="00C06401">
      <w:pPr>
        <w:spacing w:before="200" w:line="360" w:lineRule="auto"/>
        <w:ind w:firstLine="357"/>
        <w:jc w:val="both"/>
        <w:rPr>
          <w:rFonts w:ascii="Century Schoolbook" w:hAnsi="Century Schoolbook" w:cs="Times New Roman"/>
          <w:sz w:val="24"/>
          <w:szCs w:val="24"/>
        </w:rPr>
      </w:pPr>
      <w:r w:rsidRPr="00332399">
        <w:rPr>
          <w:rFonts w:ascii="Century Schoolbook" w:hAnsi="Century Schoolbook" w:cs="Times New Roman"/>
          <w:sz w:val="24"/>
          <w:szCs w:val="24"/>
        </w:rPr>
        <w:t xml:space="preserve">El autor declaro no tener algún conflicto de interés. </w:t>
      </w:r>
    </w:p>
    <w:p w14:paraId="2AE722E3" w14:textId="00321A43" w:rsidR="005979B6" w:rsidRDefault="005979B6" w:rsidP="00C06401">
      <w:pPr>
        <w:spacing w:before="200" w:line="360" w:lineRule="auto"/>
        <w:ind w:firstLine="357"/>
        <w:jc w:val="both"/>
        <w:rPr>
          <w:rFonts w:ascii="Century Schoolbook" w:hAnsi="Century Schoolbook" w:cs="Times New Roman"/>
          <w:sz w:val="24"/>
          <w:szCs w:val="24"/>
        </w:rPr>
      </w:pPr>
    </w:p>
    <w:p w14:paraId="1D262DDF" w14:textId="77777777" w:rsidR="005979B6" w:rsidRPr="00332399" w:rsidRDefault="005979B6" w:rsidP="00C06401">
      <w:pPr>
        <w:spacing w:before="200" w:line="360" w:lineRule="auto"/>
        <w:ind w:firstLine="357"/>
        <w:jc w:val="both"/>
        <w:rPr>
          <w:rFonts w:ascii="Century Schoolbook" w:hAnsi="Century Schoolbook" w:cs="Times New Roman"/>
          <w:sz w:val="24"/>
          <w:szCs w:val="24"/>
        </w:rPr>
      </w:pPr>
    </w:p>
    <w:p w14:paraId="5DCDD962" w14:textId="77777777" w:rsidR="0028290C" w:rsidRPr="00332399" w:rsidRDefault="0028290C" w:rsidP="00C06401">
      <w:pPr>
        <w:spacing w:before="280" w:after="0" w:line="360" w:lineRule="auto"/>
        <w:ind w:right="49" w:firstLine="357"/>
        <w:jc w:val="center"/>
        <w:rPr>
          <w:rFonts w:ascii="Century Schoolbook" w:hAnsi="Century Schoolbook" w:cs="Times New Roman"/>
          <w:b/>
          <w:sz w:val="24"/>
          <w:szCs w:val="24"/>
        </w:rPr>
      </w:pPr>
      <w:r w:rsidRPr="00332399">
        <w:rPr>
          <w:rFonts w:ascii="Century Schoolbook" w:hAnsi="Century Schoolbook" w:cs="Times New Roman"/>
          <w:b/>
          <w:sz w:val="24"/>
          <w:szCs w:val="24"/>
        </w:rPr>
        <w:t>Referencias</w:t>
      </w:r>
    </w:p>
    <w:p w14:paraId="1965E77A" w14:textId="77777777" w:rsidR="009822B1" w:rsidRPr="00332399" w:rsidRDefault="009822B1" w:rsidP="00C06401">
      <w:pPr>
        <w:spacing w:before="170" w:after="170" w:line="360" w:lineRule="auto"/>
        <w:ind w:left="567" w:hanging="567"/>
        <w:jc w:val="both"/>
        <w:rPr>
          <w:rFonts w:ascii="Century Schoolbook" w:hAnsi="Century Schoolbook" w:cs="Times New Roman"/>
          <w:color w:val="000000"/>
          <w:sz w:val="24"/>
          <w:szCs w:val="24"/>
        </w:rPr>
      </w:pPr>
      <w:r w:rsidRPr="00332399">
        <w:rPr>
          <w:rFonts w:ascii="Century Schoolbook" w:hAnsi="Century Schoolbook" w:cs="Times New Roman"/>
          <w:color w:val="000000"/>
          <w:sz w:val="24"/>
          <w:szCs w:val="24"/>
        </w:rPr>
        <w:lastRenderedPageBreak/>
        <w:t xml:space="preserve">American Psychological Association. (2023). Preguntas y respuestas sobre orientación sexual </w:t>
      </w:r>
      <w:proofErr w:type="spellStart"/>
      <w:r w:rsidRPr="00332399">
        <w:rPr>
          <w:rFonts w:ascii="Century Schoolbook" w:hAnsi="Century Schoolbook" w:cs="Times New Roman"/>
          <w:color w:val="000000"/>
          <w:sz w:val="24"/>
          <w:szCs w:val="24"/>
        </w:rPr>
        <w:t>y</w:t>
      </w:r>
      <w:proofErr w:type="spellEnd"/>
      <w:r w:rsidRPr="00332399">
        <w:rPr>
          <w:rFonts w:ascii="Century Schoolbook" w:hAnsi="Century Schoolbook" w:cs="Times New Roman"/>
          <w:color w:val="000000"/>
          <w:sz w:val="24"/>
          <w:szCs w:val="24"/>
        </w:rPr>
        <w:t xml:space="preserve"> identidad de género. Recuperado de https://www.apa.org/topics/lgbtq/answers-questions-so-spanish.pdf </w:t>
      </w:r>
    </w:p>
    <w:p w14:paraId="756DE0F3" w14:textId="77777777" w:rsidR="009822B1" w:rsidRPr="00332399" w:rsidRDefault="009822B1" w:rsidP="00C06401">
      <w:pPr>
        <w:spacing w:before="170" w:after="170" w:line="360" w:lineRule="auto"/>
        <w:ind w:left="567" w:hanging="567"/>
        <w:jc w:val="both"/>
        <w:rPr>
          <w:rFonts w:ascii="Century Schoolbook" w:hAnsi="Century Schoolbook" w:cs="Times New Roman"/>
          <w:sz w:val="24"/>
          <w:szCs w:val="24"/>
          <w:lang w:val="en-US"/>
        </w:rPr>
      </w:pPr>
      <w:proofErr w:type="spellStart"/>
      <w:r w:rsidRPr="00A061A5">
        <w:rPr>
          <w:rFonts w:ascii="Century Schoolbook" w:hAnsi="Century Schoolbook" w:cs="Times New Roman"/>
          <w:color w:val="000000"/>
          <w:sz w:val="24"/>
          <w:szCs w:val="24"/>
        </w:rPr>
        <w:t>Antebi-Gruszka</w:t>
      </w:r>
      <w:proofErr w:type="spellEnd"/>
      <w:r w:rsidRPr="00A061A5">
        <w:rPr>
          <w:rFonts w:ascii="Century Schoolbook" w:hAnsi="Century Schoolbook" w:cs="Times New Roman"/>
          <w:color w:val="000000"/>
          <w:sz w:val="24"/>
          <w:szCs w:val="24"/>
        </w:rPr>
        <w:t xml:space="preserve">, N., &amp; </w:t>
      </w:r>
      <w:proofErr w:type="spellStart"/>
      <w:r w:rsidRPr="00A061A5">
        <w:rPr>
          <w:rFonts w:ascii="Century Schoolbook" w:hAnsi="Century Schoolbook" w:cs="Times New Roman"/>
          <w:color w:val="000000"/>
          <w:sz w:val="24"/>
          <w:szCs w:val="24"/>
        </w:rPr>
        <w:t>Schrimshaw</w:t>
      </w:r>
      <w:proofErr w:type="spellEnd"/>
      <w:r w:rsidRPr="00A061A5">
        <w:rPr>
          <w:rFonts w:ascii="Century Schoolbook" w:hAnsi="Century Schoolbook" w:cs="Times New Roman"/>
          <w:color w:val="000000"/>
          <w:sz w:val="24"/>
          <w:szCs w:val="24"/>
        </w:rPr>
        <w:t xml:space="preserve">, E. (2018). </w:t>
      </w:r>
      <w:r w:rsidRPr="00332399">
        <w:rPr>
          <w:rFonts w:ascii="Century Schoolbook" w:hAnsi="Century Schoolbook" w:cs="Times New Roman"/>
          <w:color w:val="000000"/>
          <w:sz w:val="24"/>
          <w:szCs w:val="24"/>
          <w:lang w:val="en-US"/>
        </w:rPr>
        <w:t xml:space="preserve">Negative Attitudes Toward Same-Sex Behavior Inventory: An Internalized Homonegativity Measure for Research </w:t>
      </w:r>
      <w:proofErr w:type="gramStart"/>
      <w:r w:rsidRPr="00332399">
        <w:rPr>
          <w:rFonts w:ascii="Century Schoolbook" w:hAnsi="Century Schoolbook" w:cs="Times New Roman"/>
          <w:color w:val="000000"/>
          <w:sz w:val="24"/>
          <w:szCs w:val="24"/>
          <w:lang w:val="en-US"/>
        </w:rPr>
        <w:t>With</w:t>
      </w:r>
      <w:proofErr w:type="gramEnd"/>
      <w:r w:rsidRPr="00332399">
        <w:rPr>
          <w:rFonts w:ascii="Century Schoolbook" w:hAnsi="Century Schoolbook" w:cs="Times New Roman"/>
          <w:color w:val="000000"/>
          <w:sz w:val="24"/>
          <w:szCs w:val="24"/>
          <w:lang w:val="en-US"/>
        </w:rPr>
        <w:t xml:space="preserve"> Bisexual, Gay, and Other Non–Gay-Identified Men Who Have Sex </w:t>
      </w:r>
      <w:proofErr w:type="gramStart"/>
      <w:r w:rsidRPr="00332399">
        <w:rPr>
          <w:rFonts w:ascii="Century Schoolbook" w:hAnsi="Century Schoolbook" w:cs="Times New Roman"/>
          <w:color w:val="000000"/>
          <w:sz w:val="24"/>
          <w:szCs w:val="24"/>
          <w:lang w:val="en-US"/>
        </w:rPr>
        <w:t>With</w:t>
      </w:r>
      <w:proofErr w:type="gramEnd"/>
      <w:r w:rsidRPr="00332399">
        <w:rPr>
          <w:rFonts w:ascii="Century Schoolbook" w:hAnsi="Century Schoolbook" w:cs="Times New Roman"/>
          <w:color w:val="000000"/>
          <w:sz w:val="24"/>
          <w:szCs w:val="24"/>
          <w:lang w:val="en-US"/>
        </w:rPr>
        <w:t xml:space="preserve"> Men. </w:t>
      </w:r>
      <w:r w:rsidRPr="00332399">
        <w:rPr>
          <w:rFonts w:ascii="Century Schoolbook" w:hAnsi="Century Schoolbook" w:cs="Times New Roman"/>
          <w:i/>
          <w:iCs/>
          <w:color w:val="000000"/>
          <w:sz w:val="24"/>
          <w:szCs w:val="24"/>
          <w:lang w:val="en-US"/>
        </w:rPr>
        <w:t>Psychology of Sexual Orientation and Gender Diversity, 5</w:t>
      </w:r>
      <w:r w:rsidRPr="00332399">
        <w:rPr>
          <w:rFonts w:ascii="Century Schoolbook" w:hAnsi="Century Schoolbook" w:cs="Times New Roman"/>
          <w:color w:val="000000"/>
          <w:sz w:val="24"/>
          <w:szCs w:val="24"/>
          <w:lang w:val="en-US"/>
        </w:rPr>
        <w:t xml:space="preserve">, 156–168. https://doi.org/10.1037/sgd0000292 </w:t>
      </w:r>
    </w:p>
    <w:p w14:paraId="135BBBDF" w14:textId="77777777" w:rsidR="009822B1" w:rsidRPr="00332399" w:rsidRDefault="009822B1" w:rsidP="00C06401">
      <w:pPr>
        <w:spacing w:before="170" w:after="170" w:line="360" w:lineRule="auto"/>
        <w:ind w:left="567" w:hanging="567"/>
        <w:jc w:val="both"/>
        <w:rPr>
          <w:rFonts w:ascii="Century Schoolbook" w:hAnsi="Century Schoolbook" w:cs="Times New Roman"/>
          <w:sz w:val="24"/>
          <w:szCs w:val="24"/>
        </w:rPr>
      </w:pPr>
      <w:r w:rsidRPr="00A061A5">
        <w:rPr>
          <w:rFonts w:ascii="Century Schoolbook" w:hAnsi="Century Schoolbook" w:cs="Times New Roman"/>
          <w:color w:val="000000"/>
          <w:sz w:val="24"/>
          <w:szCs w:val="24"/>
          <w:lang w:val="pt-PT"/>
        </w:rPr>
        <w:t xml:space="preserve">Ato, M., López, J. J., &amp; Benavente, A. (2013). </w:t>
      </w:r>
      <w:r w:rsidRPr="00332399">
        <w:rPr>
          <w:rFonts w:ascii="Century Schoolbook" w:hAnsi="Century Schoolbook" w:cs="Times New Roman"/>
          <w:color w:val="000000"/>
          <w:sz w:val="24"/>
          <w:szCs w:val="24"/>
        </w:rPr>
        <w:t xml:space="preserve">Un sistema de clasificación de los diseños de investigación en psicología. </w:t>
      </w:r>
      <w:r w:rsidRPr="00332399">
        <w:rPr>
          <w:rFonts w:ascii="Century Schoolbook" w:hAnsi="Century Schoolbook" w:cs="Times New Roman"/>
          <w:i/>
          <w:iCs/>
          <w:color w:val="000000"/>
          <w:sz w:val="24"/>
          <w:szCs w:val="24"/>
        </w:rPr>
        <w:t>Anales de Psicología, 29</w:t>
      </w:r>
      <w:r w:rsidRPr="00332399">
        <w:rPr>
          <w:rFonts w:ascii="Century Schoolbook" w:hAnsi="Century Schoolbook" w:cs="Times New Roman"/>
          <w:color w:val="000000"/>
          <w:sz w:val="24"/>
          <w:szCs w:val="24"/>
        </w:rPr>
        <w:t>(3), 1038-1059. https://doi.org/10.6018/ analesps.29.3.178511</w:t>
      </w:r>
    </w:p>
    <w:p w14:paraId="41431B93" w14:textId="2FEFE6B3" w:rsidR="009822B1" w:rsidRPr="00332399" w:rsidRDefault="009822B1" w:rsidP="00C06401">
      <w:pPr>
        <w:spacing w:line="360" w:lineRule="auto"/>
        <w:ind w:left="567" w:hanging="567"/>
        <w:jc w:val="both"/>
        <w:rPr>
          <w:rFonts w:ascii="Century Schoolbook" w:hAnsi="Century Schoolbook" w:cs="Times New Roman"/>
          <w:color w:val="000000"/>
          <w:sz w:val="24"/>
          <w:szCs w:val="24"/>
          <w:lang w:val="es-PE"/>
        </w:rPr>
      </w:pPr>
      <w:r w:rsidRPr="00332399">
        <w:rPr>
          <w:rFonts w:ascii="Century Schoolbook" w:hAnsi="Century Schoolbook" w:cs="Times New Roman"/>
          <w:color w:val="000000"/>
          <w:sz w:val="24"/>
          <w:szCs w:val="24"/>
          <w:lang w:val="es-PE"/>
        </w:rPr>
        <w:t>Autor (2024</w:t>
      </w:r>
      <w:r w:rsidR="00936104" w:rsidRPr="00332399">
        <w:rPr>
          <w:rFonts w:ascii="Century Schoolbook" w:hAnsi="Century Schoolbook" w:cs="Times New Roman"/>
          <w:color w:val="000000"/>
          <w:sz w:val="24"/>
          <w:szCs w:val="24"/>
          <w:lang w:val="es-PE"/>
        </w:rPr>
        <w:t>a</w:t>
      </w:r>
      <w:r w:rsidRPr="00332399">
        <w:rPr>
          <w:rFonts w:ascii="Century Schoolbook" w:hAnsi="Century Schoolbook" w:cs="Times New Roman"/>
          <w:color w:val="000000"/>
          <w:sz w:val="24"/>
          <w:szCs w:val="24"/>
          <w:lang w:val="es-PE"/>
        </w:rPr>
        <w:t>)</w:t>
      </w:r>
    </w:p>
    <w:p w14:paraId="217225F7" w14:textId="665D0E1A" w:rsidR="00936104" w:rsidRPr="00332399" w:rsidRDefault="00936104" w:rsidP="00C06401">
      <w:pPr>
        <w:spacing w:line="360" w:lineRule="auto"/>
        <w:ind w:left="567" w:hanging="567"/>
        <w:jc w:val="both"/>
        <w:rPr>
          <w:rFonts w:ascii="Century Schoolbook" w:hAnsi="Century Schoolbook" w:cs="Times New Roman"/>
          <w:color w:val="000000"/>
          <w:sz w:val="24"/>
          <w:szCs w:val="24"/>
          <w:lang w:val="es-PE"/>
        </w:rPr>
      </w:pPr>
      <w:r w:rsidRPr="00332399">
        <w:rPr>
          <w:rFonts w:ascii="Century Schoolbook" w:hAnsi="Century Schoolbook" w:cs="Times New Roman"/>
          <w:color w:val="000000"/>
          <w:sz w:val="24"/>
          <w:szCs w:val="24"/>
          <w:lang w:val="es-PE"/>
        </w:rPr>
        <w:t>Autor (2024b)</w:t>
      </w:r>
    </w:p>
    <w:p w14:paraId="1AF2E9D1" w14:textId="530EFAF4" w:rsidR="00936104" w:rsidRPr="00332399" w:rsidRDefault="00936104" w:rsidP="00C06401">
      <w:pPr>
        <w:spacing w:line="360" w:lineRule="auto"/>
        <w:ind w:left="567" w:hanging="567"/>
        <w:jc w:val="both"/>
        <w:rPr>
          <w:rFonts w:ascii="Century Schoolbook" w:hAnsi="Century Schoolbook" w:cs="Times New Roman"/>
          <w:color w:val="000000"/>
          <w:sz w:val="24"/>
          <w:szCs w:val="24"/>
          <w:lang w:val="es-PE"/>
        </w:rPr>
      </w:pPr>
      <w:r w:rsidRPr="00332399">
        <w:rPr>
          <w:rFonts w:ascii="Century Schoolbook" w:hAnsi="Century Schoolbook" w:cs="Times New Roman"/>
          <w:color w:val="000000"/>
          <w:sz w:val="24"/>
          <w:szCs w:val="24"/>
          <w:lang w:val="es-PE"/>
        </w:rPr>
        <w:t>Autor (2024c)</w:t>
      </w:r>
    </w:p>
    <w:p w14:paraId="4685ADC5"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s-PE"/>
        </w:rPr>
        <w:t xml:space="preserve">Bahamondes, J., Barrientos, J., Guzmán-González, M., Garrido-Rojas, L., Gómez, F., &amp; Espinoza-Tapia, R. (2022). </w:t>
      </w:r>
      <w:r w:rsidRPr="00332399">
        <w:rPr>
          <w:rFonts w:ascii="Century Schoolbook" w:hAnsi="Century Schoolbook" w:cs="Times New Roman"/>
          <w:color w:val="000000"/>
          <w:sz w:val="24"/>
          <w:szCs w:val="24"/>
          <w:lang w:val="en-US"/>
        </w:rPr>
        <w:t xml:space="preserve">The negative effects of internalized homonegativity on sexual satisfaction: dyadic effects and gender-based differences in Chile. </w:t>
      </w:r>
      <w:r w:rsidRPr="00332399">
        <w:rPr>
          <w:rFonts w:ascii="Century Schoolbook" w:hAnsi="Century Schoolbook" w:cs="Times New Roman"/>
          <w:i/>
          <w:iCs/>
          <w:color w:val="000000"/>
          <w:sz w:val="24"/>
          <w:szCs w:val="24"/>
          <w:lang w:val="en-US"/>
        </w:rPr>
        <w:t>Journal of Lesbian Studies, 27</w:t>
      </w:r>
      <w:r w:rsidRPr="00332399">
        <w:rPr>
          <w:rFonts w:ascii="Century Schoolbook" w:hAnsi="Century Schoolbook" w:cs="Times New Roman"/>
          <w:color w:val="000000"/>
          <w:sz w:val="24"/>
          <w:szCs w:val="24"/>
          <w:lang w:val="en-US"/>
        </w:rPr>
        <w:t xml:space="preserve">(1), 22–40. https://doi.org/10.1080/10894160.2022.2122197 </w:t>
      </w:r>
    </w:p>
    <w:p w14:paraId="11683077"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Badenes</w:t>
      </w:r>
      <w:proofErr w:type="spellEnd"/>
      <w:r w:rsidRPr="00332399">
        <w:rPr>
          <w:rFonts w:ascii="Century Schoolbook" w:hAnsi="Century Schoolbook" w:cs="Times New Roman"/>
          <w:color w:val="000000"/>
          <w:sz w:val="24"/>
          <w:szCs w:val="24"/>
          <w:lang w:val="en-US"/>
        </w:rPr>
        <w:t xml:space="preserve">-Ribera, L., Fabris, M. A., &amp; Longobardi, C. (2018). The relationship between internalized homonegativity and body image concerns in sexual minority men: a meta-analysis. </w:t>
      </w:r>
      <w:r w:rsidRPr="00332399">
        <w:rPr>
          <w:rFonts w:ascii="Century Schoolbook" w:hAnsi="Century Schoolbook" w:cs="Times New Roman"/>
          <w:i/>
          <w:iCs/>
          <w:color w:val="000000"/>
          <w:sz w:val="24"/>
          <w:szCs w:val="24"/>
          <w:lang w:val="en-US"/>
        </w:rPr>
        <w:t>Psychology &amp; Sexuality, 9</w:t>
      </w:r>
      <w:r w:rsidRPr="00332399">
        <w:rPr>
          <w:rFonts w:ascii="Century Schoolbook" w:hAnsi="Century Schoolbook" w:cs="Times New Roman"/>
          <w:color w:val="000000"/>
          <w:sz w:val="24"/>
          <w:szCs w:val="24"/>
          <w:lang w:val="en-US"/>
        </w:rPr>
        <w:t xml:space="preserve">(3), 251–268. https://doi.org/10.1080/19419899.2018.1476905 </w:t>
      </w:r>
    </w:p>
    <w:p w14:paraId="65180D29"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Berg, R., Ross, M., Weatherburn, P., &amp; Schmidt, A. (2013). Structural and environmental factors are associated with </w:t>
      </w:r>
      <w:proofErr w:type="spellStart"/>
      <w:r w:rsidRPr="00332399">
        <w:rPr>
          <w:rFonts w:ascii="Century Schoolbook" w:hAnsi="Century Schoolbook" w:cs="Times New Roman"/>
          <w:color w:val="000000"/>
          <w:sz w:val="24"/>
          <w:szCs w:val="24"/>
          <w:lang w:val="en-US"/>
        </w:rPr>
        <w:t>internalised</w:t>
      </w:r>
      <w:proofErr w:type="spellEnd"/>
      <w:r w:rsidRPr="00332399">
        <w:rPr>
          <w:rFonts w:ascii="Century Schoolbook" w:hAnsi="Century Schoolbook" w:cs="Times New Roman"/>
          <w:color w:val="000000"/>
          <w:sz w:val="24"/>
          <w:szCs w:val="24"/>
          <w:lang w:val="en-US"/>
        </w:rPr>
        <w:t xml:space="preserve"> homonegativity in men who have sex with men: findings from the European MSM Internet Survey (EMIS) in 38 countries. </w:t>
      </w:r>
      <w:r w:rsidRPr="00332399">
        <w:rPr>
          <w:rFonts w:ascii="Century Schoolbook" w:hAnsi="Century Schoolbook" w:cs="Times New Roman"/>
          <w:i/>
          <w:iCs/>
          <w:color w:val="000000"/>
          <w:sz w:val="24"/>
          <w:szCs w:val="24"/>
          <w:lang w:val="en-US"/>
        </w:rPr>
        <w:t>Social science &amp; medicine, 7</w:t>
      </w:r>
      <w:r w:rsidRPr="00332399">
        <w:rPr>
          <w:rFonts w:ascii="Century Schoolbook" w:hAnsi="Century Schoolbook" w:cs="Times New Roman"/>
          <w:color w:val="000000"/>
          <w:sz w:val="24"/>
          <w:szCs w:val="24"/>
          <w:lang w:val="en-US"/>
        </w:rPr>
        <w:t xml:space="preserve">8, 61-9. https://doi.org/10.1016/j.socscimed.2012.11.033. </w:t>
      </w:r>
    </w:p>
    <w:p w14:paraId="66BDC61E"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lastRenderedPageBreak/>
        <w:t>Berg, R., Munthe-Kaas, H., &amp; Ross, M. (2015). Internalized Homonegativity: A Systematic Mapping Review of Empirical Research.</w:t>
      </w:r>
      <w:r w:rsidRPr="00332399">
        <w:rPr>
          <w:rFonts w:ascii="Century Schoolbook" w:hAnsi="Century Schoolbook" w:cs="Times New Roman"/>
          <w:i/>
          <w:iCs/>
          <w:color w:val="000000"/>
          <w:sz w:val="24"/>
          <w:szCs w:val="24"/>
          <w:lang w:val="en-US"/>
        </w:rPr>
        <w:t> Journal of Homosexuality, 63</w:t>
      </w:r>
      <w:r w:rsidRPr="00332399">
        <w:rPr>
          <w:rFonts w:ascii="Century Schoolbook" w:hAnsi="Century Schoolbook" w:cs="Times New Roman"/>
          <w:color w:val="000000"/>
          <w:sz w:val="24"/>
          <w:szCs w:val="24"/>
          <w:lang w:val="en-US"/>
        </w:rPr>
        <w:t xml:space="preserve">, 541 - 558. https://doi.org/10.1080/00918369.2015.1083788. </w:t>
      </w:r>
    </w:p>
    <w:p w14:paraId="19666024"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Berg, R. C., Weatherburn, P., Ross, M. W., &amp; Schmidt, A. J. (2015). The Relationship of Internalized Homonegativity to Sexual Health and Well-Being Among Men in 38 European Countries Who Have Sex </w:t>
      </w:r>
      <w:proofErr w:type="gramStart"/>
      <w:r w:rsidRPr="00332399">
        <w:rPr>
          <w:rFonts w:ascii="Century Schoolbook" w:hAnsi="Century Schoolbook" w:cs="Times New Roman"/>
          <w:color w:val="000000"/>
          <w:sz w:val="24"/>
          <w:szCs w:val="24"/>
          <w:lang w:val="en-US"/>
        </w:rPr>
        <w:t>With</w:t>
      </w:r>
      <w:proofErr w:type="gramEnd"/>
      <w:r w:rsidRPr="00332399">
        <w:rPr>
          <w:rFonts w:ascii="Century Schoolbook" w:hAnsi="Century Schoolbook" w:cs="Times New Roman"/>
          <w:color w:val="000000"/>
          <w:sz w:val="24"/>
          <w:szCs w:val="24"/>
          <w:lang w:val="en-US"/>
        </w:rPr>
        <w:t xml:space="preserve"> Men. </w:t>
      </w:r>
      <w:r w:rsidRPr="00332399">
        <w:rPr>
          <w:rFonts w:ascii="Century Schoolbook" w:hAnsi="Century Schoolbook" w:cs="Times New Roman"/>
          <w:i/>
          <w:iCs/>
          <w:color w:val="000000"/>
          <w:sz w:val="24"/>
          <w:szCs w:val="24"/>
          <w:lang w:val="en-US"/>
        </w:rPr>
        <w:t>Journal of Gay &amp; Lesbian Mental Health, 19</w:t>
      </w:r>
      <w:r w:rsidRPr="00332399">
        <w:rPr>
          <w:rFonts w:ascii="Century Schoolbook" w:hAnsi="Century Schoolbook" w:cs="Times New Roman"/>
          <w:color w:val="000000"/>
          <w:sz w:val="24"/>
          <w:szCs w:val="24"/>
          <w:lang w:val="en-US"/>
        </w:rPr>
        <w:t xml:space="preserve">(3), 285–302. https://doi.org/10.1080/19359705.2015.1024375 </w:t>
      </w:r>
    </w:p>
    <w:p w14:paraId="0783067F" w14:textId="77777777" w:rsidR="009822B1" w:rsidRPr="00A061A5" w:rsidRDefault="009822B1" w:rsidP="00C06401">
      <w:pPr>
        <w:spacing w:line="360" w:lineRule="auto"/>
        <w:ind w:left="567" w:hanging="567"/>
        <w:jc w:val="both"/>
        <w:rPr>
          <w:rFonts w:ascii="Century Schoolbook" w:hAnsi="Century Schoolbook" w:cs="Times New Roman"/>
          <w:sz w:val="24"/>
          <w:szCs w:val="24"/>
          <w:lang w:val="en-GB"/>
        </w:rPr>
      </w:pPr>
      <w:r w:rsidRPr="00332399">
        <w:rPr>
          <w:rFonts w:ascii="Century Schoolbook" w:hAnsi="Century Schoolbook" w:cs="Times New Roman"/>
          <w:color w:val="000000"/>
          <w:sz w:val="24"/>
          <w:szCs w:val="24"/>
          <w:lang w:val="en-US"/>
        </w:rPr>
        <w:t xml:space="preserve">Budge, S. L., Adelson, J. L., &amp; Howard, K. A. S. (2013). Anxiety and depression in transgender individuals: The roles of transition status, loss, social support, and coping. </w:t>
      </w:r>
      <w:r w:rsidRPr="00A061A5">
        <w:rPr>
          <w:rFonts w:ascii="Century Schoolbook" w:hAnsi="Century Schoolbook" w:cs="Times New Roman"/>
          <w:i/>
          <w:iCs/>
          <w:color w:val="000000"/>
          <w:sz w:val="24"/>
          <w:szCs w:val="24"/>
          <w:lang w:val="en-GB"/>
        </w:rPr>
        <w:t>Journal of Consulting and Clinical Psychology, 81</w:t>
      </w:r>
      <w:r w:rsidRPr="00A061A5">
        <w:rPr>
          <w:rFonts w:ascii="Century Schoolbook" w:hAnsi="Century Schoolbook" w:cs="Times New Roman"/>
          <w:color w:val="000000"/>
          <w:sz w:val="24"/>
          <w:szCs w:val="24"/>
          <w:lang w:val="en-GB"/>
        </w:rPr>
        <w:t xml:space="preserve">(3), 545-557. https://doi.org/10.1037/a0031774 </w:t>
      </w:r>
    </w:p>
    <w:p w14:paraId="489CD934" w14:textId="77777777" w:rsidR="009822B1" w:rsidRPr="00A061A5" w:rsidRDefault="009822B1" w:rsidP="00C06401">
      <w:pPr>
        <w:spacing w:line="360" w:lineRule="auto"/>
        <w:ind w:left="567" w:hanging="567"/>
        <w:jc w:val="both"/>
        <w:rPr>
          <w:rFonts w:ascii="Century Schoolbook" w:hAnsi="Century Schoolbook" w:cs="Times New Roman"/>
          <w:color w:val="000000"/>
          <w:sz w:val="24"/>
          <w:szCs w:val="24"/>
          <w:lang w:val="en-GB"/>
        </w:rPr>
      </w:pPr>
      <w:r w:rsidRPr="00A061A5">
        <w:rPr>
          <w:rFonts w:ascii="Century Schoolbook" w:hAnsi="Century Schoolbook" w:cs="Times New Roman"/>
          <w:color w:val="000000"/>
          <w:sz w:val="24"/>
          <w:szCs w:val="24"/>
          <w:lang w:val="en-GB"/>
        </w:rPr>
        <w:t xml:space="preserve">Colegio de </w:t>
      </w:r>
      <w:proofErr w:type="spellStart"/>
      <w:r w:rsidRPr="00A061A5">
        <w:rPr>
          <w:rFonts w:ascii="Century Schoolbook" w:hAnsi="Century Schoolbook" w:cs="Times New Roman"/>
          <w:color w:val="000000"/>
          <w:sz w:val="24"/>
          <w:szCs w:val="24"/>
          <w:lang w:val="en-GB"/>
        </w:rPr>
        <w:t>Psicólogos</w:t>
      </w:r>
      <w:proofErr w:type="spellEnd"/>
      <w:r w:rsidRPr="00A061A5">
        <w:rPr>
          <w:rFonts w:ascii="Century Schoolbook" w:hAnsi="Century Schoolbook" w:cs="Times New Roman"/>
          <w:color w:val="000000"/>
          <w:sz w:val="24"/>
          <w:szCs w:val="24"/>
          <w:lang w:val="en-GB"/>
        </w:rPr>
        <w:t xml:space="preserve"> del Perú. </w:t>
      </w:r>
      <w:r w:rsidRPr="00332399">
        <w:rPr>
          <w:rFonts w:ascii="Century Schoolbook" w:hAnsi="Century Schoolbook" w:cs="Times New Roman"/>
          <w:color w:val="000000"/>
          <w:sz w:val="24"/>
          <w:szCs w:val="24"/>
          <w:lang w:val="es-PE"/>
        </w:rPr>
        <w:t xml:space="preserve">(2017). Código de ética y deontología [Internet]. </w:t>
      </w:r>
      <w:proofErr w:type="spellStart"/>
      <w:r w:rsidRPr="00A061A5">
        <w:rPr>
          <w:rFonts w:ascii="Century Schoolbook" w:hAnsi="Century Schoolbook" w:cs="Times New Roman"/>
          <w:color w:val="000000"/>
          <w:sz w:val="24"/>
          <w:szCs w:val="24"/>
          <w:lang w:val="en-GB"/>
        </w:rPr>
        <w:t>Recuperado</w:t>
      </w:r>
      <w:proofErr w:type="spellEnd"/>
      <w:r w:rsidRPr="00A061A5">
        <w:rPr>
          <w:rFonts w:ascii="Century Schoolbook" w:hAnsi="Century Schoolbook" w:cs="Times New Roman"/>
          <w:color w:val="000000"/>
          <w:sz w:val="24"/>
          <w:szCs w:val="24"/>
          <w:lang w:val="en-GB"/>
        </w:rPr>
        <w:t xml:space="preserve"> de http://api.cpsp.io/public/documents/codigo_de _etica_y_deontologia.pdf   </w:t>
      </w:r>
    </w:p>
    <w:p w14:paraId="44457A08"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Cook, D., &amp; Beckman, T. (2006). Current Concepts in Validity and Reliability for Psychometric Instruments: Theory and Application. </w:t>
      </w:r>
      <w:r w:rsidRPr="00332399">
        <w:rPr>
          <w:rFonts w:ascii="Century Schoolbook" w:hAnsi="Century Schoolbook" w:cs="Times New Roman"/>
          <w:i/>
          <w:iCs/>
          <w:color w:val="000000"/>
          <w:sz w:val="24"/>
          <w:szCs w:val="24"/>
          <w:lang w:val="en-US"/>
        </w:rPr>
        <w:t>The American Journal of Medicine, 119</w:t>
      </w:r>
      <w:r w:rsidRPr="00332399">
        <w:rPr>
          <w:rFonts w:ascii="Century Schoolbook" w:hAnsi="Century Schoolbook" w:cs="Times New Roman"/>
          <w:color w:val="000000"/>
          <w:sz w:val="24"/>
          <w:szCs w:val="24"/>
          <w:lang w:val="en-US"/>
        </w:rPr>
        <w:t xml:space="preserve">(2), 166.e7-166.e16. https://doi.org/10.1016/j.amjmed.2005.10.036 </w:t>
      </w:r>
    </w:p>
    <w:p w14:paraId="38674C17"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Currie, M. R., Cunningham, E. G., &amp; Findlay, B. M. (2004). The Short Internalized Homonegativity Scale: Examination of the Factorial Structure of a New Measure of Internalized Homophobia. </w:t>
      </w:r>
      <w:r w:rsidRPr="00332399">
        <w:rPr>
          <w:rFonts w:ascii="Century Schoolbook" w:hAnsi="Century Schoolbook" w:cs="Times New Roman"/>
          <w:i/>
          <w:iCs/>
          <w:color w:val="000000"/>
          <w:sz w:val="24"/>
          <w:szCs w:val="24"/>
          <w:lang w:val="en-US"/>
        </w:rPr>
        <w:t>Educational and Psychological Measurement, 64</w:t>
      </w:r>
      <w:r w:rsidRPr="00332399">
        <w:rPr>
          <w:rFonts w:ascii="Century Schoolbook" w:hAnsi="Century Schoolbook" w:cs="Times New Roman"/>
          <w:color w:val="000000"/>
          <w:sz w:val="24"/>
          <w:szCs w:val="24"/>
          <w:lang w:val="en-US"/>
        </w:rPr>
        <w:t xml:space="preserve">(6), 1053-1067. https://doi.org/10.1177/0013164404264845 </w:t>
      </w:r>
    </w:p>
    <w:p w14:paraId="6DDED742"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Herek, G. M. (2000a). The social construction of attitudes: Functional consensus and divergence in the US public's reactions to AIDS. In G. Maio &amp; J. Olson (Eds.), </w:t>
      </w:r>
      <w:r w:rsidRPr="00332399">
        <w:rPr>
          <w:rFonts w:ascii="Century Schoolbook" w:hAnsi="Century Schoolbook" w:cs="Times New Roman"/>
          <w:i/>
          <w:iCs/>
          <w:color w:val="000000"/>
          <w:sz w:val="24"/>
          <w:szCs w:val="24"/>
          <w:lang w:val="en-US"/>
        </w:rPr>
        <w:t>Why we evaluate: Functions of attitudes</w:t>
      </w:r>
      <w:r w:rsidRPr="00332399">
        <w:rPr>
          <w:rFonts w:ascii="Century Schoolbook" w:hAnsi="Century Schoolbook" w:cs="Times New Roman"/>
          <w:color w:val="000000"/>
          <w:sz w:val="24"/>
          <w:szCs w:val="24"/>
          <w:lang w:val="en-US"/>
        </w:rPr>
        <w:t xml:space="preserve"> (pp. 325-364). Mahwah, NJ: Lawrence Erlbaum </w:t>
      </w:r>
    </w:p>
    <w:p w14:paraId="18F4F511"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lastRenderedPageBreak/>
        <w:t xml:space="preserve">Herek, G.M. (2004). Beyond “Homophobia”: Thinking about sexual prejudice and stigma in the twenty-first century. </w:t>
      </w:r>
      <w:r w:rsidRPr="00332399">
        <w:rPr>
          <w:rFonts w:ascii="Century Schoolbook" w:hAnsi="Century Schoolbook" w:cs="Times New Roman"/>
          <w:i/>
          <w:iCs/>
          <w:color w:val="000000"/>
          <w:sz w:val="24"/>
          <w:szCs w:val="24"/>
          <w:lang w:val="en-US"/>
        </w:rPr>
        <w:t>Sexuality Research &amp; Social Policy, 1</w:t>
      </w:r>
      <w:r w:rsidRPr="00332399">
        <w:rPr>
          <w:rFonts w:ascii="Century Schoolbook" w:hAnsi="Century Schoolbook" w:cs="Times New Roman"/>
          <w:color w:val="000000"/>
          <w:sz w:val="24"/>
          <w:szCs w:val="24"/>
          <w:lang w:val="en-US"/>
        </w:rPr>
        <w:t xml:space="preserve">, 6–24. https://doi.org/10.1525/srsp.2004.1.2.6 </w:t>
      </w:r>
    </w:p>
    <w:p w14:paraId="086A4AD8"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Herek, G. M., Gillis, J. R. &amp; Cogan, J. C. (2009). Internalized stigma among sexual minority adults: Insights from a social psychological perspective. </w:t>
      </w:r>
      <w:r w:rsidRPr="00332399">
        <w:rPr>
          <w:rFonts w:ascii="Century Schoolbook" w:hAnsi="Century Schoolbook" w:cs="Times New Roman"/>
          <w:i/>
          <w:iCs/>
          <w:color w:val="000000"/>
          <w:sz w:val="24"/>
          <w:szCs w:val="24"/>
          <w:lang w:val="en-US"/>
        </w:rPr>
        <w:t>Journal of Counseling Psychology, 56</w:t>
      </w:r>
      <w:r w:rsidRPr="00332399">
        <w:rPr>
          <w:rFonts w:ascii="Century Schoolbook" w:hAnsi="Century Schoolbook" w:cs="Times New Roman"/>
          <w:color w:val="000000"/>
          <w:sz w:val="24"/>
          <w:szCs w:val="24"/>
          <w:lang w:val="en-US"/>
        </w:rPr>
        <w:t xml:space="preserve">(1), 32-43. http://dx.doi.org/10.1037/a0014672 </w:t>
      </w:r>
    </w:p>
    <w:p w14:paraId="70C606C0"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Huang, Y.-T., Chan, R. C. H., &amp; Cui, L. (2020). Filial piety, internalized homonegativity, and depressive symptoms among Taiwanese gay and bisexual men: A mediation analysis. </w:t>
      </w:r>
      <w:r w:rsidRPr="00332399">
        <w:rPr>
          <w:rFonts w:ascii="Century Schoolbook" w:hAnsi="Century Schoolbook" w:cs="Times New Roman"/>
          <w:i/>
          <w:iCs/>
          <w:color w:val="000000"/>
          <w:sz w:val="24"/>
          <w:szCs w:val="24"/>
          <w:lang w:val="en-US"/>
        </w:rPr>
        <w:t>American Journal of Orthopsychiatry, 90</w:t>
      </w:r>
      <w:r w:rsidRPr="00332399">
        <w:rPr>
          <w:rFonts w:ascii="Century Schoolbook" w:hAnsi="Century Schoolbook" w:cs="Times New Roman"/>
          <w:color w:val="000000"/>
          <w:sz w:val="24"/>
          <w:szCs w:val="24"/>
          <w:lang w:val="en-US"/>
        </w:rPr>
        <w:t>(3), 340–349. https://doi.org/10.1037/ort0000439</w:t>
      </w:r>
    </w:p>
    <w:p w14:paraId="77FDDC1F" w14:textId="77777777" w:rsidR="009822B1" w:rsidRPr="00332399" w:rsidRDefault="009822B1" w:rsidP="00C06401">
      <w:pPr>
        <w:spacing w:line="360" w:lineRule="auto"/>
        <w:ind w:left="567" w:hanging="567"/>
        <w:jc w:val="both"/>
        <w:rPr>
          <w:rFonts w:ascii="Century Schoolbook" w:hAnsi="Century Schoolbook" w:cs="Times New Roman"/>
          <w:color w:val="000000"/>
          <w:sz w:val="24"/>
          <w:szCs w:val="24"/>
          <w:lang w:val="en-US"/>
        </w:rPr>
      </w:pPr>
      <w:r w:rsidRPr="00332399">
        <w:rPr>
          <w:rFonts w:ascii="Century Schoolbook" w:hAnsi="Century Schoolbook" w:cs="Times New Roman"/>
          <w:color w:val="000000"/>
          <w:sz w:val="24"/>
          <w:szCs w:val="24"/>
          <w:lang w:val="en-US"/>
        </w:rPr>
        <w:t xml:space="preserve">Liu, F., &amp; Ren, Z. (2023). Internalized Homonegativity and Psychological Distress Among Chinese Gay Men: The Mediating Role of Loneliness and the Moderating Role of Authoritarian Filial Piety. LGBT health, 11(2), 244. https://doi.org/10.1089/lgbt.2022.0244. </w:t>
      </w:r>
    </w:p>
    <w:p w14:paraId="60F29283"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Mayfield, W. (2001). The Development of an Internalized Homonegativity Inventory for Gay Men. </w:t>
      </w:r>
      <w:r w:rsidRPr="00332399">
        <w:rPr>
          <w:rFonts w:ascii="Century Schoolbook" w:hAnsi="Century Schoolbook" w:cs="Times New Roman"/>
          <w:i/>
          <w:iCs/>
          <w:color w:val="000000"/>
          <w:sz w:val="24"/>
          <w:szCs w:val="24"/>
          <w:lang w:val="en-US"/>
        </w:rPr>
        <w:t>Journal of Homosexuality, 41</w:t>
      </w:r>
      <w:r w:rsidRPr="00332399">
        <w:rPr>
          <w:rFonts w:ascii="Century Schoolbook" w:hAnsi="Century Schoolbook" w:cs="Times New Roman"/>
          <w:color w:val="000000"/>
          <w:sz w:val="24"/>
          <w:szCs w:val="24"/>
          <w:lang w:val="en-US"/>
        </w:rPr>
        <w:t xml:space="preserve">(2), 53–76. https://doi.org/10.1300/J082v41n02_04 </w:t>
      </w:r>
    </w:p>
    <w:p w14:paraId="54EB922A"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McNeish, D. (2018). Thanks coefficient alpha, we’ll take it from here. </w:t>
      </w:r>
      <w:r w:rsidRPr="00332399">
        <w:rPr>
          <w:rFonts w:ascii="Century Schoolbook" w:hAnsi="Century Schoolbook" w:cs="Times New Roman"/>
          <w:i/>
          <w:iCs/>
          <w:color w:val="000000"/>
          <w:sz w:val="24"/>
          <w:szCs w:val="24"/>
          <w:lang w:val="en-US"/>
        </w:rPr>
        <w:t>Psychological Methods, 23</w:t>
      </w:r>
      <w:r w:rsidRPr="00332399">
        <w:rPr>
          <w:rFonts w:ascii="Century Schoolbook" w:hAnsi="Century Schoolbook" w:cs="Times New Roman"/>
          <w:color w:val="000000"/>
          <w:sz w:val="24"/>
          <w:szCs w:val="24"/>
          <w:lang w:val="en-US"/>
        </w:rPr>
        <w:t xml:space="preserve">(3), 412–433. https://doi.org/10.1037/met0000144 </w:t>
      </w:r>
    </w:p>
    <w:p w14:paraId="6C5348A5"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Michli</w:t>
      </w:r>
      <w:proofErr w:type="spellEnd"/>
      <w:r w:rsidRPr="00332399">
        <w:rPr>
          <w:rFonts w:ascii="Century Schoolbook" w:hAnsi="Century Schoolbook" w:cs="Times New Roman"/>
          <w:color w:val="000000"/>
          <w:sz w:val="24"/>
          <w:szCs w:val="24"/>
          <w:lang w:val="en-US"/>
        </w:rPr>
        <w:t xml:space="preserve">, S., &amp; Jamil, F. E. (2020). Internalized Homonegativity and the Challenges of Having Same-Sex Desires in the Lebanese Context: A Study Examining Risk and Protective Factors. </w:t>
      </w:r>
      <w:r w:rsidRPr="00332399">
        <w:rPr>
          <w:rFonts w:ascii="Century Schoolbook" w:hAnsi="Century Schoolbook" w:cs="Times New Roman"/>
          <w:i/>
          <w:iCs/>
          <w:color w:val="000000"/>
          <w:sz w:val="24"/>
          <w:szCs w:val="24"/>
          <w:lang w:val="en-US"/>
        </w:rPr>
        <w:t>Journal of Homosexuality, 69</w:t>
      </w:r>
      <w:r w:rsidRPr="00332399">
        <w:rPr>
          <w:rFonts w:ascii="Century Schoolbook" w:hAnsi="Century Schoolbook" w:cs="Times New Roman"/>
          <w:color w:val="000000"/>
          <w:sz w:val="24"/>
          <w:szCs w:val="24"/>
          <w:lang w:val="en-US"/>
        </w:rPr>
        <w:t xml:space="preserve">(1), 75–100. https://doi.org/10.1080/00918369.2020.1809893 </w:t>
      </w:r>
    </w:p>
    <w:p w14:paraId="5216D7A7"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Moore, S., Jones, M., Smith, J.C., Hood, J., Harper, G., Camacho-Gonzalez, A., del Rio, C., &amp; Hussen, S. (2019). Homonegativity Experienced over the Life Course by Young Black Gay, Bisexual and Other Men Who Have Sex with Men (YB-GBMSM) Living with HIV in Atlanta, Georgia. </w:t>
      </w:r>
      <w:r w:rsidRPr="00332399">
        <w:rPr>
          <w:rFonts w:ascii="Century Schoolbook" w:hAnsi="Century Schoolbook" w:cs="Times New Roman"/>
          <w:i/>
          <w:iCs/>
          <w:color w:val="000000"/>
          <w:sz w:val="24"/>
          <w:szCs w:val="24"/>
          <w:lang w:val="en-US"/>
        </w:rPr>
        <w:t>AIDS and Behavior, 23</w:t>
      </w:r>
      <w:r w:rsidRPr="00332399">
        <w:rPr>
          <w:rFonts w:ascii="Century Schoolbook" w:hAnsi="Century Schoolbook" w:cs="Times New Roman"/>
          <w:color w:val="000000"/>
          <w:sz w:val="24"/>
          <w:szCs w:val="24"/>
          <w:lang w:val="en-US"/>
        </w:rPr>
        <w:t xml:space="preserve">, 266–275. https://doi.org/10.1007/s10461-019-02658-7 </w:t>
      </w:r>
    </w:p>
    <w:p w14:paraId="515C094B"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lang w:val="en-US"/>
        </w:rPr>
        <w:lastRenderedPageBreak/>
        <w:t xml:space="preserve">Moral, J., &amp; Valle, A. (2013). </w:t>
      </w:r>
      <w:r w:rsidRPr="00332399">
        <w:rPr>
          <w:rFonts w:ascii="Century Schoolbook" w:hAnsi="Century Schoolbook" w:cs="Times New Roman"/>
          <w:color w:val="000000"/>
          <w:sz w:val="24"/>
          <w:szCs w:val="24"/>
        </w:rPr>
        <w:t xml:space="preserve">Dimensionalidad, Consistencia Interna y Distribución de la Escala </w:t>
      </w:r>
      <w:proofErr w:type="spellStart"/>
      <w:r w:rsidRPr="00332399">
        <w:rPr>
          <w:rFonts w:ascii="Century Schoolbook" w:hAnsi="Century Schoolbook" w:cs="Times New Roman"/>
          <w:color w:val="000000"/>
          <w:sz w:val="24"/>
          <w:szCs w:val="24"/>
        </w:rPr>
        <w:t>Homonegatividad</w:t>
      </w:r>
      <w:proofErr w:type="spellEnd"/>
      <w:r w:rsidRPr="00332399">
        <w:rPr>
          <w:rFonts w:ascii="Century Schoolbook" w:hAnsi="Century Schoolbook" w:cs="Times New Roman"/>
          <w:color w:val="000000"/>
          <w:sz w:val="24"/>
          <w:szCs w:val="24"/>
        </w:rPr>
        <w:t xml:space="preserve"> Internalizada en Estudiantes Mexicanos de Ciencias de la Salud. </w:t>
      </w:r>
      <w:r w:rsidRPr="00332399">
        <w:rPr>
          <w:rFonts w:ascii="Century Schoolbook" w:hAnsi="Century Schoolbook" w:cs="Times New Roman"/>
          <w:i/>
          <w:iCs/>
          <w:color w:val="000000"/>
          <w:sz w:val="24"/>
          <w:szCs w:val="24"/>
        </w:rPr>
        <w:t>Acta de Investigación Psicológica, 3</w:t>
      </w:r>
      <w:r w:rsidRPr="00332399">
        <w:rPr>
          <w:rFonts w:ascii="Century Schoolbook" w:hAnsi="Century Schoolbook" w:cs="Times New Roman"/>
          <w:color w:val="000000"/>
          <w:sz w:val="24"/>
          <w:szCs w:val="24"/>
        </w:rPr>
        <w:t>(1), 986-1005. Recuperado de http://www.redalyc.org/articulo.oa?id=358933343007</w:t>
      </w:r>
    </w:p>
    <w:p w14:paraId="52DD641A"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rPr>
        <w:t xml:space="preserve">Moral, J., Valle, A., &amp; Martínez, E. (2013). Evaluación del rechazo hacia la homosexualidad en estudiantes de medicina y psicología con base en tres escalas conceptualmente afines. </w:t>
      </w:r>
      <w:r w:rsidRPr="00332399">
        <w:rPr>
          <w:rFonts w:ascii="Century Schoolbook" w:hAnsi="Century Schoolbook" w:cs="Times New Roman"/>
          <w:i/>
          <w:iCs/>
          <w:color w:val="000000"/>
          <w:sz w:val="24"/>
          <w:szCs w:val="24"/>
        </w:rPr>
        <w:t>Psicología desde el Caribe, 30</w:t>
      </w:r>
      <w:r w:rsidRPr="00332399">
        <w:rPr>
          <w:rFonts w:ascii="Century Schoolbook" w:hAnsi="Century Schoolbook" w:cs="Times New Roman"/>
          <w:color w:val="000000"/>
          <w:sz w:val="24"/>
          <w:szCs w:val="24"/>
        </w:rPr>
        <w:t>(3), 526-550. Recuperado de https://www.redalyc.org/articulo.oa?id=21329176005</w:t>
      </w:r>
    </w:p>
    <w:p w14:paraId="12561BD4"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rPr>
        <w:t xml:space="preserve">Moral, J., &amp; Valle, A. (2014). Las dos dimensiones del rechazo hacia las personas homosexuales. </w:t>
      </w:r>
      <w:r w:rsidRPr="00332399">
        <w:rPr>
          <w:rFonts w:ascii="Century Schoolbook" w:hAnsi="Century Schoolbook" w:cs="Times New Roman"/>
          <w:i/>
          <w:iCs/>
          <w:color w:val="000000"/>
          <w:sz w:val="24"/>
          <w:szCs w:val="24"/>
        </w:rPr>
        <w:t>Archivos de Medicina, 1</w:t>
      </w:r>
      <w:r w:rsidRPr="00332399">
        <w:rPr>
          <w:rFonts w:ascii="Century Schoolbook" w:hAnsi="Century Schoolbook" w:cs="Times New Roman"/>
          <w:color w:val="000000"/>
          <w:sz w:val="24"/>
          <w:szCs w:val="24"/>
        </w:rPr>
        <w:t>(4), 103-116. Recuperado de http://www.redalyc.org/articulo.oa?id=273832164010</w:t>
      </w:r>
    </w:p>
    <w:p w14:paraId="0C765A74" w14:textId="77777777" w:rsidR="009822B1" w:rsidRPr="00A061A5" w:rsidRDefault="009822B1" w:rsidP="00C06401">
      <w:pPr>
        <w:spacing w:line="360" w:lineRule="auto"/>
        <w:ind w:left="567" w:hanging="567"/>
        <w:jc w:val="both"/>
        <w:rPr>
          <w:rFonts w:ascii="Century Schoolbook" w:hAnsi="Century Schoolbook" w:cs="Times New Roman"/>
          <w:sz w:val="24"/>
          <w:szCs w:val="24"/>
          <w:lang w:val="en-GB"/>
        </w:rPr>
      </w:pPr>
      <w:r w:rsidRPr="00332399">
        <w:rPr>
          <w:rFonts w:ascii="Century Schoolbook" w:hAnsi="Century Schoolbook" w:cs="Times New Roman"/>
          <w:color w:val="000000"/>
          <w:sz w:val="24"/>
          <w:szCs w:val="24"/>
          <w:lang w:val="es-PE"/>
        </w:rPr>
        <w:t xml:space="preserve">Moral, J., Valle, A., &amp; García-Cadena, C. (2015). </w:t>
      </w:r>
      <w:r w:rsidRPr="00332399">
        <w:rPr>
          <w:rFonts w:ascii="Century Schoolbook" w:hAnsi="Century Schoolbook" w:cs="Times New Roman"/>
          <w:color w:val="000000"/>
          <w:sz w:val="24"/>
          <w:szCs w:val="24"/>
          <w:lang w:val="en-US"/>
        </w:rPr>
        <w:t xml:space="preserve">Variables related to sexual prejudice among Mexican health science students. </w:t>
      </w:r>
      <w:r w:rsidRPr="00A061A5">
        <w:rPr>
          <w:rFonts w:ascii="Century Schoolbook" w:hAnsi="Century Schoolbook" w:cs="Times New Roman"/>
          <w:i/>
          <w:iCs/>
          <w:color w:val="000000"/>
          <w:sz w:val="24"/>
          <w:szCs w:val="24"/>
          <w:lang w:val="en-GB"/>
        </w:rPr>
        <w:t xml:space="preserve">Medicina </w:t>
      </w:r>
      <w:proofErr w:type="spellStart"/>
      <w:r w:rsidRPr="00A061A5">
        <w:rPr>
          <w:rFonts w:ascii="Century Schoolbook" w:hAnsi="Century Schoolbook" w:cs="Times New Roman"/>
          <w:i/>
          <w:iCs/>
          <w:color w:val="000000"/>
          <w:sz w:val="24"/>
          <w:szCs w:val="24"/>
          <w:lang w:val="en-GB"/>
        </w:rPr>
        <w:t>Universitaria</w:t>
      </w:r>
      <w:proofErr w:type="spellEnd"/>
      <w:r w:rsidRPr="00A061A5">
        <w:rPr>
          <w:rFonts w:ascii="Century Schoolbook" w:hAnsi="Century Schoolbook" w:cs="Times New Roman"/>
          <w:i/>
          <w:iCs/>
          <w:color w:val="000000"/>
          <w:sz w:val="24"/>
          <w:szCs w:val="24"/>
          <w:lang w:val="en-GB"/>
        </w:rPr>
        <w:t>, 17</w:t>
      </w:r>
      <w:r w:rsidRPr="00A061A5">
        <w:rPr>
          <w:rFonts w:ascii="Century Schoolbook" w:hAnsi="Century Schoolbook" w:cs="Times New Roman"/>
          <w:color w:val="000000"/>
          <w:sz w:val="24"/>
          <w:szCs w:val="24"/>
          <w:lang w:val="en-GB"/>
        </w:rPr>
        <w:t>(66), 20-29. http://dx.doi.org/10.1016/j.rmu.2014.09.002</w:t>
      </w:r>
    </w:p>
    <w:p w14:paraId="3378BDBA" w14:textId="77777777" w:rsidR="009822B1" w:rsidRPr="00A061A5" w:rsidRDefault="009822B1" w:rsidP="00C06401">
      <w:pPr>
        <w:spacing w:line="360" w:lineRule="auto"/>
        <w:ind w:left="567" w:hanging="567"/>
        <w:jc w:val="both"/>
        <w:rPr>
          <w:rFonts w:ascii="Century Schoolbook" w:hAnsi="Century Schoolbook" w:cs="Times New Roman"/>
          <w:sz w:val="24"/>
          <w:szCs w:val="24"/>
          <w:lang w:val="pt-PT"/>
        </w:rPr>
      </w:pPr>
      <w:r w:rsidRPr="00A061A5">
        <w:rPr>
          <w:rFonts w:ascii="Century Schoolbook" w:hAnsi="Century Schoolbook" w:cs="Times New Roman"/>
          <w:color w:val="000000"/>
          <w:sz w:val="24"/>
          <w:szCs w:val="24"/>
          <w:lang w:val="en-GB"/>
        </w:rPr>
        <w:t xml:space="preserve">Moss, D. (2002). </w:t>
      </w:r>
      <w:r w:rsidRPr="00332399">
        <w:rPr>
          <w:rFonts w:ascii="Century Schoolbook" w:hAnsi="Century Schoolbook" w:cs="Times New Roman"/>
          <w:color w:val="000000"/>
          <w:sz w:val="24"/>
          <w:szCs w:val="24"/>
          <w:lang w:val="en-US"/>
        </w:rPr>
        <w:t xml:space="preserve">Internalized Homophobia in Men: Wanting in the First-Person Singular, Hating in the First-Person Plural. </w:t>
      </w:r>
      <w:r w:rsidRPr="00A061A5">
        <w:rPr>
          <w:rFonts w:ascii="Century Schoolbook" w:hAnsi="Century Schoolbook" w:cs="Times New Roman"/>
          <w:i/>
          <w:iCs/>
          <w:color w:val="000000"/>
          <w:sz w:val="24"/>
          <w:szCs w:val="24"/>
          <w:lang w:val="pt-PT"/>
        </w:rPr>
        <w:t>The Psychoanalytic Quarterly, 71</w:t>
      </w:r>
      <w:r w:rsidRPr="00A061A5">
        <w:rPr>
          <w:rFonts w:ascii="Century Schoolbook" w:hAnsi="Century Schoolbook" w:cs="Times New Roman"/>
          <w:color w:val="000000"/>
          <w:sz w:val="24"/>
          <w:szCs w:val="24"/>
          <w:lang w:val="pt-PT"/>
        </w:rPr>
        <w:t xml:space="preserve">(1), 21–50. https://doi.org/10.1002/j.2167-4086.2002.tb00003.x </w:t>
      </w:r>
    </w:p>
    <w:p w14:paraId="3A135B24"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A061A5">
        <w:rPr>
          <w:rFonts w:ascii="Century Schoolbook" w:hAnsi="Century Schoolbook" w:cs="Times New Roman"/>
          <w:color w:val="000000"/>
          <w:sz w:val="24"/>
          <w:szCs w:val="24"/>
          <w:lang w:val="pt-PT"/>
        </w:rPr>
        <w:t xml:space="preserve">Salirrosas-Cabada, R., Mallqui-Olivares, N., &amp; Vera-Calmet, V. (2024). </w:t>
      </w:r>
      <w:r w:rsidRPr="00332399">
        <w:rPr>
          <w:rFonts w:ascii="Century Schoolbook" w:hAnsi="Century Schoolbook" w:cs="Times New Roman"/>
          <w:color w:val="000000"/>
          <w:sz w:val="24"/>
          <w:szCs w:val="24"/>
          <w:lang w:val="en-US"/>
        </w:rPr>
        <w:t xml:space="preserve">Psychometric Properties of the Internalized Homonegativity Scale in Adults. </w:t>
      </w:r>
      <w:r w:rsidRPr="00332399">
        <w:rPr>
          <w:rFonts w:ascii="Century Schoolbook" w:hAnsi="Century Schoolbook" w:cs="Times New Roman"/>
          <w:i/>
          <w:iCs/>
          <w:color w:val="000000"/>
          <w:sz w:val="24"/>
          <w:szCs w:val="24"/>
          <w:lang w:val="en-US"/>
        </w:rPr>
        <w:t>Academic Journal of Interdisciplinary Studies, 13</w:t>
      </w:r>
      <w:r w:rsidRPr="00332399">
        <w:rPr>
          <w:rFonts w:ascii="Century Schoolbook" w:hAnsi="Century Schoolbook" w:cs="Times New Roman"/>
          <w:color w:val="000000"/>
          <w:sz w:val="24"/>
          <w:szCs w:val="24"/>
          <w:lang w:val="en-US"/>
        </w:rPr>
        <w:t xml:space="preserve">(4), 72-81. https://doi.org/10.36941/ajis-2024-0100 </w:t>
      </w:r>
    </w:p>
    <w:p w14:paraId="139C545D"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proofErr w:type="spellStart"/>
      <w:r w:rsidRPr="00332399">
        <w:rPr>
          <w:rFonts w:ascii="Century Schoolbook" w:hAnsi="Century Schoolbook" w:cs="Times New Roman"/>
          <w:color w:val="000000"/>
          <w:sz w:val="24"/>
          <w:szCs w:val="24"/>
          <w:lang w:val="en-US"/>
        </w:rPr>
        <w:t>Skerven</w:t>
      </w:r>
      <w:proofErr w:type="spellEnd"/>
      <w:r w:rsidRPr="00332399">
        <w:rPr>
          <w:rFonts w:ascii="Century Schoolbook" w:hAnsi="Century Schoolbook" w:cs="Times New Roman"/>
          <w:color w:val="000000"/>
          <w:sz w:val="24"/>
          <w:szCs w:val="24"/>
          <w:lang w:val="en-US"/>
        </w:rPr>
        <w:t xml:space="preserve">, K., &amp; Aubin, E. (2015). Internalized Homonegativity and the Double Bind for Lesbians: Those with Higher Need Perceive More Barriers to Mental Health Treatment. </w:t>
      </w:r>
      <w:r w:rsidRPr="00332399">
        <w:rPr>
          <w:rFonts w:ascii="Century Schoolbook" w:hAnsi="Century Schoolbook" w:cs="Times New Roman"/>
          <w:i/>
          <w:iCs/>
          <w:color w:val="000000"/>
          <w:sz w:val="24"/>
          <w:szCs w:val="24"/>
          <w:lang w:val="en-US"/>
        </w:rPr>
        <w:t>Journal of LGBT Issues in Counseling, 9</w:t>
      </w:r>
      <w:r w:rsidRPr="00332399">
        <w:rPr>
          <w:rFonts w:ascii="Century Schoolbook" w:hAnsi="Century Schoolbook" w:cs="Times New Roman"/>
          <w:color w:val="000000"/>
          <w:sz w:val="24"/>
          <w:szCs w:val="24"/>
          <w:lang w:val="en-US"/>
        </w:rPr>
        <w:t xml:space="preserve">, 17-35. https://doi.org/10.1080/15538605.2014.997331. </w:t>
      </w:r>
    </w:p>
    <w:p w14:paraId="6F5D36EB"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Schumacker, R. E., &amp; Lomax, R. G. (2016). </w:t>
      </w:r>
      <w:r w:rsidRPr="00332399">
        <w:rPr>
          <w:rFonts w:ascii="Century Schoolbook" w:hAnsi="Century Schoolbook" w:cs="Times New Roman"/>
          <w:i/>
          <w:iCs/>
          <w:color w:val="000000"/>
          <w:sz w:val="24"/>
          <w:szCs w:val="24"/>
          <w:lang w:val="en-US"/>
        </w:rPr>
        <w:t>A beginner's guide to structural equation modeling</w:t>
      </w:r>
      <w:r w:rsidRPr="00332399">
        <w:rPr>
          <w:rFonts w:ascii="Century Schoolbook" w:hAnsi="Century Schoolbook" w:cs="Times New Roman"/>
          <w:color w:val="000000"/>
          <w:sz w:val="24"/>
          <w:szCs w:val="24"/>
          <w:lang w:val="en-US"/>
        </w:rPr>
        <w:t xml:space="preserve"> (4th ed.). Routledge. </w:t>
      </w:r>
    </w:p>
    <w:p w14:paraId="6610CBFB"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Tran, H., Ross, M., Diamond, P., Berg, R., Weatherburn, P., &amp; Schmidt, A. (2018). Structural Validation and Multiple Group Assessment of the Short </w:t>
      </w:r>
      <w:r w:rsidRPr="00332399">
        <w:rPr>
          <w:rFonts w:ascii="Century Schoolbook" w:hAnsi="Century Schoolbook" w:cs="Times New Roman"/>
          <w:color w:val="000000"/>
          <w:sz w:val="24"/>
          <w:szCs w:val="24"/>
          <w:lang w:val="en-US"/>
        </w:rPr>
        <w:lastRenderedPageBreak/>
        <w:t xml:space="preserve">Internalized Homonegativity Scale in Homosexual and Bisexual Men in 38 European Countries: Results </w:t>
      </w:r>
      <w:proofErr w:type="gramStart"/>
      <w:r w:rsidRPr="00332399">
        <w:rPr>
          <w:rFonts w:ascii="Century Schoolbook" w:hAnsi="Century Schoolbook" w:cs="Times New Roman"/>
          <w:color w:val="000000"/>
          <w:sz w:val="24"/>
          <w:szCs w:val="24"/>
          <w:lang w:val="en-US"/>
        </w:rPr>
        <w:t>From</w:t>
      </w:r>
      <w:proofErr w:type="gramEnd"/>
      <w:r w:rsidRPr="00332399">
        <w:rPr>
          <w:rFonts w:ascii="Century Schoolbook" w:hAnsi="Century Schoolbook" w:cs="Times New Roman"/>
          <w:color w:val="000000"/>
          <w:sz w:val="24"/>
          <w:szCs w:val="24"/>
          <w:lang w:val="en-US"/>
        </w:rPr>
        <w:t xml:space="preserve"> the European MSM Internet Survey. </w:t>
      </w:r>
      <w:r w:rsidRPr="00332399">
        <w:rPr>
          <w:rFonts w:ascii="Century Schoolbook" w:hAnsi="Century Schoolbook" w:cs="Times New Roman"/>
          <w:i/>
          <w:iCs/>
          <w:color w:val="000000"/>
          <w:sz w:val="24"/>
          <w:szCs w:val="24"/>
          <w:lang w:val="en-US"/>
        </w:rPr>
        <w:t>The Journal of Sex Research, 55</w:t>
      </w:r>
      <w:r w:rsidRPr="00332399">
        <w:rPr>
          <w:rFonts w:ascii="Century Schoolbook" w:hAnsi="Century Schoolbook" w:cs="Times New Roman"/>
          <w:color w:val="000000"/>
          <w:sz w:val="24"/>
          <w:szCs w:val="24"/>
          <w:lang w:val="en-US"/>
        </w:rPr>
        <w:t xml:space="preserve">, 617-629. https://doi.org/10.1080/00224499.2017.1380158. </w:t>
      </w:r>
    </w:p>
    <w:p w14:paraId="2D6E4AB4" w14:textId="77777777" w:rsidR="009822B1" w:rsidRPr="00A061A5"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Ünsal, B., &amp; Bozo, Ö. (2022). Minority Stress and Mental Health of Gay Men in Turkey: The Mediator Roles of Shame and Forgiveness of Self. </w:t>
      </w:r>
      <w:r w:rsidRPr="00A061A5">
        <w:rPr>
          <w:rFonts w:ascii="Century Schoolbook" w:hAnsi="Century Schoolbook" w:cs="Times New Roman"/>
          <w:i/>
          <w:iCs/>
          <w:color w:val="000000"/>
          <w:sz w:val="24"/>
          <w:szCs w:val="24"/>
          <w:lang w:val="en-US"/>
        </w:rPr>
        <w:t>Journal of Homosexuality, 70</w:t>
      </w:r>
      <w:r w:rsidRPr="00A061A5">
        <w:rPr>
          <w:rFonts w:ascii="Century Schoolbook" w:hAnsi="Century Schoolbook" w:cs="Times New Roman"/>
          <w:color w:val="000000"/>
          <w:sz w:val="24"/>
          <w:szCs w:val="24"/>
          <w:lang w:val="en-US"/>
        </w:rPr>
        <w:t xml:space="preserve">, 1503-1520. https://doi.org/10.1080/00918369.2022.2036532. </w:t>
      </w:r>
    </w:p>
    <w:p w14:paraId="7B34B228"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A061A5">
        <w:rPr>
          <w:rFonts w:ascii="Century Schoolbook" w:hAnsi="Century Schoolbook" w:cs="Times New Roman"/>
          <w:color w:val="000000"/>
          <w:sz w:val="24"/>
          <w:szCs w:val="24"/>
          <w:lang w:val="en-US"/>
        </w:rPr>
        <w:t xml:space="preserve">Valdez-Montero, C., Martínez-Velasco, C. G., Ahumada-Cortez, J. G., Caudillo-Ortega, L., &amp; </w:t>
      </w:r>
      <w:proofErr w:type="spellStart"/>
      <w:r w:rsidRPr="00A061A5">
        <w:rPr>
          <w:rFonts w:ascii="Century Schoolbook" w:hAnsi="Century Schoolbook" w:cs="Times New Roman"/>
          <w:color w:val="000000"/>
          <w:sz w:val="24"/>
          <w:szCs w:val="24"/>
          <w:lang w:val="en-US"/>
        </w:rPr>
        <w:t>Gámez</w:t>
      </w:r>
      <w:proofErr w:type="spellEnd"/>
      <w:r w:rsidRPr="00A061A5">
        <w:rPr>
          <w:rFonts w:ascii="Century Schoolbook" w:hAnsi="Century Schoolbook" w:cs="Times New Roman"/>
          <w:color w:val="000000"/>
          <w:sz w:val="24"/>
          <w:szCs w:val="24"/>
          <w:lang w:val="en-US"/>
        </w:rPr>
        <w:t xml:space="preserve">-Medina, M. E. (2018). </w:t>
      </w:r>
      <w:r w:rsidRPr="00332399">
        <w:rPr>
          <w:rFonts w:ascii="Century Schoolbook" w:hAnsi="Century Schoolbook" w:cs="Times New Roman"/>
          <w:color w:val="000000"/>
          <w:sz w:val="24"/>
          <w:szCs w:val="24"/>
        </w:rPr>
        <w:t xml:space="preserve">Manifestación de homofobia internalizada en adolescentes y jóvenes al norte de México. </w:t>
      </w:r>
      <w:r w:rsidRPr="00332399">
        <w:rPr>
          <w:rFonts w:ascii="Century Schoolbook" w:hAnsi="Century Schoolbook" w:cs="Times New Roman"/>
          <w:i/>
          <w:iCs/>
          <w:color w:val="000000"/>
          <w:sz w:val="24"/>
          <w:szCs w:val="24"/>
          <w:lang w:val="en-US"/>
        </w:rPr>
        <w:t>Health and Addictions, 18</w:t>
      </w:r>
      <w:r w:rsidRPr="00332399">
        <w:rPr>
          <w:rFonts w:ascii="Century Schoolbook" w:hAnsi="Century Schoolbook" w:cs="Times New Roman"/>
          <w:color w:val="000000"/>
          <w:sz w:val="24"/>
          <w:szCs w:val="24"/>
          <w:lang w:val="en-US"/>
        </w:rPr>
        <w:t xml:space="preserve">(2), 101–110. https://doi.org/10.21134/haaj.v18i2.379 </w:t>
      </w:r>
    </w:p>
    <w:p w14:paraId="2FA38F69" w14:textId="77777777" w:rsidR="009822B1" w:rsidRPr="00332399" w:rsidRDefault="009822B1" w:rsidP="00C06401">
      <w:pPr>
        <w:spacing w:line="360" w:lineRule="auto"/>
        <w:ind w:left="567" w:hanging="567"/>
        <w:jc w:val="both"/>
        <w:rPr>
          <w:rFonts w:ascii="Century Schoolbook" w:hAnsi="Century Schoolbook" w:cs="Times New Roman"/>
          <w:sz w:val="24"/>
          <w:szCs w:val="24"/>
        </w:rPr>
      </w:pPr>
      <w:r w:rsidRPr="00332399">
        <w:rPr>
          <w:rFonts w:ascii="Century Schoolbook" w:hAnsi="Century Schoolbook" w:cs="Times New Roman"/>
          <w:color w:val="000000"/>
          <w:sz w:val="24"/>
          <w:szCs w:val="24"/>
          <w:lang w:val="en-US"/>
        </w:rPr>
        <w:t xml:space="preserve">Viladrich, C., Angulo-Brunet, A., &amp; Doval, E. (2017). </w:t>
      </w:r>
      <w:r w:rsidRPr="00332399">
        <w:rPr>
          <w:rFonts w:ascii="Century Schoolbook" w:hAnsi="Century Schoolbook" w:cs="Times New Roman"/>
          <w:color w:val="000000"/>
          <w:sz w:val="24"/>
          <w:szCs w:val="24"/>
        </w:rPr>
        <w:t xml:space="preserve">Un viaje alrededor de alfa y omega para estimar la fiabilidad de consistencia interna. </w:t>
      </w:r>
      <w:r w:rsidRPr="00332399">
        <w:rPr>
          <w:rFonts w:ascii="Century Schoolbook" w:hAnsi="Century Schoolbook" w:cs="Times New Roman"/>
          <w:i/>
          <w:iCs/>
          <w:color w:val="000000"/>
          <w:sz w:val="24"/>
          <w:szCs w:val="24"/>
        </w:rPr>
        <w:t>Anales de Psicología, 33</w:t>
      </w:r>
      <w:r w:rsidRPr="00332399">
        <w:rPr>
          <w:rFonts w:ascii="Century Schoolbook" w:hAnsi="Century Schoolbook" w:cs="Times New Roman"/>
          <w:color w:val="000000"/>
          <w:sz w:val="24"/>
          <w:szCs w:val="24"/>
        </w:rPr>
        <w:t xml:space="preserve">(3), 755–782. https://doi.org/10.6018/analesps.33.3.268401 </w:t>
      </w:r>
    </w:p>
    <w:p w14:paraId="30C171C2"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rPr>
        <w:t>Weinberg, G. H. (1972).</w:t>
      </w:r>
      <w:r w:rsidRPr="00332399">
        <w:rPr>
          <w:rFonts w:ascii="Century Schoolbook" w:hAnsi="Century Schoolbook" w:cs="Times New Roman"/>
          <w:i/>
          <w:iCs/>
          <w:color w:val="000000"/>
          <w:sz w:val="24"/>
          <w:szCs w:val="24"/>
        </w:rPr>
        <w:t xml:space="preserve"> </w:t>
      </w:r>
      <w:r w:rsidRPr="00332399">
        <w:rPr>
          <w:rFonts w:ascii="Century Schoolbook" w:hAnsi="Century Schoolbook" w:cs="Times New Roman"/>
          <w:i/>
          <w:iCs/>
          <w:color w:val="000000"/>
          <w:sz w:val="24"/>
          <w:szCs w:val="24"/>
          <w:lang w:val="en-US"/>
        </w:rPr>
        <w:t>Society and the healthy homosexual</w:t>
      </w:r>
      <w:r w:rsidRPr="00332399">
        <w:rPr>
          <w:rFonts w:ascii="Century Schoolbook" w:hAnsi="Century Schoolbook" w:cs="Times New Roman"/>
          <w:color w:val="000000"/>
          <w:sz w:val="24"/>
          <w:szCs w:val="24"/>
          <w:lang w:val="en-US"/>
        </w:rPr>
        <w:t xml:space="preserve">. St. Martin's Press </w:t>
      </w:r>
    </w:p>
    <w:p w14:paraId="0835E550" w14:textId="77777777" w:rsidR="009822B1" w:rsidRPr="00332399" w:rsidRDefault="009822B1" w:rsidP="00C06401">
      <w:pPr>
        <w:spacing w:line="360" w:lineRule="auto"/>
        <w:ind w:left="567" w:hanging="567"/>
        <w:jc w:val="both"/>
        <w:rPr>
          <w:rFonts w:ascii="Century Schoolbook" w:hAnsi="Century Schoolbook" w:cs="Times New Roman"/>
          <w:sz w:val="24"/>
          <w:szCs w:val="24"/>
          <w:lang w:val="en-US"/>
        </w:rPr>
      </w:pPr>
      <w:r w:rsidRPr="00332399">
        <w:rPr>
          <w:rFonts w:ascii="Century Schoolbook" w:hAnsi="Century Schoolbook" w:cs="Times New Roman"/>
          <w:color w:val="000000"/>
          <w:sz w:val="24"/>
          <w:szCs w:val="24"/>
          <w:lang w:val="en-US"/>
        </w:rPr>
        <w:t xml:space="preserve">Williams, D., Yan, Y., Jackson, J., &amp; Anderson, N. (1997). Racial differences in physical and </w:t>
      </w:r>
      <w:proofErr w:type="gramStart"/>
      <w:r w:rsidRPr="00332399">
        <w:rPr>
          <w:rFonts w:ascii="Century Schoolbook" w:hAnsi="Century Schoolbook" w:cs="Times New Roman"/>
          <w:color w:val="000000"/>
          <w:sz w:val="24"/>
          <w:szCs w:val="24"/>
          <w:lang w:val="en-US"/>
        </w:rPr>
        <w:t>mental  health</w:t>
      </w:r>
      <w:proofErr w:type="gramEnd"/>
      <w:r w:rsidRPr="00332399">
        <w:rPr>
          <w:rFonts w:ascii="Century Schoolbook" w:hAnsi="Century Schoolbook" w:cs="Times New Roman"/>
          <w:color w:val="000000"/>
          <w:sz w:val="24"/>
          <w:szCs w:val="24"/>
          <w:lang w:val="en-US"/>
        </w:rPr>
        <w:t xml:space="preserve">: Socioeconomic status, stress and discrimination. </w:t>
      </w:r>
      <w:r w:rsidRPr="00332399">
        <w:rPr>
          <w:rFonts w:ascii="Century Schoolbook" w:hAnsi="Century Schoolbook" w:cs="Times New Roman"/>
          <w:i/>
          <w:iCs/>
          <w:color w:val="000000"/>
          <w:sz w:val="24"/>
          <w:szCs w:val="24"/>
          <w:lang w:val="en-US"/>
        </w:rPr>
        <w:t>Journal of Health Psychology, 2</w:t>
      </w:r>
      <w:r w:rsidRPr="00332399">
        <w:rPr>
          <w:rFonts w:ascii="Century Schoolbook" w:hAnsi="Century Schoolbook" w:cs="Times New Roman"/>
          <w:color w:val="000000"/>
          <w:sz w:val="24"/>
          <w:szCs w:val="24"/>
          <w:lang w:val="en-US"/>
        </w:rPr>
        <w:t>(3), 335-351. https://doi.org/10.1177/135910539700200305</w:t>
      </w:r>
    </w:p>
    <w:p w14:paraId="5083C92D" w14:textId="00BE4B78" w:rsidR="009846AA" w:rsidRPr="00936104" w:rsidRDefault="009822B1" w:rsidP="00C06401">
      <w:pPr>
        <w:spacing w:line="360" w:lineRule="auto"/>
        <w:ind w:left="567" w:hanging="567"/>
        <w:rPr>
          <w:rFonts w:ascii="Century Schoolbook" w:hAnsi="Century Schoolbook" w:cs="Times New Roman"/>
          <w:sz w:val="20"/>
          <w:szCs w:val="20"/>
          <w:lang w:val="en-US"/>
        </w:rPr>
      </w:pPr>
      <w:r w:rsidRPr="00332399">
        <w:rPr>
          <w:rFonts w:ascii="Century Schoolbook" w:hAnsi="Century Schoolbook" w:cs="Times New Roman"/>
          <w:color w:val="000000"/>
          <w:sz w:val="24"/>
          <w:szCs w:val="24"/>
          <w:lang w:val="en-US"/>
        </w:rPr>
        <w:t xml:space="preserve">World Medical Association. (2001). Declaration of Helsinki. Ethical principles for medical research involving human subjects. </w:t>
      </w:r>
      <w:r w:rsidRPr="00332399">
        <w:rPr>
          <w:rFonts w:ascii="Century Schoolbook" w:hAnsi="Century Schoolbook" w:cs="Times New Roman"/>
          <w:i/>
          <w:iCs/>
          <w:color w:val="000000"/>
          <w:sz w:val="24"/>
          <w:szCs w:val="24"/>
          <w:lang w:val="en-US"/>
        </w:rPr>
        <w:t>Bulletin of the World Health Organization, 79</w:t>
      </w:r>
      <w:r w:rsidRPr="00332399">
        <w:rPr>
          <w:rFonts w:ascii="Century Schoolbook" w:hAnsi="Century Schoolbook" w:cs="Times New Roman"/>
          <w:color w:val="000000"/>
          <w:sz w:val="24"/>
          <w:szCs w:val="24"/>
          <w:lang w:val="en-US"/>
        </w:rPr>
        <w:t xml:space="preserve">(4), 373-374. </w:t>
      </w:r>
      <w:r w:rsidRPr="00332399">
        <w:rPr>
          <w:rFonts w:ascii="Century Schoolbook" w:hAnsi="Century Schoolbook" w:cs="Times New Roman"/>
          <w:sz w:val="24"/>
          <w:szCs w:val="24"/>
          <w:lang w:val="en-US"/>
        </w:rPr>
        <w:br/>
      </w:r>
      <w:proofErr w:type="spellStart"/>
      <w:r w:rsidRPr="00332399">
        <w:rPr>
          <w:rFonts w:ascii="Century Schoolbook" w:hAnsi="Century Schoolbook" w:cs="Times New Roman"/>
          <w:color w:val="000000"/>
          <w:sz w:val="24"/>
          <w:szCs w:val="24"/>
          <w:lang w:val="en-US"/>
        </w:rPr>
        <w:t>Recuperado</w:t>
      </w:r>
      <w:proofErr w:type="spellEnd"/>
      <w:r w:rsidRPr="00332399">
        <w:rPr>
          <w:rFonts w:ascii="Century Schoolbook" w:hAnsi="Century Schoolbook" w:cs="Times New Roman"/>
          <w:color w:val="000000"/>
          <w:sz w:val="24"/>
          <w:szCs w:val="24"/>
          <w:lang w:val="en-US"/>
        </w:rPr>
        <w:t xml:space="preserve"> de https://w</w:t>
      </w:r>
      <w:r w:rsidRPr="009822B1">
        <w:rPr>
          <w:rFonts w:ascii="Century Schoolbook" w:hAnsi="Century Schoolbook" w:cs="Times New Roman"/>
          <w:color w:val="000000"/>
          <w:sz w:val="20"/>
          <w:szCs w:val="20"/>
          <w:lang w:val="en-US"/>
        </w:rPr>
        <w:t xml:space="preserve">ww.ncbi.nlm.nih.gov/pmc/articles/PMC2566407/  </w:t>
      </w:r>
    </w:p>
    <w:sectPr w:rsidR="009846AA" w:rsidRPr="00936104" w:rsidSect="00332399">
      <w:pgSz w:w="11906" w:h="16838" w:code="9"/>
      <w:pgMar w:top="1418" w:right="1418" w:bottom="1418" w:left="1418"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1854A4AC" w14:textId="77777777" w:rsidR="005E51F0" w:rsidRDefault="005E51F0" w:rsidP="005E51F0">
      <w:pPr>
        <w:pStyle w:val="Textocomentario"/>
      </w:pPr>
      <w:r>
        <w:rPr>
          <w:rStyle w:val="Refdecomentario"/>
        </w:rPr>
        <w:annotationRef/>
      </w:r>
      <w:r>
        <w:rPr>
          <w:lang w:val="es-419"/>
        </w:rPr>
        <w:t>¿?</w:t>
      </w:r>
    </w:p>
  </w:comment>
  <w:comment w:id="2" w:author="Autor" w:initials="A">
    <w:p w14:paraId="17A2C973" w14:textId="77777777" w:rsidR="005E51F0" w:rsidRDefault="005E51F0" w:rsidP="005E51F0">
      <w:pPr>
        <w:pStyle w:val="Textocomentario"/>
      </w:pPr>
      <w:r>
        <w:rPr>
          <w:rStyle w:val="Refdecomentario"/>
        </w:rPr>
        <w:annotationRef/>
      </w:r>
      <w:r>
        <w:rPr>
          <w:lang w:val="es-419"/>
        </w:rPr>
        <w:t>Dado que la RIP no es una revista exclusiva del área clínica se sugiere clarificar el concepto.</w:t>
      </w:r>
    </w:p>
  </w:comment>
  <w:comment w:id="3" w:author="Autor" w:initials="A">
    <w:p w14:paraId="56D0C14A" w14:textId="77777777" w:rsidR="005E51F0" w:rsidRDefault="005E51F0" w:rsidP="005E51F0">
      <w:pPr>
        <w:pStyle w:val="Textocomentario"/>
      </w:pPr>
      <w:r>
        <w:rPr>
          <w:rStyle w:val="Refdecomentario"/>
        </w:rPr>
        <w:annotationRef/>
      </w:r>
      <w:r>
        <w:rPr>
          <w:lang w:val="es-419"/>
        </w:rPr>
        <w:t>¿por qué?</w:t>
      </w:r>
    </w:p>
  </w:comment>
  <w:comment w:id="4" w:author="Autor" w:initials="A">
    <w:p w14:paraId="43D38914" w14:textId="77777777" w:rsidR="005E51F0" w:rsidRDefault="005E51F0" w:rsidP="005E51F0">
      <w:pPr>
        <w:pStyle w:val="Textocomentario"/>
      </w:pPr>
      <w:r>
        <w:rPr>
          <w:rStyle w:val="Refdecomentario"/>
        </w:rPr>
        <w:annotationRef/>
      </w:r>
      <w:r>
        <w:rPr>
          <w:lang w:val="es-419"/>
        </w:rPr>
        <w:t>¿en qué sentido o con qué objetivo?</w:t>
      </w:r>
    </w:p>
  </w:comment>
  <w:comment w:id="5" w:author="Autor" w:initials="A">
    <w:p w14:paraId="38AC8049" w14:textId="77777777" w:rsidR="005E51F0" w:rsidRDefault="005E51F0" w:rsidP="005E51F0">
      <w:pPr>
        <w:pStyle w:val="Textocomentario"/>
      </w:pPr>
      <w:r>
        <w:rPr>
          <w:rStyle w:val="Refdecomentario"/>
        </w:rPr>
        <w:annotationRef/>
      </w:r>
      <w:r>
        <w:rPr>
          <w:lang w:val="es-419"/>
        </w:rPr>
        <w:t xml:space="preserve">Se sugiere ampliar la información respecto de las tipologías aplicables a este estudio </w:t>
      </w:r>
    </w:p>
  </w:comment>
  <w:comment w:id="6" w:author="Autor" w:initials="A">
    <w:p w14:paraId="220BA373" w14:textId="77777777" w:rsidR="00D57FC9" w:rsidRDefault="00D57FC9" w:rsidP="00D57FC9">
      <w:pPr>
        <w:pStyle w:val="Textocomentario"/>
      </w:pPr>
      <w:r>
        <w:rPr>
          <w:rStyle w:val="Refdecomentario"/>
        </w:rPr>
        <w:annotationRef/>
      </w:r>
      <w:r>
        <w:rPr>
          <w:lang w:val="es-419"/>
        </w:rPr>
        <w:t>Instrumentos</w:t>
      </w:r>
    </w:p>
  </w:comment>
  <w:comment w:id="7" w:author="Autor" w:initials="A">
    <w:p w14:paraId="24C94884" w14:textId="746F2556" w:rsidR="005E51F0" w:rsidRDefault="005E51F0" w:rsidP="005E51F0">
      <w:pPr>
        <w:pStyle w:val="Textocomentario"/>
      </w:pPr>
      <w:r>
        <w:rPr>
          <w:rStyle w:val="Refdecomentario"/>
        </w:rPr>
        <w:annotationRef/>
      </w:r>
      <w:r>
        <w:rPr>
          <w:lang w:val="es-419"/>
        </w:rPr>
        <w:t>¿Cuáles son las etiquetas de los valores 2, 4, 6 y 8?</w:t>
      </w:r>
    </w:p>
  </w:comment>
  <w:comment w:id="8" w:author="Autor" w:initials="A">
    <w:p w14:paraId="54127885" w14:textId="77777777" w:rsidR="00D57FC9" w:rsidRDefault="00D57FC9" w:rsidP="00D57FC9">
      <w:pPr>
        <w:pStyle w:val="Textocomentario"/>
      </w:pPr>
      <w:r>
        <w:rPr>
          <w:rStyle w:val="Refdecomentario"/>
        </w:rPr>
        <w:annotationRef/>
      </w:r>
      <w:r>
        <w:rPr>
          <w:lang w:val="es-419"/>
        </w:rPr>
        <w:t>Verificar cuál es la abreviatura académicamente reconocida para la curtosis.</w:t>
      </w:r>
    </w:p>
  </w:comment>
  <w:comment w:id="11" w:author="Autor" w:initials="A">
    <w:p w14:paraId="5BAFE778" w14:textId="77777777" w:rsidR="0039277A" w:rsidRDefault="0039277A" w:rsidP="0039277A">
      <w:pPr>
        <w:pStyle w:val="Textocomentario"/>
      </w:pPr>
      <w:r>
        <w:rPr>
          <w:rStyle w:val="Refdecomentario"/>
        </w:rPr>
        <w:annotationRef/>
      </w:r>
      <w:r>
        <w:rPr>
          <w:lang w:val="es-419"/>
        </w:rPr>
        <w:t>¿Cuáles son estos? ¿Son los teóricos?</w:t>
      </w:r>
    </w:p>
  </w:comment>
  <w:comment w:id="10" w:author="Autor" w:initials="A">
    <w:p w14:paraId="7760E14C" w14:textId="77777777" w:rsidR="005B1093" w:rsidRDefault="005B1093" w:rsidP="005B1093">
      <w:pPr>
        <w:pStyle w:val="Textocomentario"/>
      </w:pPr>
      <w:r>
        <w:rPr>
          <w:rStyle w:val="Refdecomentario"/>
        </w:rPr>
        <w:annotationRef/>
      </w:r>
      <w:r>
        <w:rPr>
          <w:lang w:val="es-419"/>
        </w:rPr>
        <w:t>¿Mediante qué procedimiento?</w:t>
      </w:r>
    </w:p>
  </w:comment>
  <w:comment w:id="9" w:author="Autor" w:initials="A">
    <w:p w14:paraId="33569707" w14:textId="10C0252C" w:rsidR="0039277A" w:rsidRDefault="0039277A" w:rsidP="0039277A">
      <w:pPr>
        <w:pStyle w:val="Textocomentario"/>
      </w:pPr>
      <w:r>
        <w:rPr>
          <w:rStyle w:val="Refdecomentario"/>
        </w:rPr>
        <w:annotationRef/>
      </w:r>
      <w:r>
        <w:rPr>
          <w:lang w:val="es-419"/>
        </w:rPr>
        <w:t>Esto seguiría siendo descriptivos?</w:t>
      </w:r>
    </w:p>
  </w:comment>
  <w:comment w:id="12" w:author="Autor" w:initials="A">
    <w:p w14:paraId="2E0DBB9F" w14:textId="77777777" w:rsidR="0039277A" w:rsidRDefault="0039277A" w:rsidP="0039277A">
      <w:pPr>
        <w:pStyle w:val="Textocomentario"/>
      </w:pPr>
      <w:r>
        <w:rPr>
          <w:rStyle w:val="Refdecomentario"/>
        </w:rPr>
        <w:annotationRef/>
      </w:r>
      <w:r>
        <w:rPr>
          <w:lang w:val="es-419"/>
        </w:rPr>
        <w:t>¿Esta información es teóricamente relevante?</w:t>
      </w:r>
    </w:p>
  </w:comment>
  <w:comment w:id="13" w:author="Autor" w:initials="A">
    <w:p w14:paraId="1AFCE7D1" w14:textId="77777777" w:rsidR="007F11D0" w:rsidRDefault="007F11D0" w:rsidP="007F11D0">
      <w:pPr>
        <w:pStyle w:val="Textocomentario"/>
      </w:pPr>
      <w:r>
        <w:rPr>
          <w:rStyle w:val="Refdecomentario"/>
        </w:rPr>
        <w:annotationRef/>
      </w:r>
      <w:r>
        <w:rPr>
          <w:lang w:val="es-419"/>
        </w:rPr>
        <w:t xml:space="preserve">Hubiera sido deseable integrar mayor información sobre las otras escalas. </w:t>
      </w:r>
    </w:p>
  </w:comment>
  <w:comment w:id="14" w:author="Autor" w:initials="A">
    <w:p w14:paraId="193913D2" w14:textId="6E705675" w:rsidR="0039277A" w:rsidRDefault="0039277A" w:rsidP="0039277A">
      <w:pPr>
        <w:pStyle w:val="Textocomentario"/>
      </w:pPr>
      <w:r>
        <w:rPr>
          <w:rStyle w:val="Refdecomentario"/>
        </w:rPr>
        <w:annotationRef/>
      </w:r>
      <w:r>
        <w:rPr>
          <w:lang w:val="es-419"/>
        </w:rPr>
        <w:t>Las tablas son están en formato APA, ojo con ello</w:t>
      </w:r>
    </w:p>
  </w:comment>
  <w:comment w:id="15" w:author="Autor" w:initials="A">
    <w:p w14:paraId="6D7FEBAC" w14:textId="77777777" w:rsidR="0039277A" w:rsidRDefault="0039277A" w:rsidP="0039277A">
      <w:pPr>
        <w:pStyle w:val="Textocomentario"/>
      </w:pPr>
      <w:r>
        <w:rPr>
          <w:rStyle w:val="Refdecomentario"/>
        </w:rPr>
        <w:annotationRef/>
      </w:r>
      <w:r>
        <w:rPr>
          <w:lang w:val="es-419"/>
        </w:rPr>
        <w:t>P?</w:t>
      </w:r>
    </w:p>
  </w:comment>
  <w:comment w:id="16" w:author="Autor" w:initials="A">
    <w:p w14:paraId="76A6F29B" w14:textId="77777777" w:rsidR="0075309D" w:rsidRDefault="0039277A" w:rsidP="0075309D">
      <w:pPr>
        <w:pStyle w:val="Textocomentario"/>
      </w:pPr>
      <w:r>
        <w:rPr>
          <w:rStyle w:val="Refdecomentario"/>
        </w:rPr>
        <w:annotationRef/>
      </w:r>
      <w:r w:rsidR="0075309D">
        <w:rPr>
          <w:lang w:val="es-419"/>
        </w:rPr>
        <w:t>Verificar redacción</w:t>
      </w:r>
    </w:p>
  </w:comment>
  <w:comment w:id="18" w:author="Autor" w:initials="A">
    <w:p w14:paraId="38A80215" w14:textId="15BA9AA3" w:rsidR="00196635" w:rsidRDefault="00196635" w:rsidP="00196635">
      <w:pPr>
        <w:pStyle w:val="Textocomentario"/>
      </w:pPr>
      <w:r>
        <w:rPr>
          <w:rStyle w:val="Refdecomentario"/>
        </w:rPr>
        <w:annotationRef/>
      </w:r>
      <w:r>
        <w:rPr>
          <w:lang w:val="es-419"/>
        </w:rPr>
        <w:t>¿Qué implicación tiene esto?</w:t>
      </w:r>
    </w:p>
  </w:comment>
  <w:comment w:id="17" w:author="Autor" w:initials="A">
    <w:p w14:paraId="7EC1E5E4" w14:textId="77777777" w:rsidR="005B1093" w:rsidRDefault="005B1093" w:rsidP="005B1093">
      <w:pPr>
        <w:pStyle w:val="Textocomentario"/>
      </w:pPr>
      <w:r>
        <w:rPr>
          <w:rStyle w:val="Refdecomentario"/>
        </w:rPr>
        <w:annotationRef/>
      </w:r>
      <w:r>
        <w:rPr>
          <w:lang w:val="es-419"/>
        </w:rPr>
        <w:t>Casi se dedica una cuartilla a explicar por qué se eliminó un ítem</w:t>
      </w:r>
    </w:p>
  </w:comment>
  <w:comment w:id="19" w:author="Autor" w:initials="A">
    <w:p w14:paraId="08DA5F61" w14:textId="77777777" w:rsidR="005B1093" w:rsidRDefault="005B1093" w:rsidP="005B1093">
      <w:pPr>
        <w:pStyle w:val="Textocomentario"/>
      </w:pPr>
      <w:r>
        <w:rPr>
          <w:rStyle w:val="Refdecomentario"/>
        </w:rPr>
        <w:annotationRef/>
      </w:r>
      <w:r>
        <w:rPr>
          <w:lang w:val="es-419"/>
        </w:rPr>
        <w:t>Se logro un incremento e 4 centésimas de confiabilidad a costa de la décima parte de la escala del constructo teórico, ¿Esto es lo ideal en la propuesta de una escala? ¿Cuáles son las implicaciones teóricas?</w:t>
      </w:r>
    </w:p>
  </w:comment>
  <w:comment w:id="20" w:author="Autor" w:initials="A">
    <w:p w14:paraId="4B3CB78E" w14:textId="77777777" w:rsidR="005B1093" w:rsidRDefault="005B1093" w:rsidP="005B1093">
      <w:pPr>
        <w:pStyle w:val="Textocomentario"/>
      </w:pPr>
      <w:r>
        <w:rPr>
          <w:rStyle w:val="Refdecomentario"/>
        </w:rPr>
        <w:annotationRef/>
      </w:r>
      <w:r>
        <w:rPr>
          <w:lang w:val="es-419"/>
        </w:rPr>
        <w:t>¿En qué sentido es “notable” esta mejora?</w:t>
      </w:r>
    </w:p>
  </w:comment>
  <w:comment w:id="21" w:author="Autor" w:initials="A">
    <w:p w14:paraId="2A2935B1" w14:textId="77777777" w:rsidR="005B1093" w:rsidRDefault="005B1093" w:rsidP="005B1093">
      <w:pPr>
        <w:pStyle w:val="Textocomentario"/>
      </w:pPr>
      <w:r>
        <w:rPr>
          <w:rStyle w:val="Refdecomentario"/>
        </w:rPr>
        <w:annotationRef/>
      </w:r>
      <w:r>
        <w:rPr>
          <w:lang w:val="es-419"/>
        </w:rPr>
        <w:t>Dado que se elimina un ítem, ¿en qué forma representa mejor el constructo?</w:t>
      </w:r>
    </w:p>
  </w:comment>
  <w:comment w:id="22" w:author="Autor" w:initials="A">
    <w:p w14:paraId="6CC51EDC" w14:textId="77777777" w:rsidR="005B1093" w:rsidRDefault="005B1093" w:rsidP="005B1093">
      <w:pPr>
        <w:pStyle w:val="Textocomentario"/>
      </w:pPr>
      <w:r>
        <w:rPr>
          <w:rStyle w:val="Refdecomentario"/>
        </w:rPr>
        <w:annotationRef/>
      </w:r>
      <w:r>
        <w:rPr>
          <w:lang w:val="es-419"/>
        </w:rPr>
        <w:t>Como se refirió, seria valioso conocer los resultados de las otras escalas, incluyendo, por ejemplo, sus medias.</w:t>
      </w:r>
    </w:p>
  </w:comment>
  <w:comment w:id="23" w:author="Autor" w:initials="A">
    <w:p w14:paraId="578FE32B" w14:textId="77777777" w:rsidR="005B1093" w:rsidRDefault="005B1093" w:rsidP="005B1093">
      <w:pPr>
        <w:pStyle w:val="Textocomentario"/>
      </w:pPr>
      <w:r>
        <w:rPr>
          <w:rStyle w:val="Refdecomentario"/>
        </w:rPr>
        <w:annotationRef/>
      </w:r>
      <w:r>
        <w:rPr>
          <w:lang w:val="es-419"/>
        </w:rPr>
        <w:t>¿Esto se deriva de los análisis realizados?</w:t>
      </w:r>
    </w:p>
  </w:comment>
  <w:comment w:id="24" w:author="Autor" w:initials="A">
    <w:p w14:paraId="0CFB41CE" w14:textId="77777777" w:rsidR="005B1093" w:rsidRDefault="005B1093" w:rsidP="005B1093">
      <w:pPr>
        <w:pStyle w:val="Textocomentario"/>
      </w:pPr>
      <w:r>
        <w:rPr>
          <w:rStyle w:val="Refdecomentario"/>
        </w:rPr>
        <w:annotationRef/>
      </w:r>
      <w:r>
        <w:rPr>
          <w:lang w:val="es-419"/>
        </w:rPr>
        <w:t>¿De las correlaciones se desprende causalidad?</w:t>
      </w:r>
    </w:p>
  </w:comment>
  <w:comment w:id="25" w:author="Autor" w:initials="A">
    <w:p w14:paraId="2B224A1A" w14:textId="77777777" w:rsidR="005B1093" w:rsidRDefault="005B1093" w:rsidP="005B1093">
      <w:pPr>
        <w:pStyle w:val="Textocomentario"/>
      </w:pPr>
      <w:r>
        <w:rPr>
          <w:rStyle w:val="Refdecomentario"/>
        </w:rPr>
        <w:annotationRef/>
      </w:r>
      <w:r>
        <w:rPr>
          <w:lang w:val="es-419"/>
        </w:rPr>
        <w:t>No referido previamente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54A4AC" w15:done="0"/>
  <w15:commentEx w15:paraId="17A2C973" w15:done="0"/>
  <w15:commentEx w15:paraId="56D0C14A" w15:done="0"/>
  <w15:commentEx w15:paraId="43D38914" w15:done="0"/>
  <w15:commentEx w15:paraId="38AC8049" w15:done="0"/>
  <w15:commentEx w15:paraId="220BA373" w15:done="0"/>
  <w15:commentEx w15:paraId="24C94884" w15:done="0"/>
  <w15:commentEx w15:paraId="54127885" w15:done="0"/>
  <w15:commentEx w15:paraId="5BAFE778" w15:done="0"/>
  <w15:commentEx w15:paraId="7760E14C" w15:done="0"/>
  <w15:commentEx w15:paraId="33569707" w15:done="0"/>
  <w15:commentEx w15:paraId="2E0DBB9F" w15:done="0"/>
  <w15:commentEx w15:paraId="1AFCE7D1" w15:done="0"/>
  <w15:commentEx w15:paraId="193913D2" w15:done="0"/>
  <w15:commentEx w15:paraId="6D7FEBAC" w15:paraIdParent="193913D2" w15:done="0"/>
  <w15:commentEx w15:paraId="76A6F29B" w15:done="0"/>
  <w15:commentEx w15:paraId="38A80215" w15:done="0"/>
  <w15:commentEx w15:paraId="7EC1E5E4" w15:done="0"/>
  <w15:commentEx w15:paraId="08DA5F61" w15:done="0"/>
  <w15:commentEx w15:paraId="4B3CB78E" w15:done="0"/>
  <w15:commentEx w15:paraId="2A2935B1" w15:done="0"/>
  <w15:commentEx w15:paraId="6CC51EDC" w15:done="0"/>
  <w15:commentEx w15:paraId="578FE32B" w15:done="0"/>
  <w15:commentEx w15:paraId="0CFB41CE" w15:done="0"/>
  <w15:commentEx w15:paraId="2B224A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54A4AC" w16cid:durableId="492C7D37"/>
  <w16cid:commentId w16cid:paraId="17A2C973" w16cid:durableId="0CE31544"/>
  <w16cid:commentId w16cid:paraId="56D0C14A" w16cid:durableId="6CBEA17A"/>
  <w16cid:commentId w16cid:paraId="43D38914" w16cid:durableId="0123EE12"/>
  <w16cid:commentId w16cid:paraId="38AC8049" w16cid:durableId="7D85735E"/>
  <w16cid:commentId w16cid:paraId="220BA373" w16cid:durableId="3C7E4F49"/>
  <w16cid:commentId w16cid:paraId="24C94884" w16cid:durableId="08096E4B"/>
  <w16cid:commentId w16cid:paraId="54127885" w16cid:durableId="39DC1AB5"/>
  <w16cid:commentId w16cid:paraId="5BAFE778" w16cid:durableId="3A318C3D"/>
  <w16cid:commentId w16cid:paraId="7760E14C" w16cid:durableId="0BDF73ED"/>
  <w16cid:commentId w16cid:paraId="33569707" w16cid:durableId="6D417F1A"/>
  <w16cid:commentId w16cid:paraId="2E0DBB9F" w16cid:durableId="1FD30E0A"/>
  <w16cid:commentId w16cid:paraId="1AFCE7D1" w16cid:durableId="6586AFD7"/>
  <w16cid:commentId w16cid:paraId="193913D2" w16cid:durableId="305BE220"/>
  <w16cid:commentId w16cid:paraId="6D7FEBAC" w16cid:durableId="38679480"/>
  <w16cid:commentId w16cid:paraId="76A6F29B" w16cid:durableId="147856FD"/>
  <w16cid:commentId w16cid:paraId="38A80215" w16cid:durableId="2A1A96AD"/>
  <w16cid:commentId w16cid:paraId="7EC1E5E4" w16cid:durableId="68885F14"/>
  <w16cid:commentId w16cid:paraId="08DA5F61" w16cid:durableId="157D9FAF"/>
  <w16cid:commentId w16cid:paraId="4B3CB78E" w16cid:durableId="2BBF1EE1"/>
  <w16cid:commentId w16cid:paraId="2A2935B1" w16cid:durableId="09A4492D"/>
  <w16cid:commentId w16cid:paraId="6CC51EDC" w16cid:durableId="301C5B5D"/>
  <w16cid:commentId w16cid:paraId="578FE32B" w16cid:durableId="5A05EDB6"/>
  <w16cid:commentId w16cid:paraId="0CFB41CE" w16cid:durableId="4B513796"/>
  <w16cid:commentId w16cid:paraId="2B224A1A" w16cid:durableId="12875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132AF" w14:textId="77777777" w:rsidR="00E7747B" w:rsidRDefault="00E7747B" w:rsidP="00D21A24">
      <w:pPr>
        <w:spacing w:after="0" w:line="240" w:lineRule="auto"/>
      </w:pPr>
      <w:r>
        <w:separator/>
      </w:r>
    </w:p>
  </w:endnote>
  <w:endnote w:type="continuationSeparator" w:id="0">
    <w:p w14:paraId="7BEF3CA9" w14:textId="77777777" w:rsidR="00E7747B" w:rsidRDefault="00E7747B" w:rsidP="00D2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B408" w14:textId="77777777" w:rsidR="00E7747B" w:rsidRDefault="00E7747B" w:rsidP="00D21A24">
      <w:pPr>
        <w:spacing w:after="0" w:line="240" w:lineRule="auto"/>
      </w:pPr>
      <w:r>
        <w:separator/>
      </w:r>
    </w:p>
  </w:footnote>
  <w:footnote w:type="continuationSeparator" w:id="0">
    <w:p w14:paraId="576119D1" w14:textId="77777777" w:rsidR="00E7747B" w:rsidRDefault="00E7747B" w:rsidP="00D21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318BE"/>
    <w:multiLevelType w:val="multilevel"/>
    <w:tmpl w:val="D4F208F8"/>
    <w:lvl w:ilvl="0">
      <w:start w:val="1"/>
      <w:numFmt w:val="bullet"/>
      <w:lvlText w:val="–"/>
      <w:lvlJc w:val="left"/>
      <w:pPr>
        <w:tabs>
          <w:tab w:val="num" w:pos="720"/>
        </w:tabs>
        <w:ind w:left="720" w:hanging="360"/>
      </w:pPr>
      <w:rPr>
        <w:rFonts w:ascii="Century Schoolbook" w:hAnsi="Century Schoolbook"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11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NotDisplayPageBoundarie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3tjAzNTCyNDUzNzRV0lEKTi0uzszPAymwqAUA0EeTVSwAAAA="/>
  </w:docVars>
  <w:rsids>
    <w:rsidRoot w:val="003627BD"/>
    <w:rsid w:val="00007609"/>
    <w:rsid w:val="00027F95"/>
    <w:rsid w:val="00064E8C"/>
    <w:rsid w:val="0007437B"/>
    <w:rsid w:val="00133CE1"/>
    <w:rsid w:val="00135DF9"/>
    <w:rsid w:val="001579CD"/>
    <w:rsid w:val="00170D7C"/>
    <w:rsid w:val="001759B5"/>
    <w:rsid w:val="00175AE3"/>
    <w:rsid w:val="0018531C"/>
    <w:rsid w:val="00196635"/>
    <w:rsid w:val="001D1A0E"/>
    <w:rsid w:val="002228D6"/>
    <w:rsid w:val="002432D9"/>
    <w:rsid w:val="0028290C"/>
    <w:rsid w:val="00293885"/>
    <w:rsid w:val="002E244A"/>
    <w:rsid w:val="00300781"/>
    <w:rsid w:val="00332399"/>
    <w:rsid w:val="00343023"/>
    <w:rsid w:val="003627BD"/>
    <w:rsid w:val="00387849"/>
    <w:rsid w:val="0039277A"/>
    <w:rsid w:val="00396512"/>
    <w:rsid w:val="003B1D71"/>
    <w:rsid w:val="003D635C"/>
    <w:rsid w:val="003E27A8"/>
    <w:rsid w:val="003F2F0C"/>
    <w:rsid w:val="003F7014"/>
    <w:rsid w:val="00401952"/>
    <w:rsid w:val="00461F92"/>
    <w:rsid w:val="004A1484"/>
    <w:rsid w:val="004B66F8"/>
    <w:rsid w:val="00511BA4"/>
    <w:rsid w:val="00542052"/>
    <w:rsid w:val="00547AC0"/>
    <w:rsid w:val="00552FA6"/>
    <w:rsid w:val="005979B6"/>
    <w:rsid w:val="005B1093"/>
    <w:rsid w:val="005C48C4"/>
    <w:rsid w:val="005E3001"/>
    <w:rsid w:val="005E4FA8"/>
    <w:rsid w:val="005E51F0"/>
    <w:rsid w:val="005F3284"/>
    <w:rsid w:val="00663A58"/>
    <w:rsid w:val="006755E3"/>
    <w:rsid w:val="006D64A7"/>
    <w:rsid w:val="00710B7E"/>
    <w:rsid w:val="007178DC"/>
    <w:rsid w:val="007276FA"/>
    <w:rsid w:val="00732497"/>
    <w:rsid w:val="0075309D"/>
    <w:rsid w:val="00756947"/>
    <w:rsid w:val="0077328A"/>
    <w:rsid w:val="00784091"/>
    <w:rsid w:val="00784E77"/>
    <w:rsid w:val="007F11D0"/>
    <w:rsid w:val="008800C5"/>
    <w:rsid w:val="008C2725"/>
    <w:rsid w:val="008D420E"/>
    <w:rsid w:val="008D5C6E"/>
    <w:rsid w:val="008E0EF1"/>
    <w:rsid w:val="008F4C87"/>
    <w:rsid w:val="0090789E"/>
    <w:rsid w:val="0092019E"/>
    <w:rsid w:val="00936104"/>
    <w:rsid w:val="009822B1"/>
    <w:rsid w:val="009846AA"/>
    <w:rsid w:val="009D05D4"/>
    <w:rsid w:val="00A061A5"/>
    <w:rsid w:val="00A0664F"/>
    <w:rsid w:val="00A073FC"/>
    <w:rsid w:val="00A157E4"/>
    <w:rsid w:val="00A30A11"/>
    <w:rsid w:val="00A344A3"/>
    <w:rsid w:val="00A97081"/>
    <w:rsid w:val="00AB548B"/>
    <w:rsid w:val="00AC1596"/>
    <w:rsid w:val="00AE0AB3"/>
    <w:rsid w:val="00B07969"/>
    <w:rsid w:val="00B24A84"/>
    <w:rsid w:val="00B2633C"/>
    <w:rsid w:val="00B34DB0"/>
    <w:rsid w:val="00B4652D"/>
    <w:rsid w:val="00B64394"/>
    <w:rsid w:val="00B969BB"/>
    <w:rsid w:val="00BA2927"/>
    <w:rsid w:val="00BB78E9"/>
    <w:rsid w:val="00C01033"/>
    <w:rsid w:val="00C021B4"/>
    <w:rsid w:val="00C06401"/>
    <w:rsid w:val="00C3728D"/>
    <w:rsid w:val="00C436CA"/>
    <w:rsid w:val="00C675B6"/>
    <w:rsid w:val="00C96055"/>
    <w:rsid w:val="00CA1F43"/>
    <w:rsid w:val="00CA6540"/>
    <w:rsid w:val="00CB545F"/>
    <w:rsid w:val="00CB57A8"/>
    <w:rsid w:val="00CD0FEF"/>
    <w:rsid w:val="00CE2A3D"/>
    <w:rsid w:val="00D03C76"/>
    <w:rsid w:val="00D10D01"/>
    <w:rsid w:val="00D21A24"/>
    <w:rsid w:val="00D31846"/>
    <w:rsid w:val="00D37CF0"/>
    <w:rsid w:val="00D41D7D"/>
    <w:rsid w:val="00D47EB5"/>
    <w:rsid w:val="00D57FC9"/>
    <w:rsid w:val="00D73EE4"/>
    <w:rsid w:val="00E10217"/>
    <w:rsid w:val="00E14941"/>
    <w:rsid w:val="00E23DFF"/>
    <w:rsid w:val="00E5212F"/>
    <w:rsid w:val="00E57815"/>
    <w:rsid w:val="00E737AB"/>
    <w:rsid w:val="00E7747B"/>
    <w:rsid w:val="00E8047A"/>
    <w:rsid w:val="00EA4EAD"/>
    <w:rsid w:val="00EB62A0"/>
    <w:rsid w:val="00EC4ACD"/>
    <w:rsid w:val="00ED358E"/>
    <w:rsid w:val="00F63328"/>
    <w:rsid w:val="00F927CC"/>
    <w:rsid w:val="00FC2F63"/>
    <w:rsid w:val="00FC681D"/>
    <w:rsid w:val="00FF1570"/>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F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3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3C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3C76"/>
    <w:rPr>
      <w:rFonts w:ascii="Segoe UI" w:hAnsi="Segoe UI" w:cs="Segoe UI"/>
      <w:sz w:val="18"/>
      <w:szCs w:val="18"/>
    </w:rPr>
  </w:style>
  <w:style w:type="paragraph" w:styleId="Encabezado">
    <w:name w:val="header"/>
    <w:basedOn w:val="Normal"/>
    <w:link w:val="EncabezadoCar"/>
    <w:uiPriority w:val="99"/>
    <w:unhideWhenUsed/>
    <w:rsid w:val="00D21A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A24"/>
  </w:style>
  <w:style w:type="paragraph" w:styleId="Piedepgina">
    <w:name w:val="footer"/>
    <w:basedOn w:val="Normal"/>
    <w:link w:val="PiedepginaCar"/>
    <w:uiPriority w:val="99"/>
    <w:unhideWhenUsed/>
    <w:rsid w:val="00D21A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A24"/>
  </w:style>
  <w:style w:type="character" w:styleId="Refdecomentario">
    <w:name w:val="annotation reference"/>
    <w:basedOn w:val="Fuentedeprrafopredeter"/>
    <w:uiPriority w:val="99"/>
    <w:semiHidden/>
    <w:unhideWhenUsed/>
    <w:rsid w:val="00EB62A0"/>
    <w:rPr>
      <w:sz w:val="16"/>
      <w:szCs w:val="16"/>
    </w:rPr>
  </w:style>
  <w:style w:type="paragraph" w:styleId="Textocomentario">
    <w:name w:val="annotation text"/>
    <w:basedOn w:val="Normal"/>
    <w:link w:val="TextocomentarioCar"/>
    <w:uiPriority w:val="99"/>
    <w:unhideWhenUsed/>
    <w:rsid w:val="00EB62A0"/>
    <w:pPr>
      <w:spacing w:line="240" w:lineRule="auto"/>
    </w:pPr>
    <w:rPr>
      <w:sz w:val="20"/>
      <w:szCs w:val="20"/>
    </w:rPr>
  </w:style>
  <w:style w:type="character" w:customStyle="1" w:styleId="TextocomentarioCar">
    <w:name w:val="Texto comentario Car"/>
    <w:basedOn w:val="Fuentedeprrafopredeter"/>
    <w:link w:val="Textocomentario"/>
    <w:uiPriority w:val="99"/>
    <w:rsid w:val="00EB62A0"/>
    <w:rPr>
      <w:sz w:val="20"/>
      <w:szCs w:val="20"/>
    </w:rPr>
  </w:style>
  <w:style w:type="paragraph" w:styleId="Asuntodelcomentario">
    <w:name w:val="annotation subject"/>
    <w:basedOn w:val="Textocomentario"/>
    <w:next w:val="Textocomentario"/>
    <w:link w:val="AsuntodelcomentarioCar"/>
    <w:uiPriority w:val="99"/>
    <w:semiHidden/>
    <w:unhideWhenUsed/>
    <w:rsid w:val="00EB62A0"/>
    <w:rPr>
      <w:b/>
      <w:bCs/>
    </w:rPr>
  </w:style>
  <w:style w:type="character" w:customStyle="1" w:styleId="AsuntodelcomentarioCar">
    <w:name w:val="Asunto del comentario Car"/>
    <w:basedOn w:val="TextocomentarioCar"/>
    <w:link w:val="Asuntodelcomentario"/>
    <w:uiPriority w:val="99"/>
    <w:semiHidden/>
    <w:rsid w:val="00EB62A0"/>
    <w:rPr>
      <w:b/>
      <w:bCs/>
      <w:sz w:val="20"/>
      <w:szCs w:val="20"/>
    </w:rPr>
  </w:style>
  <w:style w:type="character" w:styleId="Textoennegrita">
    <w:name w:val="Strong"/>
    <w:qFormat/>
    <w:rsid w:val="00B07969"/>
    <w:rPr>
      <w:b/>
      <w:bCs/>
    </w:rPr>
  </w:style>
  <w:style w:type="paragraph" w:styleId="Textoindependiente">
    <w:name w:val="Body Text"/>
    <w:basedOn w:val="Normal"/>
    <w:link w:val="TextoindependienteCar"/>
    <w:rsid w:val="003F7014"/>
    <w:pPr>
      <w:tabs>
        <w:tab w:val="right" w:pos="8640"/>
      </w:tabs>
      <w:spacing w:after="0" w:line="480" w:lineRule="auto"/>
      <w:ind w:firstLine="720"/>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rsid w:val="003F7014"/>
    <w:rPr>
      <w:rFonts w:ascii="Times New Roman" w:eastAsia="Times New Roman" w:hAnsi="Times New Roman" w:cs="Times New Roman"/>
      <w:sz w:val="24"/>
      <w:szCs w:val="24"/>
      <w:lang w:val="en-US"/>
    </w:rPr>
  </w:style>
  <w:style w:type="character" w:customStyle="1" w:styleId="FigureCaptionLabelChar">
    <w:name w:val="Figure Caption Label Char"/>
    <w:rsid w:val="003F7014"/>
    <w:rPr>
      <w:rFonts w:ascii="Garamond" w:hAnsi="Garamond"/>
      <w:i/>
      <w:sz w:val="24"/>
      <w:szCs w:val="24"/>
      <w:lang w:val="en-US" w:eastAsia="en-US" w:bidi="ar-SA"/>
    </w:rPr>
  </w:style>
  <w:style w:type="character" w:styleId="Hipervnculo">
    <w:name w:val="Hyperlink"/>
    <w:basedOn w:val="Fuentedeprrafopredeter"/>
    <w:uiPriority w:val="99"/>
    <w:unhideWhenUsed/>
    <w:rsid w:val="001D1A0E"/>
    <w:rPr>
      <w:color w:val="0563C1" w:themeColor="hyperlink"/>
      <w:u w:val="single"/>
    </w:rPr>
  </w:style>
  <w:style w:type="paragraph" w:styleId="Revisin">
    <w:name w:val="Revision"/>
    <w:hidden/>
    <w:uiPriority w:val="99"/>
    <w:semiHidden/>
    <w:rsid w:val="006D64A7"/>
    <w:pPr>
      <w:spacing w:after="0" w:line="240" w:lineRule="auto"/>
    </w:pPr>
  </w:style>
  <w:style w:type="paragraph" w:styleId="Prrafodelista">
    <w:name w:val="List Paragraph"/>
    <w:basedOn w:val="Normal"/>
    <w:uiPriority w:val="34"/>
    <w:qFormat/>
    <w:rsid w:val="00D47EB5"/>
    <w:pPr>
      <w:ind w:left="720"/>
      <w:contextualSpacing/>
    </w:pPr>
  </w:style>
  <w:style w:type="table" w:styleId="Tablaconcuadrcula">
    <w:name w:val="Table Grid"/>
    <w:basedOn w:val="Tablanormal"/>
    <w:uiPriority w:val="39"/>
    <w:rsid w:val="00A97081"/>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50266-1105-4B04-B71D-C9705C77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5652</Words>
  <Characters>31088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2024-10-01T16:13:00Z</dcterms:created>
  <dcterms:modified xsi:type="dcterms:W3CDTF">2025-09-29T17:41:00Z</dcterms:modified>
</cp:coreProperties>
</file>