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F40F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Prezada Editora da Revista Interamericana de Psicologia</w:t>
      </w:r>
    </w:p>
    <w:p w14:paraId="00000002" w14:textId="77777777" w:rsidR="007F40F0" w:rsidRDefault="007F40F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7F40F0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Primeiramente, agradecemos aos pareceristas pelo criterioso trabalho de revisão do manuscrito e as consequentes sugestões para melhoria do mesmo. Sem dúvida, que o relato ficou mais enriquecido com as inclusões e as reformulações que foram realizadas. Todas as ideias foram acatadas e incorporadas ao manuscrito. </w:t>
      </w:r>
    </w:p>
    <w:p w14:paraId="00000004" w14:textId="77777777" w:rsidR="007F40F0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parecer enviado está organizado em cinco tópicos: resumo, introdução, método, discussão e conclusão. Em conformidade com as normas estabelecidas pela revista e com o modelo disponibilizado nas diretrizes para submissão, a seção “Conclusão” deve ser apresentada em conjunto com a seção “Discussão”. Por conseguinte, as seções de discussão e conclusão do manuscrito, foram devolvidas reunidas, uma vez que a discussão considera a conclusão. </w:t>
      </w:r>
    </w:p>
    <w:p w14:paraId="00000005" w14:textId="4A1C80EC" w:rsidR="007F40F0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Conforme orientação, as alterações/inclusões foram assinaladas no manuscrito utilizando a fonte de cor azul. Ademais, os trechos na fonte azul com realce na cor amarela reportam-se à contribuição dos resultados da revisão, em conformidade com o pedido da </w:t>
      </w:r>
      <w:r w:rsidR="00834E14">
        <w:rPr>
          <w:rFonts w:ascii="Times New Roman" w:eastAsia="Times New Roman" w:hAnsi="Times New Roman" w:cs="Times New Roman"/>
          <w:sz w:val="24"/>
          <w:szCs w:val="24"/>
        </w:rPr>
        <w:t>editora, expresso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e-mail enviado. Em consequência das alterações efetuadas, o resumo 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abstract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foram atualizados. </w:t>
      </w:r>
    </w:p>
    <w:p w14:paraId="00000006" w14:textId="77777777" w:rsidR="007F40F0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Durante a revisão do manuscrito, os autores identificaram um equívoco, sendo necessário reformulação. Procedeu-se a alguns ajustes com vista à adequação da norma culta da língua portuguesa. Para facilitar, primeiro, vamos abordar os comentários do parecerista e os referentes ajustes, na ordem em que foram feitos. Em seguida, será apresentada a reformulação realizada pelos autores.</w:t>
      </w:r>
    </w:p>
    <w:p w14:paraId="00000007" w14:textId="77777777" w:rsidR="007F40F0" w:rsidRDefault="007F40F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7F40F0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O texto, entretanto, não apresenta uma leitura fluida, pois cada uma das partes (Método, Resultados)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foi descrita literalmente, o que fragmentou a estrutura do resumo. Recomenda-se que os autores integrem essas seções em um texto corrido, seguindo o formato tradicional. Além disso, observa-se que o objetivo do estudo é analisar as propriedades psicométricas das medidas utilizadas. Contudo, antes de analisar, não seria necessário identificar quais medidas foram empregadas? Nesse sentido, sugiro que o objetivo seja reformulado para: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identificar e analisar as propriedades psicométricas das medidas utilizadas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7F40F0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Outro ponto é que, embora o objetivo seja avaliar as propriedades psicométricas, os resultados descritos não apresentam dados específicos sobre essas propriedades, apenas indicam que foram encontradas fragilidades. Além disso, a conclusão faz uma síntese que se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aproxima mais de uma interpretação do fenômeno do que de uma conclusão ancorada nos resultados. Recomenda-se que os autores finalizem o resumo com uma ou duas frases que explicitem para quem os achados são úteis e como podem orientar ações concretas — por exemplo, subsidiando a criação ou adaptação de instrumentos mais robustos ou inspirando estratégias de engajamento paterno em políticas públicas.</w:t>
      </w:r>
    </w:p>
    <w:p w14:paraId="0000000A" w14:textId="77777777" w:rsidR="007F40F0" w:rsidRDefault="007F40F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7F40F0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0000000D" w14:textId="0DDBAD9F" w:rsidR="007F40F0" w:rsidRDefault="00834E1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Pesquisas destacam a importância da participação paterna e suas implicações para a prática do aleitamento.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Esta revisão sistemática objetiva identificar e analisar as propriedades psicométricas de instrumentos que avaliam esse contexto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Para tal, foi realizada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buscas em dez bases de dados, sem restrições de idioma ou período,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sendo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criado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 método de extração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para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avaliar a qualidade psicométrica dos estudos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selecionados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Foram encontrados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4.542 registros,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dos quais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 estudos atenderam aos critérios de elegibilidade.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Foram observadas fragilidades psicométricas na maioria dos estudos selecionados, especialmente relacionadas à definição dos construtos medidos pelos instrumentos. Destacam-se o papel dos aspectos psicoafetivos e cognitivos na compreensão da participação paterna no aleitamento materno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fundamental para o desenvolvimento do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filho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Os achados apontam para a relevância de elaboração de políticas públicas e programas de apoio que promovam o envolvimento paterno no contexto do exercício da parentalidade. A implementação do método de extração de dados psicométricos utilizado nesta revisão mostrou-se um recurso útil para subsidiar o desenvolvimento e a adaptação de instrumentos psicológicos.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Esta revisão aprofundou o conhecimento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acerca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instrumentos que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avaliam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participação paterna no aleitamento materno, enriquecendo o entendimento sobre o pai nesse processo vital do desenvolvimento humano. </w:t>
      </w:r>
    </w:p>
    <w:p w14:paraId="49E38659" w14:textId="77777777" w:rsidR="00834E14" w:rsidRDefault="00834E1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7F40F0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</w:p>
    <w:p w14:paraId="0000000F" w14:textId="77777777" w:rsidR="007F40F0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introdução está bem escrita, com referências atuais e coerentes com o tema. Entretanto, para aumentar a robustez e a conexão dos argumentos, recomenda-se inserir estudos, nacionais ou internacionais, que apresentem dados que reforcem a relevância do papel paterno no aleitamento materno.</w:t>
      </w:r>
    </w:p>
    <w:p w14:paraId="00000010" w14:textId="77777777" w:rsidR="007F40F0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transição entre a discussão da importância do pai no aleitamento materno e a existência de instrumentos que avaliam essa relação ocorre de forma muito rápida, sem a devida contextualização. Sugere-se que os autores desenvolvam uma linha de raciocínio mais clara,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que conduza o leitor a entender que a figura paterna é relevante, que é necessário mensurar essa participação de forma válida e, a partir daí, apresentar os instrumentos disponíveis.</w:t>
      </w:r>
    </w:p>
    <w:p w14:paraId="00000011" w14:textId="77777777" w:rsidR="007F40F0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disso, cabe questionar o que se entende por “avaliar psicometricamente”. O correto não seria identificar os instrumentos existentes e avaliar suas propriedades psicométricas? As informações sobre desenvolvimento e adaptação de instrumentos também aparecem de forma deslocada. Seria mais adequado afunilar os argumentos até chegar à necessidade de instrumentos específicos para mensurar o papel do pai no aleitamento materno.</w:t>
      </w:r>
    </w:p>
    <w:p w14:paraId="00000012" w14:textId="77777777" w:rsidR="007F40F0" w:rsidRDefault="00000000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00000013" w14:textId="77777777" w:rsidR="007F40F0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4316AD69" w14:textId="77777777" w:rsidR="00834E14" w:rsidRDefault="00834E14" w:rsidP="00834E14">
      <w:pPr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Tradicionalmente, havia uma ênfase do papel do pai como o provedor da família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Barbeta-Viñas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Cano, 2017). Essa visão vem sendo substituída, contemporaneamente, pelo envolvimento paterno em tarefas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cotidianas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como a de dar banho, vestir e aconchegar o bebê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indicando a importância desse envolvimento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no processo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suporte emocional que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pode ser oferecido tanto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bebê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quanto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mãe (Atkinson et al., 2021).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Estudos sobre a parentalidade reforçam que os papéis de pais e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mães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se diferenciam e se complementam nos cuidados dos filhos. Os homens-pais têm uma perspectiva particular ao experienciar o aleitamento (Canton et al., 2022) e na interação com seus filhos (Bueno et al., 2015), a qual pode ocorrer desde o período gestacional ou após o nascimento.</w:t>
      </w:r>
    </w:p>
    <w:p w14:paraId="58076E28" w14:textId="77777777" w:rsidR="00834E14" w:rsidRDefault="00834E14" w:rsidP="00834E14">
      <w:pPr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Estudos sugerem que, para as mulheres,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a presença paterna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fundamental na manutenção do AM, pois oferece suporte emocional e social (Dessen &amp; Braz, 2000;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Ouyang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2021). O envolvimento paterno parece facilitar tanto o início quanto a continuidade do aleitamento no pós-parto imediato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Ogbo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2020).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A recente revisão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metassíntese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qualitativa de Alvarenga et al. (2025) indica que a forma como o pai lida com a prática da amamentação pode influenciar o processo decisório de continuar ou interromper o aleitamento. Esse processo envolve os aspectos psicológicos, emocionais e socioculturais no relacionamento entre o pai, a mãe e bebê durante o período do aleitamento materno. Portanto, o pai desempenha um papel relevante na escolha da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alimentação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infantil 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Shaker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et al., 2004). </w:t>
      </w:r>
    </w:p>
    <w:p w14:paraId="3019ECA5" w14:textId="77777777" w:rsidR="00834E14" w:rsidRDefault="00834E14" w:rsidP="00834E14">
      <w:pPr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Considerando que a literatura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aponta o pai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como uma figura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importante no AM e que já existem instrumentos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voltados à mensuração dessa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participação, a presente revisão sistemática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visa identificar os instrumentos existentes e avaliar suas propriedades psicométricas.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desenvolvimento e a adaptação de instrumentos seguem três etapas principais: a fase teórica, que fundamenta a operacionalização do construto em itens; a fase empírica, que abrange o desenvolvimento do instrumento piloto e a coleta de dados para avaliar sua qualidade psicométrica; e a fase analítica, que busca evidências de validade do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instrumento (Pasquali, 2010).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Essas diretrizes subsidiaram a criação de um método para extração e análise das evidências de validade e fidedignidade em artigos publicados em periódicos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white"/>
        </w:rPr>
        <w:t>nacionais e internacionais.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6D982FEF" w14:textId="77777777" w:rsidR="00834E14" w:rsidRDefault="00834E14" w:rsidP="00834E14">
      <w:pPr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</w:rPr>
        <w:t>Esta revisão de literatura oferece duas contribuições principais para a ciência: (i) a identificação de lacunas relevantes na produção científica sobre o envolvimento paterno no processo de aleitamento; e 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</w:rPr>
        <w:t>ii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</w:rPr>
        <w:t>) o desenvolvimento de um método de análise que pode subsidiar tanto a elaboração quanto a adaptação transcultural de instrumentos psicológicos, com o devido rigor metodológico, contribuindo para a qualificação dos relatos em pesquisas quantitativas. Além disso, os achados desta revisão podem estimular o desenvolvimento de novos estudos relacionados à temática, ampliando a compreensão e a produção científica nesse campo.</w:t>
      </w:r>
    </w:p>
    <w:p w14:paraId="00000018" w14:textId="77777777" w:rsidR="007F40F0" w:rsidRDefault="007F40F0">
      <w:pPr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</w:rPr>
      </w:pPr>
    </w:p>
    <w:p w14:paraId="00000019" w14:textId="77777777" w:rsidR="007F40F0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Método: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Em relação ao método, surgiu uma dúvida quanto aos critérios de exclusão: foi mencionado que amostras compostas por casais (pai e mãe), gestantes e mães foram excluídas. Entretanto, nos resultados, aparecem dados de participantes casados, futuros pais, pais de primeira viagem e pais com filhos anteriores. Recomenda-se esclarecer melhor esses critérios e como se aplicam na prática.</w:t>
      </w:r>
    </w:p>
    <w:p w14:paraId="0000001A" w14:textId="77777777" w:rsidR="007F40F0" w:rsidRDefault="00000000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Método</w:t>
      </w:r>
    </w:p>
    <w:p w14:paraId="0000001B" w14:textId="77777777" w:rsidR="007F40F0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Critérios de elegibilidade e exclusão</w:t>
      </w:r>
    </w:p>
    <w:p w14:paraId="77FDCB11" w14:textId="77777777" w:rsidR="00834E14" w:rsidRDefault="00834E14" w:rsidP="00834E14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Foram incluídas publicações de acesso gratuito e virtual que relataram o uso de medidas psicométricas no contexto do aleitamento com pais-homens. Considerando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o objetivo desta revisão, no processo de seleção dos estudos de interesse, optou-se pela exclusão daqueles que, embora contemplassem casais, não detalhavam os desfechos em relação à mãe e ao pai separadamente. Além disso, foram excluídos os estudos que contemplaram somente gestantes e mães, uma vez que o foco desta revisão é a avaliação da participação paterna no processo de aleitamento. Também foram excluídas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revisões de literatura, pesquisas exclusivamente com o uso do método qualitativo, registros em duplicidade entre bases e erratas.</w:t>
      </w:r>
    </w:p>
    <w:p w14:paraId="0000001D" w14:textId="77777777" w:rsidR="007F40F0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</w:t>
      </w:r>
    </w:p>
    <w:p w14:paraId="0000001E" w14:textId="77777777" w:rsidR="007F40F0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…</w:t>
      </w:r>
    </w:p>
    <w:p w14:paraId="0000001F" w14:textId="7A50D290" w:rsidR="007F40F0" w:rsidRDefault="00834E14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Quanto aos dados sociodemográficos dos doze estudos selecionados destacam-se: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a)  predominância de amostra com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estado civil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casado, com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idade igual ou superior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 anos. Ressalta-se que o estudo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Kucukoglu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 (2023) não informou dados sobre 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relacionamento conjugal (Tabela 2); b)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oito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estudos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abordaram a paridade do pai, ou seja,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primíparos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pais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filhos anteriores e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futuros pais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(Atkinson et al., 2021;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Escribano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2023; Franco &amp; Gonçalves, 2014a, 2014b;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Freed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Fraley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et al., 1992;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Kucukoglu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2023;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Taşpinar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al., 2013); c)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Especificamente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Dennis et al. (2018) reporta que a amostra de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primíparos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utilizada foi considerada do estudo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Abbass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-Dick et al. (2015); </w:t>
      </w:r>
      <w:r w:rsidR="00000000">
        <w:rPr>
          <w:rFonts w:ascii="Times New Roman" w:eastAsia="Times New Roman" w:hAnsi="Times New Roman" w:cs="Times New Roman"/>
          <w:color w:val="0000FF"/>
          <w:sz w:val="24"/>
          <w:szCs w:val="24"/>
        </w:rPr>
        <w:t>…</w:t>
      </w:r>
    </w:p>
    <w:p w14:paraId="00000020" w14:textId="77777777" w:rsidR="007F40F0" w:rsidRDefault="007F40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7F40F0" w:rsidRDefault="0000000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Discussão: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 seção de discussão apresenta pontos fortes, com uma construção fundamentada em literatura técnica sólida e atualizada. Contudo, observa-se pouca exploração das consequências práticas das fragilidades psicométricas identificadas, seja para a assistência em saúde ou para a formulação de políticas públicas que incentivem a inclusão paterna no aleitamento materno. Além disso, falta uma autocrítica consistente sobre possíveis limitações da própria revisão. Por fim, ao apontar a necessidade de mais estudos, seria interessante propor caminhos mais concretos para novas investigações, indicando, por exemplo, perfis de amostras, métodos de coleta mais diversificados ou sugestões de construtos a serem explorados.</w:t>
      </w:r>
    </w:p>
    <w:p w14:paraId="00000022" w14:textId="77777777" w:rsidR="007F40F0" w:rsidRDefault="007F40F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7F40F0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</w:p>
    <w:p w14:paraId="00000024" w14:textId="77777777" w:rsidR="007F40F0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forma geral, o estudo aborda um tema de grande relevância e apresenta potencial de contribuição significativa para a área, mas necessita de ajustes para garantir maior coerência entre objetivo, método, resultados e conclusão, além de aprofundar a discussão sobre a aplicabilidade prática dos achados.</w:t>
      </w:r>
    </w:p>
    <w:p w14:paraId="00000025" w14:textId="77777777" w:rsidR="007F40F0" w:rsidRDefault="007F40F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7F40F0" w:rsidRDefault="00000000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Discussão</w:t>
      </w:r>
    </w:p>
    <w:p w14:paraId="00000027" w14:textId="77777777" w:rsidR="007F40F0" w:rsidRDefault="00000000">
      <w:pPr>
        <w:widowControl w:val="0"/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0000028" w14:textId="6246AED2" w:rsidR="007F40F0" w:rsidRDefault="00000000">
      <w:pPr>
        <w:widowControl w:val="0"/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procedimentos adotados para construção das medidas realizadas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 (1992) evidenciaram fragilidade psicométrica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desde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aspectos teóricos até a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análise da estrutura interna, em função da réplica de dados do estudo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Freed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, Jones et al. (1992</w:t>
      </w:r>
      <w:r w:rsidR="00834E14">
        <w:rPr>
          <w:rFonts w:ascii="Times New Roman" w:eastAsia="Times New Roman" w:hAnsi="Times New Roman" w:cs="Times New Roman"/>
          <w:color w:val="0000FF"/>
          <w:sz w:val="24"/>
          <w:szCs w:val="24"/>
        </w:rPr>
        <w:t>), cuja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amostra era composta por gestantes.</w:t>
      </w:r>
    </w:p>
    <w:p w14:paraId="00000029" w14:textId="77777777" w:rsidR="007F40F0" w:rsidRDefault="00000000">
      <w:pPr>
        <w:widowControl w:val="0"/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….</w:t>
      </w:r>
    </w:p>
    <w:p w14:paraId="0000002A" w14:textId="77777777" w:rsidR="007F40F0" w:rsidRDefault="00000000">
      <w:pPr>
        <w:widowControl w:val="0"/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instrumentos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analisados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mensuraram os níveis de atitude, envolvimento, conhecimento, autoeficácia e a participação do pai no contexto do aleitamento, sugerindo que os aspectos psicoafetivos e cognitivos estão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implicados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na compreensão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paterna nesse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cenário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A existência de modelos teóricos no campo da parentalidade, especialmente aqueles que consideram o papel do pai com o foco no período do aleitamento, evidencia a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 xml:space="preserve">importância de uma abordagem multidimensional para avaliar seu envolvimento nesse processo, o qual é crucial para o desenvolvimento saudável do bebê e para o apoio à mãe. Tal abordagem demanda definições claras dos conceitos envolvidos, de modo a subsidiar a construção de medidas com qualidade psicométrica. </w:t>
      </w:r>
    </w:p>
    <w:p w14:paraId="5C0F52F8" w14:textId="77777777" w:rsidR="00967265" w:rsidRDefault="00967265" w:rsidP="00967265">
      <w:pPr>
        <w:widowControl w:val="0"/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A fragilidade psicométrica observada na maioria das medidas disponíveis pode comprometer a validade das interpretações, ao desconsiderar as especificidades dos contextos social, econômico e cultural das populações investigadas.  Ademais, tais limitações podem dificultar a adaptação transcultural dos instrumentos, bem como impactar negativamente a elaboração e a implementação de políticas públicas fundamentadas em dados empíricos (Noronha &amp; Bonfá-Araujo, 2024).</w:t>
      </w:r>
    </w:p>
    <w:p w14:paraId="1F76F44A" w14:textId="77777777" w:rsidR="00967265" w:rsidRDefault="00967265" w:rsidP="00967265">
      <w:pPr>
        <w:widowControl w:val="0"/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Constatou-se, nos elegíveis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 o uso de amostras diferentes em relação à medida original,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deve-se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evitar possíveis generalizações. Assim, recomenda-se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a realização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novas pesquisas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que investiguem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evidências de validade com amostras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de pais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nos períodos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pós-parto, em diferentes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contextos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culturais.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Observa-se,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majoritariamente, que os dados foram coletados em contexto hospitalar,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o que indica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acesso ao pai nesse ambiente é promissor. </w:t>
      </w:r>
    </w:p>
    <w:p w14:paraId="76348C70" w14:textId="77777777" w:rsidR="00967265" w:rsidRDefault="00967265" w:rsidP="00967265">
      <w:pPr>
        <w:widowControl w:val="0"/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Adicionalmente, os estudos analisados indicaram que a coabitação entre o pai e a genitora favorece a promoção do aleitamento materno. Esse resultado sugere que o processo de aleitamento não constitui responsabilidade exclusiva da mãe, mas envolve também uma dinâmica relacional entre o pai e o binômio mãe-bebê. Trata-se, portanto, de um dado relevante para orientar uma abordagem mais inclusiva nas práticas dos profissionais de saúde, incentivando e apoiando a participação ativa do pai nesse processo. Observa-se que a homogeneidade da amostra em relação ao estado civil limita a generalização dos resultados para outras configurações familiares.</w:t>
      </w:r>
    </w:p>
    <w:p w14:paraId="553BDC8F" w14:textId="77777777" w:rsidR="00967265" w:rsidRDefault="00967265" w:rsidP="00967265">
      <w:pPr>
        <w:widowControl w:val="0"/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A maioria dos estudos adota delineamento transversal, o que inviabiliza o acompanhamento do processo de aleitamento e a compreensão do papel paterno ao longo do tempo nesse contexto. Nesse sentido, recomenda-se a realização de pesquisa com longitudinal, que possibilitem a identificação de variáveis relevantes no contexto do aleitamento, bem como dos impactos associados ao envolvimento paterno durante esse período.</w:t>
      </w:r>
    </w:p>
    <w:p w14:paraId="3B572EE5" w14:textId="77777777" w:rsidR="00967265" w:rsidRDefault="00967265" w:rsidP="00967265">
      <w:pPr>
        <w:widowControl w:val="0"/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Ressalta-se que, majoritariamente, as medidas foram aplicadas apenas no período pós-parto. Apenas o estudo de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Freed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Fraley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et al. (1992) incluiu a participação paterna ainda na fase pré-natal. Esse dado sinaliza a necessidade de ampliar as investigações sobre o envolvimento do pai desde o período gestacional, etapa fundamental para a construção do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lastRenderedPageBreak/>
        <w:t xml:space="preserve">vínculo e para a promoção do aleitamento materno. Conforme destacado por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Hosking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et al. (2025), é imprescindível incluir o pai nesse período, por meio de programas de promoção da amamentação, a fim de melhorar as taxas de aleitamento materno exclusivo.</w:t>
      </w:r>
    </w:p>
    <w:p w14:paraId="32BD5F79" w14:textId="77777777" w:rsidR="00967265" w:rsidRDefault="00967265" w:rsidP="00967265">
      <w:pPr>
        <w:widowControl w:val="0"/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A presente revisão concentrou-se na análise das evidências de validade com base no conteúdo e na estrutura interna das medidas psicológicas. Contudo, não foram incluídas evidências de validade baseadas na relação com variáveis externas, conforme explorado nos estudos de Dennis et al. (2018),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Chipojola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et al. (2021) e Atkinson et al. (2021).</w:t>
      </w:r>
    </w:p>
    <w:p w14:paraId="003BC218" w14:textId="77777777" w:rsidR="00967265" w:rsidRDefault="00967265" w:rsidP="00967265">
      <w:pPr>
        <w:widowControl w:val="0"/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Apesar da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utilização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vocabulário controlado e da combinação de termos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por meio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operadores booleanos, foram recuperadas poucas medidas. É possível que outros estudos não tenham sido rastreados devido ao uso de palavras-chave não indexadas. Além disso, a inclusão paterna no aleitamento ainda parece ser incipiente.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Um dos achados desta revisão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foi a identificação de medidas com casal. Futuras pesquisas devem buscar evidências de validade considerando as variâncias entre grupos.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</w:rPr>
        <w:t xml:space="preserve"> Ademais, os resultados indicam que ainda são escassas pesquisas quantitativas que consideram a figura paterna na área do aleitamento materno. Diante disso, recomenda-se o desenvolvimento e a adaptação de instrumentos para diferentes países, com especial atenção ao contexto brasileiro, o qual não foi contemplado entre os estudos identificados nesta revisão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14:paraId="347DA35A" w14:textId="77777777" w:rsidR="00967265" w:rsidRDefault="00967265" w:rsidP="00967265">
      <w:pPr>
        <w:widowControl w:val="0"/>
        <w:spacing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A criação e a adaptação de instrumentos que consideram o pai como protagonista no exercício da paternidade durante a fase do aleitamento devem considerar construtos que envolvem os aspectos multidimensionais da participação paterna nesse período. Tais instrumentos podem contribuir para os esforços das organizações de saúde e da sociedade geral na promoção do envolvimento do homem na parentalidade e nos cuidados com a saúde materna-infantil. Além disso, podem subsidiar as discussões sobre políticas públicas voltadas a questões de equidade de gênero nos cuidados com os filhos.</w:t>
      </w:r>
    </w:p>
    <w:p w14:paraId="00000034" w14:textId="77777777" w:rsidR="007F40F0" w:rsidRDefault="007F40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7F40F0" w:rsidRDefault="007F40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7F40F0" w:rsidRDefault="007F40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7F40F0" w:rsidRDefault="007F40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7F40F0" w:rsidRDefault="007F40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7F40F0" w:rsidRDefault="007F40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7F40F0" w:rsidRDefault="007F40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7F40F0" w:rsidRDefault="00000000">
      <w:pPr>
        <w:spacing w:after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Apresentação das reformulações realizadas pelos autores</w:t>
      </w:r>
    </w:p>
    <w:p w14:paraId="0000003C" w14:textId="77777777" w:rsidR="007F40F0" w:rsidRDefault="007F40F0">
      <w:pPr>
        <w:spacing w:after="1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7F40F0" w:rsidRDefault="00000000">
      <w:pPr>
        <w:spacing w:after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Método</w:t>
      </w:r>
    </w:p>
    <w:p w14:paraId="0000003E" w14:textId="77777777" w:rsidR="007F40F0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Critérios de elegibilidade e exclusão</w:t>
      </w:r>
    </w:p>
    <w:p w14:paraId="0000003F" w14:textId="77777777" w:rsidR="007F40F0" w:rsidRDefault="007F40F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0" w14:textId="77777777" w:rsidR="007F40F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Foi suprimido o trecho “revisões de literatura sobre aleitamento e paterno”. Sendo reformulado para  “revisões de literatura”. </w:t>
      </w:r>
    </w:p>
    <w:p w14:paraId="00000041" w14:textId="77777777" w:rsidR="007F40F0" w:rsidRDefault="007F40F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7F40F0" w:rsidRDefault="00000000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Foram incluídas publicações de acesso gratuito e virtual que relataram o uso de medidas psicométricas no contexto do aleitamento com pais-homens. Considerando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o objetivo desta revisão,  no processo de seleção dos estudos de interesse, optou-se pela exclusão daqueles que, embora contemplassem casais,  não detalhavam os desfechos em relação à mãe e ao pai separadamente. Além disso, foram excluídos os estudos que contemplaram somente gestantes e mães, uma vez que o foco desta revisão é a avaliação da participação paterna no processo de aleitamento. Também foram excluídas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revisões de literatura, pesquisas exclusivamente com o uso do método qualitativo,  registros em duplicidade entre bases e erratas.</w:t>
      </w:r>
    </w:p>
    <w:p w14:paraId="00000043" w14:textId="77777777" w:rsidR="007F40F0" w:rsidRDefault="007F40F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7F40F0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</w:t>
      </w:r>
    </w:p>
    <w:p w14:paraId="00000045" w14:textId="77777777" w:rsidR="007F40F0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….</w:t>
      </w:r>
    </w:p>
    <w:p w14:paraId="00000046" w14:textId="77777777" w:rsidR="007F40F0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Análise dos estudos</w:t>
      </w:r>
    </w:p>
    <w:p w14:paraId="00000047" w14:textId="77777777" w:rsidR="007F40F0" w:rsidRDefault="007F40F0">
      <w:pPr>
        <w:spacing w:line="360" w:lineRule="auto"/>
        <w:ind w:firstLine="566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7F40F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Foi suprimido o trecho equivocado "Esse recorte amostral também foi utilizado 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Chipojola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 (2022)". Além disso, foram inseridas informações necessárias para melhor compreensão da origem da medida. </w:t>
      </w:r>
    </w:p>
    <w:p w14:paraId="00000049" w14:textId="77777777" w:rsidR="007F40F0" w:rsidRDefault="007F40F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28A25" w14:textId="77777777" w:rsidR="00834E14" w:rsidRDefault="00834E14" w:rsidP="00834E14">
      <w:pPr>
        <w:spacing w:line="360" w:lineRule="auto"/>
        <w:ind w:firstLine="708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medida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Paternal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Breastfeeding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Self-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Efficacy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Scale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Short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Form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(PBSES-SF;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Dennis et al., 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foi utilizada em três estudos (Tabela 1).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>Breastfeeding</w:t>
      </w:r>
      <w:proofErr w:type="spellEnd"/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 Self-</w:t>
      </w:r>
      <w:proofErr w:type="spellStart"/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>Efficacy</w:t>
      </w:r>
      <w:proofErr w:type="spellEnd"/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>Scale</w:t>
      </w:r>
      <w:proofErr w:type="spellEnd"/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originalmente foi construída para amostra materna (Dennis &amp;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Faux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1999) e </w:t>
      </w:r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a posteriori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foi criada uma versão reduzida (Dennis, 2003)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Em 2018, Dennis e cols. adaptaram os itens para amostra paterna a partir da versão materna da </w:t>
      </w:r>
      <w:proofErr w:type="spellStart"/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>Breastfeeding</w:t>
      </w:r>
      <w:proofErr w:type="spellEnd"/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 Self-</w:t>
      </w:r>
      <w:proofErr w:type="spellStart"/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>Efficacy</w:t>
      </w:r>
      <w:proofErr w:type="spellEnd"/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>Scale</w:t>
      </w:r>
      <w:proofErr w:type="spellEnd"/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-Short </w:t>
      </w:r>
      <w:proofErr w:type="spellStart"/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>Form</w:t>
      </w:r>
      <w:proofErr w:type="spellEnd"/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(Dennis, 2003).  Neste estudo de adaptação, os autores reportaram que foi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realizado um recorte amostral a partir de um ensaio randomizado controlado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Abbass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-Dick et al. (2015), sendo considerados os dados amostrais paternos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=214),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sendo a medida replicada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seis semanas após o parto, com uma amostra de 173 participantes. </w:t>
      </w:r>
    </w:p>
    <w:p w14:paraId="0000004B" w14:textId="77777777" w:rsidR="007F40F0" w:rsidRDefault="007F40F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7F40F0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0000004D" w14:textId="77777777" w:rsidR="007F40F0" w:rsidRDefault="007F40F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E" w14:textId="77777777" w:rsidR="007F40F0" w:rsidRDefault="007F40F0">
      <w:pPr>
        <w:spacing w:after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77777777" w:rsidR="007F40F0" w:rsidRDefault="007F40F0">
      <w:pPr>
        <w:spacing w:after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7F40F0" w:rsidRDefault="007F40F0">
      <w:pPr>
        <w:spacing w:after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77777777" w:rsidR="007F40F0" w:rsidRDefault="007F40F0">
      <w:pPr>
        <w:spacing w:after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77777777" w:rsidR="007F40F0" w:rsidRDefault="007F40F0">
      <w:pPr>
        <w:spacing w:after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7F40F0" w:rsidRDefault="007F40F0">
      <w:pPr>
        <w:spacing w:after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7F40F0" w:rsidRDefault="007F40F0">
      <w:pPr>
        <w:spacing w:after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7F40F0" w:rsidRDefault="007F40F0">
      <w:pPr>
        <w:spacing w:after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56" w14:textId="77777777" w:rsidR="007F40F0" w:rsidRDefault="007F40F0"/>
    <w:sectPr w:rsidR="007F40F0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2ABC" w14:textId="77777777" w:rsidR="002E490E" w:rsidRDefault="002E490E">
      <w:pPr>
        <w:spacing w:line="240" w:lineRule="auto"/>
      </w:pPr>
      <w:r>
        <w:separator/>
      </w:r>
    </w:p>
  </w:endnote>
  <w:endnote w:type="continuationSeparator" w:id="0">
    <w:p w14:paraId="4D67B092" w14:textId="77777777" w:rsidR="002E490E" w:rsidRDefault="002E49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F367" w14:textId="77777777" w:rsidR="002E490E" w:rsidRDefault="002E490E">
      <w:pPr>
        <w:spacing w:line="240" w:lineRule="auto"/>
      </w:pPr>
      <w:r>
        <w:separator/>
      </w:r>
    </w:p>
  </w:footnote>
  <w:footnote w:type="continuationSeparator" w:id="0">
    <w:p w14:paraId="37BBBE34" w14:textId="77777777" w:rsidR="002E490E" w:rsidRDefault="002E49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7" w14:textId="29F115C3" w:rsidR="007F40F0" w:rsidRDefault="00000000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fldChar w:fldCharType="begin"/>
    </w:r>
    <w:r>
      <w:instrText>PAGE</w:instrText>
    </w:r>
    <w:r>
      <w:fldChar w:fldCharType="separate"/>
    </w:r>
    <w:r w:rsidR="00834E14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0F0"/>
    <w:rsid w:val="002E490E"/>
    <w:rsid w:val="007F40F0"/>
    <w:rsid w:val="00834E14"/>
    <w:rsid w:val="00967265"/>
    <w:rsid w:val="00D7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6136"/>
  <w15:docId w15:val="{72A031BD-D08D-42B2-B6A9-6DF39A8C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2937</Words>
  <Characters>15861</Characters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2025-08-17T16:25:00Z</dcterms:created>
  <dcterms:modified xsi:type="dcterms:W3CDTF">2025-08-17T16:40:00Z</dcterms:modified>
</cp:coreProperties>
</file>