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9D59A" w14:textId="77777777" w:rsidR="007B6D8F" w:rsidRPr="004465FF" w:rsidRDefault="00000000">
      <w:pPr>
        <w:pBdr>
          <w:top w:val="nil"/>
          <w:left w:val="nil"/>
          <w:bottom w:val="nil"/>
          <w:right w:val="nil"/>
          <w:between w:val="nil"/>
        </w:pBdr>
        <w:jc w:val="center"/>
        <w:rPr>
          <w:b/>
          <w:color w:val="000000"/>
          <w:sz w:val="36"/>
          <w:szCs w:val="36"/>
          <w:lang w:val="en-US"/>
        </w:rPr>
      </w:pPr>
      <w:r w:rsidRPr="004465FF">
        <w:rPr>
          <w:b/>
          <w:color w:val="000000"/>
          <w:sz w:val="36"/>
          <w:szCs w:val="36"/>
          <w:lang w:val="en-US"/>
        </w:rPr>
        <w:t xml:space="preserve"> </w:t>
      </w:r>
      <w:r w:rsidRPr="004465FF">
        <w:rPr>
          <w:b/>
          <w:sz w:val="36"/>
          <w:szCs w:val="36"/>
          <w:lang w:val="en-US"/>
        </w:rPr>
        <w:t>From Social Media Engagement to Social Comparison: The Relationship Between Time of Use, Stress, Anxiety, and Depression</w:t>
      </w:r>
    </w:p>
    <w:p w14:paraId="50344472" w14:textId="77777777" w:rsidR="007B6D8F" w:rsidRPr="004465FF" w:rsidRDefault="00000000">
      <w:pPr>
        <w:rPr>
          <w:rFonts w:ascii="Times" w:eastAsia="Times" w:hAnsi="Times" w:cs="Times"/>
          <w:i/>
          <w:sz w:val="28"/>
          <w:szCs w:val="28"/>
          <w:lang w:val="en-US"/>
        </w:rPr>
      </w:pPr>
      <w:r>
        <w:rPr>
          <w:noProof/>
        </w:rPr>
        <mc:AlternateContent>
          <mc:Choice Requires="wpg">
            <w:drawing>
              <wp:anchor distT="4294967295" distB="4294967295" distL="114300" distR="114300" simplePos="0" relativeHeight="251658240" behindDoc="0" locked="0" layoutInCell="1" hidden="0" allowOverlap="1" wp14:anchorId="144C649B" wp14:editId="51BC5BC9">
                <wp:simplePos x="0" y="0"/>
                <wp:positionH relativeFrom="column">
                  <wp:posOffset>1</wp:posOffset>
                </wp:positionH>
                <wp:positionV relativeFrom="paragraph">
                  <wp:posOffset>55896</wp:posOffset>
                </wp:positionV>
                <wp:extent cx="6197600" cy="50800"/>
                <wp:effectExtent l="0" t="0" r="0" b="0"/>
                <wp:wrapNone/>
                <wp:docPr id="7" name="Conector de Seta Reta 7"/>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55896</wp:posOffset>
                </wp:positionV>
                <wp:extent cx="6197600" cy="50800"/>
                <wp:effectExtent b="0" l="0" r="0" t="0"/>
                <wp:wrapNone/>
                <wp:docPr id="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197600" cy="50800"/>
                        </a:xfrm>
                        <a:prstGeom prst="rect"/>
                        <a:ln/>
                      </pic:spPr>
                    </pic:pic>
                  </a:graphicData>
                </a:graphic>
              </wp:anchor>
            </w:drawing>
          </mc:Fallback>
        </mc:AlternateContent>
      </w:r>
    </w:p>
    <w:p w14:paraId="0032988B" w14:textId="77777777" w:rsidR="007B6D8F" w:rsidRPr="004465FF" w:rsidRDefault="007B6D8F">
      <w:pPr>
        <w:jc w:val="both"/>
        <w:rPr>
          <w:sz w:val="20"/>
          <w:szCs w:val="20"/>
          <w:lang w:val="en-US"/>
        </w:rPr>
      </w:pPr>
    </w:p>
    <w:p w14:paraId="3012B8C8" w14:textId="77777777" w:rsidR="007B6D8F" w:rsidRDefault="00000000">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5947918B" w14:textId="77777777" w:rsidR="007B6D8F" w:rsidRDefault="00000000">
      <w:pPr>
        <w:jc w:val="both"/>
        <w:rPr>
          <w:sz w:val="20"/>
          <w:szCs w:val="20"/>
        </w:rPr>
      </w:pPr>
      <w:r>
        <w:rPr>
          <w:sz w:val="20"/>
          <w:szCs w:val="20"/>
        </w:rPr>
        <w:t>A saúde mental, segundo a Organização Mundial da Saúde (OMS), é um estado de bem-estar em que o indivíduo consegue lidar com suas habilidades, o estresse da vida, trabalhar de forma produtiva e contribuir com sua comunidade. Este estudo investigou as correlações entre o tempo de uso de redes sociais, engajamento nessas plataformas, comparação social e saúde mental em estudantes universitários, testando a hipótese de mediação sequencial do engajamento e da comparação social na relação entre tempo de uso e saúde mental. A pesquisa exploratória, descritiva e correlacional contou com 172 universitários de João Pessoa, Paraíba, com idades entre 18 e 55 anos (M = 24,2; DP = 6,74). Utilizou-se uma questão sobre tempo de uso em redes sociais, a escala INCOM, a DASS-21 e questões sociodemográficas. Os resultados indicaram mediação sequencial entre o tempo de uso e os níveis de estresse, ansiedade e depressão, mediada pelo engajamento nas redes sociais e pela comparação social. Esses achados apontam um processo psicológico subjacente frente ao impacto na saúde mental das pessoas.  Ressalta-se a necessidade de estudos futuros para aprofundar as relações observadas e superar o caráter correlacional deste estudo.</w:t>
      </w:r>
    </w:p>
    <w:p w14:paraId="29A77543" w14:textId="77777777" w:rsidR="007B6D8F" w:rsidRDefault="00000000">
      <w:pPr>
        <w:jc w:val="both"/>
        <w:rPr>
          <w:b/>
          <w:sz w:val="20"/>
          <w:szCs w:val="20"/>
        </w:rPr>
      </w:pPr>
      <w:r>
        <w:rPr>
          <w:b/>
          <w:sz w:val="20"/>
          <w:szCs w:val="20"/>
        </w:rPr>
        <w:t xml:space="preserve">Palavras-chave </w:t>
      </w:r>
    </w:p>
    <w:p w14:paraId="184A572C" w14:textId="21D65989" w:rsidR="007B6D8F" w:rsidRDefault="00000000">
      <w:pPr>
        <w:jc w:val="both"/>
        <w:rPr>
          <w:b/>
          <w:sz w:val="20"/>
          <w:szCs w:val="20"/>
        </w:rPr>
      </w:pPr>
      <w:r>
        <w:rPr>
          <w:sz w:val="20"/>
          <w:szCs w:val="20"/>
        </w:rPr>
        <w:t>Redes sociais</w:t>
      </w:r>
      <w:r w:rsidR="0088628B">
        <w:rPr>
          <w:sz w:val="20"/>
          <w:szCs w:val="20"/>
        </w:rPr>
        <w:t xml:space="preserve">; </w:t>
      </w:r>
      <w:r>
        <w:rPr>
          <w:sz w:val="20"/>
          <w:szCs w:val="20"/>
        </w:rPr>
        <w:t>comparação social</w:t>
      </w:r>
      <w:r w:rsidR="0088628B">
        <w:rPr>
          <w:sz w:val="20"/>
          <w:szCs w:val="20"/>
        </w:rPr>
        <w:t>;</w:t>
      </w:r>
      <w:r>
        <w:rPr>
          <w:sz w:val="20"/>
          <w:szCs w:val="20"/>
        </w:rPr>
        <w:t xml:space="preserve"> saúde mental</w:t>
      </w:r>
      <w:r w:rsidR="0088628B">
        <w:rPr>
          <w:sz w:val="20"/>
          <w:szCs w:val="20"/>
        </w:rPr>
        <w:t>.</w:t>
      </w:r>
    </w:p>
    <w:p w14:paraId="76FEDF90" w14:textId="77777777" w:rsidR="007B6D8F" w:rsidRDefault="007B6D8F">
      <w:pPr>
        <w:jc w:val="both"/>
        <w:rPr>
          <w:sz w:val="20"/>
          <w:szCs w:val="20"/>
        </w:rPr>
      </w:pPr>
    </w:p>
    <w:p w14:paraId="2AD39A70" w14:textId="77777777" w:rsidR="007B6D8F" w:rsidRDefault="007B6D8F">
      <w:pPr>
        <w:jc w:val="both"/>
        <w:rPr>
          <w:sz w:val="20"/>
          <w:szCs w:val="20"/>
        </w:rPr>
      </w:pPr>
    </w:p>
    <w:p w14:paraId="12D88FBC" w14:textId="77777777" w:rsidR="007B6D8F" w:rsidRPr="004465FF" w:rsidRDefault="00000000">
      <w:pPr>
        <w:pBdr>
          <w:top w:val="nil"/>
          <w:left w:val="nil"/>
          <w:bottom w:val="nil"/>
          <w:right w:val="nil"/>
          <w:between w:val="nil"/>
        </w:pBdr>
        <w:spacing w:after="120"/>
        <w:jc w:val="center"/>
        <w:rPr>
          <w:sz w:val="20"/>
          <w:szCs w:val="20"/>
          <w:lang w:val="en-US"/>
        </w:rPr>
      </w:pPr>
      <w:r w:rsidRPr="004465FF">
        <w:rPr>
          <w:b/>
          <w:smallCaps/>
          <w:color w:val="000000"/>
          <w:sz w:val="20"/>
          <w:szCs w:val="20"/>
          <w:lang w:val="en-US"/>
        </w:rPr>
        <w:t>Abstract</w:t>
      </w:r>
    </w:p>
    <w:p w14:paraId="190ED8FF" w14:textId="77777777" w:rsidR="007B6D8F" w:rsidRPr="004465FF" w:rsidRDefault="00000000">
      <w:pPr>
        <w:jc w:val="both"/>
        <w:rPr>
          <w:sz w:val="20"/>
          <w:szCs w:val="20"/>
          <w:lang w:val="en-US"/>
        </w:rPr>
      </w:pPr>
      <w:r w:rsidRPr="004465FF">
        <w:rPr>
          <w:sz w:val="20"/>
          <w:szCs w:val="20"/>
          <w:lang w:val="en-US"/>
        </w:rPr>
        <w:t>Mental health, according to the World Health Organization (WHO), is defined as a state of well-being in which individuals can cope with their abilities, manage the normal stresses of life, work productively, and contribute to their community. This study investigated the correlations between social media usage time, social media engagement, social comparison, and mental health among university students, testing the sequential mediation hypothesis of social media engagement and social comparison in the relationship between usage time and mental health outcomes. The exploratory, descriptive, and correlational study included 172 university students from João Pessoa, Brazil, aged 18 to 55 years (M = 24.2, SD = 6.74). Data collection involved a question on social media usage time, the Iowa-Netherlands Comparison Orientation Measure (INCOM), the Depression, Anxiety, and Stress Scale (DASS-21), and sociodemographic questions. Results revealed sequential mediation between usage time and levels of stress, anxiety, and depression, mediated by social media engagement and social comparison. These findings highlight an underlying psychological process related to the impact on individuals' mental health. Future studies are needed to deepen the understanding of the observed relationships and to address the correlational nature of this study.</w:t>
      </w:r>
    </w:p>
    <w:p w14:paraId="69A75CDE" w14:textId="77777777" w:rsidR="007B6D8F" w:rsidRPr="004465FF" w:rsidRDefault="00000000">
      <w:pPr>
        <w:rPr>
          <w:b/>
          <w:sz w:val="20"/>
          <w:szCs w:val="20"/>
          <w:lang w:val="en-US"/>
        </w:rPr>
      </w:pPr>
      <w:r w:rsidRPr="004465FF">
        <w:rPr>
          <w:b/>
          <w:sz w:val="20"/>
          <w:szCs w:val="20"/>
          <w:lang w:val="en-US"/>
        </w:rPr>
        <w:t>Keywords</w:t>
      </w:r>
    </w:p>
    <w:p w14:paraId="54A28D42" w14:textId="29174186" w:rsidR="007B6D8F" w:rsidRPr="004465FF" w:rsidRDefault="00000000">
      <w:pPr>
        <w:rPr>
          <w:sz w:val="20"/>
          <w:szCs w:val="20"/>
          <w:lang w:val="en-US"/>
        </w:rPr>
      </w:pPr>
      <w:r w:rsidRPr="004465FF">
        <w:rPr>
          <w:sz w:val="20"/>
          <w:szCs w:val="20"/>
          <w:lang w:val="en-US"/>
        </w:rPr>
        <w:t>Social media</w:t>
      </w:r>
      <w:r w:rsidR="0088628B">
        <w:rPr>
          <w:sz w:val="20"/>
          <w:szCs w:val="20"/>
          <w:lang w:val="en-US"/>
        </w:rPr>
        <w:t>; s</w:t>
      </w:r>
      <w:r w:rsidRPr="004465FF">
        <w:rPr>
          <w:sz w:val="20"/>
          <w:szCs w:val="20"/>
          <w:lang w:val="en-US"/>
        </w:rPr>
        <w:t>ocial comparison</w:t>
      </w:r>
      <w:r w:rsidR="0088628B">
        <w:rPr>
          <w:sz w:val="20"/>
          <w:szCs w:val="20"/>
          <w:lang w:val="en-US"/>
        </w:rPr>
        <w:t>;</w:t>
      </w:r>
      <w:r w:rsidRPr="004465FF">
        <w:rPr>
          <w:sz w:val="20"/>
          <w:szCs w:val="20"/>
          <w:lang w:val="en-US"/>
        </w:rPr>
        <w:t xml:space="preserve"> </w:t>
      </w:r>
      <w:r w:rsidR="0088628B">
        <w:rPr>
          <w:sz w:val="20"/>
          <w:szCs w:val="20"/>
          <w:lang w:val="en-US"/>
        </w:rPr>
        <w:t>m</w:t>
      </w:r>
      <w:r w:rsidRPr="004465FF">
        <w:rPr>
          <w:sz w:val="20"/>
          <w:szCs w:val="20"/>
          <w:lang w:val="en-US"/>
        </w:rPr>
        <w:t>ental health.</w:t>
      </w:r>
    </w:p>
    <w:p w14:paraId="7B120A4B" w14:textId="77777777" w:rsidR="007B6D8F" w:rsidRPr="004465FF" w:rsidRDefault="007B6D8F">
      <w:pPr>
        <w:jc w:val="both"/>
        <w:rPr>
          <w:sz w:val="20"/>
          <w:szCs w:val="20"/>
          <w:lang w:val="en-US"/>
        </w:rPr>
      </w:pPr>
    </w:p>
    <w:p w14:paraId="7E21DFF8" w14:textId="77777777" w:rsidR="007B6D8F" w:rsidRPr="004465FF" w:rsidRDefault="007B6D8F">
      <w:pPr>
        <w:jc w:val="both"/>
        <w:rPr>
          <w:sz w:val="20"/>
          <w:szCs w:val="20"/>
          <w:highlight w:val="yellow"/>
          <w:lang w:val="en-US"/>
        </w:rPr>
      </w:pPr>
    </w:p>
    <w:p w14:paraId="749A2FB1" w14:textId="77777777" w:rsidR="007B6D8F" w:rsidRPr="004465FF" w:rsidRDefault="007B6D8F">
      <w:pPr>
        <w:rPr>
          <w:lang w:val="en-US"/>
        </w:rPr>
      </w:pPr>
    </w:p>
    <w:p w14:paraId="5A248A37" w14:textId="77777777" w:rsidR="007B6D8F" w:rsidRPr="004465FF" w:rsidRDefault="00000000">
      <w:pPr>
        <w:jc w:val="center"/>
        <w:rPr>
          <w:lang w:val="en-US"/>
        </w:rPr>
      </w:pPr>
      <w:r>
        <w:rPr>
          <w:noProof/>
        </w:rPr>
        <w:drawing>
          <wp:anchor distT="0" distB="0" distL="114300" distR="114300" simplePos="0" relativeHeight="251659264" behindDoc="0" locked="0" layoutInCell="1" hidden="0" allowOverlap="1" wp14:anchorId="421A00D1" wp14:editId="7A9E20BF">
            <wp:simplePos x="0" y="0"/>
            <wp:positionH relativeFrom="column">
              <wp:posOffset>5743575</wp:posOffset>
            </wp:positionH>
            <wp:positionV relativeFrom="paragraph">
              <wp:posOffset>112365</wp:posOffset>
            </wp:positionV>
            <wp:extent cx="395605" cy="259080"/>
            <wp:effectExtent l="0" t="0" r="0" b="0"/>
            <wp:wrapNone/>
            <wp:docPr id="10" name="image1.png" descr="Uma imagem contendo capacete, computer, computador, par&#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capacete, computer, computador, par&#10;&#10;Descrição gerada automaticamente"/>
                    <pic:cNvPicPr preferRelativeResize="0"/>
                  </pic:nvPicPr>
                  <pic:blipFill>
                    <a:blip r:embed="rId9"/>
                    <a:srcRect/>
                    <a:stretch>
                      <a:fillRect/>
                    </a:stretch>
                  </pic:blipFill>
                  <pic:spPr>
                    <a:xfrm>
                      <a:off x="0" y="0"/>
                      <a:ext cx="395605" cy="259080"/>
                    </a:xfrm>
                    <a:prstGeom prst="rect">
                      <a:avLst/>
                    </a:prstGeom>
                    <a:ln/>
                  </pic:spPr>
                </pic:pic>
              </a:graphicData>
            </a:graphic>
          </wp:anchor>
        </w:drawing>
      </w:r>
    </w:p>
    <w:p w14:paraId="46D755FE" w14:textId="77777777" w:rsidR="007B6D8F" w:rsidRPr="004465FF" w:rsidRDefault="007B6D8F">
      <w:pPr>
        <w:jc w:val="center"/>
        <w:rPr>
          <w:lang w:val="en-US"/>
        </w:rPr>
      </w:pPr>
    </w:p>
    <w:p w14:paraId="4E0ACE55" w14:textId="77777777" w:rsidR="007B6D8F" w:rsidRPr="004465FF" w:rsidRDefault="007B6D8F">
      <w:pPr>
        <w:jc w:val="right"/>
        <w:rPr>
          <w:lang w:val="en-US"/>
        </w:rPr>
      </w:pPr>
    </w:p>
    <w:p w14:paraId="0F9A83A6" w14:textId="5161EFF4" w:rsidR="007B6D8F" w:rsidRPr="004465FF" w:rsidRDefault="00000000">
      <w:pPr>
        <w:rPr>
          <w:color w:val="000000"/>
          <w:sz w:val="16"/>
          <w:szCs w:val="16"/>
          <w:lang w:val="en-US"/>
        </w:rPr>
      </w:pPr>
      <w:r w:rsidRPr="004465FF">
        <w:rPr>
          <w:color w:val="000000"/>
          <w:sz w:val="20"/>
          <w:szCs w:val="20"/>
          <w:lang w:val="en-US"/>
        </w:rPr>
        <w:t>Correspondence about this article should be addressed to</w:t>
      </w:r>
      <w:r w:rsidRPr="004465FF">
        <w:rPr>
          <w:sz w:val="20"/>
          <w:szCs w:val="20"/>
          <w:lang w:val="en-US"/>
        </w:rPr>
        <w:t xml:space="preserve"> </w:t>
      </w:r>
      <w:r w:rsidRPr="004465FF">
        <w:rPr>
          <w:color w:val="000000"/>
          <w:sz w:val="20"/>
          <w:szCs w:val="20"/>
          <w:lang w:val="en-US"/>
        </w:rPr>
        <w:t xml:space="preserve"> </w:t>
      </w:r>
    </w:p>
    <w:p w14:paraId="35B938F1" w14:textId="77777777" w:rsidR="007B6D8F" w:rsidRDefault="00000000">
      <w:pPr>
        <w:rPr>
          <w:color w:val="000000"/>
        </w:rPr>
      </w:pPr>
      <w:r>
        <w:rPr>
          <w:color w:val="000000"/>
          <w:sz w:val="20"/>
          <w:szCs w:val="20"/>
        </w:rPr>
        <w:t>ConflictsofInterest:Theauthorsdeclarethattheresearchwasconductedintheabsenceofanycommercialorfinancialrelationshipsthatcouldbeconstruedasapotentialconflictofinterest.</w:t>
      </w:r>
    </w:p>
    <w:p w14:paraId="1DCA53E3" w14:textId="77777777" w:rsidR="007B6D8F" w:rsidRDefault="00000000">
      <w:pPr>
        <w:jc w:val="center"/>
      </w:pPr>
      <w:r>
        <w:br w:type="page"/>
      </w:r>
      <w:r>
        <w:lastRenderedPageBreak/>
        <w:t>Do Engajamento em Redes Sociais à Comparação Social: A Relação entre Tempo de Uso, Estresse, Ansiedade e Depressão</w:t>
      </w:r>
    </w:p>
    <w:p w14:paraId="7600F93D" w14:textId="77777777" w:rsidR="007B6D8F" w:rsidRDefault="007B6D8F">
      <w:pPr>
        <w:pBdr>
          <w:top w:val="nil"/>
          <w:left w:val="nil"/>
          <w:bottom w:val="nil"/>
          <w:right w:val="nil"/>
          <w:between w:val="nil"/>
        </w:pBdr>
        <w:jc w:val="center"/>
        <w:rPr>
          <w:color w:val="000000"/>
        </w:rPr>
      </w:pPr>
    </w:p>
    <w:p w14:paraId="1E6687D5" w14:textId="77777777" w:rsidR="007B6D8F" w:rsidRDefault="007B6D8F">
      <w:pPr>
        <w:pBdr>
          <w:top w:val="nil"/>
          <w:left w:val="nil"/>
          <w:bottom w:val="nil"/>
          <w:right w:val="nil"/>
          <w:between w:val="nil"/>
        </w:pBdr>
        <w:jc w:val="center"/>
      </w:pPr>
    </w:p>
    <w:p w14:paraId="5E75B4CB" w14:textId="77777777" w:rsidR="007B6D8F" w:rsidRDefault="00000000">
      <w:pPr>
        <w:pBdr>
          <w:top w:val="nil"/>
          <w:left w:val="nil"/>
          <w:bottom w:val="nil"/>
          <w:right w:val="nil"/>
          <w:between w:val="nil"/>
        </w:pBdr>
        <w:jc w:val="center"/>
        <w:rPr>
          <w:b/>
        </w:rPr>
      </w:pPr>
      <w:r>
        <w:rPr>
          <w:b/>
          <w:color w:val="000000"/>
        </w:rPr>
        <w:t>Introdu</w:t>
      </w:r>
      <w:r>
        <w:rPr>
          <w:b/>
        </w:rPr>
        <w:t>ção</w:t>
      </w:r>
    </w:p>
    <w:p w14:paraId="64A5B559" w14:textId="77777777" w:rsidR="007B6D8F" w:rsidRDefault="007B6D8F">
      <w:pPr>
        <w:spacing w:line="360" w:lineRule="auto"/>
        <w:jc w:val="both"/>
        <w:rPr>
          <w:highlight w:val="yellow"/>
        </w:rPr>
      </w:pPr>
    </w:p>
    <w:p w14:paraId="442AFCDC" w14:textId="77777777" w:rsidR="007B6D8F" w:rsidRDefault="00000000">
      <w:pPr>
        <w:spacing w:line="360" w:lineRule="auto"/>
        <w:ind w:firstLine="708"/>
        <w:jc w:val="both"/>
      </w:pPr>
      <w:r>
        <w:t>A saúde mental, como definida pela Organização Mundial da Saúde (2023), refere-se a um estado de bem-estar no qual o indivíduo é capaz de lidar com suas habilidades, gerenciar os desafios do cotidiano, trabalhar de forma produtiva e contribuir com sua comunidade. Entretanto, a pandemia de COVID-19 trouxe um impacto significativo para a saúde mental global, resultando em aumentos de ansiedade, depressão e outros transtornos (Pan American Health Organization, 2023).  Adicionalmente, observou-se o uso crescente das redes sociais em que diversas pesquisas mostram a associação desse uso com efeitos adversos na saúde mental.</w:t>
      </w:r>
    </w:p>
    <w:p w14:paraId="4033627B" w14:textId="77777777" w:rsidR="007B6D8F" w:rsidRDefault="00000000">
      <w:pPr>
        <w:spacing w:line="360" w:lineRule="auto"/>
        <w:ind w:firstLine="708"/>
        <w:jc w:val="both"/>
      </w:pPr>
      <w:r>
        <w:t xml:space="preserve"> Exemplo disso, são os estudos como o de Boers et al. (2019) que apontaram que o tempo gasto em mídias sociais, combinado com consumo de outras telas, pode exacerbar sintomas de ansiedade. Da mesma forma, a exposição frequente ao conteúdo de redes sociais pode estar associada ao aumento da depressão, como demonstrado em adolescentes no mesmo estudo (Boers et al., 2019b).  Outro estudo realizado por Twenge, Martin e Campbell (2018) identificou uma relação significativa entre o tempo de tela, especialmente em redes sociais, e a piora nos indicadores de bem-estar psicológico em adolescentes. O estudo destacou que aqueles que passavam mais de três horas diárias nessas plataformas tinham maior probabilidade de relatar sintomas de ansiedade e solidão. Por outro lado, </w:t>
      </w:r>
      <w:r>
        <w:rPr>
          <w:highlight w:val="white"/>
        </w:rPr>
        <w:t>Zhang et al., (2023) revelaram que o uso de mídias sociais por estudantes universitários foi positivamente associado ao seu bem-estar psicológico e subjetivo por meio da autoestima e do apoio social online.</w:t>
      </w:r>
    </w:p>
    <w:p w14:paraId="0E55EB5E" w14:textId="77777777" w:rsidR="007B6D8F" w:rsidRDefault="00000000">
      <w:pPr>
        <w:spacing w:line="360" w:lineRule="auto"/>
        <w:ind w:firstLine="708"/>
        <w:jc w:val="both"/>
      </w:pPr>
      <w:r>
        <w:t>Dado esse cenário, o presente estudo visa explorar as relações entre tempo de uso, engajamento em redes sociais, comparação social e saúde mental (estresse, ansiedade e depressão). Além disso, busca-se examinar o papel mediador do engajamento e da comparação social na relação entre tempo de uso e saúde mental. De forma mais específica, o estudo avalia o impacto do tempo diário dedicado às redes sociais (Instagram, Twitter, Facebook) e o grau de comparação social gerado por essas interações na saúde mental.</w:t>
      </w:r>
    </w:p>
    <w:p w14:paraId="11333118" w14:textId="77777777" w:rsidR="007B6D8F" w:rsidRDefault="007B6D8F">
      <w:pPr>
        <w:spacing w:line="360" w:lineRule="auto"/>
        <w:ind w:firstLine="708"/>
        <w:jc w:val="both"/>
      </w:pPr>
    </w:p>
    <w:p w14:paraId="73EF252E" w14:textId="77777777" w:rsidR="007B6D8F" w:rsidRDefault="00000000">
      <w:pPr>
        <w:rPr>
          <w:b/>
          <w:i/>
        </w:rPr>
      </w:pPr>
      <w:r>
        <w:rPr>
          <w:b/>
          <w:i/>
        </w:rPr>
        <w:t>Redes sociais e o impacto na saúde mental</w:t>
      </w:r>
    </w:p>
    <w:p w14:paraId="38725025" w14:textId="77777777" w:rsidR="007B6D8F" w:rsidRDefault="007B6D8F">
      <w:pPr>
        <w:rPr>
          <w:b/>
          <w:i/>
        </w:rPr>
      </w:pPr>
    </w:p>
    <w:p w14:paraId="14796DCA" w14:textId="77777777" w:rsidR="007B6D8F" w:rsidRDefault="00000000">
      <w:pPr>
        <w:spacing w:before="240" w:after="240" w:line="360" w:lineRule="auto"/>
        <w:ind w:firstLine="720"/>
        <w:jc w:val="both"/>
      </w:pPr>
      <w:r>
        <w:t xml:space="preserve">A internet, popularizada no final da década de 90, entretanto, foi apenas após o século XXI que as redes sociais como </w:t>
      </w:r>
      <w:r>
        <w:rPr>
          <w:highlight w:val="white"/>
        </w:rPr>
        <w:t>Facebook, Youtube, Twitter e Instagram</w:t>
      </w:r>
      <w:r>
        <w:t xml:space="preserve"> começaram a ganhar espaço (Portugal &amp; de Souza, 2020). Conceitualmente, redes sociais caracterizam-se por ambientes virtuais que possibilita a interação de uma </w:t>
      </w:r>
      <w:r>
        <w:rPr>
          <w:highlight w:val="white"/>
        </w:rPr>
        <w:t xml:space="preserve">comunidade de indivíduos – possuindo ou não um laço social –, que podem se tornar mais próximos a partir do parentesco, intimidade e conexões originárias </w:t>
      </w:r>
      <w:r>
        <w:t>a partir de gostos e características similares (Rosado &amp; Tomé, 2015).</w:t>
      </w:r>
    </w:p>
    <w:p w14:paraId="1175A9C4" w14:textId="77777777" w:rsidR="007B6D8F" w:rsidRDefault="00000000">
      <w:pPr>
        <w:spacing w:before="240" w:after="240" w:line="360" w:lineRule="auto"/>
        <w:ind w:firstLine="708"/>
        <w:jc w:val="both"/>
        <w:rPr>
          <w:highlight w:val="white"/>
        </w:rPr>
      </w:pPr>
      <w:r>
        <w:t>As redes sociais proporcionam o acesso a um número incontável de pessoas, tendo em vista que eliminam barreiras geográficas e temporais (Natividade, 2019).</w:t>
      </w:r>
      <w:r>
        <w:rPr>
          <w:color w:val="FF0000"/>
        </w:rPr>
        <w:t xml:space="preserve"> </w:t>
      </w:r>
      <w:r>
        <w:rPr>
          <w:highlight w:val="white"/>
        </w:rPr>
        <w:t xml:space="preserve">Ao se tornar um usuário das redes sociais, o sujeito não apenas torna sua vida mais explícita para o público virtualmente, como passa a ter acesso constante a informações acerca da vida de terceiros, o que o leva à autoavaliação (da Silva </w:t>
      </w:r>
      <w:r>
        <w:t>&amp;</w:t>
      </w:r>
      <w:r>
        <w:rPr>
          <w:highlight w:val="white"/>
        </w:rPr>
        <w:t xml:space="preserve"> Brasil, 2022).</w:t>
      </w:r>
      <w:r>
        <w:t xml:space="preserve"> Dessa forma, as redes sociais cooperam para a </w:t>
      </w:r>
      <w:r>
        <w:rPr>
          <w:highlight w:val="white"/>
        </w:rPr>
        <w:t>criação de um padrão de vida e de um status idealizado, que passa a ser veiculado pelas mídias e faz com que os usuários desejem atingir determinado ideal estético, pessoal, social ou profissional para si (Santos &amp; Rodrigues, 2023).</w:t>
      </w:r>
      <w:r>
        <w:t xml:space="preserve"> Através destas plataformas, os usuários tendem a compartilhar apenas sobre aspectos positivos de suas vidas, proporcionando uma visão idealizada de suas experiências (Arigo, Bercovitz, Lapitan &amp; Gular, 2024).</w:t>
      </w:r>
    </w:p>
    <w:p w14:paraId="69FE6D56" w14:textId="77777777" w:rsidR="007B6D8F" w:rsidRDefault="00000000">
      <w:pPr>
        <w:spacing w:before="240" w:after="240" w:line="360" w:lineRule="auto"/>
        <w:ind w:firstLine="708"/>
        <w:jc w:val="both"/>
      </w:pPr>
      <w:r>
        <w:t xml:space="preserve">Nessa perspectiva, a pesquisa conduzida por Verduyn et al. (2015), na Universidade de Michigan, nos Estados Unidos, realizada com estudantes de graduação de diferentes nacionalidades mostrou que tanto na vida em geral, quanto na rede social Facebook, os indivíduos tendem a se retratar de maneira excessivamente lisonjeira (Kassin, Fein &amp; Markus, 2021). Nesse sentido, os usuários se sentem pior em relação a si mesmos ao passo em que navegam pelos perfis de outras pessoas sem interagir diretamente com elas. Outra pesquisa realizada por Irmer e Schmiedek (2023), que contou com duzentos jovens alemães entre 10 e 14 anos, revelou que as associações entre o uso diário das redes sociais e o bem-estar são mediadas por comparações sociais ascendentes, que foram consistentemente relacionadas à redução do bem-estar subjetivo. </w:t>
      </w:r>
    </w:p>
    <w:p w14:paraId="60B571BA" w14:textId="77777777" w:rsidR="007B6D8F" w:rsidRDefault="00000000">
      <w:pPr>
        <w:spacing w:line="360" w:lineRule="auto"/>
        <w:ind w:firstLine="708"/>
        <w:jc w:val="both"/>
      </w:pPr>
      <w:r>
        <w:t xml:space="preserve">A pesquisa realizada no Brasil por Lira et al. (2017) demonstrou que o acesso diário maior de 10 vezes ao dia ao Facebook e Instagram aumentou a chance de insatisfação corporal das meninas adolescentes em 6,57 e 4,47 vezes, respectivamente. </w:t>
      </w:r>
      <w:r>
        <w:rPr>
          <w:highlight w:val="white"/>
        </w:rPr>
        <w:t>Esses achados sugerem que ao ter acesso a várias informações, por meio de plataforma digitais, de tantas pessoas ao redor do mundo, com tantos relatos bem-sucedidos, os usuários passam a experimentar a sensação de que não estão desfrutando da vida que deveriam e tornam-se insatisfeitas com seus empregos, suas vidas profissionais, amorosas e financeiras (Menezes, 2012).</w:t>
      </w:r>
      <w:r>
        <w:t xml:space="preserve"> </w:t>
      </w:r>
    </w:p>
    <w:p w14:paraId="2BD8E595" w14:textId="77777777" w:rsidR="007B6D8F" w:rsidRDefault="007B6D8F">
      <w:pPr>
        <w:spacing w:line="360" w:lineRule="auto"/>
        <w:jc w:val="both"/>
      </w:pPr>
    </w:p>
    <w:p w14:paraId="3AEC4604" w14:textId="77777777" w:rsidR="007B6D8F" w:rsidRDefault="00000000">
      <w:pPr>
        <w:rPr>
          <w:b/>
          <w:i/>
        </w:rPr>
      </w:pPr>
      <w:r>
        <w:rPr>
          <w:b/>
          <w:i/>
        </w:rPr>
        <w:t>O papel da Comparação Social</w:t>
      </w:r>
    </w:p>
    <w:p w14:paraId="1546ECD6" w14:textId="77777777" w:rsidR="007B6D8F" w:rsidRDefault="007B6D8F">
      <w:pPr>
        <w:rPr>
          <w:b/>
          <w:i/>
        </w:rPr>
      </w:pPr>
    </w:p>
    <w:p w14:paraId="5CF87800" w14:textId="77777777" w:rsidR="007B6D8F" w:rsidRDefault="00000000">
      <w:pPr>
        <w:spacing w:before="240" w:after="240" w:line="360" w:lineRule="auto"/>
        <w:ind w:firstLine="708"/>
        <w:jc w:val="both"/>
      </w:pPr>
      <w:r>
        <w:t>A compreensão da saúde mental das pessoas envolvendo a relação delas com as redes sociais é fundamental, elas propiciam processos de comparação social, as quais muitas vezes não são pessoalmente favoráveis. Entender essa questão atravessa a teoria desenvolvida pelo psicólogo social americano por Leon Festinger, em 1954. Conforme a teoria, a comparação social é um fenômeno ou um mecanismo psicológico que permite aos indivíduos avaliarem suas próprias atitudes, habilidades e crenças a partir da comparação com outros sujeitos. O autor postula que os seres sociais possuem a necessidade de avaliar suas habilidades e opiniões a partir de comparações realizadas com outras pessoas com quem compartilham alguma semelhança ou proximidade.</w:t>
      </w:r>
    </w:p>
    <w:p w14:paraId="432082EC" w14:textId="77777777" w:rsidR="007B6D8F" w:rsidRDefault="00000000">
      <w:pPr>
        <w:spacing w:before="240" w:after="240" w:line="360" w:lineRule="auto"/>
        <w:ind w:firstLine="708"/>
        <w:jc w:val="both"/>
        <w:rPr>
          <w:highlight w:val="white"/>
        </w:rPr>
      </w:pPr>
      <w:r>
        <w:t xml:space="preserve"> Desse modo, ao estabelecer o referido parâmetro, as avaliações subjetivas tornam-se mais estáveis (Carvalho </w:t>
      </w:r>
      <w:r>
        <w:rPr>
          <w:highlight w:val="white"/>
        </w:rPr>
        <w:t>&amp; Leite, 2023</w:t>
      </w:r>
      <w:r>
        <w:t>), ainda quando não existem meios objetivos de comparação. Festinger (1954)</w:t>
      </w:r>
      <w:r>
        <w:rPr>
          <w:color w:val="FF0000"/>
        </w:rPr>
        <w:t xml:space="preserve"> </w:t>
      </w:r>
      <w:r>
        <w:t xml:space="preserve">propõe que há no ser humano um impulso de autoavaliação, pois existem certas questões inerentes aos indivíduos acerca de si mesmos, visto que constantemente se deparam refletindo acerca do que podem ou não fazer, do que são ou não capazes, o que podem ou não conquistar, quais são os talentos ou habilidades que possuem. Para obtenção dessas respostas, eles recorrem a informações externas buscando conhecimento sobre seu próprio </w:t>
      </w:r>
      <w:r>
        <w:rPr>
          <w:i/>
        </w:rPr>
        <w:t>"self"</w:t>
      </w:r>
      <w:r>
        <w:rPr>
          <w:i/>
          <w:vertAlign w:val="superscript"/>
        </w:rPr>
        <w:footnoteReference w:id="1"/>
      </w:r>
      <w:r>
        <w:t>.</w:t>
      </w:r>
    </w:p>
    <w:p w14:paraId="514B794A" w14:textId="77777777" w:rsidR="007B6D8F" w:rsidRDefault="00000000">
      <w:pPr>
        <w:spacing w:line="360" w:lineRule="auto"/>
        <w:ind w:firstLine="708"/>
        <w:jc w:val="both"/>
      </w:pPr>
      <w:r>
        <w:t>Este fenômeno é um mecanismo global nas relações sociais e tem o poder de inibir, facilitar ou aumentar determinado comportamento entre certos meios (Suls &amp; Wheeler, 2020). A comparação social, ocorre não apenas a nível individual, mas também em nível de grupo (Festinger,1954). O impulso de autoavaliação contribui para a formação destes, tendo em vista que as pessoas tendem a fazer parte do conjunto de indivíduos cujas opiniões e habilidades são semelhantes às suas, por considerarem-no mais atraente.</w:t>
      </w:r>
    </w:p>
    <w:p w14:paraId="5778F8C1" w14:textId="77777777" w:rsidR="007B6D8F" w:rsidRDefault="00000000">
      <w:pPr>
        <w:spacing w:line="360" w:lineRule="auto"/>
        <w:ind w:firstLine="708"/>
        <w:jc w:val="both"/>
      </w:pPr>
      <w:r>
        <w:t xml:space="preserve">Esse processo envolve a dinâmica dos diferentes níveis de comparação: como a comparação ascendente e a descendente. A comparação social ascendente acontece quando o objeto de comparação está em um aspecto considerado superior ao comparador (Almeida, 2022). Esse tipo de comparação pode ser marcado por um caráter humilhante e tende a provocar mais efeitos negativos (Wang et al., 2017). Enquanto a comparação social descendente pode não ser tão motivador ao comparador, resultando em um processo de estagnação e conformismo no quesito sobre o qual houve a comparação (David G. Myers, 2014). Para o autor, ambas podem dar origem a sentimentos positivos ou negativos independente da direção, a depender da forma que os indivíduos interpretam as informações de comparação e a relevância do alvo. </w:t>
      </w:r>
    </w:p>
    <w:p w14:paraId="56EBDB07" w14:textId="77777777" w:rsidR="007B6D8F" w:rsidRDefault="00000000">
      <w:pPr>
        <w:spacing w:line="360" w:lineRule="auto"/>
        <w:ind w:firstLine="708"/>
        <w:jc w:val="both"/>
        <w:rPr>
          <w:highlight w:val="white"/>
        </w:rPr>
      </w:pPr>
      <w:r>
        <w:rPr>
          <w:highlight w:val="white"/>
        </w:rPr>
        <w:t>A pesquisa conduzida por Carvalho e Leite (2023)</w:t>
      </w:r>
      <w:r>
        <w:t xml:space="preserve">, demonstrou que há uma relação positiva entre a comparação social e a inveja, pois os dados coletados indicam que os consumidores de viagens turísticas são vulneráveis às comparações sociais no mundo físico e no ambiente virtual. De acordo com os autores, à medida que a comparação social desses indivíduos aumenta, o sentimento de inveja também cresce. </w:t>
      </w:r>
      <w:r>
        <w:rPr>
          <w:highlight w:val="white"/>
        </w:rPr>
        <w:t xml:space="preserve">Pode-se dizer que a inundação do sentimento de descontentamento, a sensação desagradável de fracasso e o estresse aliados, geram um significativo impacto na saúde mental do indivíduo, causando ansiedade e desencadeando padrões patológicos de comportamento (Menezes, 2012). </w:t>
      </w:r>
    </w:p>
    <w:p w14:paraId="313E905B" w14:textId="77777777" w:rsidR="007B6D8F" w:rsidRDefault="00000000">
      <w:pPr>
        <w:spacing w:line="360" w:lineRule="auto"/>
        <w:ind w:firstLine="708"/>
        <w:jc w:val="both"/>
        <w:rPr>
          <w:color w:val="FF0000"/>
          <w:highlight w:val="white"/>
        </w:rPr>
      </w:pPr>
      <w:r>
        <w:t>Uma meta-análise conduzida por Yoon et al. (2019) revelou que o uso frequente de redes sociais, como Facebook, está associado a um aumento nos sintomas de depressão, principalmente entre jovens adultos. Essa associação parece ser mediada por fatores como comparação social e exposição a padrões irreais de vida retratados online. Similarmente, Zheng et al. (2020) demonstraram que o uso passivo de redes sociais aumenta a probabilidade de comparações sociais ascendentes, o que, por sua vez, está ligado a maiores níveis de ansiedade em mulheres jovens.</w:t>
      </w:r>
    </w:p>
    <w:p w14:paraId="4834D3B7" w14:textId="77777777" w:rsidR="007B6D8F" w:rsidRDefault="00000000">
      <w:pPr>
        <w:spacing w:line="360" w:lineRule="auto"/>
        <w:ind w:firstLine="708"/>
        <w:jc w:val="both"/>
        <w:rPr>
          <w:i/>
          <w:highlight w:val="white"/>
        </w:rPr>
      </w:pPr>
      <w:r>
        <w:rPr>
          <w:i/>
          <w:highlight w:val="white"/>
        </w:rPr>
        <w:t>Objetivos e Hipóteses</w:t>
      </w:r>
    </w:p>
    <w:p w14:paraId="2DAAF976" w14:textId="77777777" w:rsidR="007B6D8F" w:rsidRDefault="00000000">
      <w:pPr>
        <w:spacing w:line="360" w:lineRule="auto"/>
        <w:ind w:firstLine="708"/>
      </w:pPr>
      <w:r>
        <w:t xml:space="preserve">Apesar desses achados, ainda carece uma compreensão mais aprofundada dos mecanismos subjacentes que explicam o papel das redes, o tempo de uso e seus impactos na saúde mental das pessoas. Esta pesquisa é a primeira que busca compreender melhor o papel do engajamento nas redes sociais e a comparação social na relação do tempo de uso e a saúde mental, adotando como base a teoria da comparação social (Festinger ,1954).  Consideramos que o tempo que as pessoas passam nas redes sociais impacta a saúde mental delas, conforme já demonstrado por diversas pesquisa (Yoon et al.,2019, Zheng et al., 2020; Boers et al., 2019). e que o engajamento leva as pessoas a se compararem, o que poderá levar a piores níveis de saúde mental. </w:t>
      </w:r>
    </w:p>
    <w:p w14:paraId="1330DF83" w14:textId="77777777" w:rsidR="007B6D8F" w:rsidRDefault="007B6D8F">
      <w:pPr>
        <w:pBdr>
          <w:top w:val="nil"/>
          <w:left w:val="nil"/>
          <w:bottom w:val="nil"/>
          <w:right w:val="nil"/>
          <w:between w:val="nil"/>
        </w:pBdr>
        <w:jc w:val="center"/>
        <w:rPr>
          <w:b/>
        </w:rPr>
      </w:pPr>
      <w:bookmarkStart w:id="0" w:name="_heading=h.30j0zll" w:colFirst="0" w:colLast="0"/>
      <w:bookmarkEnd w:id="0"/>
    </w:p>
    <w:p w14:paraId="54FB6E8B" w14:textId="77777777" w:rsidR="007B6D8F" w:rsidRDefault="00000000">
      <w:pPr>
        <w:pBdr>
          <w:top w:val="nil"/>
          <w:left w:val="nil"/>
          <w:bottom w:val="nil"/>
          <w:right w:val="nil"/>
          <w:between w:val="nil"/>
        </w:pBdr>
        <w:jc w:val="center"/>
        <w:rPr>
          <w:b/>
          <w:color w:val="000000"/>
        </w:rPr>
      </w:pPr>
      <w:r>
        <w:rPr>
          <w:b/>
          <w:color w:val="000000"/>
        </w:rPr>
        <w:t>M</w:t>
      </w:r>
      <w:r>
        <w:rPr>
          <w:b/>
        </w:rPr>
        <w:t>étodo</w:t>
      </w:r>
    </w:p>
    <w:p w14:paraId="4CCCAF0D" w14:textId="77777777" w:rsidR="007B6D8F" w:rsidRDefault="00000000">
      <w:pPr>
        <w:spacing w:line="360" w:lineRule="auto"/>
        <w:ind w:firstLine="708"/>
        <w:jc w:val="both"/>
        <w:rPr>
          <w:b/>
        </w:rPr>
      </w:pPr>
      <w:r>
        <w:rPr>
          <w:b/>
          <w:i/>
        </w:rPr>
        <w:t xml:space="preserve">Participantes </w:t>
      </w:r>
    </w:p>
    <w:p w14:paraId="6364566B" w14:textId="77777777" w:rsidR="007B6D8F" w:rsidRDefault="00000000">
      <w:pPr>
        <w:spacing w:line="360" w:lineRule="auto"/>
        <w:ind w:firstLine="708"/>
        <w:jc w:val="both"/>
        <w:rPr>
          <w:b/>
          <w:i/>
        </w:rPr>
      </w:pPr>
      <w:r>
        <w:t>A pesquisa foi conduzida em uma amostra 172 estudantes universitários, com idade entre 18 e 55 anos (M =24,2, DP = 6,74). (72,1%) do sexo feminino, (54,</w:t>
      </w:r>
      <w:proofErr w:type="gramStart"/>
      <w:r>
        <w:t>2,%</w:t>
      </w:r>
      <w:proofErr w:type="gramEnd"/>
      <w:r>
        <w:t xml:space="preserve">) se declarou de cor parda, (50,8,1%)  solteiro(a), (45,2%) disse ser católico. (32,8%) do total da amostra declarou passar mais tempo em pelo menos três redes sociais, incluindo Instagram e Whatsapp. </w:t>
      </w:r>
      <w:r>
        <w:rPr>
          <w:b/>
          <w:i/>
        </w:rPr>
        <w:t>Instrumentos</w:t>
      </w:r>
    </w:p>
    <w:p w14:paraId="1B5438C4" w14:textId="77777777" w:rsidR="007B6D8F" w:rsidRDefault="00000000">
      <w:pPr>
        <w:spacing w:line="360" w:lineRule="auto"/>
        <w:ind w:firstLine="708"/>
        <w:jc w:val="both"/>
      </w:pPr>
      <w:r>
        <w:rPr>
          <w:i/>
        </w:rPr>
        <w:t>Tempo de Uso das redes sociais.</w:t>
      </w:r>
      <w:r>
        <w:rPr>
          <w:b/>
        </w:rPr>
        <w:t xml:space="preserve"> </w:t>
      </w:r>
      <w:r>
        <w:t>Adicionamos uma questão sobre - Qual o seu tempo médio de utilização das redes sociais, diariamente? A escala de resposta variou de 0 = zero horas a 8 = sete horas ou mais.</w:t>
      </w:r>
    </w:p>
    <w:p w14:paraId="09126E47" w14:textId="77777777" w:rsidR="007B6D8F" w:rsidRDefault="00000000">
      <w:pPr>
        <w:spacing w:line="360" w:lineRule="auto"/>
        <w:ind w:firstLine="708"/>
        <w:jc w:val="both"/>
        <w:rPr>
          <w:b/>
          <w:color w:val="333333"/>
        </w:rPr>
      </w:pPr>
      <w:r>
        <w:rPr>
          <w:i/>
          <w:color w:val="000000"/>
          <w:highlight w:val="white"/>
        </w:rPr>
        <w:t>Engajamento em Mídias Sociais (QEMS):</w:t>
      </w:r>
      <w:r>
        <w:rPr>
          <w:b/>
          <w:color w:val="000000"/>
          <w:highlight w:val="white"/>
        </w:rPr>
        <w:t xml:space="preserve"> </w:t>
      </w:r>
      <w:r>
        <w:rPr>
          <w:color w:val="000000"/>
          <w:highlight w:val="white"/>
        </w:rPr>
        <w:t xml:space="preserve">A escala foi desenvolvida por Przybylski et al. (2013) e </w:t>
      </w:r>
      <w:r>
        <w:t xml:space="preserve">adaptada para o contexto brasileiro por Mariano et al., (2019). </w:t>
      </w:r>
      <w:r>
        <w:rPr>
          <w:color w:val="000000"/>
          <w:highlight w:val="white"/>
        </w:rPr>
        <w:t xml:space="preserve"> </w:t>
      </w:r>
      <w:r>
        <w:t xml:space="preserve">Este constructo foi medido por meio de pergunta estímulo </w:t>
      </w:r>
      <w:r>
        <w:rPr>
          <w:color w:val="000000"/>
          <w:highlight w:val="white"/>
        </w:rPr>
        <w:t>(</w:t>
      </w:r>
      <w:r>
        <w:rPr>
          <w:i/>
          <w:color w:val="000000"/>
          <w:highlight w:val="white"/>
        </w:rPr>
        <w:t>Com que frequência você usou alguma rede social...</w:t>
      </w:r>
      <w:r>
        <w:rPr>
          <w:color w:val="000000"/>
          <w:highlight w:val="white"/>
        </w:rPr>
        <w:t>), de maneira que os participantes deveriam indicar a frequência de uso de suas redes sociais diariamente (1. </w:t>
      </w:r>
      <w:r>
        <w:rPr>
          <w:i/>
          <w:color w:val="000000"/>
          <w:highlight w:val="white"/>
        </w:rPr>
        <w:t xml:space="preserve">Nos 15 minutos depois de </w:t>
      </w:r>
      <w:proofErr w:type="gramStart"/>
      <w:r>
        <w:rPr>
          <w:i/>
          <w:color w:val="000000"/>
          <w:highlight w:val="white"/>
        </w:rPr>
        <w:t>acordar?</w:t>
      </w:r>
      <w:r>
        <w:rPr>
          <w:color w:val="000000"/>
          <w:highlight w:val="white"/>
        </w:rPr>
        <w:t>;</w:t>
      </w:r>
      <w:proofErr w:type="gramEnd"/>
      <w:r>
        <w:rPr>
          <w:color w:val="000000"/>
          <w:highlight w:val="white"/>
        </w:rPr>
        <w:t xml:space="preserve"> 2. </w:t>
      </w:r>
      <w:r>
        <w:rPr>
          <w:i/>
          <w:color w:val="000000"/>
          <w:highlight w:val="white"/>
        </w:rPr>
        <w:t xml:space="preserve">Enquanto estava tomando café da </w:t>
      </w:r>
      <w:proofErr w:type="gramStart"/>
      <w:r>
        <w:rPr>
          <w:i/>
          <w:color w:val="000000"/>
          <w:highlight w:val="white"/>
        </w:rPr>
        <w:t>manhã?</w:t>
      </w:r>
      <w:r>
        <w:rPr>
          <w:color w:val="000000"/>
          <w:highlight w:val="white"/>
        </w:rPr>
        <w:t>;</w:t>
      </w:r>
      <w:proofErr w:type="gramEnd"/>
      <w:r>
        <w:rPr>
          <w:color w:val="000000"/>
          <w:highlight w:val="white"/>
        </w:rPr>
        <w:t xml:space="preserve"> 3. </w:t>
      </w:r>
      <w:r>
        <w:rPr>
          <w:i/>
          <w:color w:val="000000"/>
          <w:highlight w:val="white"/>
        </w:rPr>
        <w:t xml:space="preserve">Enquanto estava </w:t>
      </w:r>
      <w:proofErr w:type="gramStart"/>
      <w:r>
        <w:rPr>
          <w:i/>
          <w:color w:val="000000"/>
          <w:highlight w:val="white"/>
        </w:rPr>
        <w:t>almoçando?</w:t>
      </w:r>
      <w:r>
        <w:rPr>
          <w:color w:val="000000"/>
          <w:highlight w:val="white"/>
        </w:rPr>
        <w:t>;</w:t>
      </w:r>
      <w:proofErr w:type="gramEnd"/>
      <w:r>
        <w:rPr>
          <w:color w:val="000000"/>
          <w:highlight w:val="white"/>
        </w:rPr>
        <w:t xml:space="preserve"> 4. </w:t>
      </w:r>
      <w:r>
        <w:rPr>
          <w:i/>
          <w:color w:val="000000"/>
          <w:highlight w:val="white"/>
        </w:rPr>
        <w:t xml:space="preserve">Enquanto estava </w:t>
      </w:r>
      <w:proofErr w:type="gramStart"/>
      <w:r>
        <w:rPr>
          <w:i/>
          <w:color w:val="000000"/>
          <w:highlight w:val="white"/>
        </w:rPr>
        <w:t>jantando?</w:t>
      </w:r>
      <w:r>
        <w:rPr>
          <w:color w:val="000000"/>
          <w:highlight w:val="white"/>
        </w:rPr>
        <w:t>;</w:t>
      </w:r>
      <w:proofErr w:type="gramEnd"/>
      <w:r>
        <w:rPr>
          <w:color w:val="000000"/>
          <w:highlight w:val="white"/>
        </w:rPr>
        <w:t xml:space="preserve"> 5. </w:t>
      </w:r>
      <w:r>
        <w:rPr>
          <w:i/>
          <w:color w:val="000000"/>
          <w:highlight w:val="white"/>
        </w:rPr>
        <w:t>Nos 15 minutos antes de dormir?</w:t>
      </w:r>
      <w:r>
        <w:rPr>
          <w:color w:val="000000"/>
          <w:highlight w:val="white"/>
        </w:rPr>
        <w:t xml:space="preserve">) no decorrer de uma semana. A escala de resposta é de oito pontos e varia de 1 (Nenhum dia) a 8 (Todos </w:t>
      </w:r>
      <w:r>
        <w:rPr>
          <w:highlight w:val="white"/>
        </w:rPr>
        <w:t xml:space="preserve">os dias). A fiabilidade do instrumento para o </w:t>
      </w:r>
      <w:r>
        <w:t>α de Cronbach (.80) e ω de McDonald (.81).</w:t>
      </w:r>
    </w:p>
    <w:p w14:paraId="231D60AD" w14:textId="77777777" w:rsidR="007B6D8F" w:rsidRDefault="00000000">
      <w:pPr>
        <w:spacing w:line="360" w:lineRule="auto"/>
        <w:ind w:firstLine="708"/>
        <w:jc w:val="both"/>
        <w:rPr>
          <w:b/>
          <w:color w:val="333333"/>
        </w:rPr>
      </w:pPr>
      <w:r w:rsidRPr="004465FF">
        <w:rPr>
          <w:i/>
          <w:lang w:val="en-US"/>
        </w:rPr>
        <w:t xml:space="preserve">Escala Iowa-Netherlands Comparison Orientation Measure (INCOM; Gibbons &amp; Buunk, 1999). </w:t>
      </w:r>
      <w:r>
        <w:t xml:space="preserve">Este construto foi medido por meio de uma escala que avalia as diferenças individuais das pessoas em termos de se comparar com outras pessoas envolvendo a aparência, status social e outras dimensões. A escala contém de autorrelato contendo 11 itens que são respondidos em escala tipo Likert variando entre 1 (discordo totalmente) a 7 (concordo totalmente). Para este instrumento, realizamos uma análise dos componentes principais, visto que a medida não foi validada para o contexto brasileiro. Os resultados dos indicadores de Kaiser-Meyer-Olkin (KMO = 0,81) e o teste de esfericidade de Bartlett [χ2 (55) = 535 p &lt; 0,001] mostraram que a medida era passível de ser fatorada. A partir dos resultados da análise dos componentes, obteve-se uma medida unidimensional com valor próprio de (3,78) e (34,3%) de variância explicada.   </w:t>
      </w:r>
      <w:r>
        <w:rPr>
          <w:highlight w:val="white"/>
        </w:rPr>
        <w:t xml:space="preserve">A fiabilidade do instrumento para o </w:t>
      </w:r>
      <w:r>
        <w:t>α de Cronbach (.67) e ω de McDonald (.73).</w:t>
      </w:r>
    </w:p>
    <w:p w14:paraId="3912A03E" w14:textId="77777777" w:rsidR="007B6D8F" w:rsidRDefault="00000000">
      <w:pPr>
        <w:spacing w:line="360" w:lineRule="auto"/>
        <w:ind w:firstLine="708"/>
        <w:jc w:val="both"/>
        <w:rPr>
          <w:b/>
          <w:color w:val="333333"/>
        </w:rPr>
      </w:pPr>
      <w:r w:rsidRPr="004465FF">
        <w:rPr>
          <w:i/>
          <w:lang w:val="en-US"/>
        </w:rPr>
        <w:t>Depression, Anxiety and Stress Scale – Short Form (DASS-21).</w:t>
      </w:r>
      <w:r w:rsidRPr="004465FF">
        <w:rPr>
          <w:lang w:val="en-US"/>
        </w:rPr>
        <w:t xml:space="preserve"> </w:t>
      </w:r>
      <w:r>
        <w:t xml:space="preserve">Este construto será medido por meio de uma escala que avalia a percepção da saúde mental.  Desenvolvida por Lovibond e Lovibond (1995) e validada por Patias et al. (2016). Composta por 21 itens e com o objetivo de medir e diferenciar, ao máximo, os sintomas do estresse, ansiedade e depressão. A escala é Likert de 0 a 3 pontos (0 - </w:t>
      </w:r>
      <w:proofErr w:type="gramStart"/>
      <w:r>
        <w:t>Não  aconteceu</w:t>
      </w:r>
      <w:proofErr w:type="gramEnd"/>
      <w:r>
        <w:t xml:space="preserve">  comigo  nessa  semana; 1 - Aconteceu comigo algumas vezes na  semana;  2  -  Aconteceu  comigo  em  boa  parte da semana; e, 3 - Aconteceu comigo na maior parte do tempo da semana). </w:t>
      </w:r>
      <w:r>
        <w:rPr>
          <w:highlight w:val="white"/>
        </w:rPr>
        <w:t xml:space="preserve">A fiabilidade do fator estresse foi de </w:t>
      </w:r>
      <w:r>
        <w:t>α de Cronbach (.87) e ω de McDonald (.87) enquanto para ansiedade foi de Cronbach (.87) e ω de McDonald (.87) e para depressão foi de Cronbach (.89) e ω de McDonald (.89)</w:t>
      </w:r>
    </w:p>
    <w:p w14:paraId="1A9A4ABC" w14:textId="77777777" w:rsidR="007B6D8F" w:rsidRDefault="00000000">
      <w:pPr>
        <w:spacing w:line="360" w:lineRule="auto"/>
        <w:jc w:val="both"/>
      </w:pPr>
      <w:r>
        <w:rPr>
          <w:i/>
        </w:rPr>
        <w:t>Questionário sociodemográfico.</w:t>
      </w:r>
      <w:r>
        <w:rPr>
          <w:b/>
        </w:rPr>
        <w:t xml:space="preserve"> </w:t>
      </w:r>
      <w:r>
        <w:t xml:space="preserve">A fim de caracterizar a amostra utilizaremos questões, como sexo, idade, cor/etnia, bem como uma questão, a fim de saber qual a rede social que os participantes passam mais tempo. </w:t>
      </w:r>
    </w:p>
    <w:p w14:paraId="2C31CA77" w14:textId="77777777" w:rsidR="007B6D8F" w:rsidRDefault="00000000">
      <w:pPr>
        <w:spacing w:line="360" w:lineRule="auto"/>
        <w:ind w:firstLine="708"/>
        <w:jc w:val="both"/>
        <w:rPr>
          <w:b/>
        </w:rPr>
      </w:pPr>
      <w:r>
        <w:rPr>
          <w:b/>
          <w:i/>
        </w:rPr>
        <w:t>Procedimento</w:t>
      </w:r>
      <w:r>
        <w:rPr>
          <w:b/>
        </w:rPr>
        <w:t xml:space="preserve"> </w:t>
      </w:r>
    </w:p>
    <w:p w14:paraId="0D310B9A" w14:textId="77777777" w:rsidR="007B6D8F" w:rsidRDefault="00000000">
      <w:pPr>
        <w:spacing w:line="360" w:lineRule="auto"/>
        <w:ind w:firstLine="708"/>
        <w:jc w:val="both"/>
        <w:rPr>
          <w:b/>
        </w:rPr>
      </w:pPr>
      <w:r>
        <w:t>Os dados foram coletados por meio de formulário online e divulgado por meio das redes sociais: Facebook; Instagram; Whatsapp, logo após a aprovação do comitê de ética em pesquisa, bem como o aceite dos participantes em concordar que são maiores de 18 anos, e que se apresentam disponíveis para responder a pesquisa de forma voluntária.</w:t>
      </w:r>
    </w:p>
    <w:p w14:paraId="2D96DAA7" w14:textId="77777777" w:rsidR="007B6D8F" w:rsidRDefault="00000000">
      <w:pPr>
        <w:spacing w:line="360" w:lineRule="auto"/>
        <w:ind w:firstLine="708"/>
        <w:jc w:val="both"/>
        <w:rPr>
          <w:b/>
          <w:i/>
        </w:rPr>
      </w:pPr>
      <w:r>
        <w:rPr>
          <w:b/>
          <w:i/>
        </w:rPr>
        <w:t>Considerações éticas</w:t>
      </w:r>
    </w:p>
    <w:p w14:paraId="0F4F0BFE" w14:textId="77777777" w:rsidR="007B6D8F" w:rsidRDefault="00000000">
      <w:pPr>
        <w:spacing w:line="360" w:lineRule="auto"/>
        <w:ind w:firstLine="720"/>
        <w:jc w:val="both"/>
      </w:pPr>
      <w:r>
        <w:rPr>
          <w:b/>
        </w:rPr>
        <w:t xml:space="preserve"> </w:t>
      </w:r>
      <w:r>
        <w:t>O projeto foi submetido ao comitê de ética em pesquisa, via plataforma Brasil, e teve o parecer favorável sob o número de CAEE: seguindo os padrões éticos gerais e específicos para esse tipo de pesquisa, conforme a resolução nº 510/2016 do Conselho Nacional de Saúde Brasileiro. Além disso, foram seguidas a Declaração Universal de Princípios Éticos para Psicólogos (IAAP &amp; IUPsyS, 2008), as Diretrizes Éticas Internacionais para Pesquisa Biomédica Envolvendo Seres Humanos (CIOMS, OMS &amp; OPAS, 2016) e as declarações da ISP sobre comportamento ético no momento da submissão (ISP, 1978, 2008a, 2008b, 2014, 2016, 2018, 2019).</w:t>
      </w:r>
    </w:p>
    <w:p w14:paraId="668BC226" w14:textId="77777777" w:rsidR="007B6D8F" w:rsidRDefault="00000000">
      <w:pPr>
        <w:spacing w:line="360" w:lineRule="auto"/>
        <w:ind w:firstLine="720"/>
        <w:jc w:val="both"/>
        <w:rPr>
          <w:b/>
          <w:i/>
        </w:rPr>
      </w:pPr>
      <w:r>
        <w:rPr>
          <w:b/>
          <w:i/>
        </w:rPr>
        <w:t>Análise de dados</w:t>
      </w:r>
    </w:p>
    <w:p w14:paraId="1AA41276" w14:textId="77777777" w:rsidR="007B6D8F" w:rsidRDefault="00000000">
      <w:pPr>
        <w:spacing w:line="360" w:lineRule="auto"/>
        <w:ind w:firstLine="720"/>
        <w:jc w:val="both"/>
      </w:pPr>
      <w:r>
        <w:t xml:space="preserve">Calculou-se estatísticas descritivas (frequência, média, desvio-padrão) para os dados sociodemográficos. Correlações bivariadas para a análise de correlação entre todas as escalas e coeficiente de alfa de Cronbach ômega de McDonald para a fiabilidade das escalas. Usamos a modelagem de processos condicionais para testar a mediação sequencial dos mediadores sequenciais (engajamento nas redes sociais e a comparação social) usando </w:t>
      </w:r>
      <w:r>
        <w:rPr>
          <w:i/>
        </w:rPr>
        <w:t xml:space="preserve">jamovi </w:t>
      </w:r>
      <w:r>
        <w:t xml:space="preserve">(versão 2.3.8) no pacote SEM. A significância dos efeitos indiretos foi examinada em mais de 5.000 amostras de bootstrap com intervalos de confiança (IC) de 95%. Assim conclui-se que, quando o zero não está dentro dos limites de confiança de 95%, o efeito indireto foi significativamente diferente de zero com p &lt; 0,05. </w:t>
      </w:r>
    </w:p>
    <w:p w14:paraId="2364E680" w14:textId="77777777" w:rsidR="007B6D8F" w:rsidRDefault="007B6D8F">
      <w:pPr>
        <w:pBdr>
          <w:top w:val="nil"/>
          <w:left w:val="nil"/>
          <w:bottom w:val="nil"/>
          <w:right w:val="nil"/>
          <w:between w:val="nil"/>
        </w:pBdr>
      </w:pPr>
    </w:p>
    <w:p w14:paraId="70EB87BA" w14:textId="77777777" w:rsidR="007B6D8F" w:rsidRDefault="00000000">
      <w:pPr>
        <w:pBdr>
          <w:top w:val="nil"/>
          <w:left w:val="nil"/>
          <w:bottom w:val="nil"/>
          <w:right w:val="nil"/>
          <w:between w:val="nil"/>
        </w:pBdr>
        <w:jc w:val="center"/>
        <w:rPr>
          <w:b/>
        </w:rPr>
      </w:pPr>
      <w:r>
        <w:rPr>
          <w:b/>
          <w:color w:val="000000"/>
        </w:rPr>
        <w:t>Result</w:t>
      </w:r>
      <w:r>
        <w:rPr>
          <w:b/>
        </w:rPr>
        <w:t>ados</w:t>
      </w:r>
    </w:p>
    <w:p w14:paraId="16C2D280" w14:textId="77777777" w:rsidR="007B6D8F" w:rsidRDefault="007B6D8F">
      <w:pPr>
        <w:pBdr>
          <w:top w:val="nil"/>
          <w:left w:val="nil"/>
          <w:bottom w:val="nil"/>
          <w:right w:val="nil"/>
          <w:between w:val="nil"/>
        </w:pBdr>
        <w:rPr>
          <w:b/>
        </w:rPr>
      </w:pPr>
    </w:p>
    <w:p w14:paraId="4B122994" w14:textId="77777777" w:rsidR="007B6D8F" w:rsidRDefault="00000000">
      <w:pPr>
        <w:spacing w:line="360" w:lineRule="auto"/>
        <w:jc w:val="both"/>
        <w:rPr>
          <w:b/>
          <w:i/>
        </w:rPr>
      </w:pPr>
      <w:r>
        <w:rPr>
          <w:b/>
          <w:i/>
        </w:rPr>
        <w:t>Análise de correlação</w:t>
      </w:r>
    </w:p>
    <w:p w14:paraId="12D1EBA2" w14:textId="77777777" w:rsidR="007B6D8F" w:rsidRDefault="00000000">
      <w:pPr>
        <w:spacing w:line="360" w:lineRule="auto"/>
        <w:jc w:val="both"/>
      </w:pPr>
      <w:r>
        <w:rPr>
          <w:b/>
        </w:rPr>
        <w:tab/>
      </w:r>
      <w:r>
        <w:t xml:space="preserve">Os resultados mostraram relações positivas e significativas entre o engajamento em redes sociais e a ansiedade (r= .23, p = 0.001) o estresse (r= .24, p = &lt; .001), comparação social (.25, p&lt;.001), mas não com a depressão. Também houve relações significativas da comparação social e a depressão (r= .30, p= &lt; .001), a ansiedade (r=.33 &lt; .001) e o estresse (r= .31, &lt; .001). Os resultados também mostraram estatísticas negativas e significativas entre a autoestima e a depressão (r=-.59, p&lt;.001), estresse (r= -.30, p&lt;.001), ansiedade (r= -.37, p&lt;.001) e a comparação </w:t>
      </w:r>
      <w:proofErr w:type="gramStart"/>
      <w:r>
        <w:t>social  (</w:t>
      </w:r>
      <w:proofErr w:type="gramEnd"/>
      <w:r>
        <w:t>r= -.32, p&lt;.001). O tempo que a pessoa faz uso de redes sociais se correlacionou positivamente com o engajamento (r=.45, p&lt;.001), a ansiedade (r= .24, p&lt;.001), o estresse (r= .17 p = 0.022), e a comparação social (r = .16, p=0.031), e não com depressão. O sexo se correlacionou com a ansiedade (r= -.21, p= 0.004) e o estresse (r=-.24 p=0.001) indicando que os participantes do sexo masculino apresentaram níveis mais baixos de ansiedade e estresse. Tabela 1.</w:t>
      </w:r>
    </w:p>
    <w:p w14:paraId="1A4969AA" w14:textId="77777777" w:rsidR="007B6D8F" w:rsidRDefault="007B6D8F">
      <w:pPr>
        <w:spacing w:line="360" w:lineRule="auto"/>
        <w:jc w:val="both"/>
        <w:rPr>
          <w:b/>
        </w:rPr>
      </w:pPr>
    </w:p>
    <w:p w14:paraId="0D6760FF" w14:textId="5C0DEE30" w:rsidR="007B6D8F" w:rsidRPr="004465FF" w:rsidRDefault="00000000">
      <w:pPr>
        <w:rPr>
          <w:bCs/>
        </w:rPr>
      </w:pPr>
      <w:r w:rsidRPr="004465FF">
        <w:rPr>
          <w:bCs/>
        </w:rPr>
        <w:t>Tabela 1</w:t>
      </w:r>
    </w:p>
    <w:p w14:paraId="5200DFFE" w14:textId="77777777" w:rsidR="007B6D8F" w:rsidRPr="004465FF" w:rsidRDefault="00000000">
      <w:pPr>
        <w:rPr>
          <w:i/>
          <w:sz w:val="20"/>
          <w:szCs w:val="20"/>
        </w:rPr>
      </w:pPr>
      <w:r w:rsidRPr="004465FF">
        <w:rPr>
          <w:b/>
          <w:sz w:val="20"/>
          <w:szCs w:val="20"/>
        </w:rPr>
        <w:t xml:space="preserve"> </w:t>
      </w:r>
      <w:r w:rsidRPr="004465FF">
        <w:rPr>
          <w:i/>
          <w:sz w:val="20"/>
          <w:szCs w:val="20"/>
        </w:rPr>
        <w:t>Estatística descritiva e matriz de correlação - r de Pearson de variáveis.</w:t>
      </w:r>
    </w:p>
    <w:p w14:paraId="069DE673" w14:textId="77777777" w:rsidR="007B6D8F" w:rsidRPr="004465FF" w:rsidRDefault="007B6D8F">
      <w:pPr>
        <w:rPr>
          <w:i/>
          <w:sz w:val="20"/>
          <w:szCs w:val="20"/>
        </w:rPr>
      </w:pPr>
    </w:p>
    <w:p w14:paraId="729E6EB7" w14:textId="77777777" w:rsidR="007B6D8F" w:rsidRDefault="007B6D8F">
      <w:pPr>
        <w:rPr>
          <w:i/>
        </w:rPr>
      </w:pPr>
    </w:p>
    <w:p w14:paraId="430A5160" w14:textId="77777777" w:rsidR="007B6D8F" w:rsidRDefault="007B6D8F">
      <w:pPr>
        <w:rPr>
          <w:i/>
        </w:rPr>
      </w:pPr>
    </w:p>
    <w:p w14:paraId="7DE0A31E" w14:textId="77777777" w:rsidR="007B6D8F" w:rsidRDefault="007B6D8F">
      <w:pPr>
        <w:rPr>
          <w:i/>
        </w:rPr>
      </w:pPr>
    </w:p>
    <w:p w14:paraId="2DDEAE89" w14:textId="77777777" w:rsidR="007B6D8F" w:rsidRDefault="007B6D8F">
      <w:pPr>
        <w:rPr>
          <w:i/>
        </w:rPr>
      </w:pPr>
    </w:p>
    <w:p w14:paraId="52DA8254" w14:textId="77777777" w:rsidR="007B6D8F" w:rsidRDefault="007B6D8F">
      <w:pPr>
        <w:rPr>
          <w:i/>
        </w:rPr>
      </w:pPr>
    </w:p>
    <w:p w14:paraId="23C6B213" w14:textId="77777777" w:rsidR="007B6D8F" w:rsidRDefault="007B6D8F">
      <w:pPr>
        <w:rPr>
          <w:i/>
        </w:rPr>
      </w:pPr>
    </w:p>
    <w:p w14:paraId="18AA496A" w14:textId="77777777" w:rsidR="007B6D8F" w:rsidRDefault="007B6D8F">
      <w:pPr>
        <w:rPr>
          <w:i/>
        </w:rPr>
      </w:pPr>
    </w:p>
    <w:p w14:paraId="57CF180F" w14:textId="77777777" w:rsidR="007B6D8F" w:rsidRDefault="007B6D8F">
      <w:pPr>
        <w:rPr>
          <w:i/>
        </w:rPr>
      </w:pPr>
    </w:p>
    <w:p w14:paraId="3EDAEC43" w14:textId="77777777" w:rsidR="007B6D8F" w:rsidRDefault="007B6D8F">
      <w:pPr>
        <w:rPr>
          <w:i/>
        </w:rPr>
      </w:pPr>
    </w:p>
    <w:p w14:paraId="6FA6A6FF" w14:textId="77777777" w:rsidR="007B6D8F" w:rsidRDefault="007B6D8F">
      <w:pPr>
        <w:rPr>
          <w:i/>
        </w:rPr>
      </w:pPr>
    </w:p>
    <w:p w14:paraId="67616A9D" w14:textId="77777777" w:rsidR="007B6D8F" w:rsidRDefault="007B6D8F">
      <w:pPr>
        <w:rPr>
          <w:b/>
          <w:i/>
        </w:rPr>
      </w:pPr>
    </w:p>
    <w:tbl>
      <w:tblPr>
        <w:tblStyle w:val="a"/>
        <w:tblW w:w="9636" w:type="dxa"/>
        <w:tblInd w:w="-426" w:type="dxa"/>
        <w:tblLayout w:type="fixed"/>
        <w:tblLook w:val="0400" w:firstRow="0" w:lastRow="0" w:firstColumn="0" w:lastColumn="0" w:noHBand="0" w:noVBand="1"/>
      </w:tblPr>
      <w:tblGrid>
        <w:gridCol w:w="1493"/>
        <w:gridCol w:w="186"/>
        <w:gridCol w:w="609"/>
        <w:gridCol w:w="510"/>
        <w:gridCol w:w="609"/>
        <w:gridCol w:w="510"/>
        <w:gridCol w:w="609"/>
        <w:gridCol w:w="510"/>
        <w:gridCol w:w="609"/>
        <w:gridCol w:w="510"/>
        <w:gridCol w:w="609"/>
        <w:gridCol w:w="510"/>
        <w:gridCol w:w="645"/>
        <w:gridCol w:w="186"/>
        <w:gridCol w:w="609"/>
        <w:gridCol w:w="186"/>
        <w:gridCol w:w="535"/>
        <w:gridCol w:w="201"/>
      </w:tblGrid>
      <w:tr w:rsidR="007B6D8F" w14:paraId="0B9FAED3" w14:textId="77777777">
        <w:trPr>
          <w:cantSplit/>
          <w:tblHeader/>
        </w:trPr>
        <w:tc>
          <w:tcPr>
            <w:tcW w:w="9636" w:type="dxa"/>
            <w:gridSpan w:val="18"/>
            <w:tcBorders>
              <w:top w:val="nil"/>
              <w:left w:val="nil"/>
              <w:bottom w:val="single" w:sz="6" w:space="0" w:color="333333"/>
              <w:right w:val="nil"/>
            </w:tcBorders>
            <w:tcMar>
              <w:top w:w="60" w:type="dxa"/>
              <w:left w:w="0" w:type="dxa"/>
              <w:bottom w:w="60" w:type="dxa"/>
              <w:right w:w="120" w:type="dxa"/>
            </w:tcMar>
            <w:vAlign w:val="center"/>
          </w:tcPr>
          <w:p w14:paraId="1F43EB1E" w14:textId="77777777" w:rsidR="007B6D8F" w:rsidRDefault="007B6D8F">
            <w:pPr>
              <w:rPr>
                <w:b/>
                <w:sz w:val="22"/>
                <w:szCs w:val="22"/>
              </w:rPr>
            </w:pPr>
          </w:p>
        </w:tc>
      </w:tr>
      <w:tr w:rsidR="007B6D8F" w14:paraId="252E1885" w14:textId="77777777">
        <w:trPr>
          <w:cantSplit/>
          <w:tblHeader/>
        </w:trPr>
        <w:tc>
          <w:tcPr>
            <w:tcW w:w="1679" w:type="dxa"/>
            <w:gridSpan w:val="2"/>
            <w:tcBorders>
              <w:top w:val="nil"/>
              <w:left w:val="nil"/>
              <w:bottom w:val="single" w:sz="6" w:space="0" w:color="333333"/>
              <w:right w:val="nil"/>
            </w:tcBorders>
            <w:tcMar>
              <w:top w:w="60" w:type="dxa"/>
              <w:left w:w="120" w:type="dxa"/>
              <w:bottom w:w="60" w:type="dxa"/>
              <w:right w:w="120" w:type="dxa"/>
            </w:tcMar>
            <w:vAlign w:val="center"/>
          </w:tcPr>
          <w:p w14:paraId="08028EBA" w14:textId="77777777" w:rsidR="007B6D8F" w:rsidRPr="004465FF" w:rsidRDefault="00000000">
            <w:pPr>
              <w:jc w:val="center"/>
              <w:rPr>
                <w:b/>
                <w:sz w:val="20"/>
                <w:szCs w:val="20"/>
              </w:rPr>
            </w:pPr>
            <w:r w:rsidRPr="004465FF">
              <w:rPr>
                <w:b/>
                <w:sz w:val="20"/>
                <w:szCs w:val="20"/>
              </w:rPr>
              <w:t> </w:t>
            </w:r>
          </w:p>
        </w:tc>
        <w:tc>
          <w:tcPr>
            <w:tcW w:w="1119" w:type="dxa"/>
            <w:gridSpan w:val="2"/>
            <w:tcBorders>
              <w:top w:val="nil"/>
              <w:left w:val="nil"/>
              <w:bottom w:val="single" w:sz="6" w:space="0" w:color="333333"/>
              <w:right w:val="nil"/>
            </w:tcBorders>
            <w:tcMar>
              <w:top w:w="60" w:type="dxa"/>
              <w:left w:w="120" w:type="dxa"/>
              <w:bottom w:w="60" w:type="dxa"/>
              <w:right w:w="120" w:type="dxa"/>
            </w:tcMar>
            <w:vAlign w:val="center"/>
          </w:tcPr>
          <w:p w14:paraId="652A2047" w14:textId="77777777" w:rsidR="007B6D8F" w:rsidRPr="004465FF" w:rsidRDefault="00000000">
            <w:pPr>
              <w:jc w:val="center"/>
              <w:rPr>
                <w:b/>
                <w:sz w:val="20"/>
                <w:szCs w:val="20"/>
              </w:rPr>
            </w:pPr>
            <w:r w:rsidRPr="004465FF">
              <w:rPr>
                <w:b/>
                <w:sz w:val="20"/>
                <w:szCs w:val="20"/>
              </w:rPr>
              <w:t>1</w:t>
            </w:r>
          </w:p>
        </w:tc>
        <w:tc>
          <w:tcPr>
            <w:tcW w:w="1119" w:type="dxa"/>
            <w:gridSpan w:val="2"/>
            <w:tcBorders>
              <w:top w:val="nil"/>
              <w:left w:val="nil"/>
              <w:bottom w:val="single" w:sz="6" w:space="0" w:color="333333"/>
              <w:right w:val="nil"/>
            </w:tcBorders>
            <w:tcMar>
              <w:top w:w="60" w:type="dxa"/>
              <w:left w:w="120" w:type="dxa"/>
              <w:bottom w:w="60" w:type="dxa"/>
              <w:right w:w="120" w:type="dxa"/>
            </w:tcMar>
            <w:vAlign w:val="center"/>
          </w:tcPr>
          <w:p w14:paraId="1C25322A" w14:textId="77777777" w:rsidR="007B6D8F" w:rsidRPr="004465FF" w:rsidRDefault="00000000">
            <w:pPr>
              <w:jc w:val="center"/>
              <w:rPr>
                <w:b/>
                <w:sz w:val="20"/>
                <w:szCs w:val="20"/>
              </w:rPr>
            </w:pPr>
            <w:r w:rsidRPr="004465FF">
              <w:rPr>
                <w:b/>
                <w:sz w:val="20"/>
                <w:szCs w:val="20"/>
              </w:rPr>
              <w:t>2</w:t>
            </w:r>
          </w:p>
        </w:tc>
        <w:tc>
          <w:tcPr>
            <w:tcW w:w="1119" w:type="dxa"/>
            <w:gridSpan w:val="2"/>
            <w:tcBorders>
              <w:top w:val="nil"/>
              <w:left w:val="nil"/>
              <w:bottom w:val="single" w:sz="6" w:space="0" w:color="333333"/>
              <w:right w:val="nil"/>
            </w:tcBorders>
            <w:tcMar>
              <w:top w:w="60" w:type="dxa"/>
              <w:left w:w="120" w:type="dxa"/>
              <w:bottom w:w="60" w:type="dxa"/>
              <w:right w:w="120" w:type="dxa"/>
            </w:tcMar>
            <w:vAlign w:val="center"/>
          </w:tcPr>
          <w:p w14:paraId="5A023E16" w14:textId="77777777" w:rsidR="007B6D8F" w:rsidRPr="004465FF" w:rsidRDefault="00000000">
            <w:pPr>
              <w:jc w:val="center"/>
              <w:rPr>
                <w:b/>
                <w:sz w:val="20"/>
                <w:szCs w:val="20"/>
              </w:rPr>
            </w:pPr>
            <w:r w:rsidRPr="004465FF">
              <w:rPr>
                <w:b/>
                <w:sz w:val="20"/>
                <w:szCs w:val="20"/>
              </w:rPr>
              <w:t>3</w:t>
            </w:r>
          </w:p>
        </w:tc>
        <w:tc>
          <w:tcPr>
            <w:tcW w:w="1119" w:type="dxa"/>
            <w:gridSpan w:val="2"/>
            <w:tcBorders>
              <w:top w:val="nil"/>
              <w:left w:val="nil"/>
              <w:bottom w:val="single" w:sz="6" w:space="0" w:color="333333"/>
              <w:right w:val="nil"/>
            </w:tcBorders>
            <w:tcMar>
              <w:top w:w="60" w:type="dxa"/>
              <w:left w:w="120" w:type="dxa"/>
              <w:bottom w:w="60" w:type="dxa"/>
              <w:right w:w="120" w:type="dxa"/>
            </w:tcMar>
            <w:vAlign w:val="center"/>
          </w:tcPr>
          <w:p w14:paraId="2314C11D" w14:textId="77777777" w:rsidR="007B6D8F" w:rsidRPr="004465FF" w:rsidRDefault="00000000">
            <w:pPr>
              <w:jc w:val="center"/>
              <w:rPr>
                <w:b/>
                <w:sz w:val="20"/>
                <w:szCs w:val="20"/>
              </w:rPr>
            </w:pPr>
            <w:r w:rsidRPr="004465FF">
              <w:rPr>
                <w:b/>
                <w:sz w:val="20"/>
                <w:szCs w:val="20"/>
              </w:rPr>
              <w:t>4</w:t>
            </w:r>
          </w:p>
        </w:tc>
        <w:tc>
          <w:tcPr>
            <w:tcW w:w="1119" w:type="dxa"/>
            <w:gridSpan w:val="2"/>
            <w:tcBorders>
              <w:top w:val="nil"/>
              <w:left w:val="nil"/>
              <w:bottom w:val="single" w:sz="6" w:space="0" w:color="333333"/>
              <w:right w:val="nil"/>
            </w:tcBorders>
            <w:tcMar>
              <w:top w:w="60" w:type="dxa"/>
              <w:left w:w="120" w:type="dxa"/>
              <w:bottom w:w="60" w:type="dxa"/>
              <w:right w:w="120" w:type="dxa"/>
            </w:tcMar>
            <w:vAlign w:val="center"/>
          </w:tcPr>
          <w:p w14:paraId="6E413752" w14:textId="77777777" w:rsidR="007B6D8F" w:rsidRPr="004465FF" w:rsidRDefault="00000000">
            <w:pPr>
              <w:jc w:val="center"/>
              <w:rPr>
                <w:b/>
                <w:sz w:val="20"/>
                <w:szCs w:val="20"/>
              </w:rPr>
            </w:pPr>
            <w:r w:rsidRPr="004465FF">
              <w:rPr>
                <w:b/>
                <w:sz w:val="20"/>
                <w:szCs w:val="20"/>
              </w:rPr>
              <w:t>5</w:t>
            </w:r>
          </w:p>
        </w:tc>
        <w:tc>
          <w:tcPr>
            <w:tcW w:w="831" w:type="dxa"/>
            <w:gridSpan w:val="2"/>
            <w:tcBorders>
              <w:top w:val="nil"/>
              <w:left w:val="nil"/>
              <w:bottom w:val="single" w:sz="6" w:space="0" w:color="333333"/>
              <w:right w:val="nil"/>
            </w:tcBorders>
            <w:tcMar>
              <w:top w:w="60" w:type="dxa"/>
              <w:left w:w="120" w:type="dxa"/>
              <w:bottom w:w="60" w:type="dxa"/>
              <w:right w:w="120" w:type="dxa"/>
            </w:tcMar>
            <w:vAlign w:val="center"/>
          </w:tcPr>
          <w:p w14:paraId="56F4310F" w14:textId="77777777" w:rsidR="007B6D8F" w:rsidRPr="004465FF" w:rsidRDefault="00000000">
            <w:pPr>
              <w:jc w:val="center"/>
              <w:rPr>
                <w:b/>
                <w:sz w:val="20"/>
                <w:szCs w:val="20"/>
              </w:rPr>
            </w:pPr>
            <w:r w:rsidRPr="004465FF">
              <w:rPr>
                <w:b/>
                <w:sz w:val="20"/>
                <w:szCs w:val="20"/>
              </w:rPr>
              <w:t>6</w:t>
            </w:r>
          </w:p>
        </w:tc>
        <w:tc>
          <w:tcPr>
            <w:tcW w:w="795" w:type="dxa"/>
            <w:gridSpan w:val="2"/>
            <w:tcBorders>
              <w:top w:val="nil"/>
              <w:left w:val="nil"/>
              <w:bottom w:val="single" w:sz="6" w:space="0" w:color="333333"/>
              <w:right w:val="nil"/>
            </w:tcBorders>
            <w:tcMar>
              <w:top w:w="60" w:type="dxa"/>
              <w:left w:w="120" w:type="dxa"/>
              <w:bottom w:w="60" w:type="dxa"/>
              <w:right w:w="120" w:type="dxa"/>
            </w:tcMar>
            <w:vAlign w:val="center"/>
          </w:tcPr>
          <w:p w14:paraId="710AF86B" w14:textId="77777777" w:rsidR="007B6D8F" w:rsidRPr="004465FF" w:rsidRDefault="00000000">
            <w:pPr>
              <w:jc w:val="center"/>
              <w:rPr>
                <w:b/>
                <w:sz w:val="20"/>
                <w:szCs w:val="20"/>
              </w:rPr>
            </w:pPr>
            <w:r w:rsidRPr="004465FF">
              <w:rPr>
                <w:b/>
                <w:sz w:val="20"/>
                <w:szCs w:val="20"/>
              </w:rPr>
              <w:t>7</w:t>
            </w:r>
          </w:p>
        </w:tc>
        <w:tc>
          <w:tcPr>
            <w:tcW w:w="736" w:type="dxa"/>
            <w:gridSpan w:val="2"/>
            <w:tcBorders>
              <w:top w:val="nil"/>
              <w:left w:val="nil"/>
              <w:bottom w:val="single" w:sz="6" w:space="0" w:color="333333"/>
              <w:right w:val="nil"/>
            </w:tcBorders>
            <w:tcMar>
              <w:top w:w="60" w:type="dxa"/>
              <w:left w:w="120" w:type="dxa"/>
              <w:bottom w:w="60" w:type="dxa"/>
              <w:right w:w="120" w:type="dxa"/>
            </w:tcMar>
            <w:vAlign w:val="center"/>
          </w:tcPr>
          <w:p w14:paraId="4CE91742" w14:textId="77777777" w:rsidR="007B6D8F" w:rsidRPr="004465FF" w:rsidRDefault="00000000">
            <w:pPr>
              <w:jc w:val="center"/>
              <w:rPr>
                <w:b/>
                <w:sz w:val="20"/>
                <w:szCs w:val="20"/>
              </w:rPr>
            </w:pPr>
            <w:r w:rsidRPr="004465FF">
              <w:rPr>
                <w:b/>
                <w:sz w:val="20"/>
                <w:szCs w:val="20"/>
              </w:rPr>
              <w:t>8</w:t>
            </w:r>
          </w:p>
        </w:tc>
      </w:tr>
      <w:tr w:rsidR="007B6D8F" w14:paraId="0B21DC9E" w14:textId="77777777">
        <w:trPr>
          <w:cantSplit/>
        </w:trPr>
        <w:tc>
          <w:tcPr>
            <w:tcW w:w="1493" w:type="dxa"/>
            <w:tcBorders>
              <w:top w:val="nil"/>
              <w:left w:val="nil"/>
              <w:bottom w:val="nil"/>
              <w:right w:val="nil"/>
            </w:tcBorders>
            <w:tcMar>
              <w:top w:w="120" w:type="dxa"/>
              <w:left w:w="120" w:type="dxa"/>
              <w:bottom w:w="30" w:type="dxa"/>
              <w:right w:w="0" w:type="dxa"/>
            </w:tcMar>
            <w:vAlign w:val="center"/>
          </w:tcPr>
          <w:p w14:paraId="746F5C1D" w14:textId="77777777" w:rsidR="007B6D8F" w:rsidRPr="004465FF" w:rsidRDefault="00000000">
            <w:pPr>
              <w:rPr>
                <w:sz w:val="20"/>
                <w:szCs w:val="20"/>
              </w:rPr>
            </w:pPr>
            <w:r w:rsidRPr="004465FF">
              <w:rPr>
                <w:sz w:val="20"/>
                <w:szCs w:val="20"/>
              </w:rPr>
              <w:t>1.Engajamento</w:t>
            </w:r>
          </w:p>
        </w:tc>
        <w:tc>
          <w:tcPr>
            <w:tcW w:w="186" w:type="dxa"/>
            <w:tcBorders>
              <w:top w:val="nil"/>
              <w:left w:val="nil"/>
              <w:bottom w:val="nil"/>
              <w:right w:val="nil"/>
            </w:tcBorders>
            <w:tcMar>
              <w:top w:w="120" w:type="dxa"/>
              <w:left w:w="30" w:type="dxa"/>
              <w:bottom w:w="30" w:type="dxa"/>
              <w:right w:w="120" w:type="dxa"/>
            </w:tcMar>
            <w:vAlign w:val="center"/>
          </w:tcPr>
          <w:p w14:paraId="6F2DAE68" w14:textId="77777777" w:rsidR="007B6D8F" w:rsidRPr="004465FF" w:rsidRDefault="007B6D8F">
            <w:pPr>
              <w:rPr>
                <w:sz w:val="20"/>
                <w:szCs w:val="20"/>
              </w:rPr>
            </w:pPr>
          </w:p>
        </w:tc>
        <w:tc>
          <w:tcPr>
            <w:tcW w:w="609" w:type="dxa"/>
            <w:tcBorders>
              <w:top w:val="nil"/>
              <w:left w:val="nil"/>
              <w:bottom w:val="nil"/>
              <w:right w:val="nil"/>
            </w:tcBorders>
            <w:tcMar>
              <w:top w:w="120" w:type="dxa"/>
              <w:left w:w="120" w:type="dxa"/>
              <w:bottom w:w="30" w:type="dxa"/>
              <w:right w:w="0" w:type="dxa"/>
            </w:tcMar>
            <w:vAlign w:val="center"/>
          </w:tcPr>
          <w:p w14:paraId="4688BEF2" w14:textId="77777777" w:rsidR="007B6D8F" w:rsidRPr="004465FF" w:rsidRDefault="00000000">
            <w:pPr>
              <w:jc w:val="right"/>
              <w:rPr>
                <w:sz w:val="20"/>
                <w:szCs w:val="20"/>
              </w:rPr>
            </w:pPr>
            <w:r w:rsidRPr="004465FF">
              <w:rPr>
                <w:sz w:val="20"/>
                <w:szCs w:val="20"/>
              </w:rPr>
              <w:t>—</w:t>
            </w:r>
          </w:p>
        </w:tc>
        <w:tc>
          <w:tcPr>
            <w:tcW w:w="510" w:type="dxa"/>
            <w:tcBorders>
              <w:top w:val="nil"/>
              <w:left w:val="nil"/>
              <w:bottom w:val="nil"/>
              <w:right w:val="nil"/>
            </w:tcBorders>
            <w:tcMar>
              <w:top w:w="120" w:type="dxa"/>
              <w:left w:w="30" w:type="dxa"/>
              <w:bottom w:w="30" w:type="dxa"/>
              <w:right w:w="120" w:type="dxa"/>
            </w:tcMar>
            <w:vAlign w:val="center"/>
          </w:tcPr>
          <w:p w14:paraId="07122ACD" w14:textId="77777777" w:rsidR="007B6D8F" w:rsidRPr="004465FF" w:rsidRDefault="007B6D8F">
            <w:pPr>
              <w:jc w:val="right"/>
              <w:rPr>
                <w:sz w:val="20"/>
                <w:szCs w:val="20"/>
              </w:rPr>
            </w:pPr>
          </w:p>
        </w:tc>
        <w:tc>
          <w:tcPr>
            <w:tcW w:w="609" w:type="dxa"/>
            <w:tcBorders>
              <w:top w:val="nil"/>
              <w:left w:val="nil"/>
              <w:bottom w:val="nil"/>
              <w:right w:val="nil"/>
            </w:tcBorders>
            <w:tcMar>
              <w:top w:w="120" w:type="dxa"/>
              <w:left w:w="120" w:type="dxa"/>
              <w:bottom w:w="30" w:type="dxa"/>
              <w:right w:w="0" w:type="dxa"/>
            </w:tcMar>
            <w:vAlign w:val="center"/>
          </w:tcPr>
          <w:p w14:paraId="5F00A8A0"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120" w:type="dxa"/>
              <w:left w:w="30" w:type="dxa"/>
              <w:bottom w:w="30" w:type="dxa"/>
              <w:right w:w="120" w:type="dxa"/>
            </w:tcMar>
            <w:vAlign w:val="center"/>
          </w:tcPr>
          <w:p w14:paraId="3751FE22" w14:textId="77777777" w:rsidR="007B6D8F" w:rsidRPr="004465FF" w:rsidRDefault="007B6D8F">
            <w:pPr>
              <w:jc w:val="right"/>
              <w:rPr>
                <w:sz w:val="20"/>
                <w:szCs w:val="20"/>
              </w:rPr>
            </w:pPr>
          </w:p>
        </w:tc>
        <w:tc>
          <w:tcPr>
            <w:tcW w:w="609" w:type="dxa"/>
            <w:tcBorders>
              <w:top w:val="nil"/>
              <w:left w:val="nil"/>
              <w:bottom w:val="nil"/>
              <w:right w:val="nil"/>
            </w:tcBorders>
            <w:tcMar>
              <w:top w:w="120" w:type="dxa"/>
              <w:left w:w="120" w:type="dxa"/>
              <w:bottom w:w="30" w:type="dxa"/>
              <w:right w:w="0" w:type="dxa"/>
            </w:tcMar>
            <w:vAlign w:val="center"/>
          </w:tcPr>
          <w:p w14:paraId="5F8F296E"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120" w:type="dxa"/>
              <w:left w:w="30" w:type="dxa"/>
              <w:bottom w:w="30" w:type="dxa"/>
              <w:right w:w="120" w:type="dxa"/>
            </w:tcMar>
            <w:vAlign w:val="center"/>
          </w:tcPr>
          <w:p w14:paraId="12353AF4" w14:textId="77777777" w:rsidR="007B6D8F" w:rsidRPr="004465FF" w:rsidRDefault="007B6D8F">
            <w:pPr>
              <w:jc w:val="right"/>
              <w:rPr>
                <w:sz w:val="20"/>
                <w:szCs w:val="20"/>
              </w:rPr>
            </w:pPr>
          </w:p>
        </w:tc>
        <w:tc>
          <w:tcPr>
            <w:tcW w:w="609" w:type="dxa"/>
            <w:tcBorders>
              <w:top w:val="nil"/>
              <w:left w:val="nil"/>
              <w:bottom w:val="nil"/>
              <w:right w:val="nil"/>
            </w:tcBorders>
            <w:tcMar>
              <w:top w:w="120" w:type="dxa"/>
              <w:left w:w="120" w:type="dxa"/>
              <w:bottom w:w="30" w:type="dxa"/>
              <w:right w:w="0" w:type="dxa"/>
            </w:tcMar>
            <w:vAlign w:val="center"/>
          </w:tcPr>
          <w:p w14:paraId="1F235BE3"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120" w:type="dxa"/>
              <w:left w:w="30" w:type="dxa"/>
              <w:bottom w:w="30" w:type="dxa"/>
              <w:right w:w="120" w:type="dxa"/>
            </w:tcMar>
            <w:vAlign w:val="center"/>
          </w:tcPr>
          <w:p w14:paraId="2A88E49D" w14:textId="77777777" w:rsidR="007B6D8F" w:rsidRPr="004465FF" w:rsidRDefault="007B6D8F">
            <w:pPr>
              <w:jc w:val="right"/>
              <w:rPr>
                <w:sz w:val="20"/>
                <w:szCs w:val="20"/>
              </w:rPr>
            </w:pPr>
          </w:p>
        </w:tc>
        <w:tc>
          <w:tcPr>
            <w:tcW w:w="609" w:type="dxa"/>
            <w:tcBorders>
              <w:top w:val="nil"/>
              <w:left w:val="nil"/>
              <w:bottom w:val="nil"/>
              <w:right w:val="nil"/>
            </w:tcBorders>
            <w:tcMar>
              <w:top w:w="120" w:type="dxa"/>
              <w:left w:w="120" w:type="dxa"/>
              <w:bottom w:w="30" w:type="dxa"/>
              <w:right w:w="0" w:type="dxa"/>
            </w:tcMar>
            <w:vAlign w:val="center"/>
          </w:tcPr>
          <w:p w14:paraId="60B72A02"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120" w:type="dxa"/>
              <w:left w:w="30" w:type="dxa"/>
              <w:bottom w:w="30" w:type="dxa"/>
              <w:right w:w="120" w:type="dxa"/>
            </w:tcMar>
            <w:vAlign w:val="center"/>
          </w:tcPr>
          <w:p w14:paraId="6DD379CC" w14:textId="77777777" w:rsidR="007B6D8F" w:rsidRPr="004465FF" w:rsidRDefault="007B6D8F">
            <w:pPr>
              <w:jc w:val="right"/>
              <w:rPr>
                <w:sz w:val="20"/>
                <w:szCs w:val="20"/>
              </w:rPr>
            </w:pPr>
          </w:p>
        </w:tc>
        <w:tc>
          <w:tcPr>
            <w:tcW w:w="645" w:type="dxa"/>
            <w:tcBorders>
              <w:top w:val="nil"/>
              <w:left w:val="nil"/>
              <w:bottom w:val="nil"/>
              <w:right w:val="nil"/>
            </w:tcBorders>
            <w:tcMar>
              <w:top w:w="120" w:type="dxa"/>
              <w:left w:w="120" w:type="dxa"/>
              <w:bottom w:w="30" w:type="dxa"/>
              <w:right w:w="0" w:type="dxa"/>
            </w:tcMar>
            <w:vAlign w:val="center"/>
          </w:tcPr>
          <w:p w14:paraId="64F4769A"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120" w:type="dxa"/>
              <w:left w:w="30" w:type="dxa"/>
              <w:bottom w:w="30" w:type="dxa"/>
              <w:right w:w="120" w:type="dxa"/>
            </w:tcMar>
            <w:vAlign w:val="center"/>
          </w:tcPr>
          <w:p w14:paraId="1176D694" w14:textId="77777777" w:rsidR="007B6D8F" w:rsidRPr="004465FF" w:rsidRDefault="007B6D8F">
            <w:pPr>
              <w:jc w:val="right"/>
              <w:rPr>
                <w:sz w:val="20"/>
                <w:szCs w:val="20"/>
              </w:rPr>
            </w:pPr>
          </w:p>
        </w:tc>
        <w:tc>
          <w:tcPr>
            <w:tcW w:w="609" w:type="dxa"/>
            <w:tcBorders>
              <w:top w:val="nil"/>
              <w:left w:val="nil"/>
              <w:bottom w:val="nil"/>
              <w:right w:val="nil"/>
            </w:tcBorders>
            <w:tcMar>
              <w:top w:w="120" w:type="dxa"/>
              <w:left w:w="120" w:type="dxa"/>
              <w:bottom w:w="30" w:type="dxa"/>
              <w:right w:w="0" w:type="dxa"/>
            </w:tcMar>
            <w:vAlign w:val="center"/>
          </w:tcPr>
          <w:p w14:paraId="17129D12"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120" w:type="dxa"/>
              <w:left w:w="30" w:type="dxa"/>
              <w:bottom w:w="30" w:type="dxa"/>
              <w:right w:w="120" w:type="dxa"/>
            </w:tcMar>
            <w:vAlign w:val="center"/>
          </w:tcPr>
          <w:p w14:paraId="402082F2" w14:textId="77777777" w:rsidR="007B6D8F" w:rsidRPr="004465FF" w:rsidRDefault="007B6D8F">
            <w:pPr>
              <w:jc w:val="right"/>
              <w:rPr>
                <w:sz w:val="20"/>
                <w:szCs w:val="20"/>
              </w:rPr>
            </w:pPr>
          </w:p>
        </w:tc>
        <w:tc>
          <w:tcPr>
            <w:tcW w:w="535" w:type="dxa"/>
            <w:tcBorders>
              <w:top w:val="nil"/>
              <w:left w:val="nil"/>
              <w:bottom w:val="nil"/>
              <w:right w:val="nil"/>
            </w:tcBorders>
            <w:tcMar>
              <w:top w:w="120" w:type="dxa"/>
              <w:left w:w="120" w:type="dxa"/>
              <w:bottom w:w="30" w:type="dxa"/>
              <w:right w:w="0" w:type="dxa"/>
            </w:tcMar>
            <w:vAlign w:val="center"/>
          </w:tcPr>
          <w:p w14:paraId="3A4C5BBA"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120" w:type="dxa"/>
              <w:left w:w="30" w:type="dxa"/>
              <w:bottom w:w="30" w:type="dxa"/>
              <w:right w:w="120" w:type="dxa"/>
            </w:tcMar>
            <w:vAlign w:val="center"/>
          </w:tcPr>
          <w:p w14:paraId="1E67B1EF" w14:textId="77777777" w:rsidR="007B6D8F" w:rsidRDefault="007B6D8F">
            <w:pPr>
              <w:jc w:val="right"/>
              <w:rPr>
                <w:sz w:val="22"/>
                <w:szCs w:val="22"/>
              </w:rPr>
            </w:pPr>
          </w:p>
        </w:tc>
      </w:tr>
      <w:tr w:rsidR="007B6D8F" w14:paraId="7B2D6EAD"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2D19551E" w14:textId="77777777" w:rsidR="007B6D8F" w:rsidRPr="004465FF" w:rsidRDefault="00000000">
            <w:pPr>
              <w:rPr>
                <w:sz w:val="20"/>
                <w:szCs w:val="20"/>
              </w:rPr>
            </w:pPr>
            <w:r w:rsidRPr="004465FF">
              <w:rPr>
                <w:sz w:val="20"/>
                <w:szCs w:val="20"/>
              </w:rPr>
              <w:t>2.Depressão</w:t>
            </w:r>
          </w:p>
        </w:tc>
        <w:tc>
          <w:tcPr>
            <w:tcW w:w="186" w:type="dxa"/>
            <w:tcBorders>
              <w:top w:val="nil"/>
              <w:left w:val="nil"/>
              <w:bottom w:val="nil"/>
              <w:right w:val="nil"/>
            </w:tcBorders>
            <w:tcMar>
              <w:top w:w="30" w:type="dxa"/>
              <w:left w:w="30" w:type="dxa"/>
              <w:bottom w:w="30" w:type="dxa"/>
              <w:right w:w="120" w:type="dxa"/>
            </w:tcMar>
            <w:vAlign w:val="center"/>
          </w:tcPr>
          <w:p w14:paraId="3FE330D2"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9D4C8BA" w14:textId="77777777" w:rsidR="007B6D8F" w:rsidRPr="004465FF" w:rsidRDefault="00000000">
            <w:pPr>
              <w:jc w:val="right"/>
              <w:rPr>
                <w:sz w:val="20"/>
                <w:szCs w:val="20"/>
              </w:rPr>
            </w:pPr>
            <w:r w:rsidRPr="004465FF">
              <w:rPr>
                <w:sz w:val="20"/>
                <w:szCs w:val="20"/>
              </w:rPr>
              <w:t>0.11</w:t>
            </w:r>
          </w:p>
        </w:tc>
        <w:tc>
          <w:tcPr>
            <w:tcW w:w="510" w:type="dxa"/>
            <w:tcBorders>
              <w:top w:val="nil"/>
              <w:left w:val="nil"/>
              <w:bottom w:val="nil"/>
              <w:right w:val="nil"/>
            </w:tcBorders>
            <w:tcMar>
              <w:top w:w="30" w:type="dxa"/>
              <w:left w:w="30" w:type="dxa"/>
              <w:bottom w:w="30" w:type="dxa"/>
              <w:right w:w="120" w:type="dxa"/>
            </w:tcMar>
            <w:vAlign w:val="center"/>
          </w:tcPr>
          <w:p w14:paraId="43253248"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506BC2B" w14:textId="77777777" w:rsidR="007B6D8F" w:rsidRPr="004465FF" w:rsidRDefault="00000000">
            <w:pPr>
              <w:jc w:val="right"/>
              <w:rPr>
                <w:sz w:val="20"/>
                <w:szCs w:val="20"/>
              </w:rPr>
            </w:pPr>
            <w:r w:rsidRPr="004465FF">
              <w:rPr>
                <w:sz w:val="20"/>
                <w:szCs w:val="20"/>
              </w:rPr>
              <w:t>—</w:t>
            </w:r>
          </w:p>
        </w:tc>
        <w:tc>
          <w:tcPr>
            <w:tcW w:w="510" w:type="dxa"/>
            <w:tcBorders>
              <w:top w:val="nil"/>
              <w:left w:val="nil"/>
              <w:bottom w:val="nil"/>
              <w:right w:val="nil"/>
            </w:tcBorders>
            <w:tcMar>
              <w:top w:w="30" w:type="dxa"/>
              <w:left w:w="30" w:type="dxa"/>
              <w:bottom w:w="30" w:type="dxa"/>
              <w:right w:w="120" w:type="dxa"/>
            </w:tcMar>
            <w:vAlign w:val="center"/>
          </w:tcPr>
          <w:p w14:paraId="6E6D6016"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750C1B1C"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30" w:type="dxa"/>
              <w:left w:w="30" w:type="dxa"/>
              <w:bottom w:w="30" w:type="dxa"/>
              <w:right w:w="120" w:type="dxa"/>
            </w:tcMar>
            <w:vAlign w:val="center"/>
          </w:tcPr>
          <w:p w14:paraId="6C78E965"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759EBB01"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30" w:type="dxa"/>
              <w:left w:w="30" w:type="dxa"/>
              <w:bottom w:w="30" w:type="dxa"/>
              <w:right w:w="120" w:type="dxa"/>
            </w:tcMar>
            <w:vAlign w:val="center"/>
          </w:tcPr>
          <w:p w14:paraId="6579042E"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6EA24B6C"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30" w:type="dxa"/>
              <w:left w:w="30" w:type="dxa"/>
              <w:bottom w:w="30" w:type="dxa"/>
              <w:right w:w="120" w:type="dxa"/>
            </w:tcMar>
            <w:vAlign w:val="center"/>
          </w:tcPr>
          <w:p w14:paraId="633471F5" w14:textId="77777777" w:rsidR="007B6D8F" w:rsidRPr="004465FF" w:rsidRDefault="007B6D8F">
            <w:pPr>
              <w:jc w:val="right"/>
              <w:rPr>
                <w:sz w:val="20"/>
                <w:szCs w:val="20"/>
              </w:rPr>
            </w:pPr>
          </w:p>
        </w:tc>
        <w:tc>
          <w:tcPr>
            <w:tcW w:w="645" w:type="dxa"/>
            <w:tcBorders>
              <w:top w:val="nil"/>
              <w:left w:val="nil"/>
              <w:bottom w:val="nil"/>
              <w:right w:val="nil"/>
            </w:tcBorders>
            <w:tcMar>
              <w:top w:w="30" w:type="dxa"/>
              <w:left w:w="120" w:type="dxa"/>
              <w:bottom w:w="30" w:type="dxa"/>
              <w:right w:w="0" w:type="dxa"/>
            </w:tcMar>
            <w:vAlign w:val="center"/>
          </w:tcPr>
          <w:p w14:paraId="6E04AA6E"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440B236A"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7A5A713F"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7AB7729F"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6AB53DF6"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30" w:type="dxa"/>
              <w:left w:w="30" w:type="dxa"/>
              <w:bottom w:w="30" w:type="dxa"/>
              <w:right w:w="120" w:type="dxa"/>
            </w:tcMar>
            <w:vAlign w:val="center"/>
          </w:tcPr>
          <w:p w14:paraId="4616FE7A" w14:textId="77777777" w:rsidR="007B6D8F" w:rsidRDefault="007B6D8F">
            <w:pPr>
              <w:jc w:val="right"/>
              <w:rPr>
                <w:sz w:val="22"/>
                <w:szCs w:val="22"/>
              </w:rPr>
            </w:pPr>
          </w:p>
        </w:tc>
      </w:tr>
      <w:tr w:rsidR="007B6D8F" w14:paraId="6AA5EFAE"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18FBD351" w14:textId="77777777" w:rsidR="007B6D8F" w:rsidRPr="004465FF" w:rsidRDefault="00000000">
            <w:pPr>
              <w:rPr>
                <w:sz w:val="20"/>
                <w:szCs w:val="20"/>
              </w:rPr>
            </w:pPr>
            <w:r w:rsidRPr="004465FF">
              <w:rPr>
                <w:sz w:val="20"/>
                <w:szCs w:val="20"/>
              </w:rPr>
              <w:t>3.Ansiedade</w:t>
            </w:r>
          </w:p>
        </w:tc>
        <w:tc>
          <w:tcPr>
            <w:tcW w:w="186" w:type="dxa"/>
            <w:tcBorders>
              <w:top w:val="nil"/>
              <w:left w:val="nil"/>
              <w:bottom w:val="nil"/>
              <w:right w:val="nil"/>
            </w:tcBorders>
            <w:tcMar>
              <w:top w:w="30" w:type="dxa"/>
              <w:left w:w="30" w:type="dxa"/>
              <w:bottom w:w="30" w:type="dxa"/>
              <w:right w:w="120" w:type="dxa"/>
            </w:tcMar>
            <w:vAlign w:val="center"/>
          </w:tcPr>
          <w:p w14:paraId="0FE696A2"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1C2D6DEA" w14:textId="77777777" w:rsidR="007B6D8F" w:rsidRPr="004465FF" w:rsidRDefault="00000000">
            <w:pPr>
              <w:jc w:val="right"/>
              <w:rPr>
                <w:sz w:val="20"/>
                <w:szCs w:val="20"/>
              </w:rPr>
            </w:pPr>
            <w:r w:rsidRPr="004465FF">
              <w:rPr>
                <w:sz w:val="20"/>
                <w:szCs w:val="20"/>
              </w:rPr>
              <w:t>0.23</w:t>
            </w:r>
          </w:p>
        </w:tc>
        <w:tc>
          <w:tcPr>
            <w:tcW w:w="510" w:type="dxa"/>
            <w:tcBorders>
              <w:top w:val="nil"/>
              <w:left w:val="nil"/>
              <w:bottom w:val="nil"/>
              <w:right w:val="nil"/>
            </w:tcBorders>
            <w:tcMar>
              <w:top w:w="30" w:type="dxa"/>
              <w:left w:w="30" w:type="dxa"/>
              <w:bottom w:w="30" w:type="dxa"/>
              <w:right w:w="120" w:type="dxa"/>
            </w:tcMar>
            <w:vAlign w:val="center"/>
          </w:tcPr>
          <w:p w14:paraId="15DE722B"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11CE8C07" w14:textId="77777777" w:rsidR="007B6D8F" w:rsidRPr="004465FF" w:rsidRDefault="00000000">
            <w:pPr>
              <w:jc w:val="right"/>
              <w:rPr>
                <w:sz w:val="20"/>
                <w:szCs w:val="20"/>
              </w:rPr>
            </w:pPr>
            <w:r w:rsidRPr="004465FF">
              <w:rPr>
                <w:sz w:val="20"/>
                <w:szCs w:val="20"/>
              </w:rPr>
              <w:t>0.62</w:t>
            </w:r>
          </w:p>
        </w:tc>
        <w:tc>
          <w:tcPr>
            <w:tcW w:w="510" w:type="dxa"/>
            <w:tcBorders>
              <w:top w:val="nil"/>
              <w:left w:val="nil"/>
              <w:bottom w:val="nil"/>
              <w:right w:val="nil"/>
            </w:tcBorders>
            <w:tcMar>
              <w:top w:w="30" w:type="dxa"/>
              <w:left w:w="30" w:type="dxa"/>
              <w:bottom w:w="30" w:type="dxa"/>
              <w:right w:w="120" w:type="dxa"/>
            </w:tcMar>
            <w:vAlign w:val="center"/>
          </w:tcPr>
          <w:p w14:paraId="3BDEA90F"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680866FC" w14:textId="77777777" w:rsidR="007B6D8F" w:rsidRPr="004465FF" w:rsidRDefault="00000000">
            <w:pPr>
              <w:jc w:val="right"/>
              <w:rPr>
                <w:sz w:val="20"/>
                <w:szCs w:val="20"/>
              </w:rPr>
            </w:pPr>
            <w:r w:rsidRPr="004465FF">
              <w:rPr>
                <w:sz w:val="20"/>
                <w:szCs w:val="20"/>
              </w:rPr>
              <w:t>—</w:t>
            </w:r>
          </w:p>
        </w:tc>
        <w:tc>
          <w:tcPr>
            <w:tcW w:w="510" w:type="dxa"/>
            <w:tcBorders>
              <w:top w:val="nil"/>
              <w:left w:val="nil"/>
              <w:bottom w:val="nil"/>
              <w:right w:val="nil"/>
            </w:tcBorders>
            <w:tcMar>
              <w:top w:w="30" w:type="dxa"/>
              <w:left w:w="30" w:type="dxa"/>
              <w:bottom w:w="30" w:type="dxa"/>
              <w:right w:w="120" w:type="dxa"/>
            </w:tcMar>
            <w:vAlign w:val="center"/>
          </w:tcPr>
          <w:p w14:paraId="2563B6C7"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7D67B2FA"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30" w:type="dxa"/>
              <w:left w:w="30" w:type="dxa"/>
              <w:bottom w:w="30" w:type="dxa"/>
              <w:right w:w="120" w:type="dxa"/>
            </w:tcMar>
            <w:vAlign w:val="center"/>
          </w:tcPr>
          <w:p w14:paraId="0E4A13FD"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4AED8B6E"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30" w:type="dxa"/>
              <w:left w:w="30" w:type="dxa"/>
              <w:bottom w:w="30" w:type="dxa"/>
              <w:right w:w="120" w:type="dxa"/>
            </w:tcMar>
            <w:vAlign w:val="center"/>
          </w:tcPr>
          <w:p w14:paraId="160ACF7C" w14:textId="77777777" w:rsidR="007B6D8F" w:rsidRPr="004465FF" w:rsidRDefault="007B6D8F">
            <w:pPr>
              <w:jc w:val="right"/>
              <w:rPr>
                <w:sz w:val="20"/>
                <w:szCs w:val="20"/>
              </w:rPr>
            </w:pPr>
          </w:p>
        </w:tc>
        <w:tc>
          <w:tcPr>
            <w:tcW w:w="645" w:type="dxa"/>
            <w:tcBorders>
              <w:top w:val="nil"/>
              <w:left w:val="nil"/>
              <w:bottom w:val="nil"/>
              <w:right w:val="nil"/>
            </w:tcBorders>
            <w:tcMar>
              <w:top w:w="30" w:type="dxa"/>
              <w:left w:w="120" w:type="dxa"/>
              <w:bottom w:w="30" w:type="dxa"/>
              <w:right w:w="0" w:type="dxa"/>
            </w:tcMar>
            <w:vAlign w:val="center"/>
          </w:tcPr>
          <w:p w14:paraId="37C67754"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53DC9C98"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51704D35"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5C4EC9DC"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55A2F46E"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30" w:type="dxa"/>
              <w:left w:w="30" w:type="dxa"/>
              <w:bottom w:w="30" w:type="dxa"/>
              <w:right w:w="120" w:type="dxa"/>
            </w:tcMar>
            <w:vAlign w:val="center"/>
          </w:tcPr>
          <w:p w14:paraId="6788154C" w14:textId="77777777" w:rsidR="007B6D8F" w:rsidRDefault="007B6D8F">
            <w:pPr>
              <w:jc w:val="right"/>
              <w:rPr>
                <w:sz w:val="22"/>
                <w:szCs w:val="22"/>
              </w:rPr>
            </w:pPr>
          </w:p>
        </w:tc>
      </w:tr>
      <w:tr w:rsidR="007B6D8F" w14:paraId="3591FF3A"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7AE8D5B3" w14:textId="77777777" w:rsidR="007B6D8F" w:rsidRPr="004465FF" w:rsidRDefault="00000000">
            <w:pPr>
              <w:rPr>
                <w:sz w:val="20"/>
                <w:szCs w:val="20"/>
              </w:rPr>
            </w:pPr>
            <w:r w:rsidRPr="004465FF">
              <w:rPr>
                <w:sz w:val="20"/>
                <w:szCs w:val="20"/>
              </w:rPr>
              <w:t>4.Estresse</w:t>
            </w:r>
          </w:p>
        </w:tc>
        <w:tc>
          <w:tcPr>
            <w:tcW w:w="186" w:type="dxa"/>
            <w:tcBorders>
              <w:top w:val="nil"/>
              <w:left w:val="nil"/>
              <w:bottom w:val="nil"/>
              <w:right w:val="nil"/>
            </w:tcBorders>
            <w:tcMar>
              <w:top w:w="30" w:type="dxa"/>
              <w:left w:w="30" w:type="dxa"/>
              <w:bottom w:w="30" w:type="dxa"/>
              <w:right w:w="120" w:type="dxa"/>
            </w:tcMar>
            <w:vAlign w:val="center"/>
          </w:tcPr>
          <w:p w14:paraId="515B3F05"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348D7A8F" w14:textId="77777777" w:rsidR="007B6D8F" w:rsidRPr="004465FF" w:rsidRDefault="00000000">
            <w:pPr>
              <w:jc w:val="right"/>
              <w:rPr>
                <w:sz w:val="20"/>
                <w:szCs w:val="20"/>
              </w:rPr>
            </w:pPr>
            <w:r w:rsidRPr="004465FF">
              <w:rPr>
                <w:sz w:val="20"/>
                <w:szCs w:val="20"/>
              </w:rPr>
              <w:t>0.24</w:t>
            </w:r>
          </w:p>
        </w:tc>
        <w:tc>
          <w:tcPr>
            <w:tcW w:w="510" w:type="dxa"/>
            <w:tcBorders>
              <w:top w:val="nil"/>
              <w:left w:val="nil"/>
              <w:bottom w:val="nil"/>
              <w:right w:val="nil"/>
            </w:tcBorders>
            <w:tcMar>
              <w:top w:w="30" w:type="dxa"/>
              <w:left w:w="30" w:type="dxa"/>
              <w:bottom w:w="30" w:type="dxa"/>
              <w:right w:w="120" w:type="dxa"/>
            </w:tcMar>
            <w:vAlign w:val="center"/>
          </w:tcPr>
          <w:p w14:paraId="32A38E53"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4797DFD7" w14:textId="77777777" w:rsidR="007B6D8F" w:rsidRPr="004465FF" w:rsidRDefault="00000000">
            <w:pPr>
              <w:jc w:val="right"/>
              <w:rPr>
                <w:sz w:val="20"/>
                <w:szCs w:val="20"/>
              </w:rPr>
            </w:pPr>
            <w:r w:rsidRPr="004465FF">
              <w:rPr>
                <w:sz w:val="20"/>
                <w:szCs w:val="20"/>
              </w:rPr>
              <w:t>0.67</w:t>
            </w:r>
          </w:p>
        </w:tc>
        <w:tc>
          <w:tcPr>
            <w:tcW w:w="510" w:type="dxa"/>
            <w:tcBorders>
              <w:top w:val="nil"/>
              <w:left w:val="nil"/>
              <w:bottom w:val="nil"/>
              <w:right w:val="nil"/>
            </w:tcBorders>
            <w:tcMar>
              <w:top w:w="30" w:type="dxa"/>
              <w:left w:w="30" w:type="dxa"/>
              <w:bottom w:w="30" w:type="dxa"/>
              <w:right w:w="120" w:type="dxa"/>
            </w:tcMar>
            <w:vAlign w:val="center"/>
          </w:tcPr>
          <w:p w14:paraId="28732535"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64671D85" w14:textId="77777777" w:rsidR="007B6D8F" w:rsidRPr="004465FF" w:rsidRDefault="00000000">
            <w:pPr>
              <w:jc w:val="right"/>
              <w:rPr>
                <w:sz w:val="20"/>
                <w:szCs w:val="20"/>
              </w:rPr>
            </w:pPr>
            <w:r w:rsidRPr="004465FF">
              <w:rPr>
                <w:sz w:val="20"/>
                <w:szCs w:val="20"/>
              </w:rPr>
              <w:t>0.76</w:t>
            </w:r>
          </w:p>
        </w:tc>
        <w:tc>
          <w:tcPr>
            <w:tcW w:w="510" w:type="dxa"/>
            <w:tcBorders>
              <w:top w:val="nil"/>
              <w:left w:val="nil"/>
              <w:bottom w:val="nil"/>
              <w:right w:val="nil"/>
            </w:tcBorders>
            <w:tcMar>
              <w:top w:w="30" w:type="dxa"/>
              <w:left w:w="30" w:type="dxa"/>
              <w:bottom w:w="30" w:type="dxa"/>
              <w:right w:w="120" w:type="dxa"/>
            </w:tcMar>
            <w:vAlign w:val="center"/>
          </w:tcPr>
          <w:p w14:paraId="62E46B27"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6FEFB053" w14:textId="77777777" w:rsidR="007B6D8F" w:rsidRPr="004465FF" w:rsidRDefault="00000000">
            <w:pPr>
              <w:jc w:val="right"/>
              <w:rPr>
                <w:sz w:val="20"/>
                <w:szCs w:val="20"/>
              </w:rPr>
            </w:pPr>
            <w:r w:rsidRPr="004465FF">
              <w:rPr>
                <w:sz w:val="20"/>
                <w:szCs w:val="20"/>
              </w:rPr>
              <w:t>—</w:t>
            </w:r>
          </w:p>
        </w:tc>
        <w:tc>
          <w:tcPr>
            <w:tcW w:w="510" w:type="dxa"/>
            <w:tcBorders>
              <w:top w:val="nil"/>
              <w:left w:val="nil"/>
              <w:bottom w:val="nil"/>
              <w:right w:val="nil"/>
            </w:tcBorders>
            <w:tcMar>
              <w:top w:w="30" w:type="dxa"/>
              <w:left w:w="30" w:type="dxa"/>
              <w:bottom w:w="30" w:type="dxa"/>
              <w:right w:w="120" w:type="dxa"/>
            </w:tcMar>
            <w:vAlign w:val="center"/>
          </w:tcPr>
          <w:p w14:paraId="594C5557"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6072C7BD" w14:textId="77777777" w:rsidR="007B6D8F" w:rsidRPr="004465FF" w:rsidRDefault="00000000">
            <w:pPr>
              <w:jc w:val="right"/>
              <w:rPr>
                <w:sz w:val="20"/>
                <w:szCs w:val="20"/>
              </w:rPr>
            </w:pPr>
            <w:r w:rsidRPr="004465FF">
              <w:rPr>
                <w:sz w:val="20"/>
                <w:szCs w:val="20"/>
              </w:rPr>
              <w:t> </w:t>
            </w:r>
          </w:p>
        </w:tc>
        <w:tc>
          <w:tcPr>
            <w:tcW w:w="510" w:type="dxa"/>
            <w:tcBorders>
              <w:top w:val="nil"/>
              <w:left w:val="nil"/>
              <w:bottom w:val="nil"/>
              <w:right w:val="nil"/>
            </w:tcBorders>
            <w:tcMar>
              <w:top w:w="30" w:type="dxa"/>
              <w:left w:w="30" w:type="dxa"/>
              <w:bottom w:w="30" w:type="dxa"/>
              <w:right w:w="120" w:type="dxa"/>
            </w:tcMar>
            <w:vAlign w:val="center"/>
          </w:tcPr>
          <w:p w14:paraId="2E659566" w14:textId="77777777" w:rsidR="007B6D8F" w:rsidRPr="004465FF" w:rsidRDefault="007B6D8F">
            <w:pPr>
              <w:jc w:val="right"/>
              <w:rPr>
                <w:sz w:val="20"/>
                <w:szCs w:val="20"/>
              </w:rPr>
            </w:pPr>
          </w:p>
        </w:tc>
        <w:tc>
          <w:tcPr>
            <w:tcW w:w="645" w:type="dxa"/>
            <w:tcBorders>
              <w:top w:val="nil"/>
              <w:left w:val="nil"/>
              <w:bottom w:val="nil"/>
              <w:right w:val="nil"/>
            </w:tcBorders>
            <w:tcMar>
              <w:top w:w="30" w:type="dxa"/>
              <w:left w:w="120" w:type="dxa"/>
              <w:bottom w:w="30" w:type="dxa"/>
              <w:right w:w="0" w:type="dxa"/>
            </w:tcMar>
            <w:vAlign w:val="center"/>
          </w:tcPr>
          <w:p w14:paraId="0A212793"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34F7EAC0"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25F59201"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58EF0A6D"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656FDE2C"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30" w:type="dxa"/>
              <w:left w:w="30" w:type="dxa"/>
              <w:bottom w:w="30" w:type="dxa"/>
              <w:right w:w="120" w:type="dxa"/>
            </w:tcMar>
            <w:vAlign w:val="center"/>
          </w:tcPr>
          <w:p w14:paraId="0FAB3161" w14:textId="77777777" w:rsidR="007B6D8F" w:rsidRDefault="007B6D8F">
            <w:pPr>
              <w:jc w:val="right"/>
              <w:rPr>
                <w:sz w:val="22"/>
                <w:szCs w:val="22"/>
              </w:rPr>
            </w:pPr>
          </w:p>
        </w:tc>
      </w:tr>
      <w:tr w:rsidR="007B6D8F" w14:paraId="02C2B7C2"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3CF91542" w14:textId="77777777" w:rsidR="007B6D8F" w:rsidRPr="004465FF" w:rsidRDefault="00000000">
            <w:pPr>
              <w:rPr>
                <w:sz w:val="20"/>
                <w:szCs w:val="20"/>
              </w:rPr>
            </w:pPr>
            <w:r w:rsidRPr="004465FF">
              <w:rPr>
                <w:sz w:val="20"/>
                <w:szCs w:val="20"/>
              </w:rPr>
              <w:t>5. CS</w:t>
            </w:r>
          </w:p>
        </w:tc>
        <w:tc>
          <w:tcPr>
            <w:tcW w:w="186" w:type="dxa"/>
            <w:tcBorders>
              <w:top w:val="nil"/>
              <w:left w:val="nil"/>
              <w:bottom w:val="nil"/>
              <w:right w:val="nil"/>
            </w:tcBorders>
            <w:tcMar>
              <w:top w:w="30" w:type="dxa"/>
              <w:left w:w="30" w:type="dxa"/>
              <w:bottom w:w="30" w:type="dxa"/>
              <w:right w:w="120" w:type="dxa"/>
            </w:tcMar>
            <w:vAlign w:val="center"/>
          </w:tcPr>
          <w:p w14:paraId="3AB15FDD"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41B787CA" w14:textId="77777777" w:rsidR="007B6D8F" w:rsidRPr="004465FF" w:rsidRDefault="00000000">
            <w:pPr>
              <w:jc w:val="right"/>
              <w:rPr>
                <w:sz w:val="20"/>
                <w:szCs w:val="20"/>
              </w:rPr>
            </w:pPr>
            <w:r w:rsidRPr="004465FF">
              <w:rPr>
                <w:sz w:val="20"/>
                <w:szCs w:val="20"/>
              </w:rPr>
              <w:t>0.25</w:t>
            </w:r>
          </w:p>
        </w:tc>
        <w:tc>
          <w:tcPr>
            <w:tcW w:w="510" w:type="dxa"/>
            <w:tcBorders>
              <w:top w:val="nil"/>
              <w:left w:val="nil"/>
              <w:bottom w:val="nil"/>
              <w:right w:val="nil"/>
            </w:tcBorders>
            <w:tcMar>
              <w:top w:w="30" w:type="dxa"/>
              <w:left w:w="30" w:type="dxa"/>
              <w:bottom w:w="30" w:type="dxa"/>
              <w:right w:w="120" w:type="dxa"/>
            </w:tcMar>
            <w:vAlign w:val="center"/>
          </w:tcPr>
          <w:p w14:paraId="38E11671"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2E26C086" w14:textId="77777777" w:rsidR="007B6D8F" w:rsidRPr="004465FF" w:rsidRDefault="00000000">
            <w:pPr>
              <w:jc w:val="right"/>
              <w:rPr>
                <w:sz w:val="20"/>
                <w:szCs w:val="20"/>
              </w:rPr>
            </w:pPr>
            <w:r w:rsidRPr="004465FF">
              <w:rPr>
                <w:sz w:val="20"/>
                <w:szCs w:val="20"/>
              </w:rPr>
              <w:t>0.30</w:t>
            </w:r>
          </w:p>
        </w:tc>
        <w:tc>
          <w:tcPr>
            <w:tcW w:w="510" w:type="dxa"/>
            <w:tcBorders>
              <w:top w:val="nil"/>
              <w:left w:val="nil"/>
              <w:bottom w:val="nil"/>
              <w:right w:val="nil"/>
            </w:tcBorders>
            <w:tcMar>
              <w:top w:w="30" w:type="dxa"/>
              <w:left w:w="30" w:type="dxa"/>
              <w:bottom w:w="30" w:type="dxa"/>
              <w:right w:w="120" w:type="dxa"/>
            </w:tcMar>
            <w:vAlign w:val="center"/>
          </w:tcPr>
          <w:p w14:paraId="1FB4957F"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6DD7E12E" w14:textId="77777777" w:rsidR="007B6D8F" w:rsidRPr="004465FF" w:rsidRDefault="00000000">
            <w:pPr>
              <w:jc w:val="right"/>
              <w:rPr>
                <w:sz w:val="20"/>
                <w:szCs w:val="20"/>
              </w:rPr>
            </w:pPr>
            <w:r w:rsidRPr="004465FF">
              <w:rPr>
                <w:sz w:val="20"/>
                <w:szCs w:val="20"/>
              </w:rPr>
              <w:t>0.33</w:t>
            </w:r>
          </w:p>
        </w:tc>
        <w:tc>
          <w:tcPr>
            <w:tcW w:w="510" w:type="dxa"/>
            <w:tcBorders>
              <w:top w:val="nil"/>
              <w:left w:val="nil"/>
              <w:bottom w:val="nil"/>
              <w:right w:val="nil"/>
            </w:tcBorders>
            <w:tcMar>
              <w:top w:w="30" w:type="dxa"/>
              <w:left w:w="30" w:type="dxa"/>
              <w:bottom w:w="30" w:type="dxa"/>
              <w:right w:w="120" w:type="dxa"/>
            </w:tcMar>
            <w:vAlign w:val="center"/>
          </w:tcPr>
          <w:p w14:paraId="0DE69CD2"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631AE88C" w14:textId="77777777" w:rsidR="007B6D8F" w:rsidRPr="004465FF" w:rsidRDefault="00000000">
            <w:pPr>
              <w:jc w:val="right"/>
              <w:rPr>
                <w:sz w:val="20"/>
                <w:szCs w:val="20"/>
              </w:rPr>
            </w:pPr>
            <w:r w:rsidRPr="004465FF">
              <w:rPr>
                <w:sz w:val="20"/>
                <w:szCs w:val="20"/>
              </w:rPr>
              <w:t>0.31</w:t>
            </w:r>
          </w:p>
        </w:tc>
        <w:tc>
          <w:tcPr>
            <w:tcW w:w="510" w:type="dxa"/>
            <w:tcBorders>
              <w:top w:val="nil"/>
              <w:left w:val="nil"/>
              <w:bottom w:val="nil"/>
              <w:right w:val="nil"/>
            </w:tcBorders>
            <w:tcMar>
              <w:top w:w="30" w:type="dxa"/>
              <w:left w:w="30" w:type="dxa"/>
              <w:bottom w:w="30" w:type="dxa"/>
              <w:right w:w="120" w:type="dxa"/>
            </w:tcMar>
            <w:vAlign w:val="center"/>
          </w:tcPr>
          <w:p w14:paraId="1A582EE9"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440C5146" w14:textId="77777777" w:rsidR="007B6D8F" w:rsidRPr="004465FF" w:rsidRDefault="00000000">
            <w:pPr>
              <w:jc w:val="right"/>
              <w:rPr>
                <w:sz w:val="20"/>
                <w:szCs w:val="20"/>
              </w:rPr>
            </w:pPr>
            <w:r w:rsidRPr="004465FF">
              <w:rPr>
                <w:sz w:val="20"/>
                <w:szCs w:val="20"/>
              </w:rPr>
              <w:t>—</w:t>
            </w:r>
          </w:p>
        </w:tc>
        <w:tc>
          <w:tcPr>
            <w:tcW w:w="510" w:type="dxa"/>
            <w:tcBorders>
              <w:top w:val="nil"/>
              <w:left w:val="nil"/>
              <w:bottom w:val="nil"/>
              <w:right w:val="nil"/>
            </w:tcBorders>
            <w:tcMar>
              <w:top w:w="30" w:type="dxa"/>
              <w:left w:w="30" w:type="dxa"/>
              <w:bottom w:w="30" w:type="dxa"/>
              <w:right w:w="120" w:type="dxa"/>
            </w:tcMar>
            <w:vAlign w:val="center"/>
          </w:tcPr>
          <w:p w14:paraId="2796BFDA" w14:textId="77777777" w:rsidR="007B6D8F" w:rsidRPr="004465FF" w:rsidRDefault="007B6D8F">
            <w:pPr>
              <w:jc w:val="right"/>
              <w:rPr>
                <w:sz w:val="20"/>
                <w:szCs w:val="20"/>
              </w:rPr>
            </w:pPr>
          </w:p>
        </w:tc>
        <w:tc>
          <w:tcPr>
            <w:tcW w:w="645" w:type="dxa"/>
            <w:tcBorders>
              <w:top w:val="nil"/>
              <w:left w:val="nil"/>
              <w:bottom w:val="nil"/>
              <w:right w:val="nil"/>
            </w:tcBorders>
            <w:tcMar>
              <w:top w:w="30" w:type="dxa"/>
              <w:left w:w="120" w:type="dxa"/>
              <w:bottom w:w="30" w:type="dxa"/>
              <w:right w:w="0" w:type="dxa"/>
            </w:tcMar>
            <w:vAlign w:val="center"/>
          </w:tcPr>
          <w:p w14:paraId="5D4AC45E"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185C3081"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23BD7CFD"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3770AB43"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7866E967"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30" w:type="dxa"/>
              <w:left w:w="30" w:type="dxa"/>
              <w:bottom w:w="30" w:type="dxa"/>
              <w:right w:w="120" w:type="dxa"/>
            </w:tcMar>
            <w:vAlign w:val="center"/>
          </w:tcPr>
          <w:p w14:paraId="1F14F9E0" w14:textId="77777777" w:rsidR="007B6D8F" w:rsidRDefault="007B6D8F">
            <w:pPr>
              <w:jc w:val="right"/>
              <w:rPr>
                <w:sz w:val="22"/>
                <w:szCs w:val="22"/>
              </w:rPr>
            </w:pPr>
          </w:p>
        </w:tc>
      </w:tr>
      <w:tr w:rsidR="007B6D8F" w14:paraId="74B84FA2"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0310357E" w14:textId="77777777" w:rsidR="007B6D8F" w:rsidRPr="004465FF" w:rsidRDefault="00000000">
            <w:pPr>
              <w:rPr>
                <w:sz w:val="20"/>
                <w:szCs w:val="20"/>
              </w:rPr>
            </w:pPr>
            <w:r w:rsidRPr="004465FF">
              <w:rPr>
                <w:sz w:val="20"/>
                <w:szCs w:val="20"/>
              </w:rPr>
              <w:t>6. Autoestima</w:t>
            </w:r>
          </w:p>
        </w:tc>
        <w:tc>
          <w:tcPr>
            <w:tcW w:w="186" w:type="dxa"/>
            <w:tcBorders>
              <w:top w:val="nil"/>
              <w:left w:val="nil"/>
              <w:bottom w:val="nil"/>
              <w:right w:val="nil"/>
            </w:tcBorders>
            <w:tcMar>
              <w:top w:w="30" w:type="dxa"/>
              <w:left w:w="30" w:type="dxa"/>
              <w:bottom w:w="30" w:type="dxa"/>
              <w:right w:w="120" w:type="dxa"/>
            </w:tcMar>
            <w:vAlign w:val="center"/>
          </w:tcPr>
          <w:p w14:paraId="1FE0D61B"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F827E2F" w14:textId="77777777" w:rsidR="007B6D8F" w:rsidRPr="004465FF" w:rsidRDefault="00000000">
            <w:pPr>
              <w:jc w:val="right"/>
              <w:rPr>
                <w:sz w:val="20"/>
                <w:szCs w:val="20"/>
              </w:rPr>
            </w:pPr>
            <w:r w:rsidRPr="004465FF">
              <w:rPr>
                <w:sz w:val="20"/>
                <w:szCs w:val="20"/>
              </w:rPr>
              <w:t>-0.11</w:t>
            </w:r>
          </w:p>
        </w:tc>
        <w:tc>
          <w:tcPr>
            <w:tcW w:w="510" w:type="dxa"/>
            <w:tcBorders>
              <w:top w:val="nil"/>
              <w:left w:val="nil"/>
              <w:bottom w:val="nil"/>
              <w:right w:val="nil"/>
            </w:tcBorders>
            <w:tcMar>
              <w:top w:w="30" w:type="dxa"/>
              <w:left w:w="30" w:type="dxa"/>
              <w:bottom w:w="30" w:type="dxa"/>
              <w:right w:w="120" w:type="dxa"/>
            </w:tcMar>
            <w:vAlign w:val="center"/>
          </w:tcPr>
          <w:p w14:paraId="1C2F7BA3"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64A6D648" w14:textId="77777777" w:rsidR="007B6D8F" w:rsidRPr="004465FF" w:rsidRDefault="00000000">
            <w:pPr>
              <w:jc w:val="right"/>
              <w:rPr>
                <w:sz w:val="20"/>
                <w:szCs w:val="20"/>
              </w:rPr>
            </w:pPr>
            <w:r w:rsidRPr="004465FF">
              <w:rPr>
                <w:sz w:val="20"/>
                <w:szCs w:val="20"/>
              </w:rPr>
              <w:t>-0.59</w:t>
            </w:r>
          </w:p>
        </w:tc>
        <w:tc>
          <w:tcPr>
            <w:tcW w:w="510" w:type="dxa"/>
            <w:tcBorders>
              <w:top w:val="nil"/>
              <w:left w:val="nil"/>
              <w:bottom w:val="nil"/>
              <w:right w:val="nil"/>
            </w:tcBorders>
            <w:tcMar>
              <w:top w:w="30" w:type="dxa"/>
              <w:left w:w="30" w:type="dxa"/>
              <w:bottom w:w="30" w:type="dxa"/>
              <w:right w:w="120" w:type="dxa"/>
            </w:tcMar>
            <w:vAlign w:val="center"/>
          </w:tcPr>
          <w:p w14:paraId="6F777F97"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5666B239" w14:textId="77777777" w:rsidR="007B6D8F" w:rsidRPr="004465FF" w:rsidRDefault="00000000">
            <w:pPr>
              <w:jc w:val="right"/>
              <w:rPr>
                <w:sz w:val="20"/>
                <w:szCs w:val="20"/>
              </w:rPr>
            </w:pPr>
            <w:r w:rsidRPr="004465FF">
              <w:rPr>
                <w:sz w:val="20"/>
                <w:szCs w:val="20"/>
              </w:rPr>
              <w:t>-0.37</w:t>
            </w:r>
          </w:p>
        </w:tc>
        <w:tc>
          <w:tcPr>
            <w:tcW w:w="510" w:type="dxa"/>
            <w:tcBorders>
              <w:top w:val="nil"/>
              <w:left w:val="nil"/>
              <w:bottom w:val="nil"/>
              <w:right w:val="nil"/>
            </w:tcBorders>
            <w:tcMar>
              <w:top w:w="30" w:type="dxa"/>
              <w:left w:w="30" w:type="dxa"/>
              <w:bottom w:w="30" w:type="dxa"/>
              <w:right w:w="120" w:type="dxa"/>
            </w:tcMar>
            <w:vAlign w:val="center"/>
          </w:tcPr>
          <w:p w14:paraId="3CD023FA"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1800FD8C" w14:textId="77777777" w:rsidR="007B6D8F" w:rsidRPr="004465FF" w:rsidRDefault="00000000">
            <w:pPr>
              <w:jc w:val="right"/>
              <w:rPr>
                <w:sz w:val="20"/>
                <w:szCs w:val="20"/>
              </w:rPr>
            </w:pPr>
            <w:r w:rsidRPr="004465FF">
              <w:rPr>
                <w:sz w:val="20"/>
                <w:szCs w:val="20"/>
              </w:rPr>
              <w:t>-0.30</w:t>
            </w:r>
          </w:p>
        </w:tc>
        <w:tc>
          <w:tcPr>
            <w:tcW w:w="510" w:type="dxa"/>
            <w:tcBorders>
              <w:top w:val="nil"/>
              <w:left w:val="nil"/>
              <w:bottom w:val="nil"/>
              <w:right w:val="nil"/>
            </w:tcBorders>
            <w:tcMar>
              <w:top w:w="30" w:type="dxa"/>
              <w:left w:w="30" w:type="dxa"/>
              <w:bottom w:w="30" w:type="dxa"/>
              <w:right w:w="120" w:type="dxa"/>
            </w:tcMar>
            <w:vAlign w:val="center"/>
          </w:tcPr>
          <w:p w14:paraId="790BA186"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4E407E53" w14:textId="77777777" w:rsidR="007B6D8F" w:rsidRPr="004465FF" w:rsidRDefault="00000000">
            <w:pPr>
              <w:jc w:val="right"/>
              <w:rPr>
                <w:sz w:val="20"/>
                <w:szCs w:val="20"/>
              </w:rPr>
            </w:pPr>
            <w:r w:rsidRPr="004465FF">
              <w:rPr>
                <w:sz w:val="20"/>
                <w:szCs w:val="20"/>
              </w:rPr>
              <w:t>-0.32</w:t>
            </w:r>
          </w:p>
        </w:tc>
        <w:tc>
          <w:tcPr>
            <w:tcW w:w="510" w:type="dxa"/>
            <w:tcBorders>
              <w:top w:val="nil"/>
              <w:left w:val="nil"/>
              <w:bottom w:val="nil"/>
              <w:right w:val="nil"/>
            </w:tcBorders>
            <w:tcMar>
              <w:top w:w="30" w:type="dxa"/>
              <w:left w:w="30" w:type="dxa"/>
              <w:bottom w:w="30" w:type="dxa"/>
              <w:right w:w="120" w:type="dxa"/>
            </w:tcMar>
            <w:vAlign w:val="center"/>
          </w:tcPr>
          <w:p w14:paraId="1B3B1EAE" w14:textId="77777777" w:rsidR="007B6D8F" w:rsidRPr="004465FF" w:rsidRDefault="00000000">
            <w:pPr>
              <w:rPr>
                <w:sz w:val="20"/>
                <w:szCs w:val="20"/>
              </w:rPr>
            </w:pPr>
            <w:r w:rsidRPr="004465FF">
              <w:rPr>
                <w:sz w:val="20"/>
                <w:szCs w:val="20"/>
              </w:rPr>
              <w:t>***</w:t>
            </w:r>
          </w:p>
        </w:tc>
        <w:tc>
          <w:tcPr>
            <w:tcW w:w="645" w:type="dxa"/>
            <w:tcBorders>
              <w:top w:val="nil"/>
              <w:left w:val="nil"/>
              <w:bottom w:val="nil"/>
              <w:right w:val="nil"/>
            </w:tcBorders>
            <w:tcMar>
              <w:top w:w="30" w:type="dxa"/>
              <w:left w:w="120" w:type="dxa"/>
              <w:bottom w:w="30" w:type="dxa"/>
              <w:right w:w="0" w:type="dxa"/>
            </w:tcMar>
            <w:vAlign w:val="center"/>
          </w:tcPr>
          <w:p w14:paraId="4614BB99" w14:textId="77777777" w:rsidR="007B6D8F" w:rsidRPr="004465FF" w:rsidRDefault="00000000">
            <w:pPr>
              <w:jc w:val="right"/>
              <w:rPr>
                <w:sz w:val="20"/>
                <w:szCs w:val="20"/>
              </w:rPr>
            </w:pPr>
            <w:r w:rsidRPr="004465FF">
              <w:rPr>
                <w:sz w:val="20"/>
                <w:szCs w:val="20"/>
              </w:rPr>
              <w:t>—</w:t>
            </w:r>
          </w:p>
        </w:tc>
        <w:tc>
          <w:tcPr>
            <w:tcW w:w="186" w:type="dxa"/>
            <w:tcBorders>
              <w:top w:val="nil"/>
              <w:left w:val="nil"/>
              <w:bottom w:val="nil"/>
              <w:right w:val="nil"/>
            </w:tcBorders>
            <w:tcMar>
              <w:top w:w="30" w:type="dxa"/>
              <w:left w:w="30" w:type="dxa"/>
              <w:bottom w:w="30" w:type="dxa"/>
              <w:right w:w="120" w:type="dxa"/>
            </w:tcMar>
            <w:vAlign w:val="center"/>
          </w:tcPr>
          <w:p w14:paraId="246DB3E0"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1F9A634E" w14:textId="77777777" w:rsidR="007B6D8F" w:rsidRPr="004465FF" w:rsidRDefault="00000000">
            <w:pPr>
              <w:jc w:val="right"/>
              <w:rPr>
                <w:sz w:val="20"/>
                <w:szCs w:val="20"/>
              </w:rPr>
            </w:pPr>
            <w:r w:rsidRPr="004465FF">
              <w:rPr>
                <w:sz w:val="20"/>
                <w:szCs w:val="20"/>
              </w:rPr>
              <w:t> </w:t>
            </w:r>
          </w:p>
        </w:tc>
        <w:tc>
          <w:tcPr>
            <w:tcW w:w="186" w:type="dxa"/>
            <w:tcBorders>
              <w:top w:val="nil"/>
              <w:left w:val="nil"/>
              <w:bottom w:val="nil"/>
              <w:right w:val="nil"/>
            </w:tcBorders>
            <w:tcMar>
              <w:top w:w="30" w:type="dxa"/>
              <w:left w:w="30" w:type="dxa"/>
              <w:bottom w:w="30" w:type="dxa"/>
              <w:right w:w="120" w:type="dxa"/>
            </w:tcMar>
            <w:vAlign w:val="center"/>
          </w:tcPr>
          <w:p w14:paraId="00E07364"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3DB784D1"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30" w:type="dxa"/>
              <w:left w:w="30" w:type="dxa"/>
              <w:bottom w:w="30" w:type="dxa"/>
              <w:right w:w="120" w:type="dxa"/>
            </w:tcMar>
            <w:vAlign w:val="center"/>
          </w:tcPr>
          <w:p w14:paraId="446F1653" w14:textId="77777777" w:rsidR="007B6D8F" w:rsidRDefault="007B6D8F">
            <w:pPr>
              <w:jc w:val="right"/>
              <w:rPr>
                <w:sz w:val="22"/>
                <w:szCs w:val="22"/>
              </w:rPr>
            </w:pPr>
          </w:p>
        </w:tc>
      </w:tr>
      <w:tr w:rsidR="007B6D8F" w14:paraId="7EE26628"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5DD3DFC1" w14:textId="77777777" w:rsidR="007B6D8F" w:rsidRPr="004465FF" w:rsidRDefault="00000000">
            <w:pPr>
              <w:rPr>
                <w:sz w:val="20"/>
                <w:szCs w:val="20"/>
              </w:rPr>
            </w:pPr>
            <w:r w:rsidRPr="004465FF">
              <w:rPr>
                <w:sz w:val="20"/>
                <w:szCs w:val="20"/>
              </w:rPr>
              <w:t>7. TRS</w:t>
            </w:r>
          </w:p>
        </w:tc>
        <w:tc>
          <w:tcPr>
            <w:tcW w:w="186" w:type="dxa"/>
            <w:tcBorders>
              <w:top w:val="nil"/>
              <w:left w:val="nil"/>
              <w:bottom w:val="nil"/>
              <w:right w:val="nil"/>
            </w:tcBorders>
            <w:tcMar>
              <w:top w:w="30" w:type="dxa"/>
              <w:left w:w="30" w:type="dxa"/>
              <w:bottom w:w="30" w:type="dxa"/>
              <w:right w:w="120" w:type="dxa"/>
            </w:tcMar>
            <w:vAlign w:val="center"/>
          </w:tcPr>
          <w:p w14:paraId="243BCA27"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24C7083F" w14:textId="77777777" w:rsidR="007B6D8F" w:rsidRPr="004465FF" w:rsidRDefault="00000000">
            <w:pPr>
              <w:jc w:val="right"/>
              <w:rPr>
                <w:sz w:val="20"/>
                <w:szCs w:val="20"/>
              </w:rPr>
            </w:pPr>
            <w:r w:rsidRPr="004465FF">
              <w:rPr>
                <w:sz w:val="20"/>
                <w:szCs w:val="20"/>
              </w:rPr>
              <w:t>0.45</w:t>
            </w:r>
          </w:p>
        </w:tc>
        <w:tc>
          <w:tcPr>
            <w:tcW w:w="510" w:type="dxa"/>
            <w:tcBorders>
              <w:top w:val="nil"/>
              <w:left w:val="nil"/>
              <w:bottom w:val="nil"/>
              <w:right w:val="nil"/>
            </w:tcBorders>
            <w:tcMar>
              <w:top w:w="30" w:type="dxa"/>
              <w:left w:w="30" w:type="dxa"/>
              <w:bottom w:w="30" w:type="dxa"/>
              <w:right w:w="120" w:type="dxa"/>
            </w:tcMar>
            <w:vAlign w:val="center"/>
          </w:tcPr>
          <w:p w14:paraId="029416B5"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0637CB9D" w14:textId="77777777" w:rsidR="007B6D8F" w:rsidRPr="004465FF" w:rsidRDefault="00000000">
            <w:pPr>
              <w:jc w:val="right"/>
              <w:rPr>
                <w:sz w:val="20"/>
                <w:szCs w:val="20"/>
              </w:rPr>
            </w:pPr>
            <w:r w:rsidRPr="004465FF">
              <w:rPr>
                <w:sz w:val="20"/>
                <w:szCs w:val="20"/>
              </w:rPr>
              <w:t>0.11</w:t>
            </w:r>
          </w:p>
        </w:tc>
        <w:tc>
          <w:tcPr>
            <w:tcW w:w="510" w:type="dxa"/>
            <w:tcBorders>
              <w:top w:val="nil"/>
              <w:left w:val="nil"/>
              <w:bottom w:val="nil"/>
              <w:right w:val="nil"/>
            </w:tcBorders>
            <w:tcMar>
              <w:top w:w="30" w:type="dxa"/>
              <w:left w:w="30" w:type="dxa"/>
              <w:bottom w:w="30" w:type="dxa"/>
              <w:right w:w="120" w:type="dxa"/>
            </w:tcMar>
            <w:vAlign w:val="center"/>
          </w:tcPr>
          <w:p w14:paraId="258AFFCF"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60847464" w14:textId="77777777" w:rsidR="007B6D8F" w:rsidRPr="004465FF" w:rsidRDefault="00000000">
            <w:pPr>
              <w:jc w:val="right"/>
              <w:rPr>
                <w:sz w:val="20"/>
                <w:szCs w:val="20"/>
              </w:rPr>
            </w:pPr>
            <w:r w:rsidRPr="004465FF">
              <w:rPr>
                <w:sz w:val="20"/>
                <w:szCs w:val="20"/>
              </w:rPr>
              <w:t>0.24</w:t>
            </w:r>
          </w:p>
        </w:tc>
        <w:tc>
          <w:tcPr>
            <w:tcW w:w="510" w:type="dxa"/>
            <w:tcBorders>
              <w:top w:val="nil"/>
              <w:left w:val="nil"/>
              <w:bottom w:val="nil"/>
              <w:right w:val="nil"/>
            </w:tcBorders>
            <w:tcMar>
              <w:top w:w="30" w:type="dxa"/>
              <w:left w:w="30" w:type="dxa"/>
              <w:bottom w:w="30" w:type="dxa"/>
              <w:right w:w="120" w:type="dxa"/>
            </w:tcMar>
            <w:vAlign w:val="center"/>
          </w:tcPr>
          <w:p w14:paraId="547206DE"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357E4F69" w14:textId="77777777" w:rsidR="007B6D8F" w:rsidRPr="004465FF" w:rsidRDefault="00000000">
            <w:pPr>
              <w:jc w:val="right"/>
              <w:rPr>
                <w:sz w:val="20"/>
                <w:szCs w:val="20"/>
              </w:rPr>
            </w:pPr>
            <w:r w:rsidRPr="004465FF">
              <w:rPr>
                <w:sz w:val="20"/>
                <w:szCs w:val="20"/>
              </w:rPr>
              <w:t>0.17</w:t>
            </w:r>
          </w:p>
        </w:tc>
        <w:tc>
          <w:tcPr>
            <w:tcW w:w="510" w:type="dxa"/>
            <w:tcBorders>
              <w:top w:val="nil"/>
              <w:left w:val="nil"/>
              <w:bottom w:val="nil"/>
              <w:right w:val="nil"/>
            </w:tcBorders>
            <w:tcMar>
              <w:top w:w="30" w:type="dxa"/>
              <w:left w:w="30" w:type="dxa"/>
              <w:bottom w:w="30" w:type="dxa"/>
              <w:right w:w="120" w:type="dxa"/>
            </w:tcMar>
            <w:vAlign w:val="center"/>
          </w:tcPr>
          <w:p w14:paraId="49B9440A"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637405C1" w14:textId="77777777" w:rsidR="007B6D8F" w:rsidRPr="004465FF" w:rsidRDefault="00000000">
            <w:pPr>
              <w:jc w:val="right"/>
              <w:rPr>
                <w:sz w:val="20"/>
                <w:szCs w:val="20"/>
              </w:rPr>
            </w:pPr>
            <w:r w:rsidRPr="004465FF">
              <w:rPr>
                <w:sz w:val="20"/>
                <w:szCs w:val="20"/>
              </w:rPr>
              <w:t>0.16</w:t>
            </w:r>
          </w:p>
        </w:tc>
        <w:tc>
          <w:tcPr>
            <w:tcW w:w="510" w:type="dxa"/>
            <w:tcBorders>
              <w:top w:val="nil"/>
              <w:left w:val="nil"/>
              <w:bottom w:val="nil"/>
              <w:right w:val="nil"/>
            </w:tcBorders>
            <w:tcMar>
              <w:top w:w="30" w:type="dxa"/>
              <w:left w:w="30" w:type="dxa"/>
              <w:bottom w:w="30" w:type="dxa"/>
              <w:right w:w="120" w:type="dxa"/>
            </w:tcMar>
            <w:vAlign w:val="center"/>
          </w:tcPr>
          <w:p w14:paraId="750D99F2" w14:textId="77777777" w:rsidR="007B6D8F" w:rsidRPr="004465FF" w:rsidRDefault="00000000">
            <w:pPr>
              <w:rPr>
                <w:sz w:val="20"/>
                <w:szCs w:val="20"/>
              </w:rPr>
            </w:pPr>
            <w:r w:rsidRPr="004465FF">
              <w:rPr>
                <w:sz w:val="20"/>
                <w:szCs w:val="20"/>
              </w:rPr>
              <w:t>*</w:t>
            </w:r>
          </w:p>
        </w:tc>
        <w:tc>
          <w:tcPr>
            <w:tcW w:w="645" w:type="dxa"/>
            <w:tcBorders>
              <w:top w:val="nil"/>
              <w:left w:val="nil"/>
              <w:bottom w:val="nil"/>
              <w:right w:val="nil"/>
            </w:tcBorders>
            <w:tcMar>
              <w:top w:w="30" w:type="dxa"/>
              <w:left w:w="120" w:type="dxa"/>
              <w:bottom w:w="30" w:type="dxa"/>
              <w:right w:w="0" w:type="dxa"/>
            </w:tcMar>
            <w:vAlign w:val="center"/>
          </w:tcPr>
          <w:p w14:paraId="25D7DB24" w14:textId="77777777" w:rsidR="007B6D8F" w:rsidRPr="004465FF" w:rsidRDefault="00000000">
            <w:pPr>
              <w:jc w:val="right"/>
              <w:rPr>
                <w:sz w:val="20"/>
                <w:szCs w:val="20"/>
              </w:rPr>
            </w:pPr>
            <w:r w:rsidRPr="004465FF">
              <w:rPr>
                <w:sz w:val="20"/>
                <w:szCs w:val="20"/>
              </w:rPr>
              <w:t>-0.09</w:t>
            </w:r>
          </w:p>
        </w:tc>
        <w:tc>
          <w:tcPr>
            <w:tcW w:w="186" w:type="dxa"/>
            <w:tcBorders>
              <w:top w:val="nil"/>
              <w:left w:val="nil"/>
              <w:bottom w:val="nil"/>
              <w:right w:val="nil"/>
            </w:tcBorders>
            <w:tcMar>
              <w:top w:w="30" w:type="dxa"/>
              <w:left w:w="30" w:type="dxa"/>
              <w:bottom w:w="30" w:type="dxa"/>
              <w:right w:w="120" w:type="dxa"/>
            </w:tcMar>
            <w:vAlign w:val="center"/>
          </w:tcPr>
          <w:p w14:paraId="64FEC23A"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1C6E1638" w14:textId="77777777" w:rsidR="007B6D8F" w:rsidRPr="004465FF" w:rsidRDefault="00000000">
            <w:pPr>
              <w:jc w:val="right"/>
              <w:rPr>
                <w:sz w:val="20"/>
                <w:szCs w:val="20"/>
              </w:rPr>
            </w:pPr>
            <w:r w:rsidRPr="004465FF">
              <w:rPr>
                <w:sz w:val="20"/>
                <w:szCs w:val="20"/>
              </w:rPr>
              <w:t>—</w:t>
            </w:r>
          </w:p>
        </w:tc>
        <w:tc>
          <w:tcPr>
            <w:tcW w:w="186" w:type="dxa"/>
            <w:tcBorders>
              <w:top w:val="nil"/>
              <w:left w:val="nil"/>
              <w:bottom w:val="nil"/>
              <w:right w:val="nil"/>
            </w:tcBorders>
            <w:tcMar>
              <w:top w:w="30" w:type="dxa"/>
              <w:left w:w="30" w:type="dxa"/>
              <w:bottom w:w="30" w:type="dxa"/>
              <w:right w:w="120" w:type="dxa"/>
            </w:tcMar>
            <w:vAlign w:val="center"/>
          </w:tcPr>
          <w:p w14:paraId="46573271"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1A36F990" w14:textId="77777777" w:rsidR="007B6D8F" w:rsidRPr="004465FF" w:rsidRDefault="00000000">
            <w:pPr>
              <w:jc w:val="right"/>
              <w:rPr>
                <w:sz w:val="20"/>
                <w:szCs w:val="20"/>
              </w:rPr>
            </w:pPr>
            <w:r w:rsidRPr="004465FF">
              <w:rPr>
                <w:sz w:val="20"/>
                <w:szCs w:val="20"/>
              </w:rPr>
              <w:t> </w:t>
            </w:r>
          </w:p>
        </w:tc>
        <w:tc>
          <w:tcPr>
            <w:tcW w:w="201" w:type="dxa"/>
            <w:tcBorders>
              <w:top w:val="nil"/>
              <w:left w:val="nil"/>
              <w:bottom w:val="nil"/>
              <w:right w:val="nil"/>
            </w:tcBorders>
            <w:tcMar>
              <w:top w:w="30" w:type="dxa"/>
              <w:left w:w="30" w:type="dxa"/>
              <w:bottom w:w="30" w:type="dxa"/>
              <w:right w:w="120" w:type="dxa"/>
            </w:tcMar>
            <w:vAlign w:val="center"/>
          </w:tcPr>
          <w:p w14:paraId="4A10BAFD" w14:textId="77777777" w:rsidR="007B6D8F" w:rsidRDefault="007B6D8F">
            <w:pPr>
              <w:jc w:val="right"/>
              <w:rPr>
                <w:sz w:val="22"/>
                <w:szCs w:val="22"/>
              </w:rPr>
            </w:pPr>
          </w:p>
        </w:tc>
      </w:tr>
      <w:tr w:rsidR="007B6D8F" w14:paraId="78D060D3"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4E75FC19" w14:textId="77777777" w:rsidR="007B6D8F" w:rsidRPr="004465FF" w:rsidRDefault="00000000">
            <w:pPr>
              <w:rPr>
                <w:sz w:val="20"/>
                <w:szCs w:val="20"/>
              </w:rPr>
            </w:pPr>
            <w:r w:rsidRPr="004465FF">
              <w:rPr>
                <w:sz w:val="20"/>
                <w:szCs w:val="20"/>
              </w:rPr>
              <w:t>8. Sexo</w:t>
            </w:r>
          </w:p>
        </w:tc>
        <w:tc>
          <w:tcPr>
            <w:tcW w:w="186" w:type="dxa"/>
            <w:tcBorders>
              <w:top w:val="nil"/>
              <w:left w:val="nil"/>
              <w:bottom w:val="nil"/>
              <w:right w:val="nil"/>
            </w:tcBorders>
            <w:tcMar>
              <w:top w:w="30" w:type="dxa"/>
              <w:left w:w="30" w:type="dxa"/>
              <w:bottom w:w="30" w:type="dxa"/>
              <w:right w:w="120" w:type="dxa"/>
            </w:tcMar>
            <w:vAlign w:val="center"/>
          </w:tcPr>
          <w:p w14:paraId="1F5536C2"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232264A1" w14:textId="77777777" w:rsidR="007B6D8F" w:rsidRPr="004465FF" w:rsidRDefault="00000000">
            <w:pPr>
              <w:jc w:val="right"/>
              <w:rPr>
                <w:sz w:val="20"/>
                <w:szCs w:val="20"/>
              </w:rPr>
            </w:pPr>
            <w:r w:rsidRPr="004465FF">
              <w:rPr>
                <w:sz w:val="20"/>
                <w:szCs w:val="20"/>
              </w:rPr>
              <w:t>-0.03</w:t>
            </w:r>
          </w:p>
        </w:tc>
        <w:tc>
          <w:tcPr>
            <w:tcW w:w="510" w:type="dxa"/>
            <w:tcBorders>
              <w:top w:val="nil"/>
              <w:left w:val="nil"/>
              <w:bottom w:val="nil"/>
              <w:right w:val="nil"/>
            </w:tcBorders>
            <w:tcMar>
              <w:top w:w="30" w:type="dxa"/>
              <w:left w:w="30" w:type="dxa"/>
              <w:bottom w:w="30" w:type="dxa"/>
              <w:right w:w="120" w:type="dxa"/>
            </w:tcMar>
            <w:vAlign w:val="center"/>
          </w:tcPr>
          <w:p w14:paraId="797B3825"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725E479" w14:textId="77777777" w:rsidR="007B6D8F" w:rsidRPr="004465FF" w:rsidRDefault="00000000">
            <w:pPr>
              <w:jc w:val="right"/>
              <w:rPr>
                <w:sz w:val="20"/>
                <w:szCs w:val="20"/>
              </w:rPr>
            </w:pPr>
            <w:r w:rsidRPr="004465FF">
              <w:rPr>
                <w:sz w:val="20"/>
                <w:szCs w:val="20"/>
              </w:rPr>
              <w:t>-0.08</w:t>
            </w:r>
          </w:p>
        </w:tc>
        <w:tc>
          <w:tcPr>
            <w:tcW w:w="510" w:type="dxa"/>
            <w:tcBorders>
              <w:top w:val="nil"/>
              <w:left w:val="nil"/>
              <w:bottom w:val="nil"/>
              <w:right w:val="nil"/>
            </w:tcBorders>
            <w:tcMar>
              <w:top w:w="30" w:type="dxa"/>
              <w:left w:w="30" w:type="dxa"/>
              <w:bottom w:w="30" w:type="dxa"/>
              <w:right w:w="120" w:type="dxa"/>
            </w:tcMar>
            <w:vAlign w:val="center"/>
          </w:tcPr>
          <w:p w14:paraId="53BAA157"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39CC66F7" w14:textId="77777777" w:rsidR="007B6D8F" w:rsidRPr="004465FF" w:rsidRDefault="00000000">
            <w:pPr>
              <w:jc w:val="right"/>
              <w:rPr>
                <w:sz w:val="20"/>
                <w:szCs w:val="20"/>
              </w:rPr>
            </w:pPr>
            <w:r w:rsidRPr="004465FF">
              <w:rPr>
                <w:sz w:val="20"/>
                <w:szCs w:val="20"/>
              </w:rPr>
              <w:t>-0.21</w:t>
            </w:r>
          </w:p>
        </w:tc>
        <w:tc>
          <w:tcPr>
            <w:tcW w:w="510" w:type="dxa"/>
            <w:tcBorders>
              <w:top w:val="nil"/>
              <w:left w:val="nil"/>
              <w:bottom w:val="nil"/>
              <w:right w:val="nil"/>
            </w:tcBorders>
            <w:tcMar>
              <w:top w:w="30" w:type="dxa"/>
              <w:left w:w="30" w:type="dxa"/>
              <w:bottom w:w="30" w:type="dxa"/>
              <w:right w:w="120" w:type="dxa"/>
            </w:tcMar>
            <w:vAlign w:val="center"/>
          </w:tcPr>
          <w:p w14:paraId="7196DBD5"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437C6CDF" w14:textId="77777777" w:rsidR="007B6D8F" w:rsidRPr="004465FF" w:rsidRDefault="00000000">
            <w:pPr>
              <w:jc w:val="right"/>
              <w:rPr>
                <w:sz w:val="20"/>
                <w:szCs w:val="20"/>
              </w:rPr>
            </w:pPr>
            <w:r w:rsidRPr="004465FF">
              <w:rPr>
                <w:sz w:val="20"/>
                <w:szCs w:val="20"/>
              </w:rPr>
              <w:t>-0.24</w:t>
            </w:r>
          </w:p>
        </w:tc>
        <w:tc>
          <w:tcPr>
            <w:tcW w:w="510" w:type="dxa"/>
            <w:tcBorders>
              <w:top w:val="nil"/>
              <w:left w:val="nil"/>
              <w:bottom w:val="nil"/>
              <w:right w:val="nil"/>
            </w:tcBorders>
            <w:tcMar>
              <w:top w:w="30" w:type="dxa"/>
              <w:left w:w="30" w:type="dxa"/>
              <w:bottom w:w="30" w:type="dxa"/>
              <w:right w:w="120" w:type="dxa"/>
            </w:tcMar>
            <w:vAlign w:val="center"/>
          </w:tcPr>
          <w:p w14:paraId="17696F78" w14:textId="77777777" w:rsidR="007B6D8F" w:rsidRPr="004465FF" w:rsidRDefault="00000000">
            <w:pPr>
              <w:rPr>
                <w:sz w:val="20"/>
                <w:szCs w:val="20"/>
              </w:rPr>
            </w:pPr>
            <w:r w:rsidRPr="004465FF">
              <w:rPr>
                <w:sz w:val="20"/>
                <w:szCs w:val="20"/>
              </w:rPr>
              <w:t>**</w:t>
            </w:r>
          </w:p>
        </w:tc>
        <w:tc>
          <w:tcPr>
            <w:tcW w:w="609" w:type="dxa"/>
            <w:tcBorders>
              <w:top w:val="nil"/>
              <w:left w:val="nil"/>
              <w:bottom w:val="nil"/>
              <w:right w:val="nil"/>
            </w:tcBorders>
            <w:tcMar>
              <w:top w:w="30" w:type="dxa"/>
              <w:left w:w="120" w:type="dxa"/>
              <w:bottom w:w="30" w:type="dxa"/>
              <w:right w:w="0" w:type="dxa"/>
            </w:tcMar>
            <w:vAlign w:val="center"/>
          </w:tcPr>
          <w:p w14:paraId="42E61ADF" w14:textId="77777777" w:rsidR="007B6D8F" w:rsidRPr="004465FF" w:rsidRDefault="00000000">
            <w:pPr>
              <w:jc w:val="right"/>
              <w:rPr>
                <w:sz w:val="20"/>
                <w:szCs w:val="20"/>
              </w:rPr>
            </w:pPr>
            <w:r w:rsidRPr="004465FF">
              <w:rPr>
                <w:sz w:val="20"/>
                <w:szCs w:val="20"/>
              </w:rPr>
              <w:t>-0.10</w:t>
            </w:r>
          </w:p>
        </w:tc>
        <w:tc>
          <w:tcPr>
            <w:tcW w:w="510" w:type="dxa"/>
            <w:tcBorders>
              <w:top w:val="nil"/>
              <w:left w:val="nil"/>
              <w:bottom w:val="nil"/>
              <w:right w:val="nil"/>
            </w:tcBorders>
            <w:tcMar>
              <w:top w:w="30" w:type="dxa"/>
              <w:left w:w="30" w:type="dxa"/>
              <w:bottom w:w="30" w:type="dxa"/>
              <w:right w:w="120" w:type="dxa"/>
            </w:tcMar>
            <w:vAlign w:val="center"/>
          </w:tcPr>
          <w:p w14:paraId="10A1B368" w14:textId="77777777" w:rsidR="007B6D8F" w:rsidRPr="004465FF" w:rsidRDefault="007B6D8F">
            <w:pPr>
              <w:rPr>
                <w:sz w:val="20"/>
                <w:szCs w:val="20"/>
              </w:rPr>
            </w:pPr>
          </w:p>
        </w:tc>
        <w:tc>
          <w:tcPr>
            <w:tcW w:w="645" w:type="dxa"/>
            <w:tcBorders>
              <w:top w:val="nil"/>
              <w:left w:val="nil"/>
              <w:bottom w:val="nil"/>
              <w:right w:val="nil"/>
            </w:tcBorders>
            <w:tcMar>
              <w:top w:w="30" w:type="dxa"/>
              <w:left w:w="120" w:type="dxa"/>
              <w:bottom w:w="30" w:type="dxa"/>
              <w:right w:w="0" w:type="dxa"/>
            </w:tcMar>
            <w:vAlign w:val="center"/>
          </w:tcPr>
          <w:p w14:paraId="266C60D1" w14:textId="77777777" w:rsidR="007B6D8F" w:rsidRPr="004465FF" w:rsidRDefault="00000000">
            <w:pPr>
              <w:jc w:val="right"/>
              <w:rPr>
                <w:sz w:val="20"/>
                <w:szCs w:val="20"/>
              </w:rPr>
            </w:pPr>
            <w:r w:rsidRPr="004465FF">
              <w:rPr>
                <w:sz w:val="20"/>
                <w:szCs w:val="20"/>
              </w:rPr>
              <w:t>0.122</w:t>
            </w:r>
          </w:p>
        </w:tc>
        <w:tc>
          <w:tcPr>
            <w:tcW w:w="186" w:type="dxa"/>
            <w:tcBorders>
              <w:top w:val="nil"/>
              <w:left w:val="nil"/>
              <w:bottom w:val="nil"/>
              <w:right w:val="nil"/>
            </w:tcBorders>
            <w:tcMar>
              <w:top w:w="30" w:type="dxa"/>
              <w:left w:w="30" w:type="dxa"/>
              <w:bottom w:w="30" w:type="dxa"/>
              <w:right w:w="120" w:type="dxa"/>
            </w:tcMar>
            <w:vAlign w:val="center"/>
          </w:tcPr>
          <w:p w14:paraId="26CB0912"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5627B488" w14:textId="77777777" w:rsidR="007B6D8F" w:rsidRPr="004465FF" w:rsidRDefault="00000000">
            <w:pPr>
              <w:jc w:val="right"/>
              <w:rPr>
                <w:sz w:val="20"/>
                <w:szCs w:val="20"/>
              </w:rPr>
            </w:pPr>
            <w:r w:rsidRPr="004465FF">
              <w:rPr>
                <w:sz w:val="20"/>
                <w:szCs w:val="20"/>
              </w:rPr>
              <w:t>-0.10</w:t>
            </w:r>
          </w:p>
        </w:tc>
        <w:tc>
          <w:tcPr>
            <w:tcW w:w="186" w:type="dxa"/>
            <w:tcBorders>
              <w:top w:val="nil"/>
              <w:left w:val="nil"/>
              <w:bottom w:val="nil"/>
              <w:right w:val="nil"/>
            </w:tcBorders>
            <w:tcMar>
              <w:top w:w="30" w:type="dxa"/>
              <w:left w:w="30" w:type="dxa"/>
              <w:bottom w:w="30" w:type="dxa"/>
              <w:right w:w="120" w:type="dxa"/>
            </w:tcMar>
            <w:vAlign w:val="center"/>
          </w:tcPr>
          <w:p w14:paraId="4C4599B3"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25264F21" w14:textId="77777777" w:rsidR="007B6D8F" w:rsidRPr="004465FF" w:rsidRDefault="00000000">
            <w:pPr>
              <w:jc w:val="right"/>
              <w:rPr>
                <w:sz w:val="20"/>
                <w:szCs w:val="20"/>
              </w:rPr>
            </w:pPr>
            <w:r w:rsidRPr="004465FF">
              <w:rPr>
                <w:sz w:val="20"/>
                <w:szCs w:val="20"/>
              </w:rPr>
              <w:t>—</w:t>
            </w:r>
          </w:p>
        </w:tc>
        <w:tc>
          <w:tcPr>
            <w:tcW w:w="201" w:type="dxa"/>
            <w:tcBorders>
              <w:top w:val="nil"/>
              <w:left w:val="nil"/>
              <w:bottom w:val="nil"/>
              <w:right w:val="nil"/>
            </w:tcBorders>
            <w:tcMar>
              <w:top w:w="30" w:type="dxa"/>
              <w:left w:w="30" w:type="dxa"/>
              <w:bottom w:w="30" w:type="dxa"/>
              <w:right w:w="120" w:type="dxa"/>
            </w:tcMar>
            <w:vAlign w:val="center"/>
          </w:tcPr>
          <w:p w14:paraId="49B67C6E" w14:textId="77777777" w:rsidR="007B6D8F" w:rsidRDefault="007B6D8F">
            <w:pPr>
              <w:jc w:val="right"/>
              <w:rPr>
                <w:sz w:val="22"/>
                <w:szCs w:val="22"/>
              </w:rPr>
            </w:pPr>
          </w:p>
        </w:tc>
      </w:tr>
      <w:tr w:rsidR="007B6D8F" w14:paraId="04321691" w14:textId="77777777">
        <w:trPr>
          <w:cantSplit/>
        </w:trPr>
        <w:tc>
          <w:tcPr>
            <w:tcW w:w="1493" w:type="dxa"/>
            <w:tcBorders>
              <w:top w:val="nil"/>
              <w:left w:val="nil"/>
              <w:bottom w:val="nil"/>
              <w:right w:val="nil"/>
            </w:tcBorders>
            <w:tcMar>
              <w:top w:w="30" w:type="dxa"/>
              <w:left w:w="120" w:type="dxa"/>
              <w:bottom w:w="30" w:type="dxa"/>
              <w:right w:w="0" w:type="dxa"/>
            </w:tcMar>
            <w:vAlign w:val="center"/>
          </w:tcPr>
          <w:p w14:paraId="6D1F68D3" w14:textId="77777777" w:rsidR="007B6D8F" w:rsidRPr="004465FF" w:rsidRDefault="00000000">
            <w:pPr>
              <w:rPr>
                <w:sz w:val="20"/>
                <w:szCs w:val="20"/>
              </w:rPr>
            </w:pPr>
            <w:r w:rsidRPr="004465FF">
              <w:rPr>
                <w:sz w:val="20"/>
                <w:szCs w:val="20"/>
              </w:rPr>
              <w:t>Média</w:t>
            </w:r>
          </w:p>
        </w:tc>
        <w:tc>
          <w:tcPr>
            <w:tcW w:w="186" w:type="dxa"/>
            <w:tcBorders>
              <w:top w:val="nil"/>
              <w:left w:val="nil"/>
              <w:bottom w:val="nil"/>
              <w:right w:val="nil"/>
            </w:tcBorders>
            <w:tcMar>
              <w:top w:w="30" w:type="dxa"/>
              <w:left w:w="30" w:type="dxa"/>
              <w:bottom w:w="30" w:type="dxa"/>
              <w:right w:w="120" w:type="dxa"/>
            </w:tcMar>
            <w:vAlign w:val="center"/>
          </w:tcPr>
          <w:p w14:paraId="69054F53"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BC119EB" w14:textId="77777777" w:rsidR="007B6D8F" w:rsidRPr="004465FF" w:rsidRDefault="00000000">
            <w:pPr>
              <w:jc w:val="right"/>
              <w:rPr>
                <w:sz w:val="20"/>
                <w:szCs w:val="20"/>
              </w:rPr>
            </w:pPr>
            <w:r w:rsidRPr="004465FF">
              <w:rPr>
                <w:sz w:val="20"/>
                <w:szCs w:val="20"/>
              </w:rPr>
              <w:t>5.03</w:t>
            </w:r>
          </w:p>
        </w:tc>
        <w:tc>
          <w:tcPr>
            <w:tcW w:w="510" w:type="dxa"/>
            <w:tcBorders>
              <w:top w:val="nil"/>
              <w:left w:val="nil"/>
              <w:bottom w:val="nil"/>
              <w:right w:val="nil"/>
            </w:tcBorders>
            <w:tcMar>
              <w:top w:w="30" w:type="dxa"/>
              <w:left w:w="30" w:type="dxa"/>
              <w:bottom w:w="30" w:type="dxa"/>
              <w:right w:w="120" w:type="dxa"/>
            </w:tcMar>
            <w:vAlign w:val="center"/>
          </w:tcPr>
          <w:p w14:paraId="0A0BFC07"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8D0601A" w14:textId="77777777" w:rsidR="007B6D8F" w:rsidRPr="004465FF" w:rsidRDefault="00000000">
            <w:pPr>
              <w:jc w:val="right"/>
              <w:rPr>
                <w:sz w:val="20"/>
                <w:szCs w:val="20"/>
              </w:rPr>
            </w:pPr>
            <w:r w:rsidRPr="004465FF">
              <w:rPr>
                <w:sz w:val="20"/>
                <w:szCs w:val="20"/>
              </w:rPr>
              <w:t>0.89</w:t>
            </w:r>
          </w:p>
        </w:tc>
        <w:tc>
          <w:tcPr>
            <w:tcW w:w="510" w:type="dxa"/>
            <w:tcBorders>
              <w:top w:val="nil"/>
              <w:left w:val="nil"/>
              <w:bottom w:val="nil"/>
              <w:right w:val="nil"/>
            </w:tcBorders>
            <w:tcMar>
              <w:top w:w="30" w:type="dxa"/>
              <w:left w:w="30" w:type="dxa"/>
              <w:bottom w:w="30" w:type="dxa"/>
              <w:right w:w="120" w:type="dxa"/>
            </w:tcMar>
            <w:vAlign w:val="center"/>
          </w:tcPr>
          <w:p w14:paraId="3D038AD4"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4BF1C87F" w14:textId="77777777" w:rsidR="007B6D8F" w:rsidRPr="004465FF" w:rsidRDefault="00000000">
            <w:pPr>
              <w:jc w:val="right"/>
              <w:rPr>
                <w:sz w:val="20"/>
                <w:szCs w:val="20"/>
              </w:rPr>
            </w:pPr>
            <w:r w:rsidRPr="004465FF">
              <w:rPr>
                <w:sz w:val="20"/>
                <w:szCs w:val="20"/>
              </w:rPr>
              <w:t>0.76</w:t>
            </w:r>
          </w:p>
        </w:tc>
        <w:tc>
          <w:tcPr>
            <w:tcW w:w="510" w:type="dxa"/>
            <w:tcBorders>
              <w:top w:val="nil"/>
              <w:left w:val="nil"/>
              <w:bottom w:val="nil"/>
              <w:right w:val="nil"/>
            </w:tcBorders>
            <w:tcMar>
              <w:top w:w="30" w:type="dxa"/>
              <w:left w:w="30" w:type="dxa"/>
              <w:bottom w:w="30" w:type="dxa"/>
              <w:right w:w="120" w:type="dxa"/>
            </w:tcMar>
            <w:vAlign w:val="center"/>
          </w:tcPr>
          <w:p w14:paraId="15A5960B"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0C79D8AD" w14:textId="77777777" w:rsidR="007B6D8F" w:rsidRPr="004465FF" w:rsidRDefault="00000000">
            <w:pPr>
              <w:jc w:val="right"/>
              <w:rPr>
                <w:sz w:val="20"/>
                <w:szCs w:val="20"/>
              </w:rPr>
            </w:pPr>
            <w:r w:rsidRPr="004465FF">
              <w:rPr>
                <w:sz w:val="20"/>
                <w:szCs w:val="20"/>
              </w:rPr>
              <w:t>1.26</w:t>
            </w:r>
          </w:p>
        </w:tc>
        <w:tc>
          <w:tcPr>
            <w:tcW w:w="510" w:type="dxa"/>
            <w:tcBorders>
              <w:top w:val="nil"/>
              <w:left w:val="nil"/>
              <w:bottom w:val="nil"/>
              <w:right w:val="nil"/>
            </w:tcBorders>
            <w:tcMar>
              <w:top w:w="30" w:type="dxa"/>
              <w:left w:w="30" w:type="dxa"/>
              <w:bottom w:w="30" w:type="dxa"/>
              <w:right w:w="120" w:type="dxa"/>
            </w:tcMar>
            <w:vAlign w:val="center"/>
          </w:tcPr>
          <w:p w14:paraId="397A0C8F" w14:textId="77777777" w:rsidR="007B6D8F" w:rsidRPr="004465FF" w:rsidRDefault="007B6D8F">
            <w:pPr>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1A40AE22" w14:textId="77777777" w:rsidR="007B6D8F" w:rsidRPr="004465FF" w:rsidRDefault="00000000">
            <w:pPr>
              <w:jc w:val="right"/>
              <w:rPr>
                <w:sz w:val="20"/>
                <w:szCs w:val="20"/>
              </w:rPr>
            </w:pPr>
            <w:r w:rsidRPr="004465FF">
              <w:rPr>
                <w:sz w:val="20"/>
                <w:szCs w:val="20"/>
              </w:rPr>
              <w:t>4.47</w:t>
            </w:r>
          </w:p>
        </w:tc>
        <w:tc>
          <w:tcPr>
            <w:tcW w:w="510" w:type="dxa"/>
            <w:tcBorders>
              <w:top w:val="nil"/>
              <w:left w:val="nil"/>
              <w:bottom w:val="nil"/>
              <w:right w:val="nil"/>
            </w:tcBorders>
            <w:tcMar>
              <w:top w:w="30" w:type="dxa"/>
              <w:left w:w="30" w:type="dxa"/>
              <w:bottom w:w="30" w:type="dxa"/>
              <w:right w:w="120" w:type="dxa"/>
            </w:tcMar>
            <w:vAlign w:val="center"/>
          </w:tcPr>
          <w:p w14:paraId="3E64FC35" w14:textId="77777777" w:rsidR="007B6D8F" w:rsidRPr="004465FF" w:rsidRDefault="007B6D8F">
            <w:pPr>
              <w:rPr>
                <w:sz w:val="20"/>
                <w:szCs w:val="20"/>
              </w:rPr>
            </w:pPr>
          </w:p>
        </w:tc>
        <w:tc>
          <w:tcPr>
            <w:tcW w:w="645" w:type="dxa"/>
            <w:tcBorders>
              <w:top w:val="nil"/>
              <w:left w:val="nil"/>
              <w:bottom w:val="nil"/>
              <w:right w:val="nil"/>
            </w:tcBorders>
            <w:tcMar>
              <w:top w:w="30" w:type="dxa"/>
              <w:left w:w="120" w:type="dxa"/>
              <w:bottom w:w="30" w:type="dxa"/>
              <w:right w:w="0" w:type="dxa"/>
            </w:tcMar>
            <w:vAlign w:val="center"/>
          </w:tcPr>
          <w:p w14:paraId="432C5D63" w14:textId="77777777" w:rsidR="007B6D8F" w:rsidRPr="004465FF" w:rsidRDefault="00000000">
            <w:pPr>
              <w:jc w:val="right"/>
              <w:rPr>
                <w:sz w:val="20"/>
                <w:szCs w:val="20"/>
              </w:rPr>
            </w:pPr>
            <w:r w:rsidRPr="004465FF">
              <w:rPr>
                <w:sz w:val="20"/>
                <w:szCs w:val="20"/>
              </w:rPr>
              <w:t>3.01</w:t>
            </w:r>
          </w:p>
        </w:tc>
        <w:tc>
          <w:tcPr>
            <w:tcW w:w="186" w:type="dxa"/>
            <w:tcBorders>
              <w:top w:val="nil"/>
              <w:left w:val="nil"/>
              <w:bottom w:val="nil"/>
              <w:right w:val="nil"/>
            </w:tcBorders>
            <w:tcMar>
              <w:top w:w="30" w:type="dxa"/>
              <w:left w:w="30" w:type="dxa"/>
              <w:bottom w:w="30" w:type="dxa"/>
              <w:right w:w="120" w:type="dxa"/>
            </w:tcMar>
            <w:vAlign w:val="center"/>
          </w:tcPr>
          <w:p w14:paraId="18077A88" w14:textId="77777777" w:rsidR="007B6D8F" w:rsidRPr="004465FF" w:rsidRDefault="007B6D8F">
            <w:pPr>
              <w:jc w:val="right"/>
              <w:rPr>
                <w:sz w:val="20"/>
                <w:szCs w:val="20"/>
              </w:rPr>
            </w:pPr>
          </w:p>
        </w:tc>
        <w:tc>
          <w:tcPr>
            <w:tcW w:w="609" w:type="dxa"/>
            <w:tcBorders>
              <w:top w:val="nil"/>
              <w:left w:val="nil"/>
              <w:bottom w:val="nil"/>
              <w:right w:val="nil"/>
            </w:tcBorders>
            <w:tcMar>
              <w:top w:w="30" w:type="dxa"/>
              <w:left w:w="120" w:type="dxa"/>
              <w:bottom w:w="30" w:type="dxa"/>
              <w:right w:w="0" w:type="dxa"/>
            </w:tcMar>
            <w:vAlign w:val="center"/>
          </w:tcPr>
          <w:p w14:paraId="71F46588" w14:textId="77777777" w:rsidR="007B6D8F" w:rsidRPr="004465FF" w:rsidRDefault="00000000">
            <w:pPr>
              <w:jc w:val="right"/>
              <w:rPr>
                <w:sz w:val="20"/>
                <w:szCs w:val="20"/>
              </w:rPr>
            </w:pPr>
            <w:r w:rsidRPr="004465FF">
              <w:rPr>
                <w:sz w:val="20"/>
                <w:szCs w:val="20"/>
              </w:rPr>
              <w:t>5.15</w:t>
            </w:r>
          </w:p>
        </w:tc>
        <w:tc>
          <w:tcPr>
            <w:tcW w:w="186" w:type="dxa"/>
            <w:tcBorders>
              <w:top w:val="nil"/>
              <w:left w:val="nil"/>
              <w:bottom w:val="nil"/>
              <w:right w:val="nil"/>
            </w:tcBorders>
            <w:tcMar>
              <w:top w:w="30" w:type="dxa"/>
              <w:left w:w="30" w:type="dxa"/>
              <w:bottom w:w="30" w:type="dxa"/>
              <w:right w:w="120" w:type="dxa"/>
            </w:tcMar>
            <w:vAlign w:val="center"/>
          </w:tcPr>
          <w:p w14:paraId="47E8001A" w14:textId="77777777" w:rsidR="007B6D8F" w:rsidRPr="004465FF" w:rsidRDefault="007B6D8F">
            <w:pPr>
              <w:jc w:val="right"/>
              <w:rPr>
                <w:sz w:val="20"/>
                <w:szCs w:val="20"/>
              </w:rPr>
            </w:pPr>
          </w:p>
        </w:tc>
        <w:tc>
          <w:tcPr>
            <w:tcW w:w="535" w:type="dxa"/>
            <w:tcBorders>
              <w:top w:val="nil"/>
              <w:left w:val="nil"/>
              <w:bottom w:val="nil"/>
              <w:right w:val="nil"/>
            </w:tcBorders>
            <w:tcMar>
              <w:top w:w="30" w:type="dxa"/>
              <w:left w:w="120" w:type="dxa"/>
              <w:bottom w:w="30" w:type="dxa"/>
              <w:right w:w="0" w:type="dxa"/>
            </w:tcMar>
            <w:vAlign w:val="center"/>
          </w:tcPr>
          <w:p w14:paraId="2A58BC4A" w14:textId="77777777" w:rsidR="007B6D8F" w:rsidRPr="004465FF" w:rsidRDefault="00000000">
            <w:pPr>
              <w:jc w:val="right"/>
              <w:rPr>
                <w:sz w:val="20"/>
                <w:szCs w:val="20"/>
              </w:rPr>
            </w:pPr>
            <w:r w:rsidRPr="004465FF">
              <w:rPr>
                <w:sz w:val="20"/>
                <w:szCs w:val="20"/>
              </w:rPr>
              <w:t>1.28</w:t>
            </w:r>
          </w:p>
        </w:tc>
        <w:tc>
          <w:tcPr>
            <w:tcW w:w="201" w:type="dxa"/>
            <w:tcBorders>
              <w:top w:val="nil"/>
              <w:left w:val="nil"/>
              <w:bottom w:val="nil"/>
              <w:right w:val="nil"/>
            </w:tcBorders>
            <w:tcMar>
              <w:top w:w="30" w:type="dxa"/>
              <w:left w:w="30" w:type="dxa"/>
              <w:bottom w:w="30" w:type="dxa"/>
              <w:right w:w="120" w:type="dxa"/>
            </w:tcMar>
            <w:vAlign w:val="center"/>
          </w:tcPr>
          <w:p w14:paraId="293C2A5E" w14:textId="77777777" w:rsidR="007B6D8F" w:rsidRDefault="007B6D8F">
            <w:pPr>
              <w:jc w:val="right"/>
              <w:rPr>
                <w:sz w:val="22"/>
                <w:szCs w:val="22"/>
              </w:rPr>
            </w:pPr>
          </w:p>
        </w:tc>
      </w:tr>
      <w:tr w:rsidR="007B6D8F" w14:paraId="700CBA30" w14:textId="77777777">
        <w:trPr>
          <w:cantSplit/>
        </w:trPr>
        <w:tc>
          <w:tcPr>
            <w:tcW w:w="1493" w:type="dxa"/>
            <w:tcBorders>
              <w:top w:val="nil"/>
              <w:left w:val="nil"/>
              <w:bottom w:val="single" w:sz="12" w:space="0" w:color="333333"/>
              <w:right w:val="nil"/>
            </w:tcBorders>
            <w:tcMar>
              <w:top w:w="30" w:type="dxa"/>
              <w:left w:w="120" w:type="dxa"/>
              <w:bottom w:w="120" w:type="dxa"/>
              <w:right w:w="0" w:type="dxa"/>
            </w:tcMar>
            <w:vAlign w:val="center"/>
          </w:tcPr>
          <w:p w14:paraId="109877EB" w14:textId="77777777" w:rsidR="007B6D8F" w:rsidRPr="004465FF" w:rsidRDefault="00000000">
            <w:pPr>
              <w:rPr>
                <w:sz w:val="20"/>
                <w:szCs w:val="20"/>
              </w:rPr>
            </w:pPr>
            <w:r w:rsidRPr="004465FF">
              <w:rPr>
                <w:sz w:val="20"/>
                <w:szCs w:val="20"/>
              </w:rPr>
              <w:t>Desvio-padrão</w:t>
            </w:r>
          </w:p>
        </w:tc>
        <w:tc>
          <w:tcPr>
            <w:tcW w:w="186" w:type="dxa"/>
            <w:tcBorders>
              <w:top w:val="nil"/>
              <w:left w:val="nil"/>
              <w:bottom w:val="single" w:sz="12" w:space="0" w:color="333333"/>
              <w:right w:val="nil"/>
            </w:tcBorders>
            <w:tcMar>
              <w:top w:w="30" w:type="dxa"/>
              <w:left w:w="30" w:type="dxa"/>
              <w:bottom w:w="120" w:type="dxa"/>
              <w:right w:w="120" w:type="dxa"/>
            </w:tcMar>
            <w:vAlign w:val="center"/>
          </w:tcPr>
          <w:p w14:paraId="443D3189" w14:textId="77777777" w:rsidR="007B6D8F" w:rsidRPr="004465FF" w:rsidRDefault="007B6D8F">
            <w:pPr>
              <w:rPr>
                <w:sz w:val="20"/>
                <w:szCs w:val="20"/>
              </w:rPr>
            </w:pPr>
          </w:p>
        </w:tc>
        <w:tc>
          <w:tcPr>
            <w:tcW w:w="609" w:type="dxa"/>
            <w:tcBorders>
              <w:top w:val="nil"/>
              <w:left w:val="nil"/>
              <w:bottom w:val="single" w:sz="12" w:space="0" w:color="333333"/>
              <w:right w:val="nil"/>
            </w:tcBorders>
            <w:tcMar>
              <w:top w:w="30" w:type="dxa"/>
              <w:left w:w="120" w:type="dxa"/>
              <w:bottom w:w="120" w:type="dxa"/>
              <w:right w:w="0" w:type="dxa"/>
            </w:tcMar>
            <w:vAlign w:val="center"/>
          </w:tcPr>
          <w:p w14:paraId="7AA23353" w14:textId="77777777" w:rsidR="007B6D8F" w:rsidRPr="004465FF" w:rsidRDefault="00000000">
            <w:pPr>
              <w:jc w:val="right"/>
              <w:rPr>
                <w:sz w:val="20"/>
                <w:szCs w:val="20"/>
              </w:rPr>
            </w:pPr>
            <w:r w:rsidRPr="004465FF">
              <w:rPr>
                <w:sz w:val="20"/>
                <w:szCs w:val="20"/>
              </w:rPr>
              <w:t>1.89</w:t>
            </w:r>
          </w:p>
        </w:tc>
        <w:tc>
          <w:tcPr>
            <w:tcW w:w="510" w:type="dxa"/>
            <w:tcBorders>
              <w:top w:val="nil"/>
              <w:left w:val="nil"/>
              <w:bottom w:val="single" w:sz="12" w:space="0" w:color="333333"/>
              <w:right w:val="nil"/>
            </w:tcBorders>
            <w:tcMar>
              <w:top w:w="30" w:type="dxa"/>
              <w:left w:w="30" w:type="dxa"/>
              <w:bottom w:w="120" w:type="dxa"/>
              <w:right w:w="120" w:type="dxa"/>
            </w:tcMar>
            <w:vAlign w:val="center"/>
          </w:tcPr>
          <w:p w14:paraId="3B980032" w14:textId="77777777" w:rsidR="007B6D8F" w:rsidRPr="004465FF" w:rsidRDefault="007B6D8F">
            <w:pPr>
              <w:jc w:val="right"/>
              <w:rPr>
                <w:sz w:val="20"/>
                <w:szCs w:val="20"/>
              </w:rPr>
            </w:pPr>
          </w:p>
        </w:tc>
        <w:tc>
          <w:tcPr>
            <w:tcW w:w="609" w:type="dxa"/>
            <w:tcBorders>
              <w:top w:val="nil"/>
              <w:left w:val="nil"/>
              <w:bottom w:val="single" w:sz="12" w:space="0" w:color="333333"/>
              <w:right w:val="nil"/>
            </w:tcBorders>
            <w:tcMar>
              <w:top w:w="30" w:type="dxa"/>
              <w:left w:w="120" w:type="dxa"/>
              <w:bottom w:w="120" w:type="dxa"/>
              <w:right w:w="0" w:type="dxa"/>
            </w:tcMar>
            <w:vAlign w:val="center"/>
          </w:tcPr>
          <w:p w14:paraId="514C608B" w14:textId="77777777" w:rsidR="007B6D8F" w:rsidRPr="004465FF" w:rsidRDefault="00000000">
            <w:pPr>
              <w:jc w:val="right"/>
              <w:rPr>
                <w:sz w:val="20"/>
                <w:szCs w:val="20"/>
              </w:rPr>
            </w:pPr>
            <w:r w:rsidRPr="004465FF">
              <w:rPr>
                <w:sz w:val="20"/>
                <w:szCs w:val="20"/>
              </w:rPr>
              <w:t>0.75</w:t>
            </w:r>
          </w:p>
        </w:tc>
        <w:tc>
          <w:tcPr>
            <w:tcW w:w="510" w:type="dxa"/>
            <w:tcBorders>
              <w:top w:val="nil"/>
              <w:left w:val="nil"/>
              <w:bottom w:val="single" w:sz="12" w:space="0" w:color="333333"/>
              <w:right w:val="nil"/>
            </w:tcBorders>
            <w:tcMar>
              <w:top w:w="30" w:type="dxa"/>
              <w:left w:w="30" w:type="dxa"/>
              <w:bottom w:w="120" w:type="dxa"/>
              <w:right w:w="120" w:type="dxa"/>
            </w:tcMar>
            <w:vAlign w:val="center"/>
          </w:tcPr>
          <w:p w14:paraId="7A20A14A" w14:textId="77777777" w:rsidR="007B6D8F" w:rsidRPr="004465FF" w:rsidRDefault="007B6D8F">
            <w:pPr>
              <w:jc w:val="right"/>
              <w:rPr>
                <w:sz w:val="20"/>
                <w:szCs w:val="20"/>
              </w:rPr>
            </w:pPr>
          </w:p>
        </w:tc>
        <w:tc>
          <w:tcPr>
            <w:tcW w:w="609" w:type="dxa"/>
            <w:tcBorders>
              <w:top w:val="nil"/>
              <w:left w:val="nil"/>
              <w:bottom w:val="single" w:sz="12" w:space="0" w:color="333333"/>
              <w:right w:val="nil"/>
            </w:tcBorders>
            <w:tcMar>
              <w:top w:w="30" w:type="dxa"/>
              <w:left w:w="120" w:type="dxa"/>
              <w:bottom w:w="120" w:type="dxa"/>
              <w:right w:w="0" w:type="dxa"/>
            </w:tcMar>
            <w:vAlign w:val="center"/>
          </w:tcPr>
          <w:p w14:paraId="50D88A32" w14:textId="77777777" w:rsidR="007B6D8F" w:rsidRPr="004465FF" w:rsidRDefault="00000000">
            <w:pPr>
              <w:jc w:val="right"/>
              <w:rPr>
                <w:sz w:val="20"/>
                <w:szCs w:val="20"/>
              </w:rPr>
            </w:pPr>
            <w:r w:rsidRPr="004465FF">
              <w:rPr>
                <w:sz w:val="20"/>
                <w:szCs w:val="20"/>
              </w:rPr>
              <w:t>0.75</w:t>
            </w:r>
          </w:p>
        </w:tc>
        <w:tc>
          <w:tcPr>
            <w:tcW w:w="510" w:type="dxa"/>
            <w:tcBorders>
              <w:top w:val="nil"/>
              <w:left w:val="nil"/>
              <w:bottom w:val="single" w:sz="12" w:space="0" w:color="333333"/>
              <w:right w:val="nil"/>
            </w:tcBorders>
            <w:tcMar>
              <w:top w:w="30" w:type="dxa"/>
              <w:left w:w="30" w:type="dxa"/>
              <w:bottom w:w="120" w:type="dxa"/>
              <w:right w:w="120" w:type="dxa"/>
            </w:tcMar>
            <w:vAlign w:val="center"/>
          </w:tcPr>
          <w:p w14:paraId="1E3A72D0" w14:textId="77777777" w:rsidR="007B6D8F" w:rsidRPr="004465FF" w:rsidRDefault="007B6D8F">
            <w:pPr>
              <w:rPr>
                <w:sz w:val="20"/>
                <w:szCs w:val="20"/>
              </w:rPr>
            </w:pPr>
          </w:p>
        </w:tc>
        <w:tc>
          <w:tcPr>
            <w:tcW w:w="609" w:type="dxa"/>
            <w:tcBorders>
              <w:top w:val="nil"/>
              <w:left w:val="nil"/>
              <w:bottom w:val="single" w:sz="12" w:space="0" w:color="333333"/>
              <w:right w:val="nil"/>
            </w:tcBorders>
            <w:tcMar>
              <w:top w:w="30" w:type="dxa"/>
              <w:left w:w="120" w:type="dxa"/>
              <w:bottom w:w="120" w:type="dxa"/>
              <w:right w:w="0" w:type="dxa"/>
            </w:tcMar>
            <w:vAlign w:val="center"/>
          </w:tcPr>
          <w:p w14:paraId="43535673" w14:textId="77777777" w:rsidR="007B6D8F" w:rsidRPr="004465FF" w:rsidRDefault="00000000">
            <w:pPr>
              <w:jc w:val="right"/>
              <w:rPr>
                <w:sz w:val="20"/>
                <w:szCs w:val="20"/>
              </w:rPr>
            </w:pPr>
            <w:r w:rsidRPr="004465FF">
              <w:rPr>
                <w:sz w:val="20"/>
                <w:szCs w:val="20"/>
              </w:rPr>
              <w:t>0.81</w:t>
            </w:r>
          </w:p>
        </w:tc>
        <w:tc>
          <w:tcPr>
            <w:tcW w:w="510" w:type="dxa"/>
            <w:tcBorders>
              <w:top w:val="nil"/>
              <w:left w:val="nil"/>
              <w:bottom w:val="single" w:sz="12" w:space="0" w:color="333333"/>
              <w:right w:val="nil"/>
            </w:tcBorders>
            <w:tcMar>
              <w:top w:w="30" w:type="dxa"/>
              <w:left w:w="30" w:type="dxa"/>
              <w:bottom w:w="120" w:type="dxa"/>
              <w:right w:w="120" w:type="dxa"/>
            </w:tcMar>
            <w:vAlign w:val="center"/>
          </w:tcPr>
          <w:p w14:paraId="6F285F27" w14:textId="77777777" w:rsidR="007B6D8F" w:rsidRPr="004465FF" w:rsidRDefault="007B6D8F">
            <w:pPr>
              <w:rPr>
                <w:sz w:val="20"/>
                <w:szCs w:val="20"/>
              </w:rPr>
            </w:pPr>
          </w:p>
        </w:tc>
        <w:tc>
          <w:tcPr>
            <w:tcW w:w="609" w:type="dxa"/>
            <w:tcBorders>
              <w:top w:val="nil"/>
              <w:left w:val="nil"/>
              <w:bottom w:val="single" w:sz="12" w:space="0" w:color="333333"/>
              <w:right w:val="nil"/>
            </w:tcBorders>
            <w:tcMar>
              <w:top w:w="30" w:type="dxa"/>
              <w:left w:w="120" w:type="dxa"/>
              <w:bottom w:w="120" w:type="dxa"/>
              <w:right w:w="0" w:type="dxa"/>
            </w:tcMar>
            <w:vAlign w:val="center"/>
          </w:tcPr>
          <w:p w14:paraId="7AD75227" w14:textId="77777777" w:rsidR="007B6D8F" w:rsidRPr="004465FF" w:rsidRDefault="00000000">
            <w:pPr>
              <w:jc w:val="right"/>
              <w:rPr>
                <w:sz w:val="20"/>
                <w:szCs w:val="20"/>
              </w:rPr>
            </w:pPr>
            <w:r w:rsidRPr="004465FF">
              <w:rPr>
                <w:sz w:val="20"/>
                <w:szCs w:val="20"/>
              </w:rPr>
              <w:t>0.87</w:t>
            </w:r>
          </w:p>
        </w:tc>
        <w:tc>
          <w:tcPr>
            <w:tcW w:w="510" w:type="dxa"/>
            <w:tcBorders>
              <w:top w:val="nil"/>
              <w:left w:val="nil"/>
              <w:bottom w:val="single" w:sz="12" w:space="0" w:color="333333"/>
              <w:right w:val="nil"/>
            </w:tcBorders>
            <w:tcMar>
              <w:top w:w="30" w:type="dxa"/>
              <w:left w:w="30" w:type="dxa"/>
              <w:bottom w:w="120" w:type="dxa"/>
              <w:right w:w="120" w:type="dxa"/>
            </w:tcMar>
            <w:vAlign w:val="center"/>
          </w:tcPr>
          <w:p w14:paraId="31778D18" w14:textId="77777777" w:rsidR="007B6D8F" w:rsidRPr="004465FF" w:rsidRDefault="007B6D8F">
            <w:pPr>
              <w:jc w:val="right"/>
              <w:rPr>
                <w:sz w:val="20"/>
                <w:szCs w:val="20"/>
              </w:rPr>
            </w:pPr>
          </w:p>
        </w:tc>
        <w:tc>
          <w:tcPr>
            <w:tcW w:w="645" w:type="dxa"/>
            <w:tcBorders>
              <w:top w:val="nil"/>
              <w:left w:val="nil"/>
              <w:bottom w:val="single" w:sz="12" w:space="0" w:color="333333"/>
              <w:right w:val="nil"/>
            </w:tcBorders>
            <w:tcMar>
              <w:top w:w="30" w:type="dxa"/>
              <w:left w:w="120" w:type="dxa"/>
              <w:bottom w:w="120" w:type="dxa"/>
              <w:right w:w="0" w:type="dxa"/>
            </w:tcMar>
            <w:vAlign w:val="center"/>
          </w:tcPr>
          <w:p w14:paraId="526C8CFC" w14:textId="77777777" w:rsidR="007B6D8F" w:rsidRPr="004465FF" w:rsidRDefault="00000000">
            <w:pPr>
              <w:jc w:val="right"/>
              <w:rPr>
                <w:sz w:val="20"/>
                <w:szCs w:val="20"/>
              </w:rPr>
            </w:pPr>
            <w:r w:rsidRPr="004465FF">
              <w:rPr>
                <w:sz w:val="20"/>
                <w:szCs w:val="20"/>
              </w:rPr>
              <w:t>0.61</w:t>
            </w:r>
          </w:p>
        </w:tc>
        <w:tc>
          <w:tcPr>
            <w:tcW w:w="186" w:type="dxa"/>
            <w:tcBorders>
              <w:top w:val="nil"/>
              <w:left w:val="nil"/>
              <w:bottom w:val="single" w:sz="12" w:space="0" w:color="333333"/>
              <w:right w:val="nil"/>
            </w:tcBorders>
            <w:tcMar>
              <w:top w:w="30" w:type="dxa"/>
              <w:left w:w="30" w:type="dxa"/>
              <w:bottom w:w="120" w:type="dxa"/>
              <w:right w:w="120" w:type="dxa"/>
            </w:tcMar>
            <w:vAlign w:val="center"/>
          </w:tcPr>
          <w:p w14:paraId="29699363" w14:textId="77777777" w:rsidR="007B6D8F" w:rsidRPr="004465FF" w:rsidRDefault="007B6D8F">
            <w:pPr>
              <w:jc w:val="right"/>
              <w:rPr>
                <w:sz w:val="20"/>
                <w:szCs w:val="20"/>
              </w:rPr>
            </w:pPr>
          </w:p>
        </w:tc>
        <w:tc>
          <w:tcPr>
            <w:tcW w:w="609" w:type="dxa"/>
            <w:tcBorders>
              <w:top w:val="nil"/>
              <w:left w:val="nil"/>
              <w:bottom w:val="single" w:sz="12" w:space="0" w:color="333333"/>
              <w:right w:val="nil"/>
            </w:tcBorders>
            <w:tcMar>
              <w:top w:w="30" w:type="dxa"/>
              <w:left w:w="120" w:type="dxa"/>
              <w:bottom w:w="120" w:type="dxa"/>
              <w:right w:w="0" w:type="dxa"/>
            </w:tcMar>
            <w:vAlign w:val="center"/>
          </w:tcPr>
          <w:p w14:paraId="52480FC3" w14:textId="77777777" w:rsidR="007B6D8F" w:rsidRPr="004465FF" w:rsidRDefault="00000000">
            <w:pPr>
              <w:jc w:val="right"/>
              <w:rPr>
                <w:sz w:val="20"/>
                <w:szCs w:val="20"/>
              </w:rPr>
            </w:pPr>
            <w:r w:rsidRPr="004465FF">
              <w:rPr>
                <w:sz w:val="20"/>
                <w:szCs w:val="20"/>
              </w:rPr>
              <w:t>2.08</w:t>
            </w:r>
          </w:p>
        </w:tc>
        <w:tc>
          <w:tcPr>
            <w:tcW w:w="186" w:type="dxa"/>
            <w:tcBorders>
              <w:top w:val="nil"/>
              <w:left w:val="nil"/>
              <w:bottom w:val="single" w:sz="12" w:space="0" w:color="333333"/>
              <w:right w:val="nil"/>
            </w:tcBorders>
            <w:tcMar>
              <w:top w:w="30" w:type="dxa"/>
              <w:left w:w="30" w:type="dxa"/>
              <w:bottom w:w="120" w:type="dxa"/>
              <w:right w:w="120" w:type="dxa"/>
            </w:tcMar>
            <w:vAlign w:val="center"/>
          </w:tcPr>
          <w:p w14:paraId="31917AAA" w14:textId="77777777" w:rsidR="007B6D8F" w:rsidRPr="004465FF" w:rsidRDefault="007B6D8F">
            <w:pPr>
              <w:jc w:val="right"/>
              <w:rPr>
                <w:sz w:val="20"/>
                <w:szCs w:val="20"/>
              </w:rPr>
            </w:pPr>
          </w:p>
        </w:tc>
        <w:tc>
          <w:tcPr>
            <w:tcW w:w="535" w:type="dxa"/>
            <w:tcBorders>
              <w:top w:val="nil"/>
              <w:left w:val="nil"/>
              <w:bottom w:val="single" w:sz="12" w:space="0" w:color="333333"/>
              <w:right w:val="nil"/>
            </w:tcBorders>
            <w:tcMar>
              <w:top w:w="30" w:type="dxa"/>
              <w:left w:w="120" w:type="dxa"/>
              <w:bottom w:w="120" w:type="dxa"/>
              <w:right w:w="0" w:type="dxa"/>
            </w:tcMar>
            <w:vAlign w:val="center"/>
          </w:tcPr>
          <w:p w14:paraId="351BA8E5" w14:textId="77777777" w:rsidR="007B6D8F" w:rsidRPr="004465FF" w:rsidRDefault="00000000">
            <w:pPr>
              <w:jc w:val="right"/>
              <w:rPr>
                <w:sz w:val="20"/>
                <w:szCs w:val="20"/>
              </w:rPr>
            </w:pPr>
            <w:r w:rsidRPr="004465FF">
              <w:rPr>
                <w:sz w:val="20"/>
                <w:szCs w:val="20"/>
              </w:rPr>
              <w:t>0.45</w:t>
            </w:r>
          </w:p>
        </w:tc>
        <w:tc>
          <w:tcPr>
            <w:tcW w:w="201" w:type="dxa"/>
            <w:tcBorders>
              <w:top w:val="nil"/>
              <w:left w:val="nil"/>
              <w:bottom w:val="single" w:sz="12" w:space="0" w:color="333333"/>
              <w:right w:val="nil"/>
            </w:tcBorders>
            <w:tcMar>
              <w:top w:w="30" w:type="dxa"/>
              <w:left w:w="30" w:type="dxa"/>
              <w:bottom w:w="120" w:type="dxa"/>
              <w:right w:w="120" w:type="dxa"/>
            </w:tcMar>
            <w:vAlign w:val="center"/>
          </w:tcPr>
          <w:p w14:paraId="012B2A91" w14:textId="77777777" w:rsidR="007B6D8F" w:rsidRDefault="007B6D8F">
            <w:pPr>
              <w:jc w:val="right"/>
              <w:rPr>
                <w:sz w:val="22"/>
                <w:szCs w:val="22"/>
              </w:rPr>
            </w:pPr>
          </w:p>
        </w:tc>
      </w:tr>
      <w:tr w:rsidR="007B6D8F" w14:paraId="2FDCCB9E" w14:textId="77777777">
        <w:trPr>
          <w:cantSplit/>
        </w:trPr>
        <w:tc>
          <w:tcPr>
            <w:tcW w:w="9636" w:type="dxa"/>
            <w:gridSpan w:val="18"/>
            <w:tcBorders>
              <w:top w:val="nil"/>
              <w:left w:val="nil"/>
              <w:bottom w:val="nil"/>
              <w:right w:val="nil"/>
            </w:tcBorders>
            <w:tcMar>
              <w:top w:w="90" w:type="dxa"/>
              <w:left w:w="120" w:type="dxa"/>
              <w:bottom w:w="30" w:type="dxa"/>
              <w:right w:w="120" w:type="dxa"/>
            </w:tcMar>
            <w:vAlign w:val="center"/>
          </w:tcPr>
          <w:p w14:paraId="334FC883" w14:textId="77777777" w:rsidR="007B6D8F" w:rsidRPr="004465FF" w:rsidRDefault="00000000">
            <w:pPr>
              <w:rPr>
                <w:i/>
                <w:sz w:val="20"/>
                <w:szCs w:val="20"/>
              </w:rPr>
            </w:pPr>
            <w:r w:rsidRPr="004465FF">
              <w:rPr>
                <w:i/>
                <w:sz w:val="20"/>
                <w:szCs w:val="20"/>
              </w:rPr>
              <w:t>Nota. * p &lt; .05, ** p &lt; .01, *** p &lt; .001</w:t>
            </w:r>
          </w:p>
          <w:p w14:paraId="16CC1F63" w14:textId="77777777" w:rsidR="007B6D8F" w:rsidRDefault="00000000">
            <w:pPr>
              <w:rPr>
                <w:i/>
                <w:sz w:val="22"/>
                <w:szCs w:val="22"/>
              </w:rPr>
            </w:pPr>
            <w:r w:rsidRPr="004465FF">
              <w:rPr>
                <w:i/>
                <w:sz w:val="20"/>
                <w:szCs w:val="20"/>
              </w:rPr>
              <w:t>Nota². Engajamento = Engajamento nas redes sociais; CS = comparação social; TRS = tempo de uso das redes sociais.</w:t>
            </w:r>
          </w:p>
        </w:tc>
      </w:tr>
      <w:tr w:rsidR="007B6D8F" w14:paraId="6D68F1CC" w14:textId="77777777">
        <w:trPr>
          <w:cantSplit/>
        </w:trPr>
        <w:tc>
          <w:tcPr>
            <w:tcW w:w="9636" w:type="dxa"/>
            <w:gridSpan w:val="18"/>
            <w:tcBorders>
              <w:top w:val="nil"/>
              <w:left w:val="nil"/>
              <w:bottom w:val="nil"/>
              <w:right w:val="nil"/>
            </w:tcBorders>
            <w:tcMar>
              <w:top w:w="30" w:type="dxa"/>
              <w:left w:w="120" w:type="dxa"/>
              <w:bottom w:w="30" w:type="dxa"/>
              <w:right w:w="120" w:type="dxa"/>
            </w:tcMar>
            <w:vAlign w:val="center"/>
          </w:tcPr>
          <w:p w14:paraId="447C3E25" w14:textId="77777777" w:rsidR="007B6D8F" w:rsidRDefault="007B6D8F">
            <w:pPr>
              <w:rPr>
                <w:sz w:val="22"/>
                <w:szCs w:val="22"/>
              </w:rPr>
            </w:pPr>
          </w:p>
        </w:tc>
      </w:tr>
    </w:tbl>
    <w:p w14:paraId="6E110F93" w14:textId="77777777" w:rsidR="007B6D8F" w:rsidRDefault="007B6D8F"/>
    <w:p w14:paraId="1F8F6CF8" w14:textId="77777777" w:rsidR="007B6D8F" w:rsidRDefault="007B6D8F"/>
    <w:p w14:paraId="5C543597" w14:textId="77777777" w:rsidR="007B6D8F" w:rsidRDefault="00000000">
      <w:pPr>
        <w:spacing w:line="360" w:lineRule="auto"/>
        <w:jc w:val="both"/>
        <w:rPr>
          <w:b/>
          <w:i/>
        </w:rPr>
      </w:pPr>
      <w:r>
        <w:t xml:space="preserve"> </w:t>
      </w:r>
      <w:r>
        <w:rPr>
          <w:b/>
          <w:i/>
        </w:rPr>
        <w:t>Análise de mediação serial</w:t>
      </w:r>
    </w:p>
    <w:p w14:paraId="2598D758" w14:textId="77777777" w:rsidR="007B6D8F" w:rsidRDefault="007B6D8F">
      <w:pPr>
        <w:spacing w:line="360" w:lineRule="auto"/>
        <w:jc w:val="both"/>
        <w:rPr>
          <w:b/>
          <w:i/>
        </w:rPr>
      </w:pPr>
    </w:p>
    <w:p w14:paraId="738A1D9D" w14:textId="77777777" w:rsidR="007B6D8F" w:rsidRDefault="00000000">
      <w:pPr>
        <w:spacing w:line="360" w:lineRule="auto"/>
        <w:ind w:firstLine="720"/>
        <w:jc w:val="both"/>
      </w:pPr>
      <w:r>
        <w:t xml:space="preserve">Para análise de mediação sequencial, calculamos um modelo de regressão adicionando a depressão, estresse e ansiedade, como variáveis dependentes, a comparação social (mediador 1) e o engajamento (mediador 2) como mediadores e o tempo de uso de redes sociais, como variável preditora. </w:t>
      </w:r>
    </w:p>
    <w:p w14:paraId="149EF74A" w14:textId="77777777" w:rsidR="007B6D8F" w:rsidRDefault="00000000">
      <w:pPr>
        <w:spacing w:line="360" w:lineRule="auto"/>
        <w:ind w:firstLine="708"/>
        <w:jc w:val="both"/>
      </w:pPr>
      <w:r>
        <w:t xml:space="preserve">Os resultados mostraram que tanto o engajamento quanto a comparação social mediaram sequencialmente a relação entre o tempo de uso em redes sociais e os níveis de estresse (Tabela 1), ansiedade (Tabela 2) e a depressão (Tabela 3). Essa mediação sequencial indica que o tempo dedicado ao uso de redes sociais prediz um maior engajamento nessas plataformas, o que, por sua vez, aumenta a tendência de se comparar socialmente. Estando esse processo relacionado a maiores níveis de estresse, ansiedade e a depressão (Figura 1). </w:t>
      </w:r>
    </w:p>
    <w:p w14:paraId="3181910C" w14:textId="77777777" w:rsidR="007B6D8F" w:rsidRDefault="007B6D8F"/>
    <w:p w14:paraId="52A657EB" w14:textId="77777777" w:rsidR="007B6D8F" w:rsidRDefault="007B6D8F">
      <w:pPr>
        <w:spacing w:after="160"/>
        <w:ind w:firstLine="708"/>
        <w:rPr>
          <w:b/>
        </w:rPr>
      </w:pPr>
    </w:p>
    <w:p w14:paraId="5287B50D" w14:textId="44217DEE" w:rsidR="007B6D8F" w:rsidRPr="004465FF" w:rsidRDefault="00000000">
      <w:pPr>
        <w:spacing w:after="160"/>
        <w:ind w:firstLine="708"/>
        <w:rPr>
          <w:bCs/>
          <w:i/>
        </w:rPr>
      </w:pPr>
      <w:r w:rsidRPr="004465FF">
        <w:rPr>
          <w:bCs/>
        </w:rPr>
        <w:t>Figura 1</w:t>
      </w:r>
    </w:p>
    <w:p w14:paraId="3B399607" w14:textId="77777777" w:rsidR="007B6D8F" w:rsidRDefault="00000000">
      <w:pPr>
        <w:spacing w:after="160"/>
        <w:ind w:firstLine="708"/>
        <w:rPr>
          <w:i/>
        </w:rPr>
      </w:pPr>
      <w:r>
        <w:rPr>
          <w:i/>
        </w:rPr>
        <w:t xml:space="preserve"> Parâmetros estimados da mediação sequencial do engajamento e da comparação social na relação entre o tempo de rede social e o estresse, a depressão e a ansiedade. </w:t>
      </w:r>
    </w:p>
    <w:p w14:paraId="2B3D705F" w14:textId="77777777" w:rsidR="007B6D8F" w:rsidRDefault="007B6D8F">
      <w:pPr>
        <w:rPr>
          <w:b/>
        </w:rPr>
      </w:pPr>
    </w:p>
    <w:p w14:paraId="6F0CC094" w14:textId="77777777" w:rsidR="007B6D8F" w:rsidRDefault="007B6D8F"/>
    <w:p w14:paraId="5744E653" w14:textId="77777777" w:rsidR="007B6D8F" w:rsidRDefault="00000000">
      <w:pPr>
        <w:rPr>
          <w:b/>
        </w:rPr>
      </w:pPr>
      <w:r>
        <w:rPr>
          <w:noProof/>
        </w:rPr>
        <w:drawing>
          <wp:anchor distT="0" distB="0" distL="114300" distR="114300" simplePos="0" relativeHeight="251660288" behindDoc="0" locked="0" layoutInCell="1" hidden="0" allowOverlap="1" wp14:anchorId="1F5B42E3" wp14:editId="0B21CFEA">
            <wp:simplePos x="0" y="0"/>
            <wp:positionH relativeFrom="column">
              <wp:posOffset>445770</wp:posOffset>
            </wp:positionH>
            <wp:positionV relativeFrom="paragraph">
              <wp:posOffset>8890</wp:posOffset>
            </wp:positionV>
            <wp:extent cx="5382260" cy="3097530"/>
            <wp:effectExtent l="0" t="0" r="0" b="0"/>
            <wp:wrapSquare wrapText="bothSides" distT="0" distB="0" distL="114300" distR="114300"/>
            <wp:docPr id="8" name="image3.png" descr="Interface gráfica do usuário, Aplicativo, Team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Interface gráfica do usuário, Aplicativo, Teams&#10;&#10;Descrição gerada automaticamente"/>
                    <pic:cNvPicPr preferRelativeResize="0"/>
                  </pic:nvPicPr>
                  <pic:blipFill>
                    <a:blip r:embed="rId10"/>
                    <a:srcRect/>
                    <a:stretch>
                      <a:fillRect/>
                    </a:stretch>
                  </pic:blipFill>
                  <pic:spPr>
                    <a:xfrm>
                      <a:off x="0" y="0"/>
                      <a:ext cx="5382260" cy="3097530"/>
                    </a:xfrm>
                    <a:prstGeom prst="rect">
                      <a:avLst/>
                    </a:prstGeom>
                    <a:ln/>
                  </pic:spPr>
                </pic:pic>
              </a:graphicData>
            </a:graphic>
          </wp:anchor>
        </w:drawing>
      </w:r>
    </w:p>
    <w:p w14:paraId="0944E209" w14:textId="77777777" w:rsidR="007B6D8F" w:rsidRDefault="007B6D8F"/>
    <w:p w14:paraId="32A02B9E" w14:textId="77777777" w:rsidR="007B6D8F" w:rsidRDefault="007B6D8F">
      <w:pPr>
        <w:rPr>
          <w:b/>
        </w:rPr>
      </w:pPr>
    </w:p>
    <w:p w14:paraId="45B616A7" w14:textId="77777777" w:rsidR="007B6D8F" w:rsidRDefault="007B6D8F"/>
    <w:p w14:paraId="758FDEBB" w14:textId="77777777" w:rsidR="007B6D8F" w:rsidRPr="004465FF" w:rsidRDefault="00000000">
      <w:pPr>
        <w:spacing w:after="160"/>
        <w:ind w:firstLine="708"/>
        <w:rPr>
          <w:i/>
        </w:rPr>
      </w:pPr>
      <w:r w:rsidRPr="004465FF">
        <w:rPr>
          <w:i/>
        </w:rPr>
        <w:t>Nota. Todos os coeficientes são não padronizados. Os asteriscos indicam coeficientes significativos: * p&lt; 0,05, ** p &lt;0,001.</w:t>
      </w:r>
    </w:p>
    <w:p w14:paraId="2B609283" w14:textId="77777777" w:rsidR="007B6D8F" w:rsidRDefault="007B6D8F">
      <w:pPr>
        <w:rPr>
          <w:i/>
          <w:sz w:val="20"/>
          <w:szCs w:val="20"/>
        </w:rPr>
      </w:pPr>
    </w:p>
    <w:p w14:paraId="32E178B1" w14:textId="77777777" w:rsidR="007B6D8F" w:rsidRDefault="007B6D8F">
      <w:pPr>
        <w:rPr>
          <w:b/>
        </w:rPr>
      </w:pPr>
    </w:p>
    <w:p w14:paraId="0EDFF49F" w14:textId="77777777" w:rsidR="007B6D8F" w:rsidRDefault="00000000">
      <w:pPr>
        <w:spacing w:line="360" w:lineRule="auto"/>
        <w:ind w:firstLine="720"/>
        <w:jc w:val="both"/>
      </w:pPr>
      <w:r>
        <w:t>Especificamente, observamos uma mediação total do engajamento nas redes sociais e da comparação social na relação do tempo de uso das redes e os níveis de estresse e depressão, e uma mediação parcial em relação aos níveis de ansiedade, isso significa que mesmo na presença dos mediadores, o tempo de uso ainda impacta os níveis de ansiedade dos participantes. Adicionalmente, observamos um efeito de mediação simples entre o engajamento nas redes sociais, comparação social e os níveis de estresse, ansiedade e depressão (Tabela 2). Indicando que mesmo sem o tempo de uso das redes sociais, a comparação social mediou a relação entre o engajamento e os níveis de estresse, ansiedade e depressão.</w:t>
      </w:r>
    </w:p>
    <w:p w14:paraId="40B834D4" w14:textId="77777777" w:rsidR="007B6D8F" w:rsidRDefault="007B6D8F">
      <w:pPr>
        <w:spacing w:line="360" w:lineRule="auto"/>
        <w:ind w:firstLine="720"/>
        <w:jc w:val="both"/>
      </w:pPr>
    </w:p>
    <w:p w14:paraId="75CF8446" w14:textId="3D2EA542" w:rsidR="007B6D8F" w:rsidRPr="004465FF" w:rsidRDefault="00000000">
      <w:pPr>
        <w:rPr>
          <w:bCs/>
        </w:rPr>
      </w:pPr>
      <w:r w:rsidRPr="004465FF">
        <w:rPr>
          <w:bCs/>
        </w:rPr>
        <w:t>Tabela 2</w:t>
      </w:r>
    </w:p>
    <w:p w14:paraId="35127AC6" w14:textId="77777777" w:rsidR="007B6D8F" w:rsidRPr="004465FF" w:rsidRDefault="00000000">
      <w:pPr>
        <w:rPr>
          <w:i/>
          <w:sz w:val="20"/>
          <w:szCs w:val="20"/>
        </w:rPr>
      </w:pPr>
      <w:r w:rsidRPr="004465FF">
        <w:rPr>
          <w:b/>
          <w:sz w:val="20"/>
          <w:szCs w:val="20"/>
        </w:rPr>
        <w:t xml:space="preserve"> </w:t>
      </w:r>
      <w:r w:rsidRPr="004465FF">
        <w:rPr>
          <w:i/>
          <w:sz w:val="20"/>
          <w:szCs w:val="20"/>
        </w:rPr>
        <w:t>Parâmetros estimados para as mediações simples e sequenciais.</w:t>
      </w:r>
    </w:p>
    <w:p w14:paraId="20FCD5D3" w14:textId="77777777" w:rsidR="007B6D8F" w:rsidRPr="004465FF" w:rsidRDefault="007B6D8F">
      <w:pPr>
        <w:rPr>
          <w:i/>
          <w:sz w:val="20"/>
          <w:szCs w:val="20"/>
        </w:rPr>
      </w:pPr>
    </w:p>
    <w:p w14:paraId="1EA3B59A" w14:textId="77777777" w:rsidR="007B6D8F" w:rsidRDefault="007B6D8F">
      <w:pPr>
        <w:rPr>
          <w:i/>
        </w:rPr>
      </w:pPr>
    </w:p>
    <w:p w14:paraId="097AA665" w14:textId="77777777" w:rsidR="007B6D8F" w:rsidRDefault="007B6D8F">
      <w:pPr>
        <w:rPr>
          <w:i/>
        </w:rPr>
      </w:pPr>
    </w:p>
    <w:p w14:paraId="414E352D" w14:textId="77777777" w:rsidR="007B6D8F" w:rsidRDefault="007B6D8F">
      <w:pPr>
        <w:rPr>
          <w:i/>
        </w:rPr>
      </w:pPr>
    </w:p>
    <w:p w14:paraId="705AD9EF" w14:textId="77777777" w:rsidR="007B6D8F" w:rsidRDefault="007B6D8F">
      <w:pPr>
        <w:rPr>
          <w:i/>
        </w:rPr>
      </w:pPr>
    </w:p>
    <w:p w14:paraId="686796D0" w14:textId="77777777" w:rsidR="007B6D8F" w:rsidRDefault="007B6D8F">
      <w:pPr>
        <w:rPr>
          <w:i/>
        </w:rPr>
      </w:pPr>
    </w:p>
    <w:p w14:paraId="6911A677" w14:textId="77777777" w:rsidR="007B6D8F" w:rsidRDefault="007B6D8F">
      <w:pPr>
        <w:rPr>
          <w:i/>
        </w:rPr>
      </w:pPr>
    </w:p>
    <w:p w14:paraId="652C1B90" w14:textId="77777777" w:rsidR="007B6D8F" w:rsidRDefault="007B6D8F">
      <w:pPr>
        <w:rPr>
          <w:i/>
        </w:rPr>
      </w:pPr>
    </w:p>
    <w:tbl>
      <w:tblPr>
        <w:tblStyle w:val="a0"/>
        <w:tblW w:w="9840" w:type="dxa"/>
        <w:tblInd w:w="0" w:type="dxa"/>
        <w:tblLayout w:type="fixed"/>
        <w:tblLook w:val="0600" w:firstRow="0" w:lastRow="0" w:firstColumn="0" w:lastColumn="0" w:noHBand="1" w:noVBand="1"/>
      </w:tblPr>
      <w:tblGrid>
        <w:gridCol w:w="5210"/>
        <w:gridCol w:w="1125"/>
        <w:gridCol w:w="760"/>
        <w:gridCol w:w="268"/>
        <w:gridCol w:w="1322"/>
        <w:gridCol w:w="1155"/>
      </w:tblGrid>
      <w:tr w:rsidR="007B6D8F" w14:paraId="03BED598" w14:textId="77777777">
        <w:trPr>
          <w:trHeight w:val="284"/>
        </w:trPr>
        <w:tc>
          <w:tcPr>
            <w:tcW w:w="5210" w:type="dxa"/>
            <w:tcBorders>
              <w:top w:val="single" w:sz="8" w:space="0" w:color="000000"/>
              <w:left w:val="nil"/>
              <w:bottom w:val="nil"/>
              <w:right w:val="nil"/>
            </w:tcBorders>
            <w:tcMar>
              <w:top w:w="100" w:type="dxa"/>
              <w:left w:w="100" w:type="dxa"/>
              <w:bottom w:w="100" w:type="dxa"/>
              <w:right w:w="100" w:type="dxa"/>
            </w:tcMar>
          </w:tcPr>
          <w:p w14:paraId="682A5893" w14:textId="77777777" w:rsidR="007B6D8F" w:rsidRPr="004465FF" w:rsidRDefault="007B6D8F">
            <w:pPr>
              <w:rPr>
                <w:sz w:val="20"/>
                <w:szCs w:val="20"/>
              </w:rPr>
            </w:pPr>
          </w:p>
        </w:tc>
        <w:tc>
          <w:tcPr>
            <w:tcW w:w="1885" w:type="dxa"/>
            <w:gridSpan w:val="2"/>
            <w:tcBorders>
              <w:top w:val="single" w:sz="8" w:space="0" w:color="000000"/>
              <w:left w:val="nil"/>
              <w:bottom w:val="single" w:sz="8" w:space="0" w:color="000000"/>
              <w:right w:val="nil"/>
            </w:tcBorders>
            <w:tcMar>
              <w:top w:w="15" w:type="dxa"/>
              <w:left w:w="15" w:type="dxa"/>
              <w:bottom w:w="15" w:type="dxa"/>
              <w:right w:w="15" w:type="dxa"/>
            </w:tcMar>
          </w:tcPr>
          <w:p w14:paraId="3B94E382" w14:textId="77777777" w:rsidR="007B6D8F" w:rsidRPr="004465FF" w:rsidRDefault="00000000">
            <w:pPr>
              <w:rPr>
                <w:sz w:val="20"/>
                <w:szCs w:val="20"/>
              </w:rPr>
            </w:pPr>
            <w:r w:rsidRPr="004465FF">
              <w:rPr>
                <w:sz w:val="20"/>
                <w:szCs w:val="20"/>
              </w:rPr>
              <w:t>Modelo de Mediação</w:t>
            </w:r>
          </w:p>
        </w:tc>
        <w:tc>
          <w:tcPr>
            <w:tcW w:w="268" w:type="dxa"/>
            <w:tcBorders>
              <w:top w:val="single" w:sz="8" w:space="0" w:color="000000"/>
              <w:left w:val="nil"/>
              <w:bottom w:val="nil"/>
              <w:right w:val="nil"/>
            </w:tcBorders>
            <w:tcMar>
              <w:top w:w="15" w:type="dxa"/>
              <w:left w:w="15" w:type="dxa"/>
              <w:bottom w:w="15" w:type="dxa"/>
              <w:right w:w="15" w:type="dxa"/>
            </w:tcMar>
          </w:tcPr>
          <w:p w14:paraId="59E8BF7A" w14:textId="77777777" w:rsidR="007B6D8F" w:rsidRPr="004465FF" w:rsidRDefault="00000000">
            <w:pPr>
              <w:jc w:val="center"/>
              <w:rPr>
                <w:sz w:val="20"/>
                <w:szCs w:val="20"/>
              </w:rPr>
            </w:pPr>
            <w:r w:rsidRPr="004465FF">
              <w:rPr>
                <w:sz w:val="20"/>
                <w:szCs w:val="20"/>
              </w:rPr>
              <w:t xml:space="preserve"> </w:t>
            </w:r>
          </w:p>
        </w:tc>
        <w:tc>
          <w:tcPr>
            <w:tcW w:w="2477" w:type="dxa"/>
            <w:gridSpan w:val="2"/>
            <w:tcBorders>
              <w:top w:val="single" w:sz="8" w:space="0" w:color="000000"/>
              <w:left w:val="nil"/>
              <w:bottom w:val="single" w:sz="8" w:space="0" w:color="000000"/>
              <w:right w:val="nil"/>
            </w:tcBorders>
            <w:tcMar>
              <w:top w:w="15" w:type="dxa"/>
              <w:left w:w="15" w:type="dxa"/>
              <w:bottom w:w="15" w:type="dxa"/>
              <w:right w:w="15" w:type="dxa"/>
            </w:tcMar>
          </w:tcPr>
          <w:p w14:paraId="51068F93" w14:textId="77777777" w:rsidR="007B6D8F" w:rsidRPr="004465FF" w:rsidRDefault="00000000">
            <w:pPr>
              <w:rPr>
                <w:i/>
                <w:sz w:val="20"/>
                <w:szCs w:val="20"/>
              </w:rPr>
            </w:pPr>
            <w:r w:rsidRPr="004465FF">
              <w:rPr>
                <w:i/>
                <w:sz w:val="20"/>
                <w:szCs w:val="20"/>
              </w:rPr>
              <w:t>95% IC</w:t>
            </w:r>
          </w:p>
        </w:tc>
      </w:tr>
      <w:tr w:rsidR="007B6D8F" w14:paraId="66C98183" w14:textId="77777777">
        <w:trPr>
          <w:trHeight w:val="284"/>
        </w:trPr>
        <w:tc>
          <w:tcPr>
            <w:tcW w:w="5210" w:type="dxa"/>
            <w:tcBorders>
              <w:top w:val="nil"/>
              <w:left w:val="nil"/>
              <w:bottom w:val="single" w:sz="8" w:space="0" w:color="000000"/>
              <w:right w:val="nil"/>
            </w:tcBorders>
            <w:tcMar>
              <w:top w:w="100" w:type="dxa"/>
              <w:left w:w="100" w:type="dxa"/>
              <w:bottom w:w="100" w:type="dxa"/>
              <w:right w:w="100" w:type="dxa"/>
            </w:tcMar>
          </w:tcPr>
          <w:p w14:paraId="4B14DDDE" w14:textId="77777777" w:rsidR="007B6D8F" w:rsidRPr="004465FF" w:rsidRDefault="00000000">
            <w:pPr>
              <w:rPr>
                <w:sz w:val="20"/>
                <w:szCs w:val="20"/>
              </w:rPr>
            </w:pPr>
            <w:r w:rsidRPr="004465FF">
              <w:rPr>
                <w:sz w:val="20"/>
                <w:szCs w:val="20"/>
              </w:rPr>
              <w:t>Efeito</w:t>
            </w:r>
          </w:p>
        </w:tc>
        <w:tc>
          <w:tcPr>
            <w:tcW w:w="1125" w:type="dxa"/>
            <w:tcBorders>
              <w:top w:val="single" w:sz="8" w:space="0" w:color="000000"/>
              <w:left w:val="nil"/>
              <w:bottom w:val="single" w:sz="8" w:space="0" w:color="000000"/>
              <w:right w:val="nil"/>
            </w:tcBorders>
            <w:tcMar>
              <w:top w:w="15" w:type="dxa"/>
              <w:left w:w="15" w:type="dxa"/>
              <w:bottom w:w="15" w:type="dxa"/>
              <w:right w:w="15" w:type="dxa"/>
            </w:tcMar>
          </w:tcPr>
          <w:p w14:paraId="7A906995" w14:textId="77777777" w:rsidR="007B6D8F" w:rsidRPr="004465FF" w:rsidRDefault="00000000">
            <w:pPr>
              <w:rPr>
                <w:sz w:val="20"/>
                <w:szCs w:val="20"/>
              </w:rPr>
            </w:pPr>
            <w:r w:rsidRPr="004465FF">
              <w:rPr>
                <w:sz w:val="20"/>
                <w:szCs w:val="20"/>
              </w:rPr>
              <w:t>Estimate</w:t>
            </w:r>
          </w:p>
        </w:tc>
        <w:tc>
          <w:tcPr>
            <w:tcW w:w="760" w:type="dxa"/>
            <w:tcBorders>
              <w:top w:val="single" w:sz="8" w:space="0" w:color="000000"/>
              <w:left w:val="nil"/>
              <w:bottom w:val="single" w:sz="8" w:space="0" w:color="000000"/>
              <w:right w:val="nil"/>
            </w:tcBorders>
            <w:tcMar>
              <w:top w:w="15" w:type="dxa"/>
              <w:left w:w="15" w:type="dxa"/>
              <w:bottom w:w="15" w:type="dxa"/>
              <w:right w:w="15" w:type="dxa"/>
            </w:tcMar>
          </w:tcPr>
          <w:p w14:paraId="112F7477" w14:textId="77777777" w:rsidR="007B6D8F" w:rsidRPr="004465FF" w:rsidRDefault="00000000">
            <w:pPr>
              <w:rPr>
                <w:i/>
                <w:sz w:val="20"/>
                <w:szCs w:val="20"/>
              </w:rPr>
            </w:pPr>
            <w:r w:rsidRPr="004465FF">
              <w:rPr>
                <w:i/>
                <w:sz w:val="20"/>
                <w:szCs w:val="20"/>
              </w:rPr>
              <w:t>SE</w:t>
            </w:r>
          </w:p>
        </w:tc>
        <w:tc>
          <w:tcPr>
            <w:tcW w:w="268" w:type="dxa"/>
            <w:tcBorders>
              <w:top w:val="nil"/>
              <w:left w:val="nil"/>
              <w:bottom w:val="single" w:sz="8" w:space="0" w:color="000000"/>
              <w:right w:val="nil"/>
            </w:tcBorders>
            <w:tcMar>
              <w:top w:w="15" w:type="dxa"/>
              <w:left w:w="15" w:type="dxa"/>
              <w:bottom w:w="15" w:type="dxa"/>
              <w:right w:w="15" w:type="dxa"/>
            </w:tcMar>
          </w:tcPr>
          <w:p w14:paraId="6493AC1B" w14:textId="77777777" w:rsidR="007B6D8F" w:rsidRPr="004465FF" w:rsidRDefault="00000000">
            <w:pPr>
              <w:jc w:val="center"/>
              <w:rPr>
                <w:sz w:val="20"/>
                <w:szCs w:val="20"/>
              </w:rPr>
            </w:pPr>
            <w:r w:rsidRPr="004465FF">
              <w:rPr>
                <w:sz w:val="20"/>
                <w:szCs w:val="20"/>
              </w:rPr>
              <w:t xml:space="preserve"> </w:t>
            </w:r>
          </w:p>
        </w:tc>
        <w:tc>
          <w:tcPr>
            <w:tcW w:w="1322" w:type="dxa"/>
            <w:tcBorders>
              <w:top w:val="single" w:sz="8" w:space="0" w:color="000000"/>
              <w:left w:val="nil"/>
              <w:bottom w:val="single" w:sz="8" w:space="0" w:color="000000"/>
              <w:right w:val="nil"/>
            </w:tcBorders>
            <w:tcMar>
              <w:top w:w="15" w:type="dxa"/>
              <w:left w:w="15" w:type="dxa"/>
              <w:bottom w:w="15" w:type="dxa"/>
              <w:right w:w="15" w:type="dxa"/>
            </w:tcMar>
          </w:tcPr>
          <w:p w14:paraId="103E6E77" w14:textId="77777777" w:rsidR="007B6D8F" w:rsidRPr="004465FF" w:rsidRDefault="00000000">
            <w:pPr>
              <w:rPr>
                <w:sz w:val="20"/>
                <w:szCs w:val="20"/>
              </w:rPr>
            </w:pPr>
            <w:r w:rsidRPr="004465FF">
              <w:rPr>
                <w:sz w:val="20"/>
                <w:szCs w:val="20"/>
              </w:rPr>
              <w:t>Inferior</w:t>
            </w:r>
          </w:p>
        </w:tc>
        <w:tc>
          <w:tcPr>
            <w:tcW w:w="1155" w:type="dxa"/>
            <w:tcBorders>
              <w:top w:val="single" w:sz="8" w:space="0" w:color="000000"/>
              <w:left w:val="nil"/>
              <w:bottom w:val="single" w:sz="8" w:space="0" w:color="000000"/>
              <w:right w:val="nil"/>
            </w:tcBorders>
            <w:tcMar>
              <w:top w:w="15" w:type="dxa"/>
              <w:left w:w="15" w:type="dxa"/>
              <w:bottom w:w="15" w:type="dxa"/>
              <w:right w:w="15" w:type="dxa"/>
            </w:tcMar>
          </w:tcPr>
          <w:p w14:paraId="462078DD" w14:textId="77777777" w:rsidR="007B6D8F" w:rsidRPr="004465FF" w:rsidRDefault="00000000">
            <w:pPr>
              <w:rPr>
                <w:sz w:val="20"/>
                <w:szCs w:val="20"/>
              </w:rPr>
            </w:pPr>
            <w:r w:rsidRPr="004465FF">
              <w:rPr>
                <w:sz w:val="20"/>
                <w:szCs w:val="20"/>
              </w:rPr>
              <w:t>Superior</w:t>
            </w:r>
          </w:p>
        </w:tc>
      </w:tr>
      <w:tr w:rsidR="007B6D8F" w14:paraId="3D732489" w14:textId="77777777">
        <w:trPr>
          <w:trHeight w:val="284"/>
        </w:trPr>
        <w:tc>
          <w:tcPr>
            <w:tcW w:w="5210" w:type="dxa"/>
            <w:tcBorders>
              <w:top w:val="single" w:sz="8" w:space="0" w:color="000000"/>
              <w:left w:val="nil"/>
              <w:bottom w:val="nil"/>
              <w:right w:val="nil"/>
            </w:tcBorders>
            <w:tcMar>
              <w:top w:w="100" w:type="dxa"/>
              <w:left w:w="100" w:type="dxa"/>
              <w:bottom w:w="100" w:type="dxa"/>
              <w:right w:w="100" w:type="dxa"/>
            </w:tcMar>
          </w:tcPr>
          <w:p w14:paraId="5B7A6684" w14:textId="77777777" w:rsidR="007B6D8F" w:rsidRPr="004465FF" w:rsidRDefault="00000000">
            <w:pPr>
              <w:rPr>
                <w:sz w:val="20"/>
                <w:szCs w:val="20"/>
              </w:rPr>
            </w:pPr>
            <w:r w:rsidRPr="004465FF">
              <w:rPr>
                <w:sz w:val="20"/>
                <w:szCs w:val="20"/>
              </w:rPr>
              <w:t xml:space="preserve">Estresse </w:t>
            </w:r>
          </w:p>
        </w:tc>
        <w:tc>
          <w:tcPr>
            <w:tcW w:w="1125" w:type="dxa"/>
            <w:tcBorders>
              <w:top w:val="single" w:sz="8" w:space="0" w:color="000000"/>
              <w:left w:val="nil"/>
              <w:bottom w:val="nil"/>
              <w:right w:val="nil"/>
            </w:tcBorders>
            <w:tcMar>
              <w:top w:w="15" w:type="dxa"/>
              <w:left w:w="15" w:type="dxa"/>
              <w:bottom w:w="15" w:type="dxa"/>
              <w:right w:w="15" w:type="dxa"/>
            </w:tcMar>
          </w:tcPr>
          <w:p w14:paraId="01BBAD53" w14:textId="77777777" w:rsidR="007B6D8F" w:rsidRPr="004465FF" w:rsidRDefault="007B6D8F">
            <w:pPr>
              <w:jc w:val="center"/>
              <w:rPr>
                <w:sz w:val="20"/>
                <w:szCs w:val="20"/>
              </w:rPr>
            </w:pPr>
          </w:p>
        </w:tc>
        <w:tc>
          <w:tcPr>
            <w:tcW w:w="760" w:type="dxa"/>
            <w:tcBorders>
              <w:top w:val="single" w:sz="8" w:space="0" w:color="000000"/>
              <w:left w:val="nil"/>
              <w:bottom w:val="nil"/>
              <w:right w:val="nil"/>
            </w:tcBorders>
            <w:tcMar>
              <w:top w:w="15" w:type="dxa"/>
              <w:left w:w="15" w:type="dxa"/>
              <w:bottom w:w="15" w:type="dxa"/>
              <w:right w:w="15" w:type="dxa"/>
            </w:tcMar>
          </w:tcPr>
          <w:p w14:paraId="17F4F4B0" w14:textId="77777777" w:rsidR="007B6D8F" w:rsidRPr="004465FF" w:rsidRDefault="007B6D8F">
            <w:pPr>
              <w:jc w:val="center"/>
              <w:rPr>
                <w:sz w:val="20"/>
                <w:szCs w:val="20"/>
              </w:rPr>
            </w:pPr>
          </w:p>
        </w:tc>
        <w:tc>
          <w:tcPr>
            <w:tcW w:w="268" w:type="dxa"/>
            <w:tcBorders>
              <w:top w:val="single" w:sz="8" w:space="0" w:color="000000"/>
              <w:left w:val="nil"/>
              <w:bottom w:val="nil"/>
              <w:right w:val="nil"/>
            </w:tcBorders>
            <w:tcMar>
              <w:top w:w="15" w:type="dxa"/>
              <w:left w:w="15" w:type="dxa"/>
              <w:bottom w:w="15" w:type="dxa"/>
              <w:right w:w="15" w:type="dxa"/>
            </w:tcMar>
          </w:tcPr>
          <w:p w14:paraId="2B5BCBDF" w14:textId="77777777" w:rsidR="007B6D8F" w:rsidRPr="004465FF" w:rsidRDefault="007B6D8F">
            <w:pPr>
              <w:jc w:val="center"/>
              <w:rPr>
                <w:sz w:val="20"/>
                <w:szCs w:val="20"/>
              </w:rPr>
            </w:pPr>
          </w:p>
        </w:tc>
        <w:tc>
          <w:tcPr>
            <w:tcW w:w="1322" w:type="dxa"/>
            <w:tcBorders>
              <w:top w:val="single" w:sz="8" w:space="0" w:color="000000"/>
              <w:left w:val="nil"/>
              <w:bottom w:val="nil"/>
              <w:right w:val="nil"/>
            </w:tcBorders>
            <w:tcMar>
              <w:top w:w="15" w:type="dxa"/>
              <w:left w:w="15" w:type="dxa"/>
              <w:bottom w:w="15" w:type="dxa"/>
              <w:right w:w="15" w:type="dxa"/>
            </w:tcMar>
          </w:tcPr>
          <w:p w14:paraId="7BA902E0" w14:textId="77777777" w:rsidR="007B6D8F" w:rsidRPr="004465FF" w:rsidRDefault="007B6D8F">
            <w:pPr>
              <w:jc w:val="center"/>
              <w:rPr>
                <w:sz w:val="20"/>
                <w:szCs w:val="20"/>
              </w:rPr>
            </w:pPr>
          </w:p>
        </w:tc>
        <w:tc>
          <w:tcPr>
            <w:tcW w:w="1155" w:type="dxa"/>
            <w:tcBorders>
              <w:top w:val="single" w:sz="8" w:space="0" w:color="000000"/>
              <w:left w:val="nil"/>
              <w:bottom w:val="nil"/>
              <w:right w:val="nil"/>
            </w:tcBorders>
            <w:tcMar>
              <w:top w:w="15" w:type="dxa"/>
              <w:left w:w="15" w:type="dxa"/>
              <w:bottom w:w="15" w:type="dxa"/>
              <w:right w:w="15" w:type="dxa"/>
            </w:tcMar>
          </w:tcPr>
          <w:p w14:paraId="1DE0358D" w14:textId="77777777" w:rsidR="007B6D8F" w:rsidRPr="004465FF" w:rsidRDefault="007B6D8F">
            <w:pPr>
              <w:jc w:val="center"/>
              <w:rPr>
                <w:sz w:val="20"/>
                <w:szCs w:val="20"/>
              </w:rPr>
            </w:pPr>
          </w:p>
        </w:tc>
      </w:tr>
      <w:tr w:rsidR="007B6D8F" w14:paraId="7AB2F0F0" w14:textId="77777777">
        <w:trPr>
          <w:trHeight w:val="284"/>
        </w:trPr>
        <w:tc>
          <w:tcPr>
            <w:tcW w:w="5210" w:type="dxa"/>
            <w:tcBorders>
              <w:top w:val="single" w:sz="8" w:space="0" w:color="000000"/>
              <w:left w:val="nil"/>
              <w:bottom w:val="nil"/>
              <w:right w:val="nil"/>
            </w:tcBorders>
            <w:tcMar>
              <w:top w:w="100" w:type="dxa"/>
              <w:left w:w="100" w:type="dxa"/>
              <w:bottom w:w="100" w:type="dxa"/>
              <w:right w:w="100" w:type="dxa"/>
            </w:tcMar>
          </w:tcPr>
          <w:p w14:paraId="054D6C19" w14:textId="77777777" w:rsidR="007B6D8F" w:rsidRPr="004465FF" w:rsidRDefault="00000000">
            <w:pPr>
              <w:rPr>
                <w:sz w:val="20"/>
                <w:szCs w:val="20"/>
              </w:rPr>
            </w:pPr>
            <w:r w:rsidRPr="004465FF">
              <w:rPr>
                <w:sz w:val="20"/>
                <w:szCs w:val="20"/>
              </w:rPr>
              <w:t xml:space="preserve">Efeito total </w:t>
            </w:r>
          </w:p>
        </w:tc>
        <w:tc>
          <w:tcPr>
            <w:tcW w:w="1125" w:type="dxa"/>
            <w:tcBorders>
              <w:top w:val="single" w:sz="8" w:space="0" w:color="000000"/>
              <w:left w:val="nil"/>
              <w:bottom w:val="nil"/>
              <w:right w:val="nil"/>
            </w:tcBorders>
            <w:tcMar>
              <w:top w:w="15" w:type="dxa"/>
              <w:left w:w="15" w:type="dxa"/>
              <w:bottom w:w="15" w:type="dxa"/>
              <w:right w:w="15" w:type="dxa"/>
            </w:tcMar>
            <w:vAlign w:val="center"/>
          </w:tcPr>
          <w:p w14:paraId="0638A3C6" w14:textId="77777777" w:rsidR="007B6D8F" w:rsidRPr="004465FF" w:rsidRDefault="00000000">
            <w:pPr>
              <w:rPr>
                <w:sz w:val="20"/>
                <w:szCs w:val="20"/>
              </w:rPr>
            </w:pPr>
            <w:r w:rsidRPr="004465FF">
              <w:rPr>
                <w:sz w:val="20"/>
                <w:szCs w:val="20"/>
              </w:rPr>
              <w:t>0.6</w:t>
            </w:r>
          </w:p>
        </w:tc>
        <w:tc>
          <w:tcPr>
            <w:tcW w:w="760" w:type="dxa"/>
            <w:tcBorders>
              <w:top w:val="single" w:sz="8" w:space="0" w:color="000000"/>
              <w:left w:val="nil"/>
              <w:bottom w:val="nil"/>
              <w:right w:val="nil"/>
            </w:tcBorders>
            <w:tcMar>
              <w:top w:w="15" w:type="dxa"/>
              <w:left w:w="15" w:type="dxa"/>
              <w:bottom w:w="15" w:type="dxa"/>
              <w:right w:w="15" w:type="dxa"/>
            </w:tcMar>
            <w:vAlign w:val="center"/>
          </w:tcPr>
          <w:p w14:paraId="45EF883E" w14:textId="77777777" w:rsidR="007B6D8F" w:rsidRPr="004465FF" w:rsidRDefault="00000000">
            <w:pPr>
              <w:rPr>
                <w:sz w:val="20"/>
                <w:szCs w:val="20"/>
              </w:rPr>
            </w:pPr>
            <w:r w:rsidRPr="004465FF">
              <w:rPr>
                <w:sz w:val="20"/>
                <w:szCs w:val="20"/>
              </w:rPr>
              <w:t>.03</w:t>
            </w:r>
          </w:p>
        </w:tc>
        <w:tc>
          <w:tcPr>
            <w:tcW w:w="268" w:type="dxa"/>
            <w:tcBorders>
              <w:top w:val="single" w:sz="8" w:space="0" w:color="000000"/>
              <w:left w:val="nil"/>
              <w:bottom w:val="nil"/>
              <w:right w:val="nil"/>
            </w:tcBorders>
            <w:tcMar>
              <w:top w:w="15" w:type="dxa"/>
              <w:left w:w="15" w:type="dxa"/>
              <w:bottom w:w="15" w:type="dxa"/>
              <w:right w:w="15" w:type="dxa"/>
            </w:tcMar>
          </w:tcPr>
          <w:p w14:paraId="114A9DE6" w14:textId="77777777" w:rsidR="007B6D8F" w:rsidRPr="004465FF" w:rsidRDefault="00000000">
            <w:pPr>
              <w:jc w:val="center"/>
              <w:rPr>
                <w:sz w:val="20"/>
                <w:szCs w:val="20"/>
              </w:rPr>
            </w:pPr>
            <w:r w:rsidRPr="004465FF">
              <w:rPr>
                <w:sz w:val="20"/>
                <w:szCs w:val="20"/>
              </w:rPr>
              <w:t xml:space="preserve"> </w:t>
            </w:r>
          </w:p>
        </w:tc>
        <w:tc>
          <w:tcPr>
            <w:tcW w:w="1322" w:type="dxa"/>
            <w:tcBorders>
              <w:top w:val="single" w:sz="8" w:space="0" w:color="000000"/>
              <w:left w:val="nil"/>
              <w:bottom w:val="nil"/>
              <w:right w:val="nil"/>
            </w:tcBorders>
            <w:tcMar>
              <w:top w:w="15" w:type="dxa"/>
              <w:left w:w="15" w:type="dxa"/>
              <w:bottom w:w="15" w:type="dxa"/>
              <w:right w:w="15" w:type="dxa"/>
            </w:tcMar>
          </w:tcPr>
          <w:p w14:paraId="76983F31" w14:textId="77777777" w:rsidR="007B6D8F" w:rsidRPr="004465FF" w:rsidRDefault="00000000">
            <w:pPr>
              <w:rPr>
                <w:sz w:val="20"/>
                <w:szCs w:val="20"/>
              </w:rPr>
            </w:pPr>
            <w:r w:rsidRPr="004465FF">
              <w:rPr>
                <w:sz w:val="20"/>
                <w:szCs w:val="20"/>
              </w:rPr>
              <w:t>.00</w:t>
            </w:r>
          </w:p>
        </w:tc>
        <w:tc>
          <w:tcPr>
            <w:tcW w:w="1155" w:type="dxa"/>
            <w:tcBorders>
              <w:top w:val="single" w:sz="8" w:space="0" w:color="000000"/>
              <w:left w:val="nil"/>
              <w:bottom w:val="nil"/>
              <w:right w:val="nil"/>
            </w:tcBorders>
            <w:tcMar>
              <w:top w:w="15" w:type="dxa"/>
              <w:left w:w="15" w:type="dxa"/>
              <w:bottom w:w="15" w:type="dxa"/>
              <w:right w:w="15" w:type="dxa"/>
            </w:tcMar>
          </w:tcPr>
          <w:p w14:paraId="49BD354F" w14:textId="77777777" w:rsidR="007B6D8F" w:rsidRPr="004465FF" w:rsidRDefault="00000000">
            <w:pPr>
              <w:rPr>
                <w:sz w:val="20"/>
                <w:szCs w:val="20"/>
              </w:rPr>
            </w:pPr>
            <w:r w:rsidRPr="004465FF">
              <w:rPr>
                <w:sz w:val="20"/>
                <w:szCs w:val="20"/>
              </w:rPr>
              <w:t>.12</w:t>
            </w:r>
          </w:p>
        </w:tc>
      </w:tr>
      <w:tr w:rsidR="007B6D8F" w14:paraId="28BD1C0C" w14:textId="77777777">
        <w:trPr>
          <w:trHeight w:val="284"/>
        </w:trPr>
        <w:tc>
          <w:tcPr>
            <w:tcW w:w="5210" w:type="dxa"/>
            <w:tcBorders>
              <w:top w:val="nil"/>
              <w:left w:val="nil"/>
              <w:bottom w:val="nil"/>
              <w:right w:val="nil"/>
            </w:tcBorders>
            <w:tcMar>
              <w:top w:w="100" w:type="dxa"/>
              <w:left w:w="100" w:type="dxa"/>
              <w:bottom w:w="100" w:type="dxa"/>
              <w:right w:w="100" w:type="dxa"/>
            </w:tcMar>
          </w:tcPr>
          <w:p w14:paraId="3DD20DD7" w14:textId="77777777" w:rsidR="007B6D8F" w:rsidRPr="004465FF" w:rsidRDefault="00000000">
            <w:pPr>
              <w:rPr>
                <w:sz w:val="20"/>
                <w:szCs w:val="20"/>
              </w:rPr>
            </w:pPr>
            <w:r w:rsidRPr="004465FF">
              <w:rPr>
                <w:sz w:val="20"/>
                <w:szCs w:val="20"/>
              </w:rPr>
              <w:t>Efeito direto</w:t>
            </w:r>
          </w:p>
        </w:tc>
        <w:tc>
          <w:tcPr>
            <w:tcW w:w="1125" w:type="dxa"/>
            <w:tcBorders>
              <w:top w:val="nil"/>
              <w:left w:val="nil"/>
              <w:bottom w:val="nil"/>
              <w:right w:val="nil"/>
            </w:tcBorders>
            <w:tcMar>
              <w:top w:w="15" w:type="dxa"/>
              <w:left w:w="15" w:type="dxa"/>
              <w:bottom w:w="15" w:type="dxa"/>
              <w:right w:w="15" w:type="dxa"/>
            </w:tcMar>
            <w:vAlign w:val="center"/>
          </w:tcPr>
          <w:p w14:paraId="3E69C540" w14:textId="77777777" w:rsidR="007B6D8F" w:rsidRPr="004465FF" w:rsidRDefault="00000000">
            <w:pPr>
              <w:rPr>
                <w:sz w:val="20"/>
                <w:szCs w:val="20"/>
              </w:rPr>
            </w:pPr>
            <w:r w:rsidRPr="004465FF">
              <w:rPr>
                <w:sz w:val="20"/>
                <w:szCs w:val="20"/>
              </w:rPr>
              <w:t>.05</w:t>
            </w:r>
          </w:p>
        </w:tc>
        <w:tc>
          <w:tcPr>
            <w:tcW w:w="760" w:type="dxa"/>
            <w:tcBorders>
              <w:top w:val="nil"/>
              <w:left w:val="nil"/>
              <w:bottom w:val="nil"/>
              <w:right w:val="nil"/>
            </w:tcBorders>
            <w:tcMar>
              <w:top w:w="15" w:type="dxa"/>
              <w:left w:w="15" w:type="dxa"/>
              <w:bottom w:w="15" w:type="dxa"/>
              <w:right w:w="15" w:type="dxa"/>
            </w:tcMar>
            <w:vAlign w:val="center"/>
          </w:tcPr>
          <w:p w14:paraId="7AC10169" w14:textId="77777777" w:rsidR="007B6D8F" w:rsidRPr="004465FF" w:rsidRDefault="00000000">
            <w:pPr>
              <w:rPr>
                <w:sz w:val="20"/>
                <w:szCs w:val="20"/>
              </w:rPr>
            </w:pPr>
            <w:r w:rsidRPr="004465FF">
              <w:rPr>
                <w:sz w:val="20"/>
                <w:szCs w:val="20"/>
              </w:rPr>
              <w:t>.03</w:t>
            </w:r>
          </w:p>
        </w:tc>
        <w:tc>
          <w:tcPr>
            <w:tcW w:w="268" w:type="dxa"/>
            <w:tcBorders>
              <w:top w:val="nil"/>
              <w:left w:val="nil"/>
              <w:bottom w:val="nil"/>
              <w:right w:val="nil"/>
            </w:tcBorders>
            <w:tcMar>
              <w:top w:w="15" w:type="dxa"/>
              <w:left w:w="15" w:type="dxa"/>
              <w:bottom w:w="15" w:type="dxa"/>
              <w:right w:w="15" w:type="dxa"/>
            </w:tcMar>
          </w:tcPr>
          <w:p w14:paraId="59601F31" w14:textId="77777777" w:rsidR="007B6D8F" w:rsidRPr="004465FF" w:rsidRDefault="00000000">
            <w:pPr>
              <w:jc w:val="center"/>
              <w:rPr>
                <w:sz w:val="20"/>
                <w:szCs w:val="20"/>
              </w:rPr>
            </w:pPr>
            <w:r w:rsidRPr="004465FF">
              <w:rPr>
                <w:sz w:val="20"/>
                <w:szCs w:val="20"/>
              </w:rPr>
              <w:t xml:space="preserve"> </w:t>
            </w:r>
          </w:p>
        </w:tc>
        <w:tc>
          <w:tcPr>
            <w:tcW w:w="1322" w:type="dxa"/>
            <w:tcBorders>
              <w:top w:val="nil"/>
              <w:left w:val="nil"/>
              <w:bottom w:val="nil"/>
              <w:right w:val="nil"/>
            </w:tcBorders>
            <w:tcMar>
              <w:top w:w="15" w:type="dxa"/>
              <w:left w:w="15" w:type="dxa"/>
              <w:bottom w:w="15" w:type="dxa"/>
              <w:right w:w="15" w:type="dxa"/>
            </w:tcMar>
          </w:tcPr>
          <w:p w14:paraId="579972FE" w14:textId="77777777" w:rsidR="007B6D8F" w:rsidRPr="004465FF" w:rsidRDefault="00000000">
            <w:pPr>
              <w:rPr>
                <w:sz w:val="20"/>
                <w:szCs w:val="20"/>
              </w:rPr>
            </w:pPr>
            <w:r w:rsidRPr="004465FF">
              <w:rPr>
                <w:sz w:val="20"/>
                <w:szCs w:val="20"/>
              </w:rPr>
              <w:t>-.01</w:t>
            </w:r>
          </w:p>
        </w:tc>
        <w:tc>
          <w:tcPr>
            <w:tcW w:w="1155" w:type="dxa"/>
            <w:tcBorders>
              <w:top w:val="nil"/>
              <w:left w:val="nil"/>
              <w:bottom w:val="nil"/>
              <w:right w:val="nil"/>
            </w:tcBorders>
            <w:tcMar>
              <w:top w:w="15" w:type="dxa"/>
              <w:left w:w="15" w:type="dxa"/>
              <w:bottom w:w="15" w:type="dxa"/>
              <w:right w:w="15" w:type="dxa"/>
            </w:tcMar>
          </w:tcPr>
          <w:p w14:paraId="34DD4C19" w14:textId="77777777" w:rsidR="007B6D8F" w:rsidRPr="004465FF" w:rsidRDefault="00000000">
            <w:pPr>
              <w:rPr>
                <w:sz w:val="20"/>
                <w:szCs w:val="20"/>
              </w:rPr>
            </w:pPr>
            <w:r w:rsidRPr="004465FF">
              <w:rPr>
                <w:sz w:val="20"/>
                <w:szCs w:val="20"/>
              </w:rPr>
              <w:t>.12</w:t>
            </w:r>
          </w:p>
        </w:tc>
      </w:tr>
      <w:tr w:rsidR="007B6D8F" w14:paraId="0516EDD1" w14:textId="77777777">
        <w:trPr>
          <w:trHeight w:val="284"/>
        </w:trPr>
        <w:tc>
          <w:tcPr>
            <w:tcW w:w="5210" w:type="dxa"/>
            <w:tcBorders>
              <w:top w:val="nil"/>
              <w:left w:val="nil"/>
              <w:bottom w:val="nil"/>
              <w:right w:val="nil"/>
            </w:tcBorders>
            <w:tcMar>
              <w:top w:w="100" w:type="dxa"/>
              <w:left w:w="100" w:type="dxa"/>
              <w:bottom w:w="100" w:type="dxa"/>
              <w:right w:w="100" w:type="dxa"/>
            </w:tcMar>
          </w:tcPr>
          <w:p w14:paraId="79E9BE57" w14:textId="77777777" w:rsidR="007B6D8F" w:rsidRPr="004465FF" w:rsidRDefault="00000000">
            <w:pPr>
              <w:rPr>
                <w:i/>
                <w:sz w:val="20"/>
                <w:szCs w:val="20"/>
              </w:rPr>
            </w:pPr>
            <w:r w:rsidRPr="004465FF">
              <w:rPr>
                <w:i/>
                <w:sz w:val="20"/>
                <w:szCs w:val="20"/>
              </w:rPr>
              <w:t>Efeitos indiretos específicos</w:t>
            </w:r>
          </w:p>
        </w:tc>
        <w:tc>
          <w:tcPr>
            <w:tcW w:w="1125" w:type="dxa"/>
            <w:tcBorders>
              <w:top w:val="nil"/>
              <w:left w:val="nil"/>
              <w:bottom w:val="nil"/>
              <w:right w:val="nil"/>
            </w:tcBorders>
            <w:tcMar>
              <w:top w:w="15" w:type="dxa"/>
              <w:left w:w="15" w:type="dxa"/>
              <w:bottom w:w="15" w:type="dxa"/>
              <w:right w:w="15" w:type="dxa"/>
            </w:tcMar>
          </w:tcPr>
          <w:p w14:paraId="17380279" w14:textId="77777777" w:rsidR="007B6D8F" w:rsidRPr="004465FF" w:rsidRDefault="00000000">
            <w:pPr>
              <w:jc w:val="center"/>
              <w:rPr>
                <w:sz w:val="20"/>
                <w:szCs w:val="20"/>
              </w:rPr>
            </w:pPr>
            <w:r w:rsidRPr="004465FF">
              <w:rPr>
                <w:sz w:val="20"/>
                <w:szCs w:val="20"/>
              </w:rPr>
              <w:t xml:space="preserve"> </w:t>
            </w:r>
          </w:p>
        </w:tc>
        <w:tc>
          <w:tcPr>
            <w:tcW w:w="760" w:type="dxa"/>
            <w:tcBorders>
              <w:top w:val="nil"/>
              <w:left w:val="nil"/>
              <w:bottom w:val="nil"/>
              <w:right w:val="nil"/>
            </w:tcBorders>
            <w:tcMar>
              <w:top w:w="15" w:type="dxa"/>
              <w:left w:w="15" w:type="dxa"/>
              <w:bottom w:w="15" w:type="dxa"/>
              <w:right w:w="15" w:type="dxa"/>
            </w:tcMar>
          </w:tcPr>
          <w:p w14:paraId="5AC3A0F7" w14:textId="77777777" w:rsidR="007B6D8F" w:rsidRPr="004465FF" w:rsidRDefault="00000000">
            <w:pPr>
              <w:jc w:val="center"/>
              <w:rPr>
                <w:sz w:val="20"/>
                <w:szCs w:val="20"/>
              </w:rPr>
            </w:pPr>
            <w:r w:rsidRPr="004465FF">
              <w:rPr>
                <w:sz w:val="20"/>
                <w:szCs w:val="20"/>
              </w:rPr>
              <w:t xml:space="preserve"> </w:t>
            </w:r>
          </w:p>
        </w:tc>
        <w:tc>
          <w:tcPr>
            <w:tcW w:w="268" w:type="dxa"/>
            <w:tcBorders>
              <w:top w:val="nil"/>
              <w:left w:val="nil"/>
              <w:bottom w:val="nil"/>
              <w:right w:val="nil"/>
            </w:tcBorders>
            <w:tcMar>
              <w:top w:w="15" w:type="dxa"/>
              <w:left w:w="15" w:type="dxa"/>
              <w:bottom w:w="15" w:type="dxa"/>
              <w:right w:w="15" w:type="dxa"/>
            </w:tcMar>
          </w:tcPr>
          <w:p w14:paraId="1E0308BC" w14:textId="77777777" w:rsidR="007B6D8F" w:rsidRPr="004465FF" w:rsidRDefault="00000000">
            <w:pPr>
              <w:jc w:val="center"/>
              <w:rPr>
                <w:sz w:val="20"/>
                <w:szCs w:val="20"/>
              </w:rPr>
            </w:pPr>
            <w:r w:rsidRPr="004465FF">
              <w:rPr>
                <w:sz w:val="20"/>
                <w:szCs w:val="20"/>
              </w:rPr>
              <w:t xml:space="preserve"> </w:t>
            </w:r>
          </w:p>
        </w:tc>
        <w:tc>
          <w:tcPr>
            <w:tcW w:w="1322" w:type="dxa"/>
            <w:tcBorders>
              <w:top w:val="nil"/>
              <w:left w:val="nil"/>
              <w:bottom w:val="nil"/>
              <w:right w:val="nil"/>
            </w:tcBorders>
            <w:tcMar>
              <w:top w:w="15" w:type="dxa"/>
              <w:left w:w="15" w:type="dxa"/>
              <w:bottom w:w="15" w:type="dxa"/>
              <w:right w:w="15" w:type="dxa"/>
            </w:tcMar>
          </w:tcPr>
          <w:p w14:paraId="7572E870" w14:textId="77777777" w:rsidR="007B6D8F" w:rsidRPr="004465FF" w:rsidRDefault="00000000">
            <w:pPr>
              <w:jc w:val="center"/>
              <w:rPr>
                <w:sz w:val="20"/>
                <w:szCs w:val="20"/>
              </w:rPr>
            </w:pPr>
            <w:r w:rsidRPr="004465FF">
              <w:rPr>
                <w:sz w:val="20"/>
                <w:szCs w:val="20"/>
              </w:rPr>
              <w:t xml:space="preserve"> </w:t>
            </w:r>
          </w:p>
        </w:tc>
        <w:tc>
          <w:tcPr>
            <w:tcW w:w="1155" w:type="dxa"/>
            <w:tcBorders>
              <w:top w:val="nil"/>
              <w:left w:val="nil"/>
              <w:bottom w:val="nil"/>
              <w:right w:val="nil"/>
            </w:tcBorders>
            <w:tcMar>
              <w:top w:w="15" w:type="dxa"/>
              <w:left w:w="15" w:type="dxa"/>
              <w:bottom w:w="15" w:type="dxa"/>
              <w:right w:w="15" w:type="dxa"/>
            </w:tcMar>
          </w:tcPr>
          <w:p w14:paraId="544C1037" w14:textId="77777777" w:rsidR="007B6D8F" w:rsidRPr="004465FF" w:rsidRDefault="00000000">
            <w:pPr>
              <w:jc w:val="center"/>
              <w:rPr>
                <w:sz w:val="20"/>
                <w:szCs w:val="20"/>
              </w:rPr>
            </w:pPr>
            <w:r w:rsidRPr="004465FF">
              <w:rPr>
                <w:sz w:val="20"/>
                <w:szCs w:val="20"/>
              </w:rPr>
              <w:t xml:space="preserve"> </w:t>
            </w:r>
          </w:p>
        </w:tc>
      </w:tr>
      <w:tr w:rsidR="007B6D8F" w14:paraId="5641097B" w14:textId="77777777">
        <w:trPr>
          <w:trHeight w:val="284"/>
        </w:trPr>
        <w:tc>
          <w:tcPr>
            <w:tcW w:w="5210" w:type="dxa"/>
            <w:tcBorders>
              <w:top w:val="single" w:sz="12" w:space="0" w:color="FFFFFF"/>
              <w:left w:val="nil"/>
              <w:bottom w:val="single" w:sz="4" w:space="0" w:color="000000"/>
              <w:right w:val="nil"/>
            </w:tcBorders>
            <w:tcMar>
              <w:top w:w="100" w:type="dxa"/>
              <w:left w:w="100" w:type="dxa"/>
              <w:bottom w:w="100" w:type="dxa"/>
              <w:right w:w="100" w:type="dxa"/>
            </w:tcMar>
          </w:tcPr>
          <w:p w14:paraId="5BAE2A9D" w14:textId="77777777" w:rsidR="007B6D8F" w:rsidRPr="004465FF" w:rsidRDefault="00000000">
            <w:pPr>
              <w:rPr>
                <w:sz w:val="20"/>
                <w:szCs w:val="20"/>
              </w:rPr>
            </w:pPr>
            <w:r w:rsidRPr="004465FF">
              <w:rPr>
                <w:sz w:val="20"/>
                <w:szCs w:val="20"/>
              </w:rPr>
              <w:t xml:space="preserve">Tempors </w:t>
            </w:r>
            <w:r w:rsidRPr="004465FF">
              <w:rPr>
                <w:rFonts w:ascii="Cambria Math" w:eastAsia="Cambria Math" w:hAnsi="Cambria Math" w:cs="Cambria Math"/>
                <w:sz w:val="20"/>
                <w:szCs w:val="20"/>
              </w:rPr>
              <w:t>⇒</w:t>
            </w:r>
            <w:r w:rsidRPr="004465FF">
              <w:rPr>
                <w:sz w:val="20"/>
                <w:szCs w:val="20"/>
              </w:rPr>
              <w:t xml:space="preserve"> engajamento </w:t>
            </w:r>
            <w:r w:rsidRPr="004465FF">
              <w:rPr>
                <w:rFonts w:ascii="Cambria Math" w:eastAsia="Cambria Math" w:hAnsi="Cambria Math" w:cs="Cambria Math"/>
                <w:sz w:val="20"/>
                <w:szCs w:val="20"/>
              </w:rPr>
              <w:t>⇒</w:t>
            </w:r>
            <w:r w:rsidRPr="004465FF">
              <w:rPr>
                <w:sz w:val="20"/>
                <w:szCs w:val="20"/>
              </w:rPr>
              <w:t xml:space="preserve"> comparação </w:t>
            </w:r>
            <w:r w:rsidRPr="004465FF">
              <w:rPr>
                <w:rFonts w:ascii="Cambria Math" w:eastAsia="Cambria Math" w:hAnsi="Cambria Math" w:cs="Cambria Math"/>
                <w:sz w:val="20"/>
                <w:szCs w:val="20"/>
              </w:rPr>
              <w:t>⇒</w:t>
            </w:r>
            <w:r w:rsidRPr="004465FF">
              <w:rPr>
                <w:sz w:val="20"/>
                <w:szCs w:val="20"/>
              </w:rPr>
              <w:t xml:space="preserve"> estresse</w:t>
            </w:r>
          </w:p>
        </w:tc>
        <w:tc>
          <w:tcPr>
            <w:tcW w:w="1125" w:type="dxa"/>
            <w:tcBorders>
              <w:top w:val="single" w:sz="12" w:space="0" w:color="FFFFFF"/>
              <w:left w:val="nil"/>
              <w:bottom w:val="single" w:sz="4" w:space="0" w:color="000000"/>
              <w:right w:val="nil"/>
            </w:tcBorders>
            <w:tcMar>
              <w:top w:w="15" w:type="dxa"/>
              <w:left w:w="15" w:type="dxa"/>
              <w:bottom w:w="15" w:type="dxa"/>
              <w:right w:w="15" w:type="dxa"/>
            </w:tcMar>
            <w:vAlign w:val="center"/>
          </w:tcPr>
          <w:p w14:paraId="43A5B203" w14:textId="77777777" w:rsidR="007B6D8F" w:rsidRPr="004465FF" w:rsidRDefault="00000000">
            <w:pPr>
              <w:rPr>
                <w:sz w:val="20"/>
                <w:szCs w:val="20"/>
              </w:rPr>
            </w:pPr>
            <w:r w:rsidRPr="004465FF">
              <w:rPr>
                <w:sz w:val="20"/>
                <w:szCs w:val="20"/>
              </w:rPr>
              <w:t>.01*</w:t>
            </w:r>
          </w:p>
        </w:tc>
        <w:tc>
          <w:tcPr>
            <w:tcW w:w="760" w:type="dxa"/>
            <w:tcBorders>
              <w:top w:val="single" w:sz="12" w:space="0" w:color="FFFFFF"/>
              <w:left w:val="nil"/>
              <w:bottom w:val="single" w:sz="4" w:space="0" w:color="000000"/>
              <w:right w:val="nil"/>
            </w:tcBorders>
            <w:tcMar>
              <w:top w:w="15" w:type="dxa"/>
              <w:left w:w="15" w:type="dxa"/>
              <w:bottom w:w="15" w:type="dxa"/>
              <w:right w:w="15" w:type="dxa"/>
            </w:tcMar>
            <w:vAlign w:val="center"/>
          </w:tcPr>
          <w:p w14:paraId="46AAE2EC" w14:textId="77777777" w:rsidR="007B6D8F" w:rsidRPr="004465FF" w:rsidRDefault="00000000">
            <w:pPr>
              <w:rPr>
                <w:sz w:val="20"/>
                <w:szCs w:val="20"/>
              </w:rPr>
            </w:pPr>
            <w:r w:rsidRPr="004465FF">
              <w:rPr>
                <w:sz w:val="20"/>
                <w:szCs w:val="20"/>
              </w:rPr>
              <w:t xml:space="preserve">.00 </w:t>
            </w:r>
          </w:p>
        </w:tc>
        <w:tc>
          <w:tcPr>
            <w:tcW w:w="268" w:type="dxa"/>
            <w:tcBorders>
              <w:top w:val="single" w:sz="12" w:space="0" w:color="FFFFFF"/>
              <w:left w:val="nil"/>
              <w:bottom w:val="single" w:sz="4" w:space="0" w:color="000000"/>
              <w:right w:val="nil"/>
            </w:tcBorders>
            <w:tcMar>
              <w:top w:w="15" w:type="dxa"/>
              <w:left w:w="15" w:type="dxa"/>
              <w:bottom w:w="15" w:type="dxa"/>
              <w:right w:w="15" w:type="dxa"/>
            </w:tcMar>
          </w:tcPr>
          <w:p w14:paraId="24D05CAA" w14:textId="77777777" w:rsidR="007B6D8F" w:rsidRPr="004465FF" w:rsidRDefault="007B6D8F">
            <w:pPr>
              <w:jc w:val="center"/>
              <w:rPr>
                <w:sz w:val="20"/>
                <w:szCs w:val="20"/>
              </w:rPr>
            </w:pPr>
          </w:p>
        </w:tc>
        <w:tc>
          <w:tcPr>
            <w:tcW w:w="1322" w:type="dxa"/>
            <w:tcBorders>
              <w:top w:val="single" w:sz="12" w:space="0" w:color="FFFFFF"/>
              <w:left w:val="nil"/>
              <w:bottom w:val="single" w:sz="4" w:space="0" w:color="000000"/>
              <w:right w:val="nil"/>
            </w:tcBorders>
            <w:tcMar>
              <w:top w:w="15" w:type="dxa"/>
              <w:left w:w="15" w:type="dxa"/>
              <w:bottom w:w="15" w:type="dxa"/>
              <w:right w:w="15" w:type="dxa"/>
            </w:tcMar>
            <w:vAlign w:val="center"/>
          </w:tcPr>
          <w:p w14:paraId="687FB2EF" w14:textId="77777777" w:rsidR="007B6D8F" w:rsidRPr="004465FF" w:rsidRDefault="00000000">
            <w:pPr>
              <w:rPr>
                <w:sz w:val="20"/>
                <w:szCs w:val="20"/>
              </w:rPr>
            </w:pPr>
            <w:r w:rsidRPr="004465FF">
              <w:rPr>
                <w:sz w:val="20"/>
                <w:szCs w:val="20"/>
              </w:rPr>
              <w:t xml:space="preserve">.00 </w:t>
            </w:r>
          </w:p>
        </w:tc>
        <w:tc>
          <w:tcPr>
            <w:tcW w:w="1155" w:type="dxa"/>
            <w:tcBorders>
              <w:top w:val="single" w:sz="12" w:space="0" w:color="FFFFFF"/>
              <w:left w:val="nil"/>
              <w:bottom w:val="single" w:sz="4" w:space="0" w:color="000000"/>
              <w:right w:val="nil"/>
            </w:tcBorders>
            <w:tcMar>
              <w:top w:w="15" w:type="dxa"/>
              <w:left w:w="15" w:type="dxa"/>
              <w:bottom w:w="15" w:type="dxa"/>
              <w:right w:w="15" w:type="dxa"/>
            </w:tcMar>
            <w:vAlign w:val="center"/>
          </w:tcPr>
          <w:p w14:paraId="0600581D" w14:textId="77777777" w:rsidR="007B6D8F" w:rsidRPr="004465FF" w:rsidRDefault="00000000">
            <w:pPr>
              <w:rPr>
                <w:sz w:val="20"/>
                <w:szCs w:val="20"/>
              </w:rPr>
            </w:pPr>
            <w:r w:rsidRPr="004465FF">
              <w:rPr>
                <w:sz w:val="20"/>
                <w:szCs w:val="20"/>
              </w:rPr>
              <w:t xml:space="preserve">.02 </w:t>
            </w:r>
          </w:p>
        </w:tc>
      </w:tr>
      <w:tr w:rsidR="007B6D8F" w14:paraId="617ABE09" w14:textId="77777777">
        <w:trPr>
          <w:trHeight w:val="284"/>
        </w:trPr>
        <w:tc>
          <w:tcPr>
            <w:tcW w:w="5210" w:type="dxa"/>
            <w:tcBorders>
              <w:top w:val="single" w:sz="4" w:space="0" w:color="000000"/>
              <w:left w:val="nil"/>
              <w:bottom w:val="single" w:sz="4" w:space="0" w:color="000000"/>
              <w:right w:val="nil"/>
            </w:tcBorders>
            <w:tcMar>
              <w:top w:w="100" w:type="dxa"/>
              <w:left w:w="100" w:type="dxa"/>
              <w:bottom w:w="100" w:type="dxa"/>
              <w:right w:w="100" w:type="dxa"/>
            </w:tcMar>
          </w:tcPr>
          <w:p w14:paraId="18158F53" w14:textId="77777777" w:rsidR="007B6D8F" w:rsidRPr="004465FF" w:rsidRDefault="00000000">
            <w:pPr>
              <w:rPr>
                <w:sz w:val="20"/>
                <w:szCs w:val="20"/>
              </w:rPr>
            </w:pPr>
            <w:r w:rsidRPr="004465FF">
              <w:rPr>
                <w:sz w:val="20"/>
                <w:szCs w:val="20"/>
              </w:rPr>
              <w:t>Ansiedade</w:t>
            </w:r>
          </w:p>
        </w:tc>
        <w:tc>
          <w:tcPr>
            <w:tcW w:w="1125"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0E281C40" w14:textId="77777777" w:rsidR="007B6D8F" w:rsidRPr="004465FF" w:rsidRDefault="007B6D8F">
            <w:pPr>
              <w:rPr>
                <w:sz w:val="20"/>
                <w:szCs w:val="20"/>
              </w:rPr>
            </w:pPr>
          </w:p>
        </w:tc>
        <w:tc>
          <w:tcPr>
            <w:tcW w:w="760"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33D08676" w14:textId="77777777" w:rsidR="007B6D8F" w:rsidRPr="004465FF" w:rsidRDefault="007B6D8F">
            <w:pPr>
              <w:rPr>
                <w:sz w:val="20"/>
                <w:szCs w:val="20"/>
              </w:rPr>
            </w:pPr>
          </w:p>
        </w:tc>
        <w:tc>
          <w:tcPr>
            <w:tcW w:w="268" w:type="dxa"/>
            <w:tcBorders>
              <w:top w:val="single" w:sz="4" w:space="0" w:color="000000"/>
              <w:left w:val="nil"/>
              <w:bottom w:val="single" w:sz="4" w:space="0" w:color="000000"/>
              <w:right w:val="nil"/>
            </w:tcBorders>
            <w:tcMar>
              <w:top w:w="15" w:type="dxa"/>
              <w:left w:w="15" w:type="dxa"/>
              <w:bottom w:w="15" w:type="dxa"/>
              <w:right w:w="15" w:type="dxa"/>
            </w:tcMar>
          </w:tcPr>
          <w:p w14:paraId="61C33415" w14:textId="77777777" w:rsidR="007B6D8F" w:rsidRPr="004465FF" w:rsidRDefault="007B6D8F">
            <w:pPr>
              <w:jc w:val="center"/>
              <w:rPr>
                <w:sz w:val="20"/>
                <w:szCs w:val="20"/>
              </w:rPr>
            </w:pPr>
          </w:p>
        </w:tc>
        <w:tc>
          <w:tcPr>
            <w:tcW w:w="1322"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18B1F3F4" w14:textId="77777777" w:rsidR="007B6D8F" w:rsidRPr="004465FF" w:rsidRDefault="007B6D8F">
            <w:pPr>
              <w:rPr>
                <w:sz w:val="20"/>
                <w:szCs w:val="20"/>
              </w:rPr>
            </w:pPr>
          </w:p>
        </w:tc>
        <w:tc>
          <w:tcPr>
            <w:tcW w:w="1155"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7DE8A7CF" w14:textId="77777777" w:rsidR="007B6D8F" w:rsidRPr="004465FF" w:rsidRDefault="007B6D8F">
            <w:pPr>
              <w:rPr>
                <w:sz w:val="20"/>
                <w:szCs w:val="20"/>
              </w:rPr>
            </w:pPr>
          </w:p>
        </w:tc>
      </w:tr>
      <w:tr w:rsidR="007B6D8F" w14:paraId="43766F38" w14:textId="77777777">
        <w:trPr>
          <w:trHeight w:val="284"/>
        </w:trPr>
        <w:tc>
          <w:tcPr>
            <w:tcW w:w="5210" w:type="dxa"/>
            <w:tcBorders>
              <w:top w:val="single" w:sz="4" w:space="0" w:color="000000"/>
              <w:left w:val="nil"/>
              <w:right w:val="nil"/>
            </w:tcBorders>
            <w:tcMar>
              <w:top w:w="100" w:type="dxa"/>
              <w:left w:w="100" w:type="dxa"/>
              <w:bottom w:w="100" w:type="dxa"/>
              <w:right w:w="100" w:type="dxa"/>
            </w:tcMar>
          </w:tcPr>
          <w:p w14:paraId="3CD959A1" w14:textId="77777777" w:rsidR="007B6D8F" w:rsidRPr="004465FF" w:rsidRDefault="00000000">
            <w:pPr>
              <w:rPr>
                <w:sz w:val="20"/>
                <w:szCs w:val="20"/>
              </w:rPr>
            </w:pPr>
            <w:r w:rsidRPr="004465FF">
              <w:rPr>
                <w:sz w:val="20"/>
                <w:szCs w:val="20"/>
              </w:rPr>
              <w:t xml:space="preserve">Efeito total </w:t>
            </w:r>
          </w:p>
        </w:tc>
        <w:tc>
          <w:tcPr>
            <w:tcW w:w="1125" w:type="dxa"/>
            <w:tcBorders>
              <w:top w:val="single" w:sz="4" w:space="0" w:color="000000"/>
              <w:left w:val="nil"/>
              <w:right w:val="nil"/>
            </w:tcBorders>
            <w:tcMar>
              <w:top w:w="15" w:type="dxa"/>
              <w:left w:w="15" w:type="dxa"/>
              <w:bottom w:w="15" w:type="dxa"/>
              <w:right w:w="15" w:type="dxa"/>
            </w:tcMar>
            <w:vAlign w:val="center"/>
          </w:tcPr>
          <w:p w14:paraId="795040B7" w14:textId="77777777" w:rsidR="007B6D8F" w:rsidRPr="004465FF" w:rsidRDefault="00000000">
            <w:pPr>
              <w:rPr>
                <w:sz w:val="20"/>
                <w:szCs w:val="20"/>
              </w:rPr>
            </w:pPr>
            <w:r w:rsidRPr="004465FF">
              <w:rPr>
                <w:sz w:val="20"/>
                <w:szCs w:val="20"/>
              </w:rPr>
              <w:t>.09***</w:t>
            </w:r>
          </w:p>
        </w:tc>
        <w:tc>
          <w:tcPr>
            <w:tcW w:w="760" w:type="dxa"/>
            <w:tcBorders>
              <w:top w:val="single" w:sz="4" w:space="0" w:color="000000"/>
              <w:left w:val="nil"/>
              <w:right w:val="nil"/>
            </w:tcBorders>
            <w:tcMar>
              <w:top w:w="15" w:type="dxa"/>
              <w:left w:w="15" w:type="dxa"/>
              <w:bottom w:w="15" w:type="dxa"/>
              <w:right w:w="15" w:type="dxa"/>
            </w:tcMar>
            <w:vAlign w:val="center"/>
          </w:tcPr>
          <w:p w14:paraId="16CF9469" w14:textId="77777777" w:rsidR="007B6D8F" w:rsidRPr="004465FF" w:rsidRDefault="00000000">
            <w:pPr>
              <w:rPr>
                <w:sz w:val="20"/>
                <w:szCs w:val="20"/>
              </w:rPr>
            </w:pPr>
            <w:r w:rsidRPr="004465FF">
              <w:rPr>
                <w:sz w:val="20"/>
                <w:szCs w:val="20"/>
              </w:rPr>
              <w:t>.02</w:t>
            </w:r>
          </w:p>
        </w:tc>
        <w:tc>
          <w:tcPr>
            <w:tcW w:w="268" w:type="dxa"/>
            <w:tcBorders>
              <w:top w:val="single" w:sz="4" w:space="0" w:color="000000"/>
              <w:left w:val="nil"/>
              <w:right w:val="nil"/>
            </w:tcBorders>
            <w:tcMar>
              <w:top w:w="15" w:type="dxa"/>
              <w:left w:w="15" w:type="dxa"/>
              <w:bottom w:w="15" w:type="dxa"/>
              <w:right w:w="15" w:type="dxa"/>
            </w:tcMar>
          </w:tcPr>
          <w:p w14:paraId="347D3139" w14:textId="77777777" w:rsidR="007B6D8F" w:rsidRPr="004465FF" w:rsidRDefault="00000000">
            <w:pPr>
              <w:jc w:val="center"/>
              <w:rPr>
                <w:sz w:val="20"/>
                <w:szCs w:val="20"/>
              </w:rPr>
            </w:pPr>
            <w:r w:rsidRPr="004465FF">
              <w:rPr>
                <w:sz w:val="20"/>
                <w:szCs w:val="20"/>
              </w:rPr>
              <w:t xml:space="preserve"> </w:t>
            </w:r>
          </w:p>
        </w:tc>
        <w:tc>
          <w:tcPr>
            <w:tcW w:w="1322" w:type="dxa"/>
            <w:tcBorders>
              <w:top w:val="single" w:sz="4" w:space="0" w:color="000000"/>
              <w:left w:val="nil"/>
              <w:right w:val="nil"/>
            </w:tcBorders>
            <w:tcMar>
              <w:top w:w="15" w:type="dxa"/>
              <w:left w:w="15" w:type="dxa"/>
              <w:bottom w:w="15" w:type="dxa"/>
              <w:right w:w="15" w:type="dxa"/>
            </w:tcMar>
          </w:tcPr>
          <w:p w14:paraId="41D63092" w14:textId="77777777" w:rsidR="007B6D8F" w:rsidRPr="004465FF" w:rsidRDefault="00000000">
            <w:pPr>
              <w:rPr>
                <w:sz w:val="20"/>
                <w:szCs w:val="20"/>
              </w:rPr>
            </w:pPr>
            <w:r w:rsidRPr="004465FF">
              <w:rPr>
                <w:sz w:val="20"/>
                <w:szCs w:val="20"/>
              </w:rPr>
              <w:t>.03</w:t>
            </w:r>
          </w:p>
        </w:tc>
        <w:tc>
          <w:tcPr>
            <w:tcW w:w="1155" w:type="dxa"/>
            <w:tcBorders>
              <w:top w:val="single" w:sz="4" w:space="0" w:color="000000"/>
              <w:left w:val="nil"/>
              <w:right w:val="nil"/>
            </w:tcBorders>
            <w:tcMar>
              <w:top w:w="15" w:type="dxa"/>
              <w:left w:w="15" w:type="dxa"/>
              <w:bottom w:w="15" w:type="dxa"/>
              <w:right w:w="15" w:type="dxa"/>
            </w:tcMar>
          </w:tcPr>
          <w:p w14:paraId="51123B36" w14:textId="77777777" w:rsidR="007B6D8F" w:rsidRPr="004465FF" w:rsidRDefault="00000000">
            <w:pPr>
              <w:rPr>
                <w:sz w:val="20"/>
                <w:szCs w:val="20"/>
              </w:rPr>
            </w:pPr>
            <w:r w:rsidRPr="004465FF">
              <w:rPr>
                <w:sz w:val="20"/>
                <w:szCs w:val="20"/>
              </w:rPr>
              <w:t>.14</w:t>
            </w:r>
          </w:p>
        </w:tc>
      </w:tr>
      <w:tr w:rsidR="007B6D8F" w14:paraId="24FA43DB" w14:textId="77777777">
        <w:trPr>
          <w:trHeight w:val="284"/>
        </w:trPr>
        <w:tc>
          <w:tcPr>
            <w:tcW w:w="5210" w:type="dxa"/>
            <w:tcBorders>
              <w:left w:val="nil"/>
              <w:right w:val="nil"/>
            </w:tcBorders>
            <w:tcMar>
              <w:top w:w="100" w:type="dxa"/>
              <w:left w:w="100" w:type="dxa"/>
              <w:bottom w:w="100" w:type="dxa"/>
              <w:right w:w="100" w:type="dxa"/>
            </w:tcMar>
          </w:tcPr>
          <w:p w14:paraId="319580B3" w14:textId="77777777" w:rsidR="007B6D8F" w:rsidRPr="004465FF" w:rsidRDefault="00000000">
            <w:pPr>
              <w:rPr>
                <w:sz w:val="20"/>
                <w:szCs w:val="20"/>
              </w:rPr>
            </w:pPr>
            <w:r w:rsidRPr="004465FF">
              <w:rPr>
                <w:sz w:val="20"/>
                <w:szCs w:val="20"/>
              </w:rPr>
              <w:t xml:space="preserve">Efeito direto </w:t>
            </w:r>
          </w:p>
        </w:tc>
        <w:tc>
          <w:tcPr>
            <w:tcW w:w="1125" w:type="dxa"/>
            <w:tcBorders>
              <w:left w:val="nil"/>
              <w:right w:val="nil"/>
            </w:tcBorders>
            <w:tcMar>
              <w:top w:w="15" w:type="dxa"/>
              <w:left w:w="15" w:type="dxa"/>
              <w:bottom w:w="15" w:type="dxa"/>
              <w:right w:w="15" w:type="dxa"/>
            </w:tcMar>
            <w:vAlign w:val="center"/>
          </w:tcPr>
          <w:p w14:paraId="4F772632" w14:textId="77777777" w:rsidR="007B6D8F" w:rsidRPr="004465FF" w:rsidRDefault="00000000">
            <w:pPr>
              <w:rPr>
                <w:sz w:val="20"/>
                <w:szCs w:val="20"/>
              </w:rPr>
            </w:pPr>
            <w:r w:rsidRPr="004465FF">
              <w:rPr>
                <w:sz w:val="20"/>
                <w:szCs w:val="20"/>
              </w:rPr>
              <w:t>.08*</w:t>
            </w:r>
          </w:p>
        </w:tc>
        <w:tc>
          <w:tcPr>
            <w:tcW w:w="760" w:type="dxa"/>
            <w:tcBorders>
              <w:left w:val="nil"/>
              <w:right w:val="nil"/>
            </w:tcBorders>
            <w:tcMar>
              <w:top w:w="15" w:type="dxa"/>
              <w:left w:w="15" w:type="dxa"/>
              <w:bottom w:w="15" w:type="dxa"/>
              <w:right w:w="15" w:type="dxa"/>
            </w:tcMar>
            <w:vAlign w:val="center"/>
          </w:tcPr>
          <w:p w14:paraId="29013DD5" w14:textId="77777777" w:rsidR="007B6D8F" w:rsidRPr="004465FF" w:rsidRDefault="00000000">
            <w:pPr>
              <w:rPr>
                <w:sz w:val="20"/>
                <w:szCs w:val="20"/>
              </w:rPr>
            </w:pPr>
            <w:r w:rsidRPr="004465FF">
              <w:rPr>
                <w:sz w:val="20"/>
                <w:szCs w:val="20"/>
              </w:rPr>
              <w:t>.02</w:t>
            </w:r>
          </w:p>
        </w:tc>
        <w:tc>
          <w:tcPr>
            <w:tcW w:w="268" w:type="dxa"/>
            <w:tcBorders>
              <w:left w:val="nil"/>
              <w:right w:val="nil"/>
            </w:tcBorders>
            <w:tcMar>
              <w:top w:w="15" w:type="dxa"/>
              <w:left w:w="15" w:type="dxa"/>
              <w:bottom w:w="15" w:type="dxa"/>
              <w:right w:w="15" w:type="dxa"/>
            </w:tcMar>
          </w:tcPr>
          <w:p w14:paraId="2FADDCE9" w14:textId="77777777" w:rsidR="007B6D8F" w:rsidRPr="004465FF" w:rsidRDefault="00000000">
            <w:pPr>
              <w:jc w:val="center"/>
              <w:rPr>
                <w:sz w:val="20"/>
                <w:szCs w:val="20"/>
              </w:rPr>
            </w:pPr>
            <w:r w:rsidRPr="004465FF">
              <w:rPr>
                <w:sz w:val="20"/>
                <w:szCs w:val="20"/>
              </w:rPr>
              <w:t xml:space="preserve"> </w:t>
            </w:r>
          </w:p>
        </w:tc>
        <w:tc>
          <w:tcPr>
            <w:tcW w:w="1322" w:type="dxa"/>
            <w:tcBorders>
              <w:left w:val="nil"/>
              <w:right w:val="nil"/>
            </w:tcBorders>
            <w:tcMar>
              <w:top w:w="15" w:type="dxa"/>
              <w:left w:w="15" w:type="dxa"/>
              <w:bottom w:w="15" w:type="dxa"/>
              <w:right w:w="15" w:type="dxa"/>
            </w:tcMar>
          </w:tcPr>
          <w:p w14:paraId="3C00A9E4" w14:textId="77777777" w:rsidR="007B6D8F" w:rsidRPr="004465FF" w:rsidRDefault="00000000">
            <w:pPr>
              <w:rPr>
                <w:sz w:val="20"/>
                <w:szCs w:val="20"/>
              </w:rPr>
            </w:pPr>
            <w:r w:rsidRPr="004465FF">
              <w:rPr>
                <w:sz w:val="20"/>
                <w:szCs w:val="20"/>
              </w:rPr>
              <w:t>.02</w:t>
            </w:r>
          </w:p>
        </w:tc>
        <w:tc>
          <w:tcPr>
            <w:tcW w:w="1155" w:type="dxa"/>
            <w:tcBorders>
              <w:left w:val="nil"/>
              <w:right w:val="nil"/>
            </w:tcBorders>
            <w:tcMar>
              <w:top w:w="15" w:type="dxa"/>
              <w:left w:w="15" w:type="dxa"/>
              <w:bottom w:w="15" w:type="dxa"/>
              <w:right w:w="15" w:type="dxa"/>
            </w:tcMar>
          </w:tcPr>
          <w:p w14:paraId="0082621B" w14:textId="77777777" w:rsidR="007B6D8F" w:rsidRPr="004465FF" w:rsidRDefault="00000000">
            <w:pPr>
              <w:rPr>
                <w:sz w:val="20"/>
                <w:szCs w:val="20"/>
              </w:rPr>
            </w:pPr>
            <w:r w:rsidRPr="004465FF">
              <w:rPr>
                <w:sz w:val="20"/>
                <w:szCs w:val="20"/>
              </w:rPr>
              <w:t>.14</w:t>
            </w:r>
          </w:p>
        </w:tc>
      </w:tr>
      <w:tr w:rsidR="007B6D8F" w14:paraId="2CBE945D" w14:textId="77777777">
        <w:trPr>
          <w:trHeight w:val="284"/>
        </w:trPr>
        <w:tc>
          <w:tcPr>
            <w:tcW w:w="5210" w:type="dxa"/>
            <w:tcBorders>
              <w:left w:val="nil"/>
              <w:right w:val="nil"/>
            </w:tcBorders>
            <w:tcMar>
              <w:top w:w="100" w:type="dxa"/>
              <w:left w:w="100" w:type="dxa"/>
              <w:bottom w:w="100" w:type="dxa"/>
              <w:right w:w="100" w:type="dxa"/>
            </w:tcMar>
          </w:tcPr>
          <w:p w14:paraId="3009FC2E" w14:textId="77777777" w:rsidR="007B6D8F" w:rsidRPr="004465FF" w:rsidRDefault="00000000">
            <w:pPr>
              <w:rPr>
                <w:sz w:val="20"/>
                <w:szCs w:val="20"/>
              </w:rPr>
            </w:pPr>
            <w:r w:rsidRPr="004465FF">
              <w:rPr>
                <w:i/>
                <w:sz w:val="20"/>
                <w:szCs w:val="20"/>
              </w:rPr>
              <w:t>Efeitos indiretos específicos</w:t>
            </w:r>
          </w:p>
        </w:tc>
        <w:tc>
          <w:tcPr>
            <w:tcW w:w="1125" w:type="dxa"/>
            <w:tcBorders>
              <w:left w:val="nil"/>
              <w:right w:val="nil"/>
            </w:tcBorders>
            <w:tcMar>
              <w:top w:w="15" w:type="dxa"/>
              <w:left w:w="15" w:type="dxa"/>
              <w:bottom w:w="15" w:type="dxa"/>
              <w:right w:w="15" w:type="dxa"/>
            </w:tcMar>
          </w:tcPr>
          <w:p w14:paraId="0A1C4AF7" w14:textId="77777777" w:rsidR="007B6D8F" w:rsidRPr="004465FF" w:rsidRDefault="00000000">
            <w:pPr>
              <w:rPr>
                <w:sz w:val="20"/>
                <w:szCs w:val="20"/>
              </w:rPr>
            </w:pPr>
            <w:r w:rsidRPr="004465FF">
              <w:rPr>
                <w:sz w:val="20"/>
                <w:szCs w:val="20"/>
              </w:rPr>
              <w:t xml:space="preserve"> </w:t>
            </w:r>
          </w:p>
        </w:tc>
        <w:tc>
          <w:tcPr>
            <w:tcW w:w="760" w:type="dxa"/>
            <w:tcBorders>
              <w:left w:val="nil"/>
              <w:right w:val="nil"/>
            </w:tcBorders>
            <w:tcMar>
              <w:top w:w="15" w:type="dxa"/>
              <w:left w:w="15" w:type="dxa"/>
              <w:bottom w:w="15" w:type="dxa"/>
              <w:right w:w="15" w:type="dxa"/>
            </w:tcMar>
          </w:tcPr>
          <w:p w14:paraId="7A74A42E" w14:textId="77777777" w:rsidR="007B6D8F" w:rsidRPr="004465FF" w:rsidRDefault="00000000">
            <w:pPr>
              <w:rPr>
                <w:sz w:val="20"/>
                <w:szCs w:val="20"/>
              </w:rPr>
            </w:pPr>
            <w:r w:rsidRPr="004465FF">
              <w:rPr>
                <w:sz w:val="20"/>
                <w:szCs w:val="20"/>
              </w:rPr>
              <w:t xml:space="preserve"> </w:t>
            </w:r>
          </w:p>
        </w:tc>
        <w:tc>
          <w:tcPr>
            <w:tcW w:w="268" w:type="dxa"/>
            <w:tcBorders>
              <w:left w:val="nil"/>
              <w:right w:val="nil"/>
            </w:tcBorders>
            <w:tcMar>
              <w:top w:w="15" w:type="dxa"/>
              <w:left w:w="15" w:type="dxa"/>
              <w:bottom w:w="15" w:type="dxa"/>
              <w:right w:w="15" w:type="dxa"/>
            </w:tcMar>
          </w:tcPr>
          <w:p w14:paraId="67CB74FA" w14:textId="77777777" w:rsidR="007B6D8F" w:rsidRPr="004465FF" w:rsidRDefault="00000000">
            <w:pPr>
              <w:jc w:val="center"/>
              <w:rPr>
                <w:sz w:val="20"/>
                <w:szCs w:val="20"/>
              </w:rPr>
            </w:pPr>
            <w:r w:rsidRPr="004465FF">
              <w:rPr>
                <w:sz w:val="20"/>
                <w:szCs w:val="20"/>
              </w:rPr>
              <w:t xml:space="preserve"> </w:t>
            </w:r>
          </w:p>
        </w:tc>
        <w:tc>
          <w:tcPr>
            <w:tcW w:w="1322" w:type="dxa"/>
            <w:tcBorders>
              <w:left w:val="nil"/>
              <w:right w:val="nil"/>
            </w:tcBorders>
            <w:tcMar>
              <w:top w:w="15" w:type="dxa"/>
              <w:left w:w="15" w:type="dxa"/>
              <w:bottom w:w="15" w:type="dxa"/>
              <w:right w:w="15" w:type="dxa"/>
            </w:tcMar>
          </w:tcPr>
          <w:p w14:paraId="03539196" w14:textId="77777777" w:rsidR="007B6D8F" w:rsidRPr="004465FF" w:rsidRDefault="00000000">
            <w:pPr>
              <w:rPr>
                <w:sz w:val="20"/>
                <w:szCs w:val="20"/>
              </w:rPr>
            </w:pPr>
            <w:r w:rsidRPr="004465FF">
              <w:rPr>
                <w:sz w:val="20"/>
                <w:szCs w:val="20"/>
              </w:rPr>
              <w:t xml:space="preserve"> </w:t>
            </w:r>
          </w:p>
        </w:tc>
        <w:tc>
          <w:tcPr>
            <w:tcW w:w="1155" w:type="dxa"/>
            <w:tcBorders>
              <w:left w:val="nil"/>
              <w:right w:val="nil"/>
            </w:tcBorders>
            <w:tcMar>
              <w:top w:w="15" w:type="dxa"/>
              <w:left w:w="15" w:type="dxa"/>
              <w:bottom w:w="15" w:type="dxa"/>
              <w:right w:w="15" w:type="dxa"/>
            </w:tcMar>
          </w:tcPr>
          <w:p w14:paraId="3804D726" w14:textId="77777777" w:rsidR="007B6D8F" w:rsidRPr="004465FF" w:rsidRDefault="00000000">
            <w:pPr>
              <w:rPr>
                <w:sz w:val="20"/>
                <w:szCs w:val="20"/>
              </w:rPr>
            </w:pPr>
            <w:r w:rsidRPr="004465FF">
              <w:rPr>
                <w:sz w:val="20"/>
                <w:szCs w:val="20"/>
              </w:rPr>
              <w:t xml:space="preserve"> </w:t>
            </w:r>
          </w:p>
        </w:tc>
      </w:tr>
      <w:tr w:rsidR="007B6D8F" w14:paraId="29726220" w14:textId="77777777">
        <w:trPr>
          <w:trHeight w:val="284"/>
        </w:trPr>
        <w:tc>
          <w:tcPr>
            <w:tcW w:w="5210" w:type="dxa"/>
            <w:tcBorders>
              <w:left w:val="nil"/>
              <w:right w:val="nil"/>
            </w:tcBorders>
            <w:tcMar>
              <w:top w:w="100" w:type="dxa"/>
              <w:left w:w="100" w:type="dxa"/>
              <w:bottom w:w="100" w:type="dxa"/>
              <w:right w:w="100" w:type="dxa"/>
            </w:tcMar>
          </w:tcPr>
          <w:p w14:paraId="264E902C" w14:textId="77777777" w:rsidR="007B6D8F" w:rsidRPr="004465FF" w:rsidRDefault="00000000">
            <w:pPr>
              <w:rPr>
                <w:sz w:val="20"/>
                <w:szCs w:val="20"/>
              </w:rPr>
            </w:pPr>
            <w:r w:rsidRPr="004465FF">
              <w:rPr>
                <w:sz w:val="20"/>
                <w:szCs w:val="20"/>
              </w:rPr>
              <w:t xml:space="preserve">Tempors </w:t>
            </w:r>
            <w:r w:rsidRPr="004465FF">
              <w:rPr>
                <w:rFonts w:ascii="Cambria Math" w:eastAsia="Cambria Math" w:hAnsi="Cambria Math" w:cs="Cambria Math"/>
                <w:sz w:val="20"/>
                <w:szCs w:val="20"/>
              </w:rPr>
              <w:t>⇒</w:t>
            </w:r>
            <w:r w:rsidRPr="004465FF">
              <w:rPr>
                <w:sz w:val="20"/>
                <w:szCs w:val="20"/>
              </w:rPr>
              <w:t xml:space="preserve"> engajamento </w:t>
            </w:r>
            <w:r w:rsidRPr="004465FF">
              <w:rPr>
                <w:rFonts w:ascii="Cambria Math" w:eastAsia="Cambria Math" w:hAnsi="Cambria Math" w:cs="Cambria Math"/>
                <w:sz w:val="20"/>
                <w:szCs w:val="20"/>
              </w:rPr>
              <w:t>⇒</w:t>
            </w:r>
            <w:r w:rsidRPr="004465FF">
              <w:rPr>
                <w:sz w:val="20"/>
                <w:szCs w:val="20"/>
              </w:rPr>
              <w:t xml:space="preserve"> comparação </w:t>
            </w:r>
            <w:r w:rsidRPr="004465FF">
              <w:rPr>
                <w:rFonts w:ascii="Cambria Math" w:eastAsia="Cambria Math" w:hAnsi="Cambria Math" w:cs="Cambria Math"/>
                <w:sz w:val="20"/>
                <w:szCs w:val="20"/>
              </w:rPr>
              <w:t>⇒</w:t>
            </w:r>
            <w:r w:rsidRPr="004465FF">
              <w:rPr>
                <w:sz w:val="20"/>
                <w:szCs w:val="20"/>
              </w:rPr>
              <w:t xml:space="preserve"> ansiedade</w:t>
            </w:r>
          </w:p>
        </w:tc>
        <w:tc>
          <w:tcPr>
            <w:tcW w:w="1125" w:type="dxa"/>
            <w:tcBorders>
              <w:left w:val="nil"/>
              <w:right w:val="nil"/>
            </w:tcBorders>
            <w:tcMar>
              <w:top w:w="15" w:type="dxa"/>
              <w:left w:w="15" w:type="dxa"/>
              <w:bottom w:w="15" w:type="dxa"/>
              <w:right w:w="15" w:type="dxa"/>
            </w:tcMar>
            <w:vAlign w:val="center"/>
          </w:tcPr>
          <w:p w14:paraId="2EFDC067" w14:textId="77777777" w:rsidR="007B6D8F" w:rsidRPr="004465FF" w:rsidRDefault="00000000">
            <w:pPr>
              <w:rPr>
                <w:sz w:val="20"/>
                <w:szCs w:val="20"/>
              </w:rPr>
            </w:pPr>
            <w:r w:rsidRPr="004465FF">
              <w:rPr>
                <w:sz w:val="20"/>
                <w:szCs w:val="20"/>
              </w:rPr>
              <w:t>.01*</w:t>
            </w:r>
          </w:p>
        </w:tc>
        <w:tc>
          <w:tcPr>
            <w:tcW w:w="760" w:type="dxa"/>
            <w:tcBorders>
              <w:left w:val="nil"/>
              <w:right w:val="nil"/>
            </w:tcBorders>
            <w:tcMar>
              <w:top w:w="15" w:type="dxa"/>
              <w:left w:w="15" w:type="dxa"/>
              <w:bottom w:w="15" w:type="dxa"/>
              <w:right w:w="15" w:type="dxa"/>
            </w:tcMar>
            <w:vAlign w:val="center"/>
          </w:tcPr>
          <w:p w14:paraId="57CAEFC8" w14:textId="77777777" w:rsidR="007B6D8F" w:rsidRPr="004465FF" w:rsidRDefault="00000000">
            <w:pPr>
              <w:rPr>
                <w:sz w:val="20"/>
                <w:szCs w:val="20"/>
              </w:rPr>
            </w:pPr>
            <w:r w:rsidRPr="004465FF">
              <w:rPr>
                <w:sz w:val="20"/>
                <w:szCs w:val="20"/>
              </w:rPr>
              <w:t>.00</w:t>
            </w:r>
          </w:p>
        </w:tc>
        <w:tc>
          <w:tcPr>
            <w:tcW w:w="268" w:type="dxa"/>
            <w:tcBorders>
              <w:left w:val="nil"/>
              <w:right w:val="nil"/>
            </w:tcBorders>
            <w:tcMar>
              <w:top w:w="15" w:type="dxa"/>
              <w:left w:w="15" w:type="dxa"/>
              <w:bottom w:w="15" w:type="dxa"/>
              <w:right w:w="15" w:type="dxa"/>
            </w:tcMar>
          </w:tcPr>
          <w:p w14:paraId="1F5DA69F" w14:textId="77777777" w:rsidR="007B6D8F" w:rsidRPr="004465FF" w:rsidRDefault="007B6D8F">
            <w:pPr>
              <w:jc w:val="center"/>
              <w:rPr>
                <w:sz w:val="20"/>
                <w:szCs w:val="20"/>
              </w:rPr>
            </w:pPr>
          </w:p>
        </w:tc>
        <w:tc>
          <w:tcPr>
            <w:tcW w:w="1322" w:type="dxa"/>
            <w:tcBorders>
              <w:left w:val="nil"/>
              <w:right w:val="nil"/>
            </w:tcBorders>
            <w:tcMar>
              <w:top w:w="15" w:type="dxa"/>
              <w:left w:w="15" w:type="dxa"/>
              <w:bottom w:w="15" w:type="dxa"/>
              <w:right w:w="15" w:type="dxa"/>
            </w:tcMar>
            <w:vAlign w:val="center"/>
          </w:tcPr>
          <w:p w14:paraId="66CDE8DE" w14:textId="77777777" w:rsidR="007B6D8F" w:rsidRPr="004465FF" w:rsidRDefault="00000000">
            <w:pPr>
              <w:rPr>
                <w:sz w:val="20"/>
                <w:szCs w:val="20"/>
              </w:rPr>
            </w:pPr>
            <w:r w:rsidRPr="004465FF">
              <w:rPr>
                <w:sz w:val="20"/>
                <w:szCs w:val="20"/>
              </w:rPr>
              <w:t>.00</w:t>
            </w:r>
          </w:p>
        </w:tc>
        <w:tc>
          <w:tcPr>
            <w:tcW w:w="1155" w:type="dxa"/>
            <w:tcBorders>
              <w:left w:val="nil"/>
              <w:right w:val="nil"/>
            </w:tcBorders>
            <w:tcMar>
              <w:top w:w="15" w:type="dxa"/>
              <w:left w:w="15" w:type="dxa"/>
              <w:bottom w:w="15" w:type="dxa"/>
              <w:right w:w="15" w:type="dxa"/>
            </w:tcMar>
            <w:vAlign w:val="center"/>
          </w:tcPr>
          <w:p w14:paraId="046B74F4" w14:textId="77777777" w:rsidR="007B6D8F" w:rsidRPr="004465FF" w:rsidRDefault="00000000">
            <w:pPr>
              <w:rPr>
                <w:sz w:val="20"/>
                <w:szCs w:val="20"/>
              </w:rPr>
            </w:pPr>
            <w:r w:rsidRPr="004465FF">
              <w:rPr>
                <w:sz w:val="20"/>
                <w:szCs w:val="20"/>
              </w:rPr>
              <w:t>.01</w:t>
            </w:r>
          </w:p>
        </w:tc>
      </w:tr>
      <w:tr w:rsidR="007B6D8F" w14:paraId="768DF005" w14:textId="77777777">
        <w:trPr>
          <w:trHeight w:val="284"/>
        </w:trPr>
        <w:tc>
          <w:tcPr>
            <w:tcW w:w="5210" w:type="dxa"/>
            <w:tcBorders>
              <w:left w:val="nil"/>
              <w:bottom w:val="single" w:sz="4" w:space="0" w:color="000000"/>
              <w:right w:val="nil"/>
            </w:tcBorders>
            <w:tcMar>
              <w:top w:w="100" w:type="dxa"/>
              <w:left w:w="100" w:type="dxa"/>
              <w:bottom w:w="100" w:type="dxa"/>
              <w:right w:w="100" w:type="dxa"/>
            </w:tcMar>
          </w:tcPr>
          <w:p w14:paraId="242B22EB" w14:textId="77777777" w:rsidR="007B6D8F" w:rsidRPr="004465FF" w:rsidRDefault="00000000">
            <w:pPr>
              <w:rPr>
                <w:sz w:val="20"/>
                <w:szCs w:val="20"/>
              </w:rPr>
            </w:pPr>
            <w:r w:rsidRPr="004465FF">
              <w:rPr>
                <w:sz w:val="20"/>
                <w:szCs w:val="20"/>
              </w:rPr>
              <w:t xml:space="preserve">Engajamento </w:t>
            </w:r>
            <w:r w:rsidRPr="004465FF">
              <w:rPr>
                <w:rFonts w:ascii="Cambria Math" w:eastAsia="Cambria Math" w:hAnsi="Cambria Math" w:cs="Cambria Math"/>
                <w:sz w:val="20"/>
                <w:szCs w:val="20"/>
              </w:rPr>
              <w:t>⇒</w:t>
            </w:r>
            <w:r w:rsidRPr="004465FF">
              <w:rPr>
                <w:sz w:val="20"/>
                <w:szCs w:val="20"/>
              </w:rPr>
              <w:t xml:space="preserve"> comparação </w:t>
            </w:r>
            <w:r w:rsidRPr="004465FF">
              <w:rPr>
                <w:rFonts w:ascii="Cambria Math" w:eastAsia="Cambria Math" w:hAnsi="Cambria Math" w:cs="Cambria Math"/>
                <w:sz w:val="20"/>
                <w:szCs w:val="20"/>
              </w:rPr>
              <w:t>⇒</w:t>
            </w:r>
            <w:r w:rsidRPr="004465FF">
              <w:rPr>
                <w:sz w:val="20"/>
                <w:szCs w:val="20"/>
              </w:rPr>
              <w:t xml:space="preserve"> ansiedade</w:t>
            </w:r>
          </w:p>
        </w:tc>
        <w:tc>
          <w:tcPr>
            <w:tcW w:w="1125" w:type="dxa"/>
            <w:tcBorders>
              <w:left w:val="nil"/>
              <w:bottom w:val="single" w:sz="4" w:space="0" w:color="000000"/>
              <w:right w:val="nil"/>
            </w:tcBorders>
            <w:tcMar>
              <w:top w:w="15" w:type="dxa"/>
              <w:left w:w="15" w:type="dxa"/>
              <w:bottom w:w="15" w:type="dxa"/>
              <w:right w:w="15" w:type="dxa"/>
            </w:tcMar>
            <w:vAlign w:val="center"/>
          </w:tcPr>
          <w:p w14:paraId="25E75B2D" w14:textId="77777777" w:rsidR="007B6D8F" w:rsidRPr="004465FF" w:rsidRDefault="00000000">
            <w:pPr>
              <w:rPr>
                <w:sz w:val="20"/>
                <w:szCs w:val="20"/>
              </w:rPr>
            </w:pPr>
            <w:r w:rsidRPr="004465FF">
              <w:rPr>
                <w:sz w:val="20"/>
                <w:szCs w:val="20"/>
              </w:rPr>
              <w:t>.02*</w:t>
            </w:r>
          </w:p>
        </w:tc>
        <w:tc>
          <w:tcPr>
            <w:tcW w:w="760" w:type="dxa"/>
            <w:tcBorders>
              <w:left w:val="nil"/>
              <w:bottom w:val="single" w:sz="4" w:space="0" w:color="000000"/>
              <w:right w:val="nil"/>
            </w:tcBorders>
            <w:tcMar>
              <w:top w:w="15" w:type="dxa"/>
              <w:left w:w="15" w:type="dxa"/>
              <w:bottom w:w="15" w:type="dxa"/>
              <w:right w:w="15" w:type="dxa"/>
            </w:tcMar>
            <w:vAlign w:val="center"/>
          </w:tcPr>
          <w:p w14:paraId="37A1A3F7" w14:textId="77777777" w:rsidR="007B6D8F" w:rsidRPr="004465FF" w:rsidRDefault="00000000">
            <w:pPr>
              <w:rPr>
                <w:sz w:val="20"/>
                <w:szCs w:val="20"/>
              </w:rPr>
            </w:pPr>
            <w:r w:rsidRPr="004465FF">
              <w:rPr>
                <w:sz w:val="20"/>
                <w:szCs w:val="20"/>
              </w:rPr>
              <w:t>.01</w:t>
            </w:r>
          </w:p>
        </w:tc>
        <w:tc>
          <w:tcPr>
            <w:tcW w:w="268" w:type="dxa"/>
            <w:tcBorders>
              <w:left w:val="nil"/>
              <w:bottom w:val="single" w:sz="4" w:space="0" w:color="000000"/>
              <w:right w:val="nil"/>
            </w:tcBorders>
            <w:tcMar>
              <w:top w:w="15" w:type="dxa"/>
              <w:left w:w="15" w:type="dxa"/>
              <w:bottom w:w="15" w:type="dxa"/>
              <w:right w:w="15" w:type="dxa"/>
            </w:tcMar>
          </w:tcPr>
          <w:p w14:paraId="4F1C13AB" w14:textId="77777777" w:rsidR="007B6D8F" w:rsidRPr="004465FF" w:rsidRDefault="007B6D8F">
            <w:pPr>
              <w:jc w:val="center"/>
              <w:rPr>
                <w:sz w:val="20"/>
                <w:szCs w:val="20"/>
              </w:rPr>
            </w:pPr>
          </w:p>
        </w:tc>
        <w:tc>
          <w:tcPr>
            <w:tcW w:w="1322" w:type="dxa"/>
            <w:tcBorders>
              <w:left w:val="nil"/>
              <w:bottom w:val="single" w:sz="4" w:space="0" w:color="000000"/>
              <w:right w:val="nil"/>
            </w:tcBorders>
            <w:tcMar>
              <w:top w:w="15" w:type="dxa"/>
              <w:left w:w="15" w:type="dxa"/>
              <w:bottom w:w="15" w:type="dxa"/>
              <w:right w:w="15" w:type="dxa"/>
            </w:tcMar>
            <w:vAlign w:val="center"/>
          </w:tcPr>
          <w:p w14:paraId="032B7844" w14:textId="77777777" w:rsidR="007B6D8F" w:rsidRPr="004465FF" w:rsidRDefault="00000000">
            <w:pPr>
              <w:rPr>
                <w:sz w:val="20"/>
                <w:szCs w:val="20"/>
              </w:rPr>
            </w:pPr>
            <w:r w:rsidRPr="004465FF">
              <w:rPr>
                <w:sz w:val="20"/>
                <w:szCs w:val="20"/>
              </w:rPr>
              <w:t>.00</w:t>
            </w:r>
          </w:p>
        </w:tc>
        <w:tc>
          <w:tcPr>
            <w:tcW w:w="1155" w:type="dxa"/>
            <w:tcBorders>
              <w:left w:val="nil"/>
              <w:bottom w:val="single" w:sz="4" w:space="0" w:color="000000"/>
              <w:right w:val="nil"/>
            </w:tcBorders>
            <w:tcMar>
              <w:top w:w="15" w:type="dxa"/>
              <w:left w:w="15" w:type="dxa"/>
              <w:bottom w:w="15" w:type="dxa"/>
              <w:right w:w="15" w:type="dxa"/>
            </w:tcMar>
            <w:vAlign w:val="center"/>
          </w:tcPr>
          <w:p w14:paraId="35B186D2" w14:textId="77777777" w:rsidR="007B6D8F" w:rsidRPr="004465FF" w:rsidRDefault="00000000">
            <w:pPr>
              <w:rPr>
                <w:sz w:val="20"/>
                <w:szCs w:val="20"/>
              </w:rPr>
            </w:pPr>
            <w:r w:rsidRPr="004465FF">
              <w:rPr>
                <w:sz w:val="20"/>
                <w:szCs w:val="20"/>
              </w:rPr>
              <w:t>.04</w:t>
            </w:r>
          </w:p>
        </w:tc>
      </w:tr>
      <w:tr w:rsidR="007B6D8F" w14:paraId="5FA519E0" w14:textId="77777777">
        <w:trPr>
          <w:trHeight w:val="284"/>
        </w:trPr>
        <w:tc>
          <w:tcPr>
            <w:tcW w:w="5210" w:type="dxa"/>
            <w:tcBorders>
              <w:top w:val="single" w:sz="4" w:space="0" w:color="000000"/>
              <w:left w:val="nil"/>
              <w:bottom w:val="single" w:sz="4" w:space="0" w:color="000000"/>
              <w:right w:val="nil"/>
            </w:tcBorders>
            <w:tcMar>
              <w:top w:w="100" w:type="dxa"/>
              <w:left w:w="100" w:type="dxa"/>
              <w:bottom w:w="100" w:type="dxa"/>
              <w:right w:w="100" w:type="dxa"/>
            </w:tcMar>
          </w:tcPr>
          <w:p w14:paraId="3E3DD678" w14:textId="77777777" w:rsidR="007B6D8F" w:rsidRPr="004465FF" w:rsidRDefault="00000000">
            <w:pPr>
              <w:rPr>
                <w:sz w:val="20"/>
                <w:szCs w:val="20"/>
              </w:rPr>
            </w:pPr>
            <w:r w:rsidRPr="004465FF">
              <w:rPr>
                <w:sz w:val="20"/>
                <w:szCs w:val="20"/>
              </w:rPr>
              <w:t>Depressão</w:t>
            </w:r>
          </w:p>
        </w:tc>
        <w:tc>
          <w:tcPr>
            <w:tcW w:w="1125"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65598DBC" w14:textId="77777777" w:rsidR="007B6D8F" w:rsidRPr="004465FF" w:rsidRDefault="007B6D8F">
            <w:pPr>
              <w:rPr>
                <w:sz w:val="20"/>
                <w:szCs w:val="20"/>
              </w:rPr>
            </w:pPr>
          </w:p>
        </w:tc>
        <w:tc>
          <w:tcPr>
            <w:tcW w:w="760"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379F64D3" w14:textId="77777777" w:rsidR="007B6D8F" w:rsidRPr="004465FF" w:rsidRDefault="007B6D8F">
            <w:pPr>
              <w:rPr>
                <w:sz w:val="20"/>
                <w:szCs w:val="20"/>
              </w:rPr>
            </w:pPr>
          </w:p>
        </w:tc>
        <w:tc>
          <w:tcPr>
            <w:tcW w:w="268" w:type="dxa"/>
            <w:tcBorders>
              <w:top w:val="single" w:sz="4" w:space="0" w:color="000000"/>
              <w:left w:val="nil"/>
              <w:bottom w:val="single" w:sz="4" w:space="0" w:color="000000"/>
              <w:right w:val="nil"/>
            </w:tcBorders>
            <w:tcMar>
              <w:top w:w="15" w:type="dxa"/>
              <w:left w:w="15" w:type="dxa"/>
              <w:bottom w:w="15" w:type="dxa"/>
              <w:right w:w="15" w:type="dxa"/>
            </w:tcMar>
          </w:tcPr>
          <w:p w14:paraId="78EBD255" w14:textId="77777777" w:rsidR="007B6D8F" w:rsidRPr="004465FF" w:rsidRDefault="007B6D8F">
            <w:pPr>
              <w:jc w:val="center"/>
              <w:rPr>
                <w:sz w:val="20"/>
                <w:szCs w:val="20"/>
              </w:rPr>
            </w:pPr>
          </w:p>
        </w:tc>
        <w:tc>
          <w:tcPr>
            <w:tcW w:w="1322"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09F1055D" w14:textId="77777777" w:rsidR="007B6D8F" w:rsidRPr="004465FF" w:rsidRDefault="007B6D8F">
            <w:pPr>
              <w:rPr>
                <w:sz w:val="20"/>
                <w:szCs w:val="20"/>
              </w:rPr>
            </w:pPr>
          </w:p>
        </w:tc>
        <w:tc>
          <w:tcPr>
            <w:tcW w:w="1155" w:type="dxa"/>
            <w:tcBorders>
              <w:top w:val="single" w:sz="4" w:space="0" w:color="000000"/>
              <w:left w:val="nil"/>
              <w:bottom w:val="single" w:sz="4" w:space="0" w:color="000000"/>
              <w:right w:val="nil"/>
            </w:tcBorders>
            <w:tcMar>
              <w:top w:w="15" w:type="dxa"/>
              <w:left w:w="15" w:type="dxa"/>
              <w:bottom w:w="15" w:type="dxa"/>
              <w:right w:w="15" w:type="dxa"/>
            </w:tcMar>
            <w:vAlign w:val="center"/>
          </w:tcPr>
          <w:p w14:paraId="7E676546" w14:textId="77777777" w:rsidR="007B6D8F" w:rsidRPr="004465FF" w:rsidRDefault="007B6D8F">
            <w:pPr>
              <w:rPr>
                <w:sz w:val="20"/>
                <w:szCs w:val="20"/>
              </w:rPr>
            </w:pPr>
          </w:p>
        </w:tc>
      </w:tr>
      <w:tr w:rsidR="007B6D8F" w14:paraId="2D14634E" w14:textId="77777777">
        <w:trPr>
          <w:trHeight w:val="284"/>
        </w:trPr>
        <w:tc>
          <w:tcPr>
            <w:tcW w:w="5210" w:type="dxa"/>
            <w:tcBorders>
              <w:top w:val="single" w:sz="4" w:space="0" w:color="000000"/>
              <w:left w:val="nil"/>
              <w:right w:val="nil"/>
            </w:tcBorders>
            <w:tcMar>
              <w:top w:w="100" w:type="dxa"/>
              <w:left w:w="100" w:type="dxa"/>
              <w:bottom w:w="100" w:type="dxa"/>
              <w:right w:w="100" w:type="dxa"/>
            </w:tcMar>
          </w:tcPr>
          <w:p w14:paraId="5BDE927F" w14:textId="77777777" w:rsidR="007B6D8F" w:rsidRPr="004465FF" w:rsidRDefault="00000000">
            <w:pPr>
              <w:rPr>
                <w:sz w:val="20"/>
                <w:szCs w:val="20"/>
              </w:rPr>
            </w:pPr>
            <w:r w:rsidRPr="004465FF">
              <w:rPr>
                <w:sz w:val="20"/>
                <w:szCs w:val="20"/>
              </w:rPr>
              <w:t xml:space="preserve">Efeito total </w:t>
            </w:r>
          </w:p>
        </w:tc>
        <w:tc>
          <w:tcPr>
            <w:tcW w:w="1125" w:type="dxa"/>
            <w:tcBorders>
              <w:top w:val="single" w:sz="4" w:space="0" w:color="000000"/>
              <w:left w:val="nil"/>
              <w:right w:val="nil"/>
            </w:tcBorders>
            <w:tcMar>
              <w:top w:w="15" w:type="dxa"/>
              <w:left w:w="15" w:type="dxa"/>
              <w:bottom w:w="15" w:type="dxa"/>
              <w:right w:w="15" w:type="dxa"/>
            </w:tcMar>
            <w:vAlign w:val="center"/>
          </w:tcPr>
          <w:p w14:paraId="04A6F01A" w14:textId="77777777" w:rsidR="007B6D8F" w:rsidRPr="004465FF" w:rsidRDefault="00000000">
            <w:pPr>
              <w:rPr>
                <w:sz w:val="20"/>
                <w:szCs w:val="20"/>
              </w:rPr>
            </w:pPr>
            <w:r w:rsidRPr="004465FF">
              <w:rPr>
                <w:sz w:val="20"/>
                <w:szCs w:val="20"/>
              </w:rPr>
              <w:t>.04</w:t>
            </w:r>
          </w:p>
        </w:tc>
        <w:tc>
          <w:tcPr>
            <w:tcW w:w="760" w:type="dxa"/>
            <w:tcBorders>
              <w:top w:val="single" w:sz="4" w:space="0" w:color="000000"/>
              <w:left w:val="nil"/>
              <w:right w:val="nil"/>
            </w:tcBorders>
            <w:tcMar>
              <w:top w:w="15" w:type="dxa"/>
              <w:left w:w="15" w:type="dxa"/>
              <w:bottom w:w="15" w:type="dxa"/>
              <w:right w:w="15" w:type="dxa"/>
            </w:tcMar>
            <w:vAlign w:val="center"/>
          </w:tcPr>
          <w:p w14:paraId="1355C062" w14:textId="77777777" w:rsidR="007B6D8F" w:rsidRPr="004465FF" w:rsidRDefault="00000000">
            <w:pPr>
              <w:rPr>
                <w:sz w:val="20"/>
                <w:szCs w:val="20"/>
              </w:rPr>
            </w:pPr>
            <w:r w:rsidRPr="004465FF">
              <w:rPr>
                <w:sz w:val="20"/>
                <w:szCs w:val="20"/>
              </w:rPr>
              <w:t>.02</w:t>
            </w:r>
          </w:p>
        </w:tc>
        <w:tc>
          <w:tcPr>
            <w:tcW w:w="268" w:type="dxa"/>
            <w:tcBorders>
              <w:top w:val="single" w:sz="4" w:space="0" w:color="000000"/>
              <w:left w:val="nil"/>
              <w:right w:val="nil"/>
            </w:tcBorders>
            <w:tcMar>
              <w:top w:w="15" w:type="dxa"/>
              <w:left w:w="15" w:type="dxa"/>
              <w:bottom w:w="15" w:type="dxa"/>
              <w:right w:w="15" w:type="dxa"/>
            </w:tcMar>
          </w:tcPr>
          <w:p w14:paraId="5BC22626" w14:textId="77777777" w:rsidR="007B6D8F" w:rsidRPr="004465FF" w:rsidRDefault="00000000">
            <w:pPr>
              <w:jc w:val="center"/>
              <w:rPr>
                <w:sz w:val="20"/>
                <w:szCs w:val="20"/>
              </w:rPr>
            </w:pPr>
            <w:r w:rsidRPr="004465FF">
              <w:rPr>
                <w:sz w:val="20"/>
                <w:szCs w:val="20"/>
              </w:rPr>
              <w:t xml:space="preserve"> </w:t>
            </w:r>
          </w:p>
        </w:tc>
        <w:tc>
          <w:tcPr>
            <w:tcW w:w="1322" w:type="dxa"/>
            <w:tcBorders>
              <w:top w:val="single" w:sz="4" w:space="0" w:color="000000"/>
              <w:left w:val="nil"/>
              <w:right w:val="nil"/>
            </w:tcBorders>
            <w:tcMar>
              <w:top w:w="15" w:type="dxa"/>
              <w:left w:w="15" w:type="dxa"/>
              <w:bottom w:w="15" w:type="dxa"/>
              <w:right w:w="15" w:type="dxa"/>
            </w:tcMar>
          </w:tcPr>
          <w:p w14:paraId="423E62A3" w14:textId="77777777" w:rsidR="007B6D8F" w:rsidRPr="004465FF" w:rsidRDefault="00000000">
            <w:pPr>
              <w:rPr>
                <w:sz w:val="20"/>
                <w:szCs w:val="20"/>
              </w:rPr>
            </w:pPr>
            <w:r w:rsidRPr="004465FF">
              <w:rPr>
                <w:sz w:val="20"/>
                <w:szCs w:val="20"/>
              </w:rPr>
              <w:t>-.01</w:t>
            </w:r>
          </w:p>
        </w:tc>
        <w:tc>
          <w:tcPr>
            <w:tcW w:w="1155" w:type="dxa"/>
            <w:tcBorders>
              <w:top w:val="single" w:sz="4" w:space="0" w:color="000000"/>
              <w:left w:val="nil"/>
              <w:right w:val="nil"/>
            </w:tcBorders>
            <w:tcMar>
              <w:top w:w="15" w:type="dxa"/>
              <w:left w:w="15" w:type="dxa"/>
              <w:bottom w:w="15" w:type="dxa"/>
              <w:right w:w="15" w:type="dxa"/>
            </w:tcMar>
          </w:tcPr>
          <w:p w14:paraId="6E5AD117" w14:textId="77777777" w:rsidR="007B6D8F" w:rsidRPr="004465FF" w:rsidRDefault="00000000">
            <w:pPr>
              <w:rPr>
                <w:sz w:val="20"/>
                <w:szCs w:val="20"/>
              </w:rPr>
            </w:pPr>
            <w:r w:rsidRPr="004465FF">
              <w:rPr>
                <w:sz w:val="20"/>
                <w:szCs w:val="20"/>
              </w:rPr>
              <w:t>.09</w:t>
            </w:r>
          </w:p>
        </w:tc>
      </w:tr>
      <w:tr w:rsidR="007B6D8F" w14:paraId="1D41D9C6" w14:textId="77777777">
        <w:trPr>
          <w:trHeight w:val="284"/>
        </w:trPr>
        <w:tc>
          <w:tcPr>
            <w:tcW w:w="5210" w:type="dxa"/>
            <w:tcBorders>
              <w:left w:val="nil"/>
              <w:right w:val="nil"/>
            </w:tcBorders>
            <w:tcMar>
              <w:top w:w="100" w:type="dxa"/>
              <w:left w:w="100" w:type="dxa"/>
              <w:bottom w:w="100" w:type="dxa"/>
              <w:right w:w="100" w:type="dxa"/>
            </w:tcMar>
          </w:tcPr>
          <w:p w14:paraId="02327C3C" w14:textId="77777777" w:rsidR="007B6D8F" w:rsidRPr="004465FF" w:rsidRDefault="00000000">
            <w:pPr>
              <w:rPr>
                <w:sz w:val="20"/>
                <w:szCs w:val="20"/>
              </w:rPr>
            </w:pPr>
            <w:r w:rsidRPr="004465FF">
              <w:rPr>
                <w:sz w:val="20"/>
                <w:szCs w:val="20"/>
              </w:rPr>
              <w:t xml:space="preserve">Efeito direto </w:t>
            </w:r>
          </w:p>
        </w:tc>
        <w:tc>
          <w:tcPr>
            <w:tcW w:w="1125" w:type="dxa"/>
            <w:tcBorders>
              <w:left w:val="nil"/>
              <w:right w:val="nil"/>
            </w:tcBorders>
            <w:tcMar>
              <w:top w:w="15" w:type="dxa"/>
              <w:left w:w="15" w:type="dxa"/>
              <w:bottom w:w="15" w:type="dxa"/>
              <w:right w:w="15" w:type="dxa"/>
            </w:tcMar>
            <w:vAlign w:val="center"/>
          </w:tcPr>
          <w:p w14:paraId="65D4B58E" w14:textId="77777777" w:rsidR="007B6D8F" w:rsidRPr="004465FF" w:rsidRDefault="00000000">
            <w:pPr>
              <w:rPr>
                <w:sz w:val="20"/>
                <w:szCs w:val="20"/>
              </w:rPr>
            </w:pPr>
            <w:r w:rsidRPr="004465FF">
              <w:rPr>
                <w:sz w:val="20"/>
                <w:szCs w:val="20"/>
              </w:rPr>
              <w:t>.05</w:t>
            </w:r>
          </w:p>
        </w:tc>
        <w:tc>
          <w:tcPr>
            <w:tcW w:w="760" w:type="dxa"/>
            <w:tcBorders>
              <w:left w:val="nil"/>
              <w:right w:val="nil"/>
            </w:tcBorders>
            <w:tcMar>
              <w:top w:w="15" w:type="dxa"/>
              <w:left w:w="15" w:type="dxa"/>
              <w:bottom w:w="15" w:type="dxa"/>
              <w:right w:w="15" w:type="dxa"/>
            </w:tcMar>
            <w:vAlign w:val="center"/>
          </w:tcPr>
          <w:p w14:paraId="2C45E56D" w14:textId="77777777" w:rsidR="007B6D8F" w:rsidRPr="004465FF" w:rsidRDefault="00000000">
            <w:pPr>
              <w:rPr>
                <w:sz w:val="20"/>
                <w:szCs w:val="20"/>
              </w:rPr>
            </w:pPr>
            <w:r w:rsidRPr="004465FF">
              <w:rPr>
                <w:sz w:val="20"/>
                <w:szCs w:val="20"/>
              </w:rPr>
              <w:t>.03</w:t>
            </w:r>
          </w:p>
        </w:tc>
        <w:tc>
          <w:tcPr>
            <w:tcW w:w="268" w:type="dxa"/>
            <w:tcBorders>
              <w:left w:val="nil"/>
              <w:right w:val="nil"/>
            </w:tcBorders>
            <w:tcMar>
              <w:top w:w="15" w:type="dxa"/>
              <w:left w:w="15" w:type="dxa"/>
              <w:bottom w:w="15" w:type="dxa"/>
              <w:right w:w="15" w:type="dxa"/>
            </w:tcMar>
          </w:tcPr>
          <w:p w14:paraId="107F531A" w14:textId="77777777" w:rsidR="007B6D8F" w:rsidRPr="004465FF" w:rsidRDefault="00000000">
            <w:pPr>
              <w:jc w:val="center"/>
              <w:rPr>
                <w:sz w:val="20"/>
                <w:szCs w:val="20"/>
              </w:rPr>
            </w:pPr>
            <w:r w:rsidRPr="004465FF">
              <w:rPr>
                <w:sz w:val="20"/>
                <w:szCs w:val="20"/>
              </w:rPr>
              <w:t xml:space="preserve"> </w:t>
            </w:r>
          </w:p>
        </w:tc>
        <w:tc>
          <w:tcPr>
            <w:tcW w:w="1322" w:type="dxa"/>
            <w:tcBorders>
              <w:left w:val="nil"/>
              <w:right w:val="nil"/>
            </w:tcBorders>
            <w:tcMar>
              <w:top w:w="15" w:type="dxa"/>
              <w:left w:w="15" w:type="dxa"/>
              <w:bottom w:w="15" w:type="dxa"/>
              <w:right w:w="15" w:type="dxa"/>
            </w:tcMar>
          </w:tcPr>
          <w:p w14:paraId="7FA3D160" w14:textId="77777777" w:rsidR="007B6D8F" w:rsidRPr="004465FF" w:rsidRDefault="00000000">
            <w:pPr>
              <w:rPr>
                <w:sz w:val="20"/>
                <w:szCs w:val="20"/>
              </w:rPr>
            </w:pPr>
            <w:r w:rsidRPr="004465FF">
              <w:rPr>
                <w:sz w:val="20"/>
                <w:szCs w:val="20"/>
              </w:rPr>
              <w:t>-.01</w:t>
            </w:r>
          </w:p>
        </w:tc>
        <w:tc>
          <w:tcPr>
            <w:tcW w:w="1155" w:type="dxa"/>
            <w:tcBorders>
              <w:left w:val="nil"/>
              <w:right w:val="nil"/>
            </w:tcBorders>
            <w:tcMar>
              <w:top w:w="15" w:type="dxa"/>
              <w:left w:w="15" w:type="dxa"/>
              <w:bottom w:w="15" w:type="dxa"/>
              <w:right w:w="15" w:type="dxa"/>
            </w:tcMar>
          </w:tcPr>
          <w:p w14:paraId="4AA45446" w14:textId="77777777" w:rsidR="007B6D8F" w:rsidRPr="004465FF" w:rsidRDefault="00000000">
            <w:pPr>
              <w:rPr>
                <w:sz w:val="20"/>
                <w:szCs w:val="20"/>
              </w:rPr>
            </w:pPr>
            <w:r w:rsidRPr="004465FF">
              <w:rPr>
                <w:sz w:val="20"/>
                <w:szCs w:val="20"/>
              </w:rPr>
              <w:t>.11</w:t>
            </w:r>
          </w:p>
        </w:tc>
      </w:tr>
      <w:tr w:rsidR="007B6D8F" w14:paraId="59CC2C51" w14:textId="77777777">
        <w:trPr>
          <w:trHeight w:val="284"/>
        </w:trPr>
        <w:tc>
          <w:tcPr>
            <w:tcW w:w="5210" w:type="dxa"/>
            <w:tcBorders>
              <w:left w:val="nil"/>
              <w:right w:val="nil"/>
            </w:tcBorders>
            <w:tcMar>
              <w:top w:w="100" w:type="dxa"/>
              <w:left w:w="100" w:type="dxa"/>
              <w:bottom w:w="100" w:type="dxa"/>
              <w:right w:w="100" w:type="dxa"/>
            </w:tcMar>
          </w:tcPr>
          <w:p w14:paraId="024C3A54" w14:textId="77777777" w:rsidR="007B6D8F" w:rsidRPr="004465FF" w:rsidRDefault="00000000">
            <w:pPr>
              <w:rPr>
                <w:sz w:val="20"/>
                <w:szCs w:val="20"/>
              </w:rPr>
            </w:pPr>
            <w:r w:rsidRPr="004465FF">
              <w:rPr>
                <w:i/>
                <w:sz w:val="20"/>
                <w:szCs w:val="20"/>
              </w:rPr>
              <w:t>Efeitos indiretos específicos</w:t>
            </w:r>
          </w:p>
        </w:tc>
        <w:tc>
          <w:tcPr>
            <w:tcW w:w="1125" w:type="dxa"/>
            <w:tcBorders>
              <w:left w:val="nil"/>
              <w:right w:val="nil"/>
            </w:tcBorders>
            <w:tcMar>
              <w:top w:w="15" w:type="dxa"/>
              <w:left w:w="15" w:type="dxa"/>
              <w:bottom w:w="15" w:type="dxa"/>
              <w:right w:w="15" w:type="dxa"/>
            </w:tcMar>
          </w:tcPr>
          <w:p w14:paraId="4166613D" w14:textId="77777777" w:rsidR="007B6D8F" w:rsidRPr="004465FF" w:rsidRDefault="00000000">
            <w:pPr>
              <w:rPr>
                <w:sz w:val="20"/>
                <w:szCs w:val="20"/>
              </w:rPr>
            </w:pPr>
            <w:r w:rsidRPr="004465FF">
              <w:rPr>
                <w:sz w:val="20"/>
                <w:szCs w:val="20"/>
              </w:rPr>
              <w:t xml:space="preserve"> </w:t>
            </w:r>
          </w:p>
        </w:tc>
        <w:tc>
          <w:tcPr>
            <w:tcW w:w="760" w:type="dxa"/>
            <w:tcBorders>
              <w:left w:val="nil"/>
              <w:right w:val="nil"/>
            </w:tcBorders>
            <w:tcMar>
              <w:top w:w="15" w:type="dxa"/>
              <w:left w:w="15" w:type="dxa"/>
              <w:bottom w:w="15" w:type="dxa"/>
              <w:right w:w="15" w:type="dxa"/>
            </w:tcMar>
          </w:tcPr>
          <w:p w14:paraId="0FAD27E6" w14:textId="77777777" w:rsidR="007B6D8F" w:rsidRPr="004465FF" w:rsidRDefault="00000000">
            <w:pPr>
              <w:rPr>
                <w:sz w:val="20"/>
                <w:szCs w:val="20"/>
              </w:rPr>
            </w:pPr>
            <w:r w:rsidRPr="004465FF">
              <w:rPr>
                <w:sz w:val="20"/>
                <w:szCs w:val="20"/>
              </w:rPr>
              <w:t xml:space="preserve"> </w:t>
            </w:r>
          </w:p>
        </w:tc>
        <w:tc>
          <w:tcPr>
            <w:tcW w:w="268" w:type="dxa"/>
            <w:tcBorders>
              <w:left w:val="nil"/>
              <w:right w:val="nil"/>
            </w:tcBorders>
            <w:tcMar>
              <w:top w:w="15" w:type="dxa"/>
              <w:left w:w="15" w:type="dxa"/>
              <w:bottom w:w="15" w:type="dxa"/>
              <w:right w:w="15" w:type="dxa"/>
            </w:tcMar>
          </w:tcPr>
          <w:p w14:paraId="00E058A8" w14:textId="77777777" w:rsidR="007B6D8F" w:rsidRPr="004465FF" w:rsidRDefault="00000000">
            <w:pPr>
              <w:jc w:val="center"/>
              <w:rPr>
                <w:sz w:val="20"/>
                <w:szCs w:val="20"/>
              </w:rPr>
            </w:pPr>
            <w:r w:rsidRPr="004465FF">
              <w:rPr>
                <w:sz w:val="20"/>
                <w:szCs w:val="20"/>
              </w:rPr>
              <w:t xml:space="preserve"> </w:t>
            </w:r>
          </w:p>
        </w:tc>
        <w:tc>
          <w:tcPr>
            <w:tcW w:w="1322" w:type="dxa"/>
            <w:tcBorders>
              <w:left w:val="nil"/>
              <w:right w:val="nil"/>
            </w:tcBorders>
            <w:tcMar>
              <w:top w:w="15" w:type="dxa"/>
              <w:left w:w="15" w:type="dxa"/>
              <w:bottom w:w="15" w:type="dxa"/>
              <w:right w:w="15" w:type="dxa"/>
            </w:tcMar>
          </w:tcPr>
          <w:p w14:paraId="39B5DE0D" w14:textId="77777777" w:rsidR="007B6D8F" w:rsidRPr="004465FF" w:rsidRDefault="00000000">
            <w:pPr>
              <w:rPr>
                <w:sz w:val="20"/>
                <w:szCs w:val="20"/>
              </w:rPr>
            </w:pPr>
            <w:r w:rsidRPr="004465FF">
              <w:rPr>
                <w:sz w:val="20"/>
                <w:szCs w:val="20"/>
              </w:rPr>
              <w:t xml:space="preserve"> </w:t>
            </w:r>
          </w:p>
        </w:tc>
        <w:tc>
          <w:tcPr>
            <w:tcW w:w="1155" w:type="dxa"/>
            <w:tcBorders>
              <w:left w:val="nil"/>
              <w:right w:val="nil"/>
            </w:tcBorders>
            <w:tcMar>
              <w:top w:w="15" w:type="dxa"/>
              <w:left w:w="15" w:type="dxa"/>
              <w:bottom w:w="15" w:type="dxa"/>
              <w:right w:w="15" w:type="dxa"/>
            </w:tcMar>
          </w:tcPr>
          <w:p w14:paraId="11147B55" w14:textId="77777777" w:rsidR="007B6D8F" w:rsidRPr="004465FF" w:rsidRDefault="00000000">
            <w:pPr>
              <w:rPr>
                <w:sz w:val="20"/>
                <w:szCs w:val="20"/>
              </w:rPr>
            </w:pPr>
            <w:r w:rsidRPr="004465FF">
              <w:rPr>
                <w:sz w:val="20"/>
                <w:szCs w:val="20"/>
              </w:rPr>
              <w:t xml:space="preserve"> </w:t>
            </w:r>
          </w:p>
        </w:tc>
      </w:tr>
      <w:tr w:rsidR="007B6D8F" w14:paraId="2F73B092" w14:textId="77777777">
        <w:trPr>
          <w:trHeight w:val="284"/>
        </w:trPr>
        <w:tc>
          <w:tcPr>
            <w:tcW w:w="5210" w:type="dxa"/>
            <w:tcBorders>
              <w:left w:val="nil"/>
              <w:right w:val="nil"/>
            </w:tcBorders>
            <w:tcMar>
              <w:top w:w="100" w:type="dxa"/>
              <w:left w:w="100" w:type="dxa"/>
              <w:bottom w:w="100" w:type="dxa"/>
              <w:right w:w="100" w:type="dxa"/>
            </w:tcMar>
          </w:tcPr>
          <w:p w14:paraId="08CD015C" w14:textId="77777777" w:rsidR="007B6D8F" w:rsidRPr="004465FF" w:rsidRDefault="00000000">
            <w:pPr>
              <w:rPr>
                <w:sz w:val="20"/>
                <w:szCs w:val="20"/>
              </w:rPr>
            </w:pPr>
            <w:r w:rsidRPr="004465FF">
              <w:rPr>
                <w:sz w:val="20"/>
                <w:szCs w:val="20"/>
              </w:rPr>
              <w:t xml:space="preserve">Tempors </w:t>
            </w:r>
            <w:r w:rsidRPr="004465FF">
              <w:rPr>
                <w:rFonts w:ascii="Cambria Math" w:eastAsia="Cambria Math" w:hAnsi="Cambria Math" w:cs="Cambria Math"/>
                <w:sz w:val="20"/>
                <w:szCs w:val="20"/>
              </w:rPr>
              <w:t>⇒</w:t>
            </w:r>
            <w:r w:rsidRPr="004465FF">
              <w:rPr>
                <w:sz w:val="20"/>
                <w:szCs w:val="20"/>
              </w:rPr>
              <w:t xml:space="preserve"> engajamento </w:t>
            </w:r>
            <w:r w:rsidRPr="004465FF">
              <w:rPr>
                <w:rFonts w:ascii="Cambria Math" w:eastAsia="Cambria Math" w:hAnsi="Cambria Math" w:cs="Cambria Math"/>
                <w:sz w:val="20"/>
                <w:szCs w:val="20"/>
              </w:rPr>
              <w:t>⇒</w:t>
            </w:r>
            <w:r w:rsidRPr="004465FF">
              <w:rPr>
                <w:sz w:val="20"/>
                <w:szCs w:val="20"/>
              </w:rPr>
              <w:t xml:space="preserve"> comparação </w:t>
            </w:r>
            <w:r w:rsidRPr="004465FF">
              <w:rPr>
                <w:rFonts w:ascii="Cambria Math" w:eastAsia="Cambria Math" w:hAnsi="Cambria Math" w:cs="Cambria Math"/>
                <w:sz w:val="20"/>
                <w:szCs w:val="20"/>
              </w:rPr>
              <w:t>⇒</w:t>
            </w:r>
            <w:r w:rsidRPr="004465FF">
              <w:rPr>
                <w:sz w:val="20"/>
                <w:szCs w:val="20"/>
              </w:rPr>
              <w:t xml:space="preserve"> depressão</w:t>
            </w:r>
          </w:p>
        </w:tc>
        <w:tc>
          <w:tcPr>
            <w:tcW w:w="1125" w:type="dxa"/>
            <w:tcBorders>
              <w:left w:val="nil"/>
              <w:right w:val="nil"/>
            </w:tcBorders>
            <w:tcMar>
              <w:top w:w="15" w:type="dxa"/>
              <w:left w:w="15" w:type="dxa"/>
              <w:bottom w:w="15" w:type="dxa"/>
              <w:right w:w="15" w:type="dxa"/>
            </w:tcMar>
            <w:vAlign w:val="center"/>
          </w:tcPr>
          <w:p w14:paraId="3BB9E969" w14:textId="77777777" w:rsidR="007B6D8F" w:rsidRPr="004465FF" w:rsidRDefault="00000000">
            <w:pPr>
              <w:rPr>
                <w:sz w:val="20"/>
                <w:szCs w:val="20"/>
              </w:rPr>
            </w:pPr>
            <w:r w:rsidRPr="004465FF">
              <w:rPr>
                <w:sz w:val="20"/>
                <w:szCs w:val="20"/>
              </w:rPr>
              <w:t>.01*</w:t>
            </w:r>
          </w:p>
        </w:tc>
        <w:tc>
          <w:tcPr>
            <w:tcW w:w="760" w:type="dxa"/>
            <w:tcBorders>
              <w:left w:val="nil"/>
              <w:right w:val="nil"/>
            </w:tcBorders>
            <w:tcMar>
              <w:top w:w="15" w:type="dxa"/>
              <w:left w:w="15" w:type="dxa"/>
              <w:bottom w:w="15" w:type="dxa"/>
              <w:right w:w="15" w:type="dxa"/>
            </w:tcMar>
            <w:vAlign w:val="center"/>
          </w:tcPr>
          <w:p w14:paraId="663C2374" w14:textId="77777777" w:rsidR="007B6D8F" w:rsidRPr="004465FF" w:rsidRDefault="00000000">
            <w:pPr>
              <w:rPr>
                <w:sz w:val="20"/>
                <w:szCs w:val="20"/>
              </w:rPr>
            </w:pPr>
            <w:r w:rsidRPr="004465FF">
              <w:rPr>
                <w:sz w:val="20"/>
                <w:szCs w:val="20"/>
              </w:rPr>
              <w:t>.00</w:t>
            </w:r>
          </w:p>
        </w:tc>
        <w:tc>
          <w:tcPr>
            <w:tcW w:w="268" w:type="dxa"/>
            <w:tcBorders>
              <w:left w:val="nil"/>
              <w:right w:val="nil"/>
            </w:tcBorders>
            <w:tcMar>
              <w:top w:w="15" w:type="dxa"/>
              <w:left w:w="15" w:type="dxa"/>
              <w:bottom w:w="15" w:type="dxa"/>
              <w:right w:w="15" w:type="dxa"/>
            </w:tcMar>
          </w:tcPr>
          <w:p w14:paraId="2C290FD4" w14:textId="77777777" w:rsidR="007B6D8F" w:rsidRPr="004465FF" w:rsidRDefault="007B6D8F">
            <w:pPr>
              <w:jc w:val="center"/>
              <w:rPr>
                <w:sz w:val="20"/>
                <w:szCs w:val="20"/>
              </w:rPr>
            </w:pPr>
          </w:p>
        </w:tc>
        <w:tc>
          <w:tcPr>
            <w:tcW w:w="1322" w:type="dxa"/>
            <w:tcBorders>
              <w:left w:val="nil"/>
              <w:right w:val="nil"/>
            </w:tcBorders>
            <w:tcMar>
              <w:top w:w="15" w:type="dxa"/>
              <w:left w:w="15" w:type="dxa"/>
              <w:bottom w:w="15" w:type="dxa"/>
              <w:right w:w="15" w:type="dxa"/>
            </w:tcMar>
            <w:vAlign w:val="center"/>
          </w:tcPr>
          <w:p w14:paraId="3E510711" w14:textId="77777777" w:rsidR="007B6D8F" w:rsidRPr="004465FF" w:rsidRDefault="00000000">
            <w:pPr>
              <w:rPr>
                <w:sz w:val="20"/>
                <w:szCs w:val="20"/>
              </w:rPr>
            </w:pPr>
            <w:r w:rsidRPr="004465FF">
              <w:rPr>
                <w:sz w:val="20"/>
                <w:szCs w:val="20"/>
              </w:rPr>
              <w:t>.00</w:t>
            </w:r>
          </w:p>
        </w:tc>
        <w:tc>
          <w:tcPr>
            <w:tcW w:w="1155" w:type="dxa"/>
            <w:tcBorders>
              <w:left w:val="nil"/>
              <w:right w:val="nil"/>
            </w:tcBorders>
            <w:tcMar>
              <w:top w:w="15" w:type="dxa"/>
              <w:left w:w="15" w:type="dxa"/>
              <w:bottom w:w="15" w:type="dxa"/>
              <w:right w:w="15" w:type="dxa"/>
            </w:tcMar>
            <w:vAlign w:val="center"/>
          </w:tcPr>
          <w:p w14:paraId="4588E2DA" w14:textId="77777777" w:rsidR="007B6D8F" w:rsidRPr="004465FF" w:rsidRDefault="00000000">
            <w:pPr>
              <w:rPr>
                <w:sz w:val="20"/>
                <w:szCs w:val="20"/>
              </w:rPr>
            </w:pPr>
            <w:r w:rsidRPr="004465FF">
              <w:rPr>
                <w:sz w:val="20"/>
                <w:szCs w:val="20"/>
              </w:rPr>
              <w:t>.02</w:t>
            </w:r>
          </w:p>
        </w:tc>
      </w:tr>
      <w:tr w:rsidR="007B6D8F" w14:paraId="7E541026" w14:textId="77777777">
        <w:trPr>
          <w:trHeight w:val="284"/>
        </w:trPr>
        <w:tc>
          <w:tcPr>
            <w:tcW w:w="5210" w:type="dxa"/>
            <w:tcBorders>
              <w:left w:val="nil"/>
              <w:bottom w:val="single" w:sz="8" w:space="0" w:color="000000"/>
              <w:right w:val="nil"/>
            </w:tcBorders>
            <w:tcMar>
              <w:top w:w="100" w:type="dxa"/>
              <w:left w:w="100" w:type="dxa"/>
              <w:bottom w:w="100" w:type="dxa"/>
              <w:right w:w="100" w:type="dxa"/>
            </w:tcMar>
          </w:tcPr>
          <w:p w14:paraId="04498FAF" w14:textId="77777777" w:rsidR="007B6D8F" w:rsidRPr="004465FF" w:rsidRDefault="00000000">
            <w:pPr>
              <w:rPr>
                <w:sz w:val="20"/>
                <w:szCs w:val="20"/>
              </w:rPr>
            </w:pPr>
            <w:r w:rsidRPr="004465FF">
              <w:rPr>
                <w:sz w:val="20"/>
                <w:szCs w:val="20"/>
              </w:rPr>
              <w:t xml:space="preserve">Engajamento </w:t>
            </w:r>
            <w:r w:rsidRPr="004465FF">
              <w:rPr>
                <w:rFonts w:ascii="Cambria Math" w:eastAsia="Cambria Math" w:hAnsi="Cambria Math" w:cs="Cambria Math"/>
                <w:sz w:val="20"/>
                <w:szCs w:val="20"/>
              </w:rPr>
              <w:t>⇒</w:t>
            </w:r>
            <w:r w:rsidRPr="004465FF">
              <w:rPr>
                <w:sz w:val="20"/>
                <w:szCs w:val="20"/>
              </w:rPr>
              <w:t xml:space="preserve"> comparação </w:t>
            </w:r>
            <w:r w:rsidRPr="004465FF">
              <w:rPr>
                <w:rFonts w:ascii="Cambria Math" w:eastAsia="Cambria Math" w:hAnsi="Cambria Math" w:cs="Cambria Math"/>
                <w:sz w:val="20"/>
                <w:szCs w:val="20"/>
              </w:rPr>
              <w:t>⇒</w:t>
            </w:r>
            <w:r w:rsidRPr="004465FF">
              <w:rPr>
                <w:sz w:val="20"/>
                <w:szCs w:val="20"/>
              </w:rPr>
              <w:t xml:space="preserve"> depressão</w:t>
            </w:r>
          </w:p>
        </w:tc>
        <w:tc>
          <w:tcPr>
            <w:tcW w:w="1125" w:type="dxa"/>
            <w:tcBorders>
              <w:left w:val="nil"/>
              <w:bottom w:val="single" w:sz="8" w:space="0" w:color="000000"/>
              <w:right w:val="nil"/>
            </w:tcBorders>
            <w:tcMar>
              <w:top w:w="15" w:type="dxa"/>
              <w:left w:w="15" w:type="dxa"/>
              <w:bottom w:w="15" w:type="dxa"/>
              <w:right w:w="15" w:type="dxa"/>
            </w:tcMar>
            <w:vAlign w:val="center"/>
          </w:tcPr>
          <w:p w14:paraId="1519DA5C" w14:textId="77777777" w:rsidR="007B6D8F" w:rsidRPr="004465FF" w:rsidRDefault="00000000">
            <w:pPr>
              <w:rPr>
                <w:sz w:val="20"/>
                <w:szCs w:val="20"/>
              </w:rPr>
            </w:pPr>
            <w:r w:rsidRPr="004465FF">
              <w:rPr>
                <w:sz w:val="20"/>
                <w:szCs w:val="20"/>
              </w:rPr>
              <w:t>.02*</w:t>
            </w:r>
          </w:p>
        </w:tc>
        <w:tc>
          <w:tcPr>
            <w:tcW w:w="760" w:type="dxa"/>
            <w:tcBorders>
              <w:left w:val="nil"/>
              <w:bottom w:val="single" w:sz="8" w:space="0" w:color="000000"/>
              <w:right w:val="nil"/>
            </w:tcBorders>
            <w:tcMar>
              <w:top w:w="15" w:type="dxa"/>
              <w:left w:w="15" w:type="dxa"/>
              <w:bottom w:w="15" w:type="dxa"/>
              <w:right w:w="15" w:type="dxa"/>
            </w:tcMar>
            <w:vAlign w:val="center"/>
          </w:tcPr>
          <w:p w14:paraId="1BDAAE3A" w14:textId="77777777" w:rsidR="007B6D8F" w:rsidRPr="004465FF" w:rsidRDefault="00000000">
            <w:pPr>
              <w:rPr>
                <w:sz w:val="20"/>
                <w:szCs w:val="20"/>
              </w:rPr>
            </w:pPr>
            <w:r w:rsidRPr="004465FF">
              <w:rPr>
                <w:sz w:val="20"/>
                <w:szCs w:val="20"/>
              </w:rPr>
              <w:t>.01</w:t>
            </w:r>
          </w:p>
        </w:tc>
        <w:tc>
          <w:tcPr>
            <w:tcW w:w="268" w:type="dxa"/>
            <w:tcBorders>
              <w:left w:val="nil"/>
              <w:bottom w:val="single" w:sz="8" w:space="0" w:color="000000"/>
              <w:right w:val="nil"/>
            </w:tcBorders>
            <w:tcMar>
              <w:top w:w="15" w:type="dxa"/>
              <w:left w:w="15" w:type="dxa"/>
              <w:bottom w:w="15" w:type="dxa"/>
              <w:right w:w="15" w:type="dxa"/>
            </w:tcMar>
          </w:tcPr>
          <w:p w14:paraId="2F5AA064" w14:textId="77777777" w:rsidR="007B6D8F" w:rsidRPr="004465FF" w:rsidRDefault="00000000">
            <w:pPr>
              <w:jc w:val="center"/>
              <w:rPr>
                <w:sz w:val="20"/>
                <w:szCs w:val="20"/>
              </w:rPr>
            </w:pPr>
            <w:r w:rsidRPr="004465FF">
              <w:rPr>
                <w:sz w:val="20"/>
                <w:szCs w:val="20"/>
              </w:rPr>
              <w:t xml:space="preserve"> </w:t>
            </w:r>
          </w:p>
        </w:tc>
        <w:tc>
          <w:tcPr>
            <w:tcW w:w="1322" w:type="dxa"/>
            <w:tcBorders>
              <w:left w:val="nil"/>
              <w:bottom w:val="single" w:sz="8" w:space="0" w:color="000000"/>
              <w:right w:val="nil"/>
            </w:tcBorders>
            <w:tcMar>
              <w:top w:w="15" w:type="dxa"/>
              <w:left w:w="15" w:type="dxa"/>
              <w:bottom w:w="15" w:type="dxa"/>
              <w:right w:w="15" w:type="dxa"/>
            </w:tcMar>
            <w:vAlign w:val="center"/>
          </w:tcPr>
          <w:p w14:paraId="42C7F472" w14:textId="77777777" w:rsidR="007B6D8F" w:rsidRPr="004465FF" w:rsidRDefault="00000000">
            <w:pPr>
              <w:rPr>
                <w:sz w:val="20"/>
                <w:szCs w:val="20"/>
              </w:rPr>
            </w:pPr>
            <w:r w:rsidRPr="004465FF">
              <w:rPr>
                <w:sz w:val="20"/>
                <w:szCs w:val="20"/>
              </w:rPr>
              <w:t>.00</w:t>
            </w:r>
          </w:p>
        </w:tc>
        <w:tc>
          <w:tcPr>
            <w:tcW w:w="1155" w:type="dxa"/>
            <w:tcBorders>
              <w:left w:val="nil"/>
              <w:bottom w:val="single" w:sz="8" w:space="0" w:color="000000"/>
              <w:right w:val="nil"/>
            </w:tcBorders>
            <w:tcMar>
              <w:top w:w="15" w:type="dxa"/>
              <w:left w:w="15" w:type="dxa"/>
              <w:bottom w:w="15" w:type="dxa"/>
              <w:right w:w="15" w:type="dxa"/>
            </w:tcMar>
            <w:vAlign w:val="center"/>
          </w:tcPr>
          <w:p w14:paraId="0BF98445" w14:textId="77777777" w:rsidR="007B6D8F" w:rsidRPr="004465FF" w:rsidRDefault="00000000">
            <w:pPr>
              <w:rPr>
                <w:sz w:val="20"/>
                <w:szCs w:val="20"/>
              </w:rPr>
            </w:pPr>
            <w:r w:rsidRPr="004465FF">
              <w:rPr>
                <w:sz w:val="20"/>
                <w:szCs w:val="20"/>
              </w:rPr>
              <w:t xml:space="preserve"> .05</w:t>
            </w:r>
          </w:p>
        </w:tc>
      </w:tr>
    </w:tbl>
    <w:p w14:paraId="79FC6DC6" w14:textId="77777777" w:rsidR="007B6D8F" w:rsidRDefault="00000000">
      <w:pPr>
        <w:rPr>
          <w:i/>
        </w:rPr>
      </w:pPr>
      <w:r>
        <w:rPr>
          <w:i/>
        </w:rPr>
        <w:t>Nota. * p &lt; .05, ** p &lt; .01, *** p &lt; .</w:t>
      </w:r>
      <w:proofErr w:type="gramStart"/>
      <w:r>
        <w:rPr>
          <w:i/>
        </w:rPr>
        <w:t>001;  Tempors</w:t>
      </w:r>
      <w:proofErr w:type="gramEnd"/>
      <w:r>
        <w:rPr>
          <w:i/>
        </w:rPr>
        <w:t xml:space="preserve"> = Tempo de uso das redes sociais</w:t>
      </w:r>
    </w:p>
    <w:p w14:paraId="640C3B64" w14:textId="77777777" w:rsidR="007B6D8F" w:rsidRDefault="007B6D8F">
      <w:pPr>
        <w:jc w:val="center"/>
        <w:rPr>
          <w:b/>
        </w:rPr>
      </w:pPr>
    </w:p>
    <w:p w14:paraId="444F4BE9" w14:textId="77777777" w:rsidR="007B6D8F" w:rsidRDefault="007B6D8F">
      <w:pPr>
        <w:jc w:val="center"/>
        <w:rPr>
          <w:b/>
        </w:rPr>
      </w:pPr>
    </w:p>
    <w:p w14:paraId="312008A8" w14:textId="77777777" w:rsidR="007B6D8F" w:rsidRDefault="00000000">
      <w:pPr>
        <w:jc w:val="center"/>
        <w:rPr>
          <w:b/>
        </w:rPr>
      </w:pPr>
      <w:r>
        <w:rPr>
          <w:b/>
        </w:rPr>
        <w:t>Discussão</w:t>
      </w:r>
    </w:p>
    <w:p w14:paraId="34F8D4CC" w14:textId="77777777" w:rsidR="007B6D8F" w:rsidRDefault="007B6D8F">
      <w:pPr>
        <w:rPr>
          <w:b/>
        </w:rPr>
      </w:pPr>
    </w:p>
    <w:p w14:paraId="49085FB0" w14:textId="77777777" w:rsidR="007B6D8F" w:rsidRDefault="00000000">
      <w:pPr>
        <w:spacing w:line="360" w:lineRule="auto"/>
        <w:ind w:firstLine="720"/>
        <w:jc w:val="both"/>
      </w:pPr>
      <w:r>
        <w:t xml:space="preserve">O objetivo deste estudo foi analisar a relação entre tempo de uso de redes sociais, engajamento, comparação social, autoestima e estresse, ansiedade e depressão e variáveis sociodemográficas. Para isso, buscou-se responder duas hipóteses principais. A primeira hipótese é que o engajamento estaria positivamente correlacionado com a comparação, e que a comparação, por sua vez, se correlacionaria positivamente com os níveis de estresse, ansiedade e depressão. A segunda hipótese a ser testada seria a de que a relação entre o tempo de uso das redes e os níveis de saúde mental seriam explicados pelo engajamento nas redes sociais e a comparação social de maneira sequencial. </w:t>
      </w:r>
    </w:p>
    <w:p w14:paraId="614BCB03" w14:textId="77777777" w:rsidR="007B6D8F" w:rsidRDefault="00000000">
      <w:pPr>
        <w:spacing w:line="360" w:lineRule="auto"/>
        <w:ind w:firstLine="720"/>
        <w:jc w:val="both"/>
      </w:pPr>
      <w:r>
        <w:t>O estudo revelou correlações significativas entre as variáveis investigadas. O engajamento em redes sociais associou-se positivamente à ansiedade e ao estresse, mas não à depressão. A comparação social apresentou relações positivas com ansiedade, estresse e depressão. A autoestima, por outro lado, correlacionou-se negativamente com todas essas variáveis, indicando que níveis mais altos de autoestima estão associados a menores níveis de sofrimento psicológico e comparação social. O tempo de uso de redes sociais mostrou relação positiva com engajamento, ansiedade, estresse e depressão. Por fim, participantes do sexo masculino apresentaram menores níveis de ansiedade e estresse.</w:t>
      </w:r>
    </w:p>
    <w:p w14:paraId="33B81765" w14:textId="6A096060" w:rsidR="007B6D8F" w:rsidRDefault="00000000">
      <w:pPr>
        <w:spacing w:line="360" w:lineRule="auto"/>
        <w:ind w:firstLine="720"/>
        <w:jc w:val="both"/>
        <w:rPr>
          <w:color w:val="FF0000"/>
        </w:rPr>
      </w:pPr>
      <w:r>
        <w:t xml:space="preserve">Além disso, a pesquisa atual, apresentou evidências sobre a mediação serial do engajamento em redes sociais e a comparação social no tempo que as pessoas levam utilizando essas redes e os impactos na saúde mental. Especificamente, os achados foram ao encontro do que havia sido previsto, refletindo como o engajamento das pessoas nas redes sociais tornam </w:t>
      </w:r>
      <w:proofErr w:type="gramStart"/>
      <w:r>
        <w:t>elas mais vulneráveis</w:t>
      </w:r>
      <w:proofErr w:type="gramEnd"/>
      <w:r>
        <w:t xml:space="preserve"> aos diversos conteúdos que são expostos no contexto de mídias, e que, por sua vez, tende a levá-las a se comparar socialmente a partir dos conteúdos acessados (Yoon et al., 2019; Zheng et al. 2020). Esse achado sugere que quanto mais as pessoas passam tempo acessando as redes, mais elas se engajam com os conteúdos e são suscetíveis a se comparar, apresentando uma pior condição de saúde mental. De fato, as comparações sociais podem gerar </w:t>
      </w:r>
      <w:r>
        <w:rPr>
          <w:highlight w:val="white"/>
        </w:rPr>
        <w:t>descontentamento, a sensação de fracasso e o estresse aliados gerando um impacto na saúde mental (</w:t>
      </w:r>
      <w:r>
        <w:t>Festinger ,1954</w:t>
      </w:r>
      <w:r>
        <w:rPr>
          <w:highlight w:val="white"/>
        </w:rPr>
        <w:t>)</w:t>
      </w:r>
      <w:r>
        <w:t xml:space="preserve">. </w:t>
      </w:r>
    </w:p>
    <w:p w14:paraId="38664759" w14:textId="5E61E29F" w:rsidR="007B6D8F" w:rsidRDefault="00000000">
      <w:pPr>
        <w:spacing w:line="360" w:lineRule="auto"/>
        <w:ind w:firstLine="720"/>
        <w:jc w:val="both"/>
      </w:pPr>
      <w:r>
        <w:t>Esta pesquisa contribui para a literatura do quadro da teoria da comparação social e os estudos envolvendo redes sociais (Festing, 1954; Yoon et al., 2019; Zheng et al. 2020). Além disso, esta é a primeira pesquisa a apresentar o processo psicológico subjacente envolvendo a explicação do impacto na saúde mental a partir do tempo de uso que as pessoas fazem das redes sociais, mas sobretudo por envolver os efeitos de dois mediadores sequenciais na saúde mental. Uma possível explicação para este resultado está, em primeiro lugar, nos mecanismos das redes, que envolvem diversas estratégias para captar a atenção dos usuários. Isso envolve a segunda possível explicação, que inclui o impacto da própria postagem (Tosun, 2012). Isto é, ao se depararem com diversas postagens nas redes sociais, as pessoas podem realizar comparações ascendentes e descendentes. A comparação ascendente acontece quando se comparam com pessoas consideradas melhores do que a si mesmas, enquanto a comparação descendente acontece quando o objeto de comparação é percebido como estando em uma posição considerada inferior. Esse último tipo, pode aumentar o bem-estar subjetivo ao permitir que as pessoas se compararem a outros mais vulneráveis (Wills, 1981). De toda forma, dos dois modos de comparação, pode haver um impacto negativo (</w:t>
      </w:r>
      <w:r>
        <w:rPr>
          <w:color w:val="000000"/>
        </w:rPr>
        <w:t xml:space="preserve">Twenge, 2019), pois comparações ascendentes </w:t>
      </w:r>
      <w:r>
        <w:t>também podem diminuir nossa satisfação, gerando inveja e ressentimento (</w:t>
      </w:r>
      <w:r>
        <w:rPr>
          <w:highlight w:val="white"/>
        </w:rPr>
        <w:t>Carvalho &amp; Leite (2023)</w:t>
      </w:r>
      <w:r>
        <w:t>,</w:t>
      </w:r>
      <w:r>
        <w:rPr>
          <w:color w:val="FF0000"/>
        </w:rPr>
        <w:t xml:space="preserve"> </w:t>
      </w:r>
      <w:r>
        <w:t>enquanto comparação descendente pode não ser tão motivador ao comparador, resultando em um processo de estagnação e conformismo no quesito sobre o qual houve a comparação. (</w:t>
      </w:r>
      <w:r>
        <w:rPr>
          <w:highlight w:val="white"/>
        </w:rPr>
        <w:t>Myers, 2014)</w:t>
      </w:r>
      <w:r>
        <w:t xml:space="preserve">. </w:t>
      </w:r>
    </w:p>
    <w:p w14:paraId="46CBEA03" w14:textId="77777777" w:rsidR="007B6D8F" w:rsidRDefault="00000000">
      <w:pPr>
        <w:spacing w:line="360" w:lineRule="auto"/>
        <w:ind w:firstLine="720"/>
        <w:jc w:val="both"/>
      </w:pPr>
      <w:r>
        <w:t>Esta pesquisa apresenta algumas implicações relevantes, como a necessidade de buscar maneiras de intervir no regulamento do tempo de uso das redes sociais, especialmente, de adolescentes e crianças. Além disso, é imprescindível analisar o tipo de conteúdo que se acessa nas plataformas, levando em consideração que muitas postagens não refletem a realidade da vida das pessoas.</w:t>
      </w:r>
    </w:p>
    <w:p w14:paraId="17DD5646" w14:textId="77777777" w:rsidR="007B6D8F" w:rsidRDefault="00000000">
      <w:pPr>
        <w:spacing w:line="360" w:lineRule="auto"/>
        <w:jc w:val="both"/>
      </w:pPr>
      <w:r>
        <w:rPr>
          <w:b/>
        </w:rPr>
        <w:tab/>
      </w:r>
      <w:r>
        <w:t xml:space="preserve"> Além disso, embora a pesquisa tenha confirmado nossas previsões, ela não está isenta de limitações. Inicialmente, a amostra foi não probabilística e por conveniência, sendo composta exclusivamente por estudantes universitários, nesse contexto, não é possível fazer generalizações para a população geral. Destaca-se também o delineamento correlacional adotado, enfatizando a importância de levar em conta a bidirecionalidade dos efeitos, não podendo inferir causalidade dos achados.</w:t>
      </w:r>
    </w:p>
    <w:p w14:paraId="21438576" w14:textId="77777777" w:rsidR="007B6D8F" w:rsidRDefault="00000000">
      <w:pPr>
        <w:spacing w:line="360" w:lineRule="auto"/>
        <w:ind w:firstLine="720"/>
        <w:jc w:val="both"/>
      </w:pPr>
      <w:r>
        <w:t xml:space="preserve">Finalmente, sugere-se que pesquisas futuras sejam desenvolvidas com amostras mais diversificadas e randomizadas, a fim de possibilitar a generalização dos resultados. Além disso, é importante a realização de abordagens experimentais, que possam ir além do método correlacional para obtenção de evidências mais robustas. Por fim, pesquisas futuras poderiam desenvolver estudos com variáveis que contribuam no entendimento de como reduzir o impacto das redes sociais na saúde mental da população. </w:t>
      </w:r>
    </w:p>
    <w:p w14:paraId="3663C507" w14:textId="77777777" w:rsidR="007B6D8F" w:rsidRDefault="007B6D8F">
      <w:pPr>
        <w:spacing w:line="360" w:lineRule="auto"/>
        <w:ind w:firstLine="720"/>
        <w:jc w:val="both"/>
      </w:pPr>
    </w:p>
    <w:p w14:paraId="2C8A6A1F" w14:textId="77777777" w:rsidR="007B6D8F" w:rsidRDefault="007B6D8F">
      <w:pPr>
        <w:spacing w:line="360" w:lineRule="auto"/>
        <w:jc w:val="both"/>
      </w:pPr>
    </w:p>
    <w:p w14:paraId="517E2D1C" w14:textId="77777777" w:rsidR="004465FF" w:rsidRDefault="004465FF">
      <w:pPr>
        <w:spacing w:line="360" w:lineRule="auto"/>
        <w:jc w:val="both"/>
      </w:pPr>
    </w:p>
    <w:p w14:paraId="2FF4A2E2" w14:textId="77777777" w:rsidR="004465FF" w:rsidRDefault="004465FF">
      <w:pPr>
        <w:spacing w:line="360" w:lineRule="auto"/>
        <w:jc w:val="both"/>
      </w:pPr>
    </w:p>
    <w:p w14:paraId="07014A44" w14:textId="77777777" w:rsidR="004465FF" w:rsidRDefault="004465FF">
      <w:pPr>
        <w:spacing w:line="360" w:lineRule="auto"/>
        <w:jc w:val="both"/>
      </w:pPr>
    </w:p>
    <w:p w14:paraId="5515F32A" w14:textId="77777777" w:rsidR="007B6D8F" w:rsidRDefault="007B6D8F">
      <w:pPr>
        <w:spacing w:line="360" w:lineRule="auto"/>
        <w:ind w:firstLine="720"/>
        <w:jc w:val="both"/>
      </w:pPr>
    </w:p>
    <w:p w14:paraId="461E6C2C" w14:textId="77777777" w:rsidR="007B6D8F" w:rsidRDefault="00000000">
      <w:pPr>
        <w:pBdr>
          <w:top w:val="nil"/>
          <w:left w:val="nil"/>
          <w:bottom w:val="nil"/>
          <w:right w:val="nil"/>
          <w:between w:val="nil"/>
        </w:pBdr>
        <w:jc w:val="center"/>
        <w:rPr>
          <w:b/>
        </w:rPr>
      </w:pPr>
      <w:r>
        <w:rPr>
          <w:b/>
          <w:color w:val="000000"/>
        </w:rPr>
        <w:t>Refer</w:t>
      </w:r>
      <w:r>
        <w:rPr>
          <w:b/>
        </w:rPr>
        <w:t>ências</w:t>
      </w:r>
    </w:p>
    <w:p w14:paraId="6B734B64" w14:textId="1CE0EC17" w:rsidR="007B6D8F" w:rsidRPr="004465FF" w:rsidRDefault="00000000" w:rsidP="004465FF">
      <w:pPr>
        <w:ind w:left="708" w:hanging="708"/>
        <w:jc w:val="both"/>
        <w:rPr>
          <w:lang w:val="en-US"/>
        </w:rPr>
      </w:pPr>
      <w:r>
        <w:rPr>
          <w:highlight w:val="white"/>
        </w:rPr>
        <w:t xml:space="preserve">Arigo, D., Bercovitz, I., Lapitan, E., &amp; Gular, S. (2024). </w:t>
      </w:r>
      <w:r w:rsidRPr="004465FF">
        <w:rPr>
          <w:highlight w:val="white"/>
          <w:lang w:val="en-US"/>
        </w:rPr>
        <w:t xml:space="preserve">Social comparison and mental health. </w:t>
      </w:r>
      <w:r w:rsidRPr="004465FF">
        <w:rPr>
          <w:i/>
          <w:highlight w:val="white"/>
          <w:lang w:val="en-US"/>
        </w:rPr>
        <w:t>Current Treatment Options in Psychiatry, 11</w:t>
      </w:r>
      <w:r w:rsidRPr="004465FF">
        <w:rPr>
          <w:highlight w:val="white"/>
          <w:lang w:val="en-US"/>
        </w:rPr>
        <w:t xml:space="preserve">(2), 17–33. </w:t>
      </w:r>
      <w:hyperlink r:id="rId11">
        <w:r w:rsidR="007B6D8F" w:rsidRPr="004465FF">
          <w:rPr>
            <w:highlight w:val="white"/>
            <w:lang w:val="en-US"/>
          </w:rPr>
          <w:t>https://doi.org/10.1007/s40501-024-00313-0</w:t>
        </w:r>
      </w:hyperlink>
    </w:p>
    <w:p w14:paraId="4120304B" w14:textId="77777777" w:rsidR="007B6D8F" w:rsidRPr="004465FF" w:rsidRDefault="00000000" w:rsidP="004465FF">
      <w:pPr>
        <w:jc w:val="both"/>
        <w:rPr>
          <w:lang w:val="en-US"/>
        </w:rPr>
      </w:pPr>
      <w:r w:rsidRPr="004465FF">
        <w:rPr>
          <w:lang w:val="en-US"/>
        </w:rPr>
        <w:t>Boers, E., Afzali, M. H., &amp; Conrod, P. (2019). Temporal Associations of Screen Time and</w:t>
      </w:r>
    </w:p>
    <w:p w14:paraId="0AE9758E" w14:textId="77777777" w:rsidR="007B6D8F" w:rsidRPr="004465FF" w:rsidRDefault="00000000" w:rsidP="004465FF">
      <w:pPr>
        <w:ind w:left="720"/>
        <w:jc w:val="both"/>
        <w:rPr>
          <w:lang w:val="en-US"/>
        </w:rPr>
      </w:pPr>
      <w:r w:rsidRPr="004465FF">
        <w:rPr>
          <w:lang w:val="en-US"/>
        </w:rPr>
        <w:t xml:space="preserve">Anxiety Symptoms Among Adolescents. </w:t>
      </w:r>
      <w:r w:rsidRPr="004465FF">
        <w:rPr>
          <w:i/>
          <w:lang w:val="en-US"/>
        </w:rPr>
        <w:t>The Canadian Journal of Psychiatry</w:t>
      </w:r>
      <w:r w:rsidRPr="004465FF">
        <w:rPr>
          <w:lang w:val="en-US"/>
        </w:rPr>
        <w:t xml:space="preserve">, </w:t>
      </w:r>
      <w:r w:rsidRPr="004465FF">
        <w:rPr>
          <w:i/>
          <w:lang w:val="en-US"/>
        </w:rPr>
        <w:t>65</w:t>
      </w:r>
      <w:r w:rsidRPr="004465FF">
        <w:rPr>
          <w:lang w:val="en-US"/>
        </w:rPr>
        <w:t xml:space="preserve">(3), 070674371988548. </w:t>
      </w:r>
      <w:hyperlink r:id="rId12">
        <w:r w:rsidR="007B6D8F" w:rsidRPr="004465FF">
          <w:rPr>
            <w:color w:val="1155CC"/>
            <w:u w:val="single"/>
            <w:lang w:val="en-US"/>
          </w:rPr>
          <w:t>https://doi.org/10.1177/0706743719885486</w:t>
        </w:r>
      </w:hyperlink>
    </w:p>
    <w:p w14:paraId="394F86ED" w14:textId="77777777" w:rsidR="007B6D8F" w:rsidRPr="004465FF" w:rsidRDefault="00000000" w:rsidP="004465FF">
      <w:pPr>
        <w:jc w:val="both"/>
        <w:rPr>
          <w:lang w:val="en-US"/>
        </w:rPr>
      </w:pPr>
      <w:r w:rsidRPr="004465FF">
        <w:rPr>
          <w:lang w:val="en-US"/>
        </w:rPr>
        <w:t>Boers, E., Afzali, M. H., Newton, N., &amp; Conrod, P. (2019). Association of Screen Time and</w:t>
      </w:r>
    </w:p>
    <w:p w14:paraId="3AF810BC" w14:textId="77777777" w:rsidR="007B6D8F" w:rsidRDefault="00000000" w:rsidP="004465FF">
      <w:pPr>
        <w:ind w:left="720"/>
        <w:jc w:val="both"/>
        <w:rPr>
          <w:color w:val="1155CC"/>
          <w:u w:val="single"/>
        </w:rPr>
      </w:pPr>
      <w:r w:rsidRPr="004465FF">
        <w:rPr>
          <w:lang w:val="en-US"/>
        </w:rPr>
        <w:t xml:space="preserve">Depression in Adolescence. </w:t>
      </w:r>
      <w:r>
        <w:rPr>
          <w:i/>
        </w:rPr>
        <w:t>JAMA Pediatrics</w:t>
      </w:r>
      <w:r>
        <w:t xml:space="preserve">, </w:t>
      </w:r>
      <w:r>
        <w:rPr>
          <w:i/>
        </w:rPr>
        <w:t>173</w:t>
      </w:r>
      <w:r>
        <w:t xml:space="preserve">(9), 853–859. </w:t>
      </w:r>
      <w:hyperlink r:id="rId13">
        <w:r w:rsidR="007B6D8F">
          <w:rPr>
            <w:color w:val="1155CC"/>
            <w:u w:val="single"/>
          </w:rPr>
          <w:t>https://doi.org/10.1001/jamapediatrics.2019.1759</w:t>
        </w:r>
      </w:hyperlink>
    </w:p>
    <w:p w14:paraId="08AFD92B" w14:textId="3EC7A955" w:rsidR="004465FF" w:rsidRPr="004465FF" w:rsidRDefault="004465FF" w:rsidP="004465FF">
      <w:pPr>
        <w:ind w:left="720" w:hanging="720"/>
        <w:jc w:val="both"/>
        <w:rPr>
          <w:lang w:val="en-US"/>
        </w:rPr>
      </w:pPr>
      <w:r>
        <w:t xml:space="preserve">CIOMS, OMS &amp; OPS (2016). Pautas éticas internacionales para la investigación relacionada con la salud con seres humanos. </w:t>
      </w:r>
      <w:r w:rsidRPr="004465FF">
        <w:rPr>
          <w:lang w:val="en-US"/>
        </w:rPr>
        <w:t xml:space="preserve">Retrieved from </w:t>
      </w:r>
      <w:hyperlink r:id="rId14">
        <w:r w:rsidRPr="004465FF">
          <w:rPr>
            <w:color w:val="0000FF"/>
            <w:u w:val="single"/>
            <w:lang w:val="en-US"/>
          </w:rPr>
          <w:t>https://cioms.ch/wp-content/uploads/2017/12/CIOMS-EthicalGuideline_SP_INTERIOR-FINAL.pdf</w:t>
        </w:r>
      </w:hyperlink>
      <w:r w:rsidRPr="004465FF">
        <w:rPr>
          <w:lang w:val="en-US"/>
        </w:rPr>
        <w:t xml:space="preserve"> </w:t>
      </w:r>
    </w:p>
    <w:p w14:paraId="59A6BF95" w14:textId="77777777" w:rsidR="007B6D8F" w:rsidRPr="004465FF" w:rsidRDefault="00000000" w:rsidP="004465FF">
      <w:pPr>
        <w:jc w:val="both"/>
        <w:rPr>
          <w:lang w:val="en-US"/>
        </w:rPr>
      </w:pPr>
      <w:r w:rsidRPr="004465FF">
        <w:rPr>
          <w:lang w:val="en-US"/>
        </w:rPr>
        <w:t xml:space="preserve">Festinger, L. (1954). A Theory of Social Comparison Processes. </w:t>
      </w:r>
      <w:r w:rsidRPr="004465FF">
        <w:rPr>
          <w:i/>
          <w:lang w:val="en-US"/>
        </w:rPr>
        <w:t>Human Relations</w:t>
      </w:r>
      <w:r w:rsidRPr="004465FF">
        <w:rPr>
          <w:lang w:val="en-US"/>
        </w:rPr>
        <w:t xml:space="preserve">, </w:t>
      </w:r>
      <w:r w:rsidRPr="004465FF">
        <w:rPr>
          <w:i/>
          <w:lang w:val="en-US"/>
        </w:rPr>
        <w:t>7</w:t>
      </w:r>
      <w:r w:rsidRPr="004465FF">
        <w:rPr>
          <w:lang w:val="en-US"/>
        </w:rPr>
        <w:t>(2),</w:t>
      </w:r>
    </w:p>
    <w:p w14:paraId="6D109550" w14:textId="77777777" w:rsidR="007B6D8F" w:rsidRPr="004465FF" w:rsidRDefault="00000000" w:rsidP="004465FF">
      <w:pPr>
        <w:ind w:firstLine="720"/>
        <w:jc w:val="both"/>
        <w:rPr>
          <w:lang w:val="en-US"/>
        </w:rPr>
      </w:pPr>
      <w:r w:rsidRPr="004465FF">
        <w:rPr>
          <w:lang w:val="en-US"/>
        </w:rPr>
        <w:t xml:space="preserve">117–140. </w:t>
      </w:r>
      <w:hyperlink r:id="rId15">
        <w:r w:rsidR="007B6D8F" w:rsidRPr="004465FF">
          <w:rPr>
            <w:color w:val="1155CC"/>
            <w:u w:val="single"/>
            <w:lang w:val="en-US"/>
          </w:rPr>
          <w:t>https://doi.org/10.1177/001872675400700202</w:t>
        </w:r>
      </w:hyperlink>
    </w:p>
    <w:p w14:paraId="2FD97541" w14:textId="2E038E84" w:rsidR="007B6D8F" w:rsidRPr="0088628B" w:rsidRDefault="00000000" w:rsidP="004465FF">
      <w:pPr>
        <w:ind w:left="851" w:hanging="851"/>
        <w:jc w:val="both"/>
        <w:rPr>
          <w:color w:val="1155CC"/>
          <w:u w:val="single"/>
          <w:lang w:val="en-US"/>
        </w:rPr>
      </w:pPr>
      <w:r w:rsidRPr="004465FF">
        <w:rPr>
          <w:lang w:val="en-US"/>
        </w:rPr>
        <w:t xml:space="preserve">Gibbons, F. X., &amp; Buunk, B. P. (1999). Individual differences in social </w:t>
      </w:r>
      <w:proofErr w:type="gramStart"/>
      <w:r w:rsidRPr="004465FF">
        <w:rPr>
          <w:lang w:val="en-US"/>
        </w:rPr>
        <w:t>comparison:Development</w:t>
      </w:r>
      <w:proofErr w:type="gramEnd"/>
      <w:r w:rsidR="004465FF">
        <w:rPr>
          <w:lang w:val="en-US"/>
        </w:rPr>
        <w:t xml:space="preserve"> </w:t>
      </w:r>
      <w:r w:rsidRPr="004465FF">
        <w:rPr>
          <w:lang w:val="en-US"/>
        </w:rPr>
        <w:t xml:space="preserve">of a scale of social comparison orientation. </w:t>
      </w:r>
      <w:r w:rsidRPr="004465FF">
        <w:rPr>
          <w:i/>
          <w:lang w:val="en-US"/>
        </w:rPr>
        <w:t>Journal of Personality and Social Psychology</w:t>
      </w:r>
      <w:r w:rsidRPr="004465FF">
        <w:rPr>
          <w:lang w:val="en-US"/>
        </w:rPr>
        <w:t xml:space="preserve">, </w:t>
      </w:r>
      <w:r w:rsidRPr="004465FF">
        <w:rPr>
          <w:i/>
          <w:lang w:val="en-US"/>
        </w:rPr>
        <w:t>76</w:t>
      </w:r>
      <w:r w:rsidRPr="004465FF">
        <w:rPr>
          <w:lang w:val="en-US"/>
        </w:rPr>
        <w:t xml:space="preserve">(1), 129–142. </w:t>
      </w:r>
      <w:hyperlink r:id="rId16">
        <w:r w:rsidR="007B6D8F" w:rsidRPr="004465FF">
          <w:rPr>
            <w:color w:val="1155CC"/>
            <w:u w:val="single"/>
            <w:lang w:val="en-US"/>
          </w:rPr>
          <w:t>https://doi.org/10.1037/0022-3514.76.1.129</w:t>
        </w:r>
      </w:hyperlink>
    </w:p>
    <w:p w14:paraId="7C9E25AE" w14:textId="5A187487" w:rsidR="004465FF" w:rsidRPr="0088628B" w:rsidRDefault="004465FF" w:rsidP="004465FF">
      <w:pPr>
        <w:ind w:left="851" w:hanging="851"/>
        <w:jc w:val="both"/>
        <w:rPr>
          <w:color w:val="0000FF"/>
          <w:u w:val="single"/>
          <w:lang w:val="en-US"/>
        </w:rPr>
      </w:pPr>
      <w:r w:rsidRPr="004465FF">
        <w:rPr>
          <w:lang w:val="en-US"/>
        </w:rPr>
        <w:t xml:space="preserve">IAAP &amp; IUPsyS (2008). Universal Declaration of Ethical Principles for Psychologists. Available from the International Union of Psychological Science Web site: </w:t>
      </w:r>
      <w:hyperlink r:id="rId17">
        <w:r w:rsidRPr="004465FF">
          <w:rPr>
            <w:color w:val="0000FF"/>
            <w:u w:val="single"/>
            <w:lang w:val="en-US"/>
          </w:rPr>
          <w:t>https://www.iupsys.net/about/governance/universal-declaration-of-ethical-principles-for-psychologists.html</w:t>
        </w:r>
      </w:hyperlink>
    </w:p>
    <w:p w14:paraId="71ACBC62" w14:textId="77777777" w:rsidR="004465FF" w:rsidRDefault="004465FF" w:rsidP="004465FF">
      <w:pPr>
        <w:ind w:left="720" w:hanging="720"/>
        <w:jc w:val="both"/>
      </w:pPr>
      <w:r>
        <w:t xml:space="preserve">ISP (1978). Resolución sobre la práctica psicológica y los derechos humanos. Revista Latinoamericana de Psicología, 10(2), 298-299. </w:t>
      </w:r>
      <w:hyperlink r:id="rId18">
        <w:r>
          <w:rPr>
            <w:color w:val="0000FF"/>
            <w:u w:val="single"/>
          </w:rPr>
          <w:t>http://doi.org/10.333.23rlp10i2.298-299</w:t>
        </w:r>
      </w:hyperlink>
      <w:r>
        <w:t xml:space="preserve"> </w:t>
      </w:r>
    </w:p>
    <w:p w14:paraId="0AC3ECAC" w14:textId="77777777" w:rsidR="004465FF" w:rsidRPr="004465FF" w:rsidRDefault="004465FF" w:rsidP="004465FF">
      <w:pPr>
        <w:ind w:left="720" w:hanging="720"/>
        <w:jc w:val="both"/>
        <w:rPr>
          <w:lang w:val="en-US"/>
        </w:rPr>
      </w:pPr>
      <w:r>
        <w:t xml:space="preserve">ISP (2008a). Declaración de la Mesa Directiva de la SIP sobre Terápias de Conversión. </w:t>
      </w:r>
      <w:r w:rsidRPr="004465FF">
        <w:rPr>
          <w:lang w:val="en-US"/>
        </w:rPr>
        <w:t xml:space="preserve">Retrieved from </w:t>
      </w:r>
      <w:hyperlink r:id="rId19">
        <w:r w:rsidRPr="004465FF">
          <w:rPr>
            <w:color w:val="0000FF"/>
            <w:u w:val="single"/>
            <w:lang w:val="en-US"/>
          </w:rPr>
          <w:t>https://archive.org/details/sip-2008a-declaracion-sobre-terapias-de-conversion</w:t>
        </w:r>
      </w:hyperlink>
      <w:r w:rsidRPr="004465FF">
        <w:rPr>
          <w:lang w:val="en-US"/>
        </w:rPr>
        <w:t xml:space="preserve"> </w:t>
      </w:r>
    </w:p>
    <w:p w14:paraId="195B39B6" w14:textId="77777777" w:rsidR="004465FF" w:rsidRPr="004465FF" w:rsidRDefault="004465FF" w:rsidP="004465FF">
      <w:pPr>
        <w:ind w:left="720" w:hanging="720"/>
        <w:jc w:val="both"/>
        <w:rPr>
          <w:lang w:val="en-US"/>
        </w:rPr>
      </w:pPr>
      <w:r>
        <w:t xml:space="preserve">ISP (2008b). Consideraciones Éticas de la SIP. </w:t>
      </w:r>
      <w:r w:rsidRPr="004465FF">
        <w:rPr>
          <w:lang w:val="en-US"/>
        </w:rPr>
        <w:t xml:space="preserve">Retrieved from </w:t>
      </w:r>
      <w:hyperlink r:id="rId20">
        <w:r w:rsidRPr="004465FF">
          <w:rPr>
            <w:color w:val="0000FF"/>
            <w:u w:val="single"/>
            <w:lang w:val="en-US"/>
          </w:rPr>
          <w:t>https://archive.org/details/sip-2008b-declaracion-sobre-principios-eticos</w:t>
        </w:r>
      </w:hyperlink>
      <w:r w:rsidRPr="004465FF">
        <w:rPr>
          <w:lang w:val="en-US"/>
        </w:rPr>
        <w:t xml:space="preserve"> </w:t>
      </w:r>
    </w:p>
    <w:p w14:paraId="5BC1A992" w14:textId="77777777" w:rsidR="004465FF" w:rsidRPr="004465FF" w:rsidRDefault="004465FF" w:rsidP="004465FF">
      <w:pPr>
        <w:ind w:left="720" w:hanging="720"/>
        <w:jc w:val="both"/>
        <w:rPr>
          <w:lang w:val="en-US"/>
        </w:rPr>
      </w:pPr>
      <w:r>
        <w:t xml:space="preserve">ISP (2014). Declaración de la SIP sobre Refugiados menores de edad en tránsito a los Estados Unidos. </w:t>
      </w:r>
      <w:r w:rsidRPr="004465FF">
        <w:rPr>
          <w:lang w:val="en-US"/>
        </w:rPr>
        <w:t xml:space="preserve">Retrieved from </w:t>
      </w:r>
      <w:hyperlink r:id="rId21">
        <w:r w:rsidRPr="004465FF">
          <w:rPr>
            <w:color w:val="0000FF"/>
            <w:u w:val="single"/>
            <w:lang w:val="en-US"/>
          </w:rPr>
          <w:t>https://archive.org/details/sip-2014-declaracion-sobre-ninos-migrantes-en-centro-america</w:t>
        </w:r>
      </w:hyperlink>
      <w:r w:rsidRPr="004465FF">
        <w:rPr>
          <w:lang w:val="en-US"/>
        </w:rPr>
        <w:t xml:space="preserve"> </w:t>
      </w:r>
    </w:p>
    <w:p w14:paraId="2F93378F" w14:textId="77777777" w:rsidR="004465FF" w:rsidRPr="004465FF" w:rsidRDefault="004465FF" w:rsidP="004465FF">
      <w:pPr>
        <w:ind w:left="720" w:hanging="720"/>
        <w:jc w:val="both"/>
        <w:rPr>
          <w:lang w:val="en-US"/>
        </w:rPr>
      </w:pPr>
      <w:r>
        <w:t xml:space="preserve">ISP (2016). Declaración de la SIP de apoyo a psicólogas y psicólogos colombianos que promueven los acuerdos de paz. </w:t>
      </w:r>
      <w:r w:rsidRPr="004465FF">
        <w:rPr>
          <w:lang w:val="en-US"/>
        </w:rPr>
        <w:t xml:space="preserve">Retrieved from </w:t>
      </w:r>
      <w:hyperlink r:id="rId22">
        <w:r w:rsidRPr="004465FF">
          <w:rPr>
            <w:color w:val="0000FF"/>
            <w:u w:val="single"/>
            <w:lang w:val="en-US"/>
          </w:rPr>
          <w:t>https://archive.org/details/sip-2016-declaracion-apoyo-a-acuerdos-de-paz-en-colombia</w:t>
        </w:r>
      </w:hyperlink>
      <w:r w:rsidRPr="004465FF">
        <w:rPr>
          <w:lang w:val="en-US"/>
        </w:rPr>
        <w:t xml:space="preserve"> </w:t>
      </w:r>
    </w:p>
    <w:p w14:paraId="3DC7238B" w14:textId="77777777" w:rsidR="004465FF" w:rsidRPr="004465FF" w:rsidRDefault="004465FF" w:rsidP="004465FF">
      <w:pPr>
        <w:ind w:left="720" w:hanging="720"/>
        <w:jc w:val="both"/>
        <w:rPr>
          <w:lang w:val="en-US"/>
        </w:rPr>
      </w:pPr>
      <w:r w:rsidRPr="004465FF">
        <w:rPr>
          <w:lang w:val="en-US"/>
        </w:rPr>
        <w:t xml:space="preserve">ISP (2018). Position Statement of the Inter-American Psychological Society (SIP). Retrieved from </w:t>
      </w:r>
      <w:hyperlink r:id="rId23">
        <w:r w:rsidRPr="004465FF">
          <w:rPr>
            <w:color w:val="0000FF"/>
            <w:u w:val="single"/>
            <w:lang w:val="en-US"/>
          </w:rPr>
          <w:t>https://archive.org/details/sip-2018-position-statement-on-immigration</w:t>
        </w:r>
      </w:hyperlink>
      <w:r w:rsidRPr="004465FF">
        <w:rPr>
          <w:lang w:val="en-US"/>
        </w:rPr>
        <w:t xml:space="preserve"> </w:t>
      </w:r>
    </w:p>
    <w:p w14:paraId="2866252B" w14:textId="1E224ABE" w:rsidR="004465FF" w:rsidRPr="004465FF" w:rsidRDefault="004465FF" w:rsidP="004465FF">
      <w:pPr>
        <w:ind w:left="720" w:hanging="720"/>
        <w:jc w:val="both"/>
        <w:rPr>
          <w:lang w:val="en-US"/>
        </w:rPr>
      </w:pPr>
      <w:r>
        <w:t xml:space="preserve">ISP (2019). Declaración de la SIP sobre experticia de psicólogas y psicólogos en el campo de la salud mental y las ciencias del comportamiento. </w:t>
      </w:r>
      <w:r w:rsidRPr="004465FF">
        <w:rPr>
          <w:lang w:val="en-US"/>
        </w:rPr>
        <w:t xml:space="preserve">Retrieved from </w:t>
      </w:r>
      <w:hyperlink r:id="rId24">
        <w:r w:rsidRPr="004465FF">
          <w:rPr>
            <w:color w:val="0000FF"/>
            <w:u w:val="single"/>
            <w:lang w:val="en-US"/>
          </w:rPr>
          <w:t>https://archive.org/details/sip-2019-declaracion-experticia-en-salud-mental</w:t>
        </w:r>
      </w:hyperlink>
      <w:r w:rsidRPr="004465FF">
        <w:rPr>
          <w:lang w:val="en-US"/>
        </w:rPr>
        <w:t xml:space="preserve"> </w:t>
      </w:r>
    </w:p>
    <w:p w14:paraId="4473FC34" w14:textId="77777777" w:rsidR="007B6D8F" w:rsidRPr="004465FF" w:rsidRDefault="00000000" w:rsidP="004465FF">
      <w:pPr>
        <w:jc w:val="both"/>
        <w:rPr>
          <w:lang w:val="en-US"/>
        </w:rPr>
      </w:pPr>
      <w:r w:rsidRPr="004465FF">
        <w:rPr>
          <w:lang w:val="en-US"/>
        </w:rPr>
        <w:t>Lovibond, P. F., &amp; Lovibond, S. H. (1995). The structure of negative emotional states:</w:t>
      </w:r>
    </w:p>
    <w:p w14:paraId="309F3C92" w14:textId="77777777" w:rsidR="007B6D8F" w:rsidRPr="004465FF" w:rsidRDefault="00000000" w:rsidP="004465FF">
      <w:pPr>
        <w:ind w:left="720"/>
        <w:jc w:val="both"/>
        <w:rPr>
          <w:lang w:val="en-US"/>
        </w:rPr>
      </w:pPr>
      <w:r w:rsidRPr="004465FF">
        <w:rPr>
          <w:lang w:val="en-US"/>
        </w:rPr>
        <w:t xml:space="preserve">Comparison of the depression anxiety stress scales (DASS) with the beck depression and anxiety inventories. </w:t>
      </w:r>
      <w:r w:rsidRPr="004465FF">
        <w:rPr>
          <w:i/>
          <w:lang w:val="en-US"/>
        </w:rPr>
        <w:t>Behaviour Research and Therapy</w:t>
      </w:r>
      <w:r w:rsidRPr="004465FF">
        <w:rPr>
          <w:lang w:val="en-US"/>
        </w:rPr>
        <w:t xml:space="preserve">, </w:t>
      </w:r>
      <w:r w:rsidRPr="004465FF">
        <w:rPr>
          <w:i/>
          <w:lang w:val="en-US"/>
        </w:rPr>
        <w:t>33</w:t>
      </w:r>
      <w:r w:rsidRPr="004465FF">
        <w:rPr>
          <w:lang w:val="en-US"/>
        </w:rPr>
        <w:t xml:space="preserve">(3), 335–343. </w:t>
      </w:r>
      <w:hyperlink r:id="rId25">
        <w:r w:rsidR="007B6D8F" w:rsidRPr="004465FF">
          <w:rPr>
            <w:color w:val="1155CC"/>
            <w:u w:val="single"/>
            <w:lang w:val="en-US"/>
          </w:rPr>
          <w:t>https://doi.org/10.1016/0005-7967(94)00075-u</w:t>
        </w:r>
      </w:hyperlink>
    </w:p>
    <w:p w14:paraId="67E3732B" w14:textId="77777777" w:rsidR="007B6D8F" w:rsidRDefault="00000000" w:rsidP="004465FF">
      <w:pPr>
        <w:jc w:val="both"/>
      </w:pPr>
      <w:r w:rsidRPr="004465FF">
        <w:rPr>
          <w:lang w:val="en-US"/>
        </w:rPr>
        <w:t xml:space="preserve">Mariano, T. E., Nobrega, J. M., Pimentel, C. E., Paiva, T. T., &amp; Alves, T. P. (2019). </w:t>
      </w:r>
      <w:r>
        <w:t>Evidências</w:t>
      </w:r>
    </w:p>
    <w:p w14:paraId="1BC6396D" w14:textId="77777777" w:rsidR="007B6D8F" w:rsidRPr="004465FF" w:rsidRDefault="00000000" w:rsidP="004465FF">
      <w:pPr>
        <w:ind w:left="720"/>
        <w:jc w:val="both"/>
        <w:rPr>
          <w:lang w:val="en-US"/>
        </w:rPr>
      </w:pPr>
      <w:r>
        <w:t xml:space="preserve">Psicométricas do Questionário de Engajamento em Mídias Sociais. </w:t>
      </w:r>
      <w:r>
        <w:rPr>
          <w:i/>
        </w:rPr>
        <w:t>Revista de Psicologia Da IMED</w:t>
      </w:r>
      <w:r>
        <w:t xml:space="preserve">, </w:t>
      </w:r>
      <w:r>
        <w:rPr>
          <w:i/>
        </w:rPr>
        <w:t>11</w:t>
      </w:r>
      <w:r>
        <w:t xml:space="preserve">(2), 115–128. </w:t>
      </w:r>
      <w:hyperlink r:id="rId26">
        <w:r w:rsidR="007B6D8F" w:rsidRPr="004465FF">
          <w:rPr>
            <w:color w:val="1155CC"/>
            <w:u w:val="single"/>
            <w:lang w:val="en-US"/>
          </w:rPr>
          <w:t>https://doi.org/10.18256/2175-5027.2019.v11i2.3303</w:t>
        </w:r>
      </w:hyperlink>
    </w:p>
    <w:p w14:paraId="1E95C74B" w14:textId="77777777" w:rsidR="007B6D8F" w:rsidRPr="004465FF" w:rsidRDefault="00000000" w:rsidP="004465FF">
      <w:pPr>
        <w:jc w:val="both"/>
        <w:rPr>
          <w:i/>
          <w:lang w:val="en-US"/>
        </w:rPr>
      </w:pPr>
      <w:r w:rsidRPr="004465FF">
        <w:rPr>
          <w:lang w:val="en-US"/>
        </w:rPr>
        <w:t xml:space="preserve">Pan American Health Organization. (2023). </w:t>
      </w:r>
      <w:r w:rsidRPr="004465FF">
        <w:rPr>
          <w:i/>
          <w:lang w:val="en-US"/>
        </w:rPr>
        <w:t>A New Agenda for Mental Health in the Americas:</w:t>
      </w:r>
    </w:p>
    <w:p w14:paraId="730B40AA" w14:textId="77777777" w:rsidR="007B6D8F" w:rsidRPr="004465FF" w:rsidRDefault="00000000" w:rsidP="004465FF">
      <w:pPr>
        <w:ind w:left="720"/>
        <w:jc w:val="both"/>
        <w:rPr>
          <w:lang w:val="en-US"/>
        </w:rPr>
      </w:pPr>
      <w:r w:rsidRPr="004465FF">
        <w:rPr>
          <w:i/>
          <w:lang w:val="en-US"/>
        </w:rPr>
        <w:t>Report of the Pan American Health Organization High-Level Commission on Mental Health and COVID-19</w:t>
      </w:r>
      <w:r w:rsidRPr="004465FF">
        <w:rPr>
          <w:lang w:val="en-US"/>
        </w:rPr>
        <w:t xml:space="preserve">. </w:t>
      </w:r>
      <w:hyperlink r:id="rId27">
        <w:r w:rsidR="007B6D8F" w:rsidRPr="004465FF">
          <w:rPr>
            <w:color w:val="1155CC"/>
            <w:u w:val="single"/>
            <w:lang w:val="en-US"/>
          </w:rPr>
          <w:t>https://iris.paho.org/handle/10665.2/57508</w:t>
        </w:r>
      </w:hyperlink>
    </w:p>
    <w:p w14:paraId="11BCB159" w14:textId="77777777" w:rsidR="007B6D8F" w:rsidRPr="004465FF" w:rsidRDefault="00000000" w:rsidP="004465FF">
      <w:pPr>
        <w:jc w:val="both"/>
        <w:rPr>
          <w:lang w:val="en-US"/>
        </w:rPr>
      </w:pPr>
      <w:r w:rsidRPr="004465FF">
        <w:rPr>
          <w:lang w:val="en-US"/>
        </w:rPr>
        <w:t xml:space="preserve">Pan American Health Organization. (2022). </w:t>
      </w:r>
      <w:r w:rsidRPr="004465FF">
        <w:rPr>
          <w:i/>
          <w:lang w:val="en-US"/>
        </w:rPr>
        <w:t>Mental Health</w:t>
      </w:r>
      <w:r w:rsidRPr="004465FF">
        <w:rPr>
          <w:lang w:val="en-US"/>
        </w:rPr>
        <w:t xml:space="preserve"> [Review of </w:t>
      </w:r>
      <w:r w:rsidRPr="004465FF">
        <w:rPr>
          <w:i/>
          <w:lang w:val="en-US"/>
        </w:rPr>
        <w:t>Mental Health</w:t>
      </w:r>
      <w:r w:rsidRPr="004465FF">
        <w:rPr>
          <w:lang w:val="en-US"/>
        </w:rPr>
        <w:t>].</w:t>
      </w:r>
    </w:p>
    <w:p w14:paraId="0EEC52EA" w14:textId="77777777" w:rsidR="007B6D8F" w:rsidRPr="004465FF" w:rsidRDefault="007B6D8F" w:rsidP="004465FF">
      <w:pPr>
        <w:ind w:firstLine="720"/>
        <w:jc w:val="both"/>
        <w:rPr>
          <w:lang w:val="en-US"/>
        </w:rPr>
      </w:pPr>
      <w:hyperlink r:id="rId28">
        <w:r w:rsidRPr="004465FF">
          <w:rPr>
            <w:color w:val="1155CC"/>
            <w:u w:val="single"/>
            <w:lang w:val="en-US"/>
          </w:rPr>
          <w:t>https://www.paho.org/en/topics/mental-health</w:t>
        </w:r>
      </w:hyperlink>
    </w:p>
    <w:p w14:paraId="1B359B99" w14:textId="77777777" w:rsidR="007B6D8F" w:rsidRDefault="00000000" w:rsidP="004465FF">
      <w:pPr>
        <w:jc w:val="both"/>
      </w:pPr>
      <w:r>
        <w:t>Patias, N. D., Machado, W. D. L., Bandeira, D. R., &amp; Dell’Aglio, D. D. (2016). Depression</w:t>
      </w:r>
    </w:p>
    <w:p w14:paraId="729F0615" w14:textId="77777777" w:rsidR="007B6D8F" w:rsidRPr="004465FF" w:rsidRDefault="00000000" w:rsidP="004465FF">
      <w:pPr>
        <w:ind w:left="720"/>
        <w:jc w:val="both"/>
        <w:rPr>
          <w:lang w:val="en-US"/>
        </w:rPr>
      </w:pPr>
      <w:r>
        <w:t xml:space="preserve">Anxiety and Stress Scale (DASS-21) - Short Form: Adaptação e Validação para Adolescentes Brasileiros. </w:t>
      </w:r>
      <w:r w:rsidRPr="004465FF">
        <w:rPr>
          <w:i/>
          <w:lang w:val="en-US"/>
        </w:rPr>
        <w:t>Psico-USF</w:t>
      </w:r>
      <w:r w:rsidRPr="004465FF">
        <w:rPr>
          <w:lang w:val="en-US"/>
        </w:rPr>
        <w:t xml:space="preserve">, </w:t>
      </w:r>
      <w:r w:rsidRPr="004465FF">
        <w:rPr>
          <w:i/>
          <w:lang w:val="en-US"/>
        </w:rPr>
        <w:t>21</w:t>
      </w:r>
      <w:r w:rsidRPr="004465FF">
        <w:rPr>
          <w:lang w:val="en-US"/>
        </w:rPr>
        <w:t xml:space="preserve">(3), 459–469. </w:t>
      </w:r>
      <w:hyperlink r:id="rId29">
        <w:r w:rsidR="007B6D8F" w:rsidRPr="004465FF">
          <w:rPr>
            <w:color w:val="1155CC"/>
            <w:u w:val="single"/>
            <w:lang w:val="en-US"/>
          </w:rPr>
          <w:t>https://doi.org/10.1590/1413-82712016210302</w:t>
        </w:r>
      </w:hyperlink>
    </w:p>
    <w:p w14:paraId="59B95B19" w14:textId="77777777" w:rsidR="007B6D8F" w:rsidRPr="004465FF" w:rsidRDefault="00000000" w:rsidP="004465FF">
      <w:pPr>
        <w:jc w:val="both"/>
        <w:rPr>
          <w:lang w:val="en-US"/>
        </w:rPr>
      </w:pPr>
      <w:r w:rsidRPr="004465FF">
        <w:rPr>
          <w:lang w:val="en-US"/>
        </w:rPr>
        <w:t>Tosun, L. P. (2012). Motives for Facebook use and expressing “true self” on the Internet.</w:t>
      </w:r>
    </w:p>
    <w:p w14:paraId="36E8B782" w14:textId="77777777" w:rsidR="007B6D8F" w:rsidRPr="004465FF" w:rsidRDefault="00000000" w:rsidP="004465FF">
      <w:pPr>
        <w:ind w:left="720"/>
        <w:jc w:val="both"/>
        <w:rPr>
          <w:lang w:val="en-US"/>
        </w:rPr>
      </w:pPr>
      <w:r w:rsidRPr="004465FF">
        <w:rPr>
          <w:i/>
          <w:lang w:val="en-US"/>
        </w:rPr>
        <w:t>Computers in Human Behavior</w:t>
      </w:r>
      <w:r w:rsidRPr="004465FF">
        <w:rPr>
          <w:lang w:val="en-US"/>
        </w:rPr>
        <w:t xml:space="preserve">, </w:t>
      </w:r>
      <w:r w:rsidRPr="004465FF">
        <w:rPr>
          <w:i/>
          <w:lang w:val="en-US"/>
        </w:rPr>
        <w:t>28</w:t>
      </w:r>
      <w:r w:rsidRPr="004465FF">
        <w:rPr>
          <w:lang w:val="en-US"/>
        </w:rPr>
        <w:t xml:space="preserve">(4), 1510–1517. </w:t>
      </w:r>
      <w:hyperlink r:id="rId30">
        <w:r w:rsidR="007B6D8F" w:rsidRPr="004465FF">
          <w:rPr>
            <w:color w:val="1155CC"/>
            <w:u w:val="single"/>
            <w:lang w:val="en-US"/>
          </w:rPr>
          <w:t>https://doi.org/10.1016/j.chb.2012.03.018</w:t>
        </w:r>
      </w:hyperlink>
    </w:p>
    <w:p w14:paraId="18D4BF82" w14:textId="77777777" w:rsidR="007B6D8F" w:rsidRPr="004465FF" w:rsidRDefault="00000000" w:rsidP="004465FF">
      <w:pPr>
        <w:pBdr>
          <w:top w:val="nil"/>
          <w:left w:val="nil"/>
          <w:bottom w:val="nil"/>
          <w:right w:val="nil"/>
          <w:between w:val="nil"/>
        </w:pBdr>
        <w:jc w:val="both"/>
        <w:rPr>
          <w:lang w:val="en-US"/>
        </w:rPr>
      </w:pPr>
      <w:r w:rsidRPr="004465FF">
        <w:rPr>
          <w:lang w:val="en-US"/>
        </w:rPr>
        <w:t>Twenge, J. M. (2019). More Time on Technology, Less Happiness? Associations Between</w:t>
      </w:r>
    </w:p>
    <w:p w14:paraId="34C3AA6E" w14:textId="77777777" w:rsidR="007B6D8F" w:rsidRPr="004465FF" w:rsidRDefault="00000000" w:rsidP="004465FF">
      <w:pPr>
        <w:pBdr>
          <w:top w:val="nil"/>
          <w:left w:val="nil"/>
          <w:bottom w:val="nil"/>
          <w:right w:val="nil"/>
          <w:between w:val="nil"/>
        </w:pBdr>
        <w:ind w:left="720"/>
        <w:jc w:val="both"/>
        <w:rPr>
          <w:lang w:val="en-US"/>
        </w:rPr>
      </w:pPr>
      <w:r w:rsidRPr="004465FF">
        <w:rPr>
          <w:lang w:val="en-US"/>
        </w:rPr>
        <w:t xml:space="preserve">Digital-Media Use and Psychological Well-Being. </w:t>
      </w:r>
      <w:r w:rsidRPr="004465FF">
        <w:rPr>
          <w:i/>
          <w:lang w:val="en-US"/>
        </w:rPr>
        <w:t>Current Directions in Psychological Science</w:t>
      </w:r>
      <w:r w:rsidRPr="004465FF">
        <w:rPr>
          <w:lang w:val="en-US"/>
        </w:rPr>
        <w:t xml:space="preserve">, </w:t>
      </w:r>
      <w:r w:rsidRPr="004465FF">
        <w:rPr>
          <w:i/>
          <w:lang w:val="en-US"/>
        </w:rPr>
        <w:t>28</w:t>
      </w:r>
      <w:r w:rsidRPr="004465FF">
        <w:rPr>
          <w:lang w:val="en-US"/>
        </w:rPr>
        <w:t xml:space="preserve">(4), 372–379. </w:t>
      </w:r>
      <w:hyperlink r:id="rId31">
        <w:r w:rsidR="007B6D8F" w:rsidRPr="004465FF">
          <w:rPr>
            <w:color w:val="1155CC"/>
            <w:u w:val="single"/>
            <w:lang w:val="en-US"/>
          </w:rPr>
          <w:t>https://doi.org/10.1177/0963721419838244</w:t>
        </w:r>
      </w:hyperlink>
    </w:p>
    <w:p w14:paraId="516E0D62" w14:textId="77777777" w:rsidR="007B6D8F" w:rsidRPr="004465FF" w:rsidRDefault="00000000" w:rsidP="004465FF">
      <w:pPr>
        <w:pBdr>
          <w:top w:val="nil"/>
          <w:left w:val="nil"/>
          <w:bottom w:val="nil"/>
          <w:right w:val="nil"/>
          <w:between w:val="nil"/>
        </w:pBdr>
        <w:ind w:left="720" w:hanging="720"/>
        <w:jc w:val="both"/>
        <w:rPr>
          <w:highlight w:val="white"/>
          <w:lang w:val="en-US"/>
        </w:rPr>
      </w:pPr>
      <w:r w:rsidRPr="004465FF">
        <w:rPr>
          <w:highlight w:val="white"/>
          <w:lang w:val="en-US"/>
        </w:rPr>
        <w:t xml:space="preserve">Twenge, J. M., Martin, G. N., &amp; Campbell, W. K. (2018). Decreases in psychological well-being among American adolescents after 2012 and links to screen time during the rise of smartphone technology. </w:t>
      </w:r>
      <w:r w:rsidRPr="004465FF">
        <w:rPr>
          <w:i/>
          <w:highlight w:val="white"/>
          <w:lang w:val="en-US"/>
        </w:rPr>
        <w:t>Emotion (Washington, D.C.)</w:t>
      </w:r>
      <w:r w:rsidRPr="004465FF">
        <w:rPr>
          <w:highlight w:val="white"/>
          <w:lang w:val="en-US"/>
        </w:rPr>
        <w:t xml:space="preserve">, </w:t>
      </w:r>
      <w:r w:rsidRPr="004465FF">
        <w:rPr>
          <w:i/>
          <w:highlight w:val="white"/>
          <w:lang w:val="en-US"/>
        </w:rPr>
        <w:t>18</w:t>
      </w:r>
      <w:r w:rsidRPr="004465FF">
        <w:rPr>
          <w:highlight w:val="white"/>
          <w:lang w:val="en-US"/>
        </w:rPr>
        <w:t xml:space="preserve">(6), 765–780. </w:t>
      </w:r>
      <w:hyperlink r:id="rId32">
        <w:r w:rsidR="007B6D8F" w:rsidRPr="004465FF">
          <w:rPr>
            <w:color w:val="1155CC"/>
            <w:highlight w:val="white"/>
            <w:u w:val="single"/>
            <w:lang w:val="en-US"/>
          </w:rPr>
          <w:t>https://doi.org/10.1037/emo0000403</w:t>
        </w:r>
      </w:hyperlink>
    </w:p>
    <w:p w14:paraId="06045720" w14:textId="77777777" w:rsidR="007B6D8F" w:rsidRPr="004465FF" w:rsidRDefault="00000000" w:rsidP="004465FF">
      <w:pPr>
        <w:pBdr>
          <w:top w:val="nil"/>
          <w:left w:val="nil"/>
          <w:bottom w:val="nil"/>
          <w:right w:val="nil"/>
          <w:between w:val="nil"/>
        </w:pBdr>
        <w:ind w:left="720" w:hanging="720"/>
        <w:jc w:val="both"/>
        <w:rPr>
          <w:highlight w:val="white"/>
          <w:lang w:val="en-US"/>
        </w:rPr>
      </w:pPr>
      <w:r w:rsidRPr="004465FF">
        <w:rPr>
          <w:highlight w:val="white"/>
          <w:lang w:val="en-US"/>
        </w:rPr>
        <w:t>Wills, T. A. (1981). Downward comparison principles in social psychology. Psychological bulletin, 90(2), 245.</w:t>
      </w:r>
    </w:p>
    <w:p w14:paraId="6F8F1707" w14:textId="77777777" w:rsidR="007B6D8F" w:rsidRPr="004465FF" w:rsidRDefault="00000000" w:rsidP="004465FF">
      <w:pPr>
        <w:pBdr>
          <w:top w:val="nil"/>
          <w:left w:val="nil"/>
          <w:bottom w:val="nil"/>
          <w:right w:val="nil"/>
          <w:between w:val="nil"/>
        </w:pBdr>
        <w:jc w:val="both"/>
        <w:rPr>
          <w:lang w:val="en-US"/>
        </w:rPr>
      </w:pPr>
      <w:r w:rsidRPr="004465FF">
        <w:rPr>
          <w:color w:val="000000"/>
          <w:lang w:val="en-US"/>
        </w:rPr>
        <w:t>Yoon, S., Kleinman, M., Mertz, J., &amp; Brannick, M. (2019). Is social network site usage related to</w:t>
      </w:r>
    </w:p>
    <w:p w14:paraId="5F734E6B" w14:textId="77777777" w:rsidR="007B6D8F" w:rsidRPr="004465FF" w:rsidRDefault="00000000" w:rsidP="004465FF">
      <w:pPr>
        <w:pBdr>
          <w:top w:val="nil"/>
          <w:left w:val="nil"/>
          <w:bottom w:val="nil"/>
          <w:right w:val="nil"/>
          <w:between w:val="nil"/>
        </w:pBdr>
        <w:ind w:left="720"/>
        <w:jc w:val="both"/>
        <w:rPr>
          <w:lang w:val="en-US"/>
        </w:rPr>
      </w:pPr>
      <w:r w:rsidRPr="004465FF">
        <w:rPr>
          <w:color w:val="000000"/>
          <w:lang w:val="en-US"/>
        </w:rPr>
        <w:t>depression? A meta-analysis of Facebook-depression relations. </w:t>
      </w:r>
      <w:r w:rsidRPr="004465FF">
        <w:rPr>
          <w:i/>
          <w:color w:val="000000"/>
          <w:lang w:val="en-US"/>
        </w:rPr>
        <w:t>Journal of affective disorders</w:t>
      </w:r>
      <w:r w:rsidRPr="004465FF">
        <w:rPr>
          <w:color w:val="000000"/>
          <w:lang w:val="en-US"/>
        </w:rPr>
        <w:t>, </w:t>
      </w:r>
      <w:r w:rsidRPr="004465FF">
        <w:rPr>
          <w:i/>
          <w:color w:val="000000"/>
          <w:lang w:val="en-US"/>
        </w:rPr>
        <w:t>248</w:t>
      </w:r>
      <w:r w:rsidRPr="004465FF">
        <w:rPr>
          <w:color w:val="000000"/>
          <w:lang w:val="en-US"/>
        </w:rPr>
        <w:t xml:space="preserve">, 65–72. </w:t>
      </w:r>
      <w:hyperlink r:id="rId33">
        <w:r w:rsidR="007B6D8F" w:rsidRPr="004465FF">
          <w:rPr>
            <w:color w:val="0000FF"/>
            <w:u w:val="single"/>
            <w:lang w:val="en-US"/>
          </w:rPr>
          <w:t>https://doi.org/10.1016/j.jad.2019.01.026</w:t>
        </w:r>
      </w:hyperlink>
    </w:p>
    <w:p w14:paraId="659447D8" w14:textId="77777777" w:rsidR="007B6D8F" w:rsidRPr="004465FF" w:rsidRDefault="00000000" w:rsidP="004465FF">
      <w:pPr>
        <w:pBdr>
          <w:top w:val="nil"/>
          <w:left w:val="nil"/>
          <w:bottom w:val="nil"/>
          <w:right w:val="nil"/>
          <w:between w:val="nil"/>
        </w:pBdr>
        <w:jc w:val="both"/>
        <w:rPr>
          <w:lang w:val="en-US"/>
        </w:rPr>
      </w:pPr>
      <w:r w:rsidRPr="004465FF">
        <w:rPr>
          <w:color w:val="000000"/>
          <w:lang w:val="en-US"/>
        </w:rPr>
        <w:t>Zheng, Y., Yang, X., Zhou, R., Niu, G., Liu, Q., &amp; Zhou, Z. (2020). Upward social comparison</w:t>
      </w:r>
    </w:p>
    <w:p w14:paraId="049515AB" w14:textId="77777777" w:rsidR="007B6D8F" w:rsidRDefault="00000000" w:rsidP="004465FF">
      <w:pPr>
        <w:pBdr>
          <w:top w:val="nil"/>
          <w:left w:val="nil"/>
          <w:bottom w:val="nil"/>
          <w:right w:val="nil"/>
          <w:between w:val="nil"/>
        </w:pBdr>
        <w:ind w:left="720"/>
        <w:jc w:val="both"/>
      </w:pPr>
      <w:r w:rsidRPr="004465FF">
        <w:rPr>
          <w:color w:val="000000"/>
          <w:lang w:val="en-US"/>
        </w:rPr>
        <w:t>and state anxiety as mediators between passive social network site usage and online compulsive buying among women. </w:t>
      </w:r>
      <w:r>
        <w:rPr>
          <w:i/>
          <w:color w:val="000000"/>
        </w:rPr>
        <w:t>Addictive behaviors</w:t>
      </w:r>
      <w:r>
        <w:rPr>
          <w:color w:val="000000"/>
        </w:rPr>
        <w:t>, </w:t>
      </w:r>
      <w:r>
        <w:rPr>
          <w:i/>
          <w:color w:val="000000"/>
        </w:rPr>
        <w:t>111</w:t>
      </w:r>
      <w:r>
        <w:rPr>
          <w:color w:val="000000"/>
        </w:rPr>
        <w:t xml:space="preserve">, 106569. </w:t>
      </w:r>
      <w:hyperlink r:id="rId34">
        <w:r w:rsidR="007B6D8F">
          <w:rPr>
            <w:color w:val="1155CC"/>
            <w:u w:val="single"/>
          </w:rPr>
          <w:t>https://doi.org/10.1016/j.addbeh.2020.106569</w:t>
        </w:r>
      </w:hyperlink>
    </w:p>
    <w:p w14:paraId="666CFFAF" w14:textId="77777777" w:rsidR="007B6D8F" w:rsidRDefault="00000000" w:rsidP="004465FF">
      <w:pPr>
        <w:pBdr>
          <w:top w:val="nil"/>
          <w:left w:val="nil"/>
          <w:bottom w:val="nil"/>
          <w:right w:val="nil"/>
          <w:between w:val="nil"/>
        </w:pBdr>
        <w:ind w:left="566" w:hanging="566"/>
        <w:jc w:val="both"/>
        <w:rPr>
          <w:highlight w:val="white"/>
        </w:rPr>
      </w:pPr>
      <w:r>
        <w:rPr>
          <w:highlight w:val="white"/>
        </w:rPr>
        <w:t xml:space="preserve">Zhang, C., Tang, L. &amp; Liu, Z. Como o uso da mídia social afeta o bem-estar psicológico e subjetivo: testando um modelo de mediação moderado. </w:t>
      </w:r>
      <w:r>
        <w:rPr>
          <w:i/>
          <w:highlight w:val="white"/>
        </w:rPr>
        <w:t xml:space="preserve">BMC Psychol </w:t>
      </w:r>
      <w:proofErr w:type="gramStart"/>
      <w:r>
        <w:rPr>
          <w:highlight w:val="white"/>
        </w:rPr>
        <w:t>11 ,</w:t>
      </w:r>
      <w:proofErr w:type="gramEnd"/>
      <w:r>
        <w:rPr>
          <w:highlight w:val="white"/>
        </w:rPr>
        <w:t xml:space="preserve"> 286 (2023). </w:t>
      </w:r>
      <w:hyperlink r:id="rId35">
        <w:r w:rsidR="007B6D8F">
          <w:rPr>
            <w:color w:val="1155CC"/>
            <w:highlight w:val="white"/>
            <w:u w:val="single"/>
          </w:rPr>
          <w:t>https://doi.org/10.1186/s40359-023-01311-2</w:t>
        </w:r>
      </w:hyperlink>
    </w:p>
    <w:p w14:paraId="7E99D01C" w14:textId="77777777" w:rsidR="007B6D8F" w:rsidRDefault="007B6D8F">
      <w:pPr>
        <w:pBdr>
          <w:top w:val="nil"/>
          <w:left w:val="nil"/>
          <w:bottom w:val="nil"/>
          <w:right w:val="nil"/>
          <w:between w:val="nil"/>
        </w:pBdr>
        <w:spacing w:line="480" w:lineRule="auto"/>
        <w:ind w:left="566" w:hanging="566"/>
        <w:jc w:val="both"/>
        <w:rPr>
          <w:highlight w:val="white"/>
        </w:rPr>
      </w:pPr>
    </w:p>
    <w:p w14:paraId="6DD1C5D2" w14:textId="77777777" w:rsidR="007B6D8F" w:rsidRDefault="007B6D8F">
      <w:pPr>
        <w:pBdr>
          <w:top w:val="nil"/>
          <w:left w:val="nil"/>
          <w:bottom w:val="nil"/>
          <w:right w:val="nil"/>
          <w:between w:val="nil"/>
        </w:pBdr>
        <w:spacing w:line="480" w:lineRule="auto"/>
        <w:jc w:val="both"/>
        <w:rPr>
          <w:highlight w:val="yellow"/>
        </w:rPr>
      </w:pPr>
    </w:p>
    <w:p w14:paraId="239EE8AD" w14:textId="77777777" w:rsidR="007B6D8F" w:rsidRDefault="007B6D8F">
      <w:pPr>
        <w:pBdr>
          <w:top w:val="nil"/>
          <w:left w:val="nil"/>
          <w:bottom w:val="nil"/>
          <w:right w:val="nil"/>
          <w:between w:val="nil"/>
        </w:pBdr>
        <w:spacing w:line="480" w:lineRule="auto"/>
        <w:jc w:val="both"/>
        <w:rPr>
          <w:highlight w:val="yellow"/>
        </w:rPr>
      </w:pPr>
    </w:p>
    <w:p w14:paraId="2250F12B" w14:textId="77777777" w:rsidR="007B6D8F" w:rsidRDefault="007B6D8F">
      <w:pPr>
        <w:pBdr>
          <w:top w:val="nil"/>
          <w:left w:val="nil"/>
          <w:bottom w:val="nil"/>
          <w:right w:val="nil"/>
          <w:between w:val="nil"/>
        </w:pBdr>
        <w:spacing w:line="480" w:lineRule="auto"/>
        <w:jc w:val="both"/>
        <w:rPr>
          <w:highlight w:val="yellow"/>
        </w:rPr>
      </w:pPr>
    </w:p>
    <w:p w14:paraId="1640BA91" w14:textId="77777777" w:rsidR="007B6D8F" w:rsidRDefault="007B6D8F">
      <w:pPr>
        <w:pBdr>
          <w:top w:val="nil"/>
          <w:left w:val="nil"/>
          <w:bottom w:val="nil"/>
          <w:right w:val="nil"/>
          <w:between w:val="nil"/>
        </w:pBdr>
        <w:spacing w:line="480" w:lineRule="auto"/>
        <w:jc w:val="both"/>
        <w:rPr>
          <w:highlight w:val="yellow"/>
        </w:rPr>
      </w:pPr>
    </w:p>
    <w:p w14:paraId="4C420C24" w14:textId="77777777" w:rsidR="007B6D8F" w:rsidRDefault="007B6D8F">
      <w:pPr>
        <w:pBdr>
          <w:top w:val="nil"/>
          <w:left w:val="nil"/>
          <w:bottom w:val="nil"/>
          <w:right w:val="nil"/>
          <w:between w:val="nil"/>
        </w:pBdr>
        <w:spacing w:line="480" w:lineRule="auto"/>
        <w:jc w:val="both"/>
        <w:rPr>
          <w:highlight w:val="yellow"/>
        </w:rPr>
      </w:pPr>
    </w:p>
    <w:p w14:paraId="1CD89526" w14:textId="77777777" w:rsidR="007B6D8F" w:rsidRDefault="007B6D8F">
      <w:pPr>
        <w:pBdr>
          <w:top w:val="nil"/>
          <w:left w:val="nil"/>
          <w:bottom w:val="nil"/>
          <w:right w:val="nil"/>
          <w:between w:val="nil"/>
        </w:pBdr>
        <w:spacing w:line="480" w:lineRule="auto"/>
        <w:jc w:val="both"/>
        <w:rPr>
          <w:highlight w:val="yellow"/>
        </w:rPr>
      </w:pPr>
    </w:p>
    <w:p w14:paraId="3BDEA500" w14:textId="77777777" w:rsidR="007B6D8F" w:rsidRDefault="007B6D8F">
      <w:pPr>
        <w:pBdr>
          <w:top w:val="nil"/>
          <w:left w:val="nil"/>
          <w:bottom w:val="nil"/>
          <w:right w:val="nil"/>
          <w:between w:val="nil"/>
        </w:pBdr>
        <w:spacing w:line="480" w:lineRule="auto"/>
        <w:jc w:val="both"/>
        <w:rPr>
          <w:highlight w:val="yellow"/>
        </w:rPr>
      </w:pPr>
    </w:p>
    <w:p w14:paraId="676CD4CD" w14:textId="77777777" w:rsidR="007B6D8F" w:rsidRDefault="007B6D8F">
      <w:pPr>
        <w:pBdr>
          <w:top w:val="nil"/>
          <w:left w:val="nil"/>
          <w:bottom w:val="nil"/>
          <w:right w:val="nil"/>
          <w:between w:val="nil"/>
        </w:pBdr>
        <w:spacing w:line="480" w:lineRule="auto"/>
        <w:jc w:val="both"/>
        <w:rPr>
          <w:highlight w:val="yellow"/>
        </w:rPr>
      </w:pPr>
    </w:p>
    <w:p w14:paraId="552CBA93" w14:textId="77777777" w:rsidR="007B6D8F" w:rsidRDefault="007B6D8F">
      <w:pPr>
        <w:pBdr>
          <w:top w:val="nil"/>
          <w:left w:val="nil"/>
          <w:bottom w:val="nil"/>
          <w:right w:val="nil"/>
          <w:between w:val="nil"/>
        </w:pBdr>
        <w:spacing w:line="480" w:lineRule="auto"/>
        <w:jc w:val="both"/>
      </w:pPr>
    </w:p>
    <w:p w14:paraId="2FFE8E24" w14:textId="77777777" w:rsidR="007B6D8F" w:rsidRDefault="007B6D8F">
      <w:pPr>
        <w:pBdr>
          <w:top w:val="nil"/>
          <w:left w:val="nil"/>
          <w:bottom w:val="nil"/>
          <w:right w:val="nil"/>
          <w:between w:val="nil"/>
        </w:pBdr>
        <w:spacing w:line="480" w:lineRule="auto"/>
        <w:jc w:val="both"/>
      </w:pPr>
    </w:p>
    <w:p w14:paraId="539FD4C4" w14:textId="77777777" w:rsidR="007B6D8F" w:rsidRDefault="00000000">
      <w:pPr>
        <w:shd w:val="clear" w:color="auto" w:fill="FFFFFF"/>
        <w:spacing w:line="480" w:lineRule="auto"/>
        <w:jc w:val="right"/>
        <w:rPr>
          <w:i/>
          <w:sz w:val="20"/>
          <w:szCs w:val="20"/>
        </w:rPr>
      </w:pPr>
      <w:r>
        <w:rPr>
          <w:i/>
          <w:sz w:val="20"/>
          <w:szCs w:val="20"/>
        </w:rPr>
        <w:t xml:space="preserve">Received: </w:t>
      </w:r>
    </w:p>
    <w:p w14:paraId="35B24D4D" w14:textId="77777777" w:rsidR="007B6D8F" w:rsidRDefault="00000000">
      <w:pPr>
        <w:shd w:val="clear" w:color="auto" w:fill="FFFFFF"/>
        <w:spacing w:line="480" w:lineRule="auto"/>
        <w:jc w:val="right"/>
      </w:pPr>
      <w:r>
        <w:rPr>
          <w:i/>
          <w:sz w:val="20"/>
          <w:szCs w:val="20"/>
        </w:rPr>
        <w:t>Accepted:</w:t>
      </w:r>
    </w:p>
    <w:sectPr w:rsidR="007B6D8F">
      <w:headerReference w:type="even" r:id="rId36"/>
      <w:headerReference w:type="default" r:id="rId37"/>
      <w:footerReference w:type="even" r:id="rId38"/>
      <w:footerReference w:type="default" r:id="rId39"/>
      <w:pgSz w:w="12240" w:h="15840"/>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91C0D" w14:textId="77777777" w:rsidR="00FC4D80" w:rsidRDefault="00FC4D80">
      <w:r>
        <w:separator/>
      </w:r>
    </w:p>
  </w:endnote>
  <w:endnote w:type="continuationSeparator" w:id="0">
    <w:p w14:paraId="63A973D8" w14:textId="77777777" w:rsidR="00FC4D80" w:rsidRDefault="00FC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A8C77A-C092-4935-A630-102F651B20ED}"/>
  </w:font>
  <w:font w:name="Georgia">
    <w:panose1 w:val="02040502050405020303"/>
    <w:charset w:val="00"/>
    <w:family w:val="roman"/>
    <w:pitch w:val="variable"/>
    <w:sig w:usb0="00000287" w:usb1="00000000" w:usb2="00000000" w:usb3="00000000" w:csb0="0000009F" w:csb1="00000000"/>
    <w:embedRegular r:id="rId2" w:fontKey="{C2DED437-94EB-44C9-886C-0A642ED75B2F}"/>
    <w:embedItalic r:id="rId3" w:fontKey="{DD85E96B-6727-4F17-AF5D-37E4E1C2CE2A}"/>
  </w:font>
  <w:font w:name="Times">
    <w:panose1 w:val="02020603050405020304"/>
    <w:charset w:val="00"/>
    <w:family w:val="roman"/>
    <w:pitch w:val="variable"/>
    <w:sig w:usb0="E0002EFF" w:usb1="C000785B" w:usb2="00000009" w:usb3="00000000" w:csb0="000001FF" w:csb1="00000000"/>
    <w:embedRegular r:id="rId4" w:fontKey="{B5ADC1AF-2FEA-4447-8DCC-A82E94107FE9}"/>
    <w:embedItalic r:id="rId5" w:fontKey="{82FBDA6D-67BD-4149-BDF9-85D24E48DCF6}"/>
    <w:embedBoldItalic r:id="rId6" w:fontKey="{4B71B151-8CC0-4157-BE5E-FBD774C1C65C}"/>
  </w:font>
  <w:font w:name="Cambria Math">
    <w:panose1 w:val="02040503050406030204"/>
    <w:charset w:val="00"/>
    <w:family w:val="roman"/>
    <w:pitch w:val="variable"/>
    <w:sig w:usb0="E00006FF" w:usb1="420024FF" w:usb2="02000000" w:usb3="00000000" w:csb0="0000019F" w:csb1="00000000"/>
    <w:embedRegular r:id="rId7" w:fontKey="{504357D4-4CF8-4248-9D39-8EA99E927388}"/>
  </w:font>
  <w:font w:name="Cambria">
    <w:panose1 w:val="02040503050406030204"/>
    <w:charset w:val="00"/>
    <w:family w:val="roman"/>
    <w:pitch w:val="variable"/>
    <w:sig w:usb0="E00006FF" w:usb1="420024FF" w:usb2="02000000" w:usb3="00000000" w:csb0="0000019F" w:csb1="00000000"/>
    <w:embedRegular r:id="rId8" w:fontKey="{3AB3B0A6-CED5-4A91-B032-DC2533C430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9C4E2" w14:textId="77777777" w:rsidR="007B6D8F"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4465FF">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1A52E8A5" w14:textId="77777777" w:rsidR="007B6D8F" w:rsidRDefault="007B6D8F">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586E9" w14:textId="77777777" w:rsidR="007B6D8F"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4465FF">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54A55676" w14:textId="77777777" w:rsidR="007B6D8F" w:rsidRDefault="007B6D8F">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6196A" w14:textId="77777777" w:rsidR="00FC4D80" w:rsidRDefault="00FC4D80">
      <w:r>
        <w:separator/>
      </w:r>
    </w:p>
  </w:footnote>
  <w:footnote w:type="continuationSeparator" w:id="0">
    <w:p w14:paraId="133780E3" w14:textId="77777777" w:rsidR="00FC4D80" w:rsidRDefault="00FC4D80">
      <w:r>
        <w:continuationSeparator/>
      </w:r>
    </w:p>
  </w:footnote>
  <w:footnote w:id="1">
    <w:p w14:paraId="3600710B" w14:textId="77777777" w:rsidR="007B6D8F" w:rsidRDefault="00000000">
      <w:pPr>
        <w:jc w:val="both"/>
        <w:rPr>
          <w:sz w:val="20"/>
          <w:szCs w:val="20"/>
        </w:rPr>
      </w:pPr>
      <w:r>
        <w:rPr>
          <w:vertAlign w:val="superscript"/>
        </w:rPr>
        <w:footnoteRef/>
      </w:r>
      <w:r>
        <w:rPr>
          <w:sz w:val="20"/>
          <w:szCs w:val="20"/>
        </w:rPr>
        <w:t xml:space="preserve"> "Self": Em termos teóricos e de práticas psicológicas, diversas definições de Self coexistem, sendo utilizado de forma generalizada na clínica e na pesquisa. Assim, a perspectiva epistemológica adotada na presente pesquisa ao se falar de Self, o compreendemos como um construto complexo que diz respeito à percepção do indivíduo de si mesmo, abarcando sua identidade, autoimagem e autoestima. Ao passo em que este define como nós vemos (também em termos de comparação) e como os outros nos veem. (Macedo; Silveira, 2012, Aprile, Schultheisz, 2013).</w:t>
      </w:r>
    </w:p>
    <w:p w14:paraId="49FD82DF" w14:textId="77777777" w:rsidR="007B6D8F" w:rsidRDefault="007B6D8F">
      <w:pPr>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6EA25" w14:textId="77777777" w:rsidR="007B6D8F" w:rsidRDefault="00000000">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Manuscript submission model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59D12" w14:textId="77777777" w:rsidR="007B6D8F"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Psicología/Interamerican Journal of Psychology</w:t>
    </w:r>
    <w:r>
      <w:rPr>
        <w:noProof/>
      </w:rPr>
      <w:drawing>
        <wp:anchor distT="0" distB="0" distL="114300" distR="114300" simplePos="0" relativeHeight="251658240" behindDoc="0" locked="0" layoutInCell="1" hidden="0" allowOverlap="1" wp14:anchorId="1D02A47D" wp14:editId="096D025D">
          <wp:simplePos x="0" y="0"/>
          <wp:positionH relativeFrom="column">
            <wp:posOffset>64657</wp:posOffset>
          </wp:positionH>
          <wp:positionV relativeFrom="paragraph">
            <wp:posOffset>-253535</wp:posOffset>
          </wp:positionV>
          <wp:extent cx="681164" cy="628073"/>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22A7A737" w14:textId="77777777" w:rsidR="007B6D8F"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Manuscript submission model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8F"/>
    <w:rsid w:val="001115C0"/>
    <w:rsid w:val="002750E1"/>
    <w:rsid w:val="00370B0F"/>
    <w:rsid w:val="004465FF"/>
    <w:rsid w:val="007B6D8F"/>
    <w:rsid w:val="0088628B"/>
    <w:rsid w:val="008B7919"/>
    <w:rsid w:val="00BD37C9"/>
    <w:rsid w:val="00F24B51"/>
    <w:rsid w:val="00FC4D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480D0"/>
  <w15:docId w15:val="{21C43A5D-4C2A-4030-9748-6C69D0A1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B818CA"/>
    <w:pPr>
      <w:tabs>
        <w:tab w:val="center" w:pos="4252"/>
        <w:tab w:val="right" w:pos="8504"/>
      </w:tabs>
    </w:pPr>
  </w:style>
  <w:style w:type="character" w:customStyle="1" w:styleId="CabealhoChar">
    <w:name w:val="Cabeçalho Char"/>
    <w:basedOn w:val="Fontepargpadro"/>
    <w:link w:val="Cabealho"/>
    <w:uiPriority w:val="99"/>
    <w:rsid w:val="00B818CA"/>
  </w:style>
  <w:style w:type="paragraph" w:styleId="Rodap">
    <w:name w:val="footer"/>
    <w:basedOn w:val="Normal"/>
    <w:link w:val="RodapChar"/>
    <w:uiPriority w:val="99"/>
    <w:unhideWhenUsed/>
    <w:rsid w:val="00B818CA"/>
    <w:pPr>
      <w:tabs>
        <w:tab w:val="center" w:pos="4252"/>
        <w:tab w:val="right" w:pos="8504"/>
      </w:tabs>
    </w:pPr>
  </w:style>
  <w:style w:type="character" w:customStyle="1" w:styleId="RodapChar">
    <w:name w:val="Rodapé Char"/>
    <w:basedOn w:val="Fontepargpadro"/>
    <w:link w:val="Rodap"/>
    <w:uiPriority w:val="99"/>
    <w:rsid w:val="00B818CA"/>
  </w:style>
  <w:style w:type="character" w:styleId="Refdecomentrio">
    <w:name w:val="annotation reference"/>
    <w:basedOn w:val="Fontepargpadro"/>
    <w:uiPriority w:val="99"/>
    <w:semiHidden/>
    <w:unhideWhenUsed/>
    <w:rsid w:val="00DA50D3"/>
    <w:rPr>
      <w:sz w:val="16"/>
      <w:szCs w:val="16"/>
    </w:rPr>
  </w:style>
  <w:style w:type="paragraph" w:styleId="Textodecomentrio">
    <w:name w:val="annotation text"/>
    <w:basedOn w:val="Normal"/>
    <w:link w:val="TextodecomentrioChar"/>
    <w:uiPriority w:val="99"/>
    <w:unhideWhenUsed/>
    <w:rsid w:val="00DA50D3"/>
    <w:rPr>
      <w:sz w:val="20"/>
      <w:szCs w:val="20"/>
    </w:rPr>
  </w:style>
  <w:style w:type="character" w:customStyle="1" w:styleId="TextodecomentrioChar">
    <w:name w:val="Texto de comentário Char"/>
    <w:basedOn w:val="Fontepargpadro"/>
    <w:link w:val="Textodecomentrio"/>
    <w:uiPriority w:val="99"/>
    <w:rsid w:val="00DA50D3"/>
    <w:rPr>
      <w:sz w:val="20"/>
      <w:szCs w:val="20"/>
    </w:rPr>
  </w:style>
  <w:style w:type="paragraph" w:styleId="Assuntodocomentrio">
    <w:name w:val="annotation subject"/>
    <w:basedOn w:val="Textodecomentrio"/>
    <w:next w:val="Textodecomentrio"/>
    <w:link w:val="AssuntodocomentrioChar"/>
    <w:uiPriority w:val="99"/>
    <w:semiHidden/>
    <w:unhideWhenUsed/>
    <w:rsid w:val="00DA50D3"/>
    <w:rPr>
      <w:b/>
      <w:bCs/>
    </w:rPr>
  </w:style>
  <w:style w:type="character" w:customStyle="1" w:styleId="AssuntodocomentrioChar">
    <w:name w:val="Assunto do comentário Char"/>
    <w:basedOn w:val="TextodecomentrioChar"/>
    <w:link w:val="Assuntodocomentrio"/>
    <w:uiPriority w:val="99"/>
    <w:semiHidden/>
    <w:rsid w:val="00DA50D3"/>
    <w:rPr>
      <w:b/>
      <w:bCs/>
      <w:sz w:val="20"/>
      <w:szCs w:val="20"/>
    </w:rPr>
  </w:style>
  <w:style w:type="character" w:styleId="Hyperlink">
    <w:name w:val="Hyperlink"/>
    <w:basedOn w:val="Fontepargpadro"/>
    <w:uiPriority w:val="99"/>
    <w:unhideWhenUsed/>
    <w:rsid w:val="00F853A0"/>
    <w:rPr>
      <w:color w:val="0000FF"/>
      <w:u w:val="single"/>
    </w:rPr>
  </w:style>
  <w:style w:type="paragraph" w:styleId="NormalWeb">
    <w:name w:val="Normal (Web)"/>
    <w:basedOn w:val="Normal"/>
    <w:uiPriority w:val="99"/>
    <w:semiHidden/>
    <w:unhideWhenUsed/>
    <w:rsid w:val="007C27E3"/>
    <w:pPr>
      <w:spacing w:before="100" w:beforeAutospacing="1" w:after="100" w:afterAutospacing="1"/>
    </w:pPr>
  </w:style>
  <w:style w:type="character" w:styleId="MenoPendente">
    <w:name w:val="Unresolved Mention"/>
    <w:basedOn w:val="Fontepargpadro"/>
    <w:uiPriority w:val="99"/>
    <w:semiHidden/>
    <w:unhideWhenUsed/>
    <w:rsid w:val="00CE6EC8"/>
    <w:rPr>
      <w:color w:val="605E5C"/>
      <w:shd w:val="clear" w:color="auto" w:fill="E1DFDD"/>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001/jamapediatrics.2019.1759" TargetMode="External"/><Relationship Id="rId18" Type="http://schemas.openxmlformats.org/officeDocument/2006/relationships/hyperlink" Target="http://doi.org/10.333.23rlp10i2.298-299" TargetMode="External"/><Relationship Id="rId26" Type="http://schemas.openxmlformats.org/officeDocument/2006/relationships/hyperlink" Target="https://doi.org/10.18256/2175-5027.2019.v11i2.3303" TargetMode="External"/><Relationship Id="rId39" Type="http://schemas.openxmlformats.org/officeDocument/2006/relationships/footer" Target="footer2.xml"/><Relationship Id="rId21" Type="http://schemas.openxmlformats.org/officeDocument/2006/relationships/hyperlink" Target="https://archive.org/details/sip-2014-declaracion-sobre-ninos-migrantes-en-centro-america" TargetMode="External"/><Relationship Id="rId34" Type="http://schemas.openxmlformats.org/officeDocument/2006/relationships/hyperlink" Target="https://doi.org/10.1016/j.addbeh.2020.106569" TargetMode="External"/><Relationship Id="rId12" Type="http://schemas.openxmlformats.org/officeDocument/2006/relationships/hyperlink" Target="https://doi.org/10.1177/0706743719885486" TargetMode="External"/><Relationship Id="rId17" Type="http://schemas.openxmlformats.org/officeDocument/2006/relationships/hyperlink" Target="https://www.iupsys.net/about/governance/universal-declaration-of-ethical-principles-for-psychologists.html" TargetMode="External"/><Relationship Id="rId25" Type="http://schemas.openxmlformats.org/officeDocument/2006/relationships/hyperlink" Target="https://doi.org/10.1016/0005-7967(94)00075-u" TargetMode="External"/><Relationship Id="rId33" Type="http://schemas.openxmlformats.org/officeDocument/2006/relationships/hyperlink" Target="https://doi.org/10.1016/j.jad.2019.01.026"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37/0022-3514.76.1.129" TargetMode="External"/><Relationship Id="rId20" Type="http://schemas.openxmlformats.org/officeDocument/2006/relationships/hyperlink" Target="https://archive.org/details/sip-2008b-declaracion-sobre-principios-eticos" TargetMode="External"/><Relationship Id="rId29" Type="http://schemas.openxmlformats.org/officeDocument/2006/relationships/hyperlink" Target="https://doi.org/10.1590/1413-8271201621030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sycnet.apa.org/doi/10.1007/s40501-024-00313-0" TargetMode="External"/><Relationship Id="rId24" Type="http://schemas.openxmlformats.org/officeDocument/2006/relationships/hyperlink" Target="https://archive.org/details/sip-2019-declaracion-experticia-en-salud-mental" TargetMode="External"/><Relationship Id="rId32" Type="http://schemas.openxmlformats.org/officeDocument/2006/relationships/hyperlink" Target="https://doi.org/10.1037/emo0000403"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77/001872675400700202" TargetMode="External"/><Relationship Id="rId23" Type="http://schemas.openxmlformats.org/officeDocument/2006/relationships/hyperlink" Target="https://archive.org/details/sip-2018-position-statement-on-immigration" TargetMode="External"/><Relationship Id="rId28" Type="http://schemas.openxmlformats.org/officeDocument/2006/relationships/hyperlink" Target="https://www.paho.org/en/topics/mental-health"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archive.org/details/sip-2008a-declaracion-sobre-terapias-de-conversion" TargetMode="External"/><Relationship Id="rId31" Type="http://schemas.openxmlformats.org/officeDocument/2006/relationships/hyperlink" Target="https://doi.org/10.1177/0963721419838244"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ioms.ch/wp-content/uploads/2017/12/CIOMS-EthicalGuideline_SP_INTERIOR-FINAL.pdf" TargetMode="External"/><Relationship Id="rId22" Type="http://schemas.openxmlformats.org/officeDocument/2006/relationships/hyperlink" Target="https://archive.org/details/sip-2016-declaracion-apoyo-a-acuerdos-de-paz-en-colombia" TargetMode="External"/><Relationship Id="rId27" Type="http://schemas.openxmlformats.org/officeDocument/2006/relationships/hyperlink" Target="https://iris.paho.org/handle/10665.2/57508" TargetMode="External"/><Relationship Id="rId30" Type="http://schemas.openxmlformats.org/officeDocument/2006/relationships/hyperlink" Target="https://doi.org/10.1016/j.chb.2012.03.018" TargetMode="External"/><Relationship Id="rId35" Type="http://schemas.openxmlformats.org/officeDocument/2006/relationships/hyperlink" Target="https://doi.org/10.1186/s40359-023-01311-2" TargetMode="External"/><Relationship Id="rId8" Type="http://schemas.openxmlformats.org/officeDocument/2006/relationships/image" Target="media/image4.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CmH5rDu1puyim0nD7X04TaasgQ==">CgMxLjAyCWguMzBqMHpsbDgAciExemxvQ2NKUlVxQjdPUm5odl9KSmZlb0M2N1FlMjZrbGw=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5545</Words>
  <Characters>29947</Characters>
  <Application>Microsoft Office Word</Application>
  <DocSecurity>0</DocSecurity>
  <Lines>249</Lines>
  <Paragraphs>70</Paragraphs>
  <ScaleCrop>false</ScaleCrop>
  <Company/>
  <LinksUpToDate>false</LinksUpToDate>
  <CharactersWithSpaces>35422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suiane tavares</dc:creator>
  <cp:lastModifiedBy>suiane tavares</cp:lastModifiedBy>
  <cp:revision>4</cp:revision>
  <dcterms:created xsi:type="dcterms:W3CDTF">2024-11-16T20:57:00Z</dcterms:created>
  <dcterms:modified xsi:type="dcterms:W3CDTF">2024-12-12T18:54:00Z</dcterms:modified>
</cp:coreProperties>
</file>