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3D9E" w14:textId="77777777" w:rsidR="007B5D6A" w:rsidRDefault="00000000">
      <w:pPr>
        <w:ind w:right="20"/>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Construcción de un instrumento para valorar la adaptación social en adolescentes - Piura</w:t>
      </w:r>
    </w:p>
    <w:p w14:paraId="063295DE" w14:textId="77777777" w:rsidR="007B5D6A" w:rsidRDefault="007B5D6A">
      <w:pPr>
        <w:ind w:right="20"/>
        <w:jc w:val="both"/>
        <w:rPr>
          <w:rFonts w:ascii="Times New Roman" w:eastAsia="Times New Roman" w:hAnsi="Times New Roman" w:cs="Times New Roman"/>
          <w:b/>
          <w:sz w:val="34"/>
          <w:szCs w:val="34"/>
        </w:rPr>
      </w:pPr>
    </w:p>
    <w:p w14:paraId="5DAC135A" w14:textId="77777777" w:rsidR="007B5D6A" w:rsidRDefault="00000000">
      <w:pPr>
        <w:ind w:right="20"/>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Construction of an Instrument to Assess Social Adaptation in Adolescents – Piura</w:t>
      </w:r>
    </w:p>
    <w:p w14:paraId="2D6F5C42" w14:textId="77777777" w:rsidR="007B5D6A" w:rsidRDefault="007B5D6A">
      <w:pPr>
        <w:ind w:right="20"/>
      </w:pPr>
    </w:p>
    <w:p w14:paraId="24330D6B" w14:textId="77777777" w:rsidR="007B5D6A" w:rsidRDefault="007B5D6A">
      <w:pPr>
        <w:ind w:right="20"/>
        <w:rPr>
          <w:rFonts w:ascii="Times New Roman" w:eastAsia="Times New Roman" w:hAnsi="Times New Roman" w:cs="Times New Roman"/>
          <w:sz w:val="24"/>
          <w:szCs w:val="24"/>
        </w:rPr>
      </w:pPr>
    </w:p>
    <w:p w14:paraId="5596999C" w14:textId="77777777" w:rsidR="007B5D6A" w:rsidRDefault="00000000">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Favio André Reyes-Quezada</w:t>
      </w:r>
      <w:r>
        <w:rPr>
          <w:sz w:val="28"/>
          <w:szCs w:val="28"/>
          <w:highlight w:val="white"/>
        </w:rPr>
        <w:t>*</w:t>
      </w:r>
    </w:p>
    <w:p w14:paraId="0D8FEA6A" w14:textId="77777777" w:rsidR="007B5D6A" w:rsidRDefault="00000000">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Gabriel Espinoza-Benites </w:t>
      </w:r>
    </w:p>
    <w:p w14:paraId="652097D5" w14:textId="77777777" w:rsidR="007B5D6A" w:rsidRDefault="00000000">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Greace Mariette Pinto-García  </w:t>
      </w:r>
    </w:p>
    <w:p w14:paraId="2E6DB07B" w14:textId="77777777" w:rsidR="007B5D6A" w:rsidRDefault="007B5D6A"/>
    <w:p w14:paraId="411819F4" w14:textId="77777777" w:rsidR="007B5D6A" w:rsidRDefault="00000000">
      <w:pPr>
        <w:rPr>
          <w:rFonts w:ascii="Times New Roman" w:eastAsia="Times New Roman" w:hAnsi="Times New Roman" w:cs="Times New Roman"/>
        </w:rPr>
      </w:pPr>
      <w:r>
        <w:rPr>
          <w:rFonts w:ascii="Times New Roman" w:eastAsia="Times New Roman" w:hAnsi="Times New Roman" w:cs="Times New Roman"/>
        </w:rPr>
        <w:t>Universidad César Vallejo - Piura</w:t>
      </w:r>
    </w:p>
    <w:p w14:paraId="54A8731E" w14:textId="77777777" w:rsidR="007B5D6A" w:rsidRDefault="007B5D6A">
      <w:pPr>
        <w:rPr>
          <w:rFonts w:ascii="Times New Roman" w:eastAsia="Times New Roman" w:hAnsi="Times New Roman" w:cs="Times New Roman"/>
        </w:rPr>
      </w:pPr>
    </w:p>
    <w:p w14:paraId="5D5518B1" w14:textId="77777777" w:rsidR="007B5D6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24A1337E" w14:textId="77777777" w:rsidR="007B5D6A" w:rsidRDefault="007B5D6A">
      <w:pPr>
        <w:jc w:val="both"/>
        <w:rPr>
          <w:rFonts w:ascii="Times New Roman" w:eastAsia="Times New Roman" w:hAnsi="Times New Roman" w:cs="Times New Roman"/>
        </w:rPr>
      </w:pPr>
    </w:p>
    <w:p w14:paraId="57411F8C" w14:textId="77777777" w:rsidR="007B5D6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de esta investigación fue la construcción y la obtención de evidencias psicométricas de la escala de adaptación social en estudiantes de nivel secundario de la ciudad de Piura en 2025. El estudio tuvo un enfoque aplicado con una línea de investigación psicométrica, utilizando un enfoque cuantitativo, un diseño instrumental y un carácter tecnológico. En los resultados de los análisis psicométricos, en cuanto a la validez de contenido, los ítems presentaron valores entre 0.95 y 1.00, lo que se consideró adecuado. Por otro lado, de los 24 ítems iniciales, se eliminaron 15, ajustando el instrumento a 9 ítems, que fueron distribuidos en 2 factores, con una varianza total explicada del 46.7%, un KMO = 0.89 y los siguientes índices de ajuste: X2/gl = 2; CFI = 0.99; TLI = 0.99; RMSEA = 0.05; SRMR = 0.04. En términos de confiabilidad, se obtuvieron puntuaciones adecuadas, con un valor global de α = 0.87 y ω = 0.89, además de α = 0.84 y ω = 0.81 para la dimensión externa, y α = 0.81 y ω = 0.77 para la dimensión interna. Finalmente, se establecieron baremos en percentiles para ambos sexos, de manera general. Se concluye que el instrumento presenta confiabilidad y consistencia para medir la adaptación social en la ciudad de Piura.</w:t>
      </w:r>
    </w:p>
    <w:p w14:paraId="254D5479" w14:textId="5B371E93" w:rsidR="009E0AB5" w:rsidRDefault="009E0AB5">
      <w:pPr>
        <w:jc w:val="both"/>
        <w:rPr>
          <w:rFonts w:ascii="Times New Roman" w:eastAsia="Times New Roman" w:hAnsi="Times New Roman" w:cs="Times New Roman"/>
          <w:sz w:val="24"/>
          <w:szCs w:val="24"/>
        </w:rPr>
      </w:pPr>
    </w:p>
    <w:p w14:paraId="55F902AB" w14:textId="57439C0D" w:rsidR="009E0AB5" w:rsidRDefault="009E0AB5" w:rsidP="009E0A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Palabras clave: </w:t>
      </w:r>
      <w:r w:rsidRPr="009E0AB5">
        <w:rPr>
          <w:rFonts w:ascii="Times New Roman" w:eastAsia="Times New Roman" w:hAnsi="Times New Roman" w:cs="Times New Roman"/>
          <w:sz w:val="24"/>
          <w:szCs w:val="24"/>
        </w:rPr>
        <w:t>Adaptación social</w:t>
      </w:r>
      <w:r>
        <w:rPr>
          <w:rFonts w:ascii="Times New Roman" w:eastAsia="Times New Roman" w:hAnsi="Times New Roman" w:cs="Times New Roman"/>
          <w:sz w:val="24"/>
          <w:szCs w:val="24"/>
        </w:rPr>
        <w:t xml:space="preserve">, </w:t>
      </w:r>
      <w:r w:rsidRPr="009E0AB5">
        <w:rPr>
          <w:rFonts w:ascii="Times New Roman" w:eastAsia="Times New Roman" w:hAnsi="Times New Roman" w:cs="Times New Roman"/>
          <w:sz w:val="24"/>
          <w:szCs w:val="24"/>
        </w:rPr>
        <w:t>Inadaptación social</w:t>
      </w:r>
      <w:r>
        <w:rPr>
          <w:rFonts w:ascii="Times New Roman" w:eastAsia="Times New Roman" w:hAnsi="Times New Roman" w:cs="Times New Roman"/>
          <w:sz w:val="24"/>
          <w:szCs w:val="24"/>
        </w:rPr>
        <w:t xml:space="preserve">, </w:t>
      </w:r>
      <w:r w:rsidRPr="009E0AB5">
        <w:rPr>
          <w:rFonts w:ascii="Times New Roman" w:eastAsia="Times New Roman" w:hAnsi="Times New Roman" w:cs="Times New Roman"/>
          <w:sz w:val="24"/>
          <w:szCs w:val="24"/>
        </w:rPr>
        <w:t>Trastornos afectivos</w:t>
      </w:r>
      <w:r>
        <w:rPr>
          <w:rFonts w:ascii="Times New Roman" w:eastAsia="Times New Roman" w:hAnsi="Times New Roman" w:cs="Times New Roman"/>
          <w:sz w:val="24"/>
          <w:szCs w:val="24"/>
        </w:rPr>
        <w:t xml:space="preserve">, </w:t>
      </w:r>
      <w:r w:rsidRPr="009E0AB5">
        <w:rPr>
          <w:rFonts w:ascii="Times New Roman" w:eastAsia="Times New Roman" w:hAnsi="Times New Roman" w:cs="Times New Roman"/>
          <w:sz w:val="24"/>
          <w:szCs w:val="24"/>
        </w:rPr>
        <w:t>Escala psicométrica</w:t>
      </w:r>
    </w:p>
    <w:p w14:paraId="78640F3A" w14:textId="77777777" w:rsidR="007B5D6A" w:rsidRDefault="007B5D6A">
      <w:pPr>
        <w:jc w:val="both"/>
        <w:rPr>
          <w:rFonts w:ascii="Times New Roman" w:eastAsia="Times New Roman" w:hAnsi="Times New Roman" w:cs="Times New Roman"/>
        </w:rPr>
      </w:pPr>
    </w:p>
    <w:p w14:paraId="31A92E50" w14:textId="77777777" w:rsidR="007B5D6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426291D9" w14:textId="77777777" w:rsidR="007B5D6A" w:rsidRDefault="007B5D6A">
      <w:pPr>
        <w:jc w:val="both"/>
        <w:rPr>
          <w:rFonts w:ascii="Times New Roman" w:eastAsia="Times New Roman" w:hAnsi="Times New Roman" w:cs="Times New Roman"/>
          <w:b/>
          <w:sz w:val="24"/>
          <w:szCs w:val="24"/>
        </w:rPr>
      </w:pPr>
    </w:p>
    <w:p w14:paraId="5A82030E" w14:textId="77777777" w:rsidR="007B5D6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 of this research was to construct and obtain psychometric evidence of the social adaptation scale in secondary school students in the city of Piura in 2025. The study had an applied focus with a psychometric research line, using a quantitative approach, an instrumental design, and a technological nature. In the results of the psychometric analyses, regarding content validity, the items showed values between 0.95 and 1.00, which were considered adequate. On the other hand, of the 24 initial items, 15 were eliminated, adjusting the instrument to 9 items, which were distributed into 2 factors, with a total explained variance of </w:t>
      </w:r>
      <w:r>
        <w:rPr>
          <w:rFonts w:ascii="Times New Roman" w:eastAsia="Times New Roman" w:hAnsi="Times New Roman" w:cs="Times New Roman"/>
          <w:sz w:val="24"/>
          <w:szCs w:val="24"/>
        </w:rPr>
        <w:lastRenderedPageBreak/>
        <w:t>46.7%, a KMO = 0.89, and the following fit indices: X2/gl = 2; CFI = 0.99; TLI = 0.99; RMSEA = 0.05; SRMR = 0.04. In terms of reliability, adequate scores were obtained, with a global value of α = 0.87 and ω = 0.89, as well as α = 0.84 and ω = 0.81 for the external dimension, and α = 0.81 and ω = 0.77 for the internal dimension. Finally, percentiles were established for both genders, generally. It is concluded that the instrument demonstrates reliability and consistency in measuring social adaptation in the city of Piura.</w:t>
      </w:r>
    </w:p>
    <w:p w14:paraId="25908AD3" w14:textId="77777777" w:rsidR="009E0AB5" w:rsidRDefault="009E0AB5">
      <w:pPr>
        <w:jc w:val="both"/>
        <w:rPr>
          <w:rFonts w:ascii="Times New Roman" w:eastAsia="Times New Roman" w:hAnsi="Times New Roman" w:cs="Times New Roman"/>
          <w:sz w:val="24"/>
          <w:szCs w:val="24"/>
        </w:rPr>
      </w:pPr>
    </w:p>
    <w:p w14:paraId="0FD52367" w14:textId="12C7685B" w:rsidR="009E0AB5" w:rsidRDefault="009E0AB5">
      <w:pPr>
        <w:jc w:val="both"/>
        <w:rPr>
          <w:rFonts w:ascii="Times New Roman" w:eastAsia="Times New Roman" w:hAnsi="Times New Roman" w:cs="Times New Roman"/>
          <w:sz w:val="24"/>
          <w:szCs w:val="24"/>
        </w:rPr>
      </w:pPr>
      <w:r w:rsidRPr="009E0AB5">
        <w:rPr>
          <w:rFonts w:ascii="Times New Roman" w:eastAsia="Times New Roman" w:hAnsi="Times New Roman" w:cs="Times New Roman"/>
          <w:sz w:val="24"/>
          <w:szCs w:val="24"/>
        </w:rPr>
        <w:t>Keywords: Social adaptation, Social maladjustment, Affective disorders, Psychometric scale</w:t>
      </w:r>
    </w:p>
    <w:p w14:paraId="48BC0607" w14:textId="77777777" w:rsidR="007B5D6A" w:rsidRDefault="007B5D6A">
      <w:pPr>
        <w:spacing w:before="240" w:after="240" w:line="360" w:lineRule="auto"/>
        <w:jc w:val="both"/>
        <w:rPr>
          <w:rFonts w:ascii="Times New Roman" w:eastAsia="Times New Roman" w:hAnsi="Times New Roman" w:cs="Times New Roman"/>
          <w:b/>
        </w:rPr>
      </w:pPr>
    </w:p>
    <w:p w14:paraId="7040217E" w14:textId="77777777" w:rsidR="007B5D6A" w:rsidRDefault="007B5D6A">
      <w:pPr>
        <w:spacing w:before="240" w:after="240" w:line="360" w:lineRule="auto"/>
        <w:jc w:val="both"/>
        <w:rPr>
          <w:rFonts w:ascii="Times New Roman" w:eastAsia="Times New Roman" w:hAnsi="Times New Roman" w:cs="Times New Roman"/>
          <w:b/>
        </w:rPr>
      </w:pPr>
    </w:p>
    <w:p w14:paraId="6751CEA4" w14:textId="77777777" w:rsidR="007B5D6A" w:rsidRDefault="007B5D6A">
      <w:pPr>
        <w:spacing w:before="240" w:after="240" w:line="360" w:lineRule="auto"/>
        <w:jc w:val="both"/>
        <w:rPr>
          <w:rFonts w:ascii="Times New Roman" w:eastAsia="Times New Roman" w:hAnsi="Times New Roman" w:cs="Times New Roman"/>
          <w:b/>
        </w:rPr>
      </w:pPr>
    </w:p>
    <w:p w14:paraId="48714AC3" w14:textId="77777777" w:rsidR="007B5D6A" w:rsidRDefault="007B5D6A">
      <w:pPr>
        <w:spacing w:before="240" w:after="240" w:line="360" w:lineRule="auto"/>
        <w:jc w:val="both"/>
        <w:rPr>
          <w:rFonts w:ascii="Times New Roman" w:eastAsia="Times New Roman" w:hAnsi="Times New Roman" w:cs="Times New Roman"/>
          <w:b/>
        </w:rPr>
      </w:pPr>
    </w:p>
    <w:p w14:paraId="3D4DE4DF" w14:textId="77777777" w:rsidR="007B5D6A" w:rsidRDefault="007B5D6A">
      <w:pPr>
        <w:spacing w:before="240" w:after="240" w:line="360" w:lineRule="auto"/>
        <w:jc w:val="both"/>
        <w:rPr>
          <w:rFonts w:ascii="Times New Roman" w:eastAsia="Times New Roman" w:hAnsi="Times New Roman" w:cs="Times New Roman"/>
          <w:b/>
        </w:rPr>
      </w:pPr>
    </w:p>
    <w:p w14:paraId="7052042B" w14:textId="77777777" w:rsidR="007B5D6A" w:rsidRDefault="007B5D6A">
      <w:pPr>
        <w:spacing w:before="240" w:after="240" w:line="360" w:lineRule="auto"/>
        <w:jc w:val="both"/>
        <w:rPr>
          <w:rFonts w:ascii="Times New Roman" w:eastAsia="Times New Roman" w:hAnsi="Times New Roman" w:cs="Times New Roman"/>
          <w:b/>
        </w:rPr>
      </w:pPr>
    </w:p>
    <w:p w14:paraId="1576D890" w14:textId="77777777" w:rsidR="007B5D6A" w:rsidRDefault="007B5D6A">
      <w:pPr>
        <w:spacing w:before="240" w:after="240" w:line="360" w:lineRule="auto"/>
        <w:jc w:val="both"/>
        <w:rPr>
          <w:rFonts w:ascii="Times New Roman" w:eastAsia="Times New Roman" w:hAnsi="Times New Roman" w:cs="Times New Roman"/>
          <w:b/>
        </w:rPr>
      </w:pPr>
    </w:p>
    <w:p w14:paraId="0B5ED85E" w14:textId="77777777" w:rsidR="007B5D6A" w:rsidRDefault="007B5D6A">
      <w:pPr>
        <w:spacing w:before="240" w:after="240" w:line="360" w:lineRule="auto"/>
        <w:jc w:val="both"/>
        <w:rPr>
          <w:rFonts w:ascii="Times New Roman" w:eastAsia="Times New Roman" w:hAnsi="Times New Roman" w:cs="Times New Roman"/>
          <w:b/>
        </w:rPr>
      </w:pPr>
    </w:p>
    <w:p w14:paraId="509F4FA3" w14:textId="77777777" w:rsidR="007B5D6A" w:rsidRDefault="007B5D6A">
      <w:pPr>
        <w:spacing w:before="240" w:after="240" w:line="360" w:lineRule="auto"/>
        <w:jc w:val="both"/>
        <w:rPr>
          <w:rFonts w:ascii="Times New Roman" w:eastAsia="Times New Roman" w:hAnsi="Times New Roman" w:cs="Times New Roman"/>
          <w:b/>
        </w:rPr>
      </w:pPr>
    </w:p>
    <w:p w14:paraId="0ABEF09E" w14:textId="77777777" w:rsidR="007B5D6A" w:rsidRDefault="007B5D6A">
      <w:pPr>
        <w:spacing w:before="240" w:after="240" w:line="360" w:lineRule="auto"/>
        <w:jc w:val="both"/>
        <w:rPr>
          <w:rFonts w:ascii="Times New Roman" w:eastAsia="Times New Roman" w:hAnsi="Times New Roman" w:cs="Times New Roman"/>
          <w:b/>
        </w:rPr>
      </w:pPr>
    </w:p>
    <w:p w14:paraId="5A218D0D" w14:textId="77777777" w:rsidR="007B5D6A" w:rsidRDefault="007B5D6A">
      <w:pPr>
        <w:spacing w:before="240" w:after="240" w:line="360" w:lineRule="auto"/>
        <w:jc w:val="both"/>
        <w:rPr>
          <w:rFonts w:ascii="Times New Roman" w:eastAsia="Times New Roman" w:hAnsi="Times New Roman" w:cs="Times New Roman"/>
          <w:b/>
        </w:rPr>
      </w:pPr>
    </w:p>
    <w:p w14:paraId="542D19A4" w14:textId="77777777" w:rsidR="007B5D6A" w:rsidRDefault="007B5D6A">
      <w:pPr>
        <w:spacing w:before="240" w:after="240" w:line="360" w:lineRule="auto"/>
        <w:jc w:val="both"/>
        <w:rPr>
          <w:rFonts w:ascii="Times New Roman" w:eastAsia="Times New Roman" w:hAnsi="Times New Roman" w:cs="Times New Roman"/>
          <w:b/>
        </w:rPr>
      </w:pPr>
    </w:p>
    <w:p w14:paraId="613D9453" w14:textId="77777777" w:rsidR="007B5D6A" w:rsidRDefault="007B5D6A">
      <w:pPr>
        <w:spacing w:before="240" w:after="240" w:line="360" w:lineRule="auto"/>
        <w:jc w:val="both"/>
        <w:rPr>
          <w:rFonts w:ascii="Times New Roman" w:eastAsia="Times New Roman" w:hAnsi="Times New Roman" w:cs="Times New Roman"/>
          <w:b/>
        </w:rPr>
      </w:pPr>
    </w:p>
    <w:p w14:paraId="127015A3" w14:textId="77777777" w:rsidR="007B5D6A" w:rsidRDefault="007B5D6A">
      <w:pPr>
        <w:spacing w:before="240" w:after="240" w:line="360" w:lineRule="auto"/>
        <w:jc w:val="both"/>
        <w:rPr>
          <w:rFonts w:ascii="Times New Roman" w:eastAsia="Times New Roman" w:hAnsi="Times New Roman" w:cs="Times New Roman"/>
          <w:b/>
        </w:rPr>
      </w:pPr>
    </w:p>
    <w:p w14:paraId="70FACDC0" w14:textId="77777777" w:rsidR="007B5D6A" w:rsidRDefault="007B5D6A">
      <w:pPr>
        <w:spacing w:before="240" w:after="240" w:line="360" w:lineRule="auto"/>
        <w:jc w:val="both"/>
        <w:rPr>
          <w:rFonts w:ascii="Times New Roman" w:eastAsia="Times New Roman" w:hAnsi="Times New Roman" w:cs="Times New Roman"/>
          <w:b/>
        </w:rPr>
      </w:pPr>
    </w:p>
    <w:p w14:paraId="60B44026" w14:textId="77777777" w:rsidR="007B5D6A" w:rsidRDefault="007B5D6A">
      <w:pPr>
        <w:spacing w:before="240" w:after="240" w:line="360" w:lineRule="auto"/>
        <w:jc w:val="both"/>
        <w:rPr>
          <w:rFonts w:ascii="Times New Roman" w:eastAsia="Times New Roman" w:hAnsi="Times New Roman" w:cs="Times New Roman"/>
          <w:b/>
        </w:rPr>
      </w:pPr>
    </w:p>
    <w:p w14:paraId="7E0DE651" w14:textId="77777777" w:rsidR="007B5D6A" w:rsidRDefault="007B5D6A">
      <w:pPr>
        <w:spacing w:before="240" w:after="240" w:line="360" w:lineRule="auto"/>
        <w:jc w:val="both"/>
        <w:rPr>
          <w:rFonts w:ascii="Times New Roman" w:eastAsia="Times New Roman" w:hAnsi="Times New Roman" w:cs="Times New Roman"/>
          <w:b/>
        </w:rPr>
      </w:pPr>
    </w:p>
    <w:p w14:paraId="76499C92" w14:textId="77777777" w:rsidR="007B5D6A" w:rsidRDefault="007B5D6A">
      <w:pPr>
        <w:spacing w:before="240" w:after="240" w:line="360" w:lineRule="auto"/>
        <w:jc w:val="both"/>
        <w:rPr>
          <w:rFonts w:ascii="Times New Roman" w:eastAsia="Times New Roman" w:hAnsi="Times New Roman" w:cs="Times New Roman"/>
          <w:b/>
        </w:rPr>
      </w:pPr>
    </w:p>
    <w:p w14:paraId="010883A8" w14:textId="77777777" w:rsidR="007B5D6A" w:rsidRDefault="007B5D6A">
      <w:pPr>
        <w:spacing w:before="240" w:after="240" w:line="360" w:lineRule="auto"/>
        <w:jc w:val="both"/>
        <w:rPr>
          <w:rFonts w:ascii="Times New Roman" w:eastAsia="Times New Roman" w:hAnsi="Times New Roman" w:cs="Times New Roman"/>
          <w:b/>
        </w:rPr>
      </w:pPr>
    </w:p>
    <w:p w14:paraId="3EAF65D3" w14:textId="77777777" w:rsidR="007B5D6A" w:rsidRDefault="007B5D6A">
      <w:pPr>
        <w:spacing w:before="240" w:after="240" w:line="360" w:lineRule="auto"/>
        <w:jc w:val="both"/>
        <w:rPr>
          <w:rFonts w:ascii="Times New Roman" w:eastAsia="Times New Roman" w:hAnsi="Times New Roman" w:cs="Times New Roman"/>
          <w:b/>
        </w:rPr>
      </w:pPr>
    </w:p>
    <w:p w14:paraId="69E2266B" w14:textId="77777777" w:rsidR="007B5D6A" w:rsidRDefault="007B5D6A">
      <w:pPr>
        <w:spacing w:before="240" w:after="240" w:line="360" w:lineRule="auto"/>
        <w:jc w:val="both"/>
        <w:rPr>
          <w:rFonts w:ascii="Times New Roman" w:eastAsia="Times New Roman" w:hAnsi="Times New Roman" w:cs="Times New Roman"/>
          <w:b/>
        </w:rPr>
      </w:pPr>
    </w:p>
    <w:p w14:paraId="23E8C937" w14:textId="77777777" w:rsidR="007B5D6A" w:rsidRDefault="00000000">
      <w:pPr>
        <w:spacing w:before="240" w:after="240" w:line="360" w:lineRule="auto"/>
        <w:jc w:val="both"/>
        <w:rPr>
          <w:rFonts w:ascii="Times New Roman" w:eastAsia="Times New Roman" w:hAnsi="Times New Roman" w:cs="Times New Roman"/>
          <w:b/>
        </w:rPr>
      </w:pPr>
      <w:r>
        <w:rPr>
          <w:rFonts w:ascii="Times New Roman" w:eastAsia="Times New Roman" w:hAnsi="Times New Roman" w:cs="Times New Roman"/>
          <w:b/>
        </w:rPr>
        <w:t>Introducción</w:t>
      </w:r>
    </w:p>
    <w:p w14:paraId="347BFD80"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actualidad, los adolescentes enfrentan diversas situaciones a nivel personal, escolar y socio ambiental, lo que dificulta la modificación de sus patrones de conducta para una adecuada adaptación social. Estas dificultades repercuten en su sistema familiar y comunitario. Como consecuencia, se observa que muchos jóvenes tienden al aislamiento, se distancian de sus amistades, se refugian en redes sociales y actividades digitales, y presentan problemas para participar en eventos recreativos. Esta situación genera inseguridades significativas y puede derivar en trastornos afectivos como la depresión, e incluso, en casos extremos, llevar al suicidio. Además, un gran número de adolescentes desarrolla relaciones sociales negativas, lo que propicia conductas desadaptativas y adictivas, haciéndolos más vulnerables a integrarse en grupos relacionados con drogas, alcohol y violencia, alejándose de una convivencia saludable (Mendoza, 2023).</w:t>
      </w:r>
    </w:p>
    <w:p w14:paraId="13B8EC06"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Núñez y Jiménez (2023) destacan que tanto niños como adolescentes presentan conductas de inadaptación social, lo que constituye un problema social de gran magnitud que incrementa los índices de delincuencia juvenil. Esta problemática no es reciente; un estudio histórico-temporal del Instituto Nacional de Medicina Legal y Ciencias Forenses confirmó la existencia de factores negativos que predisponen a la inadaptación social en niños y adolescentes, un fenómeno que guarda relación con la criminalidad global (RCN, 2022)</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Según la investigación de Guerra et al. (2019), los adolescentes suelen tener dificultades para canalizar emociones negativas como frustración, dolor o tristeza, lo que complica su adaptación a los cambios y pone en riesgo su bienestar emocional, haciéndolos susceptibles a desarrollar ansiedad, estrés, angustia, adicciones y trastornos mentales.</w:t>
      </w:r>
    </w:p>
    <w:p w14:paraId="38435176"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adaptación social influye directamente en la personalidad del individuo, afectando a nivel biológico, mental y emocional. Cuando los adolescentes no desarrollan la capacidad de afrontamiento saludable ante los desafíos, su salud mental se ve comprometida. Por ello, resulta esencial contar con un instrumento con propiedades psicométricas satisfactorias que permita identificar y medir la adaptación social. La Organización de los Estados Americanos (OEA,2015) ha alertado sobre el incremento de conductas antisociales en las últimas décadas, las cuales han derivado en actos vandálicos, desempleo, violencia intrafamiliar y comportamientos agresivos.</w:t>
      </w:r>
    </w:p>
    <w:p w14:paraId="0998E6F3"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Portillo y Tovar (2022) advierten que, de prolongarse las conductas de inadaptación social, se incrementarán los actos delictivos, la deserción escolar, la formación de pandillas, los hurtos, el tráfico de drogas y los homicidios. Además, se elevará el riesgo de desarrollar trastornos de conducta, alimenticios, afectivos y diversas adicciones. Del mismo modo, Rivera et al. (2019) sostienen que las conductas antisociales fomentan creencias erróneas y distorsiones cognitivas que legitiman la violencia como forma de resolver conflictos, predisponiendo a los jóvenes a </w:t>
      </w:r>
      <w:r>
        <w:rPr>
          <w:rFonts w:ascii="Times New Roman" w:eastAsia="Times New Roman" w:hAnsi="Times New Roman" w:cs="Times New Roman"/>
          <w:sz w:val="24"/>
          <w:szCs w:val="24"/>
        </w:rPr>
        <w:lastRenderedPageBreak/>
        <w:t>involucrarse en actividades delictivas. Por su parte, Fariña et al. (2018) señalan que estas conductas suelen implicar actos ilegales, lo que incrementa la probabilidad de que los menores enfrenten problemas legales.</w:t>
      </w:r>
    </w:p>
    <w:p w14:paraId="49E0ABE7" w14:textId="77777777" w:rsidR="007B5D6A" w:rsidRDefault="007B5D6A" w:rsidP="00C2207F">
      <w:pPr>
        <w:spacing w:before="240" w:after="240"/>
        <w:ind w:hanging="720"/>
        <w:jc w:val="both"/>
        <w:rPr>
          <w:rFonts w:ascii="Times New Roman" w:eastAsia="Times New Roman" w:hAnsi="Times New Roman" w:cs="Times New Roman"/>
          <w:sz w:val="24"/>
          <w:szCs w:val="24"/>
        </w:rPr>
      </w:pPr>
    </w:p>
    <w:p w14:paraId="4B2F9C87" w14:textId="77777777" w:rsidR="007B5D6A" w:rsidRDefault="00000000" w:rsidP="00C2207F">
      <w:pPr>
        <w:spacing w:before="240" w:after="240"/>
        <w:ind w:left="4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concierne a las bases teóricas que sustentan nuestra investigación, el proceso de interacción de demanda y respuesta es conocido como adaptación social, en dicho desarrollo influye la comunidad y la cultura en la que el sujeto se encuentra inserto, asimismo, el cumplimiento adecuado de actividades sociales facilita una adaptación social favorable (Kellam et al., 2008). También, es definida como el mantenimiento adecuado de las relaciones personales afectivas, ello se da mediante el ajuste entre el sujeto y ambiente, quien busca lograr integrarse en su totalidad, dicha integración percibe las relaciones entre sociedad receptora y el sujeto como igualitario, por ello el individuo al adaptarse abandona ciertos hábitos que formaban parte de su conducta, no obstante, eran evaluadas negativamente en el contexto que deseaba integrarse y paulatinamente adquiere otras prácticas con las expectativas que se tienen de él en el nuevo rol; sin embargo, la adaptación al contexto social involucra distintos niveles de conformidad, la cual depende de la obediencia o libertad del sujeto y de la rigidez o la tolerancia del medio social, además, durante este proceso evolutivo las conductas del sujeto pueden desviarse de las normas sociales, transgrediendo los límites establecidos por la sociedad ( Martínez, 2018 y Lorenzino et al., 2015)</w:t>
      </w:r>
    </w:p>
    <w:p w14:paraId="7C94B830" w14:textId="77777777" w:rsidR="007B5D6A" w:rsidRDefault="00000000" w:rsidP="00C2207F">
      <w:pPr>
        <w:spacing w:before="240" w:after="240"/>
        <w:ind w:left="4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con las características de los sujetos que tienen una adecuada adaptación social, son aquellos que poseen niveles altos de autonomía, están satisfechos con su vida, resuelven las dificultades de forma adecuada, son dinámicos y con tendencia a establecer vínculos relacionales (Gómez y De la Iglesia, 2017)</w:t>
      </w:r>
    </w:p>
    <w:p w14:paraId="706AFEC6" w14:textId="77777777" w:rsidR="007B5D6A" w:rsidRDefault="00000000" w:rsidP="00C2207F">
      <w:pPr>
        <w:spacing w:before="240" w:after="240"/>
        <w:ind w:left="4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refiere a las causas de inadaptación social, pueden ser intrínsecas y extrínsecas, el primer grupo tiene que ver con el sujeto en sí, como insuficiencia en sus funciones mentales, que se vincula con el desarrollo intelectual; insuficiencias afectivas, como el temor o el impacto a nuevas situaciones y las insuficiencias vegetativas, lo que implica, la salud del sujeto. El segundo grupo tiene que ver con aquellas situaciones en el entorno del sujeto, como la familia, la orientación que es brindada en dicho contexto, si el sujeto presencia o es víctima de violencia física o psicológica; asimismo, la falta de relación con los compañeros de escuela (Sobeida, 2015).</w:t>
      </w:r>
    </w:p>
    <w:p w14:paraId="53BCDD27" w14:textId="77777777" w:rsidR="007B5D6A" w:rsidRDefault="00000000" w:rsidP="00C2207F">
      <w:pPr>
        <w:spacing w:before="240" w:after="240"/>
        <w:ind w:left="4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Referente a las consecuencias relacionadas con la carencia de adaptación social, los sujetos exhiben comportamientos tales como, impulsividad, agresividad, consumo de sustancias como alcohol y drogas, el relacionarse con pandillas donde ejercen la violencia y promueven la venta de drogas. Estas conductas son consideradas antisociales, ya que cuando el individuo reacciona ante estímulos del medio externo tiende a agredir tanto integridad, como la seguridad y los derechos de los demás que se encuentra a su alrededor, considerándose como conductas que se encuentran fuera de las normas sociales (Guzmán et al. 2020). Si dichas conductas antisociales persisten durante la adolescencia, pueden </w:t>
      </w:r>
      <w:r>
        <w:rPr>
          <w:rFonts w:ascii="Times New Roman" w:eastAsia="Times New Roman" w:hAnsi="Times New Roman" w:cs="Times New Roman"/>
          <w:sz w:val="24"/>
          <w:szCs w:val="24"/>
        </w:rPr>
        <w:lastRenderedPageBreak/>
        <w:t>conducir a un proceso que se da de forma progresiva hacia la desadaptación social, por lo cual los adolescentes van gradualmente alejándose de las normas establecidas en su contexto social, afectando su contexto escolar, social y familiar. Entre las consecuencias identificadas se hallan el fracaso escolar, que conlleva a la deserción y frustración profesional (Vargas y Alarcón, 2021).</w:t>
      </w:r>
    </w:p>
    <w:p w14:paraId="0F7CF850"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investigación se fundamenta en la Teoría del Ciclo Vital y Campo Social de Kellam y colaboradores, que plantea dos dimensiones interrelacionadas: la externa, relacionada con la percepción social del individuo, y la interna, que refleja su bienestar psicológico. Durante cada etapa vital, los individuos deben enfrentar demandas sociales específicas cuyo cumplimiento define su éxito o fracaso en la adaptación social. La evaluación inicial del desempeño social la realizan padres y docentes, y posteriormente los pares significativos. Este proceso continuo conforma el estatus de adaptación social, influido por factores como la autonomía, las habilidades sociales, la autoestima y el autocontrol. El bienestar psicológico resulta crucial en la adaptación social. Un desarrollo adecuado favorece la respuesta a futuras demandas sociales, mientras que un bienestar emocional insuficiente puede derivar en conductas desadaptativas. Las demandas sociales clave incluyen el autocontrol para respetar normas, habilidades sociales para interactuar eficazmente, autoestima para relaciones saludables y autonomía para desenvolverse en distintos entornos (Kellam et al., 2008).</w:t>
      </w:r>
    </w:p>
    <w:p w14:paraId="484ED20E"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tal sentido, se definen a continuación las principales tareas sociales que conforman la adaptación social. En primer lugar, la autonomía es conceptualizada como la capacidad del individuo para realizar actividades de manera independiente y tomar decisiones libres, lo que implica procesos como pensar, disentir, dudar, entender y actuar tanto para sí mismo como en relación con los demás (Carmona, 2020).</w:t>
      </w:r>
    </w:p>
    <w:p w14:paraId="12DD3762"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segunda tarea social es el desarrollo de habilidades sociales, entendidas como un conjunto de capacidades destinadas a facilitar la interacción y relación adecuada con otras personas. El uso adecuado de estas habilidades permite expresar opiniones, deseos y pensamientos sin agredir a los demás, además de aceptar opiniones y críticas ajenas sin que estas afecten los sentimientos propios, lo que promueve relaciones sociales de calidad (Gonzales y Molero, 2021).</w:t>
      </w:r>
    </w:p>
    <w:p w14:paraId="4BA26B57"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tercer lugar, la autoestima se define como la actitud positiva o negativa que un individuo tiene hacia sí mismo en su totalidad. Esta actitud se construye a partir de las experiencias sociales e influye en áreas como lo físico, lo mental y lo social, contribuyendo a la formación de la personalidad. La autoestima afecta las competencias sociales del sujeto y, por ende, su manera de pensar, sentirse, aprender y comportarse (Rice, 2000). Durante la adolescencia, este proceso de autoconocimiento y aceptación puede representar importantes desafíos e incluso crisis existenciales, que no todos logran afrontar de manera adecuada (Perales, 2021).</w:t>
      </w:r>
    </w:p>
    <w:p w14:paraId="30FCC00C"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el autocontrol se refiere a la capacidad de inhibir o modificar respuestas internas, incluyendo la interrupción de reacciones impulsivas relacionadas con conductas, emociones o deseos. Este concepto abarca la regulación de componentes cognitivos, emocionales, conductuales y motivacionales, que forman parte de su desarrollo integral (Clinton et al., 2020).</w:t>
      </w:r>
    </w:p>
    <w:p w14:paraId="6B606539"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Frente a esta problemática, surge la necesidad de investigar y construir una escala de adaptación social con validez psicométrica para estudiantes de nivel secundario en la ciudad de Piura durante el año 2025, con el propósito de desarrollar estrategias que fomenten una adaptación social saludable. En este contexto, se planteó la siguiente interrogante de investigación: ¿Cuáles son los procesos de construcción y las evidencias psicométricas de la escala de adaptación social en estudiantes de nivel secundario de la ciudad de Piura en el año 2025?</w:t>
      </w:r>
    </w:p>
    <w:p w14:paraId="6C1825E1"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investigación se justifica a nivel teórico, ya que se fundamenta en una sólida revisión de la literatura científica relacionada con la variable de estudio, evidenciando la escasez de investigaciones sobre la construcción de escalas de adaptación social. Además, el marco conceptual y sus dimensiones han sido claramente definidos. Desde el aspecto metodológico, se utilizaron procedimientos rigurosos para evaluar la validez del constructo y la confiabilidad del instrumento. Este estudio representa un aporte significativo al campo de la psicometría, al proporcionar un instrumento validado que podrá ser utilizado en futuras investigaciones similares.</w:t>
      </w:r>
    </w:p>
    <w:p w14:paraId="75721169"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nivel práctico, la escala desarrollada permite obtener medidas objetivas que facilitan la interpretación de la adaptación social en adolescentes, lo que garantiza resultados confiables y consistentes que contribuyen al análisis y comprensión del fenómeno estudiado.</w:t>
      </w:r>
    </w:p>
    <w:p w14:paraId="3412DFE8" w14:textId="77777777" w:rsidR="007B5D6A" w:rsidRDefault="00000000" w:rsidP="00C2207F">
      <w:pPr>
        <w:spacing w:before="240" w:after="240"/>
        <w:ind w:hanging="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 objetivo general de esta investigación fue construir y obtener evidencias psicométricas de una escala de adaptación social en estudiantes de nivel secundario de la ciudad de Piura en el año 2025. Los objetivos específicos incluyeron: proporcionar evidencia de validez de contenido mediante criterios de expertos, reportar evidencia de validez de estructura a través de análisis factorial exploratorio y confirmatorio, calcular la confiabilidad mediante los coeficientes Omega y Alfa Ordinal, y establecer normas percentilares para la interpretación de los resultados.</w:t>
      </w:r>
    </w:p>
    <w:p w14:paraId="53249D5F" w14:textId="77777777" w:rsidR="007B5D6A" w:rsidRDefault="00000000" w:rsidP="00C2207F">
      <w:pPr>
        <w:spacing w:before="240" w:after="240"/>
        <w:ind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w:t>
      </w:r>
    </w:p>
    <w:p w14:paraId="3EB63A66"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investigación se enmarca dentro de un diseño instrumental, dado que su propósito es desarrollar pruebas e instrumentos orientados al estudio de sus propiedades psicométricas (Montero y León, 2005). Además, se clasifica como un estudio de naturaleza tecnológica, ya que emplea diversos métodos y técnicas, y se desarrolla mediante un proceso de observación, reflexión y praxis, con el objetivo de analizar y sintetizar el objeto de estudio (Ñaupas et al., 2018).</w:t>
      </w:r>
    </w:p>
    <w:p w14:paraId="6FEB42AE" w14:textId="77777777" w:rsidR="007B5D6A" w:rsidRDefault="00000000" w:rsidP="00C2207F">
      <w:pPr>
        <w:spacing w:before="240" w:after="240"/>
        <w:ind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Participantes</w:t>
      </w:r>
    </w:p>
    <w:p w14:paraId="7AB6911F" w14:textId="6ED64290" w:rsidR="007B5D6A" w:rsidRPr="00E42C58" w:rsidRDefault="00000000" w:rsidP="00E42C58">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el informe del Instituto Nacional de Estadística e Informática (INEI, 2021), la población estudiada en este trabajo comprende un total de 151 715 alumnos inscritos en instituciones de gestión pública del nivel secundario en la ciudad de Piura.  Así como también la muestra estuvo constituida por 385 estudiantes adolescentes de 12 y 18 años de la ciudad de Piura. El muestreo es probabilístico de tipo aleatorio simple. </w:t>
      </w:r>
    </w:p>
    <w:p w14:paraId="48EA4055" w14:textId="77777777" w:rsidR="007B5D6A" w:rsidRDefault="00000000" w:rsidP="00C2207F">
      <w:pPr>
        <w:spacing w:before="240" w:after="240"/>
        <w:ind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Instrumento </w:t>
      </w:r>
    </w:p>
    <w:p w14:paraId="5DB2D046"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 aplicó la escala para valorar la adaptación social en adolescentes que  consta de dos dimensiones, dimensión interna y dimensión externa. Este instrumento cuenta con 9 ítems.</w:t>
      </w:r>
    </w:p>
    <w:p w14:paraId="083DD680" w14:textId="77777777" w:rsidR="00E42C58" w:rsidRDefault="00E42C58" w:rsidP="00C2207F">
      <w:pPr>
        <w:spacing w:before="240" w:after="240"/>
        <w:ind w:hanging="720"/>
        <w:jc w:val="both"/>
        <w:rPr>
          <w:rFonts w:ascii="Times New Roman" w:eastAsia="Times New Roman" w:hAnsi="Times New Roman" w:cs="Times New Roman"/>
          <w:sz w:val="24"/>
          <w:szCs w:val="24"/>
        </w:rPr>
      </w:pPr>
    </w:p>
    <w:p w14:paraId="7CFF913C" w14:textId="77777777" w:rsidR="00E42C58" w:rsidRDefault="00E42C58" w:rsidP="00C2207F">
      <w:pPr>
        <w:spacing w:before="240" w:after="240"/>
        <w:ind w:hanging="720"/>
        <w:jc w:val="both"/>
        <w:rPr>
          <w:rFonts w:ascii="Times New Roman" w:eastAsia="Times New Roman" w:hAnsi="Times New Roman" w:cs="Times New Roman"/>
          <w:sz w:val="24"/>
          <w:szCs w:val="24"/>
        </w:rPr>
      </w:pPr>
    </w:p>
    <w:p w14:paraId="2FECEDA4" w14:textId="77777777" w:rsidR="007B5D6A" w:rsidRDefault="00000000" w:rsidP="00C2207F">
      <w:pPr>
        <w:spacing w:before="240" w:after="240"/>
        <w:ind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2F6568BF"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Tras obtener las autorizaciones pertinentes de las personas correspondientes, se procedió a aplicar la encuesta diseñada para los participantes. Previamente, se les informó sobre la confidencialidad y el anonimato de sus respuestas, solicitándoles su consentimiento informado. </w:t>
      </w:r>
    </w:p>
    <w:p w14:paraId="60703BC1" w14:textId="77777777" w:rsidR="007B5D6A" w:rsidRDefault="00000000" w:rsidP="00C2207F">
      <w:pPr>
        <w:spacing w:before="240" w:after="24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recolección de datos se llevó a cabo durante el transcurso de una semana en horario de clases, con la colaboración del equipo investigador. Posteriormente, se efectuaron análisis estadísticos mediante el software SPSS, con el objetivo de evaluar la confiabilidad y validez del instrumento aplicado a la muestra seleccionada.</w:t>
      </w:r>
    </w:p>
    <w:p w14:paraId="4CB1492F" w14:textId="77777777" w:rsidR="007B5D6A"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w:t>
      </w:r>
    </w:p>
    <w:p w14:paraId="48516365" w14:textId="77777777" w:rsidR="007B5D6A" w:rsidRDefault="00000000">
      <w:pPr>
        <w:spacing w:before="240" w:after="240"/>
        <w:ind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01</w:t>
      </w:r>
    </w:p>
    <w:p w14:paraId="755EF2EE" w14:textId="77777777" w:rsidR="007B5D6A" w:rsidRDefault="00000000">
      <w:pPr>
        <w:spacing w:before="200" w:after="200"/>
        <w:ind w:right="6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Índices V de Aiken con IC 95% para los ítems finales del instrumento</w:t>
      </w:r>
    </w:p>
    <w:tbl>
      <w:tblPr>
        <w:tblStyle w:val="a"/>
        <w:tblW w:w="85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35"/>
        <w:gridCol w:w="2835"/>
        <w:gridCol w:w="2835"/>
      </w:tblGrid>
      <w:tr w:rsidR="007B5D6A" w14:paraId="435AF1B5" w14:textId="77777777">
        <w:trPr>
          <w:trHeight w:val="285"/>
        </w:trPr>
        <w:tc>
          <w:tcPr>
            <w:tcW w:w="2835" w:type="dxa"/>
            <w:tcBorders>
              <w:top w:val="single" w:sz="6" w:space="0" w:color="000000"/>
              <w:left w:val="nil"/>
              <w:bottom w:val="single" w:sz="6" w:space="0" w:color="000000"/>
              <w:right w:val="nil"/>
            </w:tcBorders>
            <w:tcMar>
              <w:top w:w="0" w:type="dxa"/>
              <w:left w:w="100" w:type="dxa"/>
              <w:bottom w:w="0" w:type="dxa"/>
              <w:right w:w="100" w:type="dxa"/>
            </w:tcMar>
          </w:tcPr>
          <w:p w14:paraId="569A7B1D"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Ítem</w:t>
            </w:r>
          </w:p>
        </w:tc>
        <w:tc>
          <w:tcPr>
            <w:tcW w:w="2835" w:type="dxa"/>
            <w:tcBorders>
              <w:top w:val="single" w:sz="6" w:space="0" w:color="000000"/>
              <w:left w:val="nil"/>
              <w:bottom w:val="single" w:sz="6" w:space="0" w:color="000000"/>
              <w:right w:val="nil"/>
            </w:tcBorders>
            <w:tcMar>
              <w:top w:w="0" w:type="dxa"/>
              <w:left w:w="100" w:type="dxa"/>
              <w:bottom w:w="0" w:type="dxa"/>
              <w:right w:w="100" w:type="dxa"/>
            </w:tcMar>
          </w:tcPr>
          <w:p w14:paraId="7F71DBAD"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 de Aiken</w:t>
            </w:r>
          </w:p>
        </w:tc>
        <w:tc>
          <w:tcPr>
            <w:tcW w:w="2835" w:type="dxa"/>
            <w:tcBorders>
              <w:top w:val="single" w:sz="6" w:space="0" w:color="000000"/>
              <w:left w:val="nil"/>
              <w:bottom w:val="single" w:sz="6" w:space="0" w:color="000000"/>
              <w:right w:val="nil"/>
            </w:tcBorders>
            <w:tcMar>
              <w:top w:w="0" w:type="dxa"/>
              <w:left w:w="100" w:type="dxa"/>
              <w:bottom w:w="0" w:type="dxa"/>
              <w:right w:w="100" w:type="dxa"/>
            </w:tcMar>
          </w:tcPr>
          <w:p w14:paraId="4E057B6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IC 95%</w:t>
            </w:r>
          </w:p>
        </w:tc>
      </w:tr>
      <w:tr w:rsidR="007B5D6A" w14:paraId="3F08AD9F" w14:textId="77777777">
        <w:trPr>
          <w:trHeight w:val="285"/>
        </w:trPr>
        <w:tc>
          <w:tcPr>
            <w:tcW w:w="2835" w:type="dxa"/>
            <w:tcBorders>
              <w:top w:val="nil"/>
              <w:left w:val="nil"/>
              <w:bottom w:val="nil"/>
              <w:right w:val="nil"/>
            </w:tcBorders>
            <w:tcMar>
              <w:top w:w="0" w:type="dxa"/>
              <w:left w:w="100" w:type="dxa"/>
              <w:bottom w:w="0" w:type="dxa"/>
              <w:right w:w="100" w:type="dxa"/>
            </w:tcMar>
          </w:tcPr>
          <w:p w14:paraId="12F792CF"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Borders>
              <w:top w:val="nil"/>
              <w:left w:val="nil"/>
              <w:bottom w:val="nil"/>
              <w:right w:val="nil"/>
            </w:tcBorders>
            <w:tcMar>
              <w:top w:w="0" w:type="dxa"/>
              <w:left w:w="100" w:type="dxa"/>
              <w:bottom w:w="0" w:type="dxa"/>
              <w:right w:w="100" w:type="dxa"/>
            </w:tcMar>
          </w:tcPr>
          <w:p w14:paraId="3EC7D1D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835" w:type="dxa"/>
            <w:tcBorders>
              <w:top w:val="nil"/>
              <w:left w:val="nil"/>
              <w:bottom w:val="nil"/>
              <w:right w:val="nil"/>
            </w:tcBorders>
            <w:tcMar>
              <w:top w:w="0" w:type="dxa"/>
              <w:left w:w="100" w:type="dxa"/>
              <w:bottom w:w="0" w:type="dxa"/>
              <w:right w:w="100" w:type="dxa"/>
            </w:tcMar>
          </w:tcPr>
          <w:p w14:paraId="12C8DE66"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 .99]</w:t>
            </w:r>
          </w:p>
        </w:tc>
      </w:tr>
      <w:tr w:rsidR="007B5D6A" w14:paraId="39C23A57" w14:textId="77777777">
        <w:trPr>
          <w:trHeight w:val="270"/>
        </w:trPr>
        <w:tc>
          <w:tcPr>
            <w:tcW w:w="2835" w:type="dxa"/>
            <w:tcBorders>
              <w:top w:val="nil"/>
              <w:left w:val="nil"/>
              <w:bottom w:val="nil"/>
              <w:right w:val="nil"/>
            </w:tcBorders>
            <w:tcMar>
              <w:top w:w="0" w:type="dxa"/>
              <w:left w:w="100" w:type="dxa"/>
              <w:bottom w:w="0" w:type="dxa"/>
              <w:right w:w="100" w:type="dxa"/>
            </w:tcMar>
          </w:tcPr>
          <w:p w14:paraId="4AF979F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5" w:type="dxa"/>
            <w:tcBorders>
              <w:top w:val="nil"/>
              <w:left w:val="nil"/>
              <w:bottom w:val="nil"/>
              <w:right w:val="nil"/>
            </w:tcBorders>
            <w:tcMar>
              <w:top w:w="0" w:type="dxa"/>
              <w:left w:w="100" w:type="dxa"/>
              <w:bottom w:w="0" w:type="dxa"/>
              <w:right w:w="100" w:type="dxa"/>
            </w:tcMar>
          </w:tcPr>
          <w:p w14:paraId="5FC7C979"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0E89064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6A9B75E7" w14:textId="77777777">
        <w:trPr>
          <w:trHeight w:val="270"/>
        </w:trPr>
        <w:tc>
          <w:tcPr>
            <w:tcW w:w="2835" w:type="dxa"/>
            <w:tcBorders>
              <w:top w:val="nil"/>
              <w:left w:val="nil"/>
              <w:bottom w:val="nil"/>
              <w:right w:val="nil"/>
            </w:tcBorders>
            <w:tcMar>
              <w:top w:w="0" w:type="dxa"/>
              <w:left w:w="100" w:type="dxa"/>
              <w:bottom w:w="0" w:type="dxa"/>
              <w:right w:w="100" w:type="dxa"/>
            </w:tcMar>
          </w:tcPr>
          <w:p w14:paraId="6B44FB1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5" w:type="dxa"/>
            <w:tcBorders>
              <w:top w:val="nil"/>
              <w:left w:val="nil"/>
              <w:bottom w:val="nil"/>
              <w:right w:val="nil"/>
            </w:tcBorders>
            <w:tcMar>
              <w:top w:w="0" w:type="dxa"/>
              <w:left w:w="100" w:type="dxa"/>
              <w:bottom w:w="0" w:type="dxa"/>
              <w:right w:w="100" w:type="dxa"/>
            </w:tcMar>
          </w:tcPr>
          <w:p w14:paraId="50607E6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20DD7342"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2F5469E6" w14:textId="77777777">
        <w:trPr>
          <w:trHeight w:val="270"/>
        </w:trPr>
        <w:tc>
          <w:tcPr>
            <w:tcW w:w="2835" w:type="dxa"/>
            <w:tcBorders>
              <w:top w:val="nil"/>
              <w:left w:val="nil"/>
              <w:bottom w:val="nil"/>
              <w:right w:val="nil"/>
            </w:tcBorders>
            <w:tcMar>
              <w:top w:w="0" w:type="dxa"/>
              <w:left w:w="100" w:type="dxa"/>
              <w:bottom w:w="0" w:type="dxa"/>
              <w:right w:w="100" w:type="dxa"/>
            </w:tcMar>
          </w:tcPr>
          <w:p w14:paraId="6907115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5" w:type="dxa"/>
            <w:tcBorders>
              <w:top w:val="nil"/>
              <w:left w:val="nil"/>
              <w:bottom w:val="nil"/>
              <w:right w:val="nil"/>
            </w:tcBorders>
            <w:tcMar>
              <w:top w:w="0" w:type="dxa"/>
              <w:left w:w="100" w:type="dxa"/>
              <w:bottom w:w="0" w:type="dxa"/>
              <w:right w:w="100" w:type="dxa"/>
            </w:tcMar>
          </w:tcPr>
          <w:p w14:paraId="4F30D1BB"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1EEAC356"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3D5C0219" w14:textId="77777777">
        <w:trPr>
          <w:trHeight w:val="270"/>
        </w:trPr>
        <w:tc>
          <w:tcPr>
            <w:tcW w:w="2835" w:type="dxa"/>
            <w:tcBorders>
              <w:top w:val="nil"/>
              <w:left w:val="nil"/>
              <w:bottom w:val="nil"/>
              <w:right w:val="nil"/>
            </w:tcBorders>
            <w:tcMar>
              <w:top w:w="0" w:type="dxa"/>
              <w:left w:w="100" w:type="dxa"/>
              <w:bottom w:w="0" w:type="dxa"/>
              <w:right w:w="100" w:type="dxa"/>
            </w:tcMar>
          </w:tcPr>
          <w:p w14:paraId="546F641C"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5" w:type="dxa"/>
            <w:tcBorders>
              <w:top w:val="nil"/>
              <w:left w:val="nil"/>
              <w:bottom w:val="nil"/>
              <w:right w:val="nil"/>
            </w:tcBorders>
            <w:tcMar>
              <w:top w:w="0" w:type="dxa"/>
              <w:left w:w="100" w:type="dxa"/>
              <w:bottom w:w="0" w:type="dxa"/>
              <w:right w:w="100" w:type="dxa"/>
            </w:tcMar>
          </w:tcPr>
          <w:p w14:paraId="506071EB"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835" w:type="dxa"/>
            <w:tcBorders>
              <w:top w:val="nil"/>
              <w:left w:val="nil"/>
              <w:bottom w:val="nil"/>
              <w:right w:val="nil"/>
            </w:tcBorders>
            <w:tcMar>
              <w:top w:w="0" w:type="dxa"/>
              <w:left w:w="100" w:type="dxa"/>
              <w:bottom w:w="0" w:type="dxa"/>
              <w:right w:w="100" w:type="dxa"/>
            </w:tcMar>
          </w:tcPr>
          <w:p w14:paraId="1EFF25DB"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 .99]</w:t>
            </w:r>
          </w:p>
        </w:tc>
      </w:tr>
      <w:tr w:rsidR="007B5D6A" w14:paraId="012D3D88" w14:textId="77777777">
        <w:trPr>
          <w:trHeight w:val="270"/>
        </w:trPr>
        <w:tc>
          <w:tcPr>
            <w:tcW w:w="2835" w:type="dxa"/>
            <w:tcBorders>
              <w:top w:val="nil"/>
              <w:left w:val="nil"/>
              <w:bottom w:val="nil"/>
              <w:right w:val="nil"/>
            </w:tcBorders>
            <w:tcMar>
              <w:top w:w="0" w:type="dxa"/>
              <w:left w:w="100" w:type="dxa"/>
              <w:bottom w:w="0" w:type="dxa"/>
              <w:right w:w="100" w:type="dxa"/>
            </w:tcMar>
          </w:tcPr>
          <w:p w14:paraId="0DC9542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5" w:type="dxa"/>
            <w:tcBorders>
              <w:top w:val="nil"/>
              <w:left w:val="nil"/>
              <w:bottom w:val="nil"/>
              <w:right w:val="nil"/>
            </w:tcBorders>
            <w:tcMar>
              <w:top w:w="0" w:type="dxa"/>
              <w:left w:w="100" w:type="dxa"/>
              <w:bottom w:w="0" w:type="dxa"/>
              <w:right w:w="100" w:type="dxa"/>
            </w:tcMar>
          </w:tcPr>
          <w:p w14:paraId="7FACF75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2999826C"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175E411F" w14:textId="77777777">
        <w:trPr>
          <w:trHeight w:val="270"/>
        </w:trPr>
        <w:tc>
          <w:tcPr>
            <w:tcW w:w="2835" w:type="dxa"/>
            <w:tcBorders>
              <w:top w:val="nil"/>
              <w:left w:val="nil"/>
              <w:bottom w:val="nil"/>
              <w:right w:val="nil"/>
            </w:tcBorders>
            <w:tcMar>
              <w:top w:w="0" w:type="dxa"/>
              <w:left w:w="100" w:type="dxa"/>
              <w:bottom w:w="0" w:type="dxa"/>
              <w:right w:w="100" w:type="dxa"/>
            </w:tcMar>
          </w:tcPr>
          <w:p w14:paraId="3F9E4B2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5" w:type="dxa"/>
            <w:tcBorders>
              <w:top w:val="nil"/>
              <w:left w:val="nil"/>
              <w:bottom w:val="nil"/>
              <w:right w:val="nil"/>
            </w:tcBorders>
            <w:tcMar>
              <w:top w:w="0" w:type="dxa"/>
              <w:left w:w="100" w:type="dxa"/>
              <w:bottom w:w="0" w:type="dxa"/>
              <w:right w:w="100" w:type="dxa"/>
            </w:tcMar>
          </w:tcPr>
          <w:p w14:paraId="36B5A1E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71103F6E"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3B912B80" w14:textId="77777777">
        <w:trPr>
          <w:trHeight w:val="270"/>
        </w:trPr>
        <w:tc>
          <w:tcPr>
            <w:tcW w:w="2835" w:type="dxa"/>
            <w:tcBorders>
              <w:top w:val="nil"/>
              <w:left w:val="nil"/>
              <w:bottom w:val="nil"/>
              <w:right w:val="nil"/>
            </w:tcBorders>
            <w:tcMar>
              <w:top w:w="0" w:type="dxa"/>
              <w:left w:w="100" w:type="dxa"/>
              <w:bottom w:w="0" w:type="dxa"/>
              <w:right w:w="100" w:type="dxa"/>
            </w:tcMar>
          </w:tcPr>
          <w:p w14:paraId="15F4F3F1"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835" w:type="dxa"/>
            <w:tcBorders>
              <w:top w:val="nil"/>
              <w:left w:val="nil"/>
              <w:bottom w:val="nil"/>
              <w:right w:val="nil"/>
            </w:tcBorders>
            <w:tcMar>
              <w:top w:w="0" w:type="dxa"/>
              <w:left w:w="100" w:type="dxa"/>
              <w:bottom w:w="0" w:type="dxa"/>
              <w:right w:w="100" w:type="dxa"/>
            </w:tcMar>
          </w:tcPr>
          <w:p w14:paraId="713F286F"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1EFF19E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5F864A1F" w14:textId="77777777">
        <w:trPr>
          <w:trHeight w:val="270"/>
        </w:trPr>
        <w:tc>
          <w:tcPr>
            <w:tcW w:w="2835" w:type="dxa"/>
            <w:tcBorders>
              <w:top w:val="nil"/>
              <w:left w:val="nil"/>
              <w:bottom w:val="nil"/>
              <w:right w:val="nil"/>
            </w:tcBorders>
            <w:tcMar>
              <w:top w:w="0" w:type="dxa"/>
              <w:left w:w="100" w:type="dxa"/>
              <w:bottom w:w="0" w:type="dxa"/>
              <w:right w:w="100" w:type="dxa"/>
            </w:tcMar>
          </w:tcPr>
          <w:p w14:paraId="4B3EA80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35" w:type="dxa"/>
            <w:tcBorders>
              <w:top w:val="nil"/>
              <w:left w:val="nil"/>
              <w:bottom w:val="nil"/>
              <w:right w:val="nil"/>
            </w:tcBorders>
            <w:tcMar>
              <w:top w:w="0" w:type="dxa"/>
              <w:left w:w="100" w:type="dxa"/>
              <w:bottom w:w="0" w:type="dxa"/>
              <w:right w:w="100" w:type="dxa"/>
            </w:tcMar>
          </w:tcPr>
          <w:p w14:paraId="3DC0651D"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18F3E43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.99]</w:t>
            </w:r>
          </w:p>
        </w:tc>
      </w:tr>
      <w:tr w:rsidR="007B5D6A" w14:paraId="19C4D4DA" w14:textId="77777777">
        <w:trPr>
          <w:trHeight w:val="270"/>
        </w:trPr>
        <w:tc>
          <w:tcPr>
            <w:tcW w:w="2835" w:type="dxa"/>
            <w:tcBorders>
              <w:top w:val="nil"/>
              <w:left w:val="nil"/>
              <w:bottom w:val="nil"/>
              <w:right w:val="nil"/>
            </w:tcBorders>
            <w:tcMar>
              <w:top w:w="0" w:type="dxa"/>
              <w:left w:w="100" w:type="dxa"/>
              <w:bottom w:w="0" w:type="dxa"/>
              <w:right w:w="100" w:type="dxa"/>
            </w:tcMar>
          </w:tcPr>
          <w:p w14:paraId="3DD6800C"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5" w:type="dxa"/>
            <w:tcBorders>
              <w:top w:val="nil"/>
              <w:left w:val="nil"/>
              <w:bottom w:val="nil"/>
              <w:right w:val="nil"/>
            </w:tcBorders>
            <w:tcMar>
              <w:top w:w="0" w:type="dxa"/>
              <w:left w:w="100" w:type="dxa"/>
              <w:bottom w:w="0" w:type="dxa"/>
              <w:right w:w="100" w:type="dxa"/>
            </w:tcMar>
          </w:tcPr>
          <w:p w14:paraId="68FB1EB4"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835" w:type="dxa"/>
            <w:tcBorders>
              <w:top w:val="nil"/>
              <w:left w:val="nil"/>
              <w:bottom w:val="nil"/>
              <w:right w:val="nil"/>
            </w:tcBorders>
            <w:tcMar>
              <w:top w:w="0" w:type="dxa"/>
              <w:left w:w="100" w:type="dxa"/>
              <w:bottom w:w="0" w:type="dxa"/>
              <w:right w:w="100" w:type="dxa"/>
            </w:tcMar>
          </w:tcPr>
          <w:p w14:paraId="04D5D12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 .99]</w:t>
            </w:r>
          </w:p>
        </w:tc>
      </w:tr>
      <w:tr w:rsidR="007B5D6A" w14:paraId="63C723EE" w14:textId="77777777">
        <w:trPr>
          <w:trHeight w:val="270"/>
        </w:trPr>
        <w:tc>
          <w:tcPr>
            <w:tcW w:w="2835" w:type="dxa"/>
            <w:tcBorders>
              <w:top w:val="nil"/>
              <w:left w:val="nil"/>
              <w:bottom w:val="nil"/>
              <w:right w:val="nil"/>
            </w:tcBorders>
            <w:tcMar>
              <w:top w:w="0" w:type="dxa"/>
              <w:left w:w="100" w:type="dxa"/>
              <w:bottom w:w="0" w:type="dxa"/>
              <w:right w:w="100" w:type="dxa"/>
            </w:tcMar>
          </w:tcPr>
          <w:p w14:paraId="2F267E52"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5" w:type="dxa"/>
            <w:tcBorders>
              <w:top w:val="nil"/>
              <w:left w:val="nil"/>
              <w:bottom w:val="nil"/>
              <w:right w:val="nil"/>
            </w:tcBorders>
            <w:tcMar>
              <w:top w:w="0" w:type="dxa"/>
              <w:left w:w="100" w:type="dxa"/>
              <w:bottom w:w="0" w:type="dxa"/>
              <w:right w:w="100" w:type="dxa"/>
            </w:tcMar>
          </w:tcPr>
          <w:p w14:paraId="72C8E26F"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1FA3A394"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316348E1" w14:textId="77777777">
        <w:trPr>
          <w:trHeight w:val="270"/>
        </w:trPr>
        <w:tc>
          <w:tcPr>
            <w:tcW w:w="2835" w:type="dxa"/>
            <w:tcBorders>
              <w:top w:val="nil"/>
              <w:left w:val="nil"/>
              <w:bottom w:val="nil"/>
              <w:right w:val="nil"/>
            </w:tcBorders>
            <w:tcMar>
              <w:top w:w="0" w:type="dxa"/>
              <w:left w:w="100" w:type="dxa"/>
              <w:bottom w:w="0" w:type="dxa"/>
              <w:right w:w="100" w:type="dxa"/>
            </w:tcMar>
          </w:tcPr>
          <w:p w14:paraId="69BA400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35" w:type="dxa"/>
            <w:tcBorders>
              <w:top w:val="nil"/>
              <w:left w:val="nil"/>
              <w:bottom w:val="nil"/>
              <w:right w:val="nil"/>
            </w:tcBorders>
            <w:tcMar>
              <w:top w:w="0" w:type="dxa"/>
              <w:left w:w="100" w:type="dxa"/>
              <w:bottom w:w="0" w:type="dxa"/>
              <w:right w:w="100" w:type="dxa"/>
            </w:tcMar>
          </w:tcPr>
          <w:p w14:paraId="2936E28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399C0471"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72DF5BE0" w14:textId="77777777">
        <w:trPr>
          <w:trHeight w:val="270"/>
        </w:trPr>
        <w:tc>
          <w:tcPr>
            <w:tcW w:w="2835" w:type="dxa"/>
            <w:tcBorders>
              <w:top w:val="nil"/>
              <w:left w:val="nil"/>
              <w:bottom w:val="nil"/>
              <w:right w:val="nil"/>
            </w:tcBorders>
            <w:tcMar>
              <w:top w:w="0" w:type="dxa"/>
              <w:left w:w="100" w:type="dxa"/>
              <w:bottom w:w="0" w:type="dxa"/>
              <w:right w:w="100" w:type="dxa"/>
            </w:tcMar>
          </w:tcPr>
          <w:p w14:paraId="48EFB3CF"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5" w:type="dxa"/>
            <w:tcBorders>
              <w:top w:val="nil"/>
              <w:left w:val="nil"/>
              <w:bottom w:val="nil"/>
              <w:right w:val="nil"/>
            </w:tcBorders>
            <w:tcMar>
              <w:top w:w="0" w:type="dxa"/>
              <w:left w:w="100" w:type="dxa"/>
              <w:bottom w:w="0" w:type="dxa"/>
              <w:right w:w="100" w:type="dxa"/>
            </w:tcMar>
          </w:tcPr>
          <w:p w14:paraId="2ED1DE66"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444DAC7F"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16B7C31F" w14:textId="77777777">
        <w:trPr>
          <w:trHeight w:val="270"/>
        </w:trPr>
        <w:tc>
          <w:tcPr>
            <w:tcW w:w="2835" w:type="dxa"/>
            <w:tcBorders>
              <w:top w:val="nil"/>
              <w:left w:val="nil"/>
              <w:bottom w:val="nil"/>
              <w:right w:val="nil"/>
            </w:tcBorders>
            <w:tcMar>
              <w:top w:w="0" w:type="dxa"/>
              <w:left w:w="100" w:type="dxa"/>
              <w:bottom w:w="0" w:type="dxa"/>
              <w:right w:w="100" w:type="dxa"/>
            </w:tcMar>
          </w:tcPr>
          <w:p w14:paraId="7DD4951C"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5" w:type="dxa"/>
            <w:tcBorders>
              <w:top w:val="nil"/>
              <w:left w:val="nil"/>
              <w:bottom w:val="nil"/>
              <w:right w:val="nil"/>
            </w:tcBorders>
            <w:tcMar>
              <w:top w:w="0" w:type="dxa"/>
              <w:left w:w="100" w:type="dxa"/>
              <w:bottom w:w="0" w:type="dxa"/>
              <w:right w:w="100" w:type="dxa"/>
            </w:tcMar>
          </w:tcPr>
          <w:p w14:paraId="5F69535F"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66B05B9F"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2A206F87" w14:textId="77777777">
        <w:trPr>
          <w:trHeight w:val="270"/>
        </w:trPr>
        <w:tc>
          <w:tcPr>
            <w:tcW w:w="2835" w:type="dxa"/>
            <w:tcBorders>
              <w:top w:val="nil"/>
              <w:left w:val="nil"/>
              <w:bottom w:val="nil"/>
              <w:right w:val="nil"/>
            </w:tcBorders>
            <w:tcMar>
              <w:top w:w="0" w:type="dxa"/>
              <w:left w:w="100" w:type="dxa"/>
              <w:bottom w:w="0" w:type="dxa"/>
              <w:right w:w="100" w:type="dxa"/>
            </w:tcMar>
          </w:tcPr>
          <w:p w14:paraId="22C5465E"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5" w:type="dxa"/>
            <w:tcBorders>
              <w:top w:val="nil"/>
              <w:left w:val="nil"/>
              <w:bottom w:val="nil"/>
              <w:right w:val="nil"/>
            </w:tcBorders>
            <w:tcMar>
              <w:top w:w="0" w:type="dxa"/>
              <w:left w:w="100" w:type="dxa"/>
              <w:bottom w:w="0" w:type="dxa"/>
              <w:right w:w="100" w:type="dxa"/>
            </w:tcMar>
          </w:tcPr>
          <w:p w14:paraId="05295048"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835" w:type="dxa"/>
            <w:tcBorders>
              <w:top w:val="nil"/>
              <w:left w:val="nil"/>
              <w:bottom w:val="nil"/>
              <w:right w:val="nil"/>
            </w:tcBorders>
            <w:tcMar>
              <w:top w:w="0" w:type="dxa"/>
              <w:left w:w="100" w:type="dxa"/>
              <w:bottom w:w="0" w:type="dxa"/>
              <w:right w:w="100" w:type="dxa"/>
            </w:tcMar>
          </w:tcPr>
          <w:p w14:paraId="1CF97C4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 .99]</w:t>
            </w:r>
          </w:p>
        </w:tc>
      </w:tr>
      <w:tr w:rsidR="007B5D6A" w14:paraId="3DD669B0" w14:textId="77777777">
        <w:trPr>
          <w:trHeight w:val="270"/>
        </w:trPr>
        <w:tc>
          <w:tcPr>
            <w:tcW w:w="2835" w:type="dxa"/>
            <w:tcBorders>
              <w:top w:val="nil"/>
              <w:left w:val="nil"/>
              <w:bottom w:val="nil"/>
              <w:right w:val="nil"/>
            </w:tcBorders>
            <w:tcMar>
              <w:top w:w="0" w:type="dxa"/>
              <w:left w:w="100" w:type="dxa"/>
              <w:bottom w:w="0" w:type="dxa"/>
              <w:right w:w="100" w:type="dxa"/>
            </w:tcMar>
          </w:tcPr>
          <w:p w14:paraId="3963647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5" w:type="dxa"/>
            <w:tcBorders>
              <w:top w:val="nil"/>
              <w:left w:val="nil"/>
              <w:bottom w:val="nil"/>
              <w:right w:val="nil"/>
            </w:tcBorders>
            <w:tcMar>
              <w:top w:w="0" w:type="dxa"/>
              <w:left w:w="100" w:type="dxa"/>
              <w:bottom w:w="0" w:type="dxa"/>
              <w:right w:w="100" w:type="dxa"/>
            </w:tcMar>
          </w:tcPr>
          <w:p w14:paraId="3510E0B9"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6389F059"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62555E8E" w14:textId="77777777">
        <w:trPr>
          <w:trHeight w:val="270"/>
        </w:trPr>
        <w:tc>
          <w:tcPr>
            <w:tcW w:w="2835" w:type="dxa"/>
            <w:tcBorders>
              <w:top w:val="nil"/>
              <w:left w:val="nil"/>
              <w:bottom w:val="nil"/>
              <w:right w:val="nil"/>
            </w:tcBorders>
            <w:tcMar>
              <w:top w:w="0" w:type="dxa"/>
              <w:left w:w="100" w:type="dxa"/>
              <w:bottom w:w="0" w:type="dxa"/>
              <w:right w:w="100" w:type="dxa"/>
            </w:tcMar>
          </w:tcPr>
          <w:p w14:paraId="65A1593B"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835" w:type="dxa"/>
            <w:tcBorders>
              <w:top w:val="nil"/>
              <w:left w:val="nil"/>
              <w:bottom w:val="nil"/>
              <w:right w:val="nil"/>
            </w:tcBorders>
            <w:tcMar>
              <w:top w:w="0" w:type="dxa"/>
              <w:left w:w="100" w:type="dxa"/>
              <w:bottom w:w="0" w:type="dxa"/>
              <w:right w:w="100" w:type="dxa"/>
            </w:tcMar>
          </w:tcPr>
          <w:p w14:paraId="79E91388"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7D9F463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165195A2" w14:textId="77777777">
        <w:trPr>
          <w:trHeight w:val="270"/>
        </w:trPr>
        <w:tc>
          <w:tcPr>
            <w:tcW w:w="2835" w:type="dxa"/>
            <w:tcBorders>
              <w:top w:val="nil"/>
              <w:left w:val="nil"/>
              <w:bottom w:val="nil"/>
              <w:right w:val="nil"/>
            </w:tcBorders>
            <w:tcMar>
              <w:top w:w="0" w:type="dxa"/>
              <w:left w:w="100" w:type="dxa"/>
              <w:bottom w:w="0" w:type="dxa"/>
              <w:right w:w="100" w:type="dxa"/>
            </w:tcMar>
          </w:tcPr>
          <w:p w14:paraId="00195ECF"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35" w:type="dxa"/>
            <w:tcBorders>
              <w:top w:val="nil"/>
              <w:left w:val="nil"/>
              <w:bottom w:val="nil"/>
              <w:right w:val="nil"/>
            </w:tcBorders>
            <w:tcMar>
              <w:top w:w="0" w:type="dxa"/>
              <w:left w:w="100" w:type="dxa"/>
              <w:bottom w:w="0" w:type="dxa"/>
              <w:right w:w="100" w:type="dxa"/>
            </w:tcMar>
          </w:tcPr>
          <w:p w14:paraId="6856C9EB"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648D2858"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06018984" w14:textId="77777777">
        <w:trPr>
          <w:trHeight w:val="270"/>
        </w:trPr>
        <w:tc>
          <w:tcPr>
            <w:tcW w:w="2835" w:type="dxa"/>
            <w:tcBorders>
              <w:top w:val="nil"/>
              <w:left w:val="nil"/>
              <w:bottom w:val="nil"/>
              <w:right w:val="nil"/>
            </w:tcBorders>
            <w:tcMar>
              <w:top w:w="0" w:type="dxa"/>
              <w:left w:w="100" w:type="dxa"/>
              <w:bottom w:w="0" w:type="dxa"/>
              <w:right w:w="100" w:type="dxa"/>
            </w:tcMar>
          </w:tcPr>
          <w:p w14:paraId="52E61D46"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35" w:type="dxa"/>
            <w:tcBorders>
              <w:top w:val="nil"/>
              <w:left w:val="nil"/>
              <w:bottom w:val="nil"/>
              <w:right w:val="nil"/>
            </w:tcBorders>
            <w:tcMar>
              <w:top w:w="0" w:type="dxa"/>
              <w:left w:w="100" w:type="dxa"/>
              <w:bottom w:w="0" w:type="dxa"/>
              <w:right w:w="100" w:type="dxa"/>
            </w:tcMar>
          </w:tcPr>
          <w:p w14:paraId="60FDF3D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835" w:type="dxa"/>
            <w:tcBorders>
              <w:top w:val="nil"/>
              <w:left w:val="nil"/>
              <w:bottom w:val="nil"/>
              <w:right w:val="nil"/>
            </w:tcBorders>
            <w:tcMar>
              <w:top w:w="0" w:type="dxa"/>
              <w:left w:w="100" w:type="dxa"/>
              <w:bottom w:w="0" w:type="dxa"/>
              <w:right w:w="100" w:type="dxa"/>
            </w:tcMar>
          </w:tcPr>
          <w:p w14:paraId="097FC6FD"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 .99]</w:t>
            </w:r>
          </w:p>
        </w:tc>
      </w:tr>
      <w:tr w:rsidR="007B5D6A" w14:paraId="66D6E74C" w14:textId="77777777">
        <w:trPr>
          <w:trHeight w:val="270"/>
        </w:trPr>
        <w:tc>
          <w:tcPr>
            <w:tcW w:w="2835" w:type="dxa"/>
            <w:tcBorders>
              <w:top w:val="nil"/>
              <w:left w:val="nil"/>
              <w:bottom w:val="nil"/>
              <w:right w:val="nil"/>
            </w:tcBorders>
            <w:tcMar>
              <w:top w:w="0" w:type="dxa"/>
              <w:left w:w="100" w:type="dxa"/>
              <w:bottom w:w="0" w:type="dxa"/>
              <w:right w:w="100" w:type="dxa"/>
            </w:tcMar>
          </w:tcPr>
          <w:p w14:paraId="040549E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35" w:type="dxa"/>
            <w:tcBorders>
              <w:top w:val="nil"/>
              <w:left w:val="nil"/>
              <w:bottom w:val="nil"/>
              <w:right w:val="nil"/>
            </w:tcBorders>
            <w:tcMar>
              <w:top w:w="0" w:type="dxa"/>
              <w:left w:w="100" w:type="dxa"/>
              <w:bottom w:w="0" w:type="dxa"/>
              <w:right w:w="100" w:type="dxa"/>
            </w:tcMar>
          </w:tcPr>
          <w:p w14:paraId="59EFBD56"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835" w:type="dxa"/>
            <w:tcBorders>
              <w:top w:val="nil"/>
              <w:left w:val="nil"/>
              <w:bottom w:val="nil"/>
              <w:right w:val="nil"/>
            </w:tcBorders>
            <w:tcMar>
              <w:top w:w="0" w:type="dxa"/>
              <w:left w:w="100" w:type="dxa"/>
              <w:bottom w:w="0" w:type="dxa"/>
              <w:right w:w="100" w:type="dxa"/>
            </w:tcMar>
          </w:tcPr>
          <w:p w14:paraId="5D3F7777"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 .99]</w:t>
            </w:r>
          </w:p>
        </w:tc>
      </w:tr>
      <w:tr w:rsidR="007B5D6A" w14:paraId="13F784BE" w14:textId="77777777">
        <w:trPr>
          <w:trHeight w:val="270"/>
        </w:trPr>
        <w:tc>
          <w:tcPr>
            <w:tcW w:w="2835" w:type="dxa"/>
            <w:tcBorders>
              <w:top w:val="nil"/>
              <w:left w:val="nil"/>
              <w:bottom w:val="nil"/>
              <w:right w:val="nil"/>
            </w:tcBorders>
            <w:tcMar>
              <w:top w:w="0" w:type="dxa"/>
              <w:left w:w="100" w:type="dxa"/>
              <w:bottom w:w="0" w:type="dxa"/>
              <w:right w:w="100" w:type="dxa"/>
            </w:tcMar>
          </w:tcPr>
          <w:p w14:paraId="5D742AFF"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35" w:type="dxa"/>
            <w:tcBorders>
              <w:top w:val="nil"/>
              <w:left w:val="nil"/>
              <w:bottom w:val="nil"/>
              <w:right w:val="nil"/>
            </w:tcBorders>
            <w:tcMar>
              <w:top w:w="0" w:type="dxa"/>
              <w:left w:w="100" w:type="dxa"/>
              <w:bottom w:w="0" w:type="dxa"/>
              <w:right w:w="100" w:type="dxa"/>
            </w:tcMar>
          </w:tcPr>
          <w:p w14:paraId="4CA2510D"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835" w:type="dxa"/>
            <w:tcBorders>
              <w:top w:val="nil"/>
              <w:left w:val="nil"/>
              <w:bottom w:val="nil"/>
              <w:right w:val="nil"/>
            </w:tcBorders>
            <w:tcMar>
              <w:top w:w="0" w:type="dxa"/>
              <w:left w:w="100" w:type="dxa"/>
              <w:bottom w:w="0" w:type="dxa"/>
              <w:right w:w="100" w:type="dxa"/>
            </w:tcMar>
          </w:tcPr>
          <w:p w14:paraId="0A0C4674"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1.00]</w:t>
            </w:r>
          </w:p>
        </w:tc>
      </w:tr>
      <w:tr w:rsidR="007B5D6A" w14:paraId="7987F34C" w14:textId="77777777">
        <w:trPr>
          <w:trHeight w:val="270"/>
        </w:trPr>
        <w:tc>
          <w:tcPr>
            <w:tcW w:w="2835" w:type="dxa"/>
            <w:tcBorders>
              <w:top w:val="nil"/>
              <w:left w:val="nil"/>
              <w:bottom w:val="nil"/>
              <w:right w:val="nil"/>
            </w:tcBorders>
            <w:tcMar>
              <w:top w:w="0" w:type="dxa"/>
              <w:left w:w="100" w:type="dxa"/>
              <w:bottom w:w="0" w:type="dxa"/>
              <w:right w:w="100" w:type="dxa"/>
            </w:tcMar>
          </w:tcPr>
          <w:p w14:paraId="19AC3422"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35" w:type="dxa"/>
            <w:tcBorders>
              <w:top w:val="nil"/>
              <w:left w:val="nil"/>
              <w:bottom w:val="nil"/>
              <w:right w:val="nil"/>
            </w:tcBorders>
            <w:tcMar>
              <w:top w:w="0" w:type="dxa"/>
              <w:left w:w="100" w:type="dxa"/>
              <w:bottom w:w="0" w:type="dxa"/>
              <w:right w:w="100" w:type="dxa"/>
            </w:tcMar>
          </w:tcPr>
          <w:p w14:paraId="7E58BE49"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835" w:type="dxa"/>
            <w:tcBorders>
              <w:top w:val="nil"/>
              <w:left w:val="nil"/>
              <w:bottom w:val="nil"/>
              <w:right w:val="nil"/>
            </w:tcBorders>
            <w:tcMar>
              <w:top w:w="0" w:type="dxa"/>
              <w:left w:w="100" w:type="dxa"/>
              <w:bottom w:w="0" w:type="dxa"/>
              <w:right w:w="100" w:type="dxa"/>
            </w:tcMar>
          </w:tcPr>
          <w:p w14:paraId="2D88F0BB"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 .99]</w:t>
            </w:r>
          </w:p>
        </w:tc>
      </w:tr>
      <w:tr w:rsidR="007B5D6A" w14:paraId="0851DCC9" w14:textId="77777777">
        <w:trPr>
          <w:trHeight w:val="270"/>
        </w:trPr>
        <w:tc>
          <w:tcPr>
            <w:tcW w:w="2835" w:type="dxa"/>
            <w:tcBorders>
              <w:top w:val="nil"/>
              <w:left w:val="nil"/>
              <w:bottom w:val="nil"/>
              <w:right w:val="nil"/>
            </w:tcBorders>
            <w:tcMar>
              <w:top w:w="0" w:type="dxa"/>
              <w:left w:w="100" w:type="dxa"/>
              <w:bottom w:w="0" w:type="dxa"/>
              <w:right w:w="100" w:type="dxa"/>
            </w:tcMar>
          </w:tcPr>
          <w:p w14:paraId="6F8DA1BE"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35" w:type="dxa"/>
            <w:tcBorders>
              <w:top w:val="nil"/>
              <w:left w:val="nil"/>
              <w:bottom w:val="nil"/>
              <w:right w:val="nil"/>
            </w:tcBorders>
            <w:tcMar>
              <w:top w:w="0" w:type="dxa"/>
              <w:left w:w="100" w:type="dxa"/>
              <w:bottom w:w="0" w:type="dxa"/>
              <w:right w:w="100" w:type="dxa"/>
            </w:tcMar>
          </w:tcPr>
          <w:p w14:paraId="2782EF09"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835" w:type="dxa"/>
            <w:tcBorders>
              <w:top w:val="nil"/>
              <w:left w:val="nil"/>
              <w:bottom w:val="nil"/>
              <w:right w:val="nil"/>
            </w:tcBorders>
            <w:tcMar>
              <w:top w:w="0" w:type="dxa"/>
              <w:left w:w="100" w:type="dxa"/>
              <w:bottom w:w="0" w:type="dxa"/>
              <w:right w:w="100" w:type="dxa"/>
            </w:tcMar>
          </w:tcPr>
          <w:p w14:paraId="6518ED3B"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 .99]</w:t>
            </w:r>
          </w:p>
        </w:tc>
      </w:tr>
      <w:tr w:rsidR="007B5D6A" w14:paraId="346C6810" w14:textId="77777777">
        <w:trPr>
          <w:trHeight w:val="285"/>
        </w:trPr>
        <w:tc>
          <w:tcPr>
            <w:tcW w:w="2835" w:type="dxa"/>
            <w:tcBorders>
              <w:top w:val="nil"/>
              <w:left w:val="nil"/>
              <w:bottom w:val="single" w:sz="6" w:space="0" w:color="000000"/>
              <w:right w:val="nil"/>
            </w:tcBorders>
            <w:tcMar>
              <w:top w:w="0" w:type="dxa"/>
              <w:left w:w="100" w:type="dxa"/>
              <w:bottom w:w="0" w:type="dxa"/>
              <w:right w:w="100" w:type="dxa"/>
            </w:tcMar>
          </w:tcPr>
          <w:p w14:paraId="478FB128"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35" w:type="dxa"/>
            <w:tcBorders>
              <w:top w:val="nil"/>
              <w:left w:val="nil"/>
              <w:bottom w:val="single" w:sz="6" w:space="0" w:color="000000"/>
              <w:right w:val="nil"/>
            </w:tcBorders>
            <w:tcMar>
              <w:top w:w="0" w:type="dxa"/>
              <w:left w:w="100" w:type="dxa"/>
              <w:bottom w:w="0" w:type="dxa"/>
              <w:right w:w="100" w:type="dxa"/>
            </w:tcMar>
          </w:tcPr>
          <w:p w14:paraId="6E8C36D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835" w:type="dxa"/>
            <w:tcBorders>
              <w:top w:val="nil"/>
              <w:left w:val="nil"/>
              <w:bottom w:val="single" w:sz="6" w:space="0" w:color="000000"/>
              <w:right w:val="nil"/>
            </w:tcBorders>
            <w:tcMar>
              <w:top w:w="0" w:type="dxa"/>
              <w:left w:w="100" w:type="dxa"/>
              <w:bottom w:w="0" w:type="dxa"/>
              <w:right w:w="100" w:type="dxa"/>
            </w:tcMar>
          </w:tcPr>
          <w:p w14:paraId="1420410E"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 .99]</w:t>
            </w:r>
          </w:p>
        </w:tc>
      </w:tr>
    </w:tbl>
    <w:p w14:paraId="3DE10D92" w14:textId="77777777" w:rsidR="007B5D6A"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lastRenderedPageBreak/>
        <w:t>Nota.</w:t>
      </w:r>
      <w:r>
        <w:rPr>
          <w:rFonts w:ascii="Times New Roman" w:eastAsia="Times New Roman" w:hAnsi="Times New Roman" w:cs="Times New Roman"/>
          <w:b/>
          <w:sz w:val="24"/>
          <w:szCs w:val="24"/>
        </w:rPr>
        <w:t xml:space="preserve"> IC: Intervalos de confianza</w:t>
      </w:r>
    </w:p>
    <w:p w14:paraId="7DD2791F" w14:textId="77777777" w:rsidR="007B5D6A" w:rsidRDefault="00000000" w:rsidP="00E42C58">
      <w:pPr>
        <w:spacing w:before="240" w:after="24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ítems fueron evaluados por un grupo de siete expertos y procesados utilizando el programa V de Aiken, obteniendo valores entre 0.95 y 1.00, los cuales son considerados satisfactorios y reflejan su relación con el constructo estudiado. Además, se tomaron en cuenta los intervalos de confianza al 95%, observándose que la mayoría de los ítems presentaron un valor de V de Aiken de 1.00, lo que indica que los índices de validez de contenido son adecuados. Según Merino y Livia (2009), los ítems con valores de V de Aiken superiores o iguales a 0.70 se consideran aceptables.</w:t>
      </w:r>
    </w:p>
    <w:p w14:paraId="0E7D875C" w14:textId="77777777" w:rsidR="007B5D6A" w:rsidRDefault="00000000">
      <w:pPr>
        <w:spacing w:before="240" w:after="240"/>
        <w:jc w:val="both"/>
        <w:rPr>
          <w:b/>
          <w:sz w:val="24"/>
          <w:szCs w:val="24"/>
        </w:rPr>
      </w:pPr>
      <w:r>
        <w:rPr>
          <w:rFonts w:ascii="Times New Roman" w:eastAsia="Times New Roman" w:hAnsi="Times New Roman" w:cs="Times New Roman"/>
          <w:b/>
          <w:sz w:val="24"/>
          <w:szCs w:val="24"/>
        </w:rPr>
        <w:t>Tabla 02</w:t>
      </w:r>
    </w:p>
    <w:p w14:paraId="00BE99E2" w14:textId="77777777" w:rsidR="007B5D6A" w:rsidRDefault="00000000">
      <w:pPr>
        <w:spacing w:before="240" w:after="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Cargas factoriales de los ítems distribuidos según dimensiones, con el método de residuos mínimos y rotación oblimin.</w:t>
      </w:r>
    </w:p>
    <w:tbl>
      <w:tblPr>
        <w:tblStyle w:val="a0"/>
        <w:tblW w:w="53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00"/>
        <w:gridCol w:w="1605"/>
        <w:gridCol w:w="1605"/>
      </w:tblGrid>
      <w:tr w:rsidR="007B5D6A" w14:paraId="1CD1F025" w14:textId="77777777">
        <w:trPr>
          <w:trHeight w:val="285"/>
        </w:trPr>
        <w:tc>
          <w:tcPr>
            <w:tcW w:w="2100" w:type="dxa"/>
            <w:tcBorders>
              <w:top w:val="single" w:sz="6" w:space="0" w:color="000000"/>
              <w:left w:val="nil"/>
              <w:bottom w:val="single" w:sz="6" w:space="0" w:color="000000"/>
              <w:right w:val="nil"/>
            </w:tcBorders>
            <w:tcMar>
              <w:top w:w="0" w:type="dxa"/>
              <w:left w:w="100" w:type="dxa"/>
              <w:bottom w:w="0" w:type="dxa"/>
              <w:right w:w="100" w:type="dxa"/>
            </w:tcMar>
          </w:tcPr>
          <w:p w14:paraId="2B223531"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Ítems</w:t>
            </w:r>
          </w:p>
        </w:tc>
        <w:tc>
          <w:tcPr>
            <w:tcW w:w="1605" w:type="dxa"/>
            <w:tcBorders>
              <w:top w:val="single" w:sz="6" w:space="0" w:color="000000"/>
              <w:left w:val="nil"/>
              <w:bottom w:val="single" w:sz="6" w:space="0" w:color="000000"/>
              <w:right w:val="nil"/>
            </w:tcBorders>
            <w:tcMar>
              <w:top w:w="0" w:type="dxa"/>
              <w:left w:w="100" w:type="dxa"/>
              <w:bottom w:w="0" w:type="dxa"/>
              <w:right w:w="100" w:type="dxa"/>
            </w:tcMar>
          </w:tcPr>
          <w:p w14:paraId="5A5F5438"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w:t>
            </w:r>
          </w:p>
        </w:tc>
        <w:tc>
          <w:tcPr>
            <w:tcW w:w="1605" w:type="dxa"/>
            <w:tcBorders>
              <w:top w:val="single" w:sz="6" w:space="0" w:color="000000"/>
              <w:left w:val="nil"/>
              <w:bottom w:val="single" w:sz="6" w:space="0" w:color="000000"/>
              <w:right w:val="nil"/>
            </w:tcBorders>
            <w:tcMar>
              <w:top w:w="0" w:type="dxa"/>
              <w:left w:w="100" w:type="dxa"/>
              <w:bottom w:w="0" w:type="dxa"/>
              <w:right w:w="100" w:type="dxa"/>
            </w:tcMar>
          </w:tcPr>
          <w:p w14:paraId="162ECF4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F2</w:t>
            </w:r>
          </w:p>
        </w:tc>
      </w:tr>
      <w:tr w:rsidR="007B5D6A" w14:paraId="7E966E01" w14:textId="77777777">
        <w:trPr>
          <w:trHeight w:val="285"/>
        </w:trPr>
        <w:tc>
          <w:tcPr>
            <w:tcW w:w="2100" w:type="dxa"/>
            <w:tcBorders>
              <w:top w:val="nil"/>
              <w:left w:val="nil"/>
              <w:bottom w:val="nil"/>
              <w:right w:val="nil"/>
            </w:tcBorders>
            <w:tcMar>
              <w:top w:w="0" w:type="dxa"/>
              <w:left w:w="100" w:type="dxa"/>
              <w:bottom w:w="0" w:type="dxa"/>
              <w:right w:w="100" w:type="dxa"/>
            </w:tcMar>
          </w:tcPr>
          <w:p w14:paraId="3CF674C3"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Ítem 1</w:t>
            </w:r>
          </w:p>
        </w:tc>
        <w:tc>
          <w:tcPr>
            <w:tcW w:w="1605" w:type="dxa"/>
            <w:tcBorders>
              <w:top w:val="nil"/>
              <w:left w:val="nil"/>
              <w:bottom w:val="nil"/>
              <w:right w:val="nil"/>
            </w:tcBorders>
            <w:tcMar>
              <w:top w:w="0" w:type="dxa"/>
              <w:left w:w="100" w:type="dxa"/>
              <w:bottom w:w="0" w:type="dxa"/>
              <w:right w:w="100" w:type="dxa"/>
            </w:tcMar>
          </w:tcPr>
          <w:p w14:paraId="55EA34F4"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605" w:type="dxa"/>
            <w:tcBorders>
              <w:top w:val="nil"/>
              <w:left w:val="nil"/>
              <w:bottom w:val="nil"/>
              <w:right w:val="nil"/>
            </w:tcBorders>
            <w:tcMar>
              <w:top w:w="0" w:type="dxa"/>
              <w:left w:w="100" w:type="dxa"/>
              <w:bottom w:w="0" w:type="dxa"/>
              <w:right w:w="100" w:type="dxa"/>
            </w:tcMar>
          </w:tcPr>
          <w:p w14:paraId="14FE65DC"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B5D6A" w14:paraId="4BF1C572" w14:textId="77777777">
        <w:trPr>
          <w:trHeight w:val="270"/>
        </w:trPr>
        <w:tc>
          <w:tcPr>
            <w:tcW w:w="2100" w:type="dxa"/>
            <w:tcBorders>
              <w:top w:val="nil"/>
              <w:left w:val="nil"/>
              <w:bottom w:val="nil"/>
              <w:right w:val="nil"/>
            </w:tcBorders>
            <w:tcMar>
              <w:top w:w="0" w:type="dxa"/>
              <w:left w:w="100" w:type="dxa"/>
              <w:bottom w:w="0" w:type="dxa"/>
              <w:right w:w="100" w:type="dxa"/>
            </w:tcMar>
          </w:tcPr>
          <w:p w14:paraId="6C070855"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Ítem 3</w:t>
            </w:r>
          </w:p>
        </w:tc>
        <w:tc>
          <w:tcPr>
            <w:tcW w:w="1605" w:type="dxa"/>
            <w:tcBorders>
              <w:top w:val="nil"/>
              <w:left w:val="nil"/>
              <w:bottom w:val="nil"/>
              <w:right w:val="nil"/>
            </w:tcBorders>
            <w:tcMar>
              <w:top w:w="0" w:type="dxa"/>
              <w:left w:w="100" w:type="dxa"/>
              <w:bottom w:w="0" w:type="dxa"/>
              <w:right w:w="100" w:type="dxa"/>
            </w:tcMar>
          </w:tcPr>
          <w:p w14:paraId="64D79B57"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605" w:type="dxa"/>
            <w:tcBorders>
              <w:top w:val="nil"/>
              <w:left w:val="nil"/>
              <w:bottom w:val="nil"/>
              <w:right w:val="nil"/>
            </w:tcBorders>
            <w:tcMar>
              <w:top w:w="0" w:type="dxa"/>
              <w:left w:w="100" w:type="dxa"/>
              <w:bottom w:w="0" w:type="dxa"/>
              <w:right w:w="100" w:type="dxa"/>
            </w:tcMar>
          </w:tcPr>
          <w:p w14:paraId="3E6F393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B5D6A" w14:paraId="02C8E621" w14:textId="77777777">
        <w:trPr>
          <w:trHeight w:val="270"/>
        </w:trPr>
        <w:tc>
          <w:tcPr>
            <w:tcW w:w="2100" w:type="dxa"/>
            <w:tcBorders>
              <w:top w:val="nil"/>
              <w:left w:val="nil"/>
              <w:bottom w:val="nil"/>
              <w:right w:val="nil"/>
            </w:tcBorders>
            <w:tcMar>
              <w:top w:w="0" w:type="dxa"/>
              <w:left w:w="100" w:type="dxa"/>
              <w:bottom w:w="0" w:type="dxa"/>
              <w:right w:w="100" w:type="dxa"/>
            </w:tcMar>
          </w:tcPr>
          <w:p w14:paraId="15308C8B"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Ítem 6</w:t>
            </w:r>
          </w:p>
        </w:tc>
        <w:tc>
          <w:tcPr>
            <w:tcW w:w="1605" w:type="dxa"/>
            <w:tcBorders>
              <w:top w:val="nil"/>
              <w:left w:val="nil"/>
              <w:bottom w:val="nil"/>
              <w:right w:val="nil"/>
            </w:tcBorders>
            <w:tcMar>
              <w:top w:w="0" w:type="dxa"/>
              <w:left w:w="100" w:type="dxa"/>
              <w:bottom w:w="0" w:type="dxa"/>
              <w:right w:w="100" w:type="dxa"/>
            </w:tcMar>
          </w:tcPr>
          <w:p w14:paraId="028C7A14"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605" w:type="dxa"/>
            <w:tcBorders>
              <w:top w:val="nil"/>
              <w:left w:val="nil"/>
              <w:bottom w:val="nil"/>
              <w:right w:val="nil"/>
            </w:tcBorders>
            <w:tcMar>
              <w:top w:w="0" w:type="dxa"/>
              <w:left w:w="100" w:type="dxa"/>
              <w:bottom w:w="0" w:type="dxa"/>
              <w:right w:w="100" w:type="dxa"/>
            </w:tcMar>
          </w:tcPr>
          <w:p w14:paraId="623412FA"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B5D6A" w14:paraId="26002FAD" w14:textId="77777777">
        <w:trPr>
          <w:trHeight w:val="270"/>
        </w:trPr>
        <w:tc>
          <w:tcPr>
            <w:tcW w:w="2100" w:type="dxa"/>
            <w:tcBorders>
              <w:top w:val="nil"/>
              <w:left w:val="nil"/>
              <w:bottom w:val="nil"/>
              <w:right w:val="nil"/>
            </w:tcBorders>
            <w:tcMar>
              <w:top w:w="0" w:type="dxa"/>
              <w:left w:w="100" w:type="dxa"/>
              <w:bottom w:w="0" w:type="dxa"/>
              <w:right w:w="100" w:type="dxa"/>
            </w:tcMar>
          </w:tcPr>
          <w:p w14:paraId="70313A48"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Ítem 7</w:t>
            </w:r>
          </w:p>
        </w:tc>
        <w:tc>
          <w:tcPr>
            <w:tcW w:w="1605" w:type="dxa"/>
            <w:tcBorders>
              <w:top w:val="nil"/>
              <w:left w:val="nil"/>
              <w:bottom w:val="nil"/>
              <w:right w:val="nil"/>
            </w:tcBorders>
            <w:tcMar>
              <w:top w:w="0" w:type="dxa"/>
              <w:left w:w="100" w:type="dxa"/>
              <w:bottom w:w="0" w:type="dxa"/>
              <w:right w:w="100" w:type="dxa"/>
            </w:tcMar>
          </w:tcPr>
          <w:p w14:paraId="2B95C22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605" w:type="dxa"/>
            <w:tcBorders>
              <w:top w:val="nil"/>
              <w:left w:val="nil"/>
              <w:bottom w:val="nil"/>
              <w:right w:val="nil"/>
            </w:tcBorders>
            <w:tcMar>
              <w:top w:w="0" w:type="dxa"/>
              <w:left w:w="100" w:type="dxa"/>
              <w:bottom w:w="0" w:type="dxa"/>
              <w:right w:w="100" w:type="dxa"/>
            </w:tcMar>
          </w:tcPr>
          <w:p w14:paraId="2B458B5D"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B5D6A" w14:paraId="088FD373" w14:textId="77777777">
        <w:trPr>
          <w:trHeight w:val="270"/>
        </w:trPr>
        <w:tc>
          <w:tcPr>
            <w:tcW w:w="2100" w:type="dxa"/>
            <w:tcBorders>
              <w:top w:val="nil"/>
              <w:left w:val="nil"/>
              <w:bottom w:val="nil"/>
              <w:right w:val="nil"/>
            </w:tcBorders>
            <w:tcMar>
              <w:top w:w="0" w:type="dxa"/>
              <w:left w:w="100" w:type="dxa"/>
              <w:bottom w:w="0" w:type="dxa"/>
              <w:right w:w="100" w:type="dxa"/>
            </w:tcMar>
          </w:tcPr>
          <w:p w14:paraId="7031BEDC"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Ítem 8</w:t>
            </w:r>
          </w:p>
        </w:tc>
        <w:tc>
          <w:tcPr>
            <w:tcW w:w="1605" w:type="dxa"/>
            <w:tcBorders>
              <w:top w:val="nil"/>
              <w:left w:val="nil"/>
              <w:bottom w:val="nil"/>
              <w:right w:val="nil"/>
            </w:tcBorders>
            <w:tcMar>
              <w:top w:w="0" w:type="dxa"/>
              <w:left w:w="100" w:type="dxa"/>
              <w:bottom w:w="0" w:type="dxa"/>
              <w:right w:w="100" w:type="dxa"/>
            </w:tcMar>
          </w:tcPr>
          <w:p w14:paraId="3F73F4E9"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605" w:type="dxa"/>
            <w:tcBorders>
              <w:top w:val="nil"/>
              <w:left w:val="nil"/>
              <w:bottom w:val="nil"/>
              <w:right w:val="nil"/>
            </w:tcBorders>
            <w:tcMar>
              <w:top w:w="0" w:type="dxa"/>
              <w:left w:w="100" w:type="dxa"/>
              <w:bottom w:w="0" w:type="dxa"/>
              <w:right w:w="100" w:type="dxa"/>
            </w:tcMar>
          </w:tcPr>
          <w:p w14:paraId="5E875334"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B5D6A" w14:paraId="00488660" w14:textId="77777777">
        <w:trPr>
          <w:trHeight w:val="270"/>
        </w:trPr>
        <w:tc>
          <w:tcPr>
            <w:tcW w:w="2100" w:type="dxa"/>
            <w:tcBorders>
              <w:top w:val="nil"/>
              <w:left w:val="nil"/>
              <w:bottom w:val="nil"/>
              <w:right w:val="nil"/>
            </w:tcBorders>
            <w:tcMar>
              <w:top w:w="0" w:type="dxa"/>
              <w:left w:w="100" w:type="dxa"/>
              <w:bottom w:w="0" w:type="dxa"/>
              <w:right w:w="100" w:type="dxa"/>
            </w:tcMar>
          </w:tcPr>
          <w:p w14:paraId="10AFA94A"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Ítem 9</w:t>
            </w:r>
          </w:p>
        </w:tc>
        <w:tc>
          <w:tcPr>
            <w:tcW w:w="1605" w:type="dxa"/>
            <w:tcBorders>
              <w:top w:val="nil"/>
              <w:left w:val="nil"/>
              <w:bottom w:val="nil"/>
              <w:right w:val="nil"/>
            </w:tcBorders>
            <w:tcMar>
              <w:top w:w="0" w:type="dxa"/>
              <w:left w:w="100" w:type="dxa"/>
              <w:bottom w:w="0" w:type="dxa"/>
              <w:right w:w="100" w:type="dxa"/>
            </w:tcMar>
          </w:tcPr>
          <w:p w14:paraId="3DFE2C70"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05" w:type="dxa"/>
            <w:tcBorders>
              <w:top w:val="nil"/>
              <w:left w:val="nil"/>
              <w:bottom w:val="nil"/>
              <w:right w:val="nil"/>
            </w:tcBorders>
            <w:tcMar>
              <w:top w:w="0" w:type="dxa"/>
              <w:left w:w="100" w:type="dxa"/>
              <w:bottom w:w="0" w:type="dxa"/>
              <w:right w:w="100" w:type="dxa"/>
            </w:tcMar>
          </w:tcPr>
          <w:p w14:paraId="5AFB9323"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7B5D6A" w14:paraId="6CEB0960" w14:textId="77777777">
        <w:trPr>
          <w:trHeight w:val="270"/>
        </w:trPr>
        <w:tc>
          <w:tcPr>
            <w:tcW w:w="2100" w:type="dxa"/>
            <w:tcBorders>
              <w:top w:val="nil"/>
              <w:left w:val="nil"/>
              <w:bottom w:val="nil"/>
              <w:right w:val="nil"/>
            </w:tcBorders>
            <w:tcMar>
              <w:top w:w="0" w:type="dxa"/>
              <w:left w:w="100" w:type="dxa"/>
              <w:bottom w:w="0" w:type="dxa"/>
              <w:right w:w="100" w:type="dxa"/>
            </w:tcMar>
          </w:tcPr>
          <w:p w14:paraId="7957D07C"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Ítem 10</w:t>
            </w:r>
          </w:p>
        </w:tc>
        <w:tc>
          <w:tcPr>
            <w:tcW w:w="1605" w:type="dxa"/>
            <w:tcBorders>
              <w:top w:val="nil"/>
              <w:left w:val="nil"/>
              <w:bottom w:val="nil"/>
              <w:right w:val="nil"/>
            </w:tcBorders>
            <w:tcMar>
              <w:top w:w="0" w:type="dxa"/>
              <w:left w:w="100" w:type="dxa"/>
              <w:bottom w:w="0" w:type="dxa"/>
              <w:right w:w="100" w:type="dxa"/>
            </w:tcMar>
          </w:tcPr>
          <w:p w14:paraId="38E62D6B"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05" w:type="dxa"/>
            <w:tcBorders>
              <w:top w:val="nil"/>
              <w:left w:val="nil"/>
              <w:bottom w:val="nil"/>
              <w:right w:val="nil"/>
            </w:tcBorders>
            <w:tcMar>
              <w:top w:w="0" w:type="dxa"/>
              <w:left w:w="100" w:type="dxa"/>
              <w:bottom w:w="0" w:type="dxa"/>
              <w:right w:w="100" w:type="dxa"/>
            </w:tcMar>
          </w:tcPr>
          <w:p w14:paraId="71693A3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7B5D6A" w14:paraId="3C37B4AA" w14:textId="77777777">
        <w:trPr>
          <w:trHeight w:val="270"/>
        </w:trPr>
        <w:tc>
          <w:tcPr>
            <w:tcW w:w="2100" w:type="dxa"/>
            <w:tcBorders>
              <w:top w:val="nil"/>
              <w:left w:val="nil"/>
              <w:bottom w:val="nil"/>
              <w:right w:val="nil"/>
            </w:tcBorders>
            <w:tcMar>
              <w:top w:w="0" w:type="dxa"/>
              <w:left w:w="100" w:type="dxa"/>
              <w:bottom w:w="0" w:type="dxa"/>
              <w:right w:w="100" w:type="dxa"/>
            </w:tcMar>
          </w:tcPr>
          <w:p w14:paraId="0FD3871D"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Ítem 11</w:t>
            </w:r>
          </w:p>
        </w:tc>
        <w:tc>
          <w:tcPr>
            <w:tcW w:w="1605" w:type="dxa"/>
            <w:tcBorders>
              <w:top w:val="nil"/>
              <w:left w:val="nil"/>
              <w:bottom w:val="nil"/>
              <w:right w:val="nil"/>
            </w:tcBorders>
            <w:tcMar>
              <w:top w:w="0" w:type="dxa"/>
              <w:left w:w="100" w:type="dxa"/>
              <w:bottom w:w="0" w:type="dxa"/>
              <w:right w:w="100" w:type="dxa"/>
            </w:tcMar>
          </w:tcPr>
          <w:p w14:paraId="40F311EB"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05" w:type="dxa"/>
            <w:tcBorders>
              <w:top w:val="nil"/>
              <w:left w:val="nil"/>
              <w:bottom w:val="nil"/>
              <w:right w:val="nil"/>
            </w:tcBorders>
            <w:tcMar>
              <w:top w:w="0" w:type="dxa"/>
              <w:left w:w="100" w:type="dxa"/>
              <w:bottom w:w="0" w:type="dxa"/>
              <w:right w:w="100" w:type="dxa"/>
            </w:tcMar>
          </w:tcPr>
          <w:p w14:paraId="4803288E"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7B5D6A" w14:paraId="2D4EAD09" w14:textId="77777777">
        <w:trPr>
          <w:trHeight w:val="285"/>
        </w:trPr>
        <w:tc>
          <w:tcPr>
            <w:tcW w:w="2100" w:type="dxa"/>
            <w:tcBorders>
              <w:top w:val="nil"/>
              <w:left w:val="nil"/>
              <w:bottom w:val="single" w:sz="6" w:space="0" w:color="000000"/>
              <w:right w:val="nil"/>
            </w:tcBorders>
            <w:tcMar>
              <w:top w:w="0" w:type="dxa"/>
              <w:left w:w="100" w:type="dxa"/>
              <w:bottom w:w="0" w:type="dxa"/>
              <w:right w:w="100" w:type="dxa"/>
            </w:tcMar>
          </w:tcPr>
          <w:p w14:paraId="401AB8DF"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Ítem 14</w:t>
            </w:r>
          </w:p>
        </w:tc>
        <w:tc>
          <w:tcPr>
            <w:tcW w:w="1605" w:type="dxa"/>
            <w:tcBorders>
              <w:top w:val="nil"/>
              <w:left w:val="nil"/>
              <w:bottom w:val="single" w:sz="6" w:space="0" w:color="000000"/>
              <w:right w:val="nil"/>
            </w:tcBorders>
            <w:tcMar>
              <w:top w:w="0" w:type="dxa"/>
              <w:left w:w="100" w:type="dxa"/>
              <w:bottom w:w="0" w:type="dxa"/>
              <w:right w:w="100" w:type="dxa"/>
            </w:tcMar>
          </w:tcPr>
          <w:p w14:paraId="5C33180E"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05" w:type="dxa"/>
            <w:tcBorders>
              <w:top w:val="nil"/>
              <w:left w:val="nil"/>
              <w:bottom w:val="single" w:sz="6" w:space="0" w:color="000000"/>
              <w:right w:val="nil"/>
            </w:tcBorders>
            <w:tcMar>
              <w:top w:w="0" w:type="dxa"/>
              <w:left w:w="100" w:type="dxa"/>
              <w:bottom w:w="0" w:type="dxa"/>
              <w:right w:w="100" w:type="dxa"/>
            </w:tcMar>
          </w:tcPr>
          <w:p w14:paraId="2F2EB12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bl>
    <w:p w14:paraId="46B4BB0F" w14:textId="224490E8" w:rsidR="007B5D6A" w:rsidRPr="00E42C58" w:rsidRDefault="00000000" w:rsidP="00E42C5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Nota. </w:t>
      </w:r>
      <w:r>
        <w:rPr>
          <w:rFonts w:ascii="Times New Roman" w:eastAsia="Times New Roman" w:hAnsi="Times New Roman" w:cs="Times New Roman"/>
          <w:sz w:val="24"/>
          <w:szCs w:val="24"/>
        </w:rPr>
        <w:t>F1: Dimensión externa; F2: Dimensión interna</w:t>
      </w:r>
    </w:p>
    <w:p w14:paraId="1E7908D1" w14:textId="77777777" w:rsidR="007B5D6A" w:rsidRDefault="00000000" w:rsidP="00E42C58">
      <w:pPr>
        <w:spacing w:before="240" w:after="24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Inicialmente, se analizaron 24 ítems, pero se eliminaron 15 de ellos por no alcanzar una carga mínima de 0.40 o por estar relacionados con más de un factor. También se descartaron aquellos ítems con similitudes en su estructura semántica. Los ítems restantes se distribuyeron en dos factores, con una varianza total explicada del 46.7%. Se utilizó el método de residuos mínimos, equivalente a los mínimos cuadrados no ponderados (ULS), el cual es apropiado para escalas de respuesta ordinal y cuando no se asume una distribución multivariada normal (Lloret et al., 2014). Además, se empleó la rotación oblimin, que facilita la exploración y visualización de las relaciones entre los factores, ajustando el grado de inclinación según los requerimientos del estudio (Méndez y Rondón, 2012). La prueba de KMO y la esfericidad de Bartlett mostraron resultados adecuados (KMO = 0.89; p &lt; 0.001). Según Kaiser (1974), los valores cercanos a 0.90 son excelentes, alrededor de 0.80 son buenos, cerca de 0.70 son aceptables, alrededor de 0.60 son pobres y por debajo de 0.50 se consideran inadecuados.</w:t>
      </w:r>
    </w:p>
    <w:p w14:paraId="2453EFA7" w14:textId="77777777" w:rsidR="007B5D6A"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3</w:t>
      </w:r>
    </w:p>
    <w:tbl>
      <w:tblPr>
        <w:tblStyle w:val="a1"/>
        <w:tblW w:w="85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360"/>
        <w:gridCol w:w="825"/>
        <w:gridCol w:w="765"/>
        <w:gridCol w:w="255"/>
        <w:gridCol w:w="780"/>
        <w:gridCol w:w="255"/>
        <w:gridCol w:w="885"/>
        <w:gridCol w:w="300"/>
        <w:gridCol w:w="855"/>
        <w:gridCol w:w="285"/>
        <w:gridCol w:w="975"/>
        <w:gridCol w:w="330"/>
        <w:gridCol w:w="375"/>
        <w:gridCol w:w="255"/>
        <w:gridCol w:w="255"/>
      </w:tblGrid>
      <w:tr w:rsidR="007B5D6A" w14:paraId="001FBCB3" w14:textId="77777777">
        <w:trPr>
          <w:trHeight w:val="1425"/>
        </w:trPr>
        <w:tc>
          <w:tcPr>
            <w:tcW w:w="765" w:type="dxa"/>
            <w:tcBorders>
              <w:top w:val="nil"/>
              <w:left w:val="nil"/>
              <w:bottom w:val="single" w:sz="6" w:space="0" w:color="333333"/>
              <w:right w:val="nil"/>
            </w:tcBorders>
            <w:tcMar>
              <w:top w:w="0" w:type="dxa"/>
              <w:left w:w="100" w:type="dxa"/>
              <w:bottom w:w="0" w:type="dxa"/>
              <w:right w:w="100" w:type="dxa"/>
            </w:tcMar>
          </w:tcPr>
          <w:p w14:paraId="431D9636" w14:textId="77777777" w:rsidR="007B5D6A" w:rsidRDefault="007B5D6A">
            <w:pPr>
              <w:spacing w:before="240" w:after="240"/>
              <w:jc w:val="both"/>
              <w:rPr>
                <w:rFonts w:ascii="Times New Roman" w:eastAsia="Times New Roman" w:hAnsi="Times New Roman" w:cs="Times New Roman"/>
                <w:i/>
                <w:color w:val="333333"/>
                <w:sz w:val="24"/>
                <w:szCs w:val="24"/>
                <w:highlight w:val="white"/>
              </w:rPr>
            </w:pPr>
          </w:p>
        </w:tc>
        <w:tc>
          <w:tcPr>
            <w:tcW w:w="7755" w:type="dxa"/>
            <w:gridSpan w:val="15"/>
            <w:tcBorders>
              <w:top w:val="nil"/>
              <w:left w:val="nil"/>
              <w:bottom w:val="single" w:sz="6" w:space="0" w:color="333333"/>
              <w:right w:val="nil"/>
            </w:tcBorders>
            <w:tcMar>
              <w:top w:w="60" w:type="dxa"/>
              <w:left w:w="0" w:type="dxa"/>
              <w:bottom w:w="60" w:type="dxa"/>
              <w:right w:w="120" w:type="dxa"/>
            </w:tcMar>
          </w:tcPr>
          <w:p w14:paraId="61186677" w14:textId="77777777" w:rsidR="007B5D6A"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color w:val="333333"/>
                <w:sz w:val="24"/>
                <w:szCs w:val="24"/>
                <w:highlight w:val="white"/>
              </w:rPr>
              <w:t>Medidas de bondad de ajuste del Análisis Factorial Confirmatorio del Cuestionario de Adaptación Social</w:t>
            </w:r>
          </w:p>
        </w:tc>
      </w:tr>
      <w:tr w:rsidR="007B5D6A" w14:paraId="28A35325" w14:textId="77777777">
        <w:trPr>
          <w:trHeight w:val="645"/>
        </w:trPr>
        <w:tc>
          <w:tcPr>
            <w:tcW w:w="765" w:type="dxa"/>
            <w:tcBorders>
              <w:top w:val="nil"/>
              <w:left w:val="nil"/>
              <w:bottom w:val="nil"/>
              <w:right w:val="nil"/>
            </w:tcBorders>
            <w:shd w:val="clear" w:color="auto" w:fill="auto"/>
            <w:tcMar>
              <w:top w:w="0" w:type="dxa"/>
              <w:left w:w="100" w:type="dxa"/>
              <w:bottom w:w="0" w:type="dxa"/>
              <w:right w:w="100" w:type="dxa"/>
            </w:tcMar>
          </w:tcPr>
          <w:p w14:paraId="5C96CDDB"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425" w:type="dxa"/>
            <w:gridSpan w:val="8"/>
            <w:tcBorders>
              <w:top w:val="nil"/>
              <w:left w:val="nil"/>
              <w:bottom w:val="nil"/>
              <w:right w:val="nil"/>
            </w:tcBorders>
            <w:shd w:val="clear" w:color="auto" w:fill="auto"/>
            <w:tcMar>
              <w:top w:w="60" w:type="dxa"/>
              <w:left w:w="120" w:type="dxa"/>
              <w:bottom w:w="60" w:type="dxa"/>
              <w:right w:w="120" w:type="dxa"/>
            </w:tcMar>
          </w:tcPr>
          <w:p w14:paraId="2064388F"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45" w:type="dxa"/>
            <w:gridSpan w:val="4"/>
            <w:tcBorders>
              <w:top w:val="nil"/>
              <w:left w:val="nil"/>
              <w:bottom w:val="single" w:sz="6" w:space="0" w:color="333333"/>
              <w:right w:val="nil"/>
            </w:tcBorders>
            <w:shd w:val="clear" w:color="auto" w:fill="auto"/>
            <w:tcMar>
              <w:top w:w="60" w:type="dxa"/>
              <w:left w:w="120" w:type="dxa"/>
              <w:bottom w:w="60" w:type="dxa"/>
              <w:right w:w="120" w:type="dxa"/>
            </w:tcMar>
          </w:tcPr>
          <w:p w14:paraId="3FDA7A53" w14:textId="77777777" w:rsidR="007B5D6A" w:rsidRDefault="00000000">
            <w:pPr>
              <w:spacing w:before="240" w:after="240"/>
              <w:jc w:val="cente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IC 95% del RMSEA</w:t>
            </w:r>
          </w:p>
        </w:tc>
        <w:tc>
          <w:tcPr>
            <w:tcW w:w="885" w:type="dxa"/>
            <w:gridSpan w:val="3"/>
            <w:tcBorders>
              <w:top w:val="nil"/>
              <w:left w:val="nil"/>
              <w:bottom w:val="nil"/>
              <w:right w:val="nil"/>
            </w:tcBorders>
            <w:shd w:val="clear" w:color="auto" w:fill="auto"/>
            <w:tcMar>
              <w:top w:w="60" w:type="dxa"/>
              <w:left w:w="120" w:type="dxa"/>
              <w:bottom w:w="60" w:type="dxa"/>
              <w:right w:w="120" w:type="dxa"/>
            </w:tcMar>
          </w:tcPr>
          <w:p w14:paraId="3B939AB8"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B5D6A" w14:paraId="33168673" w14:textId="77777777">
        <w:trPr>
          <w:trHeight w:val="645"/>
        </w:trPr>
        <w:tc>
          <w:tcPr>
            <w:tcW w:w="765" w:type="dxa"/>
            <w:tcBorders>
              <w:top w:val="nil"/>
              <w:left w:val="nil"/>
              <w:bottom w:val="single" w:sz="6" w:space="0" w:color="333333"/>
              <w:right w:val="nil"/>
            </w:tcBorders>
            <w:shd w:val="clear" w:color="auto" w:fill="auto"/>
            <w:tcMar>
              <w:top w:w="0" w:type="dxa"/>
              <w:left w:w="100" w:type="dxa"/>
              <w:bottom w:w="0" w:type="dxa"/>
              <w:right w:w="100" w:type="dxa"/>
            </w:tcMar>
          </w:tcPr>
          <w:p w14:paraId="1CB9852A" w14:textId="77777777" w:rsidR="007B5D6A" w:rsidRDefault="00000000">
            <w:pPr>
              <w:spacing w:before="240" w:after="240"/>
              <w:jc w:val="cente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X2/gl</w:t>
            </w:r>
          </w:p>
        </w:tc>
        <w:tc>
          <w:tcPr>
            <w:tcW w:w="1185" w:type="dxa"/>
            <w:gridSpan w:val="2"/>
            <w:tcBorders>
              <w:top w:val="nil"/>
              <w:left w:val="nil"/>
              <w:bottom w:val="single" w:sz="6" w:space="0" w:color="333333"/>
              <w:right w:val="nil"/>
            </w:tcBorders>
            <w:shd w:val="clear" w:color="auto" w:fill="auto"/>
            <w:tcMar>
              <w:top w:w="60" w:type="dxa"/>
              <w:left w:w="120" w:type="dxa"/>
              <w:bottom w:w="60" w:type="dxa"/>
              <w:right w:w="120" w:type="dxa"/>
            </w:tcMar>
          </w:tcPr>
          <w:p w14:paraId="1436641E" w14:textId="77777777" w:rsidR="007B5D6A" w:rsidRDefault="00000000">
            <w:pPr>
              <w:spacing w:before="240" w:after="240"/>
              <w:jc w:val="cente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CFI</w:t>
            </w:r>
          </w:p>
        </w:tc>
        <w:tc>
          <w:tcPr>
            <w:tcW w:w="1020" w:type="dxa"/>
            <w:gridSpan w:val="2"/>
            <w:tcBorders>
              <w:top w:val="nil"/>
              <w:left w:val="nil"/>
              <w:bottom w:val="single" w:sz="6" w:space="0" w:color="333333"/>
              <w:right w:val="nil"/>
            </w:tcBorders>
            <w:shd w:val="clear" w:color="auto" w:fill="auto"/>
            <w:tcMar>
              <w:top w:w="60" w:type="dxa"/>
              <w:left w:w="120" w:type="dxa"/>
              <w:bottom w:w="60" w:type="dxa"/>
              <w:right w:w="120" w:type="dxa"/>
            </w:tcMar>
          </w:tcPr>
          <w:p w14:paraId="05AB8DCC" w14:textId="77777777" w:rsidR="007B5D6A" w:rsidRDefault="00000000">
            <w:pPr>
              <w:spacing w:before="240" w:after="240"/>
              <w:jc w:val="cente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TLI</w:t>
            </w:r>
          </w:p>
        </w:tc>
        <w:tc>
          <w:tcPr>
            <w:tcW w:w="1035" w:type="dxa"/>
            <w:gridSpan w:val="2"/>
            <w:tcBorders>
              <w:top w:val="nil"/>
              <w:left w:val="nil"/>
              <w:bottom w:val="single" w:sz="6" w:space="0" w:color="333333"/>
              <w:right w:val="nil"/>
            </w:tcBorders>
            <w:shd w:val="clear" w:color="auto" w:fill="auto"/>
            <w:tcMar>
              <w:top w:w="60" w:type="dxa"/>
              <w:left w:w="120" w:type="dxa"/>
              <w:bottom w:w="60" w:type="dxa"/>
              <w:right w:w="120" w:type="dxa"/>
            </w:tcMar>
          </w:tcPr>
          <w:p w14:paraId="216B75BF" w14:textId="77777777" w:rsidR="007B5D6A" w:rsidRDefault="00000000">
            <w:pPr>
              <w:spacing w:before="240" w:after="240"/>
              <w:jc w:val="cente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SRMR</w:t>
            </w:r>
          </w:p>
        </w:tc>
        <w:tc>
          <w:tcPr>
            <w:tcW w:w="1185" w:type="dxa"/>
            <w:gridSpan w:val="2"/>
            <w:tcBorders>
              <w:top w:val="nil"/>
              <w:left w:val="nil"/>
              <w:bottom w:val="single" w:sz="6" w:space="0" w:color="333333"/>
              <w:right w:val="nil"/>
            </w:tcBorders>
            <w:shd w:val="clear" w:color="auto" w:fill="auto"/>
            <w:tcMar>
              <w:top w:w="60" w:type="dxa"/>
              <w:left w:w="120" w:type="dxa"/>
              <w:bottom w:w="60" w:type="dxa"/>
              <w:right w:w="120" w:type="dxa"/>
            </w:tcMar>
          </w:tcPr>
          <w:p w14:paraId="3290E16D" w14:textId="77777777" w:rsidR="007B5D6A" w:rsidRDefault="00000000">
            <w:pPr>
              <w:spacing w:before="240" w:after="240"/>
              <w:jc w:val="cente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RMSEA</w:t>
            </w:r>
          </w:p>
        </w:tc>
        <w:tc>
          <w:tcPr>
            <w:tcW w:w="1140" w:type="dxa"/>
            <w:gridSpan w:val="2"/>
            <w:tcBorders>
              <w:top w:val="nil"/>
              <w:left w:val="nil"/>
              <w:bottom w:val="single" w:sz="6" w:space="0" w:color="333333"/>
              <w:right w:val="nil"/>
            </w:tcBorders>
            <w:shd w:val="clear" w:color="auto" w:fill="auto"/>
            <w:tcMar>
              <w:top w:w="60" w:type="dxa"/>
              <w:left w:w="120" w:type="dxa"/>
              <w:bottom w:w="60" w:type="dxa"/>
              <w:right w:w="120" w:type="dxa"/>
            </w:tcMar>
          </w:tcPr>
          <w:p w14:paraId="7B24DF8C" w14:textId="77777777" w:rsidR="007B5D6A" w:rsidRDefault="00000000">
            <w:pPr>
              <w:spacing w:before="240" w:after="240"/>
              <w:jc w:val="cente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Inferior</w:t>
            </w:r>
          </w:p>
        </w:tc>
        <w:tc>
          <w:tcPr>
            <w:tcW w:w="1305" w:type="dxa"/>
            <w:gridSpan w:val="2"/>
            <w:tcBorders>
              <w:top w:val="single" w:sz="6" w:space="0" w:color="333333"/>
              <w:left w:val="nil"/>
              <w:bottom w:val="single" w:sz="6" w:space="0" w:color="333333"/>
              <w:right w:val="nil"/>
            </w:tcBorders>
            <w:shd w:val="clear" w:color="auto" w:fill="auto"/>
            <w:tcMar>
              <w:top w:w="60" w:type="dxa"/>
              <w:left w:w="120" w:type="dxa"/>
              <w:bottom w:w="60" w:type="dxa"/>
              <w:right w:w="120" w:type="dxa"/>
            </w:tcMar>
          </w:tcPr>
          <w:p w14:paraId="50A0EC9A" w14:textId="77777777" w:rsidR="007B5D6A" w:rsidRDefault="00000000">
            <w:pPr>
              <w:spacing w:before="240" w:after="240"/>
              <w:jc w:val="center"/>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Superior</w:t>
            </w:r>
          </w:p>
        </w:tc>
        <w:tc>
          <w:tcPr>
            <w:tcW w:w="630" w:type="dxa"/>
            <w:gridSpan w:val="2"/>
            <w:tcBorders>
              <w:top w:val="nil"/>
              <w:left w:val="nil"/>
              <w:bottom w:val="single" w:sz="6" w:space="0" w:color="333333"/>
              <w:right w:val="nil"/>
            </w:tcBorders>
            <w:shd w:val="clear" w:color="auto" w:fill="auto"/>
            <w:tcMar>
              <w:top w:w="60" w:type="dxa"/>
              <w:left w:w="120" w:type="dxa"/>
              <w:bottom w:w="60" w:type="dxa"/>
              <w:right w:w="120" w:type="dxa"/>
            </w:tcMar>
          </w:tcPr>
          <w:p w14:paraId="48A1BBC4"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nil"/>
              <w:left w:val="nil"/>
              <w:bottom w:val="single" w:sz="6" w:space="0" w:color="333333"/>
              <w:right w:val="nil"/>
            </w:tcBorders>
            <w:shd w:val="clear" w:color="auto" w:fill="auto"/>
            <w:tcMar>
              <w:top w:w="0" w:type="dxa"/>
              <w:left w:w="0" w:type="dxa"/>
              <w:bottom w:w="0" w:type="dxa"/>
              <w:right w:w="0" w:type="dxa"/>
            </w:tcMar>
          </w:tcPr>
          <w:p w14:paraId="7FAD36A6"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B5D6A" w14:paraId="70554A1E" w14:textId="77777777">
        <w:trPr>
          <w:trHeight w:val="1035"/>
        </w:trPr>
        <w:tc>
          <w:tcPr>
            <w:tcW w:w="765" w:type="dxa"/>
            <w:tcBorders>
              <w:top w:val="nil"/>
              <w:left w:val="nil"/>
              <w:bottom w:val="single" w:sz="6" w:space="0" w:color="333333"/>
              <w:right w:val="nil"/>
            </w:tcBorders>
            <w:shd w:val="clear" w:color="auto" w:fill="auto"/>
            <w:tcMar>
              <w:top w:w="120" w:type="dxa"/>
              <w:left w:w="120" w:type="dxa"/>
              <w:bottom w:w="120" w:type="dxa"/>
              <w:right w:w="0" w:type="dxa"/>
            </w:tcMar>
          </w:tcPr>
          <w:p w14:paraId="0230C545" w14:textId="77777777" w:rsidR="007B5D6A"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0" w:type="dxa"/>
            <w:tcBorders>
              <w:top w:val="nil"/>
              <w:left w:val="nil"/>
              <w:bottom w:val="single" w:sz="6" w:space="0" w:color="333333"/>
              <w:right w:val="nil"/>
            </w:tcBorders>
            <w:shd w:val="clear" w:color="auto" w:fill="auto"/>
            <w:tcMar>
              <w:top w:w="0" w:type="dxa"/>
              <w:left w:w="100" w:type="dxa"/>
              <w:bottom w:w="0" w:type="dxa"/>
              <w:right w:w="100" w:type="dxa"/>
            </w:tcMar>
          </w:tcPr>
          <w:p w14:paraId="240C933A"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25" w:type="dxa"/>
            <w:tcBorders>
              <w:top w:val="nil"/>
              <w:left w:val="nil"/>
              <w:bottom w:val="single" w:sz="6" w:space="0" w:color="333333"/>
              <w:right w:val="nil"/>
            </w:tcBorders>
            <w:shd w:val="clear" w:color="auto" w:fill="auto"/>
            <w:tcMar>
              <w:top w:w="120" w:type="dxa"/>
              <w:left w:w="40" w:type="dxa"/>
              <w:bottom w:w="120" w:type="dxa"/>
              <w:right w:w="120" w:type="dxa"/>
            </w:tcMar>
          </w:tcPr>
          <w:p w14:paraId="1178E387"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BD7926"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0.995</w:t>
            </w:r>
          </w:p>
        </w:tc>
        <w:tc>
          <w:tcPr>
            <w:tcW w:w="765" w:type="dxa"/>
            <w:tcBorders>
              <w:top w:val="nil"/>
              <w:left w:val="nil"/>
              <w:bottom w:val="single" w:sz="6" w:space="0" w:color="333333"/>
              <w:right w:val="nil"/>
            </w:tcBorders>
            <w:shd w:val="clear" w:color="auto" w:fill="auto"/>
            <w:tcMar>
              <w:top w:w="120" w:type="dxa"/>
              <w:left w:w="120" w:type="dxa"/>
              <w:bottom w:w="120" w:type="dxa"/>
              <w:right w:w="0" w:type="dxa"/>
            </w:tcMar>
          </w:tcPr>
          <w:p w14:paraId="30DD8F1B" w14:textId="77777777" w:rsidR="007B5D6A" w:rsidRDefault="00000000">
            <w:pPr>
              <w:spacing w:before="240" w:after="240"/>
              <w:jc w:val="right"/>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0.993</w:t>
            </w:r>
          </w:p>
        </w:tc>
        <w:tc>
          <w:tcPr>
            <w:tcW w:w="255" w:type="dxa"/>
            <w:tcBorders>
              <w:top w:val="nil"/>
              <w:left w:val="nil"/>
              <w:bottom w:val="single" w:sz="6" w:space="0" w:color="333333"/>
              <w:right w:val="nil"/>
            </w:tcBorders>
            <w:shd w:val="clear" w:color="auto" w:fill="auto"/>
            <w:tcMar>
              <w:top w:w="120" w:type="dxa"/>
              <w:left w:w="40" w:type="dxa"/>
              <w:bottom w:w="120" w:type="dxa"/>
              <w:right w:w="120" w:type="dxa"/>
            </w:tcMar>
          </w:tcPr>
          <w:p w14:paraId="3EC7D2A7"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80" w:type="dxa"/>
            <w:tcBorders>
              <w:top w:val="nil"/>
              <w:left w:val="nil"/>
              <w:bottom w:val="single" w:sz="6" w:space="0" w:color="333333"/>
              <w:right w:val="nil"/>
            </w:tcBorders>
            <w:shd w:val="clear" w:color="auto" w:fill="auto"/>
            <w:tcMar>
              <w:top w:w="120" w:type="dxa"/>
              <w:left w:w="120" w:type="dxa"/>
              <w:bottom w:w="120" w:type="dxa"/>
              <w:right w:w="0" w:type="dxa"/>
            </w:tcMar>
          </w:tcPr>
          <w:p w14:paraId="12E93453" w14:textId="77777777" w:rsidR="007B5D6A" w:rsidRDefault="00000000">
            <w:pPr>
              <w:spacing w:before="240" w:after="240"/>
              <w:jc w:val="right"/>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0.041</w:t>
            </w:r>
          </w:p>
        </w:tc>
        <w:tc>
          <w:tcPr>
            <w:tcW w:w="255" w:type="dxa"/>
            <w:tcBorders>
              <w:top w:val="nil"/>
              <w:left w:val="nil"/>
              <w:bottom w:val="single" w:sz="6" w:space="0" w:color="333333"/>
              <w:right w:val="nil"/>
            </w:tcBorders>
            <w:shd w:val="clear" w:color="auto" w:fill="auto"/>
            <w:tcMar>
              <w:top w:w="120" w:type="dxa"/>
              <w:left w:w="40" w:type="dxa"/>
              <w:bottom w:w="120" w:type="dxa"/>
              <w:right w:w="120" w:type="dxa"/>
            </w:tcMar>
          </w:tcPr>
          <w:p w14:paraId="17891DF6"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85" w:type="dxa"/>
            <w:tcBorders>
              <w:top w:val="nil"/>
              <w:left w:val="nil"/>
              <w:bottom w:val="single" w:sz="6" w:space="0" w:color="333333"/>
              <w:right w:val="nil"/>
            </w:tcBorders>
            <w:shd w:val="clear" w:color="auto" w:fill="auto"/>
            <w:tcMar>
              <w:top w:w="120" w:type="dxa"/>
              <w:left w:w="120" w:type="dxa"/>
              <w:bottom w:w="120" w:type="dxa"/>
              <w:right w:w="0" w:type="dxa"/>
            </w:tcMar>
          </w:tcPr>
          <w:p w14:paraId="024F16A0" w14:textId="77777777" w:rsidR="007B5D6A" w:rsidRDefault="00000000">
            <w:pPr>
              <w:spacing w:before="240" w:after="240"/>
              <w:jc w:val="right"/>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0.053</w:t>
            </w:r>
          </w:p>
        </w:tc>
        <w:tc>
          <w:tcPr>
            <w:tcW w:w="300" w:type="dxa"/>
            <w:tcBorders>
              <w:top w:val="nil"/>
              <w:left w:val="nil"/>
              <w:bottom w:val="single" w:sz="6" w:space="0" w:color="333333"/>
              <w:right w:val="nil"/>
            </w:tcBorders>
            <w:shd w:val="clear" w:color="auto" w:fill="auto"/>
            <w:tcMar>
              <w:top w:w="120" w:type="dxa"/>
              <w:left w:w="40" w:type="dxa"/>
              <w:bottom w:w="120" w:type="dxa"/>
              <w:right w:w="120" w:type="dxa"/>
            </w:tcMar>
          </w:tcPr>
          <w:p w14:paraId="2F23AAB4"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5" w:type="dxa"/>
            <w:tcBorders>
              <w:top w:val="nil"/>
              <w:left w:val="nil"/>
              <w:bottom w:val="single" w:sz="6" w:space="0" w:color="333333"/>
              <w:right w:val="nil"/>
            </w:tcBorders>
            <w:shd w:val="clear" w:color="auto" w:fill="auto"/>
            <w:tcMar>
              <w:top w:w="120" w:type="dxa"/>
              <w:left w:w="120" w:type="dxa"/>
              <w:bottom w:w="120" w:type="dxa"/>
              <w:right w:w="0" w:type="dxa"/>
            </w:tcMar>
          </w:tcPr>
          <w:p w14:paraId="0658862D" w14:textId="77777777" w:rsidR="007B5D6A" w:rsidRDefault="00000000">
            <w:pPr>
              <w:spacing w:before="240" w:after="240"/>
              <w:jc w:val="right"/>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0.034</w:t>
            </w:r>
          </w:p>
        </w:tc>
        <w:tc>
          <w:tcPr>
            <w:tcW w:w="285" w:type="dxa"/>
            <w:tcBorders>
              <w:top w:val="nil"/>
              <w:left w:val="nil"/>
              <w:bottom w:val="single" w:sz="6" w:space="0" w:color="333333"/>
              <w:right w:val="nil"/>
            </w:tcBorders>
            <w:shd w:val="clear" w:color="auto" w:fill="auto"/>
            <w:tcMar>
              <w:top w:w="120" w:type="dxa"/>
              <w:left w:w="40" w:type="dxa"/>
              <w:bottom w:w="120" w:type="dxa"/>
              <w:right w:w="120" w:type="dxa"/>
            </w:tcMar>
          </w:tcPr>
          <w:p w14:paraId="0D201B1B"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tcBorders>
              <w:top w:val="nil"/>
              <w:left w:val="nil"/>
              <w:bottom w:val="single" w:sz="6" w:space="0" w:color="333333"/>
              <w:right w:val="nil"/>
            </w:tcBorders>
            <w:shd w:val="clear" w:color="auto" w:fill="auto"/>
            <w:tcMar>
              <w:top w:w="120" w:type="dxa"/>
              <w:left w:w="120" w:type="dxa"/>
              <w:bottom w:w="120" w:type="dxa"/>
              <w:right w:w="0" w:type="dxa"/>
            </w:tcMar>
          </w:tcPr>
          <w:p w14:paraId="23BC9B79" w14:textId="77777777" w:rsidR="007B5D6A" w:rsidRDefault="00000000">
            <w:pPr>
              <w:spacing w:before="240" w:after="240"/>
              <w:jc w:val="right"/>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0.073</w:t>
            </w:r>
          </w:p>
        </w:tc>
        <w:tc>
          <w:tcPr>
            <w:tcW w:w="330" w:type="dxa"/>
            <w:tcBorders>
              <w:top w:val="nil"/>
              <w:left w:val="nil"/>
              <w:bottom w:val="single" w:sz="6" w:space="0" w:color="333333"/>
              <w:right w:val="nil"/>
            </w:tcBorders>
            <w:shd w:val="clear" w:color="auto" w:fill="auto"/>
            <w:tcMar>
              <w:top w:w="120" w:type="dxa"/>
              <w:left w:w="40" w:type="dxa"/>
              <w:bottom w:w="120" w:type="dxa"/>
              <w:right w:w="120" w:type="dxa"/>
            </w:tcMar>
          </w:tcPr>
          <w:p w14:paraId="15A5416F"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75" w:type="dxa"/>
            <w:tcBorders>
              <w:top w:val="nil"/>
              <w:left w:val="nil"/>
              <w:bottom w:val="single" w:sz="6" w:space="0" w:color="333333"/>
              <w:right w:val="nil"/>
            </w:tcBorders>
            <w:shd w:val="clear" w:color="auto" w:fill="auto"/>
            <w:tcMar>
              <w:top w:w="120" w:type="dxa"/>
              <w:left w:w="120" w:type="dxa"/>
              <w:bottom w:w="120" w:type="dxa"/>
              <w:right w:w="0" w:type="dxa"/>
            </w:tcMar>
          </w:tcPr>
          <w:p w14:paraId="7FCBF5F2" w14:textId="77777777" w:rsidR="007B5D6A" w:rsidRDefault="00000000">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nil"/>
              <w:left w:val="nil"/>
              <w:bottom w:val="single" w:sz="6" w:space="0" w:color="333333"/>
              <w:right w:val="nil"/>
            </w:tcBorders>
            <w:shd w:val="clear" w:color="auto" w:fill="auto"/>
            <w:tcMar>
              <w:top w:w="120" w:type="dxa"/>
              <w:left w:w="40" w:type="dxa"/>
              <w:bottom w:w="120" w:type="dxa"/>
              <w:right w:w="120" w:type="dxa"/>
            </w:tcMar>
          </w:tcPr>
          <w:p w14:paraId="4EA72EB6"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nil"/>
              <w:left w:val="nil"/>
              <w:bottom w:val="single" w:sz="6" w:space="0" w:color="333333"/>
              <w:right w:val="nil"/>
            </w:tcBorders>
            <w:shd w:val="clear" w:color="auto" w:fill="auto"/>
            <w:tcMar>
              <w:top w:w="120" w:type="dxa"/>
              <w:left w:w="40" w:type="dxa"/>
              <w:bottom w:w="120" w:type="dxa"/>
              <w:right w:w="120" w:type="dxa"/>
            </w:tcMar>
          </w:tcPr>
          <w:p w14:paraId="7EB7E83C"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B5D6A" w14:paraId="4689C44A" w14:textId="77777777">
        <w:trPr>
          <w:trHeight w:val="840"/>
        </w:trPr>
        <w:tc>
          <w:tcPr>
            <w:tcW w:w="765" w:type="dxa"/>
            <w:tcBorders>
              <w:top w:val="nil"/>
              <w:left w:val="nil"/>
              <w:bottom w:val="nil"/>
              <w:right w:val="nil"/>
            </w:tcBorders>
            <w:shd w:val="clear" w:color="auto" w:fill="auto"/>
            <w:tcMar>
              <w:top w:w="0" w:type="dxa"/>
              <w:left w:w="100" w:type="dxa"/>
              <w:bottom w:w="0" w:type="dxa"/>
              <w:right w:w="100" w:type="dxa"/>
            </w:tcMar>
          </w:tcPr>
          <w:p w14:paraId="130958B6" w14:textId="77777777" w:rsidR="007B5D6A"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c>
          <w:tcPr>
            <w:tcW w:w="7755" w:type="dxa"/>
            <w:gridSpan w:val="15"/>
            <w:tcBorders>
              <w:top w:val="nil"/>
              <w:left w:val="nil"/>
              <w:bottom w:val="nil"/>
              <w:right w:val="nil"/>
            </w:tcBorders>
            <w:shd w:val="clear" w:color="auto" w:fill="auto"/>
            <w:tcMar>
              <w:top w:w="100" w:type="dxa"/>
              <w:left w:w="120" w:type="dxa"/>
              <w:bottom w:w="40" w:type="dxa"/>
              <w:right w:w="120" w:type="dxa"/>
            </w:tcMar>
          </w:tcPr>
          <w:p w14:paraId="689D02AD"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Nota: </w:t>
            </w:r>
            <w:r>
              <w:rPr>
                <w:rFonts w:ascii="Times New Roman" w:eastAsia="Times New Roman" w:hAnsi="Times New Roman" w:cs="Times New Roman"/>
                <w:sz w:val="24"/>
                <w:szCs w:val="24"/>
              </w:rPr>
              <w:t>X2/gl: Chi-cuadrado entre grados de libertad; RMSEA: Error cuadrático medio de la aproximación; SRMR: Raíz media estandarizada residual cuadrática; CFI: Índice de bondad de ajuste comparativo; TLI: Índice de Tucker-Lewis</w:t>
            </w:r>
          </w:p>
          <w:p w14:paraId="6A7C8867" w14:textId="77777777" w:rsidR="007B5D6A" w:rsidRDefault="007B5D6A">
            <w:pPr>
              <w:spacing w:before="240" w:after="240"/>
              <w:jc w:val="both"/>
              <w:rPr>
                <w:rFonts w:ascii="Times New Roman" w:eastAsia="Times New Roman" w:hAnsi="Times New Roman" w:cs="Times New Roman"/>
                <w:sz w:val="24"/>
                <w:szCs w:val="24"/>
              </w:rPr>
            </w:pPr>
          </w:p>
        </w:tc>
      </w:tr>
    </w:tbl>
    <w:p w14:paraId="2E3C21CD" w14:textId="77777777" w:rsidR="007B5D6A" w:rsidRPr="00E42C58" w:rsidRDefault="00000000" w:rsidP="00E42C58">
      <w:pPr>
        <w:ind w:left="720" w:hanging="720"/>
        <w:jc w:val="both"/>
        <w:rPr>
          <w:rFonts w:ascii="Times New Roman" w:eastAsia="Times New Roman" w:hAnsi="Times New Roman" w:cs="Times New Roman"/>
          <w:sz w:val="24"/>
          <w:szCs w:val="24"/>
        </w:rPr>
      </w:pPr>
      <w:r w:rsidRPr="00E42C58">
        <w:rPr>
          <w:rFonts w:ascii="Times New Roman" w:eastAsia="Gungsuh" w:hAnsi="Times New Roman" w:cs="Times New Roman"/>
          <w:sz w:val="24"/>
          <w:szCs w:val="24"/>
        </w:rPr>
        <w:t xml:space="preserve">En la tabla 3 se presentan las medidas de bondad de ajuste, de acuerdo con los valores mínimos recomendados por Jordan (2021): X2/gl &lt; 3, p &gt; .05; CFI (índice de ajuste comparativo) ≥ .95; TLI (índice de Tucker-Lewis) ≥ .90 (adecuado) y ≥ .95 (óptimo); RMSEA (error cuadrático medio de aproximación) ≤ .08 (aceptable) y ≤ .05 (óptimo); SRMR (raíz del </w:t>
      </w:r>
      <w:r w:rsidRPr="00E42C58">
        <w:rPr>
          <w:rFonts w:ascii="Times New Roman" w:eastAsia="Gungsuh" w:hAnsi="Times New Roman" w:cs="Times New Roman"/>
          <w:sz w:val="24"/>
          <w:szCs w:val="24"/>
        </w:rPr>
        <w:lastRenderedPageBreak/>
        <w:t>residuo estandarizado medio) ≤ .08 (aceptable) y ≤ .05 (óptimo). En este estudio, los índices obtenidos fueron: X2/gl = 2; CFI = .99; TLI = .99; RMSEA = .05; SRMR = .04. Por lo tanto, se concluye que el modelo de dos factores de la escala de adaptación social se ajusta adecuadamente, con un total de 9 ítems, lo que constituye un resultado satisfactorio.</w:t>
      </w:r>
    </w:p>
    <w:p w14:paraId="53E983EC" w14:textId="77777777" w:rsidR="007B5D6A" w:rsidRDefault="007B5D6A">
      <w:pPr>
        <w:rPr>
          <w:rFonts w:ascii="Times New Roman" w:eastAsia="Times New Roman" w:hAnsi="Times New Roman" w:cs="Times New Roman"/>
          <w:sz w:val="24"/>
          <w:szCs w:val="24"/>
        </w:rPr>
      </w:pPr>
    </w:p>
    <w:p w14:paraId="5C691D99" w14:textId="77777777" w:rsidR="00E42C58" w:rsidRDefault="00E42C58">
      <w:pPr>
        <w:rPr>
          <w:rFonts w:ascii="Times New Roman" w:eastAsia="Times New Roman" w:hAnsi="Times New Roman" w:cs="Times New Roman"/>
          <w:sz w:val="24"/>
          <w:szCs w:val="24"/>
        </w:rPr>
      </w:pPr>
    </w:p>
    <w:p w14:paraId="15C1AC70" w14:textId="77777777" w:rsidR="00E42C58" w:rsidRDefault="00E42C58">
      <w:pPr>
        <w:rPr>
          <w:rFonts w:ascii="Times New Roman" w:eastAsia="Times New Roman" w:hAnsi="Times New Roman" w:cs="Times New Roman"/>
          <w:sz w:val="24"/>
          <w:szCs w:val="24"/>
        </w:rPr>
      </w:pPr>
    </w:p>
    <w:p w14:paraId="4076D564" w14:textId="77777777" w:rsidR="007B5D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01</w:t>
      </w:r>
    </w:p>
    <w:p w14:paraId="29E5434F"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Análisis factorial confirmatorio del cuestionario de Adaptación Social</w:t>
      </w:r>
    </w:p>
    <w:p w14:paraId="5B53E957" w14:textId="77777777" w:rsidR="007B5D6A" w:rsidRDefault="00000000">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7EDA0966" wp14:editId="0DA77BD4">
            <wp:extent cx="5100638" cy="366025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100638" cy="3660258"/>
                    </a:xfrm>
                    <a:prstGeom prst="rect">
                      <a:avLst/>
                    </a:prstGeom>
                    <a:ln/>
                  </pic:spPr>
                </pic:pic>
              </a:graphicData>
            </a:graphic>
          </wp:inline>
        </w:drawing>
      </w:r>
    </w:p>
    <w:p w14:paraId="3D2B9EEC" w14:textId="77777777" w:rsidR="007B5D6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Nota. </w:t>
      </w:r>
      <w:r>
        <w:rPr>
          <w:rFonts w:ascii="Times New Roman" w:eastAsia="Times New Roman" w:hAnsi="Times New Roman" w:cs="Times New Roman"/>
          <w:sz w:val="24"/>
          <w:szCs w:val="24"/>
        </w:rPr>
        <w:t>Path diagram de la Escala de Adaptación Social</w:t>
      </w:r>
    </w:p>
    <w:p w14:paraId="4D7CA84A" w14:textId="77777777" w:rsidR="007B5D6A" w:rsidRDefault="00000000" w:rsidP="00E42C58">
      <w:pPr>
        <w:spacing w:before="240" w:after="24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figura 1 se presenta el diagrama de trayectoria del análisis factorial confirmatorio de la escala de adaptación social, en el cual se muestra que está estructurada en dos dimensiones, con cargas factoriales adecuadas. La primera dimensión está compuesta por 5 ítems (1, 3, 6, 7, 8) y la segunda dimensión por 4 ítems (9, 10, 11, 14). De acuerdo con las recomendaciones de Costello y Osborne (2005), las cargas factoriales que son mayores o cercanas a 0.30 se consideran aceptables.</w:t>
      </w:r>
    </w:p>
    <w:p w14:paraId="7E2F6679" w14:textId="77777777" w:rsidR="007B5D6A" w:rsidRDefault="007B5D6A">
      <w:pPr>
        <w:spacing w:before="240" w:after="240" w:line="360" w:lineRule="auto"/>
        <w:jc w:val="both"/>
        <w:rPr>
          <w:rFonts w:ascii="Times New Roman" w:eastAsia="Times New Roman" w:hAnsi="Times New Roman" w:cs="Times New Roman"/>
          <w:b/>
          <w:sz w:val="24"/>
          <w:szCs w:val="24"/>
        </w:rPr>
      </w:pPr>
    </w:p>
    <w:p w14:paraId="334196A8" w14:textId="77777777" w:rsidR="00E42C58" w:rsidRDefault="00E42C58">
      <w:pPr>
        <w:spacing w:before="240" w:after="240" w:line="360" w:lineRule="auto"/>
        <w:jc w:val="both"/>
        <w:rPr>
          <w:rFonts w:ascii="Times New Roman" w:eastAsia="Times New Roman" w:hAnsi="Times New Roman" w:cs="Times New Roman"/>
          <w:b/>
          <w:sz w:val="24"/>
          <w:szCs w:val="24"/>
        </w:rPr>
      </w:pPr>
    </w:p>
    <w:p w14:paraId="2FAC615E" w14:textId="77777777" w:rsidR="00E42C58" w:rsidRDefault="00E42C58">
      <w:pPr>
        <w:spacing w:before="240" w:after="240" w:line="360" w:lineRule="auto"/>
        <w:jc w:val="both"/>
        <w:rPr>
          <w:rFonts w:ascii="Times New Roman" w:eastAsia="Times New Roman" w:hAnsi="Times New Roman" w:cs="Times New Roman"/>
          <w:b/>
          <w:sz w:val="24"/>
          <w:szCs w:val="24"/>
        </w:rPr>
      </w:pPr>
    </w:p>
    <w:p w14:paraId="038A81AC" w14:textId="77777777" w:rsidR="00E42C58" w:rsidRDefault="00E42C58">
      <w:pPr>
        <w:spacing w:before="240" w:after="240" w:line="360" w:lineRule="auto"/>
        <w:jc w:val="both"/>
        <w:rPr>
          <w:rFonts w:ascii="Times New Roman" w:eastAsia="Times New Roman" w:hAnsi="Times New Roman" w:cs="Times New Roman"/>
          <w:b/>
          <w:sz w:val="24"/>
          <w:szCs w:val="24"/>
        </w:rPr>
      </w:pPr>
    </w:p>
    <w:p w14:paraId="783A6BB7" w14:textId="77777777" w:rsidR="00E42C58" w:rsidRDefault="00E42C58">
      <w:pPr>
        <w:spacing w:before="240" w:after="240" w:line="360" w:lineRule="auto"/>
        <w:jc w:val="both"/>
        <w:rPr>
          <w:rFonts w:ascii="Times New Roman" w:eastAsia="Times New Roman" w:hAnsi="Times New Roman" w:cs="Times New Roman"/>
          <w:b/>
          <w:sz w:val="24"/>
          <w:szCs w:val="24"/>
        </w:rPr>
      </w:pPr>
    </w:p>
    <w:p w14:paraId="55A6FFB7" w14:textId="77777777" w:rsidR="00E42C58" w:rsidRDefault="00E42C58">
      <w:pPr>
        <w:spacing w:before="240" w:after="240" w:line="360" w:lineRule="auto"/>
        <w:jc w:val="both"/>
        <w:rPr>
          <w:rFonts w:ascii="Times New Roman" w:eastAsia="Times New Roman" w:hAnsi="Times New Roman" w:cs="Times New Roman"/>
          <w:b/>
          <w:sz w:val="24"/>
          <w:szCs w:val="24"/>
        </w:rPr>
      </w:pPr>
    </w:p>
    <w:p w14:paraId="7B7B29B6" w14:textId="77777777" w:rsidR="007B5D6A"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04</w:t>
      </w:r>
    </w:p>
    <w:p w14:paraId="3EFC31C4" w14:textId="77777777" w:rsidR="007B5D6A" w:rsidRDefault="00000000">
      <w:pPr>
        <w:spacing w:before="240" w:after="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Confiabilidad de la Escala de Adaptación Social, mediante Omega de McDonald (</w:t>
      </w:r>
      <w:r>
        <w:rPr>
          <w:rFonts w:ascii="Times New Roman" w:eastAsia="Times New Roman" w:hAnsi="Times New Roman" w:cs="Times New Roman"/>
          <w:sz w:val="24"/>
          <w:szCs w:val="24"/>
        </w:rPr>
        <w:t>ω)</w:t>
      </w:r>
      <w:r>
        <w:rPr>
          <w:rFonts w:ascii="Times New Roman" w:eastAsia="Times New Roman" w:hAnsi="Times New Roman" w:cs="Times New Roman"/>
          <w:i/>
          <w:sz w:val="24"/>
          <w:szCs w:val="24"/>
        </w:rPr>
        <w:t xml:space="preserve"> y Alfa Ordinal</w:t>
      </w:r>
    </w:p>
    <w:tbl>
      <w:tblPr>
        <w:tblStyle w:val="a2"/>
        <w:tblW w:w="84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95"/>
        <w:gridCol w:w="2775"/>
        <w:gridCol w:w="2820"/>
      </w:tblGrid>
      <w:tr w:rsidR="007B5D6A" w14:paraId="023654A9" w14:textId="77777777">
        <w:trPr>
          <w:trHeight w:val="375"/>
        </w:trPr>
        <w:tc>
          <w:tcPr>
            <w:tcW w:w="2895" w:type="dxa"/>
            <w:tcBorders>
              <w:top w:val="single" w:sz="6" w:space="0" w:color="000000"/>
              <w:left w:val="nil"/>
              <w:bottom w:val="single" w:sz="6" w:space="0" w:color="000000"/>
              <w:right w:val="nil"/>
            </w:tcBorders>
            <w:tcMar>
              <w:top w:w="0" w:type="dxa"/>
              <w:left w:w="100" w:type="dxa"/>
              <w:bottom w:w="0" w:type="dxa"/>
              <w:right w:w="100" w:type="dxa"/>
            </w:tcMar>
          </w:tcPr>
          <w:p w14:paraId="6C0DEF6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Dimensiones</w:t>
            </w:r>
          </w:p>
        </w:tc>
        <w:tc>
          <w:tcPr>
            <w:tcW w:w="2775" w:type="dxa"/>
            <w:tcBorders>
              <w:top w:val="single" w:sz="6" w:space="0" w:color="000000"/>
              <w:left w:val="nil"/>
              <w:bottom w:val="single" w:sz="6" w:space="0" w:color="000000"/>
              <w:right w:val="nil"/>
            </w:tcBorders>
            <w:tcMar>
              <w:top w:w="0" w:type="dxa"/>
              <w:left w:w="100" w:type="dxa"/>
              <w:bottom w:w="0" w:type="dxa"/>
              <w:right w:w="100" w:type="dxa"/>
            </w:tcMar>
          </w:tcPr>
          <w:p w14:paraId="6DA68CB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ω</w:t>
            </w:r>
          </w:p>
        </w:tc>
        <w:tc>
          <w:tcPr>
            <w:tcW w:w="2820" w:type="dxa"/>
            <w:tcBorders>
              <w:top w:val="single" w:sz="6" w:space="0" w:color="000000"/>
              <w:left w:val="nil"/>
              <w:bottom w:val="single" w:sz="6" w:space="0" w:color="000000"/>
              <w:right w:val="nil"/>
            </w:tcBorders>
            <w:tcMar>
              <w:top w:w="0" w:type="dxa"/>
              <w:left w:w="100" w:type="dxa"/>
              <w:bottom w:w="0" w:type="dxa"/>
              <w:right w:w="100" w:type="dxa"/>
            </w:tcMar>
          </w:tcPr>
          <w:p w14:paraId="29717F88"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α ordinal</w:t>
            </w:r>
          </w:p>
        </w:tc>
      </w:tr>
      <w:tr w:rsidR="007B5D6A" w14:paraId="51096232" w14:textId="77777777">
        <w:trPr>
          <w:trHeight w:val="375"/>
        </w:trPr>
        <w:tc>
          <w:tcPr>
            <w:tcW w:w="2895" w:type="dxa"/>
            <w:tcBorders>
              <w:top w:val="nil"/>
              <w:left w:val="nil"/>
              <w:bottom w:val="nil"/>
              <w:right w:val="nil"/>
            </w:tcBorders>
            <w:tcMar>
              <w:top w:w="0" w:type="dxa"/>
              <w:left w:w="100" w:type="dxa"/>
              <w:bottom w:w="0" w:type="dxa"/>
              <w:right w:w="100" w:type="dxa"/>
            </w:tcMar>
          </w:tcPr>
          <w:p w14:paraId="795A791C"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General</w:t>
            </w:r>
          </w:p>
        </w:tc>
        <w:tc>
          <w:tcPr>
            <w:tcW w:w="2775" w:type="dxa"/>
            <w:tcBorders>
              <w:top w:val="nil"/>
              <w:left w:val="nil"/>
              <w:bottom w:val="nil"/>
              <w:right w:val="nil"/>
            </w:tcBorders>
            <w:tcMar>
              <w:top w:w="0" w:type="dxa"/>
              <w:left w:w="100" w:type="dxa"/>
              <w:bottom w:w="0" w:type="dxa"/>
              <w:right w:w="100" w:type="dxa"/>
            </w:tcMar>
          </w:tcPr>
          <w:p w14:paraId="1EE51D5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820" w:type="dxa"/>
            <w:tcBorders>
              <w:top w:val="nil"/>
              <w:left w:val="nil"/>
              <w:bottom w:val="nil"/>
              <w:right w:val="nil"/>
            </w:tcBorders>
            <w:tcMar>
              <w:top w:w="0" w:type="dxa"/>
              <w:left w:w="100" w:type="dxa"/>
              <w:bottom w:w="0" w:type="dxa"/>
              <w:right w:w="100" w:type="dxa"/>
            </w:tcMar>
          </w:tcPr>
          <w:p w14:paraId="56A347E1"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7B5D6A" w14:paraId="3AD78834" w14:textId="77777777">
        <w:trPr>
          <w:trHeight w:val="360"/>
        </w:trPr>
        <w:tc>
          <w:tcPr>
            <w:tcW w:w="2895" w:type="dxa"/>
            <w:tcBorders>
              <w:top w:val="nil"/>
              <w:left w:val="nil"/>
              <w:bottom w:val="nil"/>
              <w:right w:val="nil"/>
            </w:tcBorders>
            <w:tcMar>
              <w:top w:w="0" w:type="dxa"/>
              <w:left w:w="100" w:type="dxa"/>
              <w:bottom w:w="0" w:type="dxa"/>
              <w:right w:w="100" w:type="dxa"/>
            </w:tcMar>
          </w:tcPr>
          <w:p w14:paraId="700901BC"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Dimensión externa</w:t>
            </w:r>
          </w:p>
        </w:tc>
        <w:tc>
          <w:tcPr>
            <w:tcW w:w="2775" w:type="dxa"/>
            <w:tcBorders>
              <w:top w:val="nil"/>
              <w:left w:val="nil"/>
              <w:bottom w:val="nil"/>
              <w:right w:val="nil"/>
            </w:tcBorders>
            <w:tcMar>
              <w:top w:w="0" w:type="dxa"/>
              <w:left w:w="100" w:type="dxa"/>
              <w:bottom w:w="0" w:type="dxa"/>
              <w:right w:w="100" w:type="dxa"/>
            </w:tcMar>
          </w:tcPr>
          <w:p w14:paraId="249486E1"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820" w:type="dxa"/>
            <w:tcBorders>
              <w:top w:val="nil"/>
              <w:left w:val="nil"/>
              <w:bottom w:val="nil"/>
              <w:right w:val="nil"/>
            </w:tcBorders>
            <w:tcMar>
              <w:top w:w="0" w:type="dxa"/>
              <w:left w:w="100" w:type="dxa"/>
              <w:bottom w:w="0" w:type="dxa"/>
              <w:right w:w="100" w:type="dxa"/>
            </w:tcMar>
          </w:tcPr>
          <w:p w14:paraId="710729B2"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7B5D6A" w14:paraId="1054907D" w14:textId="77777777">
        <w:trPr>
          <w:trHeight w:val="375"/>
        </w:trPr>
        <w:tc>
          <w:tcPr>
            <w:tcW w:w="2895" w:type="dxa"/>
            <w:tcBorders>
              <w:top w:val="nil"/>
              <w:left w:val="nil"/>
              <w:bottom w:val="single" w:sz="6" w:space="0" w:color="000000"/>
              <w:right w:val="nil"/>
            </w:tcBorders>
            <w:tcMar>
              <w:top w:w="0" w:type="dxa"/>
              <w:left w:w="100" w:type="dxa"/>
              <w:bottom w:w="0" w:type="dxa"/>
              <w:right w:w="100" w:type="dxa"/>
            </w:tcMar>
          </w:tcPr>
          <w:p w14:paraId="7990F426"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Dimensión interna</w:t>
            </w:r>
          </w:p>
        </w:tc>
        <w:tc>
          <w:tcPr>
            <w:tcW w:w="2775" w:type="dxa"/>
            <w:tcBorders>
              <w:top w:val="nil"/>
              <w:left w:val="nil"/>
              <w:bottom w:val="single" w:sz="6" w:space="0" w:color="000000"/>
              <w:right w:val="nil"/>
            </w:tcBorders>
            <w:tcMar>
              <w:top w:w="0" w:type="dxa"/>
              <w:left w:w="100" w:type="dxa"/>
              <w:bottom w:w="0" w:type="dxa"/>
              <w:right w:w="100" w:type="dxa"/>
            </w:tcMar>
          </w:tcPr>
          <w:p w14:paraId="48F35E06"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820" w:type="dxa"/>
            <w:tcBorders>
              <w:top w:val="nil"/>
              <w:left w:val="nil"/>
              <w:bottom w:val="single" w:sz="6" w:space="0" w:color="000000"/>
              <w:right w:val="nil"/>
            </w:tcBorders>
            <w:tcMar>
              <w:top w:w="0" w:type="dxa"/>
              <w:left w:w="100" w:type="dxa"/>
              <w:bottom w:w="0" w:type="dxa"/>
              <w:right w:w="100" w:type="dxa"/>
            </w:tcMar>
          </w:tcPr>
          <w:p w14:paraId="3B6AEEB6"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bl>
    <w:p w14:paraId="1737D31F" w14:textId="77777777" w:rsidR="007B5D6A" w:rsidRDefault="00000000" w:rsidP="00E42C58">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tabla 04 se presentan los coeficientes de confiabilidad obtenidos a través de Omega de McDonald y alfa ordinal (α ordinal), con valores considerados adecuados (mayores a 0.70). En la dimensión general, se obtuvo α = 0.89 y ω = 0.89; en la dimensión externa, α = 0.84 y ω = 0.81; y en la dimensión interna, α = 0.81 y ω = 0.77. Según Campos y Oviedo (2008), para determinar la confiabilidad de un valor utilizando el coeficiente omega, se considera aceptable un rango de .70 a .90. Sin embargo, Katz (2006) señala que, en ciertos casos, valores superiores a .65 también pueden ser aceptables. El uso de estos coeficientes permite obtener estimaciones de confiabilidad más precisas y menos sesgadas.</w:t>
      </w:r>
    </w:p>
    <w:p w14:paraId="53AAF938" w14:textId="77777777" w:rsidR="007B5D6A"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05</w:t>
      </w:r>
    </w:p>
    <w:p w14:paraId="6127B295" w14:textId="77777777" w:rsidR="007B5D6A" w:rsidRDefault="00000000">
      <w:pPr>
        <w:spacing w:before="240" w:after="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Baremos para el Cuestionario de Adaptación Social</w:t>
      </w:r>
    </w:p>
    <w:tbl>
      <w:tblPr>
        <w:tblStyle w:val="a3"/>
        <w:tblW w:w="83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45"/>
        <w:gridCol w:w="1155"/>
        <w:gridCol w:w="1245"/>
        <w:gridCol w:w="1155"/>
        <w:gridCol w:w="1245"/>
        <w:gridCol w:w="1155"/>
        <w:gridCol w:w="1170"/>
      </w:tblGrid>
      <w:tr w:rsidR="007B5D6A" w14:paraId="6C734443" w14:textId="77777777">
        <w:trPr>
          <w:trHeight w:val="375"/>
        </w:trPr>
        <w:tc>
          <w:tcPr>
            <w:tcW w:w="2400" w:type="dxa"/>
            <w:gridSpan w:val="2"/>
            <w:tcBorders>
              <w:top w:val="single" w:sz="6" w:space="0" w:color="000000"/>
              <w:left w:val="nil"/>
              <w:bottom w:val="single" w:sz="6" w:space="0" w:color="000000"/>
              <w:right w:val="nil"/>
            </w:tcBorders>
            <w:tcMar>
              <w:top w:w="0" w:type="dxa"/>
              <w:left w:w="100" w:type="dxa"/>
              <w:bottom w:w="0" w:type="dxa"/>
              <w:right w:w="100" w:type="dxa"/>
            </w:tcMar>
          </w:tcPr>
          <w:p w14:paraId="4AFAE4C8"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F1</w:t>
            </w:r>
          </w:p>
        </w:tc>
        <w:tc>
          <w:tcPr>
            <w:tcW w:w="2400" w:type="dxa"/>
            <w:gridSpan w:val="2"/>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1627A0A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F2</w:t>
            </w:r>
          </w:p>
        </w:tc>
        <w:tc>
          <w:tcPr>
            <w:tcW w:w="2400" w:type="dxa"/>
            <w:gridSpan w:val="2"/>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094AF1E6"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F3</w:t>
            </w:r>
          </w:p>
        </w:tc>
        <w:tc>
          <w:tcPr>
            <w:tcW w:w="1170" w:type="dxa"/>
            <w:vMerge w:val="restart"/>
            <w:tcBorders>
              <w:top w:val="single" w:sz="6" w:space="0" w:color="000000"/>
              <w:left w:val="nil"/>
              <w:bottom w:val="nil"/>
              <w:right w:val="nil"/>
            </w:tcBorders>
            <w:shd w:val="clear" w:color="auto" w:fill="auto"/>
            <w:tcMar>
              <w:top w:w="0" w:type="dxa"/>
              <w:left w:w="100" w:type="dxa"/>
              <w:bottom w:w="0" w:type="dxa"/>
              <w:right w:w="100" w:type="dxa"/>
            </w:tcMar>
          </w:tcPr>
          <w:p w14:paraId="1B2EC61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Nivel</w:t>
            </w:r>
          </w:p>
        </w:tc>
      </w:tr>
      <w:tr w:rsidR="007B5D6A" w14:paraId="3809DA1D" w14:textId="77777777">
        <w:trPr>
          <w:trHeight w:val="465"/>
        </w:trPr>
        <w:tc>
          <w:tcPr>
            <w:tcW w:w="1245" w:type="dxa"/>
            <w:tcBorders>
              <w:top w:val="nil"/>
              <w:left w:val="nil"/>
              <w:bottom w:val="single" w:sz="6" w:space="0" w:color="000000"/>
              <w:right w:val="nil"/>
            </w:tcBorders>
            <w:shd w:val="clear" w:color="auto" w:fill="auto"/>
            <w:tcMar>
              <w:top w:w="0" w:type="dxa"/>
              <w:left w:w="100" w:type="dxa"/>
              <w:bottom w:w="0" w:type="dxa"/>
              <w:right w:w="100" w:type="dxa"/>
            </w:tcMar>
          </w:tcPr>
          <w:p w14:paraId="1D0EB69A"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PD</w:t>
            </w:r>
          </w:p>
        </w:tc>
        <w:tc>
          <w:tcPr>
            <w:tcW w:w="1155" w:type="dxa"/>
            <w:tcBorders>
              <w:top w:val="nil"/>
              <w:left w:val="nil"/>
              <w:bottom w:val="single" w:sz="6" w:space="0" w:color="000000"/>
              <w:right w:val="nil"/>
            </w:tcBorders>
            <w:shd w:val="clear" w:color="auto" w:fill="auto"/>
            <w:tcMar>
              <w:top w:w="0" w:type="dxa"/>
              <w:left w:w="100" w:type="dxa"/>
              <w:bottom w:w="0" w:type="dxa"/>
              <w:right w:w="100" w:type="dxa"/>
            </w:tcMar>
          </w:tcPr>
          <w:p w14:paraId="587FF9F3"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p>
        </w:tc>
        <w:tc>
          <w:tcPr>
            <w:tcW w:w="1245" w:type="dxa"/>
            <w:tcBorders>
              <w:top w:val="nil"/>
              <w:left w:val="nil"/>
              <w:bottom w:val="single" w:sz="6" w:space="0" w:color="000000"/>
              <w:right w:val="nil"/>
            </w:tcBorders>
            <w:shd w:val="clear" w:color="auto" w:fill="auto"/>
            <w:tcMar>
              <w:top w:w="0" w:type="dxa"/>
              <w:left w:w="100" w:type="dxa"/>
              <w:bottom w:w="0" w:type="dxa"/>
              <w:right w:w="100" w:type="dxa"/>
            </w:tcMar>
          </w:tcPr>
          <w:p w14:paraId="40A4CE7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PD</w:t>
            </w:r>
          </w:p>
        </w:tc>
        <w:tc>
          <w:tcPr>
            <w:tcW w:w="1155" w:type="dxa"/>
            <w:tcBorders>
              <w:top w:val="nil"/>
              <w:left w:val="nil"/>
              <w:bottom w:val="single" w:sz="6" w:space="0" w:color="000000"/>
              <w:right w:val="nil"/>
            </w:tcBorders>
            <w:shd w:val="clear" w:color="auto" w:fill="auto"/>
            <w:tcMar>
              <w:top w:w="0" w:type="dxa"/>
              <w:left w:w="100" w:type="dxa"/>
              <w:bottom w:w="0" w:type="dxa"/>
              <w:right w:w="100" w:type="dxa"/>
            </w:tcMar>
          </w:tcPr>
          <w:p w14:paraId="0D91C0B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p>
        </w:tc>
        <w:tc>
          <w:tcPr>
            <w:tcW w:w="1245" w:type="dxa"/>
            <w:tcBorders>
              <w:top w:val="nil"/>
              <w:left w:val="nil"/>
              <w:bottom w:val="single" w:sz="6" w:space="0" w:color="000000"/>
              <w:right w:val="nil"/>
            </w:tcBorders>
            <w:shd w:val="clear" w:color="auto" w:fill="auto"/>
            <w:tcMar>
              <w:top w:w="0" w:type="dxa"/>
              <w:left w:w="100" w:type="dxa"/>
              <w:bottom w:w="0" w:type="dxa"/>
              <w:right w:w="100" w:type="dxa"/>
            </w:tcMar>
          </w:tcPr>
          <w:p w14:paraId="2B9AEE45"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PD</w:t>
            </w:r>
          </w:p>
        </w:tc>
        <w:tc>
          <w:tcPr>
            <w:tcW w:w="1155" w:type="dxa"/>
            <w:tcBorders>
              <w:top w:val="nil"/>
              <w:left w:val="nil"/>
              <w:bottom w:val="single" w:sz="6" w:space="0" w:color="000000"/>
              <w:right w:val="nil"/>
            </w:tcBorders>
            <w:shd w:val="clear" w:color="auto" w:fill="auto"/>
            <w:tcMar>
              <w:top w:w="0" w:type="dxa"/>
              <w:left w:w="100" w:type="dxa"/>
              <w:bottom w:w="0" w:type="dxa"/>
              <w:right w:w="100" w:type="dxa"/>
            </w:tcMar>
          </w:tcPr>
          <w:p w14:paraId="71B392F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p>
        </w:tc>
        <w:tc>
          <w:tcPr>
            <w:tcW w:w="1170" w:type="dxa"/>
            <w:vMerge/>
            <w:tcBorders>
              <w:top w:val="single" w:sz="6" w:space="0" w:color="000000"/>
              <w:left w:val="nil"/>
              <w:bottom w:val="nil"/>
              <w:right w:val="nil"/>
            </w:tcBorders>
            <w:shd w:val="clear" w:color="auto" w:fill="auto"/>
            <w:tcMar>
              <w:top w:w="100" w:type="dxa"/>
              <w:left w:w="100" w:type="dxa"/>
              <w:bottom w:w="100" w:type="dxa"/>
              <w:right w:w="100" w:type="dxa"/>
            </w:tcMar>
          </w:tcPr>
          <w:p w14:paraId="111A465B" w14:textId="77777777" w:rsidR="007B5D6A" w:rsidRDefault="007B5D6A">
            <w:pPr>
              <w:spacing w:before="240" w:after="240" w:line="360" w:lineRule="auto"/>
              <w:jc w:val="both"/>
              <w:rPr>
                <w:rFonts w:ascii="Times New Roman" w:eastAsia="Times New Roman" w:hAnsi="Times New Roman" w:cs="Times New Roman"/>
                <w:sz w:val="24"/>
                <w:szCs w:val="24"/>
              </w:rPr>
            </w:pPr>
          </w:p>
        </w:tc>
      </w:tr>
      <w:tr w:rsidR="007B5D6A" w14:paraId="3EBE37CE" w14:textId="77777777">
        <w:trPr>
          <w:trHeight w:val="4065"/>
        </w:trPr>
        <w:tc>
          <w:tcPr>
            <w:tcW w:w="1245" w:type="dxa"/>
            <w:tcBorders>
              <w:top w:val="nil"/>
              <w:left w:val="nil"/>
              <w:bottom w:val="nil"/>
              <w:right w:val="nil"/>
            </w:tcBorders>
            <w:shd w:val="clear" w:color="auto" w:fill="auto"/>
            <w:tcMar>
              <w:top w:w="0" w:type="dxa"/>
              <w:left w:w="100" w:type="dxa"/>
              <w:bottom w:w="0" w:type="dxa"/>
              <w:right w:w="100" w:type="dxa"/>
            </w:tcMar>
          </w:tcPr>
          <w:p w14:paraId="6D016831"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24.00</w:t>
            </w:r>
          </w:p>
          <w:p w14:paraId="6A0721F3"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23.00</w:t>
            </w:r>
          </w:p>
          <w:p w14:paraId="2EAE54C0"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22.00</w:t>
            </w:r>
          </w:p>
          <w:p w14:paraId="70F60BA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p>
          <w:p w14:paraId="2A2B32C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p w14:paraId="56480663"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19.00</w:t>
            </w:r>
          </w:p>
        </w:tc>
        <w:tc>
          <w:tcPr>
            <w:tcW w:w="1155" w:type="dxa"/>
            <w:tcBorders>
              <w:top w:val="nil"/>
              <w:left w:val="nil"/>
              <w:bottom w:val="nil"/>
              <w:right w:val="nil"/>
            </w:tcBorders>
            <w:shd w:val="clear" w:color="auto" w:fill="auto"/>
            <w:tcMar>
              <w:top w:w="0" w:type="dxa"/>
              <w:left w:w="100" w:type="dxa"/>
              <w:bottom w:w="0" w:type="dxa"/>
              <w:right w:w="100" w:type="dxa"/>
            </w:tcMar>
          </w:tcPr>
          <w:p w14:paraId="2429D4BD"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14:paraId="73D3292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14:paraId="06DEBCD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14:paraId="29FF981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14:paraId="4D7A7A3B"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6EAFF50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45" w:type="dxa"/>
            <w:tcBorders>
              <w:top w:val="nil"/>
              <w:left w:val="nil"/>
              <w:bottom w:val="nil"/>
              <w:right w:val="nil"/>
            </w:tcBorders>
            <w:shd w:val="clear" w:color="auto" w:fill="auto"/>
            <w:tcMar>
              <w:top w:w="0" w:type="dxa"/>
              <w:left w:w="100" w:type="dxa"/>
              <w:bottom w:w="0" w:type="dxa"/>
              <w:right w:w="100" w:type="dxa"/>
            </w:tcMar>
          </w:tcPr>
          <w:p w14:paraId="6F583EAC"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19.00</w:t>
            </w:r>
          </w:p>
          <w:p w14:paraId="2769359C"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p w14:paraId="0A3A7585"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p w14:paraId="7FBB2C9B"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p w14:paraId="4AAB267A"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p w14:paraId="22EFED04"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155" w:type="dxa"/>
            <w:tcBorders>
              <w:top w:val="nil"/>
              <w:left w:val="nil"/>
              <w:bottom w:val="nil"/>
              <w:right w:val="nil"/>
            </w:tcBorders>
            <w:shd w:val="clear" w:color="auto" w:fill="auto"/>
            <w:tcMar>
              <w:top w:w="0" w:type="dxa"/>
              <w:left w:w="100" w:type="dxa"/>
              <w:bottom w:w="0" w:type="dxa"/>
              <w:right w:w="100" w:type="dxa"/>
            </w:tcMar>
          </w:tcPr>
          <w:p w14:paraId="69646BF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14:paraId="4C9002A8"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14:paraId="4BC2CBE2"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14:paraId="0B1489AD"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14:paraId="2DF26CE5"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484845C3"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45" w:type="dxa"/>
            <w:tcBorders>
              <w:top w:val="nil"/>
              <w:left w:val="nil"/>
              <w:bottom w:val="nil"/>
              <w:right w:val="nil"/>
            </w:tcBorders>
            <w:shd w:val="clear" w:color="auto" w:fill="auto"/>
            <w:tcMar>
              <w:top w:w="0" w:type="dxa"/>
              <w:left w:w="100" w:type="dxa"/>
              <w:bottom w:w="0" w:type="dxa"/>
              <w:right w:w="100" w:type="dxa"/>
            </w:tcMar>
          </w:tcPr>
          <w:p w14:paraId="17A92900"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41.00</w:t>
            </w:r>
          </w:p>
          <w:p w14:paraId="4F96B2B3"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p w14:paraId="635264BA"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38.00</w:t>
            </w:r>
          </w:p>
          <w:p w14:paraId="6AEF1C65"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37.00</w:t>
            </w:r>
          </w:p>
          <w:p w14:paraId="72212CF3"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p w14:paraId="7DC65398"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34.00</w:t>
            </w:r>
          </w:p>
        </w:tc>
        <w:tc>
          <w:tcPr>
            <w:tcW w:w="1155" w:type="dxa"/>
            <w:tcBorders>
              <w:top w:val="nil"/>
              <w:left w:val="nil"/>
              <w:bottom w:val="nil"/>
              <w:right w:val="nil"/>
            </w:tcBorders>
            <w:shd w:val="clear" w:color="auto" w:fill="auto"/>
            <w:tcMar>
              <w:top w:w="0" w:type="dxa"/>
              <w:left w:w="100" w:type="dxa"/>
              <w:bottom w:w="0" w:type="dxa"/>
              <w:right w:w="100" w:type="dxa"/>
            </w:tcMar>
          </w:tcPr>
          <w:p w14:paraId="3C81EF05"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14:paraId="5FBB75F2"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14:paraId="35A8AAAB"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14:paraId="22A82F3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14:paraId="2928740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0FF7ED9D"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70" w:type="dxa"/>
            <w:tcBorders>
              <w:top w:val="single" w:sz="6" w:space="0" w:color="000000"/>
              <w:left w:val="nil"/>
              <w:bottom w:val="nil"/>
              <w:right w:val="nil"/>
            </w:tcBorders>
            <w:shd w:val="clear" w:color="auto" w:fill="auto"/>
            <w:tcMar>
              <w:top w:w="0" w:type="dxa"/>
              <w:left w:w="100" w:type="dxa"/>
              <w:bottom w:w="0" w:type="dxa"/>
              <w:right w:w="100" w:type="dxa"/>
            </w:tcMar>
          </w:tcPr>
          <w:p w14:paraId="356354E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Alto</w:t>
            </w:r>
          </w:p>
        </w:tc>
      </w:tr>
      <w:tr w:rsidR="007B5D6A" w14:paraId="411D8530" w14:textId="77777777">
        <w:trPr>
          <w:trHeight w:val="4065"/>
        </w:trPr>
        <w:tc>
          <w:tcPr>
            <w:tcW w:w="1245" w:type="dxa"/>
            <w:tcBorders>
              <w:top w:val="single" w:sz="6" w:space="0" w:color="FFFFFF"/>
              <w:left w:val="nil"/>
              <w:bottom w:val="nil"/>
              <w:right w:val="nil"/>
            </w:tcBorders>
            <w:shd w:val="clear" w:color="auto" w:fill="auto"/>
            <w:tcMar>
              <w:top w:w="0" w:type="dxa"/>
              <w:left w:w="100" w:type="dxa"/>
              <w:bottom w:w="0" w:type="dxa"/>
              <w:right w:w="100" w:type="dxa"/>
            </w:tcMar>
          </w:tcPr>
          <w:p w14:paraId="226FB1A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19.00</w:t>
            </w:r>
          </w:p>
          <w:p w14:paraId="31FF2903"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p w14:paraId="24D52DA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p w14:paraId="21457082"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p w14:paraId="7FF9E2F8"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p w14:paraId="308549B1"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p w14:paraId="0468E00C"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155" w:type="dxa"/>
            <w:tcBorders>
              <w:top w:val="single" w:sz="6" w:space="0" w:color="FFFFFF"/>
              <w:left w:val="nil"/>
              <w:bottom w:val="nil"/>
              <w:right w:val="nil"/>
            </w:tcBorders>
            <w:shd w:val="clear" w:color="auto" w:fill="auto"/>
            <w:tcMar>
              <w:top w:w="0" w:type="dxa"/>
              <w:left w:w="100" w:type="dxa"/>
              <w:bottom w:w="0" w:type="dxa"/>
              <w:right w:w="100" w:type="dxa"/>
            </w:tcMar>
          </w:tcPr>
          <w:p w14:paraId="4667F08B"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14:paraId="1C83E994"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0BA48785"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41EFA7F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220CC1B2"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14:paraId="5E6F9E42"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7B172696"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45" w:type="dxa"/>
            <w:tcBorders>
              <w:top w:val="single" w:sz="6" w:space="0" w:color="FFFFFF"/>
              <w:left w:val="nil"/>
              <w:bottom w:val="nil"/>
              <w:right w:val="nil"/>
            </w:tcBorders>
            <w:shd w:val="clear" w:color="auto" w:fill="auto"/>
            <w:tcMar>
              <w:top w:w="0" w:type="dxa"/>
              <w:left w:w="100" w:type="dxa"/>
              <w:bottom w:w="0" w:type="dxa"/>
              <w:right w:w="100" w:type="dxa"/>
            </w:tcMar>
          </w:tcPr>
          <w:p w14:paraId="423035D0"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p w14:paraId="4E8D4700"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p w14:paraId="1CE9AE0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13.55</w:t>
            </w:r>
          </w:p>
          <w:p w14:paraId="4BC72DD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p w14:paraId="3337953C"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p w14:paraId="7664F4BD"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p w14:paraId="1A0DDD9D"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155" w:type="dxa"/>
            <w:tcBorders>
              <w:top w:val="single" w:sz="6" w:space="0" w:color="FFFFFF"/>
              <w:left w:val="nil"/>
              <w:bottom w:val="nil"/>
              <w:right w:val="single" w:sz="6" w:space="0" w:color="FFFFFF"/>
            </w:tcBorders>
            <w:shd w:val="clear" w:color="auto" w:fill="auto"/>
            <w:tcMar>
              <w:top w:w="0" w:type="dxa"/>
              <w:left w:w="100" w:type="dxa"/>
              <w:bottom w:w="0" w:type="dxa"/>
              <w:right w:w="100" w:type="dxa"/>
            </w:tcMar>
          </w:tcPr>
          <w:p w14:paraId="20FB99B1"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14:paraId="6F43E3FB"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1A8DF55E"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530AE140"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637046BD"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14:paraId="6556AF7A"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4996CDF6"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45" w:type="dxa"/>
            <w:tcBorders>
              <w:top w:val="single" w:sz="6" w:space="0" w:color="FFFFFF"/>
              <w:left w:val="nil"/>
              <w:bottom w:val="nil"/>
              <w:right w:val="nil"/>
            </w:tcBorders>
            <w:shd w:val="clear" w:color="auto" w:fill="auto"/>
            <w:tcMar>
              <w:top w:w="0" w:type="dxa"/>
              <w:left w:w="100" w:type="dxa"/>
              <w:bottom w:w="0" w:type="dxa"/>
              <w:right w:w="100" w:type="dxa"/>
            </w:tcMar>
          </w:tcPr>
          <w:p w14:paraId="39682CC3"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33.00</w:t>
            </w:r>
          </w:p>
          <w:p w14:paraId="6C89F8DF"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32.00</w:t>
            </w:r>
          </w:p>
          <w:p w14:paraId="041D8085"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31.00</w:t>
            </w:r>
          </w:p>
          <w:p w14:paraId="7AD82B61"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520529DD"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29.45</w:t>
            </w:r>
          </w:p>
          <w:p w14:paraId="2B23E66B"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29.00</w:t>
            </w:r>
          </w:p>
          <w:p w14:paraId="1B4B5643"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28.00</w:t>
            </w:r>
          </w:p>
        </w:tc>
        <w:tc>
          <w:tcPr>
            <w:tcW w:w="1155" w:type="dxa"/>
            <w:tcBorders>
              <w:top w:val="single" w:sz="6" w:space="0" w:color="FFFFFF"/>
              <w:left w:val="nil"/>
              <w:bottom w:val="nil"/>
              <w:right w:val="nil"/>
            </w:tcBorders>
            <w:shd w:val="clear" w:color="auto" w:fill="auto"/>
            <w:tcMar>
              <w:top w:w="0" w:type="dxa"/>
              <w:left w:w="100" w:type="dxa"/>
              <w:bottom w:w="0" w:type="dxa"/>
              <w:right w:w="100" w:type="dxa"/>
            </w:tcMar>
          </w:tcPr>
          <w:p w14:paraId="34391571"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14:paraId="0CF8665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307C0794"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213B9408"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05AAB38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14:paraId="00B5F380"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5F4B247A"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70" w:type="dxa"/>
            <w:tcBorders>
              <w:top w:val="nil"/>
              <w:left w:val="nil"/>
              <w:bottom w:val="nil"/>
              <w:right w:val="nil"/>
            </w:tcBorders>
            <w:shd w:val="clear" w:color="auto" w:fill="auto"/>
            <w:tcMar>
              <w:top w:w="0" w:type="dxa"/>
              <w:left w:w="100" w:type="dxa"/>
              <w:bottom w:w="0" w:type="dxa"/>
              <w:right w:w="100" w:type="dxa"/>
            </w:tcMar>
          </w:tcPr>
          <w:p w14:paraId="60C35840"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Medio</w:t>
            </w:r>
          </w:p>
        </w:tc>
      </w:tr>
      <w:tr w:rsidR="007B5D6A" w14:paraId="34ED1767" w14:textId="77777777">
        <w:trPr>
          <w:trHeight w:val="3480"/>
        </w:trPr>
        <w:tc>
          <w:tcPr>
            <w:tcW w:w="1245" w:type="dxa"/>
            <w:tcBorders>
              <w:top w:val="nil"/>
              <w:left w:val="nil"/>
              <w:bottom w:val="single" w:sz="6" w:space="0" w:color="000000"/>
              <w:right w:val="nil"/>
            </w:tcBorders>
            <w:shd w:val="clear" w:color="auto" w:fill="auto"/>
            <w:tcMar>
              <w:top w:w="0" w:type="dxa"/>
              <w:left w:w="100" w:type="dxa"/>
              <w:bottom w:w="0" w:type="dxa"/>
              <w:right w:w="100" w:type="dxa"/>
            </w:tcMar>
          </w:tcPr>
          <w:p w14:paraId="248B5888"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15.00</w:t>
            </w:r>
          </w:p>
          <w:p w14:paraId="10D027E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p w14:paraId="1C98BD1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p w14:paraId="2A9AD6DA"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w:t>
            </w:r>
          </w:p>
          <w:p w14:paraId="11312537"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p w14:paraId="256D756A"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1155" w:type="dxa"/>
            <w:tcBorders>
              <w:top w:val="nil"/>
              <w:left w:val="nil"/>
              <w:bottom w:val="single" w:sz="6" w:space="0" w:color="000000"/>
              <w:right w:val="nil"/>
            </w:tcBorders>
            <w:shd w:val="clear" w:color="auto" w:fill="auto"/>
            <w:tcMar>
              <w:top w:w="0" w:type="dxa"/>
              <w:left w:w="100" w:type="dxa"/>
              <w:bottom w:w="0" w:type="dxa"/>
              <w:right w:w="100" w:type="dxa"/>
            </w:tcMar>
          </w:tcPr>
          <w:p w14:paraId="733E3374"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3448E213"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6B15D355"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3F595B51"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6210FA94"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069FCE5"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45" w:type="dxa"/>
            <w:tcBorders>
              <w:top w:val="nil"/>
              <w:left w:val="nil"/>
              <w:bottom w:val="single" w:sz="6" w:space="0" w:color="000000"/>
              <w:right w:val="nil"/>
            </w:tcBorders>
            <w:shd w:val="clear" w:color="auto" w:fill="auto"/>
            <w:tcMar>
              <w:top w:w="0" w:type="dxa"/>
              <w:left w:w="100" w:type="dxa"/>
              <w:bottom w:w="0" w:type="dxa"/>
              <w:right w:w="100" w:type="dxa"/>
            </w:tcMar>
          </w:tcPr>
          <w:p w14:paraId="3D17C412"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p w14:paraId="53C9A913"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p w14:paraId="7A682321"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p w14:paraId="0818920B"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p w14:paraId="31A75696"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p w14:paraId="7BB180D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155" w:type="dxa"/>
            <w:tcBorders>
              <w:top w:val="nil"/>
              <w:left w:val="nil"/>
              <w:bottom w:val="single" w:sz="6" w:space="0" w:color="000000"/>
              <w:right w:val="nil"/>
            </w:tcBorders>
            <w:shd w:val="clear" w:color="auto" w:fill="auto"/>
            <w:tcMar>
              <w:top w:w="0" w:type="dxa"/>
              <w:left w:w="100" w:type="dxa"/>
              <w:bottom w:w="0" w:type="dxa"/>
              <w:right w:w="100" w:type="dxa"/>
            </w:tcMar>
          </w:tcPr>
          <w:p w14:paraId="63A9D6AF"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059DD22B"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12945FE4"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612F5E01"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713644B2"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9F655ED"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45" w:type="dxa"/>
            <w:tcBorders>
              <w:top w:val="nil"/>
              <w:left w:val="nil"/>
              <w:bottom w:val="single" w:sz="6" w:space="0" w:color="000000"/>
              <w:right w:val="nil"/>
            </w:tcBorders>
            <w:shd w:val="clear" w:color="auto" w:fill="auto"/>
            <w:tcMar>
              <w:top w:w="0" w:type="dxa"/>
              <w:left w:w="100" w:type="dxa"/>
              <w:bottom w:w="0" w:type="dxa"/>
              <w:right w:w="100" w:type="dxa"/>
            </w:tcMar>
          </w:tcPr>
          <w:p w14:paraId="0A4B4948"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27.00</w:t>
            </w:r>
          </w:p>
          <w:p w14:paraId="0546FD04"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27.00</w:t>
            </w:r>
          </w:p>
          <w:p w14:paraId="0F653C3A"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27.00</w:t>
            </w:r>
          </w:p>
          <w:p w14:paraId="39C43245"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p w14:paraId="36C9598F"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24.00</w:t>
            </w:r>
          </w:p>
          <w:p w14:paraId="657D8A47"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22.00</w:t>
            </w:r>
          </w:p>
        </w:tc>
        <w:tc>
          <w:tcPr>
            <w:tcW w:w="1155" w:type="dxa"/>
            <w:tcBorders>
              <w:top w:val="nil"/>
              <w:left w:val="nil"/>
              <w:bottom w:val="single" w:sz="6" w:space="0" w:color="000000"/>
              <w:right w:val="nil"/>
            </w:tcBorders>
            <w:shd w:val="clear" w:color="auto" w:fill="auto"/>
            <w:tcMar>
              <w:top w:w="0" w:type="dxa"/>
              <w:left w:w="100" w:type="dxa"/>
              <w:bottom w:w="0" w:type="dxa"/>
              <w:right w:w="100" w:type="dxa"/>
            </w:tcMar>
          </w:tcPr>
          <w:p w14:paraId="1C2EC300"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48FB9E7B"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77FBB976"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0F06C979"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126BE620"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06811D2"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70" w:type="dxa"/>
            <w:tcBorders>
              <w:top w:val="nil"/>
              <w:left w:val="nil"/>
              <w:bottom w:val="single" w:sz="6" w:space="0" w:color="000000"/>
              <w:right w:val="nil"/>
            </w:tcBorders>
            <w:shd w:val="clear" w:color="auto" w:fill="auto"/>
            <w:tcMar>
              <w:top w:w="0" w:type="dxa"/>
              <w:left w:w="100" w:type="dxa"/>
              <w:bottom w:w="0" w:type="dxa"/>
              <w:right w:w="100" w:type="dxa"/>
            </w:tcMar>
          </w:tcPr>
          <w:p w14:paraId="438087F8" w14:textId="77777777" w:rsidR="007B5D6A"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Bajo</w:t>
            </w:r>
          </w:p>
        </w:tc>
      </w:tr>
    </w:tbl>
    <w:p w14:paraId="06A789E3" w14:textId="77777777" w:rsidR="007B5D6A"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Nota. </w:t>
      </w:r>
      <w:r>
        <w:rPr>
          <w:rFonts w:ascii="Times New Roman" w:eastAsia="Times New Roman" w:hAnsi="Times New Roman" w:cs="Times New Roman"/>
          <w:sz w:val="24"/>
          <w:szCs w:val="24"/>
        </w:rPr>
        <w:t>F1: Dimensión Externa; F2:Dimensión Interna; F3: Dimensión General; PD: Puntaje directo; PC: Percentil</w:t>
      </w:r>
    </w:p>
    <w:p w14:paraId="6461772B" w14:textId="77777777" w:rsidR="007B5D6A" w:rsidRDefault="00000000" w:rsidP="00651349">
      <w:pPr>
        <w:spacing w:before="240" w:after="240" w:line="36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la tabla 5, se observan los baremos construidos a partir de la aplicación del instrumento a una muestra de 400 participantes. Se evidencian 3 categorías se puede observar que los estudiantes que obtengan puntajes entre 34 a 41 obtendrá nivel Alto, en tanto que los alumnos que puntúan entre 28 a 33 obtendrán un rango Medio y finalmente los que puntúan entre 22 a 27 obtendrán un nivel bajo de Adaptación Social.  Se realizó de forma general, puesto que no se hallaron diferencias significativas según sexo.</w:t>
      </w:r>
    </w:p>
    <w:p w14:paraId="0A25A52F" w14:textId="77777777" w:rsidR="007B5D6A" w:rsidRDefault="00000000">
      <w:pPr>
        <w:pStyle w:val="Ttulo1"/>
        <w:keepNext w:val="0"/>
        <w:keepLines w:val="0"/>
        <w:spacing w:before="480" w:line="360" w:lineRule="auto"/>
        <w:jc w:val="both"/>
        <w:rPr>
          <w:rFonts w:ascii="Times New Roman" w:eastAsia="Times New Roman" w:hAnsi="Times New Roman" w:cs="Times New Roman"/>
          <w:b/>
          <w:sz w:val="24"/>
          <w:szCs w:val="24"/>
          <w:highlight w:val="white"/>
        </w:rPr>
      </w:pPr>
      <w:bookmarkStart w:id="0" w:name="_60b4hno20q3" w:colFirst="0" w:colLast="0"/>
      <w:bookmarkEnd w:id="0"/>
      <w:r>
        <w:rPr>
          <w:rFonts w:ascii="Times New Roman" w:eastAsia="Times New Roman" w:hAnsi="Times New Roman" w:cs="Times New Roman"/>
          <w:b/>
          <w:sz w:val="24"/>
          <w:szCs w:val="24"/>
          <w:highlight w:val="white"/>
        </w:rPr>
        <w:t>DISCUSIÓN</w:t>
      </w:r>
    </w:p>
    <w:p w14:paraId="7E569C21" w14:textId="77777777" w:rsidR="00A64675" w:rsidRPr="00A64675" w:rsidRDefault="00A64675" w:rsidP="00A64675">
      <w:pPr>
        <w:tabs>
          <w:tab w:val="left" w:pos="4018"/>
        </w:tabs>
        <w:spacing w:before="240" w:after="240" w:line="360" w:lineRule="auto"/>
        <w:jc w:val="both"/>
        <w:rPr>
          <w:rFonts w:ascii="Times New Roman" w:eastAsia="Times New Roman" w:hAnsi="Times New Roman" w:cs="Times New Roman"/>
          <w:sz w:val="24"/>
          <w:szCs w:val="24"/>
          <w:highlight w:val="white"/>
          <w:lang w:val="es-PE"/>
        </w:rPr>
      </w:pPr>
      <w:r w:rsidRPr="00A64675">
        <w:rPr>
          <w:rFonts w:ascii="Times New Roman" w:eastAsia="Times New Roman" w:hAnsi="Times New Roman" w:cs="Times New Roman"/>
          <w:sz w:val="24"/>
          <w:szCs w:val="24"/>
          <w:highlight w:val="white"/>
          <w:lang w:val="es-PE"/>
        </w:rPr>
        <w:t>La investigación planteó la construcción y evidencias psicométricas de la escala de adaptación social en estudiantes del nivel secundario de la ciudad de Piura - 2025. </w:t>
      </w:r>
    </w:p>
    <w:p w14:paraId="5BB0A1C9" w14:textId="77777777" w:rsidR="00A64675" w:rsidRPr="00A64675" w:rsidRDefault="00A64675" w:rsidP="00A64675">
      <w:pPr>
        <w:tabs>
          <w:tab w:val="left" w:pos="4018"/>
        </w:tabs>
        <w:spacing w:before="240" w:after="240" w:line="360" w:lineRule="auto"/>
        <w:jc w:val="both"/>
        <w:rPr>
          <w:rFonts w:ascii="Times New Roman" w:eastAsia="Times New Roman" w:hAnsi="Times New Roman" w:cs="Times New Roman"/>
          <w:sz w:val="24"/>
          <w:szCs w:val="24"/>
          <w:highlight w:val="white"/>
          <w:lang w:val="es-PE"/>
        </w:rPr>
      </w:pPr>
      <w:r w:rsidRPr="00A64675">
        <w:rPr>
          <w:rFonts w:ascii="Times New Roman" w:eastAsia="Times New Roman" w:hAnsi="Times New Roman" w:cs="Times New Roman"/>
          <w:sz w:val="24"/>
          <w:szCs w:val="24"/>
          <w:highlight w:val="white"/>
          <w:lang w:val="es-PE"/>
        </w:rPr>
        <w:t xml:space="preserve">Con el objetivo de proporcionar evidencia de validez de contenido usando criterios de expertos del Cuestionario de Adaptación Social en estudiantes del del nivel secundario de la ciudad de Piura, los resultados reflejaron que los ítems evaluados por 7 jueces expertos y procesados por el programa V de Aiken, alcanzaron valores de 0.95 y 1.00, considerados aceptables y también son indicativos de su relación con el constructo en cuestión, asimismo, considerando los IC 95%, la mayoría de los ítems del instrumento tienen valores de V de Aiken de 1.00, visualizándose adecuados índices de validez de contenido. De acuerdo con Merino y Livia (2009) se considera que los ítems con valores de V de Aiken iguales o superiores a 0.70 son aceptables. Del mismo modo, estos resultados son similares a lo encontrado por Bustamante y </w:t>
      </w:r>
      <w:r w:rsidRPr="00A64675">
        <w:rPr>
          <w:rFonts w:ascii="Times New Roman" w:eastAsia="Times New Roman" w:hAnsi="Times New Roman" w:cs="Times New Roman"/>
          <w:sz w:val="24"/>
          <w:szCs w:val="24"/>
          <w:highlight w:val="white"/>
          <w:lang w:val="es-PE"/>
        </w:rPr>
        <w:lastRenderedPageBreak/>
        <w:t>Charrez (2023) quienes, al procesar unos datos con V de Aiken, obtuvieron como validez de contenido 0.98 en la Escala de Habilidades Sociales. Analizando los resultados, podemos ver que el instrumento contiene ítems pertinentes, coherentes y claros, lo que indica que el instrumento es válido en términos de contenido para medir la adaptación social en estudiantes de nivel secundario en la ciudad de Piura.</w:t>
      </w:r>
    </w:p>
    <w:p w14:paraId="223B8958" w14:textId="77777777" w:rsidR="00A64675" w:rsidRPr="00A64675" w:rsidRDefault="00A64675" w:rsidP="00A64675">
      <w:pPr>
        <w:tabs>
          <w:tab w:val="left" w:pos="4018"/>
        </w:tabs>
        <w:spacing w:before="240" w:after="240" w:line="360" w:lineRule="auto"/>
        <w:jc w:val="both"/>
        <w:rPr>
          <w:rFonts w:ascii="Times New Roman" w:eastAsia="Times New Roman" w:hAnsi="Times New Roman" w:cs="Times New Roman"/>
          <w:sz w:val="24"/>
          <w:szCs w:val="24"/>
          <w:highlight w:val="white"/>
          <w:lang w:val="es-PE"/>
        </w:rPr>
      </w:pPr>
      <w:r w:rsidRPr="00A64675">
        <w:rPr>
          <w:rFonts w:ascii="Times New Roman" w:eastAsia="Times New Roman" w:hAnsi="Times New Roman" w:cs="Times New Roman"/>
          <w:sz w:val="24"/>
          <w:szCs w:val="24"/>
          <w:highlight w:val="white"/>
          <w:lang w:val="es-PE"/>
        </w:rPr>
        <w:t xml:space="preserve">Con el objetivo de reportar evidencia de validez de composición usando análisis factorial exploratorio y confirmatorio del Cuestionario de Adaptación Social en estudiantes del del nivel secundario de la ciudad de Piura, los resultados reflejaron que al someter los 24 ítems del instrumento a este análisis, se eliminaron 15 de ellos por no superar mínimamente una carga de .40 y aquellos que se ubicaban en más de un factor ;además, se decidió suprimir los ítems que mostraron similitudes en su construcción semántica; distribuyendo los ítems finales en 2 factores con una varianza total explicada de 46.7%. Asimismo, la prueba de KMO y Esfericidad de Bartlett arrojaron resultados adecuados (KMO = .89; p &lt; .001). A su vez, las medidas de bondad de ajuste obtenidas son las siguientes índices: </w:t>
      </w:r>
      <w:r w:rsidRPr="00A64675">
        <w:rPr>
          <w:rFonts w:ascii="Times New Roman" w:eastAsia="Times New Roman" w:hAnsi="Times New Roman" w:cs="Times New Roman"/>
          <w:sz w:val="24"/>
          <w:szCs w:val="24"/>
          <w:highlight w:val="white"/>
          <w:vertAlign w:val="subscript"/>
          <w:lang w:val="es-PE"/>
        </w:rPr>
        <w:t>X</w:t>
      </w:r>
      <w:r w:rsidRPr="00A64675">
        <w:rPr>
          <w:rFonts w:ascii="Times New Roman" w:eastAsia="Times New Roman" w:hAnsi="Times New Roman" w:cs="Times New Roman"/>
          <w:sz w:val="24"/>
          <w:szCs w:val="24"/>
          <w:highlight w:val="white"/>
          <w:vertAlign w:val="superscript"/>
          <w:lang w:val="es-PE"/>
        </w:rPr>
        <w:t>2</w:t>
      </w:r>
      <w:r w:rsidRPr="00A64675">
        <w:rPr>
          <w:rFonts w:ascii="Times New Roman" w:eastAsia="Times New Roman" w:hAnsi="Times New Roman" w:cs="Times New Roman"/>
          <w:sz w:val="24"/>
          <w:szCs w:val="24"/>
          <w:highlight w:val="white"/>
          <w:lang w:val="es-PE"/>
        </w:rPr>
        <w:t xml:space="preserve">/gl = 2; CFI = .99; TLI = .99; RMSEA = .05; SRMR = .04. Lo cual demuestra que el modelo de 2 factores de la escala de adaptación social ajusta de forma pertinente conteniendo 9 ítems en total, siendo un resultado satisfactorio. Además, Rojas (2020) refiere que los índices de bondad de ajuste son importantes en la investigación y análisis de datos porque permiten evaluar qué tan bien un modelo teórico se ajusta a los datos observados. Estos índices proporcionan una medida cuantitativa de la calidad del ajuste del modelo, lo que es crucial para validar la validez y fiabilidad de los resultados obtenidos. Estos resultados también son respaldados por Lloret et al. (2014) quienes recomiendan que los ítems &lt;.40 deben ser evaluados y pueden ser eliminados, revisados o reemplazados por nuevos ítems, asimismo, se debe realizar un nuevo análisis factorial con la escala reducida después de cada eliminación de ítems. De igual manera, Blum et al. (2013) manifiesta que el psicómetra tiene la opción de eliminar ciertos ítems del instrumento basándose si se ubican en más de un factor. En relación con las medidas de bondad Jordan (2021) indica que los valores mínimos aceptados son X2/gl&lt; 3, p&gt;.05; CFI (índice de ajuste comparativo) ≥.95; TLI (índice de Tucker-Lewis) ≥.90 (adecuado) ≥ .95 (óptimo); RMSEA (error cuadrático medio de aproximación) ≤.08 aceptable) y ≤.05 (óptimo); SRMR (raíz del residuo estandarizado medio) ≤.08 (aceptable) y ≤.05 (óptimo).  De manera similar Quintana (2014) quién al aplicar el análisis factorial confirmatorio a unos datos de una muestra de la ciudad de Trujillo con la Escala de Habilidades Sociales, efectúo la eliminación de ciertos ítems por presentar cargas factoriales &lt;30, distribuyéndose los ítems finales en 6 factores, y los </w:t>
      </w:r>
      <w:r w:rsidRPr="00A64675">
        <w:rPr>
          <w:rFonts w:ascii="Times New Roman" w:eastAsia="Times New Roman" w:hAnsi="Times New Roman" w:cs="Times New Roman"/>
          <w:sz w:val="24"/>
          <w:szCs w:val="24"/>
          <w:highlight w:val="white"/>
          <w:lang w:val="es-PE"/>
        </w:rPr>
        <w:lastRenderedPageBreak/>
        <w:t xml:space="preserve">índices de ajuste de bondad obtenidos son los siguientes </w:t>
      </w:r>
      <w:r w:rsidRPr="00A64675">
        <w:rPr>
          <w:rFonts w:ascii="Times New Roman" w:eastAsia="Times New Roman" w:hAnsi="Times New Roman" w:cs="Times New Roman"/>
          <w:sz w:val="24"/>
          <w:szCs w:val="24"/>
          <w:highlight w:val="white"/>
          <w:vertAlign w:val="subscript"/>
          <w:lang w:val="es-PE"/>
        </w:rPr>
        <w:t>X</w:t>
      </w:r>
      <w:r w:rsidRPr="00A64675">
        <w:rPr>
          <w:rFonts w:ascii="Times New Roman" w:eastAsia="Times New Roman" w:hAnsi="Times New Roman" w:cs="Times New Roman"/>
          <w:sz w:val="24"/>
          <w:szCs w:val="24"/>
          <w:highlight w:val="white"/>
          <w:vertAlign w:val="superscript"/>
          <w:lang w:val="es-PE"/>
        </w:rPr>
        <w:t>2</w:t>
      </w:r>
      <w:r w:rsidRPr="00A64675">
        <w:rPr>
          <w:rFonts w:ascii="Times New Roman" w:eastAsia="Times New Roman" w:hAnsi="Times New Roman" w:cs="Times New Roman"/>
          <w:sz w:val="24"/>
          <w:szCs w:val="24"/>
          <w:highlight w:val="white"/>
          <w:lang w:val="es-PE"/>
        </w:rPr>
        <w:t>/gl = 1; CFI = .88; TLI = .83; RMSEA = .03; SRMR = .072. Analizando los resultados, podemos ver la eliminación de algunos ítems era pertinente para obtener una escala con una menor cantidad de ítems, lo que la hace más accesible para un estudio y que el modelo del instrumento presenta un ajuste adecuado y los ítems correspondientes a cada factor exhiben una buena consistencia en el contexto para medir la adaptación social en Piura.Con el objetivo de hallar la confiabilidad por coeficiente Omega y Alfa Ordinal del Cuestionario de Adaptación Social en estudiantes del del nivel secundario de la ciudad de Piura, los resultados reflejaron que a nivel general y por dimensiones sus puntajes son altos, siendo el coeficiente de confiabilidad total 0.87, asimismo, en la dimensión externa obtuvo un 0.84 y en la dimensión interna se obtuvo un 0.81, esto quiere decir que el instrumento es consistente en el tiempo y está dentro de los valores aceptables de confiabilidad. Estos resultados son respaldados por Campos y Oviedo (2008) quienes manifiestan que para determinar la confiabilidad de un valor utilizando el coeficiente omega, se considera aceptable que esté en el rango de .70 a .90. Sin embargo, Katz (2006) indica que, en ciertas circunstancias, valores superiores a .65 también pueden ser aceptados. De igual forma, estos resultados son similares a lo encontrado por Girón (2018) quién al aplicar el coeficiente Alfa de Cronbach a unos datos de una muestra de la ciudad de Piura obtuvo como puntaje total de Adaptación de Conducta de 0.87, en la dimensión Personal obtuvo un 0.81, en la dimensión Familiar obtuvo un 0.85, en la dimensión escolar obtuvo un 0.89 y en la dimensión Social obtuvo un 0.79. Analizando los resultados, podemos ver que el instrumento es estable en sus cálculos, lo que nos indica que denota confiabilidad y consistencia para medir la adaptación social en la ciudad de Piura.</w:t>
      </w:r>
    </w:p>
    <w:p w14:paraId="6110A8F8" w14:textId="77777777" w:rsidR="00A64675" w:rsidRPr="00A64675" w:rsidRDefault="00A64675" w:rsidP="00A64675">
      <w:pPr>
        <w:tabs>
          <w:tab w:val="left" w:pos="4018"/>
        </w:tabs>
        <w:spacing w:before="240" w:after="240" w:line="360" w:lineRule="auto"/>
        <w:jc w:val="both"/>
        <w:rPr>
          <w:rFonts w:ascii="Times New Roman" w:eastAsia="Times New Roman" w:hAnsi="Times New Roman" w:cs="Times New Roman"/>
          <w:sz w:val="24"/>
          <w:szCs w:val="24"/>
          <w:highlight w:val="white"/>
          <w:lang w:val="es-PE"/>
        </w:rPr>
      </w:pPr>
      <w:r w:rsidRPr="00A64675">
        <w:rPr>
          <w:rFonts w:ascii="Times New Roman" w:eastAsia="Times New Roman" w:hAnsi="Times New Roman" w:cs="Times New Roman"/>
          <w:sz w:val="24"/>
          <w:szCs w:val="24"/>
          <w:highlight w:val="white"/>
          <w:lang w:val="es-PE"/>
        </w:rPr>
        <w:t xml:space="preserve">Con el objetivo de establecer las normas percentilares del Cuestionario de Adaptación Social en estudiantes del del nivel secundario de la ciudad de Piura, los resultados reflejaron que se establecieron baremos en percentiles para ambos sexos, de forma general, puesto que no se hallaron diferencias significativas según sexo, los baremos fueron ubicados en 3 categorías, los estudiantes que obtengan puntajes entre 34 a 41 obtendrán un nivel Alto, los que puntúan entre 28 a 33 obtendrán un rango Medio y finalmente los que puntúan entre 22 a 27 obtendrán un nivel bajo de Adaptación Social, . Estos resultados son similares a la investigación de García (2016) quién mediante la construcción del Inventario de Adaptación de Conducta, en una muestra en la ciudad de Huamachuco instauró baremos según género para la Categoría Personal y Familiar, en dicho caso existieron discrepancias significativas; no obstante, para las categorías de Escolar, Social y Global se instauró baremos para ambos sexos, de manera </w:t>
      </w:r>
      <w:r w:rsidRPr="00A64675">
        <w:rPr>
          <w:rFonts w:ascii="Times New Roman" w:eastAsia="Times New Roman" w:hAnsi="Times New Roman" w:cs="Times New Roman"/>
          <w:sz w:val="24"/>
          <w:szCs w:val="24"/>
          <w:highlight w:val="white"/>
          <w:lang w:val="es-PE"/>
        </w:rPr>
        <w:lastRenderedPageBreak/>
        <w:t>general. Analizando los resultados, podemos ver que el instrumento es válido y se han establecido normas percentilares en el Cuestionario de Adaptación Social para estudiantes de nivel secundario en la ciudad de Piura. Aunque se encontraron diferencias significativas según el género en algunas categorías en investigaciones previas, en este estudio se optó por establecer baremos de forma general.</w:t>
      </w:r>
    </w:p>
    <w:p w14:paraId="77C36EB2" w14:textId="77777777" w:rsidR="00A64675" w:rsidRDefault="00A64675" w:rsidP="00D935A2">
      <w:pPr>
        <w:tabs>
          <w:tab w:val="left" w:pos="4018"/>
        </w:tabs>
        <w:spacing w:before="240" w:after="240" w:line="360" w:lineRule="auto"/>
        <w:jc w:val="both"/>
        <w:rPr>
          <w:rFonts w:ascii="Times New Roman" w:eastAsia="Times New Roman" w:hAnsi="Times New Roman" w:cs="Times New Roman"/>
          <w:sz w:val="24"/>
          <w:szCs w:val="24"/>
          <w:highlight w:val="white"/>
        </w:rPr>
      </w:pPr>
    </w:p>
    <w:p w14:paraId="1ED33FF7" w14:textId="6D7334F4" w:rsidR="007B5D6A" w:rsidRPr="00D935A2" w:rsidRDefault="00000000" w:rsidP="00D935A2">
      <w:pPr>
        <w:tabs>
          <w:tab w:val="left" w:pos="4018"/>
        </w:tabs>
        <w:spacing w:before="240" w:after="240" w:line="360" w:lineRule="auto"/>
        <w:jc w:val="both"/>
        <w:rPr>
          <w:rFonts w:ascii="Times New Roman" w:eastAsia="Times New Roman" w:hAnsi="Times New Roman" w:cs="Times New Roman"/>
          <w:b/>
          <w:bCs/>
          <w:sz w:val="24"/>
          <w:szCs w:val="24"/>
          <w:highlight w:val="white"/>
        </w:rPr>
      </w:pPr>
      <w:r w:rsidRPr="00D935A2">
        <w:rPr>
          <w:rFonts w:ascii="Times New Roman" w:eastAsia="Times New Roman" w:hAnsi="Times New Roman" w:cs="Times New Roman"/>
          <w:b/>
          <w:bCs/>
          <w:sz w:val="24"/>
          <w:szCs w:val="24"/>
          <w:highlight w:val="white"/>
        </w:rPr>
        <w:t>CONCLUSIONES</w:t>
      </w:r>
    </w:p>
    <w:p w14:paraId="2949A8F8" w14:textId="77777777" w:rsidR="007B5D6A" w:rsidRPr="00D935A2" w:rsidRDefault="00000000" w:rsidP="00D935A2">
      <w:pPr>
        <w:tabs>
          <w:tab w:val="left" w:pos="4018"/>
        </w:tabs>
        <w:spacing w:before="240" w:after="240" w:line="360" w:lineRule="auto"/>
        <w:jc w:val="both"/>
        <w:rPr>
          <w:rFonts w:ascii="Times New Roman" w:eastAsia="Times New Roman" w:hAnsi="Times New Roman" w:cs="Times New Roman"/>
          <w:sz w:val="24"/>
          <w:szCs w:val="24"/>
          <w:highlight w:val="white"/>
        </w:rPr>
      </w:pPr>
      <w:r w:rsidRPr="00D935A2">
        <w:rPr>
          <w:rFonts w:ascii="Times New Roman" w:eastAsia="Times New Roman" w:hAnsi="Times New Roman" w:cs="Times New Roman"/>
          <w:sz w:val="24"/>
          <w:szCs w:val="24"/>
          <w:highlight w:val="white"/>
        </w:rPr>
        <w:t>En este estudio se logró desarrollar la escala de adaptación social para estudiantes de nivel secundario en la ciudad de Piura en 2025, y se presentaron evidencias psicométricas correspondientes.</w:t>
      </w:r>
      <w:r w:rsidRPr="00D935A2">
        <w:rPr>
          <w:rFonts w:ascii="Times New Roman" w:eastAsia="Times New Roman" w:hAnsi="Times New Roman" w:cs="Times New Roman"/>
          <w:sz w:val="24"/>
          <w:szCs w:val="24"/>
          <w:highlight w:val="white"/>
        </w:rPr>
        <w:br/>
        <w:t>En relación con la validez de contenido, mediante la evaluación de 7 expertos y utilizando el índice V de Aiken, los ítems alcanzaron valores de 0.95 a 1.00, lo que indica que son apropiados.</w:t>
      </w:r>
      <w:r w:rsidRPr="00D935A2">
        <w:rPr>
          <w:rFonts w:ascii="Times New Roman" w:eastAsia="Times New Roman" w:hAnsi="Times New Roman" w:cs="Times New Roman"/>
          <w:sz w:val="24"/>
          <w:szCs w:val="24"/>
          <w:highlight w:val="white"/>
        </w:rPr>
        <w:br/>
        <w:t>Respecto a la validez de composición, a través de un análisis factorial exploratorio y confirmatorio, se redujo el instrumento de 24 a 9 ítems, distribuidos en 2 factores, con una varianza total explicada de 46.7%. Los resultados obtenidos en la prueba de KMO y Esfericidad de Bartlett fueron adecuados (KMO = .89; p &lt; .001), y los índices de ajuste: X2/gl = 2; CFI = .99; TLI = .99; RMSEA = .05; SRMR = .04, fueron satisfactorios.</w:t>
      </w:r>
      <w:r w:rsidRPr="00D935A2">
        <w:rPr>
          <w:rFonts w:ascii="Times New Roman" w:eastAsia="Times New Roman" w:hAnsi="Times New Roman" w:cs="Times New Roman"/>
          <w:sz w:val="24"/>
          <w:szCs w:val="24"/>
          <w:highlight w:val="white"/>
        </w:rPr>
        <w:br/>
        <w:t>En términos de confiabilidad, se obtuvieron puntajes adecuados, tanto globalmente (α = .87; ω = .89) como en las dimensiones específicas, con α = .84; ω = .81 para la dimensión externa, y α = .81; ω = .77 para la dimensión interna.</w:t>
      </w:r>
    </w:p>
    <w:p w14:paraId="09E3FB74" w14:textId="77777777" w:rsidR="007B5D6A" w:rsidRPr="00D935A2" w:rsidRDefault="00000000" w:rsidP="00D935A2">
      <w:pPr>
        <w:tabs>
          <w:tab w:val="left" w:pos="4018"/>
        </w:tabs>
        <w:spacing w:before="240" w:after="240" w:line="360" w:lineRule="auto"/>
        <w:jc w:val="both"/>
        <w:rPr>
          <w:rFonts w:ascii="Times New Roman" w:eastAsia="Times New Roman" w:hAnsi="Times New Roman" w:cs="Times New Roman"/>
          <w:sz w:val="24"/>
          <w:szCs w:val="24"/>
          <w:highlight w:val="white"/>
        </w:rPr>
      </w:pPr>
      <w:r w:rsidRPr="00D935A2">
        <w:rPr>
          <w:rFonts w:ascii="Times New Roman" w:eastAsia="Times New Roman" w:hAnsi="Times New Roman" w:cs="Times New Roman"/>
          <w:sz w:val="24"/>
          <w:szCs w:val="24"/>
          <w:highlight w:val="white"/>
        </w:rPr>
        <w:t>Para las normas percentilares, se establecieron tres categorías: un nivel Alto para estudiantes con puntajes entre 34 y 41, un nivel Medio para aquellos que puntúan entre 28 y 33, y un nivel Bajo para los que obtienen entre 22 y 27 en la Adaptación Social.</w:t>
      </w:r>
    </w:p>
    <w:p w14:paraId="0A323DF4" w14:textId="77777777" w:rsidR="007B5D6A" w:rsidRDefault="00000000">
      <w:pPr>
        <w:pStyle w:val="Ttulo1"/>
        <w:keepNext w:val="0"/>
        <w:keepLines w:val="0"/>
        <w:spacing w:before="480" w:line="360" w:lineRule="auto"/>
        <w:jc w:val="both"/>
        <w:rPr>
          <w:rFonts w:ascii="Times New Roman" w:eastAsia="Times New Roman" w:hAnsi="Times New Roman" w:cs="Times New Roman"/>
          <w:b/>
          <w:sz w:val="24"/>
          <w:szCs w:val="24"/>
          <w:highlight w:val="white"/>
        </w:rPr>
      </w:pPr>
      <w:bookmarkStart w:id="1" w:name="_tk52bl6eg53" w:colFirst="0" w:colLast="0"/>
      <w:bookmarkEnd w:id="1"/>
      <w:r>
        <w:rPr>
          <w:rFonts w:ascii="Times New Roman" w:eastAsia="Times New Roman" w:hAnsi="Times New Roman" w:cs="Times New Roman"/>
          <w:b/>
          <w:sz w:val="24"/>
          <w:szCs w:val="24"/>
          <w:highlight w:val="white"/>
        </w:rPr>
        <w:t>REFERENCIAS</w:t>
      </w:r>
    </w:p>
    <w:p w14:paraId="447F5E95"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Aiken, L. (1985). Three Coeficients for Analyzing the Reliability and Validity of Ralings. </w:t>
      </w:r>
      <w:r>
        <w:rPr>
          <w:rFonts w:ascii="Times New Roman" w:eastAsia="Times New Roman" w:hAnsi="Times New Roman" w:cs="Times New Roman"/>
          <w:i/>
          <w:sz w:val="24"/>
          <w:szCs w:val="24"/>
          <w:highlight w:val="white"/>
        </w:rPr>
        <w:t>Educatlonai and Psychologjcal Measurement 45</w:t>
      </w:r>
      <w:r>
        <w:rPr>
          <w:rFonts w:ascii="Times New Roman" w:eastAsia="Times New Roman" w:hAnsi="Times New Roman" w:cs="Times New Roman"/>
          <w:sz w:val="24"/>
          <w:szCs w:val="24"/>
          <w:highlight w:val="white"/>
        </w:rPr>
        <w:t>, 131-142.</w:t>
      </w:r>
    </w:p>
    <w:p w14:paraId="655C42A8"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lastRenderedPageBreak/>
        <w:t xml:space="preserve">Blum, S., Ahumada, C., Silvia, G.&amp; Attorres, H. (2013). Criterios para la eliminación de ítems de un Test de Analogías Figurales. </w:t>
      </w:r>
      <w:r>
        <w:rPr>
          <w:rFonts w:ascii="Times New Roman" w:eastAsia="Times New Roman" w:hAnsi="Times New Roman" w:cs="Times New Roman"/>
          <w:i/>
          <w:sz w:val="24"/>
          <w:szCs w:val="24"/>
          <w:highlight w:val="white"/>
        </w:rPr>
        <w:t>Summa psicológica, 10</w:t>
      </w:r>
      <w:r>
        <w:rPr>
          <w:rFonts w:ascii="Times New Roman" w:eastAsia="Times New Roman" w:hAnsi="Times New Roman" w:cs="Times New Roman"/>
          <w:sz w:val="24"/>
          <w:szCs w:val="24"/>
          <w:highlight w:val="white"/>
        </w:rPr>
        <w:t>(2).</w:t>
      </w:r>
      <w:hyperlink r:id="rId5">
        <w:r w:rsidR="007B5D6A">
          <w:rPr>
            <w:rFonts w:ascii="Times New Roman" w:eastAsia="Times New Roman" w:hAnsi="Times New Roman" w:cs="Times New Roman"/>
            <w:sz w:val="24"/>
            <w:szCs w:val="24"/>
            <w:highlight w:val="white"/>
          </w:rPr>
          <w:t xml:space="preserve"> </w:t>
        </w:r>
      </w:hyperlink>
      <w:hyperlink r:id="rId6">
        <w:r w:rsidR="007B5D6A">
          <w:rPr>
            <w:rFonts w:ascii="Times New Roman" w:eastAsia="Times New Roman" w:hAnsi="Times New Roman" w:cs="Times New Roman"/>
            <w:color w:val="0563C1"/>
            <w:sz w:val="24"/>
            <w:szCs w:val="24"/>
            <w:highlight w:val="white"/>
            <w:u w:val="single"/>
          </w:rPr>
          <w:t>http://pepsic.bvsalud.org/scielo.php?script=sci_arttext&amp;pid=S0719-448x2013000200005</w:t>
        </w:r>
      </w:hyperlink>
    </w:p>
    <w:p w14:paraId="1F7620A4"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Bustamante, A. &amp; Charrez, A. (2023). </w:t>
      </w:r>
      <w:r>
        <w:rPr>
          <w:rFonts w:ascii="Times New Roman" w:eastAsia="Times New Roman" w:hAnsi="Times New Roman" w:cs="Times New Roman"/>
          <w:i/>
          <w:sz w:val="24"/>
          <w:szCs w:val="24"/>
          <w:highlight w:val="white"/>
        </w:rPr>
        <w:t>Propiedades psicométricas de la escala de habilidades sociales (EHS) en adolescentes escolarizados de Lima Metropolitana, 2022.</w:t>
      </w:r>
      <w:r>
        <w:rPr>
          <w:rFonts w:ascii="Times New Roman" w:eastAsia="Times New Roman" w:hAnsi="Times New Roman" w:cs="Times New Roman"/>
          <w:sz w:val="24"/>
          <w:szCs w:val="24"/>
          <w:highlight w:val="white"/>
        </w:rPr>
        <w:t xml:space="preserve"> [Tesis de licenciatura, Universidad César Vallejo]. Repositorio Institucional: Universidad Cesar Vallejo.</w:t>
      </w:r>
      <w:hyperlink r:id="rId7">
        <w:r w:rsidR="007B5D6A">
          <w:rPr>
            <w:rFonts w:ascii="Times New Roman" w:eastAsia="Times New Roman" w:hAnsi="Times New Roman" w:cs="Times New Roman"/>
            <w:sz w:val="24"/>
            <w:szCs w:val="24"/>
            <w:highlight w:val="white"/>
          </w:rPr>
          <w:t xml:space="preserve"> </w:t>
        </w:r>
      </w:hyperlink>
      <w:hyperlink r:id="rId8">
        <w:r w:rsidR="007B5D6A">
          <w:rPr>
            <w:rFonts w:ascii="Times New Roman" w:eastAsia="Times New Roman" w:hAnsi="Times New Roman" w:cs="Times New Roman"/>
            <w:color w:val="0563C1"/>
            <w:sz w:val="24"/>
            <w:szCs w:val="24"/>
            <w:highlight w:val="white"/>
            <w:u w:val="single"/>
          </w:rPr>
          <w:t>https://repositorio.ucv.edu.pe/handle/20.500.12692/109278</w:t>
        </w:r>
      </w:hyperlink>
    </w:p>
    <w:p w14:paraId="11CF05DA"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Campos, A., &amp; Oviedo, H. (2008). Propiedades psicométricas de una escala: la consistencia interna. </w:t>
      </w:r>
      <w:r>
        <w:rPr>
          <w:rFonts w:ascii="Times New Roman" w:eastAsia="Times New Roman" w:hAnsi="Times New Roman" w:cs="Times New Roman"/>
          <w:i/>
          <w:sz w:val="24"/>
          <w:szCs w:val="24"/>
          <w:highlight w:val="white"/>
        </w:rPr>
        <w:t>Revista de Salud Pública, 10</w:t>
      </w:r>
      <w:r>
        <w:rPr>
          <w:rFonts w:ascii="Times New Roman" w:eastAsia="Times New Roman" w:hAnsi="Times New Roman" w:cs="Times New Roman"/>
          <w:sz w:val="24"/>
          <w:szCs w:val="24"/>
          <w:highlight w:val="white"/>
        </w:rPr>
        <w:t xml:space="preserve"> (5), pp. 831-839.</w:t>
      </w:r>
      <w:hyperlink r:id="rId9">
        <w:r w:rsidR="007B5D6A">
          <w:rPr>
            <w:rFonts w:ascii="Times New Roman" w:eastAsia="Times New Roman" w:hAnsi="Times New Roman" w:cs="Times New Roman"/>
            <w:sz w:val="24"/>
            <w:szCs w:val="24"/>
            <w:highlight w:val="white"/>
          </w:rPr>
          <w:t xml:space="preserve"> </w:t>
        </w:r>
      </w:hyperlink>
      <w:hyperlink r:id="rId10">
        <w:r w:rsidR="007B5D6A">
          <w:rPr>
            <w:rFonts w:ascii="Times New Roman" w:eastAsia="Times New Roman" w:hAnsi="Times New Roman" w:cs="Times New Roman"/>
            <w:color w:val="0563C1"/>
            <w:sz w:val="24"/>
            <w:szCs w:val="24"/>
            <w:highlight w:val="white"/>
            <w:u w:val="single"/>
          </w:rPr>
          <w:t>https://www.redalyc.org/pdf/422/42210515.pdf</w:t>
        </w:r>
      </w:hyperlink>
    </w:p>
    <w:p w14:paraId="4E20409B"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Carmona, D. (2020). Autonomía e interdependencia. </w:t>
      </w:r>
      <w:r>
        <w:rPr>
          <w:rFonts w:ascii="Times New Roman" w:eastAsia="Times New Roman" w:hAnsi="Times New Roman" w:cs="Times New Roman"/>
          <w:i/>
          <w:sz w:val="24"/>
          <w:szCs w:val="24"/>
          <w:highlight w:val="white"/>
        </w:rPr>
        <w:t>Revista Humanidades, 10</w:t>
      </w:r>
      <w:r>
        <w:rPr>
          <w:rFonts w:ascii="Times New Roman" w:eastAsia="Times New Roman" w:hAnsi="Times New Roman" w:cs="Times New Roman"/>
          <w:sz w:val="24"/>
          <w:szCs w:val="24"/>
          <w:highlight w:val="white"/>
        </w:rPr>
        <w:t xml:space="preserve"> (2), 1 – 18.</w:t>
      </w:r>
      <w:hyperlink r:id="rId11">
        <w:r w:rsidR="007B5D6A">
          <w:rPr>
            <w:rFonts w:ascii="Times New Roman" w:eastAsia="Times New Roman" w:hAnsi="Times New Roman" w:cs="Times New Roman"/>
            <w:sz w:val="24"/>
            <w:szCs w:val="24"/>
            <w:highlight w:val="white"/>
          </w:rPr>
          <w:t xml:space="preserve"> </w:t>
        </w:r>
      </w:hyperlink>
      <w:hyperlink r:id="rId12">
        <w:r w:rsidR="007B5D6A">
          <w:rPr>
            <w:rFonts w:ascii="Times New Roman" w:eastAsia="Times New Roman" w:hAnsi="Times New Roman" w:cs="Times New Roman"/>
            <w:color w:val="0563C1"/>
            <w:sz w:val="24"/>
            <w:szCs w:val="24"/>
            <w:highlight w:val="white"/>
            <w:u w:val="single"/>
          </w:rPr>
          <w:t>https://doi.org/10.15517/h.v10i2.41154</w:t>
        </w:r>
      </w:hyperlink>
    </w:p>
    <w:p w14:paraId="465B4DEE"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Clinton, M., Conway, N., Sturges, J. &amp; Hewett, R. (2020). Self-control during daily work activities and work-to-nonwork conflict. </w:t>
      </w:r>
      <w:r>
        <w:rPr>
          <w:rFonts w:ascii="Times New Roman" w:eastAsia="Times New Roman" w:hAnsi="Times New Roman" w:cs="Times New Roman"/>
          <w:i/>
          <w:sz w:val="24"/>
          <w:szCs w:val="24"/>
          <w:highlight w:val="white"/>
        </w:rPr>
        <w:t>Journal of Vocational Behavior, 118</w:t>
      </w:r>
      <w:r>
        <w:rPr>
          <w:rFonts w:ascii="Times New Roman" w:eastAsia="Times New Roman" w:hAnsi="Times New Roman" w:cs="Times New Roman"/>
          <w:sz w:val="24"/>
          <w:szCs w:val="24"/>
          <w:highlight w:val="white"/>
        </w:rPr>
        <w:t>.</w:t>
      </w:r>
      <w:hyperlink r:id="rId13">
        <w:r w:rsidR="007B5D6A">
          <w:rPr>
            <w:rFonts w:ascii="Times New Roman" w:eastAsia="Times New Roman" w:hAnsi="Times New Roman" w:cs="Times New Roman"/>
            <w:sz w:val="24"/>
            <w:szCs w:val="24"/>
            <w:highlight w:val="white"/>
          </w:rPr>
          <w:t xml:space="preserve"> </w:t>
        </w:r>
      </w:hyperlink>
      <w:hyperlink r:id="rId14">
        <w:r w:rsidR="007B5D6A">
          <w:rPr>
            <w:rFonts w:ascii="Times New Roman" w:eastAsia="Times New Roman" w:hAnsi="Times New Roman" w:cs="Times New Roman"/>
            <w:color w:val="0563C1"/>
            <w:sz w:val="24"/>
            <w:szCs w:val="24"/>
            <w:highlight w:val="white"/>
            <w:u w:val="single"/>
          </w:rPr>
          <w:t>https://doi.org/10.1016/j.jvb.2020.103410</w:t>
        </w:r>
      </w:hyperlink>
    </w:p>
    <w:p w14:paraId="37C97236"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yellow"/>
          <w:u w:val="single"/>
        </w:rPr>
      </w:pPr>
      <w:r>
        <w:rPr>
          <w:rFonts w:ascii="Times New Roman" w:eastAsia="Times New Roman" w:hAnsi="Times New Roman" w:cs="Times New Roman"/>
          <w:color w:val="222222"/>
          <w:sz w:val="24"/>
          <w:szCs w:val="24"/>
          <w:highlight w:val="white"/>
        </w:rPr>
        <w:t xml:space="preserve">Costello, A. &amp; Osborne, J. (2005). Best practice in exploraty  factor analysis: Four recommendations for getting the mostfrom your analysis. </w:t>
      </w:r>
      <w:r>
        <w:rPr>
          <w:rFonts w:ascii="Times New Roman" w:eastAsia="Times New Roman" w:hAnsi="Times New Roman" w:cs="Times New Roman"/>
          <w:i/>
          <w:color w:val="222222"/>
          <w:sz w:val="24"/>
          <w:szCs w:val="24"/>
          <w:highlight w:val="white"/>
        </w:rPr>
        <w:t>Research and Evaluation, 10</w:t>
      </w:r>
      <w:r>
        <w:rPr>
          <w:rFonts w:ascii="Times New Roman" w:eastAsia="Times New Roman" w:hAnsi="Times New Roman" w:cs="Times New Roman"/>
          <w:color w:val="222222"/>
          <w:sz w:val="24"/>
          <w:szCs w:val="24"/>
          <w:highlight w:val="white"/>
        </w:rPr>
        <w:t>(7), 1 – 9.</w:t>
      </w:r>
    </w:p>
    <w:p w14:paraId="462F57C9"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Fariña, F., Arce, R. &amp; Novo, M. (2018). </w:t>
      </w:r>
      <w:r>
        <w:rPr>
          <w:rFonts w:ascii="Times New Roman" w:eastAsia="Times New Roman" w:hAnsi="Times New Roman" w:cs="Times New Roman"/>
          <w:i/>
          <w:sz w:val="24"/>
          <w:szCs w:val="24"/>
          <w:highlight w:val="white"/>
        </w:rPr>
        <w:t xml:space="preserve">Psicología Jurídica al servicio del menor. </w:t>
      </w:r>
      <w:r>
        <w:rPr>
          <w:rFonts w:ascii="Times New Roman" w:eastAsia="Times New Roman" w:hAnsi="Times New Roman" w:cs="Times New Roman"/>
          <w:sz w:val="24"/>
          <w:szCs w:val="24"/>
          <w:highlight w:val="white"/>
        </w:rPr>
        <w:t>Xunta de Galicia.</w:t>
      </w:r>
      <w:hyperlink r:id="rId15">
        <w:r w:rsidR="007B5D6A">
          <w:rPr>
            <w:rFonts w:ascii="Times New Roman" w:eastAsia="Times New Roman" w:hAnsi="Times New Roman" w:cs="Times New Roman"/>
            <w:sz w:val="24"/>
            <w:szCs w:val="24"/>
            <w:highlight w:val="white"/>
          </w:rPr>
          <w:t xml:space="preserve"> </w:t>
        </w:r>
      </w:hyperlink>
      <w:hyperlink r:id="rId16">
        <w:r w:rsidR="007B5D6A">
          <w:rPr>
            <w:rFonts w:ascii="Times New Roman" w:eastAsia="Times New Roman" w:hAnsi="Times New Roman" w:cs="Times New Roman"/>
            <w:color w:val="0563C1"/>
            <w:sz w:val="24"/>
            <w:szCs w:val="24"/>
            <w:highlight w:val="white"/>
            <w:u w:val="single"/>
          </w:rPr>
          <w:t>http://sepjf.org/wp-content/uploads/2018/12/Vol.-2.-Psicologia-juridica-del-Menor.pdf</w:t>
        </w:r>
      </w:hyperlink>
    </w:p>
    <w:p w14:paraId="21478F84"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García, A. (2016). </w:t>
      </w:r>
      <w:r>
        <w:rPr>
          <w:rFonts w:ascii="Times New Roman" w:eastAsia="Times New Roman" w:hAnsi="Times New Roman" w:cs="Times New Roman"/>
          <w:i/>
          <w:sz w:val="24"/>
          <w:szCs w:val="24"/>
          <w:highlight w:val="white"/>
        </w:rPr>
        <w:t>Propiedades Psicométricas del Inventario de Adaptación de Conducta en Estudiantes de Nivel Secundaria de Huamachuco.</w:t>
      </w:r>
      <w:r>
        <w:rPr>
          <w:rFonts w:ascii="Times New Roman" w:eastAsia="Times New Roman" w:hAnsi="Times New Roman" w:cs="Times New Roman"/>
          <w:sz w:val="24"/>
          <w:szCs w:val="24"/>
          <w:highlight w:val="white"/>
        </w:rPr>
        <w:t xml:space="preserve"> [Tesis de licenciatura, Universidad César Vallejo]. Repositorio Nacional Digital de Ciencia, Tecnología e Innovación Alicia: Universidad Cesar Vallejo.</w:t>
      </w:r>
      <w:hyperlink r:id="rId17">
        <w:r w:rsidR="007B5D6A">
          <w:rPr>
            <w:rFonts w:ascii="Times New Roman" w:eastAsia="Times New Roman" w:hAnsi="Times New Roman" w:cs="Times New Roman"/>
            <w:sz w:val="24"/>
            <w:szCs w:val="24"/>
            <w:highlight w:val="white"/>
          </w:rPr>
          <w:t xml:space="preserve"> </w:t>
        </w:r>
      </w:hyperlink>
      <w:hyperlink r:id="rId18">
        <w:r w:rsidR="007B5D6A">
          <w:rPr>
            <w:rFonts w:ascii="Times New Roman" w:eastAsia="Times New Roman" w:hAnsi="Times New Roman" w:cs="Times New Roman"/>
            <w:color w:val="0563C1"/>
            <w:sz w:val="24"/>
            <w:szCs w:val="24"/>
            <w:highlight w:val="white"/>
            <w:u w:val="single"/>
          </w:rPr>
          <w:t>https://alicia.concytec.gob.pe/vufind/Record/UCVV_a2d3321f475da8e91b2dc40a0783401b</w:t>
        </w:r>
      </w:hyperlink>
    </w:p>
    <w:p w14:paraId="51597818"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Girón, J. (2018). </w:t>
      </w:r>
      <w:r>
        <w:rPr>
          <w:rFonts w:ascii="Times New Roman" w:eastAsia="Times New Roman" w:hAnsi="Times New Roman" w:cs="Times New Roman"/>
          <w:i/>
          <w:sz w:val="24"/>
          <w:szCs w:val="24"/>
          <w:highlight w:val="white"/>
        </w:rPr>
        <w:t>Propiedades psicométricas del inventario de adaptación de conducta en estudiantes de nivel secundaria de la institución educativa Jorge Basadre Grohmann del distrito de Piura – 2017</w:t>
      </w:r>
      <w:r>
        <w:rPr>
          <w:rFonts w:ascii="Times New Roman" w:eastAsia="Times New Roman" w:hAnsi="Times New Roman" w:cs="Times New Roman"/>
          <w:sz w:val="24"/>
          <w:szCs w:val="24"/>
          <w:highlight w:val="white"/>
        </w:rPr>
        <w:t xml:space="preserve">. [Tesis de licenciatura, Universidad Alas Peruanas]. Repositorio </w:t>
      </w:r>
      <w:r>
        <w:rPr>
          <w:rFonts w:ascii="Times New Roman" w:eastAsia="Times New Roman" w:hAnsi="Times New Roman" w:cs="Times New Roman"/>
          <w:sz w:val="24"/>
          <w:szCs w:val="24"/>
          <w:highlight w:val="white"/>
        </w:rPr>
        <w:lastRenderedPageBreak/>
        <w:t>Institucional: Universidad Alas Peruanas.</w:t>
      </w:r>
      <w:hyperlink r:id="rId19">
        <w:r w:rsidR="007B5D6A">
          <w:rPr>
            <w:rFonts w:ascii="Times New Roman" w:eastAsia="Times New Roman" w:hAnsi="Times New Roman" w:cs="Times New Roman"/>
            <w:sz w:val="24"/>
            <w:szCs w:val="24"/>
            <w:highlight w:val="white"/>
          </w:rPr>
          <w:t xml:space="preserve"> </w:t>
        </w:r>
      </w:hyperlink>
      <w:hyperlink r:id="rId20">
        <w:r w:rsidR="007B5D6A">
          <w:rPr>
            <w:rFonts w:ascii="Times New Roman" w:eastAsia="Times New Roman" w:hAnsi="Times New Roman" w:cs="Times New Roman"/>
            <w:color w:val="0563C1"/>
            <w:sz w:val="24"/>
            <w:szCs w:val="24"/>
            <w:highlight w:val="white"/>
            <w:u w:val="single"/>
          </w:rPr>
          <w:t>https://repositorio.uap.edu.pe/handle/20.500.12990/2356</w:t>
        </w:r>
      </w:hyperlink>
    </w:p>
    <w:p w14:paraId="706112F2"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Gómez, R. &amp; De la Iglesia, G. Propiedades Psicométricas del Cuestionario de Adaptación para Adolescentes Bell en Población Bogotana. </w:t>
      </w:r>
      <w:r>
        <w:rPr>
          <w:rFonts w:ascii="Times New Roman" w:eastAsia="Times New Roman" w:hAnsi="Times New Roman" w:cs="Times New Roman"/>
          <w:i/>
          <w:sz w:val="24"/>
          <w:szCs w:val="24"/>
          <w:highlight w:val="white"/>
        </w:rPr>
        <w:t>Evaluar, 2017</w:t>
      </w:r>
      <w:r>
        <w:rPr>
          <w:rFonts w:ascii="Times New Roman" w:eastAsia="Times New Roman" w:hAnsi="Times New Roman" w:cs="Times New Roman"/>
          <w:sz w:val="24"/>
          <w:szCs w:val="24"/>
          <w:highlight w:val="white"/>
        </w:rPr>
        <w:t>, 17(2), 47-66</w:t>
      </w:r>
      <w:hyperlink r:id="rId21">
        <w:r w:rsidR="007B5D6A">
          <w:rPr>
            <w:rFonts w:ascii="Times New Roman" w:eastAsia="Times New Roman" w:hAnsi="Times New Roman" w:cs="Times New Roman"/>
            <w:sz w:val="24"/>
            <w:szCs w:val="24"/>
            <w:highlight w:val="white"/>
          </w:rPr>
          <w:t xml:space="preserve"> </w:t>
        </w:r>
      </w:hyperlink>
      <w:hyperlink r:id="rId22">
        <w:r w:rsidR="007B5D6A">
          <w:rPr>
            <w:rFonts w:ascii="Times New Roman" w:eastAsia="Times New Roman" w:hAnsi="Times New Roman" w:cs="Times New Roman"/>
            <w:color w:val="0563C1"/>
            <w:sz w:val="24"/>
            <w:szCs w:val="24"/>
            <w:highlight w:val="white"/>
            <w:u w:val="single"/>
          </w:rPr>
          <w:t>https://ri.conicet.gov.ar/handle/11336/73550</w:t>
        </w:r>
      </w:hyperlink>
    </w:p>
    <w:p w14:paraId="5720D323"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González, M. &amp; Landero, R. (2018). Propiedades Psicométricas de la Escala de Apoyo Social Familiar y de Amigos (AFA-R) en una Muestra de Estudiantes. </w:t>
      </w:r>
      <w:r>
        <w:rPr>
          <w:rFonts w:ascii="Times New Roman" w:eastAsia="Times New Roman" w:hAnsi="Times New Roman" w:cs="Times New Roman"/>
          <w:i/>
          <w:sz w:val="24"/>
          <w:szCs w:val="24"/>
          <w:highlight w:val="white"/>
        </w:rPr>
        <w:t>Acta De Investigación Psicológica, 4</w:t>
      </w:r>
      <w:r>
        <w:rPr>
          <w:rFonts w:ascii="Times New Roman" w:eastAsia="Times New Roman" w:hAnsi="Times New Roman" w:cs="Times New Roman"/>
          <w:sz w:val="24"/>
          <w:szCs w:val="24"/>
          <w:highlight w:val="white"/>
        </w:rPr>
        <w:t>(2), 1469-1480.</w:t>
      </w:r>
      <w:hyperlink r:id="rId23">
        <w:r w:rsidR="007B5D6A">
          <w:rPr>
            <w:rFonts w:ascii="Times New Roman" w:eastAsia="Times New Roman" w:hAnsi="Times New Roman" w:cs="Times New Roman"/>
            <w:sz w:val="24"/>
            <w:szCs w:val="24"/>
            <w:highlight w:val="white"/>
          </w:rPr>
          <w:t xml:space="preserve"> </w:t>
        </w:r>
      </w:hyperlink>
      <w:hyperlink r:id="rId24">
        <w:r w:rsidR="007B5D6A">
          <w:rPr>
            <w:rFonts w:ascii="Times New Roman" w:eastAsia="Times New Roman" w:hAnsi="Times New Roman" w:cs="Times New Roman"/>
            <w:color w:val="0563C1"/>
            <w:sz w:val="24"/>
            <w:szCs w:val="24"/>
            <w:highlight w:val="white"/>
            <w:u w:val="single"/>
          </w:rPr>
          <w:t>https://doi.org/10.1016/S2007-4719(14)70387-4</w:t>
        </w:r>
      </w:hyperlink>
    </w:p>
    <w:p w14:paraId="2150BE0F"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Gonzales, M. &amp; Molero, J. (2021). Las habilidades sociales y su relación con otras variables en la etapa de la adolescencia: Una revisión sistemática. </w:t>
      </w:r>
      <w:r>
        <w:rPr>
          <w:rFonts w:ascii="Times New Roman" w:eastAsia="Times New Roman" w:hAnsi="Times New Roman" w:cs="Times New Roman"/>
          <w:i/>
          <w:sz w:val="24"/>
          <w:szCs w:val="24"/>
          <w:highlight w:val="white"/>
        </w:rPr>
        <w:t>Revista Iberoamericana de Psicología, 15</w:t>
      </w:r>
      <w:r>
        <w:rPr>
          <w:rFonts w:ascii="Times New Roman" w:eastAsia="Times New Roman" w:hAnsi="Times New Roman" w:cs="Times New Roman"/>
          <w:sz w:val="24"/>
          <w:szCs w:val="24"/>
          <w:highlight w:val="white"/>
        </w:rPr>
        <w:t xml:space="preserve"> (1), 113-123.</w:t>
      </w:r>
      <w:hyperlink r:id="rId25">
        <w:r w:rsidR="007B5D6A">
          <w:rPr>
            <w:rFonts w:ascii="Times New Roman" w:eastAsia="Times New Roman" w:hAnsi="Times New Roman" w:cs="Times New Roman"/>
            <w:sz w:val="24"/>
            <w:szCs w:val="24"/>
            <w:highlight w:val="white"/>
          </w:rPr>
          <w:t xml:space="preserve"> </w:t>
        </w:r>
      </w:hyperlink>
      <w:hyperlink r:id="rId26">
        <w:r w:rsidR="007B5D6A">
          <w:rPr>
            <w:rFonts w:ascii="Times New Roman" w:eastAsia="Times New Roman" w:hAnsi="Times New Roman" w:cs="Times New Roman"/>
            <w:color w:val="0563C1"/>
            <w:sz w:val="24"/>
            <w:szCs w:val="24"/>
            <w:highlight w:val="white"/>
            <w:u w:val="single"/>
          </w:rPr>
          <w:t>https://reviberopsicologia.ibero.edu.co/article/view/2186</w:t>
        </w:r>
      </w:hyperlink>
    </w:p>
    <w:p w14:paraId="3197FED8"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Guerra, C., Pinto, C. &amp; Hernández, V. (2019). Polivictimización y su relación con las conductas autoagresivas y con la depresión en adolescentes. </w:t>
      </w:r>
      <w:r>
        <w:rPr>
          <w:rFonts w:ascii="Times New Roman" w:eastAsia="Times New Roman" w:hAnsi="Times New Roman" w:cs="Times New Roman"/>
          <w:i/>
          <w:sz w:val="24"/>
          <w:szCs w:val="24"/>
          <w:highlight w:val="white"/>
        </w:rPr>
        <w:t>Revista chilena de neuro-psiquiatría, 57</w:t>
      </w:r>
      <w:r>
        <w:rPr>
          <w:rFonts w:ascii="Times New Roman" w:eastAsia="Times New Roman" w:hAnsi="Times New Roman" w:cs="Times New Roman"/>
          <w:sz w:val="24"/>
          <w:szCs w:val="24"/>
          <w:highlight w:val="white"/>
        </w:rPr>
        <w:t>(2), 100-106.</w:t>
      </w:r>
      <w:hyperlink r:id="rId27">
        <w:r w:rsidR="007B5D6A">
          <w:rPr>
            <w:rFonts w:ascii="Times New Roman" w:eastAsia="Times New Roman" w:hAnsi="Times New Roman" w:cs="Times New Roman"/>
            <w:sz w:val="24"/>
            <w:szCs w:val="24"/>
            <w:highlight w:val="white"/>
          </w:rPr>
          <w:t xml:space="preserve"> </w:t>
        </w:r>
      </w:hyperlink>
      <w:hyperlink r:id="rId28">
        <w:r w:rsidR="007B5D6A">
          <w:rPr>
            <w:rFonts w:ascii="Times New Roman" w:eastAsia="Times New Roman" w:hAnsi="Times New Roman" w:cs="Times New Roman"/>
            <w:color w:val="0563C1"/>
            <w:sz w:val="24"/>
            <w:szCs w:val="24"/>
            <w:highlight w:val="white"/>
            <w:u w:val="single"/>
          </w:rPr>
          <w:t>https://www.scielo.cl/scielo.php?script=sci_arttext&amp;pid=S0717-92272019000200100&amp;lang=es</w:t>
        </w:r>
      </w:hyperlink>
    </w:p>
    <w:p w14:paraId="2F18838E" w14:textId="77777777" w:rsidR="007B5D6A" w:rsidRDefault="00000000" w:rsidP="00D85AF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Guzmán, B., Cadena, A. &amp; Nieto, P. (2020). Comportamiento antisocial en menores infractores. </w:t>
      </w:r>
      <w:r>
        <w:rPr>
          <w:rFonts w:ascii="Times New Roman" w:eastAsia="Times New Roman" w:hAnsi="Times New Roman" w:cs="Times New Roman"/>
          <w:i/>
          <w:sz w:val="24"/>
          <w:szCs w:val="24"/>
          <w:highlight w:val="white"/>
        </w:rPr>
        <w:t>Polo del Conocimiento, 5</w:t>
      </w:r>
      <w:r>
        <w:rPr>
          <w:rFonts w:ascii="Times New Roman" w:eastAsia="Times New Roman" w:hAnsi="Times New Roman" w:cs="Times New Roman"/>
          <w:sz w:val="24"/>
          <w:szCs w:val="24"/>
          <w:highlight w:val="white"/>
        </w:rPr>
        <w:t>(2). 732 - 748.</w:t>
      </w:r>
      <w:hyperlink r:id="rId29">
        <w:r w:rsidR="007B5D6A">
          <w:rPr>
            <w:rFonts w:ascii="Times New Roman" w:eastAsia="Times New Roman" w:hAnsi="Times New Roman" w:cs="Times New Roman"/>
            <w:sz w:val="24"/>
            <w:szCs w:val="24"/>
            <w:highlight w:val="white"/>
          </w:rPr>
          <w:t xml:space="preserve"> </w:t>
        </w:r>
      </w:hyperlink>
      <w:hyperlink r:id="rId30">
        <w:r w:rsidR="007B5D6A">
          <w:rPr>
            <w:rFonts w:ascii="Times New Roman" w:eastAsia="Times New Roman" w:hAnsi="Times New Roman" w:cs="Times New Roman"/>
            <w:color w:val="1155CC"/>
            <w:sz w:val="24"/>
            <w:szCs w:val="24"/>
            <w:highlight w:val="white"/>
            <w:u w:val="single"/>
          </w:rPr>
          <w:t>https://dialnet.unirioja.es/servlet/articulo?codigo=74353</w:t>
        </w:r>
      </w:hyperlink>
      <w:hyperlink r:id="rId31">
        <w:r w:rsidR="007B5D6A">
          <w:rPr>
            <w:rFonts w:ascii="Times New Roman" w:eastAsia="Times New Roman" w:hAnsi="Times New Roman" w:cs="Times New Roman"/>
            <w:color w:val="1155CC"/>
            <w:sz w:val="24"/>
            <w:szCs w:val="24"/>
            <w:u w:val="single"/>
          </w:rPr>
          <w:t>1</w:t>
        </w:r>
      </w:hyperlink>
      <w:r>
        <w:rPr>
          <w:rFonts w:ascii="Times New Roman" w:eastAsia="Times New Roman" w:hAnsi="Times New Roman" w:cs="Times New Roman"/>
          <w:sz w:val="24"/>
          <w:szCs w:val="24"/>
        </w:rPr>
        <w:t xml:space="preserve">. </w:t>
      </w:r>
    </w:p>
    <w:p w14:paraId="5A7BA551"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Instituto Nacional de Estadística e Informática (2021). </w:t>
      </w:r>
      <w:r>
        <w:rPr>
          <w:rFonts w:ascii="Times New Roman" w:eastAsia="Times New Roman" w:hAnsi="Times New Roman" w:cs="Times New Roman"/>
          <w:i/>
          <w:sz w:val="24"/>
          <w:szCs w:val="24"/>
          <w:highlight w:val="white"/>
        </w:rPr>
        <w:t>Alumnos matriculados en educación secundaria, por gestión pública, según departamento, 2011-2021.</w:t>
      </w:r>
      <w:hyperlink r:id="rId32">
        <w:r w:rsidR="007B5D6A">
          <w:rPr>
            <w:rFonts w:ascii="Times New Roman" w:eastAsia="Times New Roman" w:hAnsi="Times New Roman" w:cs="Times New Roman"/>
            <w:i/>
            <w:sz w:val="24"/>
            <w:szCs w:val="24"/>
            <w:highlight w:val="white"/>
          </w:rPr>
          <w:t xml:space="preserve"> </w:t>
        </w:r>
      </w:hyperlink>
      <w:hyperlink r:id="rId33">
        <w:r w:rsidR="007B5D6A">
          <w:rPr>
            <w:rFonts w:ascii="Times New Roman" w:eastAsia="Times New Roman" w:hAnsi="Times New Roman" w:cs="Times New Roman"/>
            <w:color w:val="0563C1"/>
            <w:sz w:val="24"/>
            <w:szCs w:val="24"/>
            <w:highlight w:val="white"/>
            <w:u w:val="single"/>
          </w:rPr>
          <w:t>https://m.inei.gob.pe/estadisticas/indice-tematico/education/</w:t>
        </w:r>
      </w:hyperlink>
    </w:p>
    <w:p w14:paraId="5482003F"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color w:val="222222"/>
          <w:sz w:val="24"/>
          <w:szCs w:val="24"/>
          <w:highlight w:val="white"/>
        </w:rPr>
        <w:t>Jordan, F. (2021). Valor de corte de los índices de ajuste en el análisis factorial confirmatorio.</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i/>
          <w:color w:val="222222"/>
          <w:sz w:val="24"/>
          <w:szCs w:val="24"/>
          <w:highlight w:val="white"/>
        </w:rPr>
        <w:t>Revista de Invetsigación de Psicologia Social, 7</w:t>
      </w:r>
      <w:r>
        <w:rPr>
          <w:rFonts w:ascii="Times New Roman" w:eastAsia="Times New Roman" w:hAnsi="Times New Roman" w:cs="Times New Roman"/>
          <w:color w:val="222222"/>
          <w:sz w:val="24"/>
          <w:szCs w:val="24"/>
          <w:highlight w:val="white"/>
        </w:rPr>
        <w:t>(1), 67-71.</w:t>
      </w:r>
      <w:hyperlink r:id="rId34">
        <w:r w:rsidR="007B5D6A">
          <w:rPr>
            <w:rFonts w:ascii="Times New Roman" w:eastAsia="Times New Roman" w:hAnsi="Times New Roman" w:cs="Times New Roman"/>
            <w:color w:val="222222"/>
            <w:sz w:val="24"/>
            <w:szCs w:val="24"/>
            <w:highlight w:val="white"/>
          </w:rPr>
          <w:t xml:space="preserve"> </w:t>
        </w:r>
      </w:hyperlink>
      <w:hyperlink r:id="rId35">
        <w:r w:rsidR="007B5D6A">
          <w:rPr>
            <w:rFonts w:ascii="Times New Roman" w:eastAsia="Times New Roman" w:hAnsi="Times New Roman" w:cs="Times New Roman"/>
            <w:color w:val="0563C1"/>
            <w:sz w:val="24"/>
            <w:szCs w:val="24"/>
            <w:highlight w:val="white"/>
            <w:u w:val="single"/>
          </w:rPr>
          <w:t>http://www.scielo.org.ar/pdf/psocial/v7n1/2422-619X-psocial-7-1-66.pdf</w:t>
        </w:r>
      </w:hyperlink>
    </w:p>
    <w:p w14:paraId="1A505957" w14:textId="77777777" w:rsidR="007B5D6A" w:rsidRDefault="00000000" w:rsidP="00D85AF5">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Katz, M. H. (2006). </w:t>
      </w:r>
      <w:r>
        <w:rPr>
          <w:rFonts w:ascii="Times New Roman" w:eastAsia="Times New Roman" w:hAnsi="Times New Roman" w:cs="Times New Roman"/>
          <w:i/>
          <w:sz w:val="24"/>
          <w:szCs w:val="24"/>
          <w:highlight w:val="white"/>
        </w:rPr>
        <w:t xml:space="preserve">Multivariable analysis </w:t>
      </w:r>
      <w:r>
        <w:rPr>
          <w:rFonts w:ascii="Times New Roman" w:eastAsia="Times New Roman" w:hAnsi="Times New Roman" w:cs="Times New Roman"/>
          <w:sz w:val="24"/>
          <w:szCs w:val="24"/>
          <w:highlight w:val="white"/>
        </w:rPr>
        <w:t>(2</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ed.). Cambridge University Press.</w:t>
      </w:r>
    </w:p>
    <w:p w14:paraId="17801A07"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Kellam, S., Brown, C., Poduska, J., Ialongo, N., Wang, W., Toyinbo, P. &amp; Wilcox, H. (2008). Effects of a universal classroom behavior management program in first and second grades on </w:t>
      </w:r>
      <w:r>
        <w:rPr>
          <w:rFonts w:ascii="Times New Roman" w:eastAsia="Times New Roman" w:hAnsi="Times New Roman" w:cs="Times New Roman"/>
          <w:sz w:val="24"/>
          <w:szCs w:val="24"/>
          <w:highlight w:val="white"/>
        </w:rPr>
        <w:lastRenderedPageBreak/>
        <w:t xml:space="preserve">young adult behavioral, psychiatric, and social outcomes. </w:t>
      </w:r>
      <w:r>
        <w:rPr>
          <w:rFonts w:ascii="Times New Roman" w:eastAsia="Times New Roman" w:hAnsi="Times New Roman" w:cs="Times New Roman"/>
          <w:i/>
          <w:sz w:val="24"/>
          <w:szCs w:val="24"/>
          <w:highlight w:val="white"/>
        </w:rPr>
        <w:t>Drug and Alcohol Dependence, 95</w:t>
      </w:r>
      <w:r>
        <w:rPr>
          <w:rFonts w:ascii="Times New Roman" w:eastAsia="Times New Roman" w:hAnsi="Times New Roman" w:cs="Times New Roman"/>
          <w:sz w:val="24"/>
          <w:szCs w:val="24"/>
          <w:highlight w:val="white"/>
        </w:rPr>
        <w:t>(1).</w:t>
      </w:r>
      <w:hyperlink r:id="rId36">
        <w:r w:rsidR="007B5D6A">
          <w:rPr>
            <w:rFonts w:ascii="Times New Roman" w:eastAsia="Times New Roman" w:hAnsi="Times New Roman" w:cs="Times New Roman"/>
            <w:sz w:val="24"/>
            <w:szCs w:val="24"/>
            <w:highlight w:val="white"/>
          </w:rPr>
          <w:t xml:space="preserve"> </w:t>
        </w:r>
      </w:hyperlink>
      <w:hyperlink r:id="rId37">
        <w:r w:rsidR="007B5D6A">
          <w:rPr>
            <w:rFonts w:ascii="Times New Roman" w:eastAsia="Times New Roman" w:hAnsi="Times New Roman" w:cs="Times New Roman"/>
            <w:color w:val="0563C1"/>
            <w:sz w:val="24"/>
            <w:szCs w:val="24"/>
            <w:highlight w:val="white"/>
            <w:u w:val="single"/>
          </w:rPr>
          <w:t>https://doi.org/10.1016/j.drugalcdep.2008.01.004</w:t>
        </w:r>
      </w:hyperlink>
    </w:p>
    <w:p w14:paraId="28733398"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Lloret, S., Ferreres, A., Hernández, A. &amp; Tomás-Marco, I. (2014). El análisis factorial exploratorio de los ítems: una guía práctica, revisada y actualizada. </w:t>
      </w:r>
      <w:r>
        <w:rPr>
          <w:rFonts w:ascii="Times New Roman" w:eastAsia="Times New Roman" w:hAnsi="Times New Roman" w:cs="Times New Roman"/>
          <w:i/>
          <w:sz w:val="24"/>
          <w:szCs w:val="24"/>
          <w:highlight w:val="white"/>
        </w:rPr>
        <w:t>Annals of Psychology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30</w:t>
      </w:r>
      <w:r>
        <w:rPr>
          <w:rFonts w:ascii="Times New Roman" w:eastAsia="Times New Roman" w:hAnsi="Times New Roman" w:cs="Times New Roman"/>
          <w:sz w:val="24"/>
          <w:szCs w:val="24"/>
          <w:highlight w:val="white"/>
        </w:rPr>
        <w:t>(3), 1151–1169.</w:t>
      </w:r>
      <w:hyperlink r:id="rId38">
        <w:r w:rsidR="007B5D6A">
          <w:rPr>
            <w:rFonts w:ascii="Times New Roman" w:eastAsia="Times New Roman" w:hAnsi="Times New Roman" w:cs="Times New Roman"/>
            <w:sz w:val="24"/>
            <w:szCs w:val="24"/>
            <w:highlight w:val="white"/>
          </w:rPr>
          <w:t xml:space="preserve"> </w:t>
        </w:r>
      </w:hyperlink>
      <w:hyperlink r:id="rId39">
        <w:r w:rsidR="007B5D6A">
          <w:rPr>
            <w:rFonts w:ascii="Times New Roman" w:eastAsia="Times New Roman" w:hAnsi="Times New Roman" w:cs="Times New Roman"/>
            <w:color w:val="0563C1"/>
            <w:sz w:val="24"/>
            <w:szCs w:val="24"/>
            <w:highlight w:val="white"/>
            <w:u w:val="single"/>
          </w:rPr>
          <w:t>https://doi.org/10.6018/analesps.30.3.199361</w:t>
        </w:r>
      </w:hyperlink>
    </w:p>
    <w:p w14:paraId="668F18C5" w14:textId="77777777" w:rsidR="007B5D6A" w:rsidRDefault="00000000" w:rsidP="00D85AF5">
      <w:pPr>
        <w:spacing w:before="240" w:after="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Lorenzino, R., Rivera, L. &amp; Cardozo, G. (2015). Adaptación social en jóvenes judicializados que participan en actividades escolares. </w:t>
      </w:r>
      <w:r>
        <w:rPr>
          <w:rFonts w:ascii="Times New Roman" w:eastAsia="Times New Roman" w:hAnsi="Times New Roman" w:cs="Times New Roman"/>
          <w:i/>
          <w:sz w:val="24"/>
          <w:szCs w:val="24"/>
          <w:highlight w:val="white"/>
        </w:rPr>
        <w:t>Revista de Psicología, 24</w:t>
      </w:r>
      <w:r>
        <w:rPr>
          <w:rFonts w:ascii="Times New Roman" w:eastAsia="Times New Roman" w:hAnsi="Times New Roman" w:cs="Times New Roman"/>
          <w:sz w:val="24"/>
          <w:szCs w:val="24"/>
          <w:highlight w:val="white"/>
        </w:rPr>
        <w:t>(2), 1-18.</w:t>
      </w:r>
      <w:hyperlink r:id="rId40">
        <w:r w:rsidR="007B5D6A">
          <w:rPr>
            <w:rFonts w:ascii="Times New Roman" w:eastAsia="Times New Roman" w:hAnsi="Times New Roman" w:cs="Times New Roman"/>
            <w:sz w:val="24"/>
            <w:szCs w:val="24"/>
            <w:highlight w:val="white"/>
          </w:rPr>
          <w:t xml:space="preserve"> </w:t>
        </w:r>
      </w:hyperlink>
      <w:hyperlink r:id="rId41">
        <w:r w:rsidR="007B5D6A">
          <w:rPr>
            <w:rFonts w:ascii="Times New Roman" w:eastAsia="Times New Roman" w:hAnsi="Times New Roman" w:cs="Times New Roman"/>
            <w:color w:val="0563C1"/>
            <w:sz w:val="24"/>
            <w:szCs w:val="24"/>
            <w:highlight w:val="white"/>
            <w:u w:val="single"/>
          </w:rPr>
          <w:t>https://www.redalyc.org/pdf/264/26443313002.pdf</w:t>
        </w:r>
      </w:hyperlink>
    </w:p>
    <w:p w14:paraId="1AB63382" w14:textId="77777777" w:rsidR="007B5D6A" w:rsidRDefault="00000000" w:rsidP="00D85AF5">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Martínez, A. (2018). </w:t>
      </w:r>
      <w:r>
        <w:rPr>
          <w:rFonts w:ascii="Times New Roman" w:eastAsia="Times New Roman" w:hAnsi="Times New Roman" w:cs="Times New Roman"/>
          <w:i/>
          <w:sz w:val="24"/>
          <w:szCs w:val="24"/>
          <w:highlight w:val="white"/>
        </w:rPr>
        <w:t>Adaptación social y bienestar psicológico en población refugiada en ecuador.</w:t>
      </w:r>
      <w:r>
        <w:rPr>
          <w:rFonts w:ascii="Times New Roman" w:eastAsia="Times New Roman" w:hAnsi="Times New Roman" w:cs="Times New Roman"/>
          <w:sz w:val="24"/>
          <w:szCs w:val="24"/>
          <w:highlight w:val="white"/>
        </w:rPr>
        <w:t xml:space="preserve"> [Tesis de maestría, Universidad Técnica de Ambato]. Repositorio institucional: Universidad Técnica de Ambato</w:t>
      </w:r>
    </w:p>
    <w:p w14:paraId="5AE2B1F4"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Martínez, A., Almeida, L., Santamaría, S. &amp; Villegas, N. (2018). Diseño de un cuestionario de habilidades de adaptación conductual para adolescentes. </w:t>
      </w:r>
      <w:r>
        <w:rPr>
          <w:rFonts w:ascii="Times New Roman" w:eastAsia="Times New Roman" w:hAnsi="Times New Roman" w:cs="Times New Roman"/>
          <w:i/>
          <w:sz w:val="24"/>
          <w:szCs w:val="24"/>
          <w:highlight w:val="white"/>
        </w:rPr>
        <w:t>Psychologia, 12</w:t>
      </w:r>
      <w:r>
        <w:rPr>
          <w:rFonts w:ascii="Times New Roman" w:eastAsia="Times New Roman" w:hAnsi="Times New Roman" w:cs="Times New Roman"/>
          <w:sz w:val="24"/>
          <w:szCs w:val="24"/>
          <w:highlight w:val="white"/>
        </w:rPr>
        <w:t>(1), 59-69.</w:t>
      </w:r>
      <w:hyperlink r:id="rId42">
        <w:r w:rsidR="007B5D6A">
          <w:rPr>
            <w:rFonts w:ascii="Times New Roman" w:eastAsia="Times New Roman" w:hAnsi="Times New Roman" w:cs="Times New Roman"/>
            <w:sz w:val="24"/>
            <w:szCs w:val="24"/>
            <w:highlight w:val="white"/>
          </w:rPr>
          <w:t xml:space="preserve"> </w:t>
        </w:r>
      </w:hyperlink>
      <w:hyperlink r:id="rId43">
        <w:r w:rsidR="007B5D6A">
          <w:rPr>
            <w:rFonts w:ascii="Times New Roman" w:eastAsia="Times New Roman" w:hAnsi="Times New Roman" w:cs="Times New Roman"/>
            <w:color w:val="0563C1"/>
            <w:sz w:val="24"/>
            <w:szCs w:val="24"/>
            <w:highlight w:val="white"/>
            <w:u w:val="single"/>
          </w:rPr>
          <w:t>http://www.scielo.org.co/scielo.php?script=sci_arttext&amp;pid=S1900-23862018000100059&amp;lng=pt&amp;nrm=iso</w:t>
        </w:r>
      </w:hyperlink>
    </w:p>
    <w:p w14:paraId="45D1D287" w14:textId="77777777" w:rsidR="007B5D6A" w:rsidRDefault="00000000" w:rsidP="00D85AF5">
      <w:pPr>
        <w:spacing w:before="240" w:after="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Méndez, C. &amp; Rondón, M. (2012). Introduction to exploratory factor analysis (EFA). </w:t>
      </w:r>
      <w:r>
        <w:rPr>
          <w:rFonts w:ascii="Times New Roman" w:eastAsia="Times New Roman" w:hAnsi="Times New Roman" w:cs="Times New Roman"/>
          <w:i/>
          <w:color w:val="222222"/>
          <w:sz w:val="24"/>
          <w:szCs w:val="24"/>
          <w:highlight w:val="white"/>
        </w:rPr>
        <w:t>Revista colombiana de psiquiatria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41</w:t>
      </w:r>
      <w:r>
        <w:rPr>
          <w:rFonts w:ascii="Times New Roman" w:eastAsia="Times New Roman" w:hAnsi="Times New Roman" w:cs="Times New Roman"/>
          <w:color w:val="222222"/>
          <w:sz w:val="24"/>
          <w:szCs w:val="24"/>
          <w:highlight w:val="white"/>
        </w:rPr>
        <w:t>(1), 197-207.</w:t>
      </w:r>
      <w:hyperlink r:id="rId44" w:anchor=":~:text=La%20rotaci%C3%B3n%20oblimin%20permite%20establecer,oblicuas%20(3%2C5)">
        <w:r w:rsidR="007B5D6A">
          <w:rPr>
            <w:rFonts w:ascii="Times New Roman" w:eastAsia="Times New Roman" w:hAnsi="Times New Roman" w:cs="Times New Roman"/>
            <w:color w:val="222222"/>
            <w:sz w:val="24"/>
            <w:szCs w:val="24"/>
            <w:highlight w:val="white"/>
          </w:rPr>
          <w:t xml:space="preserve"> </w:t>
        </w:r>
      </w:hyperlink>
      <w:hyperlink r:id="rId45" w:anchor=":~:text=La%20rotaci%C3%B3n%20oblimin%20permite%20establecer,oblicuas%20(3%2C5)">
        <w:r w:rsidR="007B5D6A">
          <w:rPr>
            <w:rFonts w:ascii="Times New Roman" w:eastAsia="Times New Roman" w:hAnsi="Times New Roman" w:cs="Times New Roman"/>
            <w:color w:val="0563C1"/>
            <w:sz w:val="24"/>
            <w:szCs w:val="24"/>
            <w:highlight w:val="white"/>
            <w:u w:val="single"/>
          </w:rPr>
          <w:t>http://www.scielo.org.co/scielo.php?script=sci_arttext&amp;pid=S0034-74502012000100014#:~:text=La%20rotaci%C3%B3n%20oblimin%20permite%20establecer,oblicuas%20(3%2C5)</w:t>
        </w:r>
      </w:hyperlink>
      <w:r>
        <w:rPr>
          <w:rFonts w:ascii="Times New Roman" w:eastAsia="Times New Roman" w:hAnsi="Times New Roman" w:cs="Times New Roman"/>
          <w:color w:val="222222"/>
          <w:sz w:val="24"/>
          <w:szCs w:val="24"/>
          <w:highlight w:val="white"/>
        </w:rPr>
        <w:t>.</w:t>
      </w:r>
    </w:p>
    <w:p w14:paraId="1D866CAC"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Mendoza, E. (2023). </w:t>
      </w:r>
      <w:r>
        <w:rPr>
          <w:rFonts w:ascii="Times New Roman" w:eastAsia="Times New Roman" w:hAnsi="Times New Roman" w:cs="Times New Roman"/>
          <w:i/>
          <w:sz w:val="24"/>
          <w:szCs w:val="24"/>
          <w:highlight w:val="white"/>
        </w:rPr>
        <w:t>Relación Entre Bienestar Subjetivo, Autoestima Y Participación Escolar En Adolescentes.</w:t>
      </w:r>
      <w:r>
        <w:rPr>
          <w:rFonts w:ascii="Times New Roman" w:eastAsia="Times New Roman" w:hAnsi="Times New Roman" w:cs="Times New Roman"/>
          <w:sz w:val="24"/>
          <w:szCs w:val="24"/>
          <w:highlight w:val="white"/>
        </w:rPr>
        <w:t xml:space="preserve"> [Tesis de maestría, Universidad cooperativa de Colombia]. Repositorio institucional: Universidad cooperativa de Colombia.</w:t>
      </w:r>
      <w:hyperlink r:id="rId46">
        <w:r w:rsidR="007B5D6A">
          <w:rPr>
            <w:rFonts w:ascii="Times New Roman" w:eastAsia="Times New Roman" w:hAnsi="Times New Roman" w:cs="Times New Roman"/>
            <w:sz w:val="24"/>
            <w:szCs w:val="24"/>
            <w:highlight w:val="white"/>
          </w:rPr>
          <w:t xml:space="preserve"> </w:t>
        </w:r>
      </w:hyperlink>
      <w:hyperlink r:id="rId47">
        <w:r w:rsidR="007B5D6A">
          <w:rPr>
            <w:rFonts w:ascii="Times New Roman" w:eastAsia="Times New Roman" w:hAnsi="Times New Roman" w:cs="Times New Roman"/>
            <w:color w:val="0563C1"/>
            <w:sz w:val="24"/>
            <w:szCs w:val="24"/>
            <w:highlight w:val="white"/>
            <w:u w:val="single"/>
          </w:rPr>
          <w:t>https://repository.ucc.edu.co/server/api/core/bitstreams/f323d106-c0e9-47ca-844d-0c773ffdb80a/content</w:t>
        </w:r>
      </w:hyperlink>
    </w:p>
    <w:p w14:paraId="4903BDFA"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color w:val="222222"/>
          <w:sz w:val="24"/>
          <w:szCs w:val="24"/>
          <w:highlight w:val="white"/>
        </w:rPr>
        <w:t xml:space="preserve">Merino, C. &amp; Livia, J. (2009). Intervalos de confianza asimétricos para el índice la validez de contenido: Un programa Visual Basic para la V de Aiken. </w:t>
      </w:r>
      <w:r>
        <w:rPr>
          <w:rFonts w:ascii="Times New Roman" w:eastAsia="Times New Roman" w:hAnsi="Times New Roman" w:cs="Times New Roman"/>
          <w:i/>
          <w:color w:val="222222"/>
          <w:sz w:val="24"/>
          <w:szCs w:val="24"/>
          <w:highlight w:val="white"/>
        </w:rPr>
        <w:t>Anales de Psicología, 25</w:t>
      </w:r>
      <w:r>
        <w:rPr>
          <w:rFonts w:ascii="Times New Roman" w:eastAsia="Times New Roman" w:hAnsi="Times New Roman" w:cs="Times New Roman"/>
          <w:color w:val="222222"/>
          <w:sz w:val="24"/>
          <w:szCs w:val="24"/>
          <w:highlight w:val="white"/>
        </w:rPr>
        <w:t>(1), 169-171.</w:t>
      </w:r>
      <w:hyperlink r:id="rId48">
        <w:r w:rsidR="007B5D6A">
          <w:rPr>
            <w:rFonts w:ascii="Times New Roman" w:eastAsia="Times New Roman" w:hAnsi="Times New Roman" w:cs="Times New Roman"/>
            <w:color w:val="222222"/>
            <w:sz w:val="24"/>
            <w:szCs w:val="24"/>
            <w:highlight w:val="white"/>
          </w:rPr>
          <w:t xml:space="preserve"> </w:t>
        </w:r>
      </w:hyperlink>
      <w:hyperlink r:id="rId49">
        <w:r w:rsidR="007B5D6A">
          <w:rPr>
            <w:rFonts w:ascii="Times New Roman" w:eastAsia="Times New Roman" w:hAnsi="Times New Roman" w:cs="Times New Roman"/>
            <w:color w:val="0563C1"/>
            <w:sz w:val="24"/>
            <w:szCs w:val="24"/>
            <w:highlight w:val="white"/>
            <w:u w:val="single"/>
          </w:rPr>
          <w:t>https://www.redalyc.org/pdf/167/16711594019.pdf</w:t>
        </w:r>
      </w:hyperlink>
    </w:p>
    <w:p w14:paraId="2F9C0234"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yellow"/>
          <w:u w:val="single"/>
        </w:rPr>
      </w:pPr>
      <w:r>
        <w:rPr>
          <w:rFonts w:ascii="Times New Roman" w:eastAsia="Times New Roman" w:hAnsi="Times New Roman" w:cs="Times New Roman"/>
          <w:sz w:val="24"/>
          <w:szCs w:val="24"/>
          <w:highlight w:val="white"/>
        </w:rPr>
        <w:lastRenderedPageBreak/>
        <w:t xml:space="preserve">Montero, I. &amp; León, O. (2005). Sistema de clasificación del método en los informes de investigación en Psicología. </w:t>
      </w:r>
      <w:r>
        <w:rPr>
          <w:rFonts w:ascii="Times New Roman" w:eastAsia="Times New Roman" w:hAnsi="Times New Roman" w:cs="Times New Roman"/>
          <w:i/>
          <w:sz w:val="24"/>
          <w:szCs w:val="24"/>
          <w:highlight w:val="white"/>
        </w:rPr>
        <w:t>International Journal of Clinical and Health Psychology, 5</w:t>
      </w:r>
      <w:r>
        <w:rPr>
          <w:rFonts w:ascii="Times New Roman" w:eastAsia="Times New Roman" w:hAnsi="Times New Roman" w:cs="Times New Roman"/>
          <w:sz w:val="24"/>
          <w:szCs w:val="24"/>
          <w:highlight w:val="white"/>
        </w:rPr>
        <w:t>(1), 115-127.</w:t>
      </w:r>
      <w:hyperlink r:id="rId50">
        <w:r w:rsidR="007B5D6A">
          <w:rPr>
            <w:rFonts w:ascii="Times New Roman" w:eastAsia="Times New Roman" w:hAnsi="Times New Roman" w:cs="Times New Roman"/>
            <w:sz w:val="24"/>
            <w:szCs w:val="24"/>
            <w:highlight w:val="white"/>
          </w:rPr>
          <w:t xml:space="preserve"> </w:t>
        </w:r>
      </w:hyperlink>
      <w:hyperlink r:id="rId51">
        <w:r w:rsidR="007B5D6A">
          <w:rPr>
            <w:rFonts w:ascii="Times New Roman" w:eastAsia="Times New Roman" w:hAnsi="Times New Roman" w:cs="Times New Roman"/>
            <w:color w:val="0563C1"/>
            <w:sz w:val="24"/>
            <w:szCs w:val="24"/>
            <w:highlight w:val="white"/>
            <w:u w:val="single"/>
          </w:rPr>
          <w:t>https://www.redalyc.org/pdf/337/33701007.pdf</w:t>
        </w:r>
      </w:hyperlink>
    </w:p>
    <w:p w14:paraId="0F0D4B54"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Newman, W. (2011) </w:t>
      </w:r>
      <w:r>
        <w:rPr>
          <w:rFonts w:ascii="Times New Roman" w:eastAsia="Times New Roman" w:hAnsi="Times New Roman" w:cs="Times New Roman"/>
          <w:i/>
          <w:sz w:val="24"/>
          <w:szCs w:val="24"/>
          <w:highlight w:val="white"/>
        </w:rPr>
        <w:t>Social research methods : Qualitative and quantitative approaches.</w:t>
      </w:r>
      <w:r>
        <w:rPr>
          <w:rFonts w:ascii="Times New Roman" w:eastAsia="Times New Roman" w:hAnsi="Times New Roman" w:cs="Times New Roman"/>
          <w:sz w:val="24"/>
          <w:szCs w:val="24"/>
          <w:highlight w:val="white"/>
        </w:rPr>
        <w:t xml:space="preserve">  Allyn &amp; Bacon.</w:t>
      </w:r>
      <w:hyperlink r:id="rId52">
        <w:r w:rsidR="007B5D6A">
          <w:rPr>
            <w:rFonts w:ascii="Times New Roman" w:eastAsia="Times New Roman" w:hAnsi="Times New Roman" w:cs="Times New Roman"/>
            <w:sz w:val="24"/>
            <w:szCs w:val="24"/>
            <w:highlight w:val="white"/>
          </w:rPr>
          <w:t xml:space="preserve"> </w:t>
        </w:r>
      </w:hyperlink>
      <w:hyperlink r:id="rId53">
        <w:r w:rsidR="007B5D6A">
          <w:rPr>
            <w:rFonts w:ascii="Times New Roman" w:eastAsia="Times New Roman" w:hAnsi="Times New Roman" w:cs="Times New Roman"/>
            <w:color w:val="0563C1"/>
            <w:sz w:val="24"/>
            <w:szCs w:val="24"/>
            <w:highlight w:val="white"/>
            <w:u w:val="single"/>
          </w:rPr>
          <w:t>https://uprrp.libguides.com/c.php?g=879278&amp;p=6408079</w:t>
        </w:r>
      </w:hyperlink>
    </w:p>
    <w:p w14:paraId="0C0F7F1B"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Núñez, J. &amp; Jiménez, R. (2023). Factores de riesgo personales y familiares de la delincuencia en menores residentes de la zona sureste de Santiago de los Caballeros, República Dominicana. </w:t>
      </w:r>
      <w:r>
        <w:rPr>
          <w:rFonts w:ascii="Times New Roman" w:eastAsia="Times New Roman" w:hAnsi="Times New Roman" w:cs="Times New Roman"/>
          <w:i/>
          <w:sz w:val="24"/>
          <w:szCs w:val="24"/>
          <w:highlight w:val="white"/>
        </w:rPr>
        <w:t>Revista Criminalidad, 65</w:t>
      </w:r>
      <w:r>
        <w:rPr>
          <w:rFonts w:ascii="Times New Roman" w:eastAsia="Times New Roman" w:hAnsi="Times New Roman" w:cs="Times New Roman"/>
          <w:sz w:val="24"/>
          <w:szCs w:val="24"/>
          <w:highlight w:val="white"/>
        </w:rPr>
        <w:t>(1), 139-149.</w:t>
      </w:r>
      <w:hyperlink r:id="rId54">
        <w:r w:rsidR="007B5D6A">
          <w:rPr>
            <w:rFonts w:ascii="Times New Roman" w:eastAsia="Times New Roman" w:hAnsi="Times New Roman" w:cs="Times New Roman"/>
            <w:sz w:val="24"/>
            <w:szCs w:val="24"/>
            <w:highlight w:val="white"/>
          </w:rPr>
          <w:t xml:space="preserve"> </w:t>
        </w:r>
      </w:hyperlink>
      <w:hyperlink r:id="rId55">
        <w:r w:rsidR="007B5D6A">
          <w:rPr>
            <w:rFonts w:ascii="Times New Roman" w:eastAsia="Times New Roman" w:hAnsi="Times New Roman" w:cs="Times New Roman"/>
            <w:color w:val="0563C1"/>
            <w:sz w:val="24"/>
            <w:szCs w:val="24"/>
            <w:highlight w:val="white"/>
            <w:u w:val="single"/>
          </w:rPr>
          <w:t>https://revistacriminalidad.policia.gov.co:8000/index.php/revcriminalidad/article/view/406</w:t>
        </w:r>
      </w:hyperlink>
    </w:p>
    <w:p w14:paraId="498BDB04"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Ñaupas, H., Valdivia, M., Palacios, J., &amp; Romero, H. (2018). </w:t>
      </w:r>
      <w:r>
        <w:rPr>
          <w:rFonts w:ascii="Times New Roman" w:eastAsia="Times New Roman" w:hAnsi="Times New Roman" w:cs="Times New Roman"/>
          <w:i/>
          <w:sz w:val="24"/>
          <w:szCs w:val="24"/>
          <w:highlight w:val="white"/>
        </w:rPr>
        <w:t>Metodología de la investigación Cuantitativa—Cualitativa y Redacción de la Tesis</w:t>
      </w:r>
      <w:r>
        <w:rPr>
          <w:rFonts w:ascii="Times New Roman" w:eastAsia="Times New Roman" w:hAnsi="Times New Roman" w:cs="Times New Roman"/>
          <w:sz w:val="24"/>
          <w:szCs w:val="24"/>
          <w:highlight w:val="white"/>
        </w:rPr>
        <w:t xml:space="preserve"> (5</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ed.). Ediciones de la U.</w:t>
      </w:r>
      <w:hyperlink r:id="rId56">
        <w:r w:rsidR="007B5D6A">
          <w:rPr>
            <w:rFonts w:ascii="Times New Roman" w:eastAsia="Times New Roman" w:hAnsi="Times New Roman" w:cs="Times New Roman"/>
            <w:sz w:val="24"/>
            <w:szCs w:val="24"/>
            <w:highlight w:val="white"/>
          </w:rPr>
          <w:t xml:space="preserve"> </w:t>
        </w:r>
      </w:hyperlink>
      <w:hyperlink r:id="rId57">
        <w:r w:rsidR="007B5D6A">
          <w:rPr>
            <w:rFonts w:ascii="Times New Roman" w:eastAsia="Times New Roman" w:hAnsi="Times New Roman" w:cs="Times New Roman"/>
            <w:color w:val="0563C1"/>
            <w:sz w:val="24"/>
            <w:szCs w:val="24"/>
            <w:highlight w:val="white"/>
            <w:u w:val="single"/>
          </w:rPr>
          <w:t>http://www.biblioteca.cij.gob.mx/Archivos/Materiales_de_consulta/Drogas_de_Abuso/Articulos/MetodologiaInvestigacionNaupas.pdf</w:t>
        </w:r>
      </w:hyperlink>
    </w:p>
    <w:p w14:paraId="155E08BD"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yellow"/>
          <w:u w:val="single"/>
        </w:rPr>
      </w:pPr>
      <w:r>
        <w:rPr>
          <w:rFonts w:ascii="Times New Roman" w:eastAsia="Times New Roman" w:hAnsi="Times New Roman" w:cs="Times New Roman"/>
          <w:sz w:val="24"/>
          <w:szCs w:val="24"/>
          <w:highlight w:val="white"/>
        </w:rPr>
        <w:t xml:space="preserve">Organización de los Estados Americanos. (2015). </w:t>
      </w:r>
      <w:r>
        <w:rPr>
          <w:rFonts w:ascii="Times New Roman" w:eastAsia="Times New Roman" w:hAnsi="Times New Roman" w:cs="Times New Roman"/>
          <w:i/>
          <w:sz w:val="24"/>
          <w:szCs w:val="24"/>
          <w:highlight w:val="white"/>
        </w:rPr>
        <w:t xml:space="preserve">Violencia, niñez y crimen organizado. Estados americanos: Plan Internacional. </w:t>
      </w:r>
      <w:r>
        <w:rPr>
          <w:rFonts w:ascii="Times New Roman" w:eastAsia="Times New Roman" w:hAnsi="Times New Roman" w:cs="Times New Roman"/>
          <w:sz w:val="24"/>
          <w:szCs w:val="24"/>
          <w:highlight w:val="white"/>
        </w:rPr>
        <w:t>Comisión Interamericana de derechos humanos.</w:t>
      </w:r>
      <w:hyperlink r:id="rId58">
        <w:r w:rsidR="007B5D6A">
          <w:rPr>
            <w:rFonts w:ascii="Times New Roman" w:eastAsia="Times New Roman" w:hAnsi="Times New Roman" w:cs="Times New Roman"/>
            <w:sz w:val="24"/>
            <w:szCs w:val="24"/>
            <w:highlight w:val="white"/>
          </w:rPr>
          <w:t xml:space="preserve"> </w:t>
        </w:r>
      </w:hyperlink>
      <w:hyperlink r:id="rId59">
        <w:r w:rsidR="007B5D6A">
          <w:rPr>
            <w:rFonts w:ascii="Times New Roman" w:eastAsia="Times New Roman" w:hAnsi="Times New Roman" w:cs="Times New Roman"/>
            <w:color w:val="0563C1"/>
            <w:sz w:val="24"/>
            <w:szCs w:val="24"/>
            <w:highlight w:val="white"/>
            <w:u w:val="single"/>
          </w:rPr>
          <w:t>http://www.oas.org/es/cidh/informes/pdfs/violencianinez2016.pdf</w:t>
        </w:r>
      </w:hyperlink>
    </w:p>
    <w:p w14:paraId="5381FDCC"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Perales, C. (2021). Aportaciones sobre el autoconcepto y autoestima. Nunca es tarde para aceptarse. </w:t>
      </w:r>
      <w:r>
        <w:rPr>
          <w:rFonts w:ascii="Times New Roman" w:eastAsia="Times New Roman" w:hAnsi="Times New Roman" w:cs="Times New Roman"/>
          <w:i/>
          <w:sz w:val="24"/>
          <w:szCs w:val="24"/>
          <w:highlight w:val="white"/>
        </w:rPr>
        <w:t>Dilemas contemporáneos: educación, política y valores, 8</w:t>
      </w:r>
      <w:r>
        <w:rPr>
          <w:rFonts w:ascii="Times New Roman" w:eastAsia="Times New Roman" w:hAnsi="Times New Roman" w:cs="Times New Roman"/>
          <w:sz w:val="24"/>
          <w:szCs w:val="24"/>
          <w:highlight w:val="white"/>
        </w:rPr>
        <w:t>(4),</w:t>
      </w:r>
      <w:hyperlink r:id="rId60">
        <w:r w:rsidR="007B5D6A">
          <w:rPr>
            <w:rFonts w:ascii="Times New Roman" w:eastAsia="Times New Roman" w:hAnsi="Times New Roman" w:cs="Times New Roman"/>
            <w:sz w:val="24"/>
            <w:szCs w:val="24"/>
            <w:highlight w:val="white"/>
          </w:rPr>
          <w:t xml:space="preserve"> </w:t>
        </w:r>
      </w:hyperlink>
      <w:hyperlink r:id="rId61">
        <w:r w:rsidR="007B5D6A">
          <w:rPr>
            <w:rFonts w:ascii="Times New Roman" w:eastAsia="Times New Roman" w:hAnsi="Times New Roman" w:cs="Times New Roman"/>
            <w:color w:val="0563C1"/>
            <w:sz w:val="24"/>
            <w:szCs w:val="24"/>
            <w:highlight w:val="white"/>
            <w:u w:val="single"/>
          </w:rPr>
          <w:t>https://doi.org/10.46377/dilemas.v8i.2823</w:t>
        </w:r>
      </w:hyperlink>
    </w:p>
    <w:p w14:paraId="3CF24B5C"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Del Portillo Gutiérrez, A y Tovar Amell, L.  (2022).  Factores de riesgo asociados a conductas de inadaptación social de niños y niñas en el contexto escolar.    Corporación Universidad de la Costa.  Disponible en: https://hdl.handle.net/11323/9701</w:t>
      </w:r>
    </w:p>
    <w:p w14:paraId="3641D081"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yellow"/>
          <w:u w:val="single"/>
        </w:rPr>
      </w:pPr>
      <w:r>
        <w:rPr>
          <w:rFonts w:ascii="Times New Roman" w:eastAsia="Times New Roman" w:hAnsi="Times New Roman" w:cs="Times New Roman"/>
          <w:sz w:val="24"/>
          <w:szCs w:val="24"/>
          <w:highlight w:val="white"/>
        </w:rPr>
        <w:t xml:space="preserve">Rice, F. (2000). </w:t>
      </w:r>
      <w:r>
        <w:rPr>
          <w:rFonts w:ascii="Times New Roman" w:eastAsia="Times New Roman" w:hAnsi="Times New Roman" w:cs="Times New Roman"/>
          <w:i/>
          <w:sz w:val="24"/>
          <w:szCs w:val="24"/>
          <w:highlight w:val="white"/>
        </w:rPr>
        <w:t>Adolescencia, Relaciones, Desarrollo y Cultura.</w:t>
      </w:r>
      <w:r>
        <w:rPr>
          <w:rFonts w:ascii="Times New Roman" w:eastAsia="Times New Roman" w:hAnsi="Times New Roman" w:cs="Times New Roman"/>
          <w:sz w:val="24"/>
          <w:szCs w:val="24"/>
          <w:highlight w:val="white"/>
        </w:rPr>
        <w:t xml:space="preserve"> (9ª ed.). Prentice Hall.</w:t>
      </w:r>
      <w:hyperlink r:id="rId62">
        <w:r w:rsidR="007B5D6A">
          <w:rPr>
            <w:rFonts w:ascii="Times New Roman" w:eastAsia="Times New Roman" w:hAnsi="Times New Roman" w:cs="Times New Roman"/>
            <w:sz w:val="24"/>
            <w:szCs w:val="24"/>
            <w:highlight w:val="white"/>
          </w:rPr>
          <w:t xml:space="preserve"> </w:t>
        </w:r>
      </w:hyperlink>
      <w:hyperlink r:id="rId63">
        <w:r w:rsidR="007B5D6A">
          <w:rPr>
            <w:rFonts w:ascii="Times New Roman" w:eastAsia="Times New Roman" w:hAnsi="Times New Roman" w:cs="Times New Roman"/>
            <w:color w:val="0563C1"/>
            <w:sz w:val="24"/>
            <w:szCs w:val="24"/>
            <w:highlight w:val="white"/>
            <w:u w:val="single"/>
          </w:rPr>
          <w:t>https://toaz.info/doc-view-2</w:t>
        </w:r>
      </w:hyperlink>
    </w:p>
    <w:p w14:paraId="15E8B4AA" w14:textId="77777777" w:rsidR="007B5D6A" w:rsidRDefault="00000000" w:rsidP="00D85AF5">
      <w:pPr>
        <w:spacing w:before="240" w:after="240" w:line="360" w:lineRule="auto"/>
        <w:jc w:val="both"/>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Rojas, L. (2020). Robustez de los índices de ajuste del análisis factorial confirmatorio a los valores extremos. </w:t>
      </w:r>
      <w:r>
        <w:rPr>
          <w:rFonts w:ascii="Times New Roman" w:eastAsia="Times New Roman" w:hAnsi="Times New Roman" w:cs="Times New Roman"/>
          <w:i/>
          <w:sz w:val="24"/>
          <w:szCs w:val="24"/>
          <w:highlight w:val="white"/>
        </w:rPr>
        <w:t>Revista de Matemática: Teoría y aplicaciones, 27</w:t>
      </w:r>
      <w:r>
        <w:rPr>
          <w:rFonts w:ascii="Times New Roman" w:eastAsia="Times New Roman" w:hAnsi="Times New Roman" w:cs="Times New Roman"/>
          <w:sz w:val="24"/>
          <w:szCs w:val="24"/>
          <w:highlight w:val="white"/>
        </w:rPr>
        <w:t>(2), 383–404.</w:t>
      </w:r>
      <w:hyperlink r:id="rId64">
        <w:r w:rsidR="007B5D6A">
          <w:rPr>
            <w:rFonts w:ascii="Times New Roman" w:eastAsia="Times New Roman" w:hAnsi="Times New Roman" w:cs="Times New Roman"/>
            <w:sz w:val="24"/>
            <w:szCs w:val="24"/>
            <w:highlight w:val="white"/>
          </w:rPr>
          <w:t xml:space="preserve"> </w:t>
        </w:r>
      </w:hyperlink>
      <w:hyperlink r:id="rId65">
        <w:r w:rsidR="007B5D6A">
          <w:rPr>
            <w:rFonts w:ascii="Times New Roman" w:eastAsia="Times New Roman" w:hAnsi="Times New Roman" w:cs="Times New Roman"/>
            <w:color w:val="1155CC"/>
            <w:sz w:val="24"/>
            <w:szCs w:val="24"/>
            <w:highlight w:val="white"/>
            <w:u w:val="single"/>
          </w:rPr>
          <w:t>https://www.scielo.sa.cr/pdf/rmta/v27n2/1409-2433-rmta-27-02-383.pdf</w:t>
        </w:r>
      </w:hyperlink>
    </w:p>
    <w:p w14:paraId="1B67A265"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lastRenderedPageBreak/>
        <w:t xml:space="preserve">Quintana, Y. (2014). Propiedades psicométricas de la escala de habilidades sociales en alumnos de nivel secundario de Cartavio. </w:t>
      </w:r>
      <w:r>
        <w:rPr>
          <w:rFonts w:ascii="Times New Roman" w:eastAsia="Times New Roman" w:hAnsi="Times New Roman" w:cs="Times New Roman"/>
          <w:i/>
          <w:sz w:val="24"/>
          <w:szCs w:val="24"/>
          <w:highlight w:val="white"/>
        </w:rPr>
        <w:t>Revista De Investigación De Estudiantes De Psicología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w:t>
      </w:r>
      <w:r>
        <w:rPr>
          <w:rFonts w:ascii="Times New Roman" w:eastAsia="Times New Roman" w:hAnsi="Times New Roman" w:cs="Times New Roman"/>
          <w:sz w:val="24"/>
          <w:szCs w:val="24"/>
          <w:highlight w:val="white"/>
        </w:rPr>
        <w:t>(2), 36–52.</w:t>
      </w:r>
      <w:hyperlink r:id="rId66">
        <w:r w:rsidR="007B5D6A">
          <w:rPr>
            <w:rFonts w:ascii="Times New Roman" w:eastAsia="Times New Roman" w:hAnsi="Times New Roman" w:cs="Times New Roman"/>
            <w:sz w:val="24"/>
            <w:szCs w:val="24"/>
            <w:highlight w:val="white"/>
          </w:rPr>
          <w:t xml:space="preserve"> </w:t>
        </w:r>
      </w:hyperlink>
      <w:hyperlink r:id="rId67">
        <w:r w:rsidR="007B5D6A">
          <w:rPr>
            <w:rFonts w:ascii="Times New Roman" w:eastAsia="Times New Roman" w:hAnsi="Times New Roman" w:cs="Times New Roman"/>
            <w:color w:val="0563C1"/>
            <w:sz w:val="24"/>
            <w:szCs w:val="24"/>
            <w:highlight w:val="white"/>
            <w:u w:val="single"/>
          </w:rPr>
          <w:t>http://revistas.ucv.edu.pe/index.php/jang/article/view/1851</w:t>
        </w:r>
      </w:hyperlink>
    </w:p>
    <w:p w14:paraId="71CDBEDA"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RCN. (30 de mayo de 2022). </w:t>
      </w:r>
      <w:r>
        <w:rPr>
          <w:rFonts w:ascii="Times New Roman" w:eastAsia="Times New Roman" w:hAnsi="Times New Roman" w:cs="Times New Roman"/>
          <w:i/>
          <w:sz w:val="24"/>
          <w:szCs w:val="24"/>
        </w:rPr>
        <w:t>Cerca de 12.000 menores han sido víctimas de violencia este año en Colombia: Medicina Legal.</w:t>
      </w:r>
      <w:hyperlink r:id="rId68">
        <w:r w:rsidR="007B5D6A">
          <w:rPr>
            <w:rFonts w:ascii="Times New Roman" w:eastAsia="Times New Roman" w:hAnsi="Times New Roman" w:cs="Times New Roman"/>
            <w:sz w:val="24"/>
            <w:szCs w:val="24"/>
          </w:rPr>
          <w:t xml:space="preserve"> </w:t>
        </w:r>
      </w:hyperlink>
      <w:hyperlink r:id="rId69">
        <w:r w:rsidR="007B5D6A">
          <w:rPr>
            <w:rFonts w:ascii="Times New Roman" w:eastAsia="Times New Roman" w:hAnsi="Times New Roman" w:cs="Times New Roman"/>
            <w:color w:val="1155CC"/>
            <w:sz w:val="24"/>
            <w:szCs w:val="24"/>
            <w:u w:val="single"/>
          </w:rPr>
          <w:t>https://www.rcnradio.com/colombia/cerca-de-12000-menores-han-sido-victimas-de-violencia-este-ano-en-colombia-medicina-legal</w:t>
        </w:r>
      </w:hyperlink>
      <w:r>
        <w:rPr>
          <w:rFonts w:ascii="Times New Roman" w:eastAsia="Times New Roman" w:hAnsi="Times New Roman" w:cs="Times New Roman"/>
          <w:color w:val="0563C1"/>
          <w:sz w:val="24"/>
          <w:szCs w:val="24"/>
          <w:u w:val="single"/>
        </w:rPr>
        <w:t xml:space="preserve">. </w:t>
      </w:r>
    </w:p>
    <w:p w14:paraId="7D1F99F1"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yellow"/>
          <w:u w:val="single"/>
        </w:rPr>
      </w:pPr>
      <w:r>
        <w:rPr>
          <w:rFonts w:ascii="Times New Roman" w:eastAsia="Times New Roman" w:hAnsi="Times New Roman" w:cs="Times New Roman"/>
          <w:sz w:val="24"/>
          <w:szCs w:val="24"/>
          <w:highlight w:val="white"/>
        </w:rPr>
        <w:t>Rivera,</w:t>
      </w:r>
      <w:r>
        <w:rPr>
          <w:rFonts w:ascii="Times New Roman" w:eastAsia="Times New Roman" w:hAnsi="Times New Roman" w:cs="Times New Roman"/>
          <w:sz w:val="24"/>
          <w:szCs w:val="24"/>
          <w:highlight w:val="white"/>
          <w:vertAlign w:val="superscript"/>
        </w:rPr>
        <w:t xml:space="preserve"> </w:t>
      </w:r>
      <w:r>
        <w:rPr>
          <w:rFonts w:ascii="Times New Roman" w:eastAsia="Times New Roman" w:hAnsi="Times New Roman" w:cs="Times New Roman"/>
          <w:sz w:val="24"/>
          <w:szCs w:val="24"/>
          <w:highlight w:val="white"/>
        </w:rPr>
        <w:t xml:space="preserve">F., Quiroz, F., Benites, F. &amp; Pérez, E. (2019). Conductas antisociales y pensamientos automáticos en escolares del Perú. </w:t>
      </w:r>
      <w:r>
        <w:rPr>
          <w:rFonts w:ascii="Times New Roman" w:eastAsia="Times New Roman" w:hAnsi="Times New Roman" w:cs="Times New Roman"/>
          <w:i/>
          <w:sz w:val="24"/>
          <w:szCs w:val="24"/>
          <w:highlight w:val="white"/>
        </w:rPr>
        <w:t>Revista de Difusión cultural y científica de la Universidad La Salle en Bolivia, 18</w:t>
      </w:r>
      <w:r>
        <w:rPr>
          <w:rFonts w:ascii="Times New Roman" w:eastAsia="Times New Roman" w:hAnsi="Times New Roman" w:cs="Times New Roman"/>
          <w:sz w:val="24"/>
          <w:szCs w:val="24"/>
          <w:highlight w:val="white"/>
        </w:rPr>
        <w:t>(18).</w:t>
      </w:r>
      <w:hyperlink r:id="rId70">
        <w:r w:rsidR="007B5D6A">
          <w:rPr>
            <w:rFonts w:ascii="Times New Roman" w:eastAsia="Times New Roman" w:hAnsi="Times New Roman" w:cs="Times New Roman"/>
            <w:sz w:val="24"/>
            <w:szCs w:val="24"/>
            <w:highlight w:val="white"/>
          </w:rPr>
          <w:t xml:space="preserve"> </w:t>
        </w:r>
      </w:hyperlink>
      <w:hyperlink r:id="rId71">
        <w:r w:rsidR="007B5D6A">
          <w:rPr>
            <w:rFonts w:ascii="Times New Roman" w:eastAsia="Times New Roman" w:hAnsi="Times New Roman" w:cs="Times New Roman"/>
            <w:color w:val="0563C1"/>
            <w:sz w:val="24"/>
            <w:szCs w:val="24"/>
            <w:highlight w:val="white"/>
            <w:u w:val="single"/>
          </w:rPr>
          <w:t>http://www.scielo.org.bo/scielo.php?script=sci_arttext&amp;pid=S2071-081X2019000200007</w:t>
        </w:r>
      </w:hyperlink>
    </w:p>
    <w:p w14:paraId="4061B05B"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Sobeida, R. (2015). </w:t>
      </w:r>
      <w:r>
        <w:rPr>
          <w:rFonts w:ascii="Times New Roman" w:eastAsia="Times New Roman" w:hAnsi="Times New Roman" w:cs="Times New Roman"/>
          <w:i/>
          <w:sz w:val="24"/>
          <w:szCs w:val="24"/>
          <w:highlight w:val="white"/>
        </w:rPr>
        <w:t>La Inadaptación Del Estudiante Rural Y Sus Consecuencias En El Rendimiento Académico De Los Estudiantes De La Unidad Educativa “Río Amazonas” Del Recinto Julio Moreno Espinoza, Provincia De Santo Domingo De Los Tsáchilas”</w:t>
      </w:r>
      <w:r>
        <w:rPr>
          <w:rFonts w:ascii="Times New Roman" w:eastAsia="Times New Roman" w:hAnsi="Times New Roman" w:cs="Times New Roman"/>
          <w:sz w:val="24"/>
          <w:szCs w:val="24"/>
          <w:highlight w:val="white"/>
        </w:rPr>
        <w:t xml:space="preserve"> [Tesis de maestría, Universidad Técnica de Babahoyo]. Repositorio institucional: Universidad Técnica de Babahoyo.</w:t>
      </w:r>
      <w:hyperlink r:id="rId72">
        <w:r w:rsidR="007B5D6A">
          <w:rPr>
            <w:rFonts w:ascii="Times New Roman" w:eastAsia="Times New Roman" w:hAnsi="Times New Roman" w:cs="Times New Roman"/>
            <w:sz w:val="24"/>
            <w:szCs w:val="24"/>
            <w:highlight w:val="white"/>
          </w:rPr>
          <w:t xml:space="preserve"> </w:t>
        </w:r>
      </w:hyperlink>
      <w:hyperlink r:id="rId73">
        <w:r w:rsidR="007B5D6A">
          <w:rPr>
            <w:rFonts w:ascii="Times New Roman" w:eastAsia="Times New Roman" w:hAnsi="Times New Roman" w:cs="Times New Roman"/>
            <w:color w:val="0563C1"/>
            <w:sz w:val="24"/>
            <w:szCs w:val="24"/>
            <w:highlight w:val="white"/>
            <w:u w:val="single"/>
          </w:rPr>
          <w:t>http://dspace.utb.edu.ec/bitstream/handle/49000/1690/T-UTB-CEPOS-MDC-0000037.pdf?sequence=1&amp;isAllowed=y</w:t>
        </w:r>
      </w:hyperlink>
    </w:p>
    <w:p w14:paraId="7EB76BFF" w14:textId="77777777" w:rsidR="007B5D6A" w:rsidRDefault="00000000" w:rsidP="00D85AF5">
      <w:pPr>
        <w:spacing w:before="240" w:after="240" w:line="360" w:lineRule="auto"/>
        <w:jc w:val="both"/>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Streiner, D. (2003). Starting at the beginning: An introduction to coefficient alpha and internal consistency. </w:t>
      </w:r>
      <w:r>
        <w:rPr>
          <w:rFonts w:ascii="Times New Roman" w:eastAsia="Times New Roman" w:hAnsi="Times New Roman" w:cs="Times New Roman"/>
          <w:i/>
          <w:sz w:val="24"/>
          <w:szCs w:val="24"/>
          <w:highlight w:val="white"/>
        </w:rPr>
        <w:t>J Pers Assess,</w:t>
      </w:r>
      <w:r>
        <w:rPr>
          <w:rFonts w:ascii="Times New Roman" w:eastAsia="Times New Roman" w:hAnsi="Times New Roman" w:cs="Times New Roman"/>
          <w:sz w:val="24"/>
          <w:szCs w:val="24"/>
          <w:highlight w:val="white"/>
        </w:rPr>
        <w:t xml:space="preserve"> 99-103.</w:t>
      </w:r>
      <w:hyperlink r:id="rId74">
        <w:r w:rsidR="007B5D6A">
          <w:rPr>
            <w:rFonts w:ascii="Times New Roman" w:eastAsia="Times New Roman" w:hAnsi="Times New Roman" w:cs="Times New Roman"/>
            <w:sz w:val="24"/>
            <w:szCs w:val="24"/>
            <w:highlight w:val="white"/>
          </w:rPr>
          <w:t xml:space="preserve"> </w:t>
        </w:r>
      </w:hyperlink>
      <w:hyperlink r:id="rId75">
        <w:r w:rsidR="007B5D6A">
          <w:rPr>
            <w:rFonts w:ascii="Times New Roman" w:eastAsia="Times New Roman" w:hAnsi="Times New Roman" w:cs="Times New Roman"/>
            <w:color w:val="0563C1"/>
            <w:sz w:val="24"/>
            <w:szCs w:val="24"/>
            <w:highlight w:val="white"/>
            <w:u w:val="single"/>
          </w:rPr>
          <w:t>https://doi.org/10.1207/S15327752JPA8001_18</w:t>
        </w:r>
      </w:hyperlink>
    </w:p>
    <w:p w14:paraId="5DB706C7" w14:textId="77777777" w:rsidR="007B5D6A" w:rsidRDefault="00000000" w:rsidP="00D85AF5">
      <w:pPr>
        <w:spacing w:before="240" w:after="240" w:line="360" w:lineRule="auto"/>
        <w:jc w:val="both"/>
        <w:rPr>
          <w:sz w:val="24"/>
          <w:szCs w:val="24"/>
          <w:highlight w:val="white"/>
        </w:rPr>
      </w:pPr>
      <w:r>
        <w:rPr>
          <w:rFonts w:ascii="Times New Roman" w:eastAsia="Times New Roman" w:hAnsi="Times New Roman" w:cs="Times New Roman"/>
          <w:sz w:val="24"/>
          <w:szCs w:val="24"/>
          <w:highlight w:val="white"/>
        </w:rPr>
        <w:t xml:space="preserve">Vargas, M. &amp; Alarcón, M. (2021). Competencias especializadas de intervención en desadaptación social adolescente. </w:t>
      </w:r>
      <w:r>
        <w:rPr>
          <w:rFonts w:ascii="Times New Roman" w:eastAsia="Times New Roman" w:hAnsi="Times New Roman" w:cs="Times New Roman"/>
          <w:i/>
          <w:sz w:val="24"/>
          <w:szCs w:val="24"/>
          <w:highlight w:val="white"/>
        </w:rPr>
        <w:t>Interdisciplinaria: Revista de psicología y ciencias afines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38</w:t>
      </w:r>
      <w:r>
        <w:rPr>
          <w:rFonts w:ascii="Times New Roman" w:eastAsia="Times New Roman" w:hAnsi="Times New Roman" w:cs="Times New Roman"/>
          <w:sz w:val="24"/>
          <w:szCs w:val="24"/>
          <w:highlight w:val="white"/>
        </w:rPr>
        <w:t>(3), 67-82.</w:t>
      </w:r>
      <w:hyperlink r:id="rId76">
        <w:r w:rsidR="007B5D6A">
          <w:rPr>
            <w:rFonts w:ascii="Times New Roman" w:eastAsia="Times New Roman" w:hAnsi="Times New Roman" w:cs="Times New Roman"/>
            <w:sz w:val="24"/>
            <w:szCs w:val="24"/>
            <w:highlight w:val="white"/>
          </w:rPr>
          <w:t xml:space="preserve"> </w:t>
        </w:r>
      </w:hyperlink>
      <w:hyperlink r:id="rId77">
        <w:r w:rsidR="007B5D6A">
          <w:rPr>
            <w:rFonts w:ascii="Times New Roman" w:eastAsia="Times New Roman" w:hAnsi="Times New Roman" w:cs="Times New Roman"/>
            <w:color w:val="0563C1"/>
            <w:sz w:val="24"/>
            <w:szCs w:val="24"/>
            <w:highlight w:val="white"/>
            <w:u w:val="single"/>
          </w:rPr>
          <w:t>https://doi.org/10.16888/interd.2021.38.3.4</w:t>
        </w:r>
      </w:hyperlink>
    </w:p>
    <w:p w14:paraId="518BE4EC" w14:textId="77777777" w:rsidR="007B5D6A" w:rsidRDefault="007B5D6A" w:rsidP="00D85AF5">
      <w:pPr>
        <w:jc w:val="both"/>
        <w:rPr>
          <w:rFonts w:ascii="Times New Roman" w:eastAsia="Times New Roman" w:hAnsi="Times New Roman" w:cs="Times New Roman"/>
          <w:b/>
          <w:sz w:val="24"/>
          <w:szCs w:val="24"/>
        </w:rPr>
      </w:pPr>
    </w:p>
    <w:sectPr w:rsidR="007B5D6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6A"/>
    <w:rsid w:val="003406CF"/>
    <w:rsid w:val="00651349"/>
    <w:rsid w:val="007B5D6A"/>
    <w:rsid w:val="009E0AB5"/>
    <w:rsid w:val="00A64675"/>
    <w:rsid w:val="00B4710D"/>
    <w:rsid w:val="00C2207F"/>
    <w:rsid w:val="00C3780B"/>
    <w:rsid w:val="00D07922"/>
    <w:rsid w:val="00D85AF5"/>
    <w:rsid w:val="00D935A2"/>
    <w:rsid w:val="00E42C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EAE7"/>
  <w15:docId w15:val="{FD62AF31-634D-4C65-A7CC-1727D835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4809">
      <w:bodyDiv w:val="1"/>
      <w:marLeft w:val="0"/>
      <w:marRight w:val="0"/>
      <w:marTop w:val="0"/>
      <w:marBottom w:val="0"/>
      <w:divBdr>
        <w:top w:val="none" w:sz="0" w:space="0" w:color="auto"/>
        <w:left w:val="none" w:sz="0" w:space="0" w:color="auto"/>
        <w:bottom w:val="none" w:sz="0" w:space="0" w:color="auto"/>
        <w:right w:val="none" w:sz="0" w:space="0" w:color="auto"/>
      </w:divBdr>
    </w:div>
    <w:div w:id="511146607">
      <w:bodyDiv w:val="1"/>
      <w:marLeft w:val="0"/>
      <w:marRight w:val="0"/>
      <w:marTop w:val="0"/>
      <w:marBottom w:val="0"/>
      <w:divBdr>
        <w:top w:val="none" w:sz="0" w:space="0" w:color="auto"/>
        <w:left w:val="none" w:sz="0" w:space="0" w:color="auto"/>
        <w:bottom w:val="none" w:sz="0" w:space="0" w:color="auto"/>
        <w:right w:val="none" w:sz="0" w:space="0" w:color="auto"/>
      </w:divBdr>
    </w:div>
    <w:div w:id="1662542706">
      <w:bodyDiv w:val="1"/>
      <w:marLeft w:val="0"/>
      <w:marRight w:val="0"/>
      <w:marTop w:val="0"/>
      <w:marBottom w:val="0"/>
      <w:divBdr>
        <w:top w:val="none" w:sz="0" w:space="0" w:color="auto"/>
        <w:left w:val="none" w:sz="0" w:space="0" w:color="auto"/>
        <w:bottom w:val="none" w:sz="0" w:space="0" w:color="auto"/>
        <w:right w:val="none" w:sz="0" w:space="0" w:color="auto"/>
      </w:divBdr>
    </w:div>
    <w:div w:id="210753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eviberopsicologia.ibero.edu.co/article/view/2186" TargetMode="External"/><Relationship Id="rId21" Type="http://schemas.openxmlformats.org/officeDocument/2006/relationships/hyperlink" Target="https://ri.conicet.gov.ar/handle/11336/73550" TargetMode="External"/><Relationship Id="rId42" Type="http://schemas.openxmlformats.org/officeDocument/2006/relationships/hyperlink" Target="http://www.scielo.org.co/scielo.php?script=sci_arttext&amp;pid=S1900-23862018000100059&amp;lng=pt&amp;nrm=iso" TargetMode="External"/><Relationship Id="rId47" Type="http://schemas.openxmlformats.org/officeDocument/2006/relationships/hyperlink" Target="https://repository.ucc.edu.co/server/api/core/bitstreams/f323d106-c0e9-47ca-844d-0c773ffdb80a/content" TargetMode="External"/><Relationship Id="rId63" Type="http://schemas.openxmlformats.org/officeDocument/2006/relationships/hyperlink" Target="https://toaz.info/doc-view-2" TargetMode="External"/><Relationship Id="rId68" Type="http://schemas.openxmlformats.org/officeDocument/2006/relationships/hyperlink" Target="https://www.rcnradio.com/colombia/cerca-de12000-menores-han-sido-victimas-de-violencia-este-ano-en-colombia-medicina-legal" TargetMode="External"/><Relationship Id="rId16" Type="http://schemas.openxmlformats.org/officeDocument/2006/relationships/hyperlink" Target="http://sepjf.org/wp-content/uploads/2018/12/Vol.-2.-Psicologia-juridica-del-Menor.pdf" TargetMode="External"/><Relationship Id="rId11" Type="http://schemas.openxmlformats.org/officeDocument/2006/relationships/hyperlink" Target="https://doi.org/10.15517/h.v10i2.41154" TargetMode="External"/><Relationship Id="rId24" Type="http://schemas.openxmlformats.org/officeDocument/2006/relationships/hyperlink" Target="https://doi.org/10.1016/S2007-4719(14)70387-4" TargetMode="External"/><Relationship Id="rId32" Type="http://schemas.openxmlformats.org/officeDocument/2006/relationships/hyperlink" Target="https://m.inei.gob.pe/estadisticas/indice-tematico/education/" TargetMode="External"/><Relationship Id="rId37" Type="http://schemas.openxmlformats.org/officeDocument/2006/relationships/hyperlink" Target="https://doi.org/10.1016/j.drugalcdep.2008.01.004" TargetMode="External"/><Relationship Id="rId40" Type="http://schemas.openxmlformats.org/officeDocument/2006/relationships/hyperlink" Target="https://www.redalyc.org/pdf/264/26443313002.pdf" TargetMode="External"/><Relationship Id="rId45" Type="http://schemas.openxmlformats.org/officeDocument/2006/relationships/hyperlink" Target="http://www.scielo.org.co/scielo.php?script=sci_arttext&amp;pid=S0034-74502012000100014" TargetMode="External"/><Relationship Id="rId53" Type="http://schemas.openxmlformats.org/officeDocument/2006/relationships/hyperlink" Target="https://uprrp.libguides.com/c.php?g=879278&amp;p=6408079" TargetMode="External"/><Relationship Id="rId58" Type="http://schemas.openxmlformats.org/officeDocument/2006/relationships/hyperlink" Target="http://www.oas.org/es/cidh/informes/pdfs/violencianinez2016.pdf" TargetMode="External"/><Relationship Id="rId66" Type="http://schemas.openxmlformats.org/officeDocument/2006/relationships/hyperlink" Target="http://revistas.ucv.edu.pe/index.php/jang/article/view/1851" TargetMode="External"/><Relationship Id="rId74" Type="http://schemas.openxmlformats.org/officeDocument/2006/relationships/hyperlink" Target="https://doi.org/10.1207/S15327752JPA8001_18" TargetMode="External"/><Relationship Id="rId79" Type="http://schemas.openxmlformats.org/officeDocument/2006/relationships/theme" Target="theme/theme1.xml"/><Relationship Id="rId5" Type="http://schemas.openxmlformats.org/officeDocument/2006/relationships/hyperlink" Target="http://pepsic.bvsalud.org/scielo.php?script=sci_arttext&amp;pid=S0719-448x2013000200005" TargetMode="External"/><Relationship Id="rId61" Type="http://schemas.openxmlformats.org/officeDocument/2006/relationships/hyperlink" Target="https://doi.org/10.46377/dilemas.v8i.2823" TargetMode="External"/><Relationship Id="rId19" Type="http://schemas.openxmlformats.org/officeDocument/2006/relationships/hyperlink" Target="https://repositorio.uap.edu.pe/handle/20.500.12990/2356" TargetMode="External"/><Relationship Id="rId14" Type="http://schemas.openxmlformats.org/officeDocument/2006/relationships/hyperlink" Target="https://doi.org/10.1016/j.jvb.2020.103410" TargetMode="External"/><Relationship Id="rId22" Type="http://schemas.openxmlformats.org/officeDocument/2006/relationships/hyperlink" Target="https://ri.conicet.gov.ar/handle/11336/73550" TargetMode="External"/><Relationship Id="rId27" Type="http://schemas.openxmlformats.org/officeDocument/2006/relationships/hyperlink" Target="https://www.scielo.cl/scielo.php?script=sci_arttext&amp;pid=S0717-92272019000200100&amp;lang=es" TargetMode="External"/><Relationship Id="rId30" Type="http://schemas.openxmlformats.org/officeDocument/2006/relationships/hyperlink" Target="https://dialnet.unirioja.es/servlet/articulo?codigo=743531" TargetMode="External"/><Relationship Id="rId35" Type="http://schemas.openxmlformats.org/officeDocument/2006/relationships/hyperlink" Target="http://www.scielo.org.ar/pdf/psocial/v7n1/2422-619X-psocial-7-1-66.pdf" TargetMode="External"/><Relationship Id="rId43" Type="http://schemas.openxmlformats.org/officeDocument/2006/relationships/hyperlink" Target="http://www.scielo.org.co/scielo.php?script=sci_arttext&amp;pid=S1900-23862018000100059&amp;lng=pt&amp;nrm=iso" TargetMode="External"/><Relationship Id="rId48" Type="http://schemas.openxmlformats.org/officeDocument/2006/relationships/hyperlink" Target="https://www.redalyc.org/pdf/167/16711594019.pdf" TargetMode="External"/><Relationship Id="rId56" Type="http://schemas.openxmlformats.org/officeDocument/2006/relationships/hyperlink" Target="http://www.biblioteca.cij.gob.mx/Archivos/Materiales_de_consulta/Drogas_de_Abuso/Articulos/MetodologiaInvestigacionNaupas.pdf" TargetMode="External"/><Relationship Id="rId64" Type="http://schemas.openxmlformats.org/officeDocument/2006/relationships/hyperlink" Target="https://www.scielo.sa.cr/pdf/rmta/v27n2/1409-2433-rmta-27-02-383.pdf" TargetMode="External"/><Relationship Id="rId69" Type="http://schemas.openxmlformats.org/officeDocument/2006/relationships/hyperlink" Target="https://www.rcnradio.com/colombia/cerca-de-12000-menores-han-sido-victimas-de-violencia-este-ano-en-colombia-medicina-legal" TargetMode="External"/><Relationship Id="rId77" Type="http://schemas.openxmlformats.org/officeDocument/2006/relationships/hyperlink" Target="https://doi.org/10.16888/interd.2021.38.3.4" TargetMode="External"/><Relationship Id="rId8" Type="http://schemas.openxmlformats.org/officeDocument/2006/relationships/hyperlink" Target="https://repositorio.ucv.edu.pe/handle/20.500.12692/109278" TargetMode="External"/><Relationship Id="rId51" Type="http://schemas.openxmlformats.org/officeDocument/2006/relationships/hyperlink" Target="https://www.redalyc.org/pdf/337/33701007.pdf" TargetMode="External"/><Relationship Id="rId72" Type="http://schemas.openxmlformats.org/officeDocument/2006/relationships/hyperlink" Target="http://dspace.utb.edu.ec/bitstream/handle/49000/1690/T-UTB-CEPOS-MDC-0000037.pdf?sequence=1&amp;isAllowed=y" TargetMode="External"/><Relationship Id="rId3" Type="http://schemas.openxmlformats.org/officeDocument/2006/relationships/webSettings" Target="webSettings.xml"/><Relationship Id="rId12" Type="http://schemas.openxmlformats.org/officeDocument/2006/relationships/hyperlink" Target="https://doi.org/10.15517/h.v10i2.41154" TargetMode="External"/><Relationship Id="rId17" Type="http://schemas.openxmlformats.org/officeDocument/2006/relationships/hyperlink" Target="https://alicia.concytec.gob.pe/vufind/Record/UCVV_a2d3321f475da8e91b2dc40a0783401b" TargetMode="External"/><Relationship Id="rId25" Type="http://schemas.openxmlformats.org/officeDocument/2006/relationships/hyperlink" Target="https://reviberopsicologia.ibero.edu.co/article/view/2186" TargetMode="External"/><Relationship Id="rId33" Type="http://schemas.openxmlformats.org/officeDocument/2006/relationships/hyperlink" Target="https://m.inei.gob.pe/estadisticas/indice-tematico/education/" TargetMode="External"/><Relationship Id="rId38" Type="http://schemas.openxmlformats.org/officeDocument/2006/relationships/hyperlink" Target="https://doi.org/10.6018/analesps.30.3.199361" TargetMode="External"/><Relationship Id="rId46" Type="http://schemas.openxmlformats.org/officeDocument/2006/relationships/hyperlink" Target="https://repository.ucc.edu.co/server/api/core/bitstreams/f323d106-c0e9-47ca-844d-0c773ffdb80a/content" TargetMode="External"/><Relationship Id="rId59" Type="http://schemas.openxmlformats.org/officeDocument/2006/relationships/hyperlink" Target="http://www.oas.org/es/cidh/informes/pdfs/violencianinez2016.pdf" TargetMode="External"/><Relationship Id="rId67" Type="http://schemas.openxmlformats.org/officeDocument/2006/relationships/hyperlink" Target="http://revistas.ucv.edu.pe/index.php/jang/article/view/1851" TargetMode="External"/><Relationship Id="rId20" Type="http://schemas.openxmlformats.org/officeDocument/2006/relationships/hyperlink" Target="https://repositorio.uap.edu.pe/handle/20.500.12990/2356" TargetMode="External"/><Relationship Id="rId41" Type="http://schemas.openxmlformats.org/officeDocument/2006/relationships/hyperlink" Target="https://www.redalyc.org/pdf/264/26443313002.pdf" TargetMode="External"/><Relationship Id="rId54" Type="http://schemas.openxmlformats.org/officeDocument/2006/relationships/hyperlink" Target="https://revistacriminalidad.policia.gov.co:8000/index.php/revcriminalidad/article/view/406" TargetMode="External"/><Relationship Id="rId62" Type="http://schemas.openxmlformats.org/officeDocument/2006/relationships/hyperlink" Target="https://toaz.info/doc-view-2" TargetMode="External"/><Relationship Id="rId70" Type="http://schemas.openxmlformats.org/officeDocument/2006/relationships/hyperlink" Target="http://www.scielo.org.bo/scielo.php?script=sci_arttext&amp;pid=S2071-081X2019000200007" TargetMode="External"/><Relationship Id="rId75" Type="http://schemas.openxmlformats.org/officeDocument/2006/relationships/hyperlink" Target="https://doi.org/10.1207/S15327752JPA8001_18" TargetMode="External"/><Relationship Id="rId1" Type="http://schemas.openxmlformats.org/officeDocument/2006/relationships/styles" Target="styles.xml"/><Relationship Id="rId6" Type="http://schemas.openxmlformats.org/officeDocument/2006/relationships/hyperlink" Target="http://pepsic.bvsalud.org/scielo.php?script=sci_arttext&amp;pid=S0719-448x2013000200005" TargetMode="External"/><Relationship Id="rId15" Type="http://schemas.openxmlformats.org/officeDocument/2006/relationships/hyperlink" Target="http://sepjf.org/wp-content/uploads/2018/12/Vol.-2.-Psicologia-juridica-del-Menor.pdf" TargetMode="External"/><Relationship Id="rId23" Type="http://schemas.openxmlformats.org/officeDocument/2006/relationships/hyperlink" Target="https://doi.org/10.1016/S2007-4719(14)70387-4" TargetMode="External"/><Relationship Id="rId28" Type="http://schemas.openxmlformats.org/officeDocument/2006/relationships/hyperlink" Target="https://www.scielo.cl/scielo.php?script=sci_arttext&amp;pid=S0717-92272019000200100&amp;lang=es" TargetMode="External"/><Relationship Id="rId36" Type="http://schemas.openxmlformats.org/officeDocument/2006/relationships/hyperlink" Target="https://doi.org/10.1016/j.drugalcdep.2008.01.004" TargetMode="External"/><Relationship Id="rId49" Type="http://schemas.openxmlformats.org/officeDocument/2006/relationships/hyperlink" Target="https://www.redalyc.org/pdf/167/16711594019.pdf" TargetMode="External"/><Relationship Id="rId57" Type="http://schemas.openxmlformats.org/officeDocument/2006/relationships/hyperlink" Target="http://www.biblioteca.cij.gob.mx/Archivos/Materiales_de_consulta/Drogas_de_Abuso/Articulos/MetodologiaInvestigacionNaupas.pdf" TargetMode="External"/><Relationship Id="rId10" Type="http://schemas.openxmlformats.org/officeDocument/2006/relationships/hyperlink" Target="https://www.redalyc.org/pdf/422/42210515.pdf" TargetMode="External"/><Relationship Id="rId31" Type="http://schemas.openxmlformats.org/officeDocument/2006/relationships/hyperlink" Target="https://dialnet.unirioja.es/servlet/articulo?codigo=743531" TargetMode="External"/><Relationship Id="rId44" Type="http://schemas.openxmlformats.org/officeDocument/2006/relationships/hyperlink" Target="http://www.scielo.org.co/scielo.php?script=sci_arttext&amp;pid=S0034-74502012000100014" TargetMode="External"/><Relationship Id="rId52" Type="http://schemas.openxmlformats.org/officeDocument/2006/relationships/hyperlink" Target="https://uprrp.libguides.com/c.php?g=879278&amp;p=6408079" TargetMode="External"/><Relationship Id="rId60" Type="http://schemas.openxmlformats.org/officeDocument/2006/relationships/hyperlink" Target="https://doi.org/10.46377/dilemas.v8i.2823" TargetMode="External"/><Relationship Id="rId65" Type="http://schemas.openxmlformats.org/officeDocument/2006/relationships/hyperlink" Target="https://www.scielo.sa.cr/pdf/rmta/v27n2/1409-2433-rmta-27-02-383.pdf" TargetMode="External"/><Relationship Id="rId73" Type="http://schemas.openxmlformats.org/officeDocument/2006/relationships/hyperlink" Target="http://dspace.utb.edu.ec/bitstream/handle/49000/1690/T-UTB-CEPOS-MDC-0000037.pdf?sequence=1&amp;isAllowed=y" TargetMode="External"/><Relationship Id="rId78"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redalyc.org/pdf/422/42210515.pdf" TargetMode="External"/><Relationship Id="rId13" Type="http://schemas.openxmlformats.org/officeDocument/2006/relationships/hyperlink" Target="https://doi.org/10.1016/j.jvb.2020.103410" TargetMode="External"/><Relationship Id="rId18" Type="http://schemas.openxmlformats.org/officeDocument/2006/relationships/hyperlink" Target="https://alicia.concytec.gob.pe/vufind/Record/UCVV_a2d3321f475da8e91b2dc40a0783401b" TargetMode="External"/><Relationship Id="rId39" Type="http://schemas.openxmlformats.org/officeDocument/2006/relationships/hyperlink" Target="https://doi.org/10.6018/analesps.30.3.199361" TargetMode="External"/><Relationship Id="rId34" Type="http://schemas.openxmlformats.org/officeDocument/2006/relationships/hyperlink" Target="http://www.scielo.org.ar/pdf/psocial/v7n1/2422-619X-psocial-7-1-66.pdf" TargetMode="External"/><Relationship Id="rId50" Type="http://schemas.openxmlformats.org/officeDocument/2006/relationships/hyperlink" Target="https://www.redalyc.org/pdf/337/33701007.pdf" TargetMode="External"/><Relationship Id="rId55" Type="http://schemas.openxmlformats.org/officeDocument/2006/relationships/hyperlink" Target="https://revistacriminalidad.policia.gov.co:8000/index.php/revcriminalidad/article/view/406" TargetMode="External"/><Relationship Id="rId76" Type="http://schemas.openxmlformats.org/officeDocument/2006/relationships/hyperlink" Target="https://doi.org/10.16888/interd.2021.38.3.4" TargetMode="External"/><Relationship Id="rId7" Type="http://schemas.openxmlformats.org/officeDocument/2006/relationships/hyperlink" Target="https://repositorio.ucv.edu.pe/handle/20.500.12692/109278" TargetMode="External"/><Relationship Id="rId71" Type="http://schemas.openxmlformats.org/officeDocument/2006/relationships/hyperlink" Target="http://www.scielo.org.bo/scielo.php?script=sci_arttext&amp;pid=S2071-081X2019000200007" TargetMode="External"/><Relationship Id="rId2" Type="http://schemas.openxmlformats.org/officeDocument/2006/relationships/settings" Target="settings.xml"/><Relationship Id="rId29" Type="http://schemas.openxmlformats.org/officeDocument/2006/relationships/hyperlink" Target="https://dialnet.unirioja.es/servlet/articulo?codigo=7435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7384</Words>
  <Characters>40616</Characters>
  <Application>Microsoft Office Word</Application>
  <DocSecurity>0</DocSecurity>
  <Lines>338</Lines>
  <Paragraphs>95</Paragraphs>
  <ScaleCrop>false</ScaleCrop>
  <Company/>
  <LinksUpToDate>false</LinksUpToDate>
  <CharactersWithSpaces>47905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mamá</dc:creator>
  <cp:lastModifiedBy>Hola Como estas</cp:lastModifiedBy>
  <cp:revision>2</cp:revision>
  <dcterms:created xsi:type="dcterms:W3CDTF">2025-01-09T00:32:00Z</dcterms:created>
  <dcterms:modified xsi:type="dcterms:W3CDTF">2025-01-09T00:32:00Z</dcterms:modified>
</cp:coreProperties>
</file>