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36"/>
          <w:szCs w:val="36"/>
        </w:rPr>
      </w:pPr>
      <w:proofErr w:type="spellStart"/>
      <w:r>
        <w:rPr>
          <w:b/>
          <w:color w:val="000000"/>
          <w:sz w:val="36"/>
          <w:szCs w:val="36"/>
        </w:rPr>
        <w:t>Evidence</w:t>
      </w:r>
      <w:proofErr w:type="spellEnd"/>
      <w:r>
        <w:rPr>
          <w:b/>
          <w:color w:val="000000"/>
          <w:sz w:val="36"/>
          <w:szCs w:val="36"/>
        </w:rPr>
        <w:t xml:space="preserve"> of </w:t>
      </w:r>
      <w:proofErr w:type="spellStart"/>
      <w:r>
        <w:rPr>
          <w:b/>
          <w:color w:val="000000"/>
          <w:sz w:val="36"/>
          <w:szCs w:val="36"/>
        </w:rPr>
        <w:t>Validity</w:t>
      </w:r>
      <w:proofErr w:type="spellEnd"/>
      <w:r>
        <w:rPr>
          <w:b/>
          <w:color w:val="000000"/>
          <w:sz w:val="36"/>
          <w:szCs w:val="36"/>
        </w:rPr>
        <w:t xml:space="preserve"> </w:t>
      </w:r>
      <w:proofErr w:type="spellStart"/>
      <w:r>
        <w:rPr>
          <w:b/>
          <w:color w:val="000000"/>
          <w:sz w:val="36"/>
          <w:szCs w:val="36"/>
        </w:rPr>
        <w:t>Based</w:t>
      </w:r>
      <w:proofErr w:type="spellEnd"/>
      <w:r>
        <w:rPr>
          <w:b/>
          <w:color w:val="000000"/>
          <w:sz w:val="36"/>
          <w:szCs w:val="36"/>
        </w:rPr>
        <w:t xml:space="preserve"> </w:t>
      </w:r>
      <w:proofErr w:type="spellStart"/>
      <w:r>
        <w:rPr>
          <w:b/>
          <w:color w:val="000000"/>
          <w:sz w:val="36"/>
          <w:szCs w:val="36"/>
        </w:rPr>
        <w:t>on</w:t>
      </w:r>
      <w:proofErr w:type="spellEnd"/>
      <w:r>
        <w:rPr>
          <w:b/>
          <w:color w:val="000000"/>
          <w:sz w:val="36"/>
          <w:szCs w:val="36"/>
        </w:rPr>
        <w:t xml:space="preserve"> the Content of the Child Executive </w:t>
      </w:r>
      <w:proofErr w:type="spellStart"/>
      <w:r>
        <w:rPr>
          <w:b/>
          <w:color w:val="000000"/>
          <w:sz w:val="36"/>
          <w:szCs w:val="36"/>
        </w:rPr>
        <w:t>Function</w:t>
      </w:r>
      <w:proofErr w:type="spellEnd"/>
      <w:r>
        <w:rPr>
          <w:b/>
          <w:color w:val="000000"/>
          <w:sz w:val="36"/>
          <w:szCs w:val="36"/>
        </w:rPr>
        <w:t xml:space="preserve"> </w:t>
      </w:r>
      <w:proofErr w:type="spellStart"/>
      <w:r>
        <w:rPr>
          <w:b/>
          <w:color w:val="000000"/>
          <w:sz w:val="36"/>
          <w:szCs w:val="36"/>
        </w:rPr>
        <w:t>Assessment</w:t>
      </w:r>
      <w:proofErr w:type="spellEnd"/>
      <w:r>
        <w:rPr>
          <w:b/>
          <w:color w:val="000000"/>
          <w:sz w:val="36"/>
          <w:szCs w:val="36"/>
        </w:rPr>
        <w:t xml:space="preserve"> </w:t>
      </w:r>
      <w:proofErr w:type="spellStart"/>
      <w:r>
        <w:rPr>
          <w:b/>
          <w:color w:val="000000"/>
          <w:sz w:val="36"/>
          <w:szCs w:val="36"/>
        </w:rPr>
        <w:t>Battery</w:t>
      </w:r>
      <w:proofErr w:type="spellEnd"/>
      <w:r>
        <w:rPr>
          <w:b/>
          <w:color w:val="000000"/>
          <w:sz w:val="36"/>
          <w:szCs w:val="36"/>
        </w:rPr>
        <w:t xml:space="preserve"> </w:t>
      </w:r>
      <w:sdt>
        <w:sdtPr>
          <w:tag w:val="goog_rdk_0"/>
          <w:id w:val="-365362854"/>
        </w:sdtPr>
        <w:sdtEndPr/>
        <w:sdtContent/>
      </w:sdt>
      <w:sdt>
        <w:sdtPr>
          <w:tag w:val="goog_rdk_1"/>
          <w:id w:val="789257112"/>
        </w:sdtPr>
        <w:sdtEndPr/>
        <w:sdtContent/>
      </w:sdt>
      <w:r>
        <w:rPr>
          <w:b/>
          <w:color w:val="000000"/>
          <w:sz w:val="36"/>
          <w:szCs w:val="36"/>
        </w:rPr>
        <w:t>(BAFE-</w:t>
      </w:r>
      <w:proofErr w:type="spellStart"/>
      <w:r>
        <w:rPr>
          <w:b/>
          <w:color w:val="000000"/>
          <w:sz w:val="36"/>
          <w:szCs w:val="36"/>
        </w:rPr>
        <w:t>inf</w:t>
      </w:r>
      <w:proofErr w:type="spellEnd"/>
      <w:r>
        <w:rPr>
          <w:b/>
          <w:color w:val="000000"/>
          <w:sz w:val="36"/>
          <w:szCs w:val="36"/>
        </w:rPr>
        <w:t>)</w:t>
      </w:r>
    </w:p>
    <w:p w14:paraId="00000002" w14:textId="77777777" w:rsidR="00C57DD8" w:rsidRDefault="00C57DD8">
      <w:pPr>
        <w:rPr>
          <w:i/>
          <w:sz w:val="28"/>
          <w:szCs w:val="28"/>
        </w:rPr>
      </w:pPr>
    </w:p>
    <w:p w14:paraId="00000003" w14:textId="77777777" w:rsidR="00C57DD8" w:rsidRDefault="00EB3EFF">
      <w:pPr>
        <w:rPr>
          <w:rFonts w:ascii="Times" w:eastAsia="Times" w:hAnsi="Times" w:cs="Times"/>
          <w:i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58240" behindDoc="0" locked="0" layoutInCell="1" hidden="0" allowOverlap="1" wp14:anchorId="68252C66" wp14:editId="75253645">
                <wp:simplePos x="0" y="0"/>
                <wp:positionH relativeFrom="column">
                  <wp:posOffset>1</wp:posOffset>
                </wp:positionH>
                <wp:positionV relativeFrom="paragraph">
                  <wp:posOffset>55896</wp:posOffset>
                </wp:positionV>
                <wp:extent cx="6197600" cy="50800"/>
                <wp:effectExtent l="0" t="0" r="0" b="0"/>
                <wp:wrapNone/>
                <wp:docPr id="26" name="Conector de Seta Ret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9900" y="378000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55896</wp:posOffset>
                </wp:positionV>
                <wp:extent cx="6197600" cy="50800"/>
                <wp:effectExtent b="0" l="0" r="0" t="0"/>
                <wp:wrapNone/>
                <wp:docPr id="2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7600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04" w14:textId="77777777" w:rsidR="00C57DD8" w:rsidRDefault="00C57DD8">
      <w:pPr>
        <w:rPr>
          <w:b/>
          <w:sz w:val="20"/>
          <w:szCs w:val="20"/>
        </w:rPr>
      </w:pPr>
    </w:p>
    <w:p w14:paraId="00000005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smallCaps/>
          <w:color w:val="000000"/>
          <w:sz w:val="20"/>
          <w:szCs w:val="20"/>
        </w:rPr>
      </w:pPr>
      <w:proofErr w:type="spellStart"/>
      <w:r>
        <w:rPr>
          <w:b/>
          <w:smallCaps/>
          <w:color w:val="000000"/>
          <w:sz w:val="20"/>
          <w:szCs w:val="20"/>
        </w:rPr>
        <w:t>Abstract</w:t>
      </w:r>
      <w:proofErr w:type="spellEnd"/>
    </w:p>
    <w:p w14:paraId="00000006" w14:textId="6008BB4A" w:rsidR="00C57DD8" w:rsidRDefault="00EB3E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proofErr w:type="spellStart"/>
      <w:r>
        <w:rPr>
          <w:sz w:val="20"/>
          <w:szCs w:val="20"/>
        </w:rPr>
        <w:t>objective</w:t>
      </w:r>
      <w:proofErr w:type="spellEnd"/>
      <w:r>
        <w:rPr>
          <w:sz w:val="20"/>
          <w:szCs w:val="20"/>
        </w:rPr>
        <w:t xml:space="preserve"> of the </w:t>
      </w:r>
      <w:proofErr w:type="spellStart"/>
      <w:r>
        <w:rPr>
          <w:sz w:val="20"/>
          <w:szCs w:val="20"/>
        </w:rPr>
        <w:t>study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analyze</w:t>
      </w:r>
      <w:proofErr w:type="spellEnd"/>
      <w:r>
        <w:rPr>
          <w:sz w:val="20"/>
          <w:szCs w:val="20"/>
        </w:rPr>
        <w:t xml:space="preserve"> the </w:t>
      </w:r>
      <w:proofErr w:type="spellStart"/>
      <w:r>
        <w:rPr>
          <w:sz w:val="20"/>
          <w:szCs w:val="20"/>
        </w:rPr>
        <w:t>validity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based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</w:t>
      </w:r>
      <w:proofErr w:type="spellEnd"/>
      <w:r>
        <w:rPr>
          <w:sz w:val="20"/>
          <w:szCs w:val="20"/>
        </w:rPr>
        <w:t xml:space="preserve"> the </w:t>
      </w:r>
      <w:proofErr w:type="spellStart"/>
      <w:r>
        <w:rPr>
          <w:sz w:val="20"/>
          <w:szCs w:val="20"/>
        </w:rPr>
        <w:t>content</w:t>
      </w:r>
      <w:proofErr w:type="spellEnd"/>
      <w:r>
        <w:rPr>
          <w:sz w:val="20"/>
          <w:szCs w:val="20"/>
        </w:rPr>
        <w:t xml:space="preserve"> of the Child Executive </w:t>
      </w:r>
      <w:proofErr w:type="spellStart"/>
      <w:r>
        <w:rPr>
          <w:sz w:val="20"/>
          <w:szCs w:val="20"/>
        </w:rPr>
        <w:t>Function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Assessment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Battery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composed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three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computerized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instruments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assess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inhibition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working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memory</w:t>
      </w:r>
      <w:proofErr w:type="spellEnd"/>
      <w:r>
        <w:rPr>
          <w:sz w:val="20"/>
          <w:szCs w:val="20"/>
        </w:rPr>
        <w:t xml:space="preserve"> and cognitive </w:t>
      </w:r>
      <w:proofErr w:type="spellStart"/>
      <w:r>
        <w:rPr>
          <w:sz w:val="20"/>
          <w:szCs w:val="20"/>
        </w:rPr>
        <w:t>flexibility</w:t>
      </w:r>
      <w:proofErr w:type="spellEnd"/>
      <w:r>
        <w:rPr>
          <w:sz w:val="20"/>
          <w:szCs w:val="20"/>
        </w:rPr>
        <w:t xml:space="preserve">, in </w:t>
      </w:r>
      <w:proofErr w:type="spellStart"/>
      <w:r>
        <w:rPr>
          <w:sz w:val="20"/>
          <w:szCs w:val="20"/>
        </w:rPr>
        <w:t>addition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scale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based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parents</w:t>
      </w:r>
      <w:proofErr w:type="spellEnd"/>
      <w:r>
        <w:rPr>
          <w:sz w:val="20"/>
          <w:szCs w:val="20"/>
        </w:rPr>
        <w:t xml:space="preserve">' </w:t>
      </w:r>
      <w:proofErr w:type="spellStart"/>
      <w:r>
        <w:rPr>
          <w:sz w:val="20"/>
          <w:szCs w:val="20"/>
        </w:rPr>
        <w:t>perception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children's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difficulties</w:t>
      </w:r>
      <w:proofErr w:type="spellEnd"/>
      <w:r>
        <w:rPr>
          <w:sz w:val="20"/>
          <w:szCs w:val="20"/>
        </w:rPr>
        <w:t xml:space="preserve"> in executive </w:t>
      </w:r>
      <w:proofErr w:type="spellStart"/>
      <w:r>
        <w:rPr>
          <w:sz w:val="20"/>
          <w:szCs w:val="20"/>
        </w:rPr>
        <w:t>function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Seven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experts</w:t>
      </w:r>
      <w:proofErr w:type="spellEnd"/>
      <w:r>
        <w:rPr>
          <w:sz w:val="20"/>
          <w:szCs w:val="20"/>
        </w:rPr>
        <w:t xml:space="preserve"> and 22 </w:t>
      </w:r>
      <w:proofErr w:type="spellStart"/>
      <w:r>
        <w:rPr>
          <w:sz w:val="20"/>
          <w:szCs w:val="20"/>
        </w:rPr>
        <w:t>people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from</w:t>
      </w:r>
      <w:proofErr w:type="spellEnd"/>
      <w:r>
        <w:rPr>
          <w:sz w:val="20"/>
          <w:szCs w:val="20"/>
        </w:rPr>
        <w:t xml:space="preserve"> the target </w:t>
      </w:r>
      <w:proofErr w:type="spellStart"/>
      <w:r>
        <w:rPr>
          <w:sz w:val="20"/>
          <w:szCs w:val="20"/>
        </w:rPr>
        <w:t>population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participated</w:t>
      </w:r>
      <w:proofErr w:type="spellEnd"/>
      <w:r>
        <w:rPr>
          <w:sz w:val="20"/>
          <w:szCs w:val="20"/>
        </w:rPr>
        <w:t xml:space="preserve"> (15 </w:t>
      </w:r>
      <w:proofErr w:type="spellStart"/>
      <w:r>
        <w:rPr>
          <w:sz w:val="20"/>
          <w:szCs w:val="20"/>
        </w:rPr>
        <w:t>children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aged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six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10 </w:t>
      </w:r>
      <w:proofErr w:type="spellStart"/>
      <w:r>
        <w:rPr>
          <w:sz w:val="20"/>
          <w:szCs w:val="20"/>
        </w:rPr>
        <w:t>years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seven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parents</w:t>
      </w:r>
      <w:proofErr w:type="spellEnd"/>
      <w:r>
        <w:rPr>
          <w:sz w:val="20"/>
          <w:szCs w:val="20"/>
        </w:rPr>
        <w:t xml:space="preserve">). </w:t>
      </w:r>
      <w:proofErr w:type="spellStart"/>
      <w:r>
        <w:rPr>
          <w:sz w:val="20"/>
          <w:szCs w:val="20"/>
        </w:rPr>
        <w:t>They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evaluated</w:t>
      </w:r>
      <w:proofErr w:type="spellEnd"/>
      <w:r>
        <w:rPr>
          <w:sz w:val="20"/>
          <w:szCs w:val="20"/>
        </w:rPr>
        <w:t xml:space="preserve"> the </w:t>
      </w:r>
      <w:proofErr w:type="spellStart"/>
      <w:r>
        <w:rPr>
          <w:sz w:val="20"/>
          <w:szCs w:val="20"/>
        </w:rPr>
        <w:t>clarity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relevance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design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layout</w:t>
      </w:r>
      <w:proofErr w:type="spellEnd"/>
      <w:r>
        <w:rPr>
          <w:sz w:val="20"/>
          <w:szCs w:val="20"/>
        </w:rPr>
        <w:t xml:space="preserve"> of the </w:t>
      </w:r>
      <w:proofErr w:type="spellStart"/>
      <w:r>
        <w:rPr>
          <w:sz w:val="20"/>
          <w:szCs w:val="20"/>
        </w:rPr>
        <w:t>items</w:t>
      </w:r>
      <w:proofErr w:type="spellEnd"/>
      <w:r>
        <w:rPr>
          <w:sz w:val="20"/>
          <w:szCs w:val="20"/>
        </w:rPr>
        <w:t xml:space="preserve">. Data </w:t>
      </w:r>
      <w:proofErr w:type="spellStart"/>
      <w:r>
        <w:rPr>
          <w:sz w:val="20"/>
          <w:szCs w:val="20"/>
        </w:rPr>
        <w:t>collection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was</w:t>
      </w:r>
      <w:proofErr w:type="spellEnd"/>
      <w:r>
        <w:rPr>
          <w:sz w:val="20"/>
          <w:szCs w:val="20"/>
        </w:rPr>
        <w:t xml:space="preserve"> remote </w:t>
      </w:r>
      <w:proofErr w:type="spellStart"/>
      <w:r>
        <w:rPr>
          <w:sz w:val="20"/>
          <w:szCs w:val="20"/>
        </w:rPr>
        <w:t>with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experts</w:t>
      </w:r>
      <w:proofErr w:type="spellEnd"/>
      <w:r>
        <w:rPr>
          <w:sz w:val="20"/>
          <w:szCs w:val="20"/>
        </w:rPr>
        <w:t xml:space="preserve">, and in </w:t>
      </w:r>
      <w:proofErr w:type="spellStart"/>
      <w:r>
        <w:rPr>
          <w:sz w:val="20"/>
          <w:szCs w:val="20"/>
        </w:rPr>
        <w:t>person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children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parents</w:t>
      </w:r>
      <w:proofErr w:type="spellEnd"/>
      <w:r>
        <w:rPr>
          <w:sz w:val="20"/>
          <w:szCs w:val="20"/>
        </w:rPr>
        <w:t xml:space="preserve">. The </w:t>
      </w:r>
      <w:proofErr w:type="spellStart"/>
      <w:r>
        <w:rPr>
          <w:sz w:val="20"/>
          <w:szCs w:val="20"/>
        </w:rPr>
        <w:t>application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was</w:t>
      </w:r>
      <w:proofErr w:type="spellEnd"/>
      <w:r>
        <w:rPr>
          <w:sz w:val="20"/>
          <w:szCs w:val="20"/>
        </w:rPr>
        <w:t xml:space="preserve"> individual. The data </w:t>
      </w:r>
      <w:proofErr w:type="spellStart"/>
      <w:r>
        <w:rPr>
          <w:sz w:val="20"/>
          <w:szCs w:val="20"/>
        </w:rPr>
        <w:t>were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analyzed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descriptively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by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estimating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agreement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content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validity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with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percentages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agreement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appropriate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coefficients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above</w:t>
      </w:r>
      <w:proofErr w:type="spellEnd"/>
      <w:r>
        <w:rPr>
          <w:sz w:val="20"/>
          <w:szCs w:val="20"/>
        </w:rPr>
        <w:t xml:space="preserve"> 0.90 and 0.80, </w:t>
      </w:r>
      <w:proofErr w:type="spellStart"/>
      <w:r>
        <w:rPr>
          <w:sz w:val="20"/>
          <w:szCs w:val="20"/>
        </w:rPr>
        <w:t>respectively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Suggestions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modifications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</w:t>
      </w:r>
      <w:proofErr w:type="spellEnd"/>
      <w:r>
        <w:rPr>
          <w:sz w:val="20"/>
          <w:szCs w:val="20"/>
        </w:rPr>
        <w:t xml:space="preserve"> the </w:t>
      </w:r>
      <w:proofErr w:type="spellStart"/>
      <w:r>
        <w:rPr>
          <w:sz w:val="20"/>
          <w:szCs w:val="20"/>
        </w:rPr>
        <w:t>instruments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were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discussed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concluded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that</w:t>
      </w:r>
      <w:proofErr w:type="spellEnd"/>
      <w:r>
        <w:rPr>
          <w:sz w:val="20"/>
          <w:szCs w:val="20"/>
        </w:rPr>
        <w:t xml:space="preserve"> the </w:t>
      </w:r>
      <w:proofErr w:type="spellStart"/>
      <w:r>
        <w:rPr>
          <w:sz w:val="20"/>
          <w:szCs w:val="20"/>
        </w:rPr>
        <w:t>battery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demonstrated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evidence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content-based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validity</w:t>
      </w:r>
      <w:proofErr w:type="spellEnd"/>
      <w:r>
        <w:rPr>
          <w:sz w:val="20"/>
          <w:szCs w:val="20"/>
        </w:rPr>
        <w:t>.</w:t>
      </w:r>
      <w:r w:rsidR="006D0C8C">
        <w:rPr>
          <w:sz w:val="20"/>
          <w:szCs w:val="20"/>
        </w:rPr>
        <w:t xml:space="preserve"> </w:t>
      </w:r>
      <w:proofErr w:type="spellStart"/>
      <w:r w:rsidR="006D0C8C" w:rsidRPr="006D0C8C">
        <w:rPr>
          <w:sz w:val="20"/>
          <w:szCs w:val="20"/>
        </w:rPr>
        <w:t>It</w:t>
      </w:r>
      <w:proofErr w:type="spellEnd"/>
      <w:r w:rsidR="006D0C8C" w:rsidRPr="006D0C8C">
        <w:rPr>
          <w:sz w:val="20"/>
          <w:szCs w:val="20"/>
        </w:rPr>
        <w:t xml:space="preserve"> </w:t>
      </w:r>
      <w:proofErr w:type="spellStart"/>
      <w:r w:rsidR="006D0C8C" w:rsidRPr="006D0C8C">
        <w:rPr>
          <w:sz w:val="20"/>
          <w:szCs w:val="20"/>
        </w:rPr>
        <w:t>was</w:t>
      </w:r>
      <w:proofErr w:type="spellEnd"/>
      <w:r w:rsidR="006D0C8C" w:rsidRPr="006D0C8C">
        <w:rPr>
          <w:sz w:val="20"/>
          <w:szCs w:val="20"/>
        </w:rPr>
        <w:t xml:space="preserve"> </w:t>
      </w:r>
      <w:proofErr w:type="spellStart"/>
      <w:r w:rsidR="006D0C8C" w:rsidRPr="006D0C8C">
        <w:rPr>
          <w:sz w:val="20"/>
          <w:szCs w:val="20"/>
        </w:rPr>
        <w:t>concluded</w:t>
      </w:r>
      <w:proofErr w:type="spellEnd"/>
      <w:r w:rsidR="006D0C8C" w:rsidRPr="006D0C8C">
        <w:rPr>
          <w:sz w:val="20"/>
          <w:szCs w:val="20"/>
        </w:rPr>
        <w:t xml:space="preserve"> </w:t>
      </w:r>
      <w:proofErr w:type="spellStart"/>
      <w:r w:rsidR="006D0C8C" w:rsidRPr="006D0C8C">
        <w:rPr>
          <w:sz w:val="20"/>
          <w:szCs w:val="20"/>
        </w:rPr>
        <w:t>that</w:t>
      </w:r>
      <w:proofErr w:type="spellEnd"/>
      <w:r w:rsidR="006D0C8C" w:rsidRPr="006D0C8C">
        <w:rPr>
          <w:sz w:val="20"/>
          <w:szCs w:val="20"/>
        </w:rPr>
        <w:t xml:space="preserve"> the </w:t>
      </w:r>
      <w:proofErr w:type="spellStart"/>
      <w:r w:rsidR="006D0C8C" w:rsidRPr="006D0C8C">
        <w:rPr>
          <w:sz w:val="20"/>
          <w:szCs w:val="20"/>
        </w:rPr>
        <w:t>battery</w:t>
      </w:r>
      <w:proofErr w:type="spellEnd"/>
      <w:r w:rsidR="006D0C8C" w:rsidRPr="006D0C8C">
        <w:rPr>
          <w:sz w:val="20"/>
          <w:szCs w:val="20"/>
        </w:rPr>
        <w:t xml:space="preserve"> </w:t>
      </w:r>
      <w:proofErr w:type="spellStart"/>
      <w:r w:rsidR="006D0C8C" w:rsidRPr="006D0C8C">
        <w:rPr>
          <w:sz w:val="20"/>
          <w:szCs w:val="20"/>
        </w:rPr>
        <w:t>demonstrated</w:t>
      </w:r>
      <w:proofErr w:type="spellEnd"/>
      <w:r w:rsidR="006D0C8C" w:rsidRPr="006D0C8C">
        <w:rPr>
          <w:sz w:val="20"/>
          <w:szCs w:val="20"/>
        </w:rPr>
        <w:t xml:space="preserve"> </w:t>
      </w:r>
      <w:proofErr w:type="spellStart"/>
      <w:r w:rsidR="006D0C8C" w:rsidRPr="006D0C8C">
        <w:rPr>
          <w:sz w:val="20"/>
          <w:szCs w:val="20"/>
        </w:rPr>
        <w:t>adequate</w:t>
      </w:r>
      <w:proofErr w:type="spellEnd"/>
      <w:r w:rsidR="006D0C8C" w:rsidRPr="006D0C8C">
        <w:rPr>
          <w:sz w:val="20"/>
          <w:szCs w:val="20"/>
        </w:rPr>
        <w:t xml:space="preserve"> </w:t>
      </w:r>
      <w:proofErr w:type="spellStart"/>
      <w:r w:rsidR="006D0C8C" w:rsidRPr="006D0C8C">
        <w:rPr>
          <w:sz w:val="20"/>
          <w:szCs w:val="20"/>
        </w:rPr>
        <w:t>evidence</w:t>
      </w:r>
      <w:proofErr w:type="spellEnd"/>
      <w:r w:rsidR="006D0C8C" w:rsidRPr="006D0C8C">
        <w:rPr>
          <w:sz w:val="20"/>
          <w:szCs w:val="20"/>
        </w:rPr>
        <w:t xml:space="preserve"> of </w:t>
      </w:r>
      <w:proofErr w:type="spellStart"/>
      <w:r w:rsidR="006D0C8C" w:rsidRPr="006D0C8C">
        <w:rPr>
          <w:sz w:val="20"/>
          <w:szCs w:val="20"/>
        </w:rPr>
        <w:t>content</w:t>
      </w:r>
      <w:proofErr w:type="spellEnd"/>
      <w:r w:rsidR="006D0C8C" w:rsidRPr="006D0C8C">
        <w:rPr>
          <w:sz w:val="20"/>
          <w:szCs w:val="20"/>
        </w:rPr>
        <w:t xml:space="preserve"> </w:t>
      </w:r>
      <w:proofErr w:type="spellStart"/>
      <w:r w:rsidR="006D0C8C" w:rsidRPr="006D0C8C">
        <w:rPr>
          <w:sz w:val="20"/>
          <w:szCs w:val="20"/>
        </w:rPr>
        <w:t>validity</w:t>
      </w:r>
      <w:proofErr w:type="spellEnd"/>
      <w:r w:rsidR="006D0C8C" w:rsidRPr="006D0C8C">
        <w:rPr>
          <w:sz w:val="20"/>
          <w:szCs w:val="20"/>
        </w:rPr>
        <w:t xml:space="preserve">, and </w:t>
      </w:r>
      <w:proofErr w:type="spellStart"/>
      <w:r w:rsidR="006D0C8C" w:rsidRPr="006D0C8C">
        <w:rPr>
          <w:sz w:val="20"/>
          <w:szCs w:val="20"/>
        </w:rPr>
        <w:t>this</w:t>
      </w:r>
      <w:proofErr w:type="spellEnd"/>
      <w:r w:rsidR="006D0C8C" w:rsidRPr="006D0C8C">
        <w:rPr>
          <w:sz w:val="20"/>
          <w:szCs w:val="20"/>
        </w:rPr>
        <w:t xml:space="preserve"> </w:t>
      </w:r>
      <w:proofErr w:type="spellStart"/>
      <w:r w:rsidR="006D0C8C" w:rsidRPr="006D0C8C">
        <w:rPr>
          <w:sz w:val="20"/>
          <w:szCs w:val="20"/>
        </w:rPr>
        <w:t>study</w:t>
      </w:r>
      <w:proofErr w:type="spellEnd"/>
      <w:r w:rsidR="006D0C8C" w:rsidRPr="006D0C8C">
        <w:rPr>
          <w:sz w:val="20"/>
          <w:szCs w:val="20"/>
        </w:rPr>
        <w:t xml:space="preserve"> stands </w:t>
      </w:r>
      <w:proofErr w:type="spellStart"/>
      <w:r w:rsidR="006D0C8C" w:rsidRPr="006D0C8C">
        <w:rPr>
          <w:sz w:val="20"/>
          <w:szCs w:val="20"/>
        </w:rPr>
        <w:t>out</w:t>
      </w:r>
      <w:proofErr w:type="spellEnd"/>
      <w:r w:rsidR="006D0C8C" w:rsidRPr="006D0C8C">
        <w:rPr>
          <w:sz w:val="20"/>
          <w:szCs w:val="20"/>
        </w:rPr>
        <w:t xml:space="preserve"> </w:t>
      </w:r>
      <w:proofErr w:type="spellStart"/>
      <w:r w:rsidR="006D0C8C" w:rsidRPr="006D0C8C">
        <w:rPr>
          <w:sz w:val="20"/>
          <w:szCs w:val="20"/>
        </w:rPr>
        <w:t>for</w:t>
      </w:r>
      <w:proofErr w:type="spellEnd"/>
      <w:r w:rsidR="006D0C8C" w:rsidRPr="006D0C8C">
        <w:rPr>
          <w:sz w:val="20"/>
          <w:szCs w:val="20"/>
        </w:rPr>
        <w:t xml:space="preserve"> </w:t>
      </w:r>
      <w:proofErr w:type="spellStart"/>
      <w:r w:rsidR="006D0C8C" w:rsidRPr="006D0C8C">
        <w:rPr>
          <w:sz w:val="20"/>
          <w:szCs w:val="20"/>
        </w:rPr>
        <w:t>transparently</w:t>
      </w:r>
      <w:proofErr w:type="spellEnd"/>
      <w:r w:rsidR="006D0C8C" w:rsidRPr="006D0C8C">
        <w:rPr>
          <w:sz w:val="20"/>
          <w:szCs w:val="20"/>
        </w:rPr>
        <w:t xml:space="preserve"> </w:t>
      </w:r>
      <w:proofErr w:type="spellStart"/>
      <w:r w:rsidR="006D0C8C" w:rsidRPr="006D0C8C">
        <w:rPr>
          <w:sz w:val="20"/>
          <w:szCs w:val="20"/>
        </w:rPr>
        <w:t>presenting</w:t>
      </w:r>
      <w:proofErr w:type="spellEnd"/>
      <w:r w:rsidR="006D0C8C" w:rsidRPr="006D0C8C">
        <w:rPr>
          <w:sz w:val="20"/>
          <w:szCs w:val="20"/>
        </w:rPr>
        <w:t xml:space="preserve"> the </w:t>
      </w:r>
      <w:proofErr w:type="spellStart"/>
      <w:r w:rsidR="006D0C8C" w:rsidRPr="006D0C8C">
        <w:rPr>
          <w:sz w:val="20"/>
          <w:szCs w:val="20"/>
        </w:rPr>
        <w:t>first</w:t>
      </w:r>
      <w:proofErr w:type="spellEnd"/>
      <w:r w:rsidR="006D0C8C" w:rsidRPr="006D0C8C">
        <w:rPr>
          <w:sz w:val="20"/>
          <w:szCs w:val="20"/>
        </w:rPr>
        <w:t xml:space="preserve"> and fundamental </w:t>
      </w:r>
      <w:proofErr w:type="spellStart"/>
      <w:r w:rsidR="006D0C8C" w:rsidRPr="006D0C8C">
        <w:rPr>
          <w:sz w:val="20"/>
          <w:szCs w:val="20"/>
        </w:rPr>
        <w:t>process</w:t>
      </w:r>
      <w:proofErr w:type="spellEnd"/>
      <w:r w:rsidR="006D0C8C" w:rsidRPr="006D0C8C">
        <w:rPr>
          <w:sz w:val="20"/>
          <w:szCs w:val="20"/>
        </w:rPr>
        <w:t xml:space="preserve"> of </w:t>
      </w:r>
      <w:proofErr w:type="spellStart"/>
      <w:r w:rsidR="006D0C8C" w:rsidRPr="006D0C8C">
        <w:rPr>
          <w:sz w:val="20"/>
          <w:szCs w:val="20"/>
        </w:rPr>
        <w:t>validity</w:t>
      </w:r>
      <w:proofErr w:type="spellEnd"/>
      <w:r w:rsidR="006D0C8C" w:rsidRPr="006D0C8C">
        <w:rPr>
          <w:sz w:val="20"/>
          <w:szCs w:val="20"/>
        </w:rPr>
        <w:t xml:space="preserve"> </w:t>
      </w:r>
      <w:proofErr w:type="spellStart"/>
      <w:r w:rsidR="006D0C8C" w:rsidRPr="006D0C8C">
        <w:rPr>
          <w:sz w:val="20"/>
          <w:szCs w:val="20"/>
        </w:rPr>
        <w:t>analysis</w:t>
      </w:r>
      <w:proofErr w:type="spellEnd"/>
      <w:r w:rsidR="006D0C8C" w:rsidRPr="006D0C8C">
        <w:rPr>
          <w:sz w:val="20"/>
          <w:szCs w:val="20"/>
        </w:rPr>
        <w:t xml:space="preserve">, </w:t>
      </w:r>
      <w:proofErr w:type="spellStart"/>
      <w:r w:rsidR="006D0C8C" w:rsidRPr="006D0C8C">
        <w:rPr>
          <w:sz w:val="20"/>
          <w:szCs w:val="20"/>
        </w:rPr>
        <w:t>which</w:t>
      </w:r>
      <w:proofErr w:type="spellEnd"/>
      <w:r w:rsidR="006D0C8C" w:rsidRPr="006D0C8C">
        <w:rPr>
          <w:sz w:val="20"/>
          <w:szCs w:val="20"/>
        </w:rPr>
        <w:t xml:space="preserve"> </w:t>
      </w:r>
      <w:proofErr w:type="spellStart"/>
      <w:r w:rsidR="006D0C8C" w:rsidRPr="006D0C8C">
        <w:rPr>
          <w:sz w:val="20"/>
          <w:szCs w:val="20"/>
        </w:rPr>
        <w:t>is</w:t>
      </w:r>
      <w:proofErr w:type="spellEnd"/>
      <w:r w:rsidR="006D0C8C" w:rsidRPr="006D0C8C">
        <w:rPr>
          <w:sz w:val="20"/>
          <w:szCs w:val="20"/>
        </w:rPr>
        <w:t xml:space="preserve"> </w:t>
      </w:r>
      <w:proofErr w:type="spellStart"/>
      <w:r w:rsidR="006D0C8C" w:rsidRPr="006D0C8C">
        <w:rPr>
          <w:sz w:val="20"/>
          <w:szCs w:val="20"/>
        </w:rPr>
        <w:t>essential</w:t>
      </w:r>
      <w:proofErr w:type="spellEnd"/>
      <w:r w:rsidR="006D0C8C" w:rsidRPr="006D0C8C">
        <w:rPr>
          <w:sz w:val="20"/>
          <w:szCs w:val="20"/>
        </w:rPr>
        <w:t xml:space="preserve"> </w:t>
      </w:r>
      <w:proofErr w:type="spellStart"/>
      <w:r w:rsidR="006D0C8C" w:rsidRPr="006D0C8C">
        <w:rPr>
          <w:sz w:val="20"/>
          <w:szCs w:val="20"/>
        </w:rPr>
        <w:t>for</w:t>
      </w:r>
      <w:proofErr w:type="spellEnd"/>
      <w:r w:rsidR="006D0C8C" w:rsidRPr="006D0C8C">
        <w:rPr>
          <w:sz w:val="20"/>
          <w:szCs w:val="20"/>
        </w:rPr>
        <w:t xml:space="preserve"> the </w:t>
      </w:r>
      <w:proofErr w:type="spellStart"/>
      <w:r w:rsidR="006D0C8C" w:rsidRPr="006D0C8C">
        <w:rPr>
          <w:sz w:val="20"/>
          <w:szCs w:val="20"/>
        </w:rPr>
        <w:t>instrument</w:t>
      </w:r>
      <w:proofErr w:type="spellEnd"/>
      <w:r w:rsidR="006D0C8C" w:rsidRPr="006D0C8C">
        <w:rPr>
          <w:sz w:val="20"/>
          <w:szCs w:val="20"/>
        </w:rPr>
        <w:t xml:space="preserve"> </w:t>
      </w:r>
      <w:proofErr w:type="spellStart"/>
      <w:r w:rsidR="006D0C8C" w:rsidRPr="006D0C8C">
        <w:rPr>
          <w:sz w:val="20"/>
          <w:szCs w:val="20"/>
        </w:rPr>
        <w:t>to</w:t>
      </w:r>
      <w:proofErr w:type="spellEnd"/>
      <w:r w:rsidR="006D0C8C" w:rsidRPr="006D0C8C">
        <w:rPr>
          <w:sz w:val="20"/>
          <w:szCs w:val="20"/>
        </w:rPr>
        <w:t xml:space="preserve"> </w:t>
      </w:r>
      <w:proofErr w:type="spellStart"/>
      <w:r w:rsidR="006D0C8C" w:rsidRPr="006D0C8C">
        <w:rPr>
          <w:sz w:val="20"/>
          <w:szCs w:val="20"/>
        </w:rPr>
        <w:t>progress</w:t>
      </w:r>
      <w:proofErr w:type="spellEnd"/>
      <w:r w:rsidR="006D0C8C" w:rsidRPr="006D0C8C">
        <w:rPr>
          <w:sz w:val="20"/>
          <w:szCs w:val="20"/>
        </w:rPr>
        <w:t xml:space="preserve"> </w:t>
      </w:r>
      <w:proofErr w:type="spellStart"/>
      <w:r w:rsidR="006D0C8C" w:rsidRPr="006D0C8C">
        <w:rPr>
          <w:sz w:val="20"/>
          <w:szCs w:val="20"/>
        </w:rPr>
        <w:t>to</w:t>
      </w:r>
      <w:proofErr w:type="spellEnd"/>
      <w:r w:rsidR="006D0C8C" w:rsidRPr="006D0C8C">
        <w:rPr>
          <w:sz w:val="20"/>
          <w:szCs w:val="20"/>
        </w:rPr>
        <w:t xml:space="preserve"> </w:t>
      </w:r>
      <w:proofErr w:type="spellStart"/>
      <w:r w:rsidR="006D0C8C" w:rsidRPr="006D0C8C">
        <w:rPr>
          <w:sz w:val="20"/>
          <w:szCs w:val="20"/>
        </w:rPr>
        <w:t>subsequent</w:t>
      </w:r>
      <w:proofErr w:type="spellEnd"/>
      <w:r w:rsidR="006D0C8C" w:rsidRPr="006D0C8C">
        <w:rPr>
          <w:sz w:val="20"/>
          <w:szCs w:val="20"/>
        </w:rPr>
        <w:t xml:space="preserve"> </w:t>
      </w:r>
      <w:proofErr w:type="spellStart"/>
      <w:r w:rsidR="006D0C8C" w:rsidRPr="006D0C8C">
        <w:rPr>
          <w:sz w:val="20"/>
          <w:szCs w:val="20"/>
        </w:rPr>
        <w:t>stages</w:t>
      </w:r>
      <w:proofErr w:type="spellEnd"/>
      <w:r w:rsidR="006D0C8C" w:rsidRPr="006D0C8C">
        <w:rPr>
          <w:sz w:val="20"/>
          <w:szCs w:val="20"/>
        </w:rPr>
        <w:t xml:space="preserve"> and </w:t>
      </w:r>
      <w:proofErr w:type="spellStart"/>
      <w:r w:rsidR="006D0C8C" w:rsidRPr="006D0C8C">
        <w:rPr>
          <w:sz w:val="20"/>
          <w:szCs w:val="20"/>
        </w:rPr>
        <w:t>achieve</w:t>
      </w:r>
      <w:proofErr w:type="spellEnd"/>
      <w:r w:rsidR="006D0C8C" w:rsidRPr="006D0C8C">
        <w:rPr>
          <w:sz w:val="20"/>
          <w:szCs w:val="20"/>
        </w:rPr>
        <w:t xml:space="preserve"> </w:t>
      </w:r>
      <w:proofErr w:type="spellStart"/>
      <w:r w:rsidR="006D0C8C" w:rsidRPr="006D0C8C">
        <w:rPr>
          <w:sz w:val="20"/>
          <w:szCs w:val="20"/>
        </w:rPr>
        <w:t>effective</w:t>
      </w:r>
      <w:proofErr w:type="spellEnd"/>
      <w:r w:rsidR="006D0C8C" w:rsidRPr="006D0C8C">
        <w:rPr>
          <w:sz w:val="20"/>
          <w:szCs w:val="20"/>
        </w:rPr>
        <w:t xml:space="preserve"> </w:t>
      </w:r>
      <w:proofErr w:type="spellStart"/>
      <w:r w:rsidR="006D0C8C" w:rsidRPr="006D0C8C">
        <w:rPr>
          <w:sz w:val="20"/>
          <w:szCs w:val="20"/>
        </w:rPr>
        <w:t>application</w:t>
      </w:r>
      <w:proofErr w:type="spellEnd"/>
      <w:r w:rsidR="006D0C8C" w:rsidRPr="006D0C8C">
        <w:rPr>
          <w:sz w:val="20"/>
          <w:szCs w:val="20"/>
        </w:rPr>
        <w:t xml:space="preserve"> in the future.</w:t>
      </w:r>
    </w:p>
    <w:p w14:paraId="00000007" w14:textId="77777777" w:rsidR="00C57DD8" w:rsidRDefault="00C57DD8">
      <w:pPr>
        <w:rPr>
          <w:sz w:val="20"/>
          <w:szCs w:val="20"/>
        </w:rPr>
      </w:pPr>
    </w:p>
    <w:p w14:paraId="00000008" w14:textId="77777777" w:rsidR="00C57DD8" w:rsidRDefault="00EB3EFF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Keywords</w:t>
      </w:r>
      <w:proofErr w:type="spellEnd"/>
    </w:p>
    <w:p w14:paraId="00000009" w14:textId="77777777" w:rsidR="00C57DD8" w:rsidRDefault="00EB3E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Executive </w:t>
      </w:r>
      <w:proofErr w:type="spellStart"/>
      <w:r>
        <w:rPr>
          <w:sz w:val="20"/>
          <w:szCs w:val="20"/>
        </w:rPr>
        <w:t>Function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Neuropsychological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Tests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Neuropsychology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Psychometrics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Reproducibility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Results</w:t>
      </w:r>
      <w:proofErr w:type="spellEnd"/>
    </w:p>
    <w:p w14:paraId="0000000A" w14:textId="77777777" w:rsidR="00C57DD8" w:rsidRDefault="00C57DD8">
      <w:pPr>
        <w:jc w:val="both"/>
        <w:rPr>
          <w:sz w:val="20"/>
          <w:szCs w:val="20"/>
        </w:rPr>
      </w:pPr>
    </w:p>
    <w:p w14:paraId="0000000B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smallCaps/>
          <w:color w:val="000000"/>
          <w:sz w:val="20"/>
          <w:szCs w:val="20"/>
        </w:rPr>
      </w:pPr>
      <w:r>
        <w:rPr>
          <w:b/>
          <w:smallCaps/>
          <w:color w:val="000000"/>
          <w:sz w:val="20"/>
          <w:szCs w:val="20"/>
        </w:rPr>
        <w:t>Resumo</w:t>
      </w:r>
    </w:p>
    <w:p w14:paraId="0000000C" w14:textId="064BF623" w:rsidR="00C57DD8" w:rsidRDefault="00EB3E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objetivo do </w:t>
      </w:r>
      <w:proofErr w:type="spellStart"/>
      <w:r>
        <w:rPr>
          <w:sz w:val="20"/>
          <w:szCs w:val="20"/>
        </w:rPr>
        <w:t>estudo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analisar</w:t>
      </w:r>
      <w:proofErr w:type="spellEnd"/>
      <w:r>
        <w:rPr>
          <w:sz w:val="20"/>
          <w:szCs w:val="20"/>
        </w:rPr>
        <w:t xml:space="preserve"> a validade </w:t>
      </w:r>
      <w:proofErr w:type="spellStart"/>
      <w:r>
        <w:rPr>
          <w:sz w:val="20"/>
          <w:szCs w:val="20"/>
        </w:rPr>
        <w:t>baseada</w:t>
      </w:r>
      <w:proofErr w:type="spellEnd"/>
      <w:r>
        <w:rPr>
          <w:sz w:val="20"/>
          <w:szCs w:val="20"/>
        </w:rPr>
        <w:t xml:space="preserve"> no </w:t>
      </w:r>
      <w:proofErr w:type="spellStart"/>
      <w:r>
        <w:rPr>
          <w:sz w:val="20"/>
          <w:szCs w:val="20"/>
        </w:rPr>
        <w:t>conteúdo</w:t>
      </w:r>
      <w:proofErr w:type="spellEnd"/>
      <w:r>
        <w:rPr>
          <w:sz w:val="20"/>
          <w:szCs w:val="20"/>
        </w:rPr>
        <w:t xml:space="preserve"> da </w:t>
      </w:r>
      <w:proofErr w:type="spellStart"/>
      <w:r>
        <w:rPr>
          <w:sz w:val="20"/>
          <w:szCs w:val="20"/>
        </w:rPr>
        <w:t>Bateria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Avaliação</w:t>
      </w:r>
      <w:proofErr w:type="spellEnd"/>
      <w:r>
        <w:rPr>
          <w:sz w:val="20"/>
          <w:szCs w:val="20"/>
        </w:rPr>
        <w:t xml:space="preserve"> das </w:t>
      </w:r>
      <w:proofErr w:type="spellStart"/>
      <w:r>
        <w:rPr>
          <w:sz w:val="20"/>
          <w:szCs w:val="20"/>
        </w:rPr>
        <w:t>Funções</w:t>
      </w:r>
      <w:proofErr w:type="spellEnd"/>
      <w:r>
        <w:rPr>
          <w:sz w:val="20"/>
          <w:szCs w:val="20"/>
        </w:rPr>
        <w:t xml:space="preserve"> Executivas </w:t>
      </w:r>
      <w:proofErr w:type="spellStart"/>
      <w:r>
        <w:rPr>
          <w:sz w:val="20"/>
          <w:szCs w:val="20"/>
        </w:rPr>
        <w:t>Infantis</w:t>
      </w:r>
      <w:proofErr w:type="spellEnd"/>
      <w:r>
        <w:rPr>
          <w:sz w:val="20"/>
          <w:szCs w:val="20"/>
        </w:rPr>
        <w:t xml:space="preserve">, composta por </w:t>
      </w:r>
      <w:proofErr w:type="spellStart"/>
      <w:r>
        <w:rPr>
          <w:sz w:val="20"/>
          <w:szCs w:val="20"/>
        </w:rPr>
        <w:t>três</w:t>
      </w:r>
      <w:proofErr w:type="spellEnd"/>
      <w:r>
        <w:rPr>
          <w:sz w:val="20"/>
          <w:szCs w:val="20"/>
        </w:rPr>
        <w:t xml:space="preserve"> instrumentos informatizados que </w:t>
      </w:r>
      <w:proofErr w:type="spellStart"/>
      <w:r>
        <w:rPr>
          <w:sz w:val="20"/>
          <w:szCs w:val="20"/>
        </w:rPr>
        <w:t>avaliam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inibição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memória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trabalho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flexibilidade</w:t>
      </w:r>
      <w:proofErr w:type="spellEnd"/>
      <w:r>
        <w:rPr>
          <w:sz w:val="20"/>
          <w:szCs w:val="20"/>
        </w:rPr>
        <w:t xml:space="preserve"> cognitiva, </w:t>
      </w:r>
      <w:proofErr w:type="spellStart"/>
      <w:r>
        <w:rPr>
          <w:sz w:val="20"/>
          <w:szCs w:val="20"/>
        </w:rPr>
        <w:t>além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uma</w:t>
      </w:r>
      <w:proofErr w:type="spellEnd"/>
      <w:r>
        <w:rPr>
          <w:sz w:val="20"/>
          <w:szCs w:val="20"/>
        </w:rPr>
        <w:t xml:space="preserve"> escala </w:t>
      </w:r>
      <w:proofErr w:type="spellStart"/>
      <w:r>
        <w:rPr>
          <w:sz w:val="20"/>
          <w:szCs w:val="20"/>
        </w:rPr>
        <w:t>baseada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percepção</w:t>
      </w:r>
      <w:proofErr w:type="spellEnd"/>
      <w:r>
        <w:rPr>
          <w:sz w:val="20"/>
          <w:szCs w:val="20"/>
        </w:rPr>
        <w:t xml:space="preserve"> dos </w:t>
      </w:r>
      <w:proofErr w:type="spellStart"/>
      <w:r>
        <w:rPr>
          <w:sz w:val="20"/>
          <w:szCs w:val="20"/>
        </w:rPr>
        <w:t>pais</w:t>
      </w:r>
      <w:proofErr w:type="spellEnd"/>
      <w:r>
        <w:rPr>
          <w:sz w:val="20"/>
          <w:szCs w:val="20"/>
        </w:rPr>
        <w:t xml:space="preserve"> sobre as </w:t>
      </w:r>
      <w:proofErr w:type="spellStart"/>
      <w:r>
        <w:rPr>
          <w:sz w:val="20"/>
          <w:szCs w:val="20"/>
        </w:rPr>
        <w:t>dificuldades</w:t>
      </w:r>
      <w:proofErr w:type="spellEnd"/>
      <w:r>
        <w:rPr>
          <w:sz w:val="20"/>
          <w:szCs w:val="20"/>
        </w:rPr>
        <w:t xml:space="preserve"> das </w:t>
      </w:r>
      <w:proofErr w:type="spellStart"/>
      <w:r>
        <w:rPr>
          <w:sz w:val="20"/>
          <w:szCs w:val="20"/>
        </w:rPr>
        <w:t>crianças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função</w:t>
      </w:r>
      <w:proofErr w:type="spellEnd"/>
      <w:r>
        <w:rPr>
          <w:sz w:val="20"/>
          <w:szCs w:val="20"/>
        </w:rPr>
        <w:t xml:space="preserve"> executiva. </w:t>
      </w:r>
      <w:proofErr w:type="spellStart"/>
      <w:r>
        <w:rPr>
          <w:sz w:val="20"/>
          <w:szCs w:val="20"/>
        </w:rPr>
        <w:t>Participaram</w:t>
      </w:r>
      <w:proofErr w:type="spellEnd"/>
      <w:r>
        <w:rPr>
          <w:sz w:val="20"/>
          <w:szCs w:val="20"/>
        </w:rPr>
        <w:t xml:space="preserve"> sete especialistas e 22 </w:t>
      </w:r>
      <w:proofErr w:type="spellStart"/>
      <w:r>
        <w:rPr>
          <w:sz w:val="20"/>
          <w:szCs w:val="20"/>
        </w:rPr>
        <w:t>pessoas</w:t>
      </w:r>
      <w:proofErr w:type="spellEnd"/>
      <w:r>
        <w:rPr>
          <w:sz w:val="20"/>
          <w:szCs w:val="20"/>
        </w:rPr>
        <w:t xml:space="preserve"> da </w:t>
      </w:r>
      <w:proofErr w:type="spellStart"/>
      <w:r>
        <w:rPr>
          <w:sz w:val="20"/>
          <w:szCs w:val="20"/>
        </w:rPr>
        <w:t>população-alvo</w:t>
      </w:r>
      <w:proofErr w:type="spellEnd"/>
      <w:r>
        <w:rPr>
          <w:sz w:val="20"/>
          <w:szCs w:val="20"/>
        </w:rPr>
        <w:t xml:space="preserve"> (15 </w:t>
      </w:r>
      <w:proofErr w:type="spellStart"/>
      <w:r>
        <w:rPr>
          <w:sz w:val="20"/>
          <w:szCs w:val="20"/>
        </w:rPr>
        <w:t>crianças</w:t>
      </w:r>
      <w:proofErr w:type="spellEnd"/>
      <w:r>
        <w:rPr>
          <w:sz w:val="20"/>
          <w:szCs w:val="20"/>
        </w:rPr>
        <w:t xml:space="preserve"> de seis a 10 </w:t>
      </w:r>
      <w:proofErr w:type="spellStart"/>
      <w:r>
        <w:rPr>
          <w:sz w:val="20"/>
          <w:szCs w:val="20"/>
        </w:rPr>
        <w:t>anos</w:t>
      </w:r>
      <w:proofErr w:type="spellEnd"/>
      <w:r>
        <w:rPr>
          <w:sz w:val="20"/>
          <w:szCs w:val="20"/>
        </w:rPr>
        <w:t xml:space="preserve"> e sete </w:t>
      </w:r>
      <w:proofErr w:type="spellStart"/>
      <w:r>
        <w:rPr>
          <w:sz w:val="20"/>
          <w:szCs w:val="20"/>
        </w:rPr>
        <w:t>pais</w:t>
      </w:r>
      <w:proofErr w:type="spellEnd"/>
      <w:r>
        <w:rPr>
          <w:sz w:val="20"/>
          <w:szCs w:val="20"/>
        </w:rPr>
        <w:t xml:space="preserve">). Eles </w:t>
      </w:r>
      <w:proofErr w:type="spellStart"/>
      <w:r>
        <w:rPr>
          <w:sz w:val="20"/>
          <w:szCs w:val="20"/>
        </w:rPr>
        <w:t>avaliaram</w:t>
      </w:r>
      <w:proofErr w:type="spellEnd"/>
      <w:r>
        <w:rPr>
          <w:sz w:val="20"/>
          <w:szCs w:val="20"/>
        </w:rPr>
        <w:t xml:space="preserve"> a clareza, </w:t>
      </w:r>
      <w:proofErr w:type="spellStart"/>
      <w:r>
        <w:rPr>
          <w:sz w:val="20"/>
          <w:szCs w:val="20"/>
        </w:rPr>
        <w:t>relevância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design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layout</w:t>
      </w:r>
      <w:proofErr w:type="spellEnd"/>
      <w:r>
        <w:rPr>
          <w:sz w:val="20"/>
          <w:szCs w:val="20"/>
        </w:rPr>
        <w:t xml:space="preserve"> dos </w:t>
      </w:r>
      <w:proofErr w:type="spellStart"/>
      <w:r>
        <w:rPr>
          <w:sz w:val="20"/>
          <w:szCs w:val="20"/>
        </w:rPr>
        <w:t>itens</w:t>
      </w:r>
      <w:proofErr w:type="spellEnd"/>
      <w:r>
        <w:rPr>
          <w:sz w:val="20"/>
          <w:szCs w:val="20"/>
        </w:rPr>
        <w:t xml:space="preserve">. A coleta de dados </w:t>
      </w:r>
      <w:proofErr w:type="spellStart"/>
      <w:r>
        <w:rPr>
          <w:sz w:val="20"/>
          <w:szCs w:val="20"/>
        </w:rPr>
        <w:t>foi</w:t>
      </w:r>
      <w:proofErr w:type="spellEnd"/>
      <w:r>
        <w:rPr>
          <w:sz w:val="20"/>
          <w:szCs w:val="20"/>
        </w:rPr>
        <w:t xml:space="preserve"> remota </w:t>
      </w:r>
      <w:proofErr w:type="spellStart"/>
      <w:r>
        <w:rPr>
          <w:sz w:val="20"/>
          <w:szCs w:val="20"/>
        </w:rPr>
        <w:t>com</w:t>
      </w:r>
      <w:proofErr w:type="spellEnd"/>
      <w:r>
        <w:rPr>
          <w:sz w:val="20"/>
          <w:szCs w:val="20"/>
        </w:rPr>
        <w:t xml:space="preserve"> especialistas, e presencial </w:t>
      </w:r>
      <w:proofErr w:type="spellStart"/>
      <w:r>
        <w:rPr>
          <w:sz w:val="20"/>
          <w:szCs w:val="20"/>
        </w:rPr>
        <w:t>com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crianças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pais</w:t>
      </w:r>
      <w:proofErr w:type="spellEnd"/>
      <w:r>
        <w:rPr>
          <w:sz w:val="20"/>
          <w:szCs w:val="20"/>
        </w:rPr>
        <w:t xml:space="preserve">. A </w:t>
      </w:r>
      <w:proofErr w:type="spellStart"/>
      <w:r>
        <w:rPr>
          <w:sz w:val="20"/>
          <w:szCs w:val="20"/>
        </w:rPr>
        <w:t>aplicação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foi</w:t>
      </w:r>
      <w:proofErr w:type="spellEnd"/>
      <w:r>
        <w:rPr>
          <w:sz w:val="20"/>
          <w:szCs w:val="20"/>
        </w:rPr>
        <w:t xml:space="preserve"> individual. Os dados </w:t>
      </w:r>
      <w:proofErr w:type="spellStart"/>
      <w:r>
        <w:rPr>
          <w:sz w:val="20"/>
          <w:szCs w:val="20"/>
        </w:rPr>
        <w:t>foram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analisados</w:t>
      </w:r>
      <w:proofErr w:type="spellEnd"/>
      <w:r>
        <w:rPr>
          <w:sz w:val="20"/>
          <w:szCs w:val="20"/>
        </w:rPr>
        <w:t xml:space="preserve"> ​​</w:t>
      </w:r>
      <w:proofErr w:type="spellStart"/>
      <w:r>
        <w:rPr>
          <w:sz w:val="20"/>
          <w:szCs w:val="20"/>
        </w:rPr>
        <w:t>descritivamente</w:t>
      </w:r>
      <w:proofErr w:type="spellEnd"/>
      <w:r>
        <w:rPr>
          <w:sz w:val="20"/>
          <w:szCs w:val="20"/>
        </w:rPr>
        <w:t xml:space="preserve"> e por estimativa de </w:t>
      </w:r>
      <w:proofErr w:type="spellStart"/>
      <w:r>
        <w:rPr>
          <w:sz w:val="20"/>
          <w:szCs w:val="20"/>
        </w:rPr>
        <w:t>concordância</w:t>
      </w:r>
      <w:proofErr w:type="spellEnd"/>
      <w:r>
        <w:rPr>
          <w:sz w:val="20"/>
          <w:szCs w:val="20"/>
        </w:rPr>
        <w:t xml:space="preserve"> e validade de </w:t>
      </w:r>
      <w:proofErr w:type="spellStart"/>
      <w:r>
        <w:rPr>
          <w:sz w:val="20"/>
          <w:szCs w:val="20"/>
        </w:rPr>
        <w:t>conteúdo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percentuais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concordância</w:t>
      </w:r>
      <w:proofErr w:type="spellEnd"/>
      <w:r>
        <w:rPr>
          <w:sz w:val="20"/>
          <w:szCs w:val="20"/>
        </w:rPr>
        <w:t xml:space="preserve"> e coeficientes </w:t>
      </w:r>
      <w:proofErr w:type="spellStart"/>
      <w:r>
        <w:rPr>
          <w:sz w:val="20"/>
          <w:szCs w:val="20"/>
        </w:rPr>
        <w:t>adequados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acima</w:t>
      </w:r>
      <w:proofErr w:type="spellEnd"/>
      <w:r>
        <w:rPr>
          <w:sz w:val="20"/>
          <w:szCs w:val="20"/>
        </w:rPr>
        <w:t xml:space="preserve"> de 0,90 e 0,80, respectivamente. </w:t>
      </w:r>
      <w:proofErr w:type="spellStart"/>
      <w:r>
        <w:rPr>
          <w:sz w:val="20"/>
          <w:szCs w:val="20"/>
        </w:rPr>
        <w:t>Sugestões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modificações</w:t>
      </w:r>
      <w:proofErr w:type="spellEnd"/>
      <w:r>
        <w:rPr>
          <w:sz w:val="20"/>
          <w:szCs w:val="20"/>
        </w:rPr>
        <w:t xml:space="preserve"> nos instrumentos </w:t>
      </w:r>
      <w:proofErr w:type="spellStart"/>
      <w:r>
        <w:rPr>
          <w:sz w:val="20"/>
          <w:szCs w:val="20"/>
        </w:rPr>
        <w:t>foram</w:t>
      </w:r>
      <w:proofErr w:type="spellEnd"/>
      <w:r>
        <w:rPr>
          <w:sz w:val="20"/>
          <w:szCs w:val="20"/>
        </w:rPr>
        <w:t xml:space="preserve"> discutidas</w:t>
      </w:r>
      <w:r w:rsidR="0001543D">
        <w:rPr>
          <w:sz w:val="20"/>
          <w:szCs w:val="20"/>
        </w:rPr>
        <w:t xml:space="preserve">. </w:t>
      </w:r>
      <w:proofErr w:type="spellStart"/>
      <w:r w:rsidR="0001543D" w:rsidRPr="0001543D">
        <w:rPr>
          <w:sz w:val="20"/>
          <w:szCs w:val="20"/>
        </w:rPr>
        <w:t>Concluiu</w:t>
      </w:r>
      <w:proofErr w:type="spellEnd"/>
      <w:r w:rsidR="0001543D" w:rsidRPr="0001543D">
        <w:rPr>
          <w:sz w:val="20"/>
          <w:szCs w:val="20"/>
        </w:rPr>
        <w:t>-</w:t>
      </w:r>
      <w:proofErr w:type="spellStart"/>
      <w:r w:rsidR="0001543D" w:rsidRPr="0001543D">
        <w:rPr>
          <w:sz w:val="20"/>
          <w:szCs w:val="20"/>
        </w:rPr>
        <w:t>se</w:t>
      </w:r>
      <w:proofErr w:type="spellEnd"/>
      <w:r w:rsidR="0001543D" w:rsidRPr="0001543D">
        <w:rPr>
          <w:sz w:val="20"/>
          <w:szCs w:val="20"/>
        </w:rPr>
        <w:t xml:space="preserve"> que a </w:t>
      </w:r>
      <w:proofErr w:type="spellStart"/>
      <w:r w:rsidR="0001543D" w:rsidRPr="0001543D">
        <w:rPr>
          <w:sz w:val="20"/>
          <w:szCs w:val="20"/>
        </w:rPr>
        <w:t>bateria</w:t>
      </w:r>
      <w:proofErr w:type="spellEnd"/>
      <w:r w:rsidR="0001543D" w:rsidRPr="0001543D">
        <w:rPr>
          <w:sz w:val="20"/>
          <w:szCs w:val="20"/>
        </w:rPr>
        <w:t xml:space="preserve"> </w:t>
      </w:r>
      <w:proofErr w:type="spellStart"/>
      <w:r w:rsidR="0001543D" w:rsidRPr="0001543D">
        <w:rPr>
          <w:sz w:val="20"/>
          <w:szCs w:val="20"/>
        </w:rPr>
        <w:t>apresentou</w:t>
      </w:r>
      <w:proofErr w:type="spellEnd"/>
      <w:r w:rsidR="0001543D" w:rsidRPr="0001543D">
        <w:rPr>
          <w:sz w:val="20"/>
          <w:szCs w:val="20"/>
        </w:rPr>
        <w:t xml:space="preserve"> </w:t>
      </w:r>
      <w:proofErr w:type="spellStart"/>
      <w:r w:rsidR="0001543D" w:rsidRPr="0001543D">
        <w:rPr>
          <w:sz w:val="20"/>
          <w:szCs w:val="20"/>
        </w:rPr>
        <w:t>adequadas</w:t>
      </w:r>
      <w:proofErr w:type="spellEnd"/>
      <w:r w:rsidR="0001543D" w:rsidRPr="0001543D">
        <w:rPr>
          <w:sz w:val="20"/>
          <w:szCs w:val="20"/>
        </w:rPr>
        <w:t xml:space="preserve"> </w:t>
      </w:r>
      <w:proofErr w:type="spellStart"/>
      <w:r w:rsidR="0001543D" w:rsidRPr="0001543D">
        <w:rPr>
          <w:sz w:val="20"/>
          <w:szCs w:val="20"/>
        </w:rPr>
        <w:t>evidências</w:t>
      </w:r>
      <w:proofErr w:type="spellEnd"/>
      <w:r w:rsidR="0001543D" w:rsidRPr="0001543D">
        <w:rPr>
          <w:sz w:val="20"/>
          <w:szCs w:val="20"/>
        </w:rPr>
        <w:t xml:space="preserve"> de validade de </w:t>
      </w:r>
      <w:proofErr w:type="spellStart"/>
      <w:r w:rsidR="0001543D" w:rsidRPr="0001543D">
        <w:rPr>
          <w:sz w:val="20"/>
          <w:szCs w:val="20"/>
        </w:rPr>
        <w:t>conteúdo</w:t>
      </w:r>
      <w:proofErr w:type="spellEnd"/>
      <w:r w:rsidR="0001543D" w:rsidRPr="0001543D">
        <w:rPr>
          <w:sz w:val="20"/>
          <w:szCs w:val="20"/>
        </w:rPr>
        <w:t xml:space="preserve">, e este </w:t>
      </w:r>
      <w:proofErr w:type="spellStart"/>
      <w:r w:rsidR="0001543D" w:rsidRPr="0001543D">
        <w:rPr>
          <w:sz w:val="20"/>
          <w:szCs w:val="20"/>
        </w:rPr>
        <w:t>estudo</w:t>
      </w:r>
      <w:proofErr w:type="spellEnd"/>
      <w:r w:rsidR="0001543D" w:rsidRPr="0001543D">
        <w:rPr>
          <w:sz w:val="20"/>
          <w:szCs w:val="20"/>
        </w:rPr>
        <w:t xml:space="preserve"> se destaca por evidenciar de forma transparente o </w:t>
      </w:r>
      <w:proofErr w:type="spellStart"/>
      <w:r w:rsidR="0001543D" w:rsidRPr="0001543D">
        <w:rPr>
          <w:sz w:val="20"/>
          <w:szCs w:val="20"/>
        </w:rPr>
        <w:t>primeiro</w:t>
      </w:r>
      <w:proofErr w:type="spellEnd"/>
      <w:r w:rsidR="0001543D" w:rsidRPr="0001543D">
        <w:rPr>
          <w:sz w:val="20"/>
          <w:szCs w:val="20"/>
        </w:rPr>
        <w:t xml:space="preserve"> e fundamental </w:t>
      </w:r>
      <w:proofErr w:type="spellStart"/>
      <w:r w:rsidR="0001543D" w:rsidRPr="0001543D">
        <w:rPr>
          <w:sz w:val="20"/>
          <w:szCs w:val="20"/>
        </w:rPr>
        <w:t>processo</w:t>
      </w:r>
      <w:proofErr w:type="spellEnd"/>
      <w:r w:rsidR="0001543D" w:rsidRPr="0001543D">
        <w:rPr>
          <w:sz w:val="20"/>
          <w:szCs w:val="20"/>
        </w:rPr>
        <w:t xml:space="preserve"> de </w:t>
      </w:r>
      <w:proofErr w:type="spellStart"/>
      <w:r w:rsidR="0001543D" w:rsidRPr="0001543D">
        <w:rPr>
          <w:sz w:val="20"/>
          <w:szCs w:val="20"/>
        </w:rPr>
        <w:t>análise</w:t>
      </w:r>
      <w:proofErr w:type="spellEnd"/>
      <w:r w:rsidR="0001543D" w:rsidRPr="0001543D">
        <w:rPr>
          <w:sz w:val="20"/>
          <w:szCs w:val="20"/>
        </w:rPr>
        <w:t xml:space="preserve"> de validade, </w:t>
      </w:r>
      <w:proofErr w:type="spellStart"/>
      <w:r w:rsidR="0001543D" w:rsidRPr="0001543D">
        <w:rPr>
          <w:sz w:val="20"/>
          <w:szCs w:val="20"/>
        </w:rPr>
        <w:t>essencial</w:t>
      </w:r>
      <w:proofErr w:type="spellEnd"/>
      <w:r w:rsidR="0001543D" w:rsidRPr="0001543D">
        <w:rPr>
          <w:sz w:val="20"/>
          <w:szCs w:val="20"/>
        </w:rPr>
        <w:t xml:space="preserve"> para que o instrumento avance para as etapas </w:t>
      </w:r>
      <w:proofErr w:type="spellStart"/>
      <w:r w:rsidR="0001543D" w:rsidRPr="0001543D">
        <w:rPr>
          <w:sz w:val="20"/>
          <w:szCs w:val="20"/>
        </w:rPr>
        <w:t>subsequentes</w:t>
      </w:r>
      <w:proofErr w:type="spellEnd"/>
      <w:r w:rsidR="0001543D" w:rsidRPr="0001543D">
        <w:rPr>
          <w:sz w:val="20"/>
          <w:szCs w:val="20"/>
        </w:rPr>
        <w:t xml:space="preserve"> e alcance </w:t>
      </w:r>
      <w:proofErr w:type="spellStart"/>
      <w:r w:rsidR="0001543D" w:rsidRPr="0001543D">
        <w:rPr>
          <w:sz w:val="20"/>
          <w:szCs w:val="20"/>
        </w:rPr>
        <w:t>uma</w:t>
      </w:r>
      <w:proofErr w:type="spellEnd"/>
      <w:r w:rsidR="0001543D" w:rsidRPr="0001543D">
        <w:rPr>
          <w:sz w:val="20"/>
          <w:szCs w:val="20"/>
        </w:rPr>
        <w:t xml:space="preserve"> </w:t>
      </w:r>
      <w:proofErr w:type="spellStart"/>
      <w:r w:rsidR="0001543D" w:rsidRPr="0001543D">
        <w:rPr>
          <w:sz w:val="20"/>
          <w:szCs w:val="20"/>
        </w:rPr>
        <w:t>aplicação</w:t>
      </w:r>
      <w:proofErr w:type="spellEnd"/>
      <w:r w:rsidR="0001543D" w:rsidRPr="0001543D">
        <w:rPr>
          <w:sz w:val="20"/>
          <w:szCs w:val="20"/>
        </w:rPr>
        <w:t xml:space="preserve"> eficaz no futuro.</w:t>
      </w:r>
    </w:p>
    <w:p w14:paraId="0000000D" w14:textId="77777777" w:rsidR="00C57DD8" w:rsidRDefault="00C57DD8">
      <w:pPr>
        <w:jc w:val="both"/>
        <w:rPr>
          <w:sz w:val="20"/>
          <w:szCs w:val="20"/>
        </w:rPr>
      </w:pPr>
    </w:p>
    <w:p w14:paraId="0000000E" w14:textId="77777777" w:rsidR="00C57DD8" w:rsidRDefault="00EB3EFF">
      <w:pPr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Palavras</w:t>
      </w:r>
      <w:proofErr w:type="spellEnd"/>
      <w:r>
        <w:rPr>
          <w:b/>
          <w:sz w:val="20"/>
          <w:szCs w:val="20"/>
        </w:rPr>
        <w:t>-chave</w:t>
      </w:r>
    </w:p>
    <w:p w14:paraId="0000000F" w14:textId="43B9F529" w:rsidR="00C57DD8" w:rsidRDefault="00EB3EFF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Função</w:t>
      </w:r>
      <w:proofErr w:type="spellEnd"/>
      <w:r>
        <w:rPr>
          <w:sz w:val="20"/>
          <w:szCs w:val="20"/>
        </w:rPr>
        <w:t xml:space="preserve"> Executiva; Testes Neuropsicológicos; </w:t>
      </w:r>
      <w:proofErr w:type="spellStart"/>
      <w:r>
        <w:rPr>
          <w:sz w:val="20"/>
          <w:szCs w:val="20"/>
        </w:rPr>
        <w:t>Neuropsicologia</w:t>
      </w:r>
      <w:proofErr w:type="spellEnd"/>
      <w:r>
        <w:rPr>
          <w:sz w:val="20"/>
          <w:szCs w:val="20"/>
        </w:rPr>
        <w:t xml:space="preserve">; Psicometria; </w:t>
      </w:r>
      <w:proofErr w:type="spellStart"/>
      <w:r>
        <w:rPr>
          <w:sz w:val="20"/>
          <w:szCs w:val="20"/>
        </w:rPr>
        <w:t>Reprodutibilidade</w:t>
      </w:r>
      <w:proofErr w:type="spellEnd"/>
      <w:r>
        <w:rPr>
          <w:sz w:val="20"/>
          <w:szCs w:val="20"/>
        </w:rPr>
        <w:t xml:space="preserve"> dos Resultados</w:t>
      </w:r>
      <w:r w:rsidR="00207355">
        <w:rPr>
          <w:sz w:val="20"/>
          <w:szCs w:val="20"/>
        </w:rPr>
        <w:t>.</w:t>
      </w:r>
    </w:p>
    <w:p w14:paraId="00000010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br w:type="page"/>
      </w:r>
      <w:proofErr w:type="spellStart"/>
      <w:r>
        <w:rPr>
          <w:color w:val="000000"/>
        </w:rPr>
        <w:lastRenderedPageBreak/>
        <w:t>Evidência</w:t>
      </w:r>
      <w:proofErr w:type="spellEnd"/>
      <w:r>
        <w:rPr>
          <w:color w:val="000000"/>
        </w:rPr>
        <w:t xml:space="preserve"> de validade </w:t>
      </w:r>
      <w:proofErr w:type="spellStart"/>
      <w:r>
        <w:rPr>
          <w:color w:val="000000"/>
        </w:rPr>
        <w:t>com</w:t>
      </w:r>
      <w:proofErr w:type="spellEnd"/>
      <w:r>
        <w:rPr>
          <w:color w:val="000000"/>
        </w:rPr>
        <w:t xml:space="preserve"> base no </w:t>
      </w:r>
      <w:proofErr w:type="spellStart"/>
      <w:r>
        <w:rPr>
          <w:color w:val="000000"/>
        </w:rPr>
        <w:t>conteúdo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bateria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avaliação</w:t>
      </w:r>
      <w:proofErr w:type="spellEnd"/>
      <w:r>
        <w:rPr>
          <w:color w:val="000000"/>
        </w:rPr>
        <w:t xml:space="preserve"> da </w:t>
      </w:r>
      <w:proofErr w:type="spellStart"/>
      <w:r>
        <w:rPr>
          <w:color w:val="000000"/>
        </w:rPr>
        <w:t>função</w:t>
      </w:r>
      <w:proofErr w:type="spellEnd"/>
      <w:r>
        <w:rPr>
          <w:color w:val="000000"/>
        </w:rPr>
        <w:t xml:space="preserve"> executiva infantil (BAFE-</w:t>
      </w:r>
      <w:proofErr w:type="spellStart"/>
      <w:r>
        <w:rPr>
          <w:color w:val="000000"/>
        </w:rPr>
        <w:t>inf</w:t>
      </w:r>
      <w:proofErr w:type="spellEnd"/>
      <w:r>
        <w:rPr>
          <w:color w:val="000000"/>
        </w:rPr>
        <w:t>)</w:t>
      </w:r>
    </w:p>
    <w:p w14:paraId="00000011" w14:textId="77777777" w:rsidR="00C57DD8" w:rsidRDefault="00C57DD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0000012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Introduction</w:t>
      </w:r>
      <w:proofErr w:type="spellEnd"/>
    </w:p>
    <w:p w14:paraId="00000013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Executive </w:t>
      </w:r>
      <w:proofErr w:type="spellStart"/>
      <w:r>
        <w:rPr>
          <w:color w:val="000000"/>
        </w:rPr>
        <w:t>functions</w:t>
      </w:r>
      <w:proofErr w:type="spellEnd"/>
      <w:r>
        <w:rPr>
          <w:color w:val="000000"/>
        </w:rPr>
        <w:t xml:space="preserve"> (EF) are </w:t>
      </w:r>
      <w:proofErr w:type="spellStart"/>
      <w:r>
        <w:rPr>
          <w:color w:val="000000"/>
        </w:rPr>
        <w:t>essential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skills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directing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behaviors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actions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achieve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goals</w:t>
      </w:r>
      <w:proofErr w:type="spellEnd"/>
      <w:r>
        <w:rPr>
          <w:color w:val="000000"/>
        </w:rPr>
        <w:t xml:space="preserve"> (Canet-</w:t>
      </w:r>
      <w:proofErr w:type="spellStart"/>
      <w:r>
        <w:rPr>
          <w:color w:val="000000"/>
        </w:rPr>
        <w:t>Juric</w:t>
      </w:r>
      <w:proofErr w:type="spellEnd"/>
      <w:r>
        <w:rPr>
          <w:color w:val="000000"/>
        </w:rPr>
        <w:t xml:space="preserve"> et al., 2021; </w:t>
      </w:r>
      <w:proofErr w:type="spellStart"/>
      <w:r>
        <w:rPr>
          <w:color w:val="000000"/>
        </w:rPr>
        <w:t>Elage</w:t>
      </w:r>
      <w:proofErr w:type="spellEnd"/>
      <w:r>
        <w:rPr>
          <w:color w:val="000000"/>
        </w:rPr>
        <w:t xml:space="preserve"> &amp; </w:t>
      </w:r>
      <w:proofErr w:type="spellStart"/>
      <w:r>
        <w:rPr>
          <w:color w:val="000000"/>
        </w:rPr>
        <w:t>Seabra</w:t>
      </w:r>
      <w:proofErr w:type="spellEnd"/>
      <w:r>
        <w:rPr>
          <w:color w:val="000000"/>
        </w:rPr>
        <w:t xml:space="preserve">, 2021; Nogues &amp; Nunes, 2023; </w:t>
      </w:r>
      <w:proofErr w:type="spellStart"/>
      <w:r>
        <w:rPr>
          <w:color w:val="000000"/>
        </w:rPr>
        <w:t>Perone</w:t>
      </w:r>
      <w:proofErr w:type="spellEnd"/>
      <w:r>
        <w:rPr>
          <w:color w:val="000000"/>
        </w:rPr>
        <w:t xml:space="preserve"> et al., 2021). </w:t>
      </w:r>
      <w:proofErr w:type="spellStart"/>
      <w:r>
        <w:rPr>
          <w:color w:val="000000"/>
        </w:rPr>
        <w:t>They</w:t>
      </w:r>
      <w:proofErr w:type="spellEnd"/>
      <w:r>
        <w:rPr>
          <w:color w:val="000000"/>
        </w:rPr>
        <w:t xml:space="preserve"> are </w:t>
      </w:r>
      <w:proofErr w:type="spellStart"/>
      <w:r>
        <w:rPr>
          <w:color w:val="000000"/>
        </w:rPr>
        <w:t>related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physical</w:t>
      </w:r>
      <w:proofErr w:type="spellEnd"/>
      <w:r>
        <w:rPr>
          <w:color w:val="000000"/>
        </w:rPr>
        <w:t xml:space="preserve"> and mental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academic</w:t>
      </w:r>
      <w:proofErr w:type="spellEnd"/>
      <w:r>
        <w:rPr>
          <w:color w:val="000000"/>
        </w:rPr>
        <w:t xml:space="preserve"> and social performances, and </w:t>
      </w:r>
      <w:proofErr w:type="spellStart"/>
      <w:r>
        <w:rPr>
          <w:color w:val="000000"/>
        </w:rPr>
        <w:t>other</w:t>
      </w:r>
      <w:proofErr w:type="spellEnd"/>
      <w:r>
        <w:rPr>
          <w:color w:val="000000"/>
        </w:rPr>
        <w:t xml:space="preserve"> cognitive abilities (Chami et al., 2022; </w:t>
      </w:r>
      <w:proofErr w:type="spellStart"/>
      <w:r>
        <w:rPr>
          <w:color w:val="000000"/>
        </w:rPr>
        <w:t>Dai</w:t>
      </w:r>
      <w:proofErr w:type="spellEnd"/>
      <w:r>
        <w:rPr>
          <w:color w:val="000000"/>
        </w:rPr>
        <w:t xml:space="preserve"> et al., 2021; </w:t>
      </w:r>
      <w:proofErr w:type="spellStart"/>
      <w:r>
        <w:rPr>
          <w:color w:val="000000"/>
        </w:rPr>
        <w:t>Jiang</w:t>
      </w:r>
      <w:proofErr w:type="spellEnd"/>
      <w:r>
        <w:rPr>
          <w:color w:val="000000"/>
        </w:rPr>
        <w:t xml:space="preserve"> et al., 2022; </w:t>
      </w:r>
      <w:proofErr w:type="spellStart"/>
      <w:r>
        <w:rPr>
          <w:color w:val="000000"/>
        </w:rPr>
        <w:t>Likhitweerawong</w:t>
      </w:r>
      <w:proofErr w:type="spellEnd"/>
      <w:r>
        <w:rPr>
          <w:color w:val="000000"/>
        </w:rPr>
        <w:t xml:space="preserve"> et al., 2022; Nogues &amp; Nunes, 2023; Pereira et al., 2020; Ruffini et al., 2021).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crucial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whether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progress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expected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early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years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life</w:t>
      </w:r>
      <w:proofErr w:type="spellEnd"/>
      <w:r>
        <w:rPr>
          <w:color w:val="000000"/>
        </w:rPr>
        <w:t>.</w:t>
      </w:r>
    </w:p>
    <w:p w14:paraId="00000014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The </w:t>
      </w:r>
      <w:proofErr w:type="spellStart"/>
      <w:r>
        <w:rPr>
          <w:color w:val="000000"/>
        </w:rPr>
        <w:t>scarcity</w:t>
      </w:r>
      <w:proofErr w:type="spellEnd"/>
      <w:r>
        <w:rPr>
          <w:color w:val="000000"/>
        </w:rPr>
        <w:t xml:space="preserve"> of EF </w:t>
      </w:r>
      <w:proofErr w:type="spellStart"/>
      <w:r>
        <w:rPr>
          <w:color w:val="000000"/>
        </w:rPr>
        <w:t>assessment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tools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evidence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validity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reliability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noted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various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studies</w:t>
      </w:r>
      <w:proofErr w:type="spellEnd"/>
      <w:r>
        <w:rPr>
          <w:color w:val="000000"/>
        </w:rPr>
        <w:t xml:space="preserve"> (Berardi et al., 2021; </w:t>
      </w:r>
      <w:proofErr w:type="spellStart"/>
      <w:r>
        <w:rPr>
          <w:color w:val="000000"/>
        </w:rPr>
        <w:t>Kusi</w:t>
      </w:r>
      <w:proofErr w:type="spellEnd"/>
      <w:r>
        <w:rPr>
          <w:color w:val="000000"/>
        </w:rPr>
        <w:t xml:space="preserve">-Mensah et al., 2022b; Santana et al., 2019), </w:t>
      </w:r>
      <w:proofErr w:type="spellStart"/>
      <w:r>
        <w:rPr>
          <w:color w:val="000000"/>
        </w:rPr>
        <w:t>especially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low</w:t>
      </w:r>
      <w:proofErr w:type="spellEnd"/>
      <w:r>
        <w:rPr>
          <w:color w:val="000000"/>
        </w:rPr>
        <w:t xml:space="preserve">- and </w:t>
      </w:r>
      <w:proofErr w:type="spellStart"/>
      <w:r>
        <w:rPr>
          <w:color w:val="000000"/>
        </w:rPr>
        <w:t>middle-income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countries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Kusi</w:t>
      </w:r>
      <w:proofErr w:type="spellEnd"/>
      <w:r>
        <w:rPr>
          <w:color w:val="000000"/>
        </w:rPr>
        <w:t xml:space="preserve">-Mensah et al., 2022a). In 2020, a </w:t>
      </w:r>
      <w:proofErr w:type="spellStart"/>
      <w:r>
        <w:rPr>
          <w:color w:val="000000"/>
        </w:rPr>
        <w:t>systematic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review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identified</w:t>
      </w:r>
      <w:proofErr w:type="spellEnd"/>
      <w:r>
        <w:rPr>
          <w:color w:val="000000"/>
        </w:rPr>
        <w:t xml:space="preserve"> 37 EF </w:t>
      </w:r>
      <w:proofErr w:type="spellStart"/>
      <w:r>
        <w:rPr>
          <w:color w:val="000000"/>
        </w:rPr>
        <w:t>assessment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measures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pediatric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population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Brazil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analyzing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working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memory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inhibition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cognitive </w:t>
      </w:r>
      <w:proofErr w:type="spellStart"/>
      <w:r>
        <w:rPr>
          <w:color w:val="000000"/>
        </w:rPr>
        <w:t>flexibility</w:t>
      </w:r>
      <w:proofErr w:type="spellEnd"/>
      <w:r>
        <w:rPr>
          <w:color w:val="000000"/>
        </w:rPr>
        <w:t xml:space="preserve"> (Guerra et al., 2022).</w:t>
      </w:r>
    </w:p>
    <w:p w14:paraId="00000015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Three</w:t>
      </w:r>
      <w:proofErr w:type="spellEnd"/>
      <w:r>
        <w:rPr>
          <w:color w:val="000000"/>
        </w:rPr>
        <w:t xml:space="preserve"> fundamental </w:t>
      </w:r>
      <w:proofErr w:type="spellStart"/>
      <w:r>
        <w:rPr>
          <w:color w:val="000000"/>
        </w:rPr>
        <w:t>components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constitute</w:t>
      </w:r>
      <w:proofErr w:type="spellEnd"/>
      <w:r>
        <w:rPr>
          <w:color w:val="000000"/>
        </w:rPr>
        <w:t xml:space="preserve"> EF: </w:t>
      </w:r>
      <w:proofErr w:type="spellStart"/>
      <w:r>
        <w:rPr>
          <w:color w:val="000000"/>
        </w:rPr>
        <w:t>inhibition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working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memory</w:t>
      </w:r>
      <w:proofErr w:type="spellEnd"/>
      <w:r>
        <w:rPr>
          <w:color w:val="000000"/>
        </w:rPr>
        <w:t xml:space="preserve">, and cognitive </w:t>
      </w:r>
      <w:proofErr w:type="spellStart"/>
      <w:r>
        <w:rPr>
          <w:color w:val="000000"/>
        </w:rPr>
        <w:t>flexibility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Diamond</w:t>
      </w:r>
      <w:proofErr w:type="spellEnd"/>
      <w:r>
        <w:rPr>
          <w:color w:val="000000"/>
        </w:rPr>
        <w:t xml:space="preserve">, 2013, 2020; </w:t>
      </w:r>
      <w:proofErr w:type="spellStart"/>
      <w:r>
        <w:rPr>
          <w:color w:val="000000"/>
        </w:rPr>
        <w:t>Doğru</w:t>
      </w:r>
      <w:proofErr w:type="spellEnd"/>
      <w:r>
        <w:rPr>
          <w:color w:val="000000"/>
        </w:rPr>
        <w:t xml:space="preserve"> et al., 2023; </w:t>
      </w:r>
      <w:proofErr w:type="spellStart"/>
      <w:r>
        <w:rPr>
          <w:color w:val="000000"/>
        </w:rPr>
        <w:t>Nweze</w:t>
      </w:r>
      <w:proofErr w:type="spellEnd"/>
      <w:r>
        <w:rPr>
          <w:color w:val="000000"/>
        </w:rPr>
        <w:t xml:space="preserve"> &amp; </w:t>
      </w:r>
      <w:proofErr w:type="spellStart"/>
      <w:r>
        <w:rPr>
          <w:color w:val="000000"/>
        </w:rPr>
        <w:t>Nwani</w:t>
      </w:r>
      <w:proofErr w:type="spellEnd"/>
      <w:r>
        <w:rPr>
          <w:color w:val="000000"/>
        </w:rPr>
        <w:t xml:space="preserve">, 2020; </w:t>
      </w:r>
      <w:proofErr w:type="spellStart"/>
      <w:r>
        <w:rPr>
          <w:color w:val="000000"/>
        </w:rPr>
        <w:t>Souissi</w:t>
      </w:r>
      <w:proofErr w:type="spellEnd"/>
      <w:r>
        <w:rPr>
          <w:color w:val="000000"/>
        </w:rPr>
        <w:t xml:space="preserve"> et al., 2022; </w:t>
      </w:r>
      <w:proofErr w:type="spellStart"/>
      <w:r>
        <w:rPr>
          <w:color w:val="000000"/>
        </w:rPr>
        <w:t>Theodoraki</w:t>
      </w:r>
      <w:proofErr w:type="spellEnd"/>
      <w:r>
        <w:rPr>
          <w:color w:val="000000"/>
        </w:rPr>
        <w:t xml:space="preserve"> et al., 2020). </w:t>
      </w:r>
      <w:proofErr w:type="spellStart"/>
      <w:r>
        <w:rPr>
          <w:color w:val="000000"/>
        </w:rPr>
        <w:t>Therefore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essential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measures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processes</w:t>
      </w:r>
      <w:proofErr w:type="spellEnd"/>
      <w:r>
        <w:rPr>
          <w:color w:val="000000"/>
        </w:rPr>
        <w:t xml:space="preserve"> and can be </w:t>
      </w:r>
      <w:proofErr w:type="spellStart"/>
      <w:r>
        <w:rPr>
          <w:color w:val="000000"/>
        </w:rPr>
        <w:t>applied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simply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sensitively</w:t>
      </w:r>
      <w:proofErr w:type="spellEnd"/>
      <w:r>
        <w:rPr>
          <w:color w:val="000000"/>
        </w:rPr>
        <w:t xml:space="preserve">, and </w:t>
      </w:r>
      <w:proofErr w:type="spellStart"/>
      <w:r>
        <w:rPr>
          <w:color w:val="000000"/>
        </w:rPr>
        <w:t>quickly</w:t>
      </w:r>
      <w:proofErr w:type="spellEnd"/>
      <w:r>
        <w:rPr>
          <w:color w:val="000000"/>
        </w:rPr>
        <w:t xml:space="preserve"> (Canet-</w:t>
      </w:r>
      <w:proofErr w:type="spellStart"/>
      <w:r>
        <w:rPr>
          <w:color w:val="000000"/>
        </w:rPr>
        <w:t>Juric</w:t>
      </w:r>
      <w:proofErr w:type="spellEnd"/>
      <w:r>
        <w:rPr>
          <w:color w:val="000000"/>
        </w:rPr>
        <w:t xml:space="preserve"> et al., 2021; </w:t>
      </w:r>
      <w:proofErr w:type="spellStart"/>
      <w:r>
        <w:rPr>
          <w:color w:val="000000"/>
        </w:rPr>
        <w:t>Kusi</w:t>
      </w:r>
      <w:proofErr w:type="spellEnd"/>
      <w:r>
        <w:rPr>
          <w:color w:val="000000"/>
        </w:rPr>
        <w:t>-Mensah et al., 2022b).</w:t>
      </w:r>
    </w:p>
    <w:p w14:paraId="00000016" w14:textId="42F8F42C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highlight w:val="yellow"/>
        </w:rPr>
      </w:pPr>
      <w:r>
        <w:rPr>
          <w:color w:val="000000"/>
        </w:rPr>
        <w:t xml:space="preserve">In executive </w:t>
      </w:r>
      <w:proofErr w:type="spellStart"/>
      <w:r>
        <w:rPr>
          <w:color w:val="000000"/>
        </w:rPr>
        <w:t>function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assessments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tools</w:t>
      </w:r>
      <w:proofErr w:type="spellEnd"/>
      <w:r>
        <w:rPr>
          <w:color w:val="000000"/>
        </w:rPr>
        <w:t xml:space="preserve"> are </w:t>
      </w:r>
      <w:proofErr w:type="spellStart"/>
      <w:r>
        <w:rPr>
          <w:color w:val="000000"/>
        </w:rPr>
        <w:t>authorized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use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psychologists</w:t>
      </w:r>
      <w:proofErr w:type="spellEnd"/>
      <w:r>
        <w:rPr>
          <w:color w:val="000000"/>
        </w:rPr>
        <w:t xml:space="preserve">, and of the 13 </w:t>
      </w:r>
      <w:proofErr w:type="spellStart"/>
      <w:r>
        <w:rPr>
          <w:color w:val="000000"/>
        </w:rPr>
        <w:t>authorized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measures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only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eight</w:t>
      </w:r>
      <w:proofErr w:type="spellEnd"/>
      <w:r>
        <w:rPr>
          <w:color w:val="000000"/>
        </w:rPr>
        <w:t xml:space="preserve"> are </w:t>
      </w:r>
      <w:proofErr w:type="spellStart"/>
      <w:r>
        <w:rPr>
          <w:color w:val="000000"/>
        </w:rPr>
        <w:t>designed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 (Guerra et al., 2022). </w:t>
      </w:r>
      <w:proofErr w:type="spellStart"/>
      <w:r>
        <w:rPr>
          <w:color w:val="000000"/>
        </w:rPr>
        <w:t>Many</w:t>
      </w:r>
      <w:proofErr w:type="spellEnd"/>
      <w:r>
        <w:rPr>
          <w:color w:val="000000"/>
        </w:rPr>
        <w:t xml:space="preserve"> are </w:t>
      </w:r>
      <w:proofErr w:type="spellStart"/>
      <w:r>
        <w:rPr>
          <w:color w:val="000000"/>
        </w:rPr>
        <w:t>adaptations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adult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tests</w:t>
      </w:r>
      <w:proofErr w:type="spellEnd"/>
      <w:r>
        <w:rPr>
          <w:color w:val="000000"/>
        </w:rPr>
        <w:t xml:space="preserve"> (</w:t>
      </w:r>
      <w:proofErr w:type="spellStart"/>
      <w:r w:rsidRPr="00360897">
        <w:rPr>
          <w:color w:val="000000"/>
        </w:rPr>
        <w:t>Venturieri</w:t>
      </w:r>
      <w:proofErr w:type="spellEnd"/>
      <w:r w:rsidRPr="00360897">
        <w:rPr>
          <w:color w:val="000000"/>
        </w:rPr>
        <w:t xml:space="preserve"> et al., 2023), </w:t>
      </w:r>
      <w:proofErr w:type="spellStart"/>
      <w:r w:rsidRPr="00360897">
        <w:rPr>
          <w:color w:val="000000"/>
        </w:rPr>
        <w:t>not</w:t>
      </w:r>
      <w:proofErr w:type="spellEnd"/>
      <w:r w:rsidRPr="00360897">
        <w:rPr>
          <w:color w:val="000000"/>
        </w:rPr>
        <w:t xml:space="preserve"> </w:t>
      </w:r>
      <w:proofErr w:type="spellStart"/>
      <w:r w:rsidRPr="00360897">
        <w:rPr>
          <w:color w:val="000000"/>
        </w:rPr>
        <w:t>considering</w:t>
      </w:r>
      <w:proofErr w:type="spellEnd"/>
      <w:r w:rsidRPr="00360897">
        <w:rPr>
          <w:color w:val="000000"/>
        </w:rPr>
        <w:t xml:space="preserve"> </w:t>
      </w:r>
      <w:proofErr w:type="spellStart"/>
      <w:r w:rsidRPr="00360897">
        <w:rPr>
          <w:color w:val="000000"/>
        </w:rPr>
        <w:t>childhood</w:t>
      </w:r>
      <w:proofErr w:type="spellEnd"/>
      <w:r w:rsidRPr="00360897">
        <w:rPr>
          <w:color w:val="000000"/>
        </w:rPr>
        <w:t xml:space="preserve"> </w:t>
      </w:r>
      <w:proofErr w:type="spellStart"/>
      <w:r w:rsidRPr="00360897">
        <w:rPr>
          <w:color w:val="000000"/>
        </w:rPr>
        <w:t>developmental</w:t>
      </w:r>
      <w:proofErr w:type="spellEnd"/>
      <w:r w:rsidRPr="00360897">
        <w:rPr>
          <w:color w:val="000000"/>
        </w:rPr>
        <w:t xml:space="preserve"> </w:t>
      </w:r>
      <w:proofErr w:type="spellStart"/>
      <w:r w:rsidRPr="00360897">
        <w:rPr>
          <w:color w:val="000000"/>
        </w:rPr>
        <w:t>stages</w:t>
      </w:r>
      <w:proofErr w:type="spellEnd"/>
      <w:r w:rsidRPr="00360897">
        <w:rPr>
          <w:color w:val="000000"/>
        </w:rPr>
        <w:t xml:space="preserve"> </w:t>
      </w:r>
      <w:proofErr w:type="spellStart"/>
      <w:r w:rsidRPr="00360897">
        <w:rPr>
          <w:color w:val="000000"/>
        </w:rPr>
        <w:t>or</w:t>
      </w:r>
      <w:proofErr w:type="spellEnd"/>
      <w:r w:rsidRPr="00360897">
        <w:rPr>
          <w:color w:val="000000"/>
        </w:rPr>
        <w:t xml:space="preserve"> </w:t>
      </w:r>
      <w:proofErr w:type="spellStart"/>
      <w:r w:rsidRPr="00360897">
        <w:rPr>
          <w:color w:val="000000"/>
        </w:rPr>
        <w:t>motivations</w:t>
      </w:r>
      <w:proofErr w:type="spellEnd"/>
      <w:r w:rsidRPr="00360897">
        <w:rPr>
          <w:color w:val="000000"/>
        </w:rPr>
        <w:t xml:space="preserve">, and </w:t>
      </w:r>
      <w:proofErr w:type="spellStart"/>
      <w:r w:rsidRPr="00360897">
        <w:rPr>
          <w:color w:val="000000"/>
        </w:rPr>
        <w:t>have</w:t>
      </w:r>
      <w:proofErr w:type="spellEnd"/>
      <w:r w:rsidRPr="00360897">
        <w:rPr>
          <w:color w:val="000000"/>
        </w:rPr>
        <w:t xml:space="preserve"> </w:t>
      </w:r>
      <w:proofErr w:type="spellStart"/>
      <w:r w:rsidRPr="00360897">
        <w:rPr>
          <w:color w:val="000000"/>
        </w:rPr>
        <w:t>small</w:t>
      </w:r>
      <w:proofErr w:type="spellEnd"/>
      <w:r w:rsidRPr="00360897">
        <w:rPr>
          <w:color w:val="000000"/>
        </w:rPr>
        <w:t xml:space="preserve"> normative </w:t>
      </w:r>
      <w:proofErr w:type="spellStart"/>
      <w:r w:rsidRPr="00360897">
        <w:rPr>
          <w:color w:val="000000"/>
        </w:rPr>
        <w:t>samples</w:t>
      </w:r>
      <w:proofErr w:type="spellEnd"/>
      <w:r w:rsidRPr="00360897">
        <w:rPr>
          <w:color w:val="000000"/>
        </w:rPr>
        <w:t xml:space="preserve"> </w:t>
      </w:r>
      <w:proofErr w:type="spellStart"/>
      <w:r w:rsidRPr="00360897">
        <w:rPr>
          <w:color w:val="000000"/>
        </w:rPr>
        <w:t>by</w:t>
      </w:r>
      <w:proofErr w:type="spellEnd"/>
      <w:r w:rsidRPr="00360897">
        <w:rPr>
          <w:color w:val="000000"/>
        </w:rPr>
        <w:t xml:space="preserve"> </w:t>
      </w:r>
      <w:proofErr w:type="spellStart"/>
      <w:r w:rsidRPr="00360897">
        <w:rPr>
          <w:color w:val="000000"/>
        </w:rPr>
        <w:t>age</w:t>
      </w:r>
      <w:proofErr w:type="spellEnd"/>
      <w:r w:rsidRPr="00360897">
        <w:rPr>
          <w:color w:val="000000"/>
        </w:rPr>
        <w:t xml:space="preserve"> </w:t>
      </w:r>
      <w:proofErr w:type="spellStart"/>
      <w:r w:rsidRPr="00360897">
        <w:rPr>
          <w:color w:val="000000"/>
        </w:rPr>
        <w:t>group</w:t>
      </w:r>
      <w:proofErr w:type="spellEnd"/>
      <w:r w:rsidRPr="00360897">
        <w:rPr>
          <w:color w:val="000000"/>
        </w:rPr>
        <w:t xml:space="preserve"> (Guerra et al., 2022). </w:t>
      </w:r>
      <w:r w:rsidR="00360897" w:rsidRPr="00360897">
        <w:t xml:space="preserve">A </w:t>
      </w:r>
      <w:proofErr w:type="spellStart"/>
      <w:r w:rsidR="00360897" w:rsidRPr="00360897">
        <w:t>study</w:t>
      </w:r>
      <w:proofErr w:type="spellEnd"/>
      <w:r w:rsidR="00360897" w:rsidRPr="00360897">
        <w:t xml:space="preserve"> </w:t>
      </w:r>
      <w:proofErr w:type="spellStart"/>
      <w:r w:rsidR="00360897" w:rsidRPr="00360897">
        <w:t>conducted</w:t>
      </w:r>
      <w:proofErr w:type="spellEnd"/>
      <w:r w:rsidR="00360897" w:rsidRPr="00360897">
        <w:t xml:space="preserve"> in </w:t>
      </w:r>
      <w:proofErr w:type="spellStart"/>
      <w:r w:rsidR="00360897" w:rsidRPr="00360897">
        <w:t>Brazil</w:t>
      </w:r>
      <w:proofErr w:type="spellEnd"/>
      <w:r w:rsidR="00360897" w:rsidRPr="00360897">
        <w:t xml:space="preserve"> </w:t>
      </w:r>
      <w:proofErr w:type="spellStart"/>
      <w:r w:rsidR="00360897" w:rsidRPr="00360897">
        <w:t>investigating</w:t>
      </w:r>
      <w:proofErr w:type="spellEnd"/>
      <w:r w:rsidR="00360897" w:rsidRPr="00360897">
        <w:t xml:space="preserve"> </w:t>
      </w:r>
      <w:proofErr w:type="spellStart"/>
      <w:r w:rsidR="00360897" w:rsidRPr="00360897">
        <w:t>psychologists</w:t>
      </w:r>
      <w:proofErr w:type="spellEnd"/>
      <w:r w:rsidR="00360897" w:rsidRPr="00360897">
        <w:t xml:space="preserve">' use of </w:t>
      </w:r>
      <w:proofErr w:type="spellStart"/>
      <w:r w:rsidR="00360897" w:rsidRPr="00360897">
        <w:t>psychological</w:t>
      </w:r>
      <w:proofErr w:type="spellEnd"/>
      <w:r w:rsidR="00360897" w:rsidRPr="00360897">
        <w:t xml:space="preserve"> </w:t>
      </w:r>
      <w:proofErr w:type="spellStart"/>
      <w:r w:rsidR="00360897" w:rsidRPr="00360897">
        <w:t>tests</w:t>
      </w:r>
      <w:proofErr w:type="spellEnd"/>
      <w:r w:rsidR="00360897" w:rsidRPr="00360897">
        <w:t xml:space="preserve"> </w:t>
      </w:r>
      <w:proofErr w:type="spellStart"/>
      <w:r w:rsidR="00360897" w:rsidRPr="00360897">
        <w:t>revealed</w:t>
      </w:r>
      <w:proofErr w:type="spellEnd"/>
      <w:r w:rsidR="00360897" w:rsidRPr="00360897">
        <w:t xml:space="preserve"> </w:t>
      </w:r>
      <w:proofErr w:type="spellStart"/>
      <w:r w:rsidR="00360897" w:rsidRPr="00360897">
        <w:t>that</w:t>
      </w:r>
      <w:proofErr w:type="spellEnd"/>
      <w:r w:rsidR="00360897" w:rsidRPr="00360897">
        <w:t xml:space="preserve">, </w:t>
      </w:r>
      <w:proofErr w:type="spellStart"/>
      <w:r w:rsidR="00360897" w:rsidRPr="00360897">
        <w:t>out</w:t>
      </w:r>
      <w:proofErr w:type="spellEnd"/>
      <w:r w:rsidR="00360897" w:rsidRPr="00360897">
        <w:t xml:space="preserve"> of 248 </w:t>
      </w:r>
      <w:proofErr w:type="spellStart"/>
      <w:r w:rsidR="00360897" w:rsidRPr="00360897">
        <w:t>instruments</w:t>
      </w:r>
      <w:proofErr w:type="spellEnd"/>
      <w:r w:rsidR="00360897" w:rsidRPr="00360897">
        <w:t xml:space="preserve"> </w:t>
      </w:r>
      <w:proofErr w:type="spellStart"/>
      <w:r w:rsidR="00360897" w:rsidRPr="00360897">
        <w:t>used</w:t>
      </w:r>
      <w:proofErr w:type="spellEnd"/>
      <w:r w:rsidR="00360897" w:rsidRPr="00360897">
        <w:t xml:space="preserve">, 105 </w:t>
      </w:r>
      <w:proofErr w:type="spellStart"/>
      <w:r w:rsidR="00360897" w:rsidRPr="00360897">
        <w:t>were</w:t>
      </w:r>
      <w:proofErr w:type="spellEnd"/>
      <w:r w:rsidR="00360897" w:rsidRPr="00360897">
        <w:t xml:space="preserve"> </w:t>
      </w:r>
      <w:proofErr w:type="spellStart"/>
      <w:r w:rsidR="00360897" w:rsidRPr="00360897">
        <w:t>not</w:t>
      </w:r>
      <w:proofErr w:type="spellEnd"/>
      <w:r w:rsidR="00360897" w:rsidRPr="00360897">
        <w:t xml:space="preserve"> </w:t>
      </w:r>
      <w:proofErr w:type="spellStart"/>
      <w:r w:rsidR="00360897" w:rsidRPr="00360897">
        <w:t>included</w:t>
      </w:r>
      <w:proofErr w:type="spellEnd"/>
      <w:r w:rsidR="00360897" w:rsidRPr="00360897">
        <w:t xml:space="preserve"> in the SATEPSI-</w:t>
      </w:r>
      <w:proofErr w:type="spellStart"/>
      <w:r w:rsidR="00360897" w:rsidRPr="00360897">
        <w:t>approved</w:t>
      </w:r>
      <w:proofErr w:type="spellEnd"/>
      <w:r w:rsidR="00360897" w:rsidRPr="00360897">
        <w:t xml:space="preserve"> </w:t>
      </w:r>
      <w:proofErr w:type="spellStart"/>
      <w:r w:rsidR="00360897" w:rsidRPr="00360897">
        <w:t>list</w:t>
      </w:r>
      <w:proofErr w:type="spellEnd"/>
      <w:r w:rsidR="00360897" w:rsidRPr="00360897">
        <w:t xml:space="preserve">, </w:t>
      </w:r>
      <w:proofErr w:type="spellStart"/>
      <w:r w:rsidR="00360897" w:rsidRPr="00360897">
        <w:t>indicating</w:t>
      </w:r>
      <w:proofErr w:type="spellEnd"/>
      <w:r w:rsidR="00360897" w:rsidRPr="00360897">
        <w:t xml:space="preserve"> a </w:t>
      </w:r>
      <w:proofErr w:type="spellStart"/>
      <w:r w:rsidR="00360897" w:rsidRPr="00360897">
        <w:t>substantial</w:t>
      </w:r>
      <w:proofErr w:type="spellEnd"/>
      <w:r w:rsidR="00360897" w:rsidRPr="00360897">
        <w:t xml:space="preserve"> use of </w:t>
      </w:r>
      <w:proofErr w:type="spellStart"/>
      <w:r w:rsidR="00360897" w:rsidRPr="00360897">
        <w:t>unapproved</w:t>
      </w:r>
      <w:proofErr w:type="spellEnd"/>
      <w:r w:rsidR="00360897" w:rsidRPr="00360897">
        <w:t xml:space="preserve"> </w:t>
      </w:r>
      <w:proofErr w:type="spellStart"/>
      <w:r w:rsidR="00360897" w:rsidRPr="00360897">
        <w:t>tests</w:t>
      </w:r>
      <w:proofErr w:type="spellEnd"/>
      <w:r w:rsidR="00360897" w:rsidRPr="00360897">
        <w:t xml:space="preserve"> </w:t>
      </w:r>
      <w:r w:rsidRPr="00360897">
        <w:t>(</w:t>
      </w:r>
      <w:proofErr w:type="spellStart"/>
      <w:r w:rsidRPr="00360897">
        <w:t>Reppold</w:t>
      </w:r>
      <w:proofErr w:type="spellEnd"/>
      <w:r w:rsidRPr="00360897">
        <w:t xml:space="preserve"> et al., 2020).</w:t>
      </w:r>
    </w:p>
    <w:p w14:paraId="00000017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Computerized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instruments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basic</w:t>
      </w:r>
      <w:proofErr w:type="spellEnd"/>
      <w:r>
        <w:rPr>
          <w:color w:val="000000"/>
        </w:rPr>
        <w:t xml:space="preserve"> EF are </w:t>
      </w:r>
      <w:proofErr w:type="spellStart"/>
      <w:r>
        <w:rPr>
          <w:color w:val="000000"/>
        </w:rPr>
        <w:t>even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rarer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both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Brazil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globally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Martins</w:t>
      </w:r>
      <w:proofErr w:type="spellEnd"/>
      <w:r>
        <w:rPr>
          <w:color w:val="000000"/>
        </w:rPr>
        <w:t xml:space="preserve">, 2020). </w:t>
      </w:r>
      <w:proofErr w:type="spellStart"/>
      <w:r>
        <w:rPr>
          <w:color w:val="000000"/>
        </w:rPr>
        <w:t>Identified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measures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include</w:t>
      </w:r>
      <w:proofErr w:type="spellEnd"/>
      <w:r>
        <w:rPr>
          <w:color w:val="000000"/>
        </w:rPr>
        <w:t xml:space="preserve"> the Visual </w:t>
      </w:r>
      <w:proofErr w:type="spellStart"/>
      <w:r>
        <w:rPr>
          <w:color w:val="000000"/>
        </w:rPr>
        <w:t>Attention</w:t>
      </w:r>
      <w:proofErr w:type="spellEnd"/>
      <w:r>
        <w:rPr>
          <w:color w:val="000000"/>
        </w:rPr>
        <w:t xml:space="preserve"> Test (TAVIS-4), </w:t>
      </w:r>
      <w:proofErr w:type="spellStart"/>
      <w:r>
        <w:rPr>
          <w:color w:val="000000"/>
        </w:rPr>
        <w:t>Revised</w:t>
      </w:r>
      <w:proofErr w:type="spellEnd"/>
      <w:r>
        <w:rPr>
          <w:color w:val="000000"/>
        </w:rPr>
        <w:t xml:space="preserve"> D2 Test, Magic </w:t>
      </w:r>
      <w:proofErr w:type="spellStart"/>
      <w:r>
        <w:rPr>
          <w:color w:val="000000"/>
        </w:rPr>
        <w:t>Cards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Game</w:t>
      </w:r>
      <w:proofErr w:type="spellEnd"/>
      <w:r>
        <w:rPr>
          <w:color w:val="000000"/>
        </w:rPr>
        <w:t xml:space="preserve">, Closet </w:t>
      </w:r>
      <w:proofErr w:type="spellStart"/>
      <w:r>
        <w:rPr>
          <w:color w:val="000000"/>
        </w:rPr>
        <w:t>Arrangement</w:t>
      </w:r>
      <w:proofErr w:type="spellEnd"/>
      <w:r>
        <w:rPr>
          <w:color w:val="000000"/>
        </w:rPr>
        <w:t xml:space="preserve"> Test, </w:t>
      </w:r>
      <w:proofErr w:type="spellStart"/>
      <w:r>
        <w:rPr>
          <w:color w:val="000000"/>
        </w:rPr>
        <w:t>Semantic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Generation</w:t>
      </w:r>
      <w:proofErr w:type="spellEnd"/>
      <w:r>
        <w:rPr>
          <w:color w:val="000000"/>
        </w:rPr>
        <w:t xml:space="preserve"> Test, Conners </w:t>
      </w:r>
      <w:proofErr w:type="spellStart"/>
      <w:r>
        <w:rPr>
          <w:color w:val="000000"/>
        </w:rPr>
        <w:t>Kiddie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Continuous</w:t>
      </w:r>
      <w:proofErr w:type="spellEnd"/>
      <w:r>
        <w:rPr>
          <w:color w:val="000000"/>
        </w:rPr>
        <w:t xml:space="preserve"> Performance Test, and </w:t>
      </w:r>
      <w:proofErr w:type="spellStart"/>
      <w:r>
        <w:rPr>
          <w:color w:val="000000"/>
        </w:rPr>
        <w:t>Continuous</w:t>
      </w:r>
      <w:proofErr w:type="spellEnd"/>
      <w:r>
        <w:rPr>
          <w:color w:val="000000"/>
        </w:rPr>
        <w:t xml:space="preserve"> Performance Task (Guerra et al., 2022). </w:t>
      </w:r>
      <w:proofErr w:type="spellStart"/>
      <w:r>
        <w:rPr>
          <w:color w:val="000000"/>
        </w:rPr>
        <w:t>However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many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psychometric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evidence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criteria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Martins</w:t>
      </w:r>
      <w:proofErr w:type="spellEnd"/>
      <w:r>
        <w:rPr>
          <w:color w:val="000000"/>
        </w:rPr>
        <w:t xml:space="preserve">, 2020),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motivates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creation</w:t>
      </w:r>
      <w:proofErr w:type="spellEnd"/>
      <w:r>
        <w:rPr>
          <w:color w:val="000000"/>
        </w:rPr>
        <w:t xml:space="preserve"> of new </w:t>
      </w:r>
      <w:proofErr w:type="spellStart"/>
      <w:r>
        <w:rPr>
          <w:color w:val="000000"/>
        </w:rPr>
        <w:t>computerized</w:t>
      </w:r>
      <w:proofErr w:type="spellEnd"/>
      <w:r>
        <w:rPr>
          <w:color w:val="000000"/>
        </w:rPr>
        <w:t xml:space="preserve"> tasks.</w:t>
      </w:r>
    </w:p>
    <w:p w14:paraId="00000018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The </w:t>
      </w:r>
      <w:proofErr w:type="spellStart"/>
      <w:r>
        <w:rPr>
          <w:color w:val="000000"/>
        </w:rPr>
        <w:t>literature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discusses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instruments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</w:t>
      </w:r>
      <w:proofErr w:type="spellEnd"/>
      <w:r>
        <w:rPr>
          <w:color w:val="000000"/>
        </w:rPr>
        <w:t xml:space="preserve"> EF are performance </w:t>
      </w:r>
      <w:proofErr w:type="spellStart"/>
      <w:r>
        <w:rPr>
          <w:color w:val="000000"/>
        </w:rPr>
        <w:t>tests</w:t>
      </w:r>
      <w:proofErr w:type="spellEnd"/>
      <w:r>
        <w:rPr>
          <w:color w:val="000000"/>
        </w:rPr>
        <w:t>. In Argentina, Canet-</w:t>
      </w:r>
      <w:proofErr w:type="spellStart"/>
      <w:r>
        <w:rPr>
          <w:color w:val="000000"/>
        </w:rPr>
        <w:t>Juric</w:t>
      </w:r>
      <w:proofErr w:type="spellEnd"/>
      <w:r>
        <w:rPr>
          <w:color w:val="000000"/>
        </w:rPr>
        <w:t xml:space="preserve"> et al. (2021) </w:t>
      </w:r>
      <w:proofErr w:type="spellStart"/>
      <w:r>
        <w:rPr>
          <w:color w:val="000000"/>
        </w:rPr>
        <w:t>justify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creation</w:t>
      </w:r>
      <w:proofErr w:type="spellEnd"/>
      <w:r>
        <w:rPr>
          <w:color w:val="000000"/>
        </w:rPr>
        <w:t xml:space="preserve"> of a new EF </w:t>
      </w:r>
      <w:proofErr w:type="spellStart"/>
      <w:r>
        <w:rPr>
          <w:color w:val="000000"/>
        </w:rPr>
        <w:t>assessment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reflecting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main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components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commonly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employed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methods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highlighting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although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measures</w:t>
      </w:r>
      <w:proofErr w:type="spellEnd"/>
      <w:r>
        <w:rPr>
          <w:color w:val="000000"/>
        </w:rPr>
        <w:t xml:space="preserve"> are </w:t>
      </w:r>
      <w:proofErr w:type="spellStart"/>
      <w:r>
        <w:rPr>
          <w:color w:val="000000"/>
        </w:rPr>
        <w:t>internally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valid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ecological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validity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limitations</w:t>
      </w:r>
      <w:proofErr w:type="spellEnd"/>
      <w:r>
        <w:rPr>
          <w:color w:val="000000"/>
        </w:rPr>
        <w:t xml:space="preserve">. In </w:t>
      </w:r>
      <w:proofErr w:type="spellStart"/>
      <w:r>
        <w:rPr>
          <w:color w:val="000000"/>
        </w:rPr>
        <w:t>Brazil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instruments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approved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SATEPSI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</w:t>
      </w:r>
      <w:proofErr w:type="spellEnd"/>
      <w:r>
        <w:rPr>
          <w:color w:val="000000"/>
        </w:rPr>
        <w:t xml:space="preserve"> EF are performance </w:t>
      </w:r>
      <w:proofErr w:type="spellStart"/>
      <w:r>
        <w:rPr>
          <w:color w:val="000000"/>
        </w:rPr>
        <w:t>tests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Although</w:t>
      </w:r>
      <w:proofErr w:type="spellEnd"/>
      <w:r>
        <w:rPr>
          <w:color w:val="000000"/>
        </w:rPr>
        <w:t xml:space="preserve"> rating </w:t>
      </w:r>
      <w:proofErr w:type="spellStart"/>
      <w:r>
        <w:rPr>
          <w:color w:val="000000"/>
        </w:rPr>
        <w:t>instruments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such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scales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questionnaires</w:t>
      </w:r>
      <w:proofErr w:type="spellEnd"/>
      <w:r>
        <w:rPr>
          <w:color w:val="000000"/>
        </w:rPr>
        <w:t xml:space="preserve"> are </w:t>
      </w:r>
      <w:proofErr w:type="spellStart"/>
      <w:r>
        <w:rPr>
          <w:color w:val="000000"/>
        </w:rPr>
        <w:t>used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research</w:t>
      </w:r>
      <w:proofErr w:type="spellEnd"/>
      <w:r>
        <w:rPr>
          <w:color w:val="000000"/>
        </w:rPr>
        <w:t>—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example</w:t>
      </w:r>
      <w:proofErr w:type="spellEnd"/>
      <w:r>
        <w:rPr>
          <w:color w:val="000000"/>
        </w:rPr>
        <w:t xml:space="preserve">, the </w:t>
      </w:r>
      <w:proofErr w:type="spellStart"/>
      <w:r>
        <w:rPr>
          <w:color w:val="000000"/>
        </w:rPr>
        <w:t>Childhood</w:t>
      </w:r>
      <w:proofErr w:type="spellEnd"/>
      <w:r>
        <w:rPr>
          <w:color w:val="000000"/>
        </w:rPr>
        <w:t xml:space="preserve"> Executive </w:t>
      </w:r>
      <w:proofErr w:type="spellStart"/>
      <w:r>
        <w:rPr>
          <w:color w:val="000000"/>
        </w:rPr>
        <w:t>Functioning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Inventory</w:t>
      </w:r>
      <w:proofErr w:type="spellEnd"/>
      <w:r>
        <w:rPr>
          <w:color w:val="000000"/>
        </w:rPr>
        <w:t xml:space="preserve"> (CHEXI), the </w:t>
      </w:r>
      <w:proofErr w:type="spellStart"/>
      <w:r>
        <w:rPr>
          <w:color w:val="000000"/>
        </w:rPr>
        <w:t>Behavior</w:t>
      </w:r>
      <w:proofErr w:type="spellEnd"/>
      <w:r>
        <w:rPr>
          <w:color w:val="000000"/>
        </w:rPr>
        <w:t xml:space="preserve"> Rating </w:t>
      </w:r>
      <w:proofErr w:type="spellStart"/>
      <w:r>
        <w:rPr>
          <w:color w:val="000000"/>
        </w:rPr>
        <w:t>Inventory</w:t>
      </w:r>
      <w:proofErr w:type="spellEnd"/>
      <w:r>
        <w:rPr>
          <w:color w:val="000000"/>
        </w:rPr>
        <w:t xml:space="preserve"> of Executive </w:t>
      </w:r>
      <w:proofErr w:type="spellStart"/>
      <w:r>
        <w:rPr>
          <w:color w:val="000000"/>
        </w:rPr>
        <w:t>Function</w:t>
      </w:r>
      <w:proofErr w:type="spellEnd"/>
      <w:r>
        <w:rPr>
          <w:color w:val="000000"/>
        </w:rPr>
        <w:t xml:space="preserve"> (BRIEF), and the Working Memory Rating </w:t>
      </w:r>
      <w:proofErr w:type="spellStart"/>
      <w:r>
        <w:rPr>
          <w:color w:val="000000"/>
        </w:rPr>
        <w:t>Scale</w:t>
      </w:r>
      <w:proofErr w:type="spellEnd"/>
      <w:r>
        <w:rPr>
          <w:color w:val="000000"/>
        </w:rPr>
        <w:t>—</w:t>
      </w:r>
      <w:proofErr w:type="spellStart"/>
      <w:r>
        <w:rPr>
          <w:color w:val="000000"/>
        </w:rPr>
        <w:t>none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approved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clinical</w:t>
      </w:r>
      <w:proofErr w:type="spellEnd"/>
      <w:r>
        <w:rPr>
          <w:color w:val="000000"/>
        </w:rPr>
        <w:t xml:space="preserve"> use (Guerra et al., 2022).</w:t>
      </w:r>
    </w:p>
    <w:p w14:paraId="00000019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Questionnaires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inventories</w:t>
      </w:r>
      <w:proofErr w:type="spellEnd"/>
      <w:r>
        <w:rPr>
          <w:color w:val="000000"/>
        </w:rPr>
        <w:t xml:space="preserve"> are </w:t>
      </w:r>
      <w:proofErr w:type="spellStart"/>
      <w:r>
        <w:rPr>
          <w:color w:val="000000"/>
        </w:rPr>
        <w:t>structured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objective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techniques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right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answers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assess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behavior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through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statements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predetermined</w:t>
      </w:r>
      <w:proofErr w:type="spellEnd"/>
      <w:r>
        <w:rPr>
          <w:color w:val="000000"/>
        </w:rPr>
        <w:t xml:space="preserve"> response </w:t>
      </w:r>
      <w:proofErr w:type="spellStart"/>
      <w:r>
        <w:rPr>
          <w:color w:val="000000"/>
        </w:rPr>
        <w:t>options</w:t>
      </w:r>
      <w:proofErr w:type="spellEnd"/>
      <w:r>
        <w:rPr>
          <w:color w:val="000000"/>
        </w:rPr>
        <w:t xml:space="preserve"> (Canet-</w:t>
      </w:r>
      <w:proofErr w:type="spellStart"/>
      <w:r>
        <w:rPr>
          <w:color w:val="000000"/>
        </w:rPr>
        <w:t>Juric</w:t>
      </w:r>
      <w:proofErr w:type="spellEnd"/>
      <w:r>
        <w:rPr>
          <w:color w:val="000000"/>
        </w:rPr>
        <w:t xml:space="preserve"> et al., 2021). </w:t>
      </w:r>
      <w:proofErr w:type="spellStart"/>
      <w:r>
        <w:rPr>
          <w:color w:val="000000"/>
        </w:rPr>
        <w:t>These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instruments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ecological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validity</w:t>
      </w:r>
      <w:proofErr w:type="spellEnd"/>
      <w:r>
        <w:rPr>
          <w:color w:val="000000"/>
        </w:rPr>
        <w:t xml:space="preserve"> and, </w:t>
      </w:r>
      <w:proofErr w:type="spellStart"/>
      <w:r>
        <w:rPr>
          <w:color w:val="000000"/>
        </w:rPr>
        <w:t>together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performance </w:t>
      </w:r>
      <w:proofErr w:type="spellStart"/>
      <w:r>
        <w:rPr>
          <w:color w:val="000000"/>
        </w:rPr>
        <w:t>tests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offer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balanced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advantages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disadvantages</w:t>
      </w:r>
      <w:proofErr w:type="spellEnd"/>
      <w:r>
        <w:rPr>
          <w:color w:val="000000"/>
        </w:rPr>
        <w:t xml:space="preserve"> (Berardi et al., 2021). </w:t>
      </w:r>
      <w:proofErr w:type="spellStart"/>
      <w:r>
        <w:rPr>
          <w:color w:val="000000"/>
        </w:rPr>
        <w:t>Moreover</w:t>
      </w:r>
      <w:proofErr w:type="spellEnd"/>
      <w:r>
        <w:rPr>
          <w:color w:val="000000"/>
        </w:rPr>
        <w:t xml:space="preserve">, the </w:t>
      </w:r>
      <w:proofErr w:type="spellStart"/>
      <w:r>
        <w:rPr>
          <w:color w:val="000000"/>
        </w:rPr>
        <w:t>geopolitical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socioeconomic</w:t>
      </w:r>
      <w:proofErr w:type="spellEnd"/>
      <w:r>
        <w:rPr>
          <w:color w:val="000000"/>
        </w:rPr>
        <w:t xml:space="preserve">, and cultural </w:t>
      </w:r>
      <w:proofErr w:type="spellStart"/>
      <w:r>
        <w:rPr>
          <w:color w:val="000000"/>
        </w:rPr>
        <w:t>diversity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directly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influences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assessment</w:t>
      </w:r>
      <w:proofErr w:type="spellEnd"/>
      <w:r>
        <w:rPr>
          <w:color w:val="000000"/>
        </w:rPr>
        <w:t xml:space="preserve"> of EF (Berardi et al., 2021). </w:t>
      </w:r>
    </w:p>
    <w:p w14:paraId="0000001A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The </w:t>
      </w:r>
      <w:proofErr w:type="spellStart"/>
      <w:r>
        <w:rPr>
          <w:color w:val="000000"/>
        </w:rPr>
        <w:t>generalization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standardization</w:t>
      </w:r>
      <w:proofErr w:type="spellEnd"/>
      <w:r>
        <w:rPr>
          <w:color w:val="000000"/>
        </w:rPr>
        <w:t xml:space="preserve"> data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different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locations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sdt>
        <w:sdtPr>
          <w:tag w:val="goog_rdk_2"/>
          <w:id w:val="-733855190"/>
        </w:sdtPr>
        <w:sdtEndPr/>
        <w:sdtContent/>
      </w:sdt>
      <w:sdt>
        <w:sdtPr>
          <w:tag w:val="goog_rdk_3"/>
          <w:id w:val="-1703316601"/>
        </w:sdtPr>
        <w:sdtEndPr/>
        <w:sdtContent/>
      </w:sdt>
      <w:proofErr w:type="spellStart"/>
      <w:r>
        <w:rPr>
          <w:color w:val="000000"/>
        </w:rPr>
        <w:t>hindered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especially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Brazil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where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significant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socioeconomic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disparity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between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regions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Standardization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research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generally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conducted</w:t>
      </w:r>
      <w:proofErr w:type="spellEnd"/>
      <w:r>
        <w:rPr>
          <w:color w:val="000000"/>
        </w:rPr>
        <w:t xml:space="preserve"> in the South and </w:t>
      </w:r>
      <w:proofErr w:type="spellStart"/>
      <w:r>
        <w:rPr>
          <w:color w:val="000000"/>
        </w:rPr>
        <w:t>Southeast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regions</w:t>
      </w:r>
      <w:proofErr w:type="spellEnd"/>
      <w:r>
        <w:rPr>
          <w:color w:val="000000"/>
        </w:rPr>
        <w:t xml:space="preserve">, so the </w:t>
      </w:r>
      <w:proofErr w:type="spellStart"/>
      <w:r>
        <w:rPr>
          <w:color w:val="000000"/>
        </w:rPr>
        <w:t>interpretation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results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other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should</w:t>
      </w:r>
      <w:proofErr w:type="spellEnd"/>
      <w:r>
        <w:rPr>
          <w:color w:val="000000"/>
        </w:rPr>
        <w:t xml:space="preserve"> be </w:t>
      </w:r>
      <w:proofErr w:type="spellStart"/>
      <w:r>
        <w:rPr>
          <w:color w:val="000000"/>
        </w:rPr>
        <w:t>approached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caution</w:t>
      </w:r>
      <w:proofErr w:type="spellEnd"/>
      <w:r>
        <w:rPr>
          <w:color w:val="000000"/>
        </w:rPr>
        <w:t xml:space="preserve"> (Guerra et al., 2021; Guerra et al., 2022). </w:t>
      </w:r>
    </w:p>
    <w:p w14:paraId="0000001B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Considering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challenges</w:t>
      </w:r>
      <w:proofErr w:type="spellEnd"/>
      <w:r>
        <w:rPr>
          <w:color w:val="000000"/>
        </w:rPr>
        <w:t xml:space="preserve">, the Child Executive Functions </w:t>
      </w:r>
      <w:proofErr w:type="spellStart"/>
      <w:r>
        <w:rPr>
          <w:color w:val="000000"/>
        </w:rPr>
        <w:t>Assessment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Battery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Bateria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Avaliação</w:t>
      </w:r>
      <w:proofErr w:type="spellEnd"/>
      <w:r>
        <w:rPr>
          <w:color w:val="000000"/>
        </w:rPr>
        <w:t xml:space="preserve"> das </w:t>
      </w:r>
      <w:proofErr w:type="spellStart"/>
      <w:r>
        <w:rPr>
          <w:color w:val="000000"/>
        </w:rPr>
        <w:t>Funções</w:t>
      </w:r>
      <w:proofErr w:type="spellEnd"/>
      <w:r>
        <w:rPr>
          <w:color w:val="000000"/>
        </w:rPr>
        <w:t xml:space="preserve"> Executivas </w:t>
      </w:r>
      <w:proofErr w:type="spellStart"/>
      <w:r>
        <w:rPr>
          <w:color w:val="000000"/>
        </w:rPr>
        <w:t>Infantis</w:t>
      </w:r>
      <w:proofErr w:type="spellEnd"/>
      <w:r>
        <w:rPr>
          <w:color w:val="000000"/>
        </w:rPr>
        <w:t>: BAFE-</w:t>
      </w:r>
      <w:proofErr w:type="spellStart"/>
      <w:r>
        <w:rPr>
          <w:color w:val="000000"/>
        </w:rPr>
        <w:t>inf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developed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contains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computerized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instruments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application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These</w:t>
      </w:r>
      <w:proofErr w:type="spellEnd"/>
      <w:r>
        <w:rPr>
          <w:color w:val="000000"/>
        </w:rPr>
        <w:t xml:space="preserve"> are performance tasks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playful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elements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game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formats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account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childhood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characteristics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along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scale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investigate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everyday</w:t>
      </w:r>
      <w:proofErr w:type="spellEnd"/>
      <w:r>
        <w:rPr>
          <w:color w:val="000000"/>
        </w:rPr>
        <w:t xml:space="preserve"> EF </w:t>
      </w:r>
      <w:proofErr w:type="spellStart"/>
      <w:r>
        <w:rPr>
          <w:color w:val="000000"/>
        </w:rPr>
        <w:t>difficulties</w:t>
      </w:r>
      <w:proofErr w:type="spellEnd"/>
      <w:r>
        <w:rPr>
          <w:color w:val="000000"/>
        </w:rPr>
        <w:t xml:space="preserve">. The data </w:t>
      </w:r>
      <w:proofErr w:type="spellStart"/>
      <w:r>
        <w:rPr>
          <w:color w:val="000000"/>
        </w:rPr>
        <w:t>collection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took</w:t>
      </w:r>
      <w:proofErr w:type="spellEnd"/>
      <w:r>
        <w:rPr>
          <w:color w:val="000000"/>
        </w:rPr>
        <w:t xml:space="preserve"> place in the </w:t>
      </w:r>
      <w:proofErr w:type="spellStart"/>
      <w:r>
        <w:rPr>
          <w:color w:val="000000"/>
        </w:rPr>
        <w:t>Northeast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region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Brazil</w:t>
      </w:r>
      <w:proofErr w:type="spellEnd"/>
      <w:r>
        <w:rPr>
          <w:color w:val="000000"/>
        </w:rPr>
        <w:t>.</w:t>
      </w:r>
    </w:p>
    <w:p w14:paraId="0000001C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inhibition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assessment</w:t>
      </w:r>
      <w:proofErr w:type="spellEnd"/>
      <w:r>
        <w:rPr>
          <w:color w:val="000000"/>
        </w:rPr>
        <w:t xml:space="preserve"> test, the </w:t>
      </w:r>
      <w:proofErr w:type="spellStart"/>
      <w:r>
        <w:rPr>
          <w:color w:val="000000"/>
        </w:rPr>
        <w:t>Simon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Cevada</w:t>
      </w:r>
      <w:proofErr w:type="spellEnd"/>
      <w:r>
        <w:rPr>
          <w:color w:val="000000"/>
        </w:rPr>
        <w:t xml:space="preserve"> et al., 2019; </w:t>
      </w:r>
      <w:proofErr w:type="spellStart"/>
      <w:r>
        <w:rPr>
          <w:color w:val="000000"/>
        </w:rPr>
        <w:t>Simon</w:t>
      </w:r>
      <w:proofErr w:type="spellEnd"/>
      <w:r>
        <w:rPr>
          <w:color w:val="000000"/>
        </w:rPr>
        <w:t xml:space="preserve"> &amp; </w:t>
      </w:r>
      <w:proofErr w:type="spellStart"/>
      <w:r>
        <w:rPr>
          <w:color w:val="000000"/>
        </w:rPr>
        <w:t>Rudell</w:t>
      </w:r>
      <w:proofErr w:type="spellEnd"/>
      <w:r>
        <w:rPr>
          <w:color w:val="000000"/>
        </w:rPr>
        <w:t xml:space="preserve">, 1967) and </w:t>
      </w:r>
      <w:proofErr w:type="spellStart"/>
      <w:r>
        <w:rPr>
          <w:color w:val="000000"/>
        </w:rPr>
        <w:t>Go</w:t>
      </w:r>
      <w:proofErr w:type="spellEnd"/>
      <w:r>
        <w:rPr>
          <w:color w:val="000000"/>
        </w:rPr>
        <w:t xml:space="preserve">/no </w:t>
      </w:r>
      <w:proofErr w:type="spellStart"/>
      <w:r>
        <w:rPr>
          <w:color w:val="000000"/>
        </w:rPr>
        <w:t>Go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Brocki</w:t>
      </w:r>
      <w:proofErr w:type="spellEnd"/>
      <w:r>
        <w:rPr>
          <w:color w:val="000000"/>
        </w:rPr>
        <w:t xml:space="preserve"> &amp; </w:t>
      </w:r>
      <w:proofErr w:type="spellStart"/>
      <w:r>
        <w:rPr>
          <w:color w:val="000000"/>
        </w:rPr>
        <w:t>Bohlin</w:t>
      </w:r>
      <w:proofErr w:type="spellEnd"/>
      <w:r>
        <w:rPr>
          <w:color w:val="000000"/>
        </w:rPr>
        <w:t xml:space="preserve">, 2010) </w:t>
      </w:r>
      <w:proofErr w:type="spellStart"/>
      <w:r>
        <w:rPr>
          <w:color w:val="000000"/>
        </w:rPr>
        <w:t>paradigms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used</w:t>
      </w:r>
      <w:proofErr w:type="spellEnd"/>
      <w:r>
        <w:rPr>
          <w:color w:val="000000"/>
        </w:rPr>
        <w:t xml:space="preserve"> as the basis. </w:t>
      </w:r>
      <w:proofErr w:type="spellStart"/>
      <w:r>
        <w:rPr>
          <w:color w:val="000000"/>
        </w:rPr>
        <w:t>Two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inhibition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components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considered</w:t>
      </w:r>
      <w:proofErr w:type="spellEnd"/>
      <w:r>
        <w:rPr>
          <w:color w:val="000000"/>
        </w:rPr>
        <w:t xml:space="preserve">: response </w:t>
      </w:r>
      <w:proofErr w:type="spellStart"/>
      <w:r>
        <w:rPr>
          <w:color w:val="000000"/>
        </w:rPr>
        <w:t>inhibition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interference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suppression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Isherwood</w:t>
      </w:r>
      <w:proofErr w:type="spellEnd"/>
      <w:r>
        <w:rPr>
          <w:color w:val="000000"/>
        </w:rPr>
        <w:t xml:space="preserve"> et al., 2023; Wang et al., 2024). The </w:t>
      </w:r>
      <w:proofErr w:type="spellStart"/>
      <w:r>
        <w:rPr>
          <w:color w:val="000000"/>
        </w:rPr>
        <w:t>working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memory</w:t>
      </w:r>
      <w:proofErr w:type="spellEnd"/>
      <w:r>
        <w:rPr>
          <w:color w:val="000000"/>
        </w:rPr>
        <w:t xml:space="preserve"> test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multi-component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proposed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Baddeley (2000, 2012), </w:t>
      </w:r>
      <w:proofErr w:type="spellStart"/>
      <w:r>
        <w:rPr>
          <w:color w:val="000000"/>
        </w:rPr>
        <w:t>including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recruits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only</w:t>
      </w:r>
      <w:proofErr w:type="spellEnd"/>
      <w:r>
        <w:rPr>
          <w:color w:val="000000"/>
        </w:rPr>
        <w:t xml:space="preserve"> fluid </w:t>
      </w:r>
      <w:proofErr w:type="spellStart"/>
      <w:r>
        <w:rPr>
          <w:color w:val="000000"/>
        </w:rPr>
        <w:t>systems</w:t>
      </w:r>
      <w:proofErr w:type="spellEnd"/>
      <w:r>
        <w:rPr>
          <w:color w:val="000000"/>
        </w:rPr>
        <w:t xml:space="preserve"> and a </w:t>
      </w:r>
      <w:proofErr w:type="spellStart"/>
      <w:r>
        <w:rPr>
          <w:color w:val="000000"/>
        </w:rPr>
        <w:t>part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requires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joint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action</w:t>
      </w:r>
      <w:proofErr w:type="spellEnd"/>
      <w:r>
        <w:rPr>
          <w:color w:val="000000"/>
        </w:rPr>
        <w:t xml:space="preserve"> of fluid and </w:t>
      </w:r>
      <w:proofErr w:type="spellStart"/>
      <w:r>
        <w:rPr>
          <w:color w:val="000000"/>
        </w:rPr>
        <w:t>crystallized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systems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Finally</w:t>
      </w:r>
      <w:proofErr w:type="spellEnd"/>
      <w:r>
        <w:rPr>
          <w:color w:val="000000"/>
        </w:rPr>
        <w:t xml:space="preserve">, the cognitive </w:t>
      </w:r>
      <w:proofErr w:type="spellStart"/>
      <w:r>
        <w:rPr>
          <w:color w:val="000000"/>
        </w:rPr>
        <w:t>flexibility</w:t>
      </w:r>
      <w:proofErr w:type="spellEnd"/>
      <w:r>
        <w:rPr>
          <w:color w:val="000000"/>
        </w:rPr>
        <w:t xml:space="preserve"> test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based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the task switching </w:t>
      </w:r>
      <w:proofErr w:type="spellStart"/>
      <w:r>
        <w:rPr>
          <w:color w:val="000000"/>
        </w:rPr>
        <w:t>paradigm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Jersild</w:t>
      </w:r>
      <w:proofErr w:type="spellEnd"/>
      <w:r>
        <w:rPr>
          <w:color w:val="000000"/>
        </w:rPr>
        <w:t xml:space="preserve">, 1927) and </w:t>
      </w:r>
      <w:proofErr w:type="spellStart"/>
      <w:r>
        <w:rPr>
          <w:color w:val="000000"/>
        </w:rPr>
        <w:t>inspired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trail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making</w:t>
      </w:r>
      <w:proofErr w:type="spellEnd"/>
      <w:r>
        <w:rPr>
          <w:color w:val="000000"/>
        </w:rPr>
        <w:t xml:space="preserve"> test as </w:t>
      </w:r>
      <w:proofErr w:type="spellStart"/>
      <w:r>
        <w:rPr>
          <w:color w:val="000000"/>
        </w:rPr>
        <w:t>described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Bowie and Harvey (2006).</w:t>
      </w:r>
    </w:p>
    <w:p w14:paraId="0000001D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assessment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tools</w:t>
      </w:r>
      <w:proofErr w:type="spellEnd"/>
      <w:r>
        <w:rPr>
          <w:color w:val="000000"/>
        </w:rPr>
        <w:t xml:space="preserve"> of EF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be </w:t>
      </w:r>
      <w:proofErr w:type="spellStart"/>
      <w:r>
        <w:rPr>
          <w:color w:val="000000"/>
        </w:rPr>
        <w:t>valuable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psychometric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evidence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must</w:t>
      </w:r>
      <w:proofErr w:type="spellEnd"/>
      <w:r>
        <w:rPr>
          <w:color w:val="000000"/>
        </w:rPr>
        <w:t xml:space="preserve"> be </w:t>
      </w:r>
      <w:proofErr w:type="spellStart"/>
      <w:r>
        <w:rPr>
          <w:color w:val="000000"/>
        </w:rPr>
        <w:t>analyzed</w:t>
      </w:r>
      <w:proofErr w:type="spellEnd"/>
      <w:r>
        <w:rPr>
          <w:color w:val="000000"/>
        </w:rPr>
        <w:t xml:space="preserve"> (Berardi et al., 2021). Content </w:t>
      </w:r>
      <w:proofErr w:type="spellStart"/>
      <w:r>
        <w:rPr>
          <w:color w:val="000000"/>
        </w:rPr>
        <w:t>validity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evidence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checks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well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items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reflect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construct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involves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expert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review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suitability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instrument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requiring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expertise</w:t>
      </w:r>
      <w:proofErr w:type="spellEnd"/>
      <w:r>
        <w:rPr>
          <w:color w:val="000000"/>
        </w:rPr>
        <w:t xml:space="preserve"> in the </w:t>
      </w:r>
      <w:proofErr w:type="spellStart"/>
      <w:r>
        <w:rPr>
          <w:color w:val="000000"/>
        </w:rPr>
        <w:t>research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field</w:t>
      </w:r>
      <w:proofErr w:type="spellEnd"/>
      <w:r>
        <w:rPr>
          <w:color w:val="000000"/>
        </w:rPr>
        <w:t xml:space="preserve"> (AERA et al., 2014; </w:t>
      </w:r>
      <w:proofErr w:type="spellStart"/>
      <w:r>
        <w:rPr>
          <w:color w:val="000000"/>
        </w:rPr>
        <w:t>Almanasreh</w:t>
      </w:r>
      <w:proofErr w:type="spellEnd"/>
      <w:r>
        <w:rPr>
          <w:color w:val="000000"/>
        </w:rPr>
        <w:t xml:space="preserve"> et al., 2018). </w:t>
      </w:r>
    </w:p>
    <w:p w14:paraId="0000001E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Experts</w:t>
      </w:r>
      <w:proofErr w:type="spellEnd"/>
      <w:r>
        <w:rPr>
          <w:color w:val="000000"/>
        </w:rPr>
        <w:t xml:space="preserve">' responses are </w:t>
      </w:r>
      <w:proofErr w:type="spellStart"/>
      <w:r>
        <w:rPr>
          <w:color w:val="000000"/>
        </w:rPr>
        <w:t>analyzed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quantitatively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qualitatively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Quantitative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analyses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validity</w:t>
      </w:r>
      <w:proofErr w:type="spellEnd"/>
      <w:r>
        <w:rPr>
          <w:color w:val="000000"/>
        </w:rPr>
        <w:t xml:space="preserve"> indexes and </w:t>
      </w:r>
      <w:proofErr w:type="spellStart"/>
      <w:r>
        <w:rPr>
          <w:color w:val="000000"/>
        </w:rPr>
        <w:t>overall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calculations</w:t>
      </w:r>
      <w:proofErr w:type="spellEnd"/>
      <w:r>
        <w:rPr>
          <w:color w:val="000000"/>
        </w:rPr>
        <w:t xml:space="preserve"> (Alexandre &amp; </w:t>
      </w:r>
      <w:proofErr w:type="spellStart"/>
      <w:r>
        <w:rPr>
          <w:color w:val="000000"/>
        </w:rPr>
        <w:t>Coluci</w:t>
      </w:r>
      <w:proofErr w:type="spellEnd"/>
      <w:r>
        <w:rPr>
          <w:color w:val="000000"/>
        </w:rPr>
        <w:t xml:space="preserve">, 2011; </w:t>
      </w:r>
      <w:proofErr w:type="spellStart"/>
      <w:r>
        <w:rPr>
          <w:color w:val="000000"/>
        </w:rPr>
        <w:t>Almanasreh</w:t>
      </w:r>
      <w:proofErr w:type="spellEnd"/>
      <w:r>
        <w:rPr>
          <w:color w:val="000000"/>
        </w:rPr>
        <w:t xml:space="preserve"> et al., 2018). In </w:t>
      </w:r>
      <w:proofErr w:type="spellStart"/>
      <w:r>
        <w:rPr>
          <w:color w:val="000000"/>
        </w:rPr>
        <w:t>addition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expert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reviews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analyzing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instruments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the target </w:t>
      </w:r>
      <w:proofErr w:type="spellStart"/>
      <w:r>
        <w:rPr>
          <w:color w:val="000000"/>
        </w:rPr>
        <w:t>population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using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validity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indexes, </w:t>
      </w:r>
      <w:proofErr w:type="spellStart"/>
      <w:r>
        <w:rPr>
          <w:color w:val="000000"/>
        </w:rPr>
        <w:t>proves</w:t>
      </w:r>
      <w:proofErr w:type="spellEnd"/>
      <w:r>
        <w:rPr>
          <w:color w:val="000000"/>
        </w:rPr>
        <w:t xml:space="preserve"> beneficial (Leal, 2022). The </w:t>
      </w:r>
      <w:proofErr w:type="spellStart"/>
      <w:r>
        <w:rPr>
          <w:color w:val="000000"/>
        </w:rPr>
        <w:t>goal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investigate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content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validity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measures</w:t>
      </w:r>
      <w:proofErr w:type="spellEnd"/>
      <w:r>
        <w:rPr>
          <w:color w:val="000000"/>
        </w:rPr>
        <w:t xml:space="preserve"> of the BAFE-</w:t>
      </w:r>
      <w:proofErr w:type="spellStart"/>
      <w:r>
        <w:rPr>
          <w:color w:val="000000"/>
        </w:rPr>
        <w:t>inf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considering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expert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analyses</w:t>
      </w:r>
      <w:proofErr w:type="spellEnd"/>
      <w:r>
        <w:rPr>
          <w:color w:val="000000"/>
        </w:rPr>
        <w:t xml:space="preserve"> and the </w:t>
      </w:r>
      <w:proofErr w:type="spellStart"/>
      <w:r>
        <w:rPr>
          <w:color w:val="000000"/>
        </w:rPr>
        <w:t>assessments</w:t>
      </w:r>
      <w:proofErr w:type="spellEnd"/>
      <w:r>
        <w:rPr>
          <w:color w:val="000000"/>
        </w:rPr>
        <w:t xml:space="preserve"> of the </w:t>
      </w:r>
      <w:proofErr w:type="spellStart"/>
      <w:r>
        <w:rPr>
          <w:color w:val="000000"/>
        </w:rPr>
        <w:t>instruments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the target </w:t>
      </w:r>
      <w:proofErr w:type="spellStart"/>
      <w:r>
        <w:rPr>
          <w:color w:val="000000"/>
        </w:rPr>
        <w:t>population</w:t>
      </w:r>
      <w:proofErr w:type="spellEnd"/>
      <w:r>
        <w:rPr>
          <w:color w:val="000000"/>
        </w:rPr>
        <w:t>.</w:t>
      </w:r>
    </w:p>
    <w:p w14:paraId="0000001F" w14:textId="77777777" w:rsidR="00C57DD8" w:rsidRDefault="00C57D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</w:p>
    <w:p w14:paraId="00000020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Method</w:t>
      </w:r>
      <w:proofErr w:type="spellEnd"/>
    </w:p>
    <w:p w14:paraId="00000021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Participants</w:t>
      </w:r>
      <w:proofErr w:type="spellEnd"/>
    </w:p>
    <w:p w14:paraId="00000022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</w:rPr>
      </w:pPr>
      <w:proofErr w:type="spellStart"/>
      <w:r>
        <w:t>Seven</w:t>
      </w:r>
      <w:proofErr w:type="spellEnd"/>
      <w:r>
        <w:t xml:space="preserve"> </w:t>
      </w:r>
      <w:proofErr w:type="spellStart"/>
      <w:r>
        <w:t>experienced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experts</w:t>
      </w:r>
      <w:proofErr w:type="spellEnd"/>
      <w:r>
        <w:t xml:space="preserve"> </w:t>
      </w:r>
      <w:proofErr w:type="spellStart"/>
      <w:r>
        <w:t>evaluated</w:t>
      </w:r>
      <w:proofErr w:type="spellEnd"/>
      <w:r>
        <w:t xml:space="preserve"> the BAFE-</w:t>
      </w:r>
      <w:proofErr w:type="spellStart"/>
      <w:r>
        <w:t>inf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at 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experts</w:t>
      </w:r>
      <w:proofErr w:type="spellEnd"/>
      <w:r>
        <w:t xml:space="preserve"> per </w:t>
      </w:r>
      <w:proofErr w:type="spellStart"/>
      <w:r>
        <w:t>subtest</w:t>
      </w:r>
      <w:proofErr w:type="spellEnd"/>
      <w:r>
        <w:t xml:space="preserve">, </w:t>
      </w:r>
      <w:proofErr w:type="spellStart"/>
      <w:r>
        <w:t>not</w:t>
      </w:r>
      <w:proofErr w:type="spellEnd"/>
      <w:r>
        <w:t xml:space="preserve"> </w:t>
      </w:r>
      <w:proofErr w:type="spellStart"/>
      <w:r>
        <w:t>exceeding</w:t>
      </w:r>
      <w:proofErr w:type="spellEnd"/>
      <w:r>
        <w:t xml:space="preserve"> ten, as </w:t>
      </w:r>
      <w:proofErr w:type="spellStart"/>
      <w:r>
        <w:t>recommended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Almanasreh</w:t>
      </w:r>
      <w:proofErr w:type="spellEnd"/>
      <w:r>
        <w:t xml:space="preserve"> et al. (2018). The </w:t>
      </w:r>
      <w:proofErr w:type="spellStart"/>
      <w:r>
        <w:t>experts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and 25 </w:t>
      </w:r>
      <w:proofErr w:type="spellStart"/>
      <w:r>
        <w:t>years</w:t>
      </w:r>
      <w:proofErr w:type="spellEnd"/>
      <w:r>
        <w:t xml:space="preserve"> of experience in the </w:t>
      </w:r>
      <w:proofErr w:type="spellStart"/>
      <w:r>
        <w:t>field</w:t>
      </w:r>
      <w:proofErr w:type="spellEnd"/>
      <w:r>
        <w:t xml:space="preserve">, and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evaluated</w:t>
      </w:r>
      <w:proofErr w:type="spellEnd"/>
      <w:r>
        <w:t xml:space="preserve">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instruments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instrument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reviewed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experts</w:t>
      </w:r>
      <w:proofErr w:type="spellEnd"/>
      <w:r>
        <w:t xml:space="preserve">. In </w:t>
      </w:r>
      <w:proofErr w:type="spellStart"/>
      <w:r>
        <w:t>addition</w:t>
      </w:r>
      <w:proofErr w:type="spellEnd"/>
      <w:r>
        <w:t xml:space="preserve">, 15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aged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10 (</w:t>
      </w:r>
      <w:proofErr w:type="spellStart"/>
      <w:r>
        <w:t>nine</w:t>
      </w:r>
      <w:proofErr w:type="spellEnd"/>
      <w:r>
        <w:t xml:space="preserve"> </w:t>
      </w:r>
      <w:proofErr w:type="spellStart"/>
      <w:r>
        <w:t>girls</w:t>
      </w:r>
      <w:proofErr w:type="spellEnd"/>
      <w:r>
        <w:t xml:space="preserve"> and </w:t>
      </w:r>
      <w:proofErr w:type="spellStart"/>
      <w:r>
        <w:t>six</w:t>
      </w:r>
      <w:proofErr w:type="spellEnd"/>
      <w:r>
        <w:t xml:space="preserve"> </w:t>
      </w:r>
      <w:proofErr w:type="spellStart"/>
      <w:r>
        <w:t>boys</w:t>
      </w:r>
      <w:proofErr w:type="spellEnd"/>
      <w:r>
        <w:t xml:space="preserve">)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</w:t>
      </w:r>
      <w:proofErr w:type="spellStart"/>
      <w:r>
        <w:t>participated</w:t>
      </w:r>
      <w:proofErr w:type="spellEnd"/>
      <w:r>
        <w:t xml:space="preserve">, </w:t>
      </w:r>
      <w:proofErr w:type="spellStart"/>
      <w:r>
        <w:t>reviewing</w:t>
      </w:r>
      <w:proofErr w:type="spellEnd"/>
      <w:r>
        <w:t xml:space="preserve"> the </w:t>
      </w:r>
      <w:proofErr w:type="spellStart"/>
      <w:r>
        <w:t>instructions</w:t>
      </w:r>
      <w:proofErr w:type="spellEnd"/>
      <w:r>
        <w:t xml:space="preserve">, </w:t>
      </w:r>
      <w:proofErr w:type="spellStart"/>
      <w:r>
        <w:t>items</w:t>
      </w:r>
      <w:proofErr w:type="spellEnd"/>
      <w:r>
        <w:t xml:space="preserve">, response </w:t>
      </w:r>
      <w:proofErr w:type="spellStart"/>
      <w:r>
        <w:t>options</w:t>
      </w:r>
      <w:proofErr w:type="spellEnd"/>
      <w:r>
        <w:t xml:space="preserve">, and </w:t>
      </w:r>
      <w:proofErr w:type="spellStart"/>
      <w:r>
        <w:t>difficulty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of the </w:t>
      </w:r>
      <w:proofErr w:type="spellStart"/>
      <w:r>
        <w:t>computerized</w:t>
      </w:r>
      <w:proofErr w:type="spellEnd"/>
      <w:r>
        <w:t xml:space="preserve"> </w:t>
      </w:r>
      <w:proofErr w:type="spellStart"/>
      <w:r>
        <w:t>instruments</w:t>
      </w:r>
      <w:proofErr w:type="spellEnd"/>
      <w:r>
        <w:t xml:space="preserve">. </w:t>
      </w:r>
      <w:proofErr w:type="spellStart"/>
      <w:r>
        <w:t>Seven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(</w:t>
      </w:r>
      <w:proofErr w:type="spellStart"/>
      <w:r>
        <w:t>five</w:t>
      </w:r>
      <w:proofErr w:type="spellEnd"/>
      <w:r>
        <w:t xml:space="preserve"> </w:t>
      </w:r>
      <w:proofErr w:type="spellStart"/>
      <w:r>
        <w:t>mothers</w:t>
      </w:r>
      <w:proofErr w:type="spellEnd"/>
      <w:r>
        <w:t xml:space="preserve"> and </w:t>
      </w:r>
      <w:proofErr w:type="spellStart"/>
      <w:r>
        <w:t>two</w:t>
      </w:r>
      <w:proofErr w:type="spellEnd"/>
      <w:r>
        <w:t xml:space="preserve"> </w:t>
      </w:r>
      <w:proofErr w:type="spellStart"/>
      <w:r>
        <w:t>fathers</w:t>
      </w:r>
      <w:proofErr w:type="spellEnd"/>
      <w:r>
        <w:t xml:space="preserve">, </w:t>
      </w:r>
      <w:proofErr w:type="spellStart"/>
      <w:r>
        <w:t>aged</w:t>
      </w:r>
      <w:proofErr w:type="spellEnd"/>
      <w:r>
        <w:t xml:space="preserve"> 31 </w:t>
      </w:r>
      <w:proofErr w:type="spellStart"/>
      <w:r>
        <w:t>to</w:t>
      </w:r>
      <w:proofErr w:type="spellEnd"/>
      <w:r>
        <w:t xml:space="preserve"> 51 </w:t>
      </w:r>
      <w:proofErr w:type="spellStart"/>
      <w:r>
        <w:t>years</w:t>
      </w:r>
      <w:proofErr w:type="spellEnd"/>
      <w:r>
        <w:t xml:space="preserve">),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aged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10, </w:t>
      </w:r>
      <w:proofErr w:type="spellStart"/>
      <w:r>
        <w:t>evaluated</w:t>
      </w:r>
      <w:proofErr w:type="spellEnd"/>
      <w:r>
        <w:t xml:space="preserve"> the </w:t>
      </w:r>
      <w:proofErr w:type="spellStart"/>
      <w:r>
        <w:t>items</w:t>
      </w:r>
      <w:proofErr w:type="spellEnd"/>
      <w:r>
        <w:t xml:space="preserve"> of a </w:t>
      </w:r>
      <w:proofErr w:type="spellStart"/>
      <w:r>
        <w:t>scale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everyday</w:t>
      </w:r>
      <w:proofErr w:type="spellEnd"/>
      <w:r>
        <w:t xml:space="preserve"> executive </w:t>
      </w:r>
      <w:proofErr w:type="spellStart"/>
      <w:r>
        <w:t>function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of the BAFE-</w:t>
      </w:r>
      <w:proofErr w:type="spellStart"/>
      <w:r>
        <w:t>inf</w:t>
      </w:r>
      <w:proofErr w:type="spellEnd"/>
      <w:r>
        <w:rPr>
          <w:color w:val="000000"/>
        </w:rPr>
        <w:t>.</w:t>
      </w:r>
    </w:p>
    <w:p w14:paraId="00000023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</w:rPr>
      </w:pPr>
      <w:proofErr w:type="spellStart"/>
      <w:r>
        <w:rPr>
          <w:color w:val="000000"/>
        </w:rPr>
        <w:t>Inclusion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criteria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Judges</w:t>
      </w:r>
      <w:proofErr w:type="spellEnd"/>
      <w:r>
        <w:rPr>
          <w:color w:val="000000"/>
        </w:rPr>
        <w:t xml:space="preserve">: a) </w:t>
      </w:r>
      <w:proofErr w:type="spellStart"/>
      <w:r>
        <w:rPr>
          <w:color w:val="000000"/>
        </w:rPr>
        <w:t>sign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Informed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</w:t>
      </w:r>
      <w:proofErr w:type="spellEnd"/>
      <w:r>
        <w:rPr>
          <w:color w:val="000000"/>
        </w:rPr>
        <w:t xml:space="preserve"> (ICF); b) </w:t>
      </w:r>
      <w:proofErr w:type="spellStart"/>
      <w:r>
        <w:rPr>
          <w:color w:val="000000"/>
        </w:rPr>
        <w:t>work</w:t>
      </w:r>
      <w:proofErr w:type="spellEnd"/>
      <w:r>
        <w:rPr>
          <w:color w:val="000000"/>
        </w:rPr>
        <w:t xml:space="preserve"> in and/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conduct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research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neuropsychology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specifically</w:t>
      </w:r>
      <w:proofErr w:type="spellEnd"/>
      <w:r>
        <w:rPr>
          <w:color w:val="000000"/>
        </w:rPr>
        <w:t xml:space="preserve"> EF, and/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psychometrics</w:t>
      </w:r>
      <w:proofErr w:type="spellEnd"/>
      <w:r>
        <w:rPr>
          <w:color w:val="000000"/>
        </w:rPr>
        <w:t xml:space="preserve">; c) be </w:t>
      </w:r>
      <w:proofErr w:type="spellStart"/>
      <w:r>
        <w:rPr>
          <w:color w:val="000000"/>
        </w:rPr>
        <w:t>affiliated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educational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research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institution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: a) be </w:t>
      </w:r>
      <w:proofErr w:type="spellStart"/>
      <w:r>
        <w:rPr>
          <w:color w:val="000000"/>
        </w:rPr>
        <w:t>within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pre-established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range</w:t>
      </w:r>
      <w:proofErr w:type="spellEnd"/>
      <w:r>
        <w:rPr>
          <w:color w:val="000000"/>
        </w:rPr>
        <w:t xml:space="preserve">; b)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parental </w:t>
      </w:r>
      <w:proofErr w:type="spellStart"/>
      <w:r>
        <w:rPr>
          <w:color w:val="000000"/>
        </w:rPr>
        <w:t>authorization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via</w:t>
      </w:r>
      <w:proofErr w:type="spellEnd"/>
      <w:r>
        <w:rPr>
          <w:color w:val="000000"/>
        </w:rPr>
        <w:t xml:space="preserve"> the ICF; c) </w:t>
      </w:r>
      <w:proofErr w:type="spellStart"/>
      <w:r>
        <w:rPr>
          <w:color w:val="000000"/>
        </w:rPr>
        <w:t>sign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Assent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</w:t>
      </w:r>
      <w:proofErr w:type="spellEnd"/>
      <w:r>
        <w:rPr>
          <w:color w:val="000000"/>
        </w:rPr>
        <w:t xml:space="preserve"> (AF). </w:t>
      </w:r>
      <w:proofErr w:type="spellStart"/>
      <w:r>
        <w:rPr>
          <w:color w:val="000000"/>
        </w:rPr>
        <w:t>Parents</w:t>
      </w:r>
      <w:proofErr w:type="spellEnd"/>
      <w:r>
        <w:rPr>
          <w:color w:val="000000"/>
        </w:rPr>
        <w:t xml:space="preserve">: a) </w:t>
      </w:r>
      <w:proofErr w:type="spellStart"/>
      <w:r>
        <w:rPr>
          <w:color w:val="000000"/>
        </w:rPr>
        <w:t>consent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the use of data </w:t>
      </w:r>
      <w:proofErr w:type="spellStart"/>
      <w:r>
        <w:rPr>
          <w:color w:val="000000"/>
        </w:rPr>
        <w:t>through</w:t>
      </w:r>
      <w:proofErr w:type="spellEnd"/>
      <w:r>
        <w:rPr>
          <w:color w:val="000000"/>
        </w:rPr>
        <w:t xml:space="preserve"> the ICF; b) reside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child</w:t>
      </w:r>
      <w:proofErr w:type="spellEnd"/>
      <w:r>
        <w:rPr>
          <w:color w:val="000000"/>
        </w:rPr>
        <w:t xml:space="preserve"> in the </w:t>
      </w:r>
      <w:proofErr w:type="spellStart"/>
      <w:r>
        <w:rPr>
          <w:color w:val="000000"/>
        </w:rPr>
        <w:t>same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physical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space</w:t>
      </w:r>
      <w:proofErr w:type="spellEnd"/>
      <w:r>
        <w:rPr>
          <w:color w:val="000000"/>
        </w:rPr>
        <w:t xml:space="preserve">. </w:t>
      </w:r>
    </w:p>
    <w:p w14:paraId="00000024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Exclusion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criteria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Judges</w:t>
      </w:r>
      <w:proofErr w:type="spellEnd"/>
      <w:r>
        <w:rPr>
          <w:color w:val="000000"/>
        </w:rPr>
        <w:t xml:space="preserve">: a) </w:t>
      </w:r>
      <w:proofErr w:type="spellStart"/>
      <w:r>
        <w:rPr>
          <w:color w:val="000000"/>
        </w:rPr>
        <w:t>fail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fully</w:t>
      </w:r>
      <w:proofErr w:type="spellEnd"/>
      <w:r>
        <w:rPr>
          <w:color w:val="000000"/>
        </w:rPr>
        <w:t xml:space="preserve"> complete the </w:t>
      </w:r>
      <w:proofErr w:type="spellStart"/>
      <w:r>
        <w:rPr>
          <w:color w:val="000000"/>
        </w:rPr>
        <w:t>subtest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analysis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questionnaire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: a)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psychiatric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neurodevelopmental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disorder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would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responding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requested</w:t>
      </w:r>
      <w:proofErr w:type="spellEnd"/>
      <w:r>
        <w:rPr>
          <w:color w:val="000000"/>
        </w:rPr>
        <w:t xml:space="preserve">; b)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uncorrected</w:t>
      </w:r>
      <w:proofErr w:type="spellEnd"/>
      <w:r>
        <w:rPr>
          <w:color w:val="000000"/>
        </w:rPr>
        <w:t xml:space="preserve"> visual and/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auditory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problems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Parents</w:t>
      </w:r>
      <w:proofErr w:type="spellEnd"/>
      <w:r>
        <w:rPr>
          <w:color w:val="000000"/>
        </w:rPr>
        <w:t xml:space="preserve">: a)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a severe cognitive </w:t>
      </w:r>
      <w:proofErr w:type="spellStart"/>
      <w:r>
        <w:rPr>
          <w:color w:val="000000"/>
        </w:rPr>
        <w:t>level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pathology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would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responding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questionnaires</w:t>
      </w:r>
      <w:proofErr w:type="spellEnd"/>
      <w:r>
        <w:rPr>
          <w:color w:val="000000"/>
        </w:rPr>
        <w:t>.</w:t>
      </w:r>
    </w:p>
    <w:p w14:paraId="00000025" w14:textId="77777777" w:rsidR="00C57DD8" w:rsidRDefault="00C57D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</w:p>
    <w:p w14:paraId="00000026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Design</w:t>
      </w:r>
      <w:proofErr w:type="spellEnd"/>
    </w:p>
    <w:p w14:paraId="00000027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psychometric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cross-sectional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design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using</w:t>
      </w:r>
      <w:proofErr w:type="spellEnd"/>
      <w:r>
        <w:rPr>
          <w:color w:val="000000"/>
        </w:rPr>
        <w:t xml:space="preserve"> a non-</w:t>
      </w:r>
      <w:proofErr w:type="spellStart"/>
      <w:r>
        <w:rPr>
          <w:color w:val="000000"/>
        </w:rPr>
        <w:t>probabilistic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sample</w:t>
      </w:r>
      <w:proofErr w:type="spellEnd"/>
      <w:r>
        <w:rPr>
          <w:color w:val="000000"/>
        </w:rPr>
        <w:t xml:space="preserve">. The variables </w:t>
      </w:r>
      <w:proofErr w:type="spellStart"/>
      <w:r>
        <w:rPr>
          <w:color w:val="000000"/>
        </w:rPr>
        <w:t>analyzed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clarity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relevance</w:t>
      </w:r>
      <w:proofErr w:type="spellEnd"/>
      <w:r>
        <w:rPr>
          <w:color w:val="000000"/>
        </w:rPr>
        <w:t xml:space="preserve">, and the </w:t>
      </w:r>
      <w:proofErr w:type="spellStart"/>
      <w:r>
        <w:rPr>
          <w:color w:val="000000"/>
        </w:rPr>
        <w:t>design</w:t>
      </w:r>
      <w:proofErr w:type="spellEnd"/>
      <w:r>
        <w:rPr>
          <w:color w:val="000000"/>
        </w:rPr>
        <w:t xml:space="preserve"> of the </w:t>
      </w:r>
      <w:proofErr w:type="spellStart"/>
      <w:r>
        <w:rPr>
          <w:color w:val="000000"/>
        </w:rPr>
        <w:t>instruments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through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adjusted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validity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coefficient</w:t>
      </w:r>
      <w:proofErr w:type="spellEnd"/>
      <w:r>
        <w:rPr>
          <w:color w:val="000000"/>
        </w:rPr>
        <w:t xml:space="preserve"> and the </w:t>
      </w:r>
      <w:proofErr w:type="spellStart"/>
      <w:r>
        <w:rPr>
          <w:color w:val="000000"/>
        </w:rPr>
        <w:t>percentage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of the </w:t>
      </w:r>
      <w:proofErr w:type="spellStart"/>
      <w:r>
        <w:rPr>
          <w:color w:val="000000"/>
        </w:rPr>
        <w:t>sample</w:t>
      </w:r>
      <w:proofErr w:type="spellEnd"/>
      <w:r>
        <w:rPr>
          <w:color w:val="000000"/>
        </w:rPr>
        <w:t>.</w:t>
      </w:r>
    </w:p>
    <w:p w14:paraId="00000028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Materials</w:t>
      </w:r>
      <w:proofErr w:type="spellEnd"/>
    </w:p>
    <w:p w14:paraId="00000029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>
        <w:rPr>
          <w:i/>
          <w:color w:val="000000"/>
        </w:rPr>
        <w:t>Sociodemographic</w:t>
      </w:r>
      <w:proofErr w:type="spellEnd"/>
      <w:r>
        <w:rPr>
          <w:i/>
          <w:color w:val="000000"/>
        </w:rPr>
        <w:t xml:space="preserve"> and </w:t>
      </w:r>
      <w:proofErr w:type="spellStart"/>
      <w:r>
        <w:rPr>
          <w:i/>
          <w:color w:val="000000"/>
        </w:rPr>
        <w:t>Health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Considerations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Questionnaire</w:t>
      </w:r>
      <w:proofErr w:type="spellEnd"/>
      <w:r>
        <w:rPr>
          <w:i/>
          <w:color w:val="000000"/>
        </w:rPr>
        <w:t>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Completed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parents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guardians</w:t>
      </w:r>
      <w:proofErr w:type="spellEnd"/>
      <w:r>
        <w:rPr>
          <w:color w:val="000000"/>
        </w:rPr>
        <w:t xml:space="preserve"> of the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covered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such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age</w:t>
      </w:r>
      <w:proofErr w:type="spellEnd"/>
      <w:r>
        <w:rPr>
          <w:color w:val="000000"/>
        </w:rPr>
        <w:t xml:space="preserve">, sex, </w:t>
      </w:r>
      <w:proofErr w:type="spellStart"/>
      <w:r>
        <w:rPr>
          <w:color w:val="000000"/>
        </w:rPr>
        <w:t>school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year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residential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previous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electronic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devices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psychiatric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neurodevelopmental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diagnoses</w:t>
      </w:r>
      <w:proofErr w:type="spellEnd"/>
      <w:r>
        <w:rPr>
          <w:color w:val="000000"/>
        </w:rPr>
        <w:t xml:space="preserve">, and </w:t>
      </w:r>
      <w:proofErr w:type="spellStart"/>
      <w:r>
        <w:rPr>
          <w:color w:val="000000"/>
        </w:rPr>
        <w:t>uncorrected</w:t>
      </w:r>
      <w:proofErr w:type="spellEnd"/>
      <w:r>
        <w:rPr>
          <w:color w:val="000000"/>
        </w:rPr>
        <w:t xml:space="preserve"> visual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auditory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problems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questions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about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respondent's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relationship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child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whether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parent</w:t>
      </w:r>
      <w:proofErr w:type="spellEnd"/>
      <w:r>
        <w:rPr>
          <w:color w:val="000000"/>
        </w:rPr>
        <w:t xml:space="preserve"> has a </w:t>
      </w:r>
      <w:proofErr w:type="spellStart"/>
      <w:r>
        <w:rPr>
          <w:color w:val="000000"/>
        </w:rPr>
        <w:t>psychiatric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neurodevelopmental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disorder</w:t>
      </w:r>
      <w:proofErr w:type="spellEnd"/>
      <w:r>
        <w:rPr>
          <w:color w:val="000000"/>
        </w:rPr>
        <w:t>.</w:t>
      </w:r>
    </w:p>
    <w:p w14:paraId="0000002A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>
        <w:rPr>
          <w:i/>
          <w:color w:val="000000"/>
        </w:rPr>
        <w:t>Sociodemographic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Questionnaire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for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Judges</w:t>
      </w:r>
      <w:proofErr w:type="spellEnd"/>
      <w:r>
        <w:rPr>
          <w:i/>
          <w:color w:val="000000"/>
        </w:rPr>
        <w:t>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Developed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author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questions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characterizing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sample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regarding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educational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background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profession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educational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institution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field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study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research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years</w:t>
      </w:r>
      <w:proofErr w:type="spellEnd"/>
      <w:r>
        <w:rPr>
          <w:color w:val="000000"/>
        </w:rPr>
        <w:t xml:space="preserve"> of experience in the </w:t>
      </w:r>
      <w:proofErr w:type="spellStart"/>
      <w:r>
        <w:rPr>
          <w:color w:val="000000"/>
        </w:rPr>
        <w:t>field</w:t>
      </w:r>
      <w:proofErr w:type="spellEnd"/>
      <w:r>
        <w:rPr>
          <w:color w:val="000000"/>
        </w:rPr>
        <w:t xml:space="preserve">, and </w:t>
      </w:r>
      <w:proofErr w:type="spellStart"/>
      <w:r>
        <w:rPr>
          <w:color w:val="000000"/>
        </w:rPr>
        <w:t>region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residence</w:t>
      </w:r>
      <w:proofErr w:type="spellEnd"/>
      <w:r>
        <w:rPr>
          <w:color w:val="000000"/>
        </w:rPr>
        <w:t>.</w:t>
      </w:r>
    </w:p>
    <w:p w14:paraId="0000002B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i/>
          <w:color w:val="000000"/>
        </w:rPr>
      </w:pPr>
      <w:r>
        <w:rPr>
          <w:i/>
          <w:color w:val="000000"/>
        </w:rPr>
        <w:t>BAFE-</w:t>
      </w:r>
      <w:proofErr w:type="spellStart"/>
      <w:r>
        <w:rPr>
          <w:i/>
          <w:color w:val="000000"/>
        </w:rPr>
        <w:t>inf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subtests</w:t>
      </w:r>
      <w:proofErr w:type="spellEnd"/>
      <w:r>
        <w:rPr>
          <w:i/>
          <w:color w:val="000000"/>
        </w:rPr>
        <w:t>:</w:t>
      </w:r>
    </w:p>
    <w:p w14:paraId="0000002C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>
        <w:rPr>
          <w:i/>
          <w:color w:val="000000"/>
        </w:rPr>
        <w:t>Organized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Backpacks</w:t>
      </w:r>
      <w:proofErr w:type="spellEnd"/>
      <w:r>
        <w:rPr>
          <w:i/>
          <w:color w:val="000000"/>
        </w:rPr>
        <w:t xml:space="preserve"> (Mochilas Organizadas - MO):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Based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Simon</w:t>
      </w:r>
      <w:proofErr w:type="spellEnd"/>
      <w:r>
        <w:rPr>
          <w:color w:val="000000"/>
        </w:rPr>
        <w:t xml:space="preserve"> task (</w:t>
      </w:r>
      <w:proofErr w:type="spellStart"/>
      <w:r>
        <w:rPr>
          <w:color w:val="000000"/>
        </w:rPr>
        <w:t>Cevada</w:t>
      </w:r>
      <w:proofErr w:type="spellEnd"/>
      <w:r>
        <w:rPr>
          <w:color w:val="000000"/>
        </w:rPr>
        <w:t xml:space="preserve"> et al., 2019; </w:t>
      </w:r>
      <w:proofErr w:type="spellStart"/>
      <w:r>
        <w:rPr>
          <w:color w:val="000000"/>
        </w:rPr>
        <w:t>Simon</w:t>
      </w:r>
      <w:proofErr w:type="spellEnd"/>
      <w:r>
        <w:rPr>
          <w:color w:val="000000"/>
        </w:rPr>
        <w:t xml:space="preserve"> &amp; </w:t>
      </w:r>
      <w:proofErr w:type="spellStart"/>
      <w:r>
        <w:rPr>
          <w:color w:val="000000"/>
        </w:rPr>
        <w:t>Rudell</w:t>
      </w:r>
      <w:proofErr w:type="spellEnd"/>
      <w:r>
        <w:rPr>
          <w:color w:val="000000"/>
        </w:rPr>
        <w:t xml:space="preserve">, 1967) and the </w:t>
      </w:r>
      <w:proofErr w:type="spellStart"/>
      <w:r>
        <w:rPr>
          <w:color w:val="000000"/>
        </w:rPr>
        <w:t>Go</w:t>
      </w:r>
      <w:proofErr w:type="spellEnd"/>
      <w:r>
        <w:rPr>
          <w:color w:val="000000"/>
        </w:rPr>
        <w:t xml:space="preserve">/No </w:t>
      </w:r>
      <w:proofErr w:type="spellStart"/>
      <w:r>
        <w:rPr>
          <w:color w:val="000000"/>
        </w:rPr>
        <w:t>Go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paradigm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Brocki</w:t>
      </w:r>
      <w:proofErr w:type="spellEnd"/>
      <w:r>
        <w:rPr>
          <w:color w:val="000000"/>
        </w:rPr>
        <w:t xml:space="preserve"> &amp; </w:t>
      </w:r>
      <w:proofErr w:type="spellStart"/>
      <w:r>
        <w:rPr>
          <w:color w:val="000000"/>
        </w:rPr>
        <w:t>Bohlin</w:t>
      </w:r>
      <w:proofErr w:type="spellEnd"/>
      <w:r>
        <w:rPr>
          <w:color w:val="000000"/>
        </w:rPr>
        <w:t xml:space="preserve">, 2010),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subtest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inhibitory</w:t>
      </w:r>
      <w:proofErr w:type="spellEnd"/>
      <w:r>
        <w:rPr>
          <w:color w:val="000000"/>
        </w:rPr>
        <w:t xml:space="preserve"> control </w:t>
      </w:r>
      <w:proofErr w:type="spellStart"/>
      <w:r>
        <w:rPr>
          <w:color w:val="000000"/>
        </w:rPr>
        <w:t>skills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Implemented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computer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require</w:t>
      </w:r>
      <w:proofErr w:type="spellEnd"/>
      <w:r>
        <w:rPr>
          <w:color w:val="000000"/>
        </w:rPr>
        <w:t xml:space="preserve"> the use of a mouse. In the test,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assist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character</w:t>
      </w:r>
      <w:proofErr w:type="spellEnd"/>
      <w:r>
        <w:rPr>
          <w:color w:val="000000"/>
        </w:rPr>
        <w:t xml:space="preserve"> Julia in </w:t>
      </w:r>
      <w:proofErr w:type="spellStart"/>
      <w:r>
        <w:rPr>
          <w:color w:val="000000"/>
        </w:rPr>
        <w:t>organizing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items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into</w:t>
      </w:r>
      <w:proofErr w:type="spellEnd"/>
      <w:r>
        <w:rPr>
          <w:color w:val="000000"/>
        </w:rPr>
        <w:t xml:space="preserve"> virtual </w:t>
      </w:r>
      <w:proofErr w:type="spellStart"/>
      <w:r>
        <w:rPr>
          <w:color w:val="000000"/>
        </w:rPr>
        <w:t>backpacks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classroom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orange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backpack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key</w:t>
      </w:r>
      <w:proofErr w:type="spellEnd"/>
      <w:r>
        <w:rPr>
          <w:color w:val="000000"/>
        </w:rPr>
        <w:t xml:space="preserve"> L) and </w:t>
      </w:r>
      <w:proofErr w:type="spellStart"/>
      <w:r>
        <w:rPr>
          <w:color w:val="000000"/>
        </w:rPr>
        <w:t>sports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into</w:t>
      </w:r>
      <w:proofErr w:type="spellEnd"/>
      <w:r>
        <w:rPr>
          <w:color w:val="000000"/>
        </w:rPr>
        <w:t xml:space="preserve"> a blue </w:t>
      </w:r>
      <w:proofErr w:type="spellStart"/>
      <w:r>
        <w:rPr>
          <w:color w:val="000000"/>
        </w:rPr>
        <w:t>backpack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key</w:t>
      </w:r>
      <w:proofErr w:type="spellEnd"/>
      <w:r>
        <w:rPr>
          <w:color w:val="000000"/>
        </w:rPr>
        <w:t xml:space="preserve"> A). </w:t>
      </w:r>
      <w:proofErr w:type="spellStart"/>
      <w:r>
        <w:rPr>
          <w:color w:val="000000"/>
        </w:rPr>
        <w:t>Backpacks</w:t>
      </w:r>
      <w:proofErr w:type="spellEnd"/>
      <w:r>
        <w:rPr>
          <w:color w:val="000000"/>
        </w:rPr>
        <w:t xml:space="preserve"> are </w:t>
      </w:r>
      <w:proofErr w:type="spellStart"/>
      <w:r>
        <w:rPr>
          <w:color w:val="000000"/>
        </w:rPr>
        <w:t>located</w:t>
      </w:r>
      <w:proofErr w:type="spellEnd"/>
      <w:r>
        <w:rPr>
          <w:color w:val="000000"/>
        </w:rPr>
        <w:t xml:space="preserve"> at the </w:t>
      </w:r>
      <w:proofErr w:type="spellStart"/>
      <w:r>
        <w:rPr>
          <w:color w:val="000000"/>
        </w:rPr>
        <w:t>lower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</w:t>
      </w:r>
      <w:proofErr w:type="spellEnd"/>
      <w:r>
        <w:rPr>
          <w:color w:val="000000"/>
        </w:rPr>
        <w:t xml:space="preserve"> of the </w:t>
      </w:r>
      <w:proofErr w:type="spellStart"/>
      <w:r>
        <w:rPr>
          <w:color w:val="000000"/>
        </w:rPr>
        <w:t>screen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while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objects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appear</w:t>
      </w:r>
      <w:proofErr w:type="spellEnd"/>
      <w:r>
        <w:rPr>
          <w:color w:val="000000"/>
        </w:rPr>
        <w:t xml:space="preserve"> at the top. The test </w:t>
      </w:r>
      <w:proofErr w:type="spellStart"/>
      <w:r>
        <w:rPr>
          <w:color w:val="000000"/>
        </w:rPr>
        <w:t>comprises</w:t>
      </w:r>
      <w:proofErr w:type="spellEnd"/>
      <w:r>
        <w:rPr>
          <w:color w:val="000000"/>
        </w:rPr>
        <w:t xml:space="preserve"> 40 </w:t>
      </w:r>
      <w:proofErr w:type="spellStart"/>
      <w:r>
        <w:rPr>
          <w:color w:val="000000"/>
        </w:rPr>
        <w:t>items</w:t>
      </w:r>
      <w:proofErr w:type="spellEnd"/>
      <w:r>
        <w:rPr>
          <w:color w:val="000000"/>
        </w:rPr>
        <w:t xml:space="preserve">, 25% of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are "No </w:t>
      </w:r>
      <w:proofErr w:type="spellStart"/>
      <w:r>
        <w:rPr>
          <w:color w:val="000000"/>
        </w:rPr>
        <w:t>Go</w:t>
      </w:r>
      <w:proofErr w:type="spellEnd"/>
      <w:r>
        <w:rPr>
          <w:color w:val="000000"/>
        </w:rPr>
        <w:t xml:space="preserve">" </w:t>
      </w:r>
      <w:proofErr w:type="spellStart"/>
      <w:r>
        <w:rPr>
          <w:color w:val="000000"/>
        </w:rPr>
        <w:t>items</w:t>
      </w:r>
      <w:proofErr w:type="spellEnd"/>
      <w:r>
        <w:rPr>
          <w:color w:val="000000"/>
        </w:rPr>
        <w:t>. Of the "</w:t>
      </w:r>
      <w:proofErr w:type="spellStart"/>
      <w:r>
        <w:rPr>
          <w:color w:val="000000"/>
        </w:rPr>
        <w:t>Go</w:t>
      </w:r>
      <w:proofErr w:type="spellEnd"/>
      <w:r>
        <w:rPr>
          <w:color w:val="000000"/>
        </w:rPr>
        <w:t xml:space="preserve">" </w:t>
      </w:r>
      <w:proofErr w:type="spellStart"/>
      <w:r>
        <w:rPr>
          <w:color w:val="000000"/>
        </w:rPr>
        <w:t>items</w:t>
      </w:r>
      <w:proofErr w:type="spellEnd"/>
      <w:r>
        <w:rPr>
          <w:color w:val="000000"/>
        </w:rPr>
        <w:t xml:space="preserve">, 15 are </w:t>
      </w:r>
      <w:proofErr w:type="spellStart"/>
      <w:r>
        <w:rPr>
          <w:color w:val="000000"/>
        </w:rPr>
        <w:t>congruent</w:t>
      </w:r>
      <w:proofErr w:type="spellEnd"/>
      <w:r>
        <w:rPr>
          <w:color w:val="000000"/>
        </w:rPr>
        <w:t xml:space="preserve"> (the </w:t>
      </w:r>
      <w:proofErr w:type="spellStart"/>
      <w:r>
        <w:rPr>
          <w:color w:val="000000"/>
        </w:rPr>
        <w:t>object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appears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same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side</w:t>
      </w:r>
      <w:proofErr w:type="spellEnd"/>
      <w:r>
        <w:rPr>
          <w:color w:val="000000"/>
        </w:rPr>
        <w:t xml:space="preserve"> as the </w:t>
      </w:r>
      <w:proofErr w:type="spellStart"/>
      <w:r>
        <w:rPr>
          <w:color w:val="000000"/>
        </w:rPr>
        <w:t>corresponding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backpack</w:t>
      </w:r>
      <w:proofErr w:type="spellEnd"/>
      <w:r>
        <w:rPr>
          <w:color w:val="000000"/>
        </w:rPr>
        <w:t xml:space="preserve">) and 15 are </w:t>
      </w:r>
      <w:proofErr w:type="spellStart"/>
      <w:r>
        <w:rPr>
          <w:color w:val="000000"/>
        </w:rPr>
        <w:t>incongruent</w:t>
      </w:r>
      <w:proofErr w:type="spellEnd"/>
      <w:r>
        <w:rPr>
          <w:color w:val="000000"/>
        </w:rPr>
        <w:t xml:space="preserve"> (the </w:t>
      </w:r>
      <w:proofErr w:type="spellStart"/>
      <w:r>
        <w:rPr>
          <w:color w:val="000000"/>
        </w:rPr>
        <w:t>object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appears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opposite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side</w:t>
      </w:r>
      <w:proofErr w:type="spellEnd"/>
      <w:r>
        <w:rPr>
          <w:color w:val="000000"/>
        </w:rPr>
        <w:t xml:space="preserve">).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"No </w:t>
      </w:r>
      <w:proofErr w:type="spellStart"/>
      <w:r>
        <w:rPr>
          <w:color w:val="000000"/>
        </w:rPr>
        <w:t>Go</w:t>
      </w:r>
      <w:proofErr w:type="spellEnd"/>
      <w:r>
        <w:rPr>
          <w:color w:val="000000"/>
        </w:rPr>
        <w:t xml:space="preserve">" </w:t>
      </w:r>
      <w:proofErr w:type="spellStart"/>
      <w:r>
        <w:rPr>
          <w:color w:val="000000"/>
        </w:rPr>
        <w:t>items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inhibit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response, 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touching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anything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instead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object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cat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appears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screen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remains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screen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until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child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responds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up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2000 </w:t>
      </w:r>
      <w:proofErr w:type="spellStart"/>
      <w:r>
        <w:rPr>
          <w:color w:val="000000"/>
        </w:rPr>
        <w:t>milliseconds</w:t>
      </w:r>
      <w:proofErr w:type="spellEnd"/>
      <w:r>
        <w:rPr>
          <w:color w:val="000000"/>
        </w:rPr>
        <w:t xml:space="preserve">. Between </w:t>
      </w:r>
      <w:proofErr w:type="spellStart"/>
      <w:r>
        <w:rPr>
          <w:color w:val="000000"/>
        </w:rPr>
        <w:t>items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small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cross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appears</w:t>
      </w:r>
      <w:proofErr w:type="spellEnd"/>
      <w:r>
        <w:rPr>
          <w:color w:val="000000"/>
        </w:rPr>
        <w:t xml:space="preserve"> at the center of the </w:t>
      </w:r>
      <w:proofErr w:type="spellStart"/>
      <w:r>
        <w:rPr>
          <w:color w:val="000000"/>
        </w:rPr>
        <w:t>screen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800 </w:t>
      </w:r>
      <w:proofErr w:type="spellStart"/>
      <w:r>
        <w:rPr>
          <w:color w:val="000000"/>
        </w:rPr>
        <w:t>milliseconds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followed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blank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screen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250 </w:t>
      </w:r>
      <w:proofErr w:type="spellStart"/>
      <w:r>
        <w:rPr>
          <w:color w:val="000000"/>
        </w:rPr>
        <w:t>milliseconds</w:t>
      </w:r>
      <w:proofErr w:type="spellEnd"/>
      <w:r>
        <w:rPr>
          <w:color w:val="000000"/>
        </w:rPr>
        <w:t xml:space="preserve">. The test </w:t>
      </w:r>
      <w:proofErr w:type="spellStart"/>
      <w:r>
        <w:rPr>
          <w:color w:val="000000"/>
        </w:rPr>
        <w:t>records</w:t>
      </w:r>
      <w:proofErr w:type="spellEnd"/>
      <w:r>
        <w:rPr>
          <w:color w:val="000000"/>
        </w:rPr>
        <w:t xml:space="preserve"> response time, total </w:t>
      </w:r>
      <w:proofErr w:type="spellStart"/>
      <w:r>
        <w:rPr>
          <w:color w:val="000000"/>
        </w:rPr>
        <w:t>correct</w:t>
      </w:r>
      <w:proofErr w:type="spellEnd"/>
      <w:r>
        <w:rPr>
          <w:color w:val="000000"/>
        </w:rPr>
        <w:t xml:space="preserve"> responses, and </w:t>
      </w:r>
      <w:proofErr w:type="spellStart"/>
      <w:r>
        <w:rPr>
          <w:color w:val="000000"/>
        </w:rPr>
        <w:t>errors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categorized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substitution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errors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choosing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wrong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backpack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omission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errors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responding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needed</w:t>
      </w:r>
      <w:proofErr w:type="spellEnd"/>
      <w:r>
        <w:rPr>
          <w:color w:val="000000"/>
        </w:rPr>
        <w:t xml:space="preserve">), and false </w:t>
      </w:r>
      <w:proofErr w:type="spellStart"/>
      <w:r>
        <w:rPr>
          <w:color w:val="000000"/>
        </w:rPr>
        <w:t>alarms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responding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required</w:t>
      </w:r>
      <w:proofErr w:type="spellEnd"/>
      <w:r>
        <w:rPr>
          <w:color w:val="000000"/>
        </w:rPr>
        <w:t xml:space="preserve">). The </w:t>
      </w:r>
      <w:proofErr w:type="spellStart"/>
      <w:r>
        <w:rPr>
          <w:color w:val="000000"/>
        </w:rPr>
        <w:t>maximum</w:t>
      </w:r>
      <w:proofErr w:type="spellEnd"/>
      <w:r>
        <w:rPr>
          <w:color w:val="000000"/>
        </w:rPr>
        <w:t xml:space="preserve"> score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40.</w:t>
      </w:r>
    </w:p>
    <w:p w14:paraId="0000002D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>
        <w:rPr>
          <w:i/>
          <w:color w:val="000000"/>
        </w:rPr>
        <w:lastRenderedPageBreak/>
        <w:t>Computerized</w:t>
      </w:r>
      <w:proofErr w:type="spellEnd"/>
      <w:r>
        <w:rPr>
          <w:i/>
          <w:color w:val="000000"/>
        </w:rPr>
        <w:t xml:space="preserve"> Working Memory Task </w:t>
      </w:r>
      <w:proofErr w:type="spellStart"/>
      <w:r>
        <w:rPr>
          <w:i/>
          <w:color w:val="000000"/>
        </w:rPr>
        <w:t>for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Children</w:t>
      </w:r>
      <w:proofErr w:type="spellEnd"/>
      <w:r>
        <w:rPr>
          <w:i/>
          <w:color w:val="000000"/>
        </w:rPr>
        <w:t xml:space="preserve"> (Tarefa Informatizada de </w:t>
      </w:r>
      <w:proofErr w:type="spellStart"/>
      <w:r>
        <w:rPr>
          <w:i/>
          <w:color w:val="000000"/>
        </w:rPr>
        <w:t>Memória</w:t>
      </w:r>
      <w:proofErr w:type="spellEnd"/>
      <w:r>
        <w:rPr>
          <w:i/>
          <w:color w:val="000000"/>
        </w:rPr>
        <w:t xml:space="preserve"> de </w:t>
      </w:r>
      <w:proofErr w:type="spellStart"/>
      <w:r>
        <w:rPr>
          <w:i/>
          <w:color w:val="000000"/>
        </w:rPr>
        <w:t>Trabalho</w:t>
      </w:r>
      <w:proofErr w:type="spellEnd"/>
      <w:r>
        <w:rPr>
          <w:i/>
          <w:color w:val="000000"/>
        </w:rPr>
        <w:t xml:space="preserve"> para </w:t>
      </w:r>
      <w:proofErr w:type="spellStart"/>
      <w:r>
        <w:rPr>
          <w:i/>
          <w:color w:val="000000"/>
        </w:rPr>
        <w:t>Crianças</w:t>
      </w:r>
      <w:proofErr w:type="spellEnd"/>
      <w:r>
        <w:rPr>
          <w:i/>
          <w:color w:val="000000"/>
        </w:rPr>
        <w:t xml:space="preserve"> - </w:t>
      </w:r>
      <w:proofErr w:type="spellStart"/>
      <w:r>
        <w:rPr>
          <w:i/>
          <w:color w:val="000000"/>
        </w:rPr>
        <w:t>TIMTraC</w:t>
      </w:r>
      <w:proofErr w:type="spellEnd"/>
      <w:r>
        <w:rPr>
          <w:i/>
          <w:color w:val="000000"/>
        </w:rPr>
        <w:t>):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task, </w:t>
      </w:r>
      <w:proofErr w:type="spellStart"/>
      <w:r>
        <w:rPr>
          <w:color w:val="000000"/>
        </w:rPr>
        <w:t>designed</w:t>
      </w:r>
      <w:proofErr w:type="spellEnd"/>
      <w:r>
        <w:rPr>
          <w:color w:val="000000"/>
        </w:rPr>
        <w:t xml:space="preserve"> as a </w:t>
      </w:r>
      <w:proofErr w:type="spellStart"/>
      <w:r>
        <w:rPr>
          <w:color w:val="000000"/>
        </w:rPr>
        <w:t>game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assesses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visuospatial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working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memory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items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include</w:t>
      </w:r>
      <w:proofErr w:type="spellEnd"/>
      <w:r>
        <w:rPr>
          <w:color w:val="000000"/>
        </w:rPr>
        <w:t xml:space="preserve"> animal figures, </w:t>
      </w:r>
      <w:proofErr w:type="spellStart"/>
      <w:r>
        <w:rPr>
          <w:color w:val="000000"/>
        </w:rPr>
        <w:t>transportation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means</w:t>
      </w:r>
      <w:proofErr w:type="spellEnd"/>
      <w:r>
        <w:rPr>
          <w:color w:val="000000"/>
        </w:rPr>
        <w:t xml:space="preserve">, and </w:t>
      </w:r>
      <w:proofErr w:type="spellStart"/>
      <w:r>
        <w:rPr>
          <w:color w:val="000000"/>
        </w:rPr>
        <w:t>landscapes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Cordeiro</w:t>
      </w:r>
      <w:proofErr w:type="spellEnd"/>
      <w:r>
        <w:rPr>
          <w:color w:val="000000"/>
        </w:rPr>
        <w:t xml:space="preserve"> et al., 2019; </w:t>
      </w:r>
      <w:proofErr w:type="spellStart"/>
      <w:r>
        <w:rPr>
          <w:color w:val="000000"/>
        </w:rPr>
        <w:t>Minervino</w:t>
      </w:r>
      <w:proofErr w:type="spellEnd"/>
      <w:r>
        <w:rPr>
          <w:color w:val="000000"/>
        </w:rPr>
        <w:t xml:space="preserve"> &amp; </w:t>
      </w:r>
      <w:proofErr w:type="spellStart"/>
      <w:r>
        <w:rPr>
          <w:color w:val="000000"/>
        </w:rPr>
        <w:t>Tomaz</w:t>
      </w:r>
      <w:proofErr w:type="spellEnd"/>
      <w:r>
        <w:rPr>
          <w:color w:val="000000"/>
        </w:rPr>
        <w:t xml:space="preserve">, 2021).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performed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computer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requires</w:t>
      </w:r>
      <w:proofErr w:type="spellEnd"/>
      <w:r>
        <w:rPr>
          <w:color w:val="000000"/>
        </w:rPr>
        <w:t xml:space="preserve"> the use of a mouse. The task </w:t>
      </w:r>
      <w:proofErr w:type="spellStart"/>
      <w:r>
        <w:rPr>
          <w:color w:val="000000"/>
        </w:rPr>
        <w:t>consists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two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stages</w:t>
      </w:r>
      <w:proofErr w:type="spellEnd"/>
      <w:r>
        <w:rPr>
          <w:color w:val="000000"/>
        </w:rPr>
        <w:t xml:space="preserve">: in the </w:t>
      </w:r>
      <w:proofErr w:type="spellStart"/>
      <w:r>
        <w:rPr>
          <w:color w:val="000000"/>
        </w:rPr>
        <w:t>first</w:t>
      </w:r>
      <w:proofErr w:type="spellEnd"/>
      <w:r>
        <w:rPr>
          <w:color w:val="000000"/>
        </w:rPr>
        <w:t xml:space="preserve"> (fluid </w:t>
      </w:r>
      <w:proofErr w:type="spellStart"/>
      <w:r>
        <w:rPr>
          <w:color w:val="000000"/>
        </w:rPr>
        <w:t>working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memory</w:t>
      </w:r>
      <w:proofErr w:type="spellEnd"/>
      <w:r>
        <w:rPr>
          <w:color w:val="000000"/>
        </w:rPr>
        <w:t xml:space="preserve">), the </w:t>
      </w:r>
      <w:proofErr w:type="spellStart"/>
      <w:r>
        <w:rPr>
          <w:color w:val="000000"/>
        </w:rPr>
        <w:t>child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memorizes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images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seconds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then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identifies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them</w:t>
      </w:r>
      <w:proofErr w:type="spellEnd"/>
      <w:r>
        <w:rPr>
          <w:color w:val="000000"/>
        </w:rPr>
        <w:t xml:space="preserve"> in the </w:t>
      </w:r>
      <w:proofErr w:type="spellStart"/>
      <w:r>
        <w:rPr>
          <w:color w:val="000000"/>
        </w:rPr>
        <w:t>presented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order</w:t>
      </w:r>
      <w:proofErr w:type="spellEnd"/>
      <w:r>
        <w:rPr>
          <w:color w:val="000000"/>
        </w:rPr>
        <w:t xml:space="preserve">; in the </w:t>
      </w:r>
      <w:proofErr w:type="spellStart"/>
      <w:r>
        <w:rPr>
          <w:color w:val="000000"/>
        </w:rPr>
        <w:t>second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integrated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working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memory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memorizes</w:t>
      </w:r>
      <w:proofErr w:type="spellEnd"/>
      <w:r>
        <w:rPr>
          <w:color w:val="000000"/>
        </w:rPr>
        <w:t xml:space="preserve"> and positions </w:t>
      </w:r>
      <w:proofErr w:type="spellStart"/>
      <w:r>
        <w:rPr>
          <w:color w:val="000000"/>
        </w:rPr>
        <w:t>elements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according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rules.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features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eight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items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increasing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difficulty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one</w:t>
      </w:r>
      <w:proofErr w:type="spellEnd"/>
      <w:r>
        <w:rPr>
          <w:color w:val="000000"/>
        </w:rPr>
        <w:t xml:space="preserve"> training </w:t>
      </w:r>
      <w:proofErr w:type="spellStart"/>
      <w:r>
        <w:rPr>
          <w:color w:val="000000"/>
        </w:rPr>
        <w:t>item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seven</w:t>
      </w:r>
      <w:proofErr w:type="spellEnd"/>
      <w:r>
        <w:rPr>
          <w:color w:val="000000"/>
        </w:rPr>
        <w:t xml:space="preserve"> test </w:t>
      </w:r>
      <w:proofErr w:type="spellStart"/>
      <w:r>
        <w:rPr>
          <w:color w:val="000000"/>
        </w:rPr>
        <w:t>items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the training </w:t>
      </w:r>
      <w:proofErr w:type="spellStart"/>
      <w:r>
        <w:rPr>
          <w:color w:val="000000"/>
        </w:rPr>
        <w:t>item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scored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offers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two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attempts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different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stimuli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If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child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fails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both</w:t>
      </w:r>
      <w:proofErr w:type="spellEnd"/>
      <w:r>
        <w:rPr>
          <w:color w:val="000000"/>
        </w:rPr>
        <w:t xml:space="preserve">, the </w:t>
      </w:r>
      <w:proofErr w:type="spellStart"/>
      <w:r>
        <w:rPr>
          <w:color w:val="000000"/>
        </w:rPr>
        <w:t>subtest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terminated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Scoring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item</w:t>
      </w:r>
      <w:proofErr w:type="spellEnd"/>
      <w:r>
        <w:rPr>
          <w:color w:val="000000"/>
        </w:rPr>
        <w:t xml:space="preserve"> varies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zero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fails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attempts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one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succeeds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attempt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two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succeeds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attempts</w:t>
      </w:r>
      <w:proofErr w:type="spellEnd"/>
      <w:r>
        <w:rPr>
          <w:color w:val="000000"/>
        </w:rPr>
        <w:t xml:space="preserve">). The </w:t>
      </w:r>
      <w:proofErr w:type="spellStart"/>
      <w:r>
        <w:rPr>
          <w:color w:val="000000"/>
        </w:rPr>
        <w:t>maximum</w:t>
      </w:r>
      <w:proofErr w:type="spellEnd"/>
      <w:r>
        <w:rPr>
          <w:color w:val="000000"/>
        </w:rPr>
        <w:t xml:space="preserve"> score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28 </w:t>
      </w:r>
      <w:proofErr w:type="spellStart"/>
      <w:r>
        <w:rPr>
          <w:color w:val="000000"/>
        </w:rPr>
        <w:t>points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TIMTraC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correct</w:t>
      </w:r>
      <w:proofErr w:type="spellEnd"/>
      <w:r>
        <w:rPr>
          <w:color w:val="000000"/>
        </w:rPr>
        <w:t xml:space="preserve"> responses, </w:t>
      </w:r>
      <w:proofErr w:type="spellStart"/>
      <w:r>
        <w:rPr>
          <w:color w:val="000000"/>
        </w:rPr>
        <w:t>errors</w:t>
      </w:r>
      <w:proofErr w:type="spellEnd"/>
      <w:r>
        <w:rPr>
          <w:color w:val="000000"/>
        </w:rPr>
        <w:t xml:space="preserve">, raw scores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stage</w:t>
      </w:r>
      <w:proofErr w:type="spellEnd"/>
      <w:r>
        <w:rPr>
          <w:color w:val="000000"/>
        </w:rPr>
        <w:t xml:space="preserve">, total score, </w:t>
      </w:r>
      <w:sdt>
        <w:sdtPr>
          <w:tag w:val="goog_rdk_4"/>
          <w:id w:val="986510720"/>
        </w:sdtPr>
        <w:sdtEndPr/>
        <w:sdtContent/>
      </w:sdt>
      <w:sdt>
        <w:sdtPr>
          <w:tag w:val="goog_rdk_5"/>
          <w:id w:val="-1639633223"/>
        </w:sdtPr>
        <w:sdtEndPr/>
        <w:sdtContent/>
      </w:sdt>
      <w:r>
        <w:rPr>
          <w:color w:val="000000"/>
        </w:rPr>
        <w:t xml:space="preserve">and the </w:t>
      </w:r>
      <w:proofErr w:type="spellStart"/>
      <w:r>
        <w:rPr>
          <w:color w:val="000000"/>
        </w:rPr>
        <w:t>longest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correct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stimulus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sequence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stage</w:t>
      </w:r>
      <w:proofErr w:type="spellEnd"/>
      <w:r>
        <w:rPr>
          <w:color w:val="000000"/>
        </w:rPr>
        <w:t>.</w:t>
      </w:r>
    </w:p>
    <w:p w14:paraId="0000002E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>
        <w:rPr>
          <w:i/>
          <w:color w:val="000000"/>
        </w:rPr>
        <w:t>Going</w:t>
      </w:r>
      <w:proofErr w:type="spellEnd"/>
      <w:r>
        <w:rPr>
          <w:i/>
          <w:color w:val="000000"/>
        </w:rPr>
        <w:t xml:space="preserve"> Home (</w:t>
      </w:r>
      <w:proofErr w:type="spellStart"/>
      <w:r>
        <w:rPr>
          <w:i/>
          <w:color w:val="000000"/>
        </w:rPr>
        <w:t>Voltando</w:t>
      </w:r>
      <w:proofErr w:type="spellEnd"/>
      <w:r>
        <w:rPr>
          <w:i/>
          <w:color w:val="000000"/>
        </w:rPr>
        <w:t xml:space="preserve"> para casa - VPC): </w:t>
      </w:r>
      <w:proofErr w:type="spellStart"/>
      <w:r>
        <w:rPr>
          <w:color w:val="000000"/>
        </w:rPr>
        <w:t>Based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the task switching </w:t>
      </w:r>
      <w:proofErr w:type="spellStart"/>
      <w:r>
        <w:rPr>
          <w:color w:val="000000"/>
        </w:rPr>
        <w:t>paradigm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Jersild</w:t>
      </w:r>
      <w:proofErr w:type="spellEnd"/>
      <w:r>
        <w:rPr>
          <w:color w:val="000000"/>
        </w:rPr>
        <w:t xml:space="preserve">, 1927), </w:t>
      </w:r>
      <w:proofErr w:type="spellStart"/>
      <w:r>
        <w:rPr>
          <w:color w:val="000000"/>
        </w:rPr>
        <w:t>specifically</w:t>
      </w:r>
      <w:proofErr w:type="spellEnd"/>
      <w:r>
        <w:rPr>
          <w:color w:val="000000"/>
        </w:rPr>
        <w:t xml:space="preserve"> the Trail </w:t>
      </w:r>
      <w:proofErr w:type="spellStart"/>
      <w:r>
        <w:rPr>
          <w:color w:val="000000"/>
        </w:rPr>
        <w:t>Making</w:t>
      </w:r>
      <w:proofErr w:type="spellEnd"/>
      <w:r>
        <w:rPr>
          <w:color w:val="000000"/>
        </w:rPr>
        <w:t xml:space="preserve"> Test as </w:t>
      </w:r>
      <w:proofErr w:type="spellStart"/>
      <w:r>
        <w:rPr>
          <w:color w:val="000000"/>
        </w:rPr>
        <w:t>described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Bowie and Harvey (2006),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subtest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designed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sequencing</w:t>
      </w:r>
      <w:proofErr w:type="spellEnd"/>
      <w:r>
        <w:rPr>
          <w:color w:val="000000"/>
        </w:rPr>
        <w:t xml:space="preserve"> and cognitive </w:t>
      </w:r>
      <w:proofErr w:type="spellStart"/>
      <w:r>
        <w:rPr>
          <w:color w:val="000000"/>
        </w:rPr>
        <w:t>flexibility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skills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administered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tablet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features</w:t>
      </w:r>
      <w:proofErr w:type="spellEnd"/>
      <w:r>
        <w:rPr>
          <w:color w:val="000000"/>
        </w:rPr>
        <w:t xml:space="preserve"> the figure of a </w:t>
      </w:r>
      <w:proofErr w:type="spellStart"/>
      <w:r>
        <w:rPr>
          <w:color w:val="000000"/>
        </w:rPr>
        <w:t>frog</w:t>
      </w:r>
      <w:proofErr w:type="spellEnd"/>
      <w:r>
        <w:rPr>
          <w:color w:val="000000"/>
        </w:rPr>
        <w:t>, "</w:t>
      </w:r>
      <w:proofErr w:type="spellStart"/>
      <w:r>
        <w:rPr>
          <w:color w:val="000000"/>
        </w:rPr>
        <w:t>Zé</w:t>
      </w:r>
      <w:proofErr w:type="spellEnd"/>
      <w:r>
        <w:rPr>
          <w:color w:val="000000"/>
        </w:rPr>
        <w:t xml:space="preserve">, the </w:t>
      </w:r>
      <w:proofErr w:type="spellStart"/>
      <w:r>
        <w:rPr>
          <w:color w:val="000000"/>
        </w:rPr>
        <w:t>Frog</w:t>
      </w:r>
      <w:proofErr w:type="spellEnd"/>
      <w:r>
        <w:rPr>
          <w:color w:val="000000"/>
        </w:rPr>
        <w:t xml:space="preserve">", and </w:t>
      </w:r>
      <w:proofErr w:type="spellStart"/>
      <w:r>
        <w:rPr>
          <w:color w:val="000000"/>
        </w:rPr>
        <w:t>water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lilies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numbers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letters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displayed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screen</w:t>
      </w:r>
      <w:proofErr w:type="spellEnd"/>
      <w:r>
        <w:rPr>
          <w:color w:val="000000"/>
        </w:rPr>
        <w:t xml:space="preserve">. In VPC, the </w:t>
      </w:r>
      <w:proofErr w:type="spellStart"/>
      <w:r>
        <w:rPr>
          <w:color w:val="000000"/>
        </w:rPr>
        <w:t>goal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guide the </w:t>
      </w:r>
      <w:proofErr w:type="spellStart"/>
      <w:r>
        <w:rPr>
          <w:color w:val="000000"/>
        </w:rPr>
        <w:t>frog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its</w:t>
      </w:r>
      <w:proofErr w:type="spellEnd"/>
      <w:r>
        <w:rPr>
          <w:color w:val="000000"/>
        </w:rPr>
        <w:t xml:space="preserve"> home. The </w:t>
      </w:r>
      <w:proofErr w:type="spellStart"/>
      <w:r>
        <w:rPr>
          <w:color w:val="000000"/>
        </w:rPr>
        <w:t>child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performs</w:t>
      </w:r>
      <w:proofErr w:type="spellEnd"/>
      <w:r>
        <w:rPr>
          <w:color w:val="000000"/>
        </w:rPr>
        <w:t xml:space="preserve"> the task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touching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dragging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tablet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screen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without</w:t>
      </w:r>
      <w:proofErr w:type="spellEnd"/>
      <w:r>
        <w:rPr>
          <w:color w:val="000000"/>
        </w:rPr>
        <w:t xml:space="preserve"> lifting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finger</w:t>
      </w:r>
      <w:proofErr w:type="spellEnd"/>
      <w:r>
        <w:rPr>
          <w:color w:val="000000"/>
        </w:rPr>
        <w:t xml:space="preserve">. The </w:t>
      </w:r>
      <w:proofErr w:type="spellStart"/>
      <w:r>
        <w:rPr>
          <w:color w:val="000000"/>
        </w:rPr>
        <w:t>assessment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the traces </w:t>
      </w:r>
      <w:proofErr w:type="spellStart"/>
      <w:r>
        <w:rPr>
          <w:color w:val="000000"/>
        </w:rPr>
        <w:t>made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tablet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correct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connection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earns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point</w:t>
      </w:r>
      <w:proofErr w:type="spellEnd"/>
      <w:r>
        <w:rPr>
          <w:color w:val="000000"/>
        </w:rPr>
        <w:t xml:space="preserve">. The task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divided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two</w:t>
      </w:r>
      <w:proofErr w:type="spellEnd"/>
      <w:r>
        <w:rPr>
          <w:color w:val="000000"/>
        </w:rPr>
        <w:t xml:space="preserve"> </w:t>
      </w:r>
      <w:proofErr w:type="spellStart"/>
      <w:r>
        <w:t>parts</w:t>
      </w:r>
      <w:proofErr w:type="spellEnd"/>
      <w:r>
        <w:t>.</w:t>
      </w:r>
    </w:p>
    <w:p w14:paraId="0000002F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In "</w:t>
      </w:r>
      <w:proofErr w:type="spellStart"/>
      <w:r>
        <w:rPr>
          <w:color w:val="000000"/>
        </w:rPr>
        <w:t>Part</w:t>
      </w:r>
      <w:proofErr w:type="spellEnd"/>
      <w:r>
        <w:rPr>
          <w:color w:val="000000"/>
        </w:rPr>
        <w:t xml:space="preserve"> A" of the test, the </w:t>
      </w:r>
      <w:proofErr w:type="spellStart"/>
      <w:r>
        <w:rPr>
          <w:color w:val="000000"/>
        </w:rPr>
        <w:t>child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sequence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numbers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25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help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Zé</w:t>
      </w:r>
      <w:proofErr w:type="spellEnd"/>
      <w:r>
        <w:rPr>
          <w:color w:val="000000"/>
        </w:rPr>
        <w:t xml:space="preserve">, the </w:t>
      </w:r>
      <w:proofErr w:type="spellStart"/>
      <w:r>
        <w:rPr>
          <w:color w:val="000000"/>
        </w:rPr>
        <w:t>Frog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move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water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lily</w:t>
      </w:r>
      <w:proofErr w:type="spellEnd"/>
      <w:r>
        <w:rPr>
          <w:color w:val="000000"/>
        </w:rPr>
        <w:t xml:space="preserve"> in the top </w:t>
      </w:r>
      <w:proofErr w:type="spellStart"/>
      <w:r>
        <w:rPr>
          <w:color w:val="000000"/>
        </w:rPr>
        <w:t>left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corner</w:t>
      </w:r>
      <w:proofErr w:type="spellEnd"/>
      <w:r>
        <w:rPr>
          <w:color w:val="000000"/>
        </w:rPr>
        <w:t xml:space="preserve"> of the </w:t>
      </w:r>
      <w:proofErr w:type="spellStart"/>
      <w:r>
        <w:rPr>
          <w:color w:val="000000"/>
        </w:rPr>
        <w:t>screen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another</w:t>
      </w:r>
      <w:proofErr w:type="spellEnd"/>
      <w:r>
        <w:rPr>
          <w:color w:val="000000"/>
        </w:rPr>
        <w:t xml:space="preserve"> in the bottom </w:t>
      </w:r>
      <w:proofErr w:type="spellStart"/>
      <w:r>
        <w:rPr>
          <w:color w:val="000000"/>
        </w:rPr>
        <w:t>right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corner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its</w:t>
      </w:r>
      <w:proofErr w:type="spellEnd"/>
      <w:r>
        <w:rPr>
          <w:color w:val="000000"/>
        </w:rPr>
        <w:t xml:space="preserve"> home. In "</w:t>
      </w:r>
      <w:proofErr w:type="spellStart"/>
      <w:r>
        <w:rPr>
          <w:color w:val="000000"/>
        </w:rPr>
        <w:t>Part</w:t>
      </w:r>
      <w:proofErr w:type="spellEnd"/>
      <w:r>
        <w:rPr>
          <w:color w:val="000000"/>
        </w:rPr>
        <w:t xml:space="preserve"> B," the </w:t>
      </w:r>
      <w:proofErr w:type="spellStart"/>
      <w:r>
        <w:rPr>
          <w:color w:val="000000"/>
        </w:rPr>
        <w:t>child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alternates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between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numbers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ascending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order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letters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alphabetical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towards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same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goal</w:t>
      </w:r>
      <w:proofErr w:type="spellEnd"/>
      <w:r>
        <w:rPr>
          <w:color w:val="000000"/>
        </w:rPr>
        <w:t xml:space="preserve">. The </w:t>
      </w:r>
      <w:proofErr w:type="spellStart"/>
      <w:r>
        <w:rPr>
          <w:color w:val="000000"/>
        </w:rPr>
        <w:t>scoring</w:t>
      </w:r>
      <w:proofErr w:type="spellEnd"/>
      <w:r>
        <w:rPr>
          <w:color w:val="000000"/>
        </w:rPr>
        <w:t xml:space="preserve"> in "</w:t>
      </w:r>
      <w:proofErr w:type="spellStart"/>
      <w:r>
        <w:rPr>
          <w:color w:val="000000"/>
        </w:rPr>
        <w:t>Part</w:t>
      </w:r>
      <w:proofErr w:type="spellEnd"/>
      <w:r>
        <w:rPr>
          <w:color w:val="000000"/>
        </w:rPr>
        <w:t xml:space="preserve"> A" </w:t>
      </w:r>
      <w:proofErr w:type="spellStart"/>
      <w:r>
        <w:rPr>
          <w:color w:val="000000"/>
        </w:rPr>
        <w:t>ranges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26 </w:t>
      </w:r>
      <w:proofErr w:type="spellStart"/>
      <w:r>
        <w:rPr>
          <w:color w:val="000000"/>
        </w:rPr>
        <w:t>points</w:t>
      </w:r>
      <w:proofErr w:type="spellEnd"/>
      <w:r>
        <w:rPr>
          <w:color w:val="000000"/>
        </w:rPr>
        <w:t xml:space="preserve"> and "</w:t>
      </w:r>
      <w:proofErr w:type="spellStart"/>
      <w:r>
        <w:rPr>
          <w:color w:val="000000"/>
        </w:rPr>
        <w:t>Part</w:t>
      </w:r>
      <w:proofErr w:type="spellEnd"/>
      <w:r>
        <w:rPr>
          <w:color w:val="000000"/>
        </w:rPr>
        <w:t xml:space="preserve"> B" </w:t>
      </w:r>
      <w:proofErr w:type="spellStart"/>
      <w:r>
        <w:rPr>
          <w:color w:val="000000"/>
        </w:rPr>
        <w:t>also</w:t>
      </w:r>
      <w:proofErr w:type="spellEnd"/>
      <w:r>
        <w:rPr>
          <w:color w:val="000000"/>
        </w:rPr>
        <w:t xml:space="preserve"> varies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26 </w:t>
      </w:r>
      <w:proofErr w:type="spellStart"/>
      <w:r>
        <w:rPr>
          <w:color w:val="000000"/>
        </w:rPr>
        <w:t>points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a total of up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52 </w:t>
      </w:r>
      <w:proofErr w:type="spellStart"/>
      <w:r>
        <w:rPr>
          <w:color w:val="000000"/>
        </w:rPr>
        <w:t>points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Scoring</w:t>
      </w:r>
      <w:proofErr w:type="spellEnd"/>
      <w:r>
        <w:rPr>
          <w:color w:val="000000"/>
        </w:rPr>
        <w:t xml:space="preserve"> is </w:t>
      </w:r>
      <w:proofErr w:type="spellStart"/>
      <w:r>
        <w:rPr>
          <w:color w:val="000000"/>
        </w:rPr>
        <w:t>halted</w:t>
      </w:r>
      <w:proofErr w:type="spellEnd"/>
      <w:r>
        <w:rPr>
          <w:color w:val="000000"/>
        </w:rPr>
        <w:t xml:space="preserve"> at the </w:t>
      </w:r>
      <w:proofErr w:type="spellStart"/>
      <w:r>
        <w:rPr>
          <w:color w:val="000000"/>
        </w:rPr>
        <w:t>first</w:t>
      </w:r>
      <w:proofErr w:type="spellEnd"/>
      <w:r>
        <w:rPr>
          <w:color w:val="000000"/>
        </w:rPr>
        <w:t xml:space="preserve"> error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if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child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lifts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finger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screen</w:t>
      </w:r>
      <w:proofErr w:type="spellEnd"/>
      <w:r>
        <w:rPr>
          <w:color w:val="000000"/>
        </w:rPr>
        <w:t xml:space="preserve">. </w:t>
      </w:r>
    </w:p>
    <w:p w14:paraId="00000031" w14:textId="70571496" w:rsidR="00C57DD8" w:rsidRDefault="00EB3EFF" w:rsidP="00551F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b/>
        </w:rPr>
      </w:pP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subtest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evaluates</w:t>
      </w:r>
      <w:proofErr w:type="spellEnd"/>
      <w:r>
        <w:rPr>
          <w:color w:val="000000"/>
        </w:rPr>
        <w:t xml:space="preserve"> total </w:t>
      </w:r>
      <w:proofErr w:type="spellStart"/>
      <w:r>
        <w:rPr>
          <w:color w:val="000000"/>
        </w:rPr>
        <w:t>correct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connections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correct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connections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interruption</w:t>
      </w:r>
      <w:proofErr w:type="spellEnd"/>
      <w:r>
        <w:rPr>
          <w:color w:val="000000"/>
        </w:rPr>
        <w:t xml:space="preserve">, the </w:t>
      </w:r>
      <w:proofErr w:type="spellStart"/>
      <w:r>
        <w:rPr>
          <w:color w:val="000000"/>
        </w:rPr>
        <w:t>number</w:t>
      </w:r>
      <w:proofErr w:type="spellEnd"/>
      <w:r>
        <w:rPr>
          <w:color w:val="000000"/>
        </w:rPr>
        <w:t xml:space="preserve"> of times the </w:t>
      </w:r>
      <w:proofErr w:type="spellStart"/>
      <w:r>
        <w:rPr>
          <w:color w:val="000000"/>
        </w:rPr>
        <w:t>child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lifts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finger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screen</w:t>
      </w:r>
      <w:proofErr w:type="spellEnd"/>
      <w:r>
        <w:rPr>
          <w:color w:val="000000"/>
        </w:rPr>
        <w:t xml:space="preserve">, the </w:t>
      </w:r>
      <w:proofErr w:type="spellStart"/>
      <w:r>
        <w:rPr>
          <w:color w:val="000000"/>
        </w:rPr>
        <w:t>number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errors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out</w:t>
      </w:r>
      <w:proofErr w:type="spellEnd"/>
      <w:r>
        <w:rPr>
          <w:color w:val="000000"/>
        </w:rPr>
        <w:t>-of-</w:t>
      </w:r>
      <w:proofErr w:type="spellStart"/>
      <w:r>
        <w:rPr>
          <w:color w:val="000000"/>
        </w:rPr>
        <w:t>order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connections</w:t>
      </w:r>
      <w:proofErr w:type="spellEnd"/>
      <w:r>
        <w:rPr>
          <w:color w:val="000000"/>
        </w:rPr>
        <w:t xml:space="preserve">), response time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stage</w:t>
      </w:r>
      <w:proofErr w:type="spellEnd"/>
      <w:r>
        <w:rPr>
          <w:color w:val="000000"/>
        </w:rPr>
        <w:t xml:space="preserve">, and total response time. Figure 1 </w:t>
      </w:r>
      <w:proofErr w:type="spellStart"/>
      <w:r>
        <w:rPr>
          <w:color w:val="000000"/>
        </w:rPr>
        <w:t>illustrates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screens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used</w:t>
      </w:r>
      <w:proofErr w:type="spellEnd"/>
      <w:r>
        <w:rPr>
          <w:color w:val="000000"/>
        </w:rPr>
        <w:t xml:space="preserve"> in the BAFE-</w:t>
      </w:r>
      <w:proofErr w:type="spellStart"/>
      <w:r>
        <w:rPr>
          <w:color w:val="000000"/>
        </w:rPr>
        <w:t>inf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subtests</w:t>
      </w:r>
      <w:proofErr w:type="spellEnd"/>
      <w:r>
        <w:rPr>
          <w:color w:val="000000"/>
        </w:rPr>
        <w:t xml:space="preserve">. </w:t>
      </w:r>
    </w:p>
    <w:p w14:paraId="00000032" w14:textId="77777777" w:rsidR="00C57DD8" w:rsidRDefault="00EB3EFF">
      <w:pPr>
        <w:rPr>
          <w:b/>
        </w:rPr>
      </w:pPr>
      <w:r>
        <w:br w:type="page"/>
      </w:r>
    </w:p>
    <w:p w14:paraId="00000033" w14:textId="77777777" w:rsidR="00C57DD8" w:rsidRDefault="00EB3EFF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b/>
        </w:rPr>
      </w:pPr>
      <w:r>
        <w:rPr>
          <w:b/>
        </w:rPr>
        <w:lastRenderedPageBreak/>
        <w:t>Figure 1</w:t>
      </w:r>
    </w:p>
    <w:p w14:paraId="00000034" w14:textId="77777777" w:rsidR="00C57DD8" w:rsidRDefault="00A27226">
      <w:pPr>
        <w:shd w:val="clear" w:color="auto" w:fill="FFFFFF"/>
        <w:spacing w:line="360" w:lineRule="auto"/>
        <w:ind w:firstLine="709"/>
        <w:jc w:val="both"/>
        <w:rPr>
          <w:i/>
        </w:rPr>
      </w:pPr>
      <w:sdt>
        <w:sdtPr>
          <w:tag w:val="goog_rdk_6"/>
          <w:id w:val="-716587004"/>
        </w:sdtPr>
        <w:sdtEndPr/>
        <w:sdtContent/>
      </w:sdt>
      <w:sdt>
        <w:sdtPr>
          <w:tag w:val="goog_rdk_7"/>
          <w:id w:val="-770935720"/>
        </w:sdtPr>
        <w:sdtEndPr/>
        <w:sdtContent/>
      </w:sdt>
      <w:proofErr w:type="spellStart"/>
      <w:r w:rsidR="00EB3EFF">
        <w:rPr>
          <w:i/>
        </w:rPr>
        <w:t>Illustrative</w:t>
      </w:r>
      <w:proofErr w:type="spellEnd"/>
      <w:r w:rsidR="00EB3EFF">
        <w:rPr>
          <w:i/>
        </w:rPr>
        <w:t xml:space="preserve"> </w:t>
      </w:r>
      <w:proofErr w:type="spellStart"/>
      <w:r w:rsidR="00EB3EFF">
        <w:rPr>
          <w:i/>
        </w:rPr>
        <w:t>Screens</w:t>
      </w:r>
      <w:proofErr w:type="spellEnd"/>
      <w:r w:rsidR="00EB3EFF">
        <w:rPr>
          <w:i/>
        </w:rPr>
        <w:t xml:space="preserve"> of the Child Executive </w:t>
      </w:r>
      <w:proofErr w:type="spellStart"/>
      <w:r w:rsidR="00EB3EFF">
        <w:rPr>
          <w:i/>
        </w:rPr>
        <w:t>Function</w:t>
      </w:r>
      <w:proofErr w:type="spellEnd"/>
      <w:r w:rsidR="00EB3EFF">
        <w:rPr>
          <w:i/>
        </w:rPr>
        <w:t xml:space="preserve"> </w:t>
      </w:r>
      <w:proofErr w:type="spellStart"/>
      <w:r w:rsidR="00EB3EFF">
        <w:rPr>
          <w:i/>
        </w:rPr>
        <w:t>Assessment</w:t>
      </w:r>
      <w:proofErr w:type="spellEnd"/>
      <w:r w:rsidR="00EB3EFF">
        <w:rPr>
          <w:i/>
        </w:rPr>
        <w:t xml:space="preserve"> </w:t>
      </w:r>
      <w:proofErr w:type="spellStart"/>
      <w:r w:rsidR="00EB3EFF">
        <w:rPr>
          <w:i/>
        </w:rPr>
        <w:t>Battery</w:t>
      </w:r>
      <w:proofErr w:type="spellEnd"/>
    </w:p>
    <w:p w14:paraId="00000035" w14:textId="77777777" w:rsidR="00C57DD8" w:rsidRDefault="00EB3EFF">
      <w:pPr>
        <w:spacing w:line="360" w:lineRule="auto"/>
        <w:ind w:firstLine="709"/>
        <w:jc w:val="both"/>
      </w:pPr>
      <w:r>
        <w:rPr>
          <w:noProof/>
        </w:rPr>
        <w:drawing>
          <wp:inline distT="0" distB="0" distL="0" distR="0" wp14:anchorId="2F9FE084" wp14:editId="0834AEDE">
            <wp:extent cx="3583240" cy="2015572"/>
            <wp:effectExtent l="0" t="0" r="0" b="381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3240" cy="20155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36" w14:textId="77777777" w:rsidR="00C57DD8" w:rsidRDefault="00EB3EFF">
      <w:pPr>
        <w:shd w:val="clear" w:color="auto" w:fill="FFFFFF"/>
        <w:spacing w:line="360" w:lineRule="auto"/>
        <w:ind w:firstLine="709"/>
        <w:jc w:val="both"/>
      </w:pPr>
      <w:r>
        <w:rPr>
          <w:i/>
        </w:rPr>
        <w:t xml:space="preserve">Note. </w:t>
      </w:r>
      <w:r>
        <w:t xml:space="preserve">In the top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corner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cover</w:t>
      </w:r>
      <w:proofErr w:type="spellEnd"/>
      <w:r>
        <w:t xml:space="preserve"> of the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battery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the test can be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execution</w:t>
      </w:r>
      <w:proofErr w:type="spellEnd"/>
      <w:r>
        <w:t xml:space="preserve">; in the top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corner</w:t>
      </w:r>
      <w:proofErr w:type="spellEnd"/>
      <w:r>
        <w:t xml:space="preserve">, a </w:t>
      </w:r>
      <w:proofErr w:type="spellStart"/>
      <w:r>
        <w:t>screen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"</w:t>
      </w:r>
      <w:proofErr w:type="spellStart"/>
      <w:r>
        <w:t>Organized</w:t>
      </w:r>
      <w:proofErr w:type="spellEnd"/>
      <w:r>
        <w:t xml:space="preserve"> </w:t>
      </w:r>
      <w:proofErr w:type="spellStart"/>
      <w:r>
        <w:t>Backpacks</w:t>
      </w:r>
      <w:proofErr w:type="spellEnd"/>
      <w:r>
        <w:t xml:space="preserve">" </w:t>
      </w:r>
      <w:proofErr w:type="spellStart"/>
      <w:r>
        <w:t>subtest</w:t>
      </w:r>
      <w:proofErr w:type="spellEnd"/>
      <w:r>
        <w:t xml:space="preserve">; in the bottom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corner</w:t>
      </w:r>
      <w:proofErr w:type="spellEnd"/>
      <w:r>
        <w:t xml:space="preserve">, a </w:t>
      </w:r>
      <w:proofErr w:type="spellStart"/>
      <w:r>
        <w:t>screen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"</w:t>
      </w:r>
      <w:proofErr w:type="spellStart"/>
      <w:r>
        <w:t>Computerized</w:t>
      </w:r>
      <w:proofErr w:type="spellEnd"/>
      <w:r>
        <w:t xml:space="preserve"> Task of Working Memory in </w:t>
      </w:r>
      <w:proofErr w:type="spellStart"/>
      <w:r>
        <w:t>Children</w:t>
      </w:r>
      <w:proofErr w:type="spellEnd"/>
      <w:r>
        <w:t xml:space="preserve">" </w:t>
      </w:r>
      <w:proofErr w:type="spellStart"/>
      <w:r>
        <w:t>subtest</w:t>
      </w:r>
      <w:proofErr w:type="spellEnd"/>
      <w:r>
        <w:t xml:space="preserve">; and in the bottom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corner</w:t>
      </w:r>
      <w:proofErr w:type="spellEnd"/>
      <w:r>
        <w:t xml:space="preserve">, </w:t>
      </w:r>
      <w:proofErr w:type="spellStart"/>
      <w:r>
        <w:t>an</w:t>
      </w:r>
      <w:proofErr w:type="spellEnd"/>
      <w:r>
        <w:t xml:space="preserve"> </w:t>
      </w:r>
      <w:proofErr w:type="spellStart"/>
      <w:r>
        <w:t>illustrative</w:t>
      </w:r>
      <w:proofErr w:type="spellEnd"/>
      <w:r>
        <w:t xml:space="preserve"> </w:t>
      </w:r>
      <w:proofErr w:type="spellStart"/>
      <w:r>
        <w:t>screen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"</w:t>
      </w:r>
      <w:proofErr w:type="spellStart"/>
      <w:r>
        <w:t>Going</w:t>
      </w:r>
      <w:proofErr w:type="spellEnd"/>
      <w:r>
        <w:t xml:space="preserve"> Home" </w:t>
      </w:r>
      <w:proofErr w:type="spellStart"/>
      <w:r>
        <w:t>subtest</w:t>
      </w:r>
      <w:proofErr w:type="spellEnd"/>
      <w:r>
        <w:t>.</w:t>
      </w:r>
    </w:p>
    <w:p w14:paraId="00000037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>
        <w:rPr>
          <w:i/>
          <w:color w:val="000000"/>
        </w:rPr>
        <w:t>Everyday</w:t>
      </w:r>
      <w:proofErr w:type="spellEnd"/>
      <w:r>
        <w:rPr>
          <w:i/>
          <w:color w:val="000000"/>
        </w:rPr>
        <w:t xml:space="preserve"> Executive </w:t>
      </w:r>
      <w:proofErr w:type="spellStart"/>
      <w:r>
        <w:rPr>
          <w:i/>
          <w:color w:val="000000"/>
        </w:rPr>
        <w:t>Function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Scale</w:t>
      </w:r>
      <w:proofErr w:type="spellEnd"/>
      <w:r>
        <w:rPr>
          <w:i/>
          <w:color w:val="000000"/>
        </w:rPr>
        <w:t xml:space="preserve">: </w:t>
      </w:r>
      <w:proofErr w:type="spellStart"/>
      <w:r>
        <w:rPr>
          <w:i/>
          <w:color w:val="000000"/>
        </w:rPr>
        <w:t>Parent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Version</w:t>
      </w:r>
      <w:proofErr w:type="spellEnd"/>
      <w:r>
        <w:rPr>
          <w:i/>
          <w:color w:val="000000"/>
        </w:rPr>
        <w:t xml:space="preserve"> (Escala da </w:t>
      </w:r>
      <w:proofErr w:type="spellStart"/>
      <w:r>
        <w:rPr>
          <w:i/>
          <w:color w:val="000000"/>
        </w:rPr>
        <w:t>Função</w:t>
      </w:r>
      <w:proofErr w:type="spellEnd"/>
      <w:r>
        <w:rPr>
          <w:i/>
          <w:color w:val="000000"/>
        </w:rPr>
        <w:t xml:space="preserve"> Executiva no Cotidiano: </w:t>
      </w:r>
      <w:proofErr w:type="spellStart"/>
      <w:r>
        <w:rPr>
          <w:i/>
          <w:color w:val="000000"/>
        </w:rPr>
        <w:t>Versão</w:t>
      </w:r>
      <w:proofErr w:type="spellEnd"/>
      <w:r>
        <w:rPr>
          <w:i/>
          <w:color w:val="000000"/>
        </w:rPr>
        <w:t xml:space="preserve"> para </w:t>
      </w:r>
      <w:proofErr w:type="spellStart"/>
      <w:r>
        <w:rPr>
          <w:i/>
          <w:color w:val="000000"/>
        </w:rPr>
        <w:t>pais</w:t>
      </w:r>
      <w:proofErr w:type="spellEnd"/>
      <w:r>
        <w:rPr>
          <w:i/>
          <w:color w:val="000000"/>
        </w:rPr>
        <w:t xml:space="preserve"> - EFEC-</w:t>
      </w:r>
      <w:proofErr w:type="spellStart"/>
      <w:r>
        <w:rPr>
          <w:i/>
          <w:color w:val="000000"/>
        </w:rPr>
        <w:t>parents</w:t>
      </w:r>
      <w:proofErr w:type="spellEnd"/>
      <w:r>
        <w:rPr>
          <w:i/>
          <w:color w:val="000000"/>
        </w:rPr>
        <w:t>):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a 16-item </w:t>
      </w:r>
      <w:proofErr w:type="spellStart"/>
      <w:r>
        <w:rPr>
          <w:color w:val="000000"/>
        </w:rPr>
        <w:t>multiple-choice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uses a Likert-</w:t>
      </w:r>
      <w:proofErr w:type="spellStart"/>
      <w:r>
        <w:rPr>
          <w:color w:val="000000"/>
        </w:rPr>
        <w:t>type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scale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allowing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evaluate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frequency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child's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difficulties</w:t>
      </w:r>
      <w:proofErr w:type="spellEnd"/>
      <w:r>
        <w:rPr>
          <w:color w:val="000000"/>
        </w:rPr>
        <w:t xml:space="preserve"> in EF </w:t>
      </w:r>
      <w:proofErr w:type="spellStart"/>
      <w:r>
        <w:rPr>
          <w:color w:val="000000"/>
        </w:rPr>
        <w:t>such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working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memory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inhibition</w:t>
      </w:r>
      <w:proofErr w:type="spellEnd"/>
      <w:r>
        <w:rPr>
          <w:color w:val="000000"/>
        </w:rPr>
        <w:t xml:space="preserve">, and cognitive </w:t>
      </w:r>
      <w:proofErr w:type="spellStart"/>
      <w:r>
        <w:rPr>
          <w:color w:val="000000"/>
        </w:rPr>
        <w:t>flexibility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described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situations</w:t>
      </w:r>
      <w:proofErr w:type="spellEnd"/>
      <w:r>
        <w:rPr>
          <w:color w:val="000000"/>
        </w:rPr>
        <w:t xml:space="preserve"> (0 = </w:t>
      </w:r>
      <w:proofErr w:type="spellStart"/>
      <w:r>
        <w:rPr>
          <w:color w:val="000000"/>
        </w:rPr>
        <w:t>never</w:t>
      </w:r>
      <w:proofErr w:type="spellEnd"/>
      <w:r>
        <w:rPr>
          <w:color w:val="000000"/>
        </w:rPr>
        <w:t xml:space="preserve">; 1 = </w:t>
      </w:r>
      <w:proofErr w:type="spellStart"/>
      <w:r>
        <w:rPr>
          <w:color w:val="000000"/>
        </w:rPr>
        <w:t>sometimes</w:t>
      </w:r>
      <w:proofErr w:type="spellEnd"/>
      <w:r>
        <w:rPr>
          <w:color w:val="000000"/>
        </w:rPr>
        <w:t xml:space="preserve">; 2 = </w:t>
      </w:r>
      <w:proofErr w:type="spellStart"/>
      <w:r>
        <w:rPr>
          <w:color w:val="000000"/>
        </w:rPr>
        <w:t>often</w:t>
      </w:r>
      <w:proofErr w:type="spellEnd"/>
      <w:r>
        <w:rPr>
          <w:color w:val="000000"/>
        </w:rPr>
        <w:t xml:space="preserve">; 3 = </w:t>
      </w:r>
      <w:proofErr w:type="spellStart"/>
      <w:r>
        <w:rPr>
          <w:color w:val="000000"/>
        </w:rPr>
        <w:t>always</w:t>
      </w:r>
      <w:proofErr w:type="spellEnd"/>
      <w:r>
        <w:rPr>
          <w:color w:val="000000"/>
        </w:rPr>
        <w:t xml:space="preserve">). Scores </w:t>
      </w:r>
      <w:proofErr w:type="spellStart"/>
      <w:r>
        <w:rPr>
          <w:color w:val="000000"/>
        </w:rPr>
        <w:t>range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48 </w:t>
      </w:r>
      <w:proofErr w:type="spellStart"/>
      <w:r>
        <w:rPr>
          <w:color w:val="000000"/>
        </w:rPr>
        <w:t>points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higher</w:t>
      </w:r>
      <w:proofErr w:type="spellEnd"/>
      <w:r>
        <w:rPr>
          <w:color w:val="000000"/>
        </w:rPr>
        <w:t xml:space="preserve"> scores </w:t>
      </w:r>
      <w:proofErr w:type="spellStart"/>
      <w:r>
        <w:rPr>
          <w:color w:val="000000"/>
        </w:rPr>
        <w:t>indicating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greater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difficulties</w:t>
      </w:r>
      <w:proofErr w:type="spellEnd"/>
      <w:r>
        <w:rPr>
          <w:color w:val="000000"/>
        </w:rPr>
        <w:t xml:space="preserve"> in executive </w:t>
      </w:r>
      <w:proofErr w:type="spellStart"/>
      <w:r>
        <w:rPr>
          <w:color w:val="000000"/>
        </w:rPr>
        <w:t>functioning</w:t>
      </w:r>
      <w:proofErr w:type="spellEnd"/>
      <w:r>
        <w:rPr>
          <w:color w:val="000000"/>
        </w:rPr>
        <w:t xml:space="preserve">. </w:t>
      </w:r>
    </w:p>
    <w:p w14:paraId="00000038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Developed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during</w:t>
      </w:r>
      <w:proofErr w:type="spellEnd"/>
      <w:r>
        <w:rPr>
          <w:color w:val="000000"/>
        </w:rPr>
        <w:t xml:space="preserve"> the COVID-19 </w:t>
      </w:r>
      <w:proofErr w:type="spellStart"/>
      <w:r>
        <w:rPr>
          <w:color w:val="000000"/>
        </w:rPr>
        <w:t>pandemic</w:t>
      </w:r>
      <w:proofErr w:type="spellEnd"/>
      <w:r>
        <w:rPr>
          <w:color w:val="000000"/>
        </w:rPr>
        <w:t>, the EFEC-</w:t>
      </w:r>
      <w:proofErr w:type="spellStart"/>
      <w:r>
        <w:rPr>
          <w:color w:val="000000"/>
        </w:rPr>
        <w:t>parents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designed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remote </w:t>
      </w:r>
      <w:proofErr w:type="spellStart"/>
      <w:r>
        <w:rPr>
          <w:color w:val="000000"/>
        </w:rPr>
        <w:t>application</w:t>
      </w:r>
      <w:proofErr w:type="spellEnd"/>
      <w:r>
        <w:rPr>
          <w:color w:val="000000"/>
        </w:rPr>
        <w:t xml:space="preserve">. In </w:t>
      </w:r>
      <w:proofErr w:type="spellStart"/>
      <w:r>
        <w:rPr>
          <w:color w:val="000000"/>
        </w:rPr>
        <w:t>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initial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showed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Cronbach's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alpha</w:t>
      </w:r>
      <w:proofErr w:type="spellEnd"/>
      <w:r>
        <w:rPr>
          <w:color w:val="000000"/>
        </w:rPr>
        <w:t xml:space="preserve"> of 0.882 (</w:t>
      </w:r>
      <w:proofErr w:type="spellStart"/>
      <w:r>
        <w:rPr>
          <w:color w:val="000000"/>
        </w:rPr>
        <w:t>Cordeiro</w:t>
      </w:r>
      <w:proofErr w:type="spellEnd"/>
      <w:r>
        <w:rPr>
          <w:color w:val="000000"/>
        </w:rPr>
        <w:t xml:space="preserve">, 2020), </w:t>
      </w:r>
      <w:proofErr w:type="spellStart"/>
      <w:r>
        <w:rPr>
          <w:color w:val="000000"/>
        </w:rPr>
        <w:t>indicating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consistency</w:t>
      </w:r>
      <w:proofErr w:type="spellEnd"/>
      <w:r>
        <w:rPr>
          <w:color w:val="000000"/>
        </w:rPr>
        <w:t xml:space="preserve">. In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paper</w:t>
      </w:r>
      <w:proofErr w:type="spellEnd"/>
      <w:r>
        <w:rPr>
          <w:color w:val="000000"/>
        </w:rPr>
        <w:t xml:space="preserve">, the </w:t>
      </w:r>
      <w:proofErr w:type="spellStart"/>
      <w:r>
        <w:rPr>
          <w:color w:val="000000"/>
        </w:rPr>
        <w:t>scale</w:t>
      </w:r>
      <w:proofErr w:type="spellEnd"/>
      <w:r>
        <w:rPr>
          <w:color w:val="000000"/>
        </w:rPr>
        <w:t xml:space="preserve"> has </w:t>
      </w:r>
      <w:proofErr w:type="spellStart"/>
      <w:r>
        <w:rPr>
          <w:color w:val="000000"/>
        </w:rPr>
        <w:t>been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refined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subjected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validity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evidence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analysis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process</w:t>
      </w:r>
      <w:proofErr w:type="spellEnd"/>
      <w:r>
        <w:rPr>
          <w:color w:val="000000"/>
        </w:rPr>
        <w:t>.</w:t>
      </w:r>
    </w:p>
    <w:p w14:paraId="00000039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>
        <w:rPr>
          <w:i/>
          <w:color w:val="000000"/>
        </w:rPr>
        <w:t>Questionnaire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for</w:t>
      </w:r>
      <w:proofErr w:type="spellEnd"/>
      <w:r>
        <w:rPr>
          <w:i/>
          <w:color w:val="000000"/>
        </w:rPr>
        <w:t xml:space="preserve"> Expert </w:t>
      </w:r>
      <w:proofErr w:type="spellStart"/>
      <w:r>
        <w:rPr>
          <w:i/>
          <w:color w:val="000000"/>
        </w:rPr>
        <w:t>Analysis</w:t>
      </w:r>
      <w:proofErr w:type="spellEnd"/>
      <w:r>
        <w:rPr>
          <w:i/>
          <w:color w:val="000000"/>
        </w:rPr>
        <w:t xml:space="preserve"> of </w:t>
      </w:r>
      <w:proofErr w:type="spellStart"/>
      <w:r>
        <w:rPr>
          <w:i/>
          <w:color w:val="000000"/>
        </w:rPr>
        <w:t>Subtests</w:t>
      </w:r>
      <w:proofErr w:type="spellEnd"/>
      <w:r>
        <w:rPr>
          <w:i/>
          <w:color w:val="000000"/>
        </w:rPr>
        <w:t xml:space="preserve">: </w:t>
      </w:r>
      <w:r>
        <w:rPr>
          <w:color w:val="000000"/>
        </w:rPr>
        <w:t xml:space="preserve">A </w:t>
      </w:r>
      <w:proofErr w:type="spellStart"/>
      <w:r>
        <w:rPr>
          <w:color w:val="000000"/>
        </w:rPr>
        <w:t>form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subtest</w:t>
      </w:r>
      <w:proofErr w:type="spellEnd"/>
      <w:r>
        <w:rPr>
          <w:color w:val="000000"/>
        </w:rPr>
        <w:t xml:space="preserve"> of the BAFE-</w:t>
      </w:r>
      <w:proofErr w:type="spellStart"/>
      <w:r>
        <w:rPr>
          <w:color w:val="000000"/>
        </w:rPr>
        <w:t>inf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experts</w:t>
      </w:r>
      <w:proofErr w:type="spellEnd"/>
      <w:r>
        <w:rPr>
          <w:color w:val="000000"/>
        </w:rPr>
        <w:t xml:space="preserve">. The </w:t>
      </w:r>
      <w:proofErr w:type="spellStart"/>
      <w:r>
        <w:rPr>
          <w:color w:val="000000"/>
        </w:rPr>
        <w:t>forms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definitions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assessed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construct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facilitated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clarity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assessment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screen</w:t>
      </w:r>
      <w:proofErr w:type="spellEnd"/>
      <w:r>
        <w:rPr>
          <w:color w:val="000000"/>
        </w:rPr>
        <w:t xml:space="preserve"> and training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test </w:t>
      </w:r>
      <w:proofErr w:type="spellStart"/>
      <w:r>
        <w:rPr>
          <w:color w:val="000000"/>
        </w:rPr>
        <w:t>item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clarity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relevance</w:t>
      </w:r>
      <w:proofErr w:type="spellEnd"/>
      <w:r>
        <w:rPr>
          <w:color w:val="000000"/>
        </w:rPr>
        <w:t xml:space="preserve">, and </w:t>
      </w:r>
      <w:proofErr w:type="spellStart"/>
      <w:r>
        <w:rPr>
          <w:color w:val="000000"/>
        </w:rPr>
        <w:t>design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layout</w:t>
      </w:r>
      <w:proofErr w:type="spellEnd"/>
      <w:r>
        <w:rPr>
          <w:color w:val="000000"/>
        </w:rPr>
        <w:t>. A Likert</w:t>
      </w:r>
      <w:r>
        <w:t>-</w:t>
      </w:r>
      <w:proofErr w:type="spellStart"/>
      <w:r>
        <w:t>type</w:t>
      </w:r>
      <w:proofErr w:type="spellEnd"/>
      <w:r>
        <w:t xml:space="preserve"> </w:t>
      </w:r>
      <w:proofErr w:type="spellStart"/>
      <w:r>
        <w:rPr>
          <w:color w:val="000000"/>
        </w:rPr>
        <w:t>scale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where</w:t>
      </w:r>
      <w:proofErr w:type="spellEnd"/>
      <w:r>
        <w:rPr>
          <w:color w:val="000000"/>
        </w:rP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rPr>
          <w:color w:val="000000"/>
        </w:rPr>
        <w:t>indicated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unsatisfactory</w:t>
      </w:r>
      <w:proofErr w:type="spellEnd"/>
      <w:r>
        <w:rPr>
          <w:color w:val="000000"/>
        </w:rPr>
        <w:t xml:space="preserve"> and </w:t>
      </w:r>
      <w:proofErr w:type="spellStart"/>
      <w:r>
        <w:t>four</w:t>
      </w:r>
      <w:proofErr w:type="spellEnd"/>
      <w:r>
        <w:t xml:space="preserve"> </w:t>
      </w:r>
      <w:proofErr w:type="spellStart"/>
      <w:r>
        <w:rPr>
          <w:color w:val="000000"/>
        </w:rPr>
        <w:t>satisfactory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Experts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suggest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modifications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additions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removals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items</w:t>
      </w:r>
      <w:proofErr w:type="spellEnd"/>
      <w:r>
        <w:rPr>
          <w:color w:val="000000"/>
        </w:rPr>
        <w:t xml:space="preserve">, as </w:t>
      </w:r>
      <w:proofErr w:type="spellStart"/>
      <w:r>
        <w:rPr>
          <w:color w:val="000000"/>
        </w:rPr>
        <w:t>recommended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Almanasreh</w:t>
      </w:r>
      <w:proofErr w:type="spellEnd"/>
      <w:r>
        <w:rPr>
          <w:color w:val="000000"/>
        </w:rPr>
        <w:t xml:space="preserve"> et al., (2018).</w:t>
      </w:r>
    </w:p>
    <w:p w14:paraId="0000003A" w14:textId="0A4BD222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highlight w:val="yellow"/>
        </w:rPr>
      </w:pPr>
      <w:proofErr w:type="spellStart"/>
      <w:r>
        <w:rPr>
          <w:i/>
          <w:color w:val="000000"/>
        </w:rPr>
        <w:lastRenderedPageBreak/>
        <w:t>Questionnaire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for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Children's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Assessment</w:t>
      </w:r>
      <w:proofErr w:type="spellEnd"/>
      <w:r>
        <w:rPr>
          <w:i/>
          <w:color w:val="000000"/>
        </w:rPr>
        <w:t xml:space="preserve"> of Instruments: </w:t>
      </w:r>
      <w:r>
        <w:rPr>
          <w:color w:val="000000"/>
        </w:rPr>
        <w:t xml:space="preserve">The </w:t>
      </w:r>
      <w:proofErr w:type="spellStart"/>
      <w:r>
        <w:rPr>
          <w:color w:val="000000"/>
        </w:rPr>
        <w:t>participating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computerized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instruments</w:t>
      </w:r>
      <w:proofErr w:type="spellEnd"/>
      <w:r>
        <w:rPr>
          <w:color w:val="000000"/>
        </w:rPr>
        <w:t xml:space="preserve">. In the MO </w:t>
      </w:r>
      <w:proofErr w:type="spellStart"/>
      <w:r>
        <w:rPr>
          <w:color w:val="000000"/>
        </w:rPr>
        <w:t>subtest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they</w:t>
      </w:r>
      <w:proofErr w:type="spellEnd"/>
      <w:r>
        <w:rPr>
          <w:color w:val="000000"/>
        </w:rPr>
        <w:t xml:space="preserve"> responded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instructions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of the 40 </w:t>
      </w:r>
      <w:proofErr w:type="spellStart"/>
      <w:r>
        <w:rPr>
          <w:color w:val="000000"/>
        </w:rPr>
        <w:t>items</w:t>
      </w:r>
      <w:proofErr w:type="spellEnd"/>
      <w:r>
        <w:rPr>
          <w:color w:val="000000"/>
        </w:rPr>
        <w:t xml:space="preserve">; in </w:t>
      </w:r>
      <w:proofErr w:type="spellStart"/>
      <w:r>
        <w:rPr>
          <w:color w:val="000000"/>
        </w:rPr>
        <w:t>TIMTraC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assessed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instruction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screens</w:t>
      </w:r>
      <w:proofErr w:type="spellEnd"/>
      <w:r>
        <w:rPr>
          <w:color w:val="000000"/>
        </w:rPr>
        <w:t xml:space="preserve">, mouse training, and </w:t>
      </w:r>
      <w:proofErr w:type="spellStart"/>
      <w:r>
        <w:rPr>
          <w:color w:val="000000"/>
        </w:rPr>
        <w:t>stages</w:t>
      </w:r>
      <w:proofErr w:type="spellEnd"/>
      <w:r>
        <w:rPr>
          <w:color w:val="000000"/>
        </w:rPr>
        <w:t xml:space="preserve"> </w:t>
      </w:r>
      <w:proofErr w:type="spellStart"/>
      <w:r>
        <w:t>one</w:t>
      </w:r>
      <w:proofErr w:type="spellEnd"/>
      <w:r>
        <w:t xml:space="preserve"> </w:t>
      </w:r>
      <w:r>
        <w:rPr>
          <w:color w:val="000000"/>
        </w:rPr>
        <w:t xml:space="preserve">and </w:t>
      </w:r>
      <w:proofErr w:type="spellStart"/>
      <w:r>
        <w:t>two</w:t>
      </w:r>
      <w:proofErr w:type="spellEnd"/>
      <w:r>
        <w:t xml:space="preserve"> </w:t>
      </w:r>
      <w:r>
        <w:rPr>
          <w:color w:val="000000"/>
        </w:rPr>
        <w:t xml:space="preserve">of the test; and in VPC, </w:t>
      </w:r>
      <w:proofErr w:type="spellStart"/>
      <w:r>
        <w:rPr>
          <w:color w:val="000000"/>
        </w:rPr>
        <w:t>they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answered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about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instructions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phase</w:t>
      </w:r>
      <w:proofErr w:type="spellEnd"/>
      <w:r>
        <w:rPr>
          <w:color w:val="000000"/>
        </w:rPr>
        <w:t xml:space="preserve"> </w:t>
      </w:r>
      <w:proofErr w:type="spellStart"/>
      <w:r>
        <w:t>one</w:t>
      </w:r>
      <w:proofErr w:type="spellEnd"/>
      <w:r>
        <w:t xml:space="preserve"> </w:t>
      </w:r>
      <w:r>
        <w:rPr>
          <w:color w:val="000000"/>
        </w:rPr>
        <w:t xml:space="preserve">and </w:t>
      </w:r>
      <w:proofErr w:type="spellStart"/>
      <w:r>
        <w:rPr>
          <w:color w:val="000000"/>
        </w:rPr>
        <w:t>phase</w:t>
      </w:r>
      <w:proofErr w:type="spellEnd"/>
      <w:r>
        <w:rPr>
          <w:color w:val="000000"/>
        </w:rPr>
        <w:t xml:space="preserve"> </w:t>
      </w:r>
      <w:proofErr w:type="spellStart"/>
      <w:r>
        <w:t>two</w:t>
      </w:r>
      <w:proofErr w:type="spellEnd"/>
      <w:r>
        <w:rPr>
          <w:color w:val="000000"/>
        </w:rPr>
        <w:t xml:space="preserve">) and </w:t>
      </w:r>
      <w:proofErr w:type="spellStart"/>
      <w:r>
        <w:rPr>
          <w:color w:val="000000"/>
        </w:rPr>
        <w:t>items</w:t>
      </w:r>
      <w:proofErr w:type="spellEnd"/>
      <w:r>
        <w:rPr>
          <w:color w:val="000000"/>
        </w:rPr>
        <w:t xml:space="preserve"> (training </w:t>
      </w:r>
      <w:proofErr w:type="spellStart"/>
      <w:r>
        <w:rPr>
          <w:color w:val="000000"/>
        </w:rPr>
        <w:t>phase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phase</w:t>
      </w:r>
      <w:proofErr w:type="spellEnd"/>
      <w:r>
        <w:rPr>
          <w:color w:val="000000"/>
        </w:rPr>
        <w:t xml:space="preserve"> </w:t>
      </w:r>
      <w:proofErr w:type="spellStart"/>
      <w:r>
        <w:t>one</w:t>
      </w:r>
      <w:proofErr w:type="spellEnd"/>
      <w:r>
        <w:t xml:space="preserve"> </w:t>
      </w:r>
      <w:r>
        <w:rPr>
          <w:color w:val="000000"/>
        </w:rPr>
        <w:t xml:space="preserve">and </w:t>
      </w:r>
      <w:proofErr w:type="spellStart"/>
      <w:r>
        <w:rPr>
          <w:color w:val="000000"/>
        </w:rPr>
        <w:t>phase</w:t>
      </w:r>
      <w:proofErr w:type="spellEnd"/>
      <w:r>
        <w:rPr>
          <w:color w:val="000000"/>
        </w:rPr>
        <w:t xml:space="preserve"> </w:t>
      </w:r>
      <w:proofErr w:type="spellStart"/>
      <w:r>
        <w:t>two</w:t>
      </w:r>
      <w:proofErr w:type="spellEnd"/>
      <w:r>
        <w:rPr>
          <w:color w:val="000000"/>
        </w:rPr>
        <w:t>). A Likert-</w:t>
      </w:r>
      <w:proofErr w:type="spellStart"/>
      <w:r>
        <w:rPr>
          <w:color w:val="000000"/>
        </w:rPr>
        <w:t>type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ranging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understanding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design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layout</w:t>
      </w:r>
      <w:proofErr w:type="spellEnd"/>
      <w:r>
        <w:rPr>
          <w:color w:val="000000"/>
        </w:rPr>
        <w:t xml:space="preserve">, and </w:t>
      </w:r>
      <w:proofErr w:type="spellStart"/>
      <w:r>
        <w:rPr>
          <w:color w:val="000000"/>
        </w:rPr>
        <w:t>ease</w:t>
      </w:r>
      <w:proofErr w:type="spellEnd"/>
      <w:r>
        <w:rPr>
          <w:color w:val="000000"/>
        </w:rPr>
        <w:t xml:space="preserve"> of the </w:t>
      </w:r>
      <w:proofErr w:type="spellStart"/>
      <w:r>
        <w:rPr>
          <w:color w:val="000000"/>
        </w:rPr>
        <w:t>items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task </w:t>
      </w:r>
      <w:proofErr w:type="spellStart"/>
      <w:r>
        <w:rPr>
          <w:color w:val="000000"/>
        </w:rPr>
        <w:t>stages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Space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free </w:t>
      </w:r>
      <w:proofErr w:type="spellStart"/>
      <w:r>
        <w:rPr>
          <w:color w:val="000000"/>
        </w:rPr>
        <w:t>comments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about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instruments</w:t>
      </w:r>
      <w:proofErr w:type="spellEnd"/>
      <w:r>
        <w:rPr>
          <w:color w:val="000000"/>
        </w:rPr>
        <w:t xml:space="preserve">. </w:t>
      </w:r>
      <w:r w:rsidR="00551FD2" w:rsidRPr="00551FD2">
        <w:t xml:space="preserve">The </w:t>
      </w:r>
      <w:proofErr w:type="spellStart"/>
      <w:r w:rsidR="00551FD2" w:rsidRPr="00551FD2">
        <w:t>instructions</w:t>
      </w:r>
      <w:proofErr w:type="spellEnd"/>
      <w:r w:rsidR="00551FD2" w:rsidRPr="00551FD2">
        <w:t xml:space="preserve"> </w:t>
      </w:r>
      <w:proofErr w:type="spellStart"/>
      <w:r w:rsidR="00551FD2" w:rsidRPr="00551FD2">
        <w:t>were</w:t>
      </w:r>
      <w:proofErr w:type="spellEnd"/>
      <w:r w:rsidR="00551FD2" w:rsidRPr="00551FD2">
        <w:t xml:space="preserve"> </w:t>
      </w:r>
      <w:proofErr w:type="spellStart"/>
      <w:r w:rsidR="00551FD2" w:rsidRPr="00551FD2">
        <w:t>read</w:t>
      </w:r>
      <w:proofErr w:type="spellEnd"/>
      <w:r w:rsidR="00551FD2" w:rsidRPr="00551FD2">
        <w:t xml:space="preserve"> </w:t>
      </w:r>
      <w:proofErr w:type="spellStart"/>
      <w:r w:rsidR="00551FD2" w:rsidRPr="00551FD2">
        <w:t>by</w:t>
      </w:r>
      <w:proofErr w:type="spellEnd"/>
      <w:r w:rsidR="00551FD2" w:rsidRPr="00551FD2">
        <w:t xml:space="preserve"> the </w:t>
      </w:r>
      <w:proofErr w:type="spellStart"/>
      <w:r w:rsidR="00551FD2" w:rsidRPr="00551FD2">
        <w:t>applicators</w:t>
      </w:r>
      <w:proofErr w:type="spellEnd"/>
      <w:r w:rsidR="00551FD2" w:rsidRPr="00551FD2">
        <w:t xml:space="preserve"> </w:t>
      </w:r>
      <w:proofErr w:type="spellStart"/>
      <w:r w:rsidR="00551FD2" w:rsidRPr="00551FD2">
        <w:t>to</w:t>
      </w:r>
      <w:proofErr w:type="spellEnd"/>
      <w:r w:rsidR="00551FD2" w:rsidRPr="00551FD2">
        <w:t xml:space="preserve"> </w:t>
      </w:r>
      <w:proofErr w:type="spellStart"/>
      <w:r w:rsidR="00551FD2" w:rsidRPr="00551FD2">
        <w:t>all</w:t>
      </w:r>
      <w:proofErr w:type="spellEnd"/>
      <w:r w:rsidR="00551FD2" w:rsidRPr="00551FD2">
        <w:t xml:space="preserve"> </w:t>
      </w:r>
      <w:proofErr w:type="spellStart"/>
      <w:r w:rsidR="00551FD2" w:rsidRPr="00551FD2">
        <w:t>participants</w:t>
      </w:r>
      <w:proofErr w:type="spellEnd"/>
      <w:r w:rsidR="00551FD2" w:rsidRPr="00551FD2">
        <w:t xml:space="preserve"> </w:t>
      </w:r>
      <w:proofErr w:type="spellStart"/>
      <w:r w:rsidR="00551FD2" w:rsidRPr="00551FD2">
        <w:t>to</w:t>
      </w:r>
      <w:proofErr w:type="spellEnd"/>
      <w:r w:rsidR="00551FD2" w:rsidRPr="00551FD2">
        <w:t xml:space="preserve"> </w:t>
      </w:r>
      <w:proofErr w:type="spellStart"/>
      <w:r w:rsidR="00551FD2" w:rsidRPr="00551FD2">
        <w:t>ensure</w:t>
      </w:r>
      <w:proofErr w:type="spellEnd"/>
      <w:r w:rsidR="00551FD2" w:rsidRPr="00551FD2">
        <w:t xml:space="preserve"> </w:t>
      </w:r>
      <w:proofErr w:type="spellStart"/>
      <w:r w:rsidR="00551FD2" w:rsidRPr="00551FD2">
        <w:t>standardization</w:t>
      </w:r>
      <w:proofErr w:type="spellEnd"/>
      <w:r w:rsidR="00551FD2" w:rsidRPr="00551FD2">
        <w:t xml:space="preserve"> in the </w:t>
      </w:r>
      <w:proofErr w:type="spellStart"/>
      <w:r w:rsidR="00551FD2" w:rsidRPr="00551FD2">
        <w:t>application</w:t>
      </w:r>
      <w:proofErr w:type="spellEnd"/>
      <w:r w:rsidR="00551FD2" w:rsidRPr="00551FD2">
        <w:t>.</w:t>
      </w:r>
    </w:p>
    <w:p w14:paraId="0000003B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>
        <w:rPr>
          <w:i/>
          <w:color w:val="000000"/>
        </w:rPr>
        <w:t>Questionnaire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for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Assessing</w:t>
      </w:r>
      <w:proofErr w:type="spellEnd"/>
      <w:r>
        <w:rPr>
          <w:i/>
          <w:color w:val="000000"/>
        </w:rPr>
        <w:t xml:space="preserve"> the EFEC </w:t>
      </w:r>
      <w:proofErr w:type="spellStart"/>
      <w:r>
        <w:rPr>
          <w:i/>
          <w:color w:val="000000"/>
        </w:rPr>
        <w:t>by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Parents</w:t>
      </w:r>
      <w:proofErr w:type="spellEnd"/>
      <w:r>
        <w:rPr>
          <w:i/>
          <w:color w:val="000000"/>
        </w:rPr>
        <w:t xml:space="preserve"> and </w:t>
      </w:r>
      <w:proofErr w:type="spellStart"/>
      <w:r>
        <w:rPr>
          <w:i/>
          <w:color w:val="000000"/>
        </w:rPr>
        <w:t>Experts</w:t>
      </w:r>
      <w:proofErr w:type="spellEnd"/>
      <w:r>
        <w:rPr>
          <w:i/>
          <w:color w:val="000000"/>
        </w:rPr>
        <w:t>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questionnaire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experts</w:t>
      </w:r>
      <w:proofErr w:type="spellEnd"/>
      <w:r>
        <w:rPr>
          <w:color w:val="000000"/>
        </w:rPr>
        <w:t xml:space="preserve"> and the </w:t>
      </w:r>
      <w:proofErr w:type="spellStart"/>
      <w:r>
        <w:rPr>
          <w:color w:val="000000"/>
        </w:rPr>
        <w:t>parents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guardians</w:t>
      </w:r>
      <w:proofErr w:type="spellEnd"/>
      <w:r>
        <w:rPr>
          <w:color w:val="000000"/>
        </w:rPr>
        <w:t xml:space="preserve"> of the </w:t>
      </w:r>
      <w:proofErr w:type="spellStart"/>
      <w:r>
        <w:rPr>
          <w:color w:val="000000"/>
        </w:rPr>
        <w:t>participating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>. A Likert-</w:t>
      </w:r>
      <w:proofErr w:type="spellStart"/>
      <w:r>
        <w:rPr>
          <w:color w:val="000000"/>
        </w:rPr>
        <w:t>type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evaluate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clarity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relevance</w:t>
      </w:r>
      <w:proofErr w:type="spellEnd"/>
      <w:r>
        <w:rPr>
          <w:color w:val="000000"/>
        </w:rPr>
        <w:t xml:space="preserve">, and </w:t>
      </w:r>
      <w:proofErr w:type="spellStart"/>
      <w:r>
        <w:rPr>
          <w:color w:val="000000"/>
        </w:rPr>
        <w:t>design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layout</w:t>
      </w:r>
      <w:proofErr w:type="spellEnd"/>
      <w:r>
        <w:rPr>
          <w:color w:val="000000"/>
        </w:rPr>
        <w:t xml:space="preserve"> of the general </w:t>
      </w:r>
      <w:proofErr w:type="spellStart"/>
      <w:r>
        <w:rPr>
          <w:color w:val="000000"/>
        </w:rPr>
        <w:t>instructions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instructions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</w:t>
      </w:r>
      <w:proofErr w:type="spellEnd"/>
      <w:r>
        <w:rPr>
          <w:color w:val="000000"/>
        </w:rPr>
        <w:t xml:space="preserve">, and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item</w:t>
      </w:r>
      <w:proofErr w:type="spellEnd"/>
      <w:r>
        <w:rPr>
          <w:color w:val="000000"/>
        </w:rPr>
        <w:t xml:space="preserve">. The </w:t>
      </w:r>
      <w:proofErr w:type="spellStart"/>
      <w:r>
        <w:rPr>
          <w:color w:val="000000"/>
        </w:rPr>
        <w:t>scale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ranged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t>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t>four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where</w:t>
      </w:r>
      <w:proofErr w:type="spellEnd"/>
      <w:r>
        <w:rPr>
          <w:color w:val="000000"/>
        </w:rPr>
        <w:t xml:space="preserve"> </w:t>
      </w:r>
      <w:proofErr w:type="spellStart"/>
      <w:r>
        <w:t>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indicated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unsatisfactory</w:t>
      </w:r>
      <w:proofErr w:type="spellEnd"/>
      <w:r>
        <w:rPr>
          <w:color w:val="000000"/>
        </w:rPr>
        <w:t xml:space="preserve"> and </w:t>
      </w:r>
      <w:proofErr w:type="spellStart"/>
      <w:r>
        <w:t>four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satisfactory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Space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below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observations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suggestions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free-</w:t>
      </w:r>
      <w:proofErr w:type="spellStart"/>
      <w:r>
        <w:rPr>
          <w:color w:val="000000"/>
        </w:rPr>
        <w:t>form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comments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parents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guardians</w:t>
      </w:r>
      <w:proofErr w:type="spellEnd"/>
      <w:r>
        <w:rPr>
          <w:color w:val="000000"/>
        </w:rPr>
        <w:t xml:space="preserve">. </w:t>
      </w:r>
    </w:p>
    <w:p w14:paraId="0000003C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Procedure</w:t>
      </w:r>
      <w:proofErr w:type="spellEnd"/>
      <w:r>
        <w:rPr>
          <w:b/>
          <w:i/>
          <w:color w:val="000000"/>
        </w:rPr>
        <w:t xml:space="preserve"> </w:t>
      </w:r>
    </w:p>
    <w:p w14:paraId="0000003D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Experts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selected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through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Lattes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platform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research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areas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neuropsychology</w:t>
      </w:r>
      <w:proofErr w:type="spellEnd"/>
      <w:r>
        <w:rPr>
          <w:color w:val="000000"/>
        </w:rPr>
        <w:t>, EF, and/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psychometrics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Invitations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via</w:t>
      </w:r>
      <w:proofErr w:type="spellEnd"/>
      <w:r>
        <w:rPr>
          <w:color w:val="000000"/>
        </w:rPr>
        <w:t xml:space="preserve"> email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20 </w:t>
      </w:r>
      <w:proofErr w:type="spellStart"/>
      <w:r>
        <w:rPr>
          <w:color w:val="000000"/>
        </w:rPr>
        <w:t>researchers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seven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accepted</w:t>
      </w:r>
      <w:proofErr w:type="spellEnd"/>
      <w:r>
        <w:rPr>
          <w:color w:val="000000"/>
        </w:rPr>
        <w:t xml:space="preserve">. The </w:t>
      </w:r>
      <w:proofErr w:type="spellStart"/>
      <w:r>
        <w:rPr>
          <w:color w:val="000000"/>
        </w:rPr>
        <w:t>collection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conducted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remotely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involving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sending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invitation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letter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support</w:t>
      </w:r>
      <w:proofErr w:type="spellEnd"/>
      <w:r>
        <w:rPr>
          <w:color w:val="000000"/>
        </w:rPr>
        <w:t xml:space="preserve"> material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understanding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instruments</w:t>
      </w:r>
      <w:proofErr w:type="spellEnd"/>
      <w:r>
        <w:rPr>
          <w:color w:val="000000"/>
        </w:rPr>
        <w:t xml:space="preserve">, ICF, and a </w:t>
      </w:r>
      <w:proofErr w:type="spellStart"/>
      <w:r>
        <w:rPr>
          <w:color w:val="000000"/>
        </w:rPr>
        <w:t>questionnaire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analysis</w:t>
      </w:r>
      <w:proofErr w:type="spellEnd"/>
      <w:r>
        <w:rPr>
          <w:color w:val="000000"/>
        </w:rPr>
        <w:t xml:space="preserve">. </w:t>
      </w:r>
    </w:p>
    <w:p w14:paraId="0000003E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Parents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guardians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invited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via</w:t>
      </w:r>
      <w:proofErr w:type="spellEnd"/>
      <w:r>
        <w:rPr>
          <w:color w:val="000000"/>
        </w:rPr>
        <w:t xml:space="preserve"> WhatsApp. Ten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contacted</w:t>
      </w:r>
      <w:proofErr w:type="spellEnd"/>
      <w:r>
        <w:rPr>
          <w:color w:val="000000"/>
        </w:rPr>
        <w:t xml:space="preserve">, and </w:t>
      </w:r>
      <w:proofErr w:type="spellStart"/>
      <w:r>
        <w:rPr>
          <w:color w:val="000000"/>
        </w:rPr>
        <w:t>seven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participate</w:t>
      </w:r>
      <w:proofErr w:type="spellEnd"/>
      <w:r>
        <w:rPr>
          <w:color w:val="000000"/>
        </w:rPr>
        <w:t xml:space="preserve">. The </w:t>
      </w:r>
      <w:proofErr w:type="spellStart"/>
      <w:r>
        <w:rPr>
          <w:color w:val="000000"/>
        </w:rPr>
        <w:t>collection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took</w:t>
      </w:r>
      <w:proofErr w:type="spellEnd"/>
      <w:r>
        <w:rPr>
          <w:color w:val="000000"/>
        </w:rPr>
        <w:t xml:space="preserve"> place in a </w:t>
      </w:r>
      <w:proofErr w:type="spellStart"/>
      <w:r>
        <w:rPr>
          <w:color w:val="000000"/>
        </w:rPr>
        <w:t>clinic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where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filled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out</w:t>
      </w:r>
      <w:proofErr w:type="spellEnd"/>
      <w:r>
        <w:rPr>
          <w:color w:val="000000"/>
        </w:rPr>
        <w:t xml:space="preserve"> the material in the </w:t>
      </w:r>
      <w:proofErr w:type="spellStart"/>
      <w:r>
        <w:rPr>
          <w:color w:val="000000"/>
        </w:rPr>
        <w:t>presence</w:t>
      </w:r>
      <w:proofErr w:type="spellEnd"/>
      <w:r>
        <w:rPr>
          <w:color w:val="000000"/>
        </w:rPr>
        <w:t xml:space="preserve"> of the </w:t>
      </w:r>
      <w:proofErr w:type="spellStart"/>
      <w:r>
        <w:rPr>
          <w:color w:val="000000"/>
        </w:rPr>
        <w:t>researcher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clarify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doubts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following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approval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Secretary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Education</w:t>
      </w:r>
      <w:proofErr w:type="spellEnd"/>
      <w:r>
        <w:rPr>
          <w:color w:val="000000"/>
        </w:rPr>
        <w:t xml:space="preserve"> and parental </w:t>
      </w:r>
      <w:proofErr w:type="spellStart"/>
      <w:r>
        <w:rPr>
          <w:color w:val="000000"/>
        </w:rPr>
        <w:t>authorization</w:t>
      </w:r>
      <w:proofErr w:type="spellEnd"/>
      <w:r>
        <w:rPr>
          <w:color w:val="000000"/>
        </w:rPr>
        <w:t xml:space="preserve">, the </w:t>
      </w:r>
      <w:proofErr w:type="spellStart"/>
      <w:r>
        <w:rPr>
          <w:color w:val="000000"/>
        </w:rPr>
        <w:t>collection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carried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out</w:t>
      </w:r>
      <w:proofErr w:type="spellEnd"/>
      <w:r>
        <w:rPr>
          <w:color w:val="000000"/>
        </w:rPr>
        <w:t xml:space="preserve"> at </w:t>
      </w:r>
      <w:proofErr w:type="spellStart"/>
      <w:r>
        <w:rPr>
          <w:color w:val="000000"/>
        </w:rPr>
        <w:t>two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schools</w:t>
      </w:r>
      <w:proofErr w:type="spellEnd"/>
      <w:r>
        <w:rPr>
          <w:color w:val="000000"/>
        </w:rPr>
        <w:t xml:space="preserve">. The </w:t>
      </w:r>
      <w:proofErr w:type="spellStart"/>
      <w:r>
        <w:rPr>
          <w:color w:val="000000"/>
        </w:rPr>
        <w:t>administration</w:t>
      </w:r>
      <w:proofErr w:type="spellEnd"/>
      <w:r>
        <w:rPr>
          <w:color w:val="000000"/>
        </w:rPr>
        <w:t xml:space="preserve"> of the </w:t>
      </w:r>
      <w:proofErr w:type="spellStart"/>
      <w:r>
        <w:rPr>
          <w:color w:val="000000"/>
        </w:rPr>
        <w:t>instruments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standardized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Even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could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already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read</w:t>
      </w:r>
      <w:proofErr w:type="spellEnd"/>
      <w:r>
        <w:rPr>
          <w:color w:val="000000"/>
        </w:rPr>
        <w:t xml:space="preserve">, the </w:t>
      </w:r>
      <w:proofErr w:type="spellStart"/>
      <w:r>
        <w:rPr>
          <w:color w:val="000000"/>
        </w:rPr>
        <w:t>administrator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read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instructions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filled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out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information</w:t>
      </w:r>
      <w:proofErr w:type="spellEnd"/>
      <w:r>
        <w:rPr>
          <w:color w:val="000000"/>
        </w:rPr>
        <w:t xml:space="preserve">. The </w:t>
      </w:r>
      <w:proofErr w:type="spellStart"/>
      <w:r>
        <w:rPr>
          <w:color w:val="000000"/>
        </w:rPr>
        <w:t>sessions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15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about</w:t>
      </w:r>
      <w:proofErr w:type="spellEnd"/>
      <w:r>
        <w:rPr>
          <w:color w:val="000000"/>
        </w:rPr>
        <w:t xml:space="preserve"> 45 minutes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. </w:t>
      </w:r>
    </w:p>
    <w:p w14:paraId="0000003F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Data </w:t>
      </w:r>
      <w:proofErr w:type="spellStart"/>
      <w:r>
        <w:rPr>
          <w:b/>
          <w:i/>
          <w:color w:val="000000"/>
        </w:rPr>
        <w:t>analysis</w:t>
      </w:r>
      <w:proofErr w:type="spellEnd"/>
    </w:p>
    <w:p w14:paraId="00000040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Descriptive </w:t>
      </w:r>
      <w:proofErr w:type="spellStart"/>
      <w:r>
        <w:rPr>
          <w:color w:val="000000"/>
        </w:rPr>
        <w:t>analyses</w:t>
      </w:r>
      <w:proofErr w:type="spellEnd"/>
      <w:r>
        <w:rPr>
          <w:color w:val="000000"/>
        </w:rPr>
        <w:t xml:space="preserve"> of the </w:t>
      </w:r>
      <w:proofErr w:type="spellStart"/>
      <w:r>
        <w:rPr>
          <w:color w:val="000000"/>
        </w:rPr>
        <w:t>sample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characteristics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conducted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using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Statistical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Package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the Social </w:t>
      </w:r>
      <w:proofErr w:type="spellStart"/>
      <w:r>
        <w:rPr>
          <w:color w:val="000000"/>
        </w:rPr>
        <w:t>Sciences</w:t>
      </w:r>
      <w:proofErr w:type="spellEnd"/>
      <w:r>
        <w:rPr>
          <w:color w:val="000000"/>
        </w:rPr>
        <w:t xml:space="preserve"> (IBM SPSS) </w:t>
      </w:r>
      <w:proofErr w:type="spellStart"/>
      <w:r>
        <w:rPr>
          <w:color w:val="000000"/>
        </w:rPr>
        <w:t>version</w:t>
      </w:r>
      <w:proofErr w:type="spellEnd"/>
      <w:r>
        <w:rPr>
          <w:color w:val="000000"/>
        </w:rPr>
        <w:t xml:space="preserve"> 29. Content </w:t>
      </w:r>
      <w:proofErr w:type="spellStart"/>
      <w:r>
        <w:rPr>
          <w:color w:val="000000"/>
        </w:rPr>
        <w:t>validity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analyzed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through</w:t>
      </w:r>
      <w:proofErr w:type="spellEnd"/>
      <w:r>
        <w:rPr>
          <w:color w:val="000000"/>
        </w:rPr>
        <w:t xml:space="preserve"> the Content </w:t>
      </w:r>
      <w:proofErr w:type="spellStart"/>
      <w:r>
        <w:rPr>
          <w:color w:val="000000"/>
        </w:rPr>
        <w:t>Validity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Coefficient</w:t>
      </w:r>
      <w:proofErr w:type="spellEnd"/>
      <w:r>
        <w:rPr>
          <w:color w:val="000000"/>
        </w:rPr>
        <w:t xml:space="preserve"> (CVC) in Excel (Microsoft Office Professional Plus 2019). The </w:t>
      </w:r>
      <w:r>
        <w:rPr>
          <w:color w:val="000000"/>
        </w:rPr>
        <w:lastRenderedPageBreak/>
        <w:t xml:space="preserve">CVC </w:t>
      </w:r>
      <w:proofErr w:type="spellStart"/>
      <w:r>
        <w:rPr>
          <w:color w:val="000000"/>
        </w:rPr>
        <w:t>assesses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criteria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clarity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practical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relevance</w:t>
      </w:r>
      <w:proofErr w:type="spellEnd"/>
      <w:r>
        <w:rPr>
          <w:color w:val="000000"/>
        </w:rPr>
        <w:t xml:space="preserve">, and </w:t>
      </w:r>
      <w:proofErr w:type="spellStart"/>
      <w:r>
        <w:rPr>
          <w:color w:val="000000"/>
        </w:rPr>
        <w:t>item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relevance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taking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account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expert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bias</w:t>
      </w:r>
      <w:proofErr w:type="spellEnd"/>
      <w:r>
        <w:rPr>
          <w:color w:val="000000"/>
        </w:rPr>
        <w:t xml:space="preserve"> (Damásio, 2023). </w:t>
      </w:r>
    </w:p>
    <w:p w14:paraId="00000041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bookmarkStart w:id="0" w:name="_heading=h.gjdgxs" w:colFirst="0" w:colLast="0"/>
      <w:bookmarkEnd w:id="0"/>
      <w:proofErr w:type="spellStart"/>
      <w:r>
        <w:rPr>
          <w:color w:val="000000"/>
        </w:rPr>
        <w:t>Proposed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Hernández-Nieto (2002), the CVC </w:t>
      </w:r>
      <w:proofErr w:type="spellStart"/>
      <w:r>
        <w:rPr>
          <w:color w:val="000000"/>
        </w:rPr>
        <w:t>quantitatively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analyzes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expert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judgments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adjusted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possible</w:t>
      </w:r>
      <w:proofErr w:type="spellEnd"/>
      <w:r>
        <w:rPr>
          <w:color w:val="000000"/>
        </w:rPr>
        <w:t xml:space="preserve"> standard error of </w:t>
      </w:r>
      <w:proofErr w:type="spellStart"/>
      <w:r>
        <w:rPr>
          <w:color w:val="000000"/>
        </w:rPr>
        <w:t>judge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bias</w:t>
      </w:r>
      <w:proofErr w:type="spellEnd"/>
      <w:r>
        <w:rPr>
          <w:color w:val="000000"/>
        </w:rPr>
        <w:t xml:space="preserve">. The CVC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item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CVCi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calculated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dividing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average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values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assigned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experts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maximum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the Likert-</w:t>
      </w:r>
      <w:proofErr w:type="spellStart"/>
      <w:r>
        <w:rPr>
          <w:color w:val="000000"/>
        </w:rPr>
        <w:t>type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scale</w:t>
      </w:r>
      <w:proofErr w:type="spellEnd"/>
      <w:r>
        <w:rPr>
          <w:color w:val="000000"/>
        </w:rPr>
        <w:t xml:space="preserve">. The </w:t>
      </w:r>
      <w:proofErr w:type="spellStart"/>
      <w:r>
        <w:rPr>
          <w:color w:val="000000"/>
        </w:rPr>
        <w:t>adjusted</w:t>
      </w:r>
      <w:proofErr w:type="spellEnd"/>
      <w:r>
        <w:rPr>
          <w:color w:val="000000"/>
        </w:rPr>
        <w:t xml:space="preserve"> CVC (</w:t>
      </w:r>
      <w:proofErr w:type="spellStart"/>
      <w:r>
        <w:rPr>
          <w:color w:val="000000"/>
        </w:rPr>
        <w:t>CVCa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considers</w:t>
      </w:r>
      <w:proofErr w:type="spellEnd"/>
      <w:r>
        <w:rPr>
          <w:color w:val="000000"/>
        </w:rPr>
        <w:t xml:space="preserve"> the standard error (SE),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calculated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subtracting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CVCi</w:t>
      </w:r>
      <w:proofErr w:type="spellEnd"/>
      <w:r>
        <w:rPr>
          <w:color w:val="000000"/>
        </w:rPr>
        <w:t xml:space="preserve">. A </w:t>
      </w:r>
      <w:proofErr w:type="spellStart"/>
      <w:r>
        <w:rPr>
          <w:color w:val="000000"/>
        </w:rPr>
        <w:t>CVCa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greater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</w:t>
      </w:r>
      <w:proofErr w:type="spellEnd"/>
      <w:r>
        <w:rPr>
          <w:color w:val="000000"/>
        </w:rPr>
        <w:t xml:space="preserve"> 0.80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considered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adequate</w:t>
      </w:r>
      <w:proofErr w:type="spellEnd"/>
      <w:r>
        <w:rPr>
          <w:color w:val="000000"/>
        </w:rPr>
        <w:t xml:space="preserve"> (Hernández-Nieto, 2002). The CVC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the complete </w:t>
      </w:r>
      <w:proofErr w:type="spellStart"/>
      <w:r>
        <w:rPr>
          <w:color w:val="000000"/>
        </w:rPr>
        <w:t>instrument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average</w:t>
      </w:r>
      <w:proofErr w:type="spellEnd"/>
      <w:r>
        <w:rPr>
          <w:color w:val="000000"/>
        </w:rPr>
        <w:t xml:space="preserve"> of the </w:t>
      </w:r>
      <w:proofErr w:type="spellStart"/>
      <w:r>
        <w:rPr>
          <w:color w:val="000000"/>
        </w:rPr>
        <w:t>adjusted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CVCs</w:t>
      </w:r>
      <w:proofErr w:type="spellEnd"/>
      <w:r>
        <w:rPr>
          <w:color w:val="000000"/>
        </w:rPr>
        <w:t xml:space="preserve">. </w:t>
      </w:r>
    </w:p>
    <w:p w14:paraId="00000042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understanding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design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understanding</w:t>
      </w:r>
      <w:proofErr w:type="spellEnd"/>
      <w:r>
        <w:rPr>
          <w:color w:val="000000"/>
        </w:rPr>
        <w:t xml:space="preserve">, and </w:t>
      </w:r>
      <w:proofErr w:type="spellStart"/>
      <w:r>
        <w:rPr>
          <w:color w:val="000000"/>
        </w:rPr>
        <w:t>item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analyzed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parents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guardians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participating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experts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clarity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relevance</w:t>
      </w:r>
      <w:proofErr w:type="spellEnd"/>
      <w:r>
        <w:rPr>
          <w:color w:val="000000"/>
        </w:rPr>
        <w:t xml:space="preserve">, and </w:t>
      </w:r>
      <w:proofErr w:type="spellStart"/>
      <w:r>
        <w:rPr>
          <w:color w:val="000000"/>
        </w:rPr>
        <w:t>design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layout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understanding</w:t>
      </w:r>
      <w:proofErr w:type="spellEnd"/>
      <w:r>
        <w:rPr>
          <w:color w:val="000000"/>
        </w:rPr>
        <w:t xml:space="preserve"> of the </w:t>
      </w:r>
      <w:proofErr w:type="spellStart"/>
      <w:r>
        <w:rPr>
          <w:color w:val="000000"/>
        </w:rPr>
        <w:t>items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analyzed</w:t>
      </w:r>
      <w:proofErr w:type="spellEnd"/>
      <w:r>
        <w:rPr>
          <w:color w:val="000000"/>
        </w:rPr>
        <w:t xml:space="preserve">. The </w:t>
      </w:r>
      <w:proofErr w:type="spellStart"/>
      <w:r>
        <w:rPr>
          <w:color w:val="000000"/>
        </w:rPr>
        <w:t>percentage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participant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group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calculated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considered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adequate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above</w:t>
      </w:r>
      <w:proofErr w:type="spellEnd"/>
      <w:r>
        <w:rPr>
          <w:color w:val="000000"/>
        </w:rPr>
        <w:t xml:space="preserve"> 90% (</w:t>
      </w:r>
      <w:proofErr w:type="spellStart"/>
      <w:r>
        <w:rPr>
          <w:color w:val="000000"/>
        </w:rPr>
        <w:t>Stemler</w:t>
      </w:r>
      <w:proofErr w:type="spellEnd"/>
      <w:r>
        <w:rPr>
          <w:color w:val="000000"/>
        </w:rPr>
        <w:t xml:space="preserve">, 2004). </w:t>
      </w:r>
      <w:proofErr w:type="spellStart"/>
      <w:r>
        <w:rPr>
          <w:color w:val="000000"/>
        </w:rPr>
        <w:t>Disagreement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defined</w:t>
      </w:r>
      <w:proofErr w:type="spellEnd"/>
      <w:r>
        <w:rPr>
          <w:color w:val="000000"/>
        </w:rPr>
        <w:t xml:space="preserve"> as a </w:t>
      </w:r>
      <w:proofErr w:type="spellStart"/>
      <w:r>
        <w:rPr>
          <w:color w:val="000000"/>
        </w:rPr>
        <w:t>difference</w:t>
      </w:r>
      <w:proofErr w:type="spellEnd"/>
      <w:r>
        <w:rPr>
          <w:color w:val="000000"/>
        </w:rPr>
        <w:t xml:space="preserve"> of more </w:t>
      </w:r>
      <w:proofErr w:type="spellStart"/>
      <w:r>
        <w:rPr>
          <w:color w:val="000000"/>
        </w:rPr>
        <w:t>than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between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judges</w:t>
      </w:r>
      <w:proofErr w:type="spellEnd"/>
      <w:r>
        <w:rPr>
          <w:color w:val="000000"/>
        </w:rPr>
        <w:t xml:space="preserve">' ratings. Scores of </w:t>
      </w:r>
      <w:proofErr w:type="spellStart"/>
      <w:r>
        <w:rPr>
          <w:color w:val="000000"/>
        </w:rPr>
        <w:t>three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considered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adequate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while</w:t>
      </w:r>
      <w:proofErr w:type="spellEnd"/>
      <w:r>
        <w:rPr>
          <w:color w:val="000000"/>
        </w:rPr>
        <w:t xml:space="preserve"> scores of </w:t>
      </w:r>
      <w:proofErr w:type="spellStart"/>
      <w:r>
        <w:rPr>
          <w:color w:val="000000"/>
        </w:rPr>
        <w:t>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two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considered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inadequate</w:t>
      </w:r>
      <w:proofErr w:type="spellEnd"/>
      <w:r>
        <w:rPr>
          <w:color w:val="000000"/>
        </w:rPr>
        <w:t xml:space="preserve">. </w:t>
      </w:r>
    </w:p>
    <w:p w14:paraId="00000043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Ethical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considerations</w:t>
      </w:r>
      <w:proofErr w:type="spellEnd"/>
    </w:p>
    <w:p w14:paraId="00000044" w14:textId="30AC6AE3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 xml:space="preserve">The </w:t>
      </w:r>
      <w:proofErr w:type="spellStart"/>
      <w:r>
        <w:rPr>
          <w:color w:val="000000"/>
        </w:rPr>
        <w:t>study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followed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guidelines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established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Resolutions</w:t>
      </w:r>
      <w:proofErr w:type="spellEnd"/>
      <w:r>
        <w:rPr>
          <w:color w:val="000000"/>
        </w:rPr>
        <w:t xml:space="preserve"> No. 466/2012 and No. 510/2016,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govern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research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involving</w:t>
      </w:r>
      <w:proofErr w:type="spellEnd"/>
      <w:r>
        <w:rPr>
          <w:color w:val="000000"/>
        </w:rPr>
        <w:t xml:space="preserve"> human </w:t>
      </w:r>
      <w:proofErr w:type="spellStart"/>
      <w:r>
        <w:rPr>
          <w:color w:val="000000"/>
        </w:rPr>
        <w:t>subjects</w:t>
      </w:r>
      <w:proofErr w:type="spellEnd"/>
      <w:r>
        <w:rPr>
          <w:color w:val="000000"/>
        </w:rPr>
        <w:t xml:space="preserve"> and the </w:t>
      </w:r>
      <w:proofErr w:type="spellStart"/>
      <w:r>
        <w:rPr>
          <w:color w:val="000000"/>
        </w:rPr>
        <w:t>humanities</w:t>
      </w:r>
      <w:proofErr w:type="spellEnd"/>
      <w:r>
        <w:rPr>
          <w:color w:val="000000"/>
        </w:rPr>
        <w:t xml:space="preserve"> and social </w:t>
      </w:r>
      <w:proofErr w:type="spellStart"/>
      <w:r>
        <w:rPr>
          <w:color w:val="000000"/>
        </w:rPr>
        <w:t>sciences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respectively</w:t>
      </w:r>
      <w:proofErr w:type="spellEnd"/>
      <w:r>
        <w:rPr>
          <w:color w:val="000000"/>
        </w:rPr>
        <w:t xml:space="preserve">. The Universal </w:t>
      </w:r>
      <w:proofErr w:type="spellStart"/>
      <w:r>
        <w:rPr>
          <w:color w:val="000000"/>
        </w:rPr>
        <w:t>Declaration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Ethical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Principles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Psychologists</w:t>
      </w:r>
      <w:proofErr w:type="spellEnd"/>
      <w:r>
        <w:rPr>
          <w:color w:val="000000"/>
        </w:rPr>
        <w:t xml:space="preserve">, the International </w:t>
      </w:r>
      <w:proofErr w:type="spellStart"/>
      <w:r>
        <w:rPr>
          <w:color w:val="000000"/>
        </w:rPr>
        <w:t>Ethical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Guidelines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Biomedical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Research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Involving</w:t>
      </w:r>
      <w:proofErr w:type="spellEnd"/>
      <w:r>
        <w:rPr>
          <w:color w:val="000000"/>
        </w:rPr>
        <w:t xml:space="preserve"> Human </w:t>
      </w:r>
      <w:proofErr w:type="spellStart"/>
      <w:r>
        <w:rPr>
          <w:color w:val="000000"/>
        </w:rPr>
        <w:t>Subjects</w:t>
      </w:r>
      <w:proofErr w:type="spellEnd"/>
      <w:r>
        <w:rPr>
          <w:color w:val="000000"/>
        </w:rPr>
        <w:t xml:space="preserve">, and the </w:t>
      </w:r>
      <w:proofErr w:type="spellStart"/>
      <w:r>
        <w:rPr>
          <w:color w:val="000000"/>
        </w:rPr>
        <w:t>current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statements</w:t>
      </w:r>
      <w:proofErr w:type="spellEnd"/>
      <w:r>
        <w:rPr>
          <w:color w:val="000000"/>
        </w:rPr>
        <w:t xml:space="preserve"> of the </w:t>
      </w:r>
      <w:proofErr w:type="spellStart"/>
      <w:r>
        <w:rPr>
          <w:color w:val="000000"/>
        </w:rPr>
        <w:t>Interamerican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Society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Psychology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ethical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followed</w:t>
      </w:r>
      <w:proofErr w:type="spellEnd"/>
      <w:r>
        <w:rPr>
          <w:color w:val="000000"/>
        </w:rPr>
        <w:t>.</w:t>
      </w:r>
      <w:r w:rsidR="002B606D">
        <w:rPr>
          <w:color w:val="000000"/>
        </w:rPr>
        <w:t xml:space="preserve"> </w:t>
      </w:r>
      <w:r w:rsidR="002B606D" w:rsidRPr="002B606D">
        <w:rPr>
          <w:color w:val="000000"/>
        </w:rPr>
        <w:t xml:space="preserve">The </w:t>
      </w:r>
      <w:proofErr w:type="spellStart"/>
      <w:r w:rsidR="002B606D" w:rsidRPr="002B606D">
        <w:rPr>
          <w:color w:val="000000"/>
        </w:rPr>
        <w:t>authors</w:t>
      </w:r>
      <w:proofErr w:type="spellEnd"/>
      <w:r w:rsidR="002B606D" w:rsidRPr="002B606D">
        <w:rPr>
          <w:color w:val="000000"/>
        </w:rPr>
        <w:t xml:space="preserve"> of </w:t>
      </w:r>
      <w:proofErr w:type="spellStart"/>
      <w:r w:rsidR="002B606D" w:rsidRPr="002B606D">
        <w:rPr>
          <w:color w:val="000000"/>
        </w:rPr>
        <w:t>this</w:t>
      </w:r>
      <w:proofErr w:type="spellEnd"/>
      <w:r w:rsidR="002B606D" w:rsidRPr="002B606D">
        <w:rPr>
          <w:color w:val="000000"/>
        </w:rPr>
        <w:t xml:space="preserve"> </w:t>
      </w:r>
      <w:proofErr w:type="spellStart"/>
      <w:r w:rsidR="002B606D" w:rsidRPr="002B606D">
        <w:rPr>
          <w:color w:val="000000"/>
        </w:rPr>
        <w:t>article</w:t>
      </w:r>
      <w:proofErr w:type="spellEnd"/>
      <w:r w:rsidR="002B606D" w:rsidRPr="002B606D">
        <w:rPr>
          <w:color w:val="000000"/>
        </w:rPr>
        <w:t xml:space="preserve"> declare </w:t>
      </w:r>
      <w:proofErr w:type="spellStart"/>
      <w:r w:rsidR="002B606D" w:rsidRPr="002B606D">
        <w:rPr>
          <w:color w:val="000000"/>
        </w:rPr>
        <w:t>that</w:t>
      </w:r>
      <w:proofErr w:type="spellEnd"/>
      <w:r w:rsidR="002B606D" w:rsidRPr="002B606D">
        <w:rPr>
          <w:color w:val="000000"/>
        </w:rPr>
        <w:t xml:space="preserve"> </w:t>
      </w:r>
      <w:proofErr w:type="spellStart"/>
      <w:r w:rsidR="002B606D" w:rsidRPr="002B606D">
        <w:rPr>
          <w:color w:val="000000"/>
        </w:rPr>
        <w:t>they</w:t>
      </w:r>
      <w:proofErr w:type="spellEnd"/>
      <w:r w:rsidR="002B606D" w:rsidRPr="002B606D">
        <w:rPr>
          <w:color w:val="000000"/>
        </w:rPr>
        <w:t xml:space="preserve"> </w:t>
      </w:r>
      <w:proofErr w:type="spellStart"/>
      <w:r w:rsidR="002B606D" w:rsidRPr="002B606D">
        <w:rPr>
          <w:color w:val="000000"/>
        </w:rPr>
        <w:t>have</w:t>
      </w:r>
      <w:proofErr w:type="spellEnd"/>
      <w:r w:rsidR="002B606D" w:rsidRPr="002B606D">
        <w:rPr>
          <w:color w:val="000000"/>
        </w:rPr>
        <w:t xml:space="preserve"> no </w:t>
      </w:r>
      <w:proofErr w:type="spellStart"/>
      <w:r w:rsidR="002B606D" w:rsidRPr="002B606D">
        <w:rPr>
          <w:color w:val="000000"/>
        </w:rPr>
        <w:t>conflicts</w:t>
      </w:r>
      <w:proofErr w:type="spellEnd"/>
      <w:r w:rsidR="002B606D" w:rsidRPr="002B606D">
        <w:rPr>
          <w:color w:val="000000"/>
        </w:rPr>
        <w:t xml:space="preserve"> of </w:t>
      </w:r>
      <w:proofErr w:type="spellStart"/>
      <w:r w:rsidR="002B606D" w:rsidRPr="002B606D">
        <w:rPr>
          <w:color w:val="000000"/>
        </w:rPr>
        <w:t>interest</w:t>
      </w:r>
      <w:proofErr w:type="spellEnd"/>
      <w:r w:rsidR="002B606D" w:rsidRPr="002B606D">
        <w:rPr>
          <w:color w:val="000000"/>
        </w:rPr>
        <w:t>.</w:t>
      </w:r>
    </w:p>
    <w:p w14:paraId="00000045" w14:textId="77777777" w:rsidR="00C57DD8" w:rsidRDefault="00C57DD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0000046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Results</w:t>
      </w:r>
      <w:proofErr w:type="spellEnd"/>
    </w:p>
    <w:p w14:paraId="00000047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The </w:t>
      </w:r>
      <w:proofErr w:type="spellStart"/>
      <w:r>
        <w:rPr>
          <w:color w:val="000000"/>
        </w:rPr>
        <w:t>instruments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analyzed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perceptions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experts</w:t>
      </w:r>
      <w:proofErr w:type="spellEnd"/>
      <w:r>
        <w:rPr>
          <w:color w:val="000000"/>
        </w:rPr>
        <w:t xml:space="preserve"> and the target </w:t>
      </w:r>
      <w:proofErr w:type="spellStart"/>
      <w:r>
        <w:rPr>
          <w:color w:val="000000"/>
        </w:rPr>
        <w:t>population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consisted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adults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who</w:t>
      </w:r>
      <w:proofErr w:type="spellEnd"/>
      <w:r>
        <w:rPr>
          <w:color w:val="000000"/>
        </w:rPr>
        <w:t xml:space="preserve"> are </w:t>
      </w:r>
      <w:proofErr w:type="spellStart"/>
      <w:r>
        <w:rPr>
          <w:color w:val="000000"/>
        </w:rPr>
        <w:t>parents</w:t>
      </w:r>
      <w:proofErr w:type="spellEnd"/>
      <w:r>
        <w:rPr>
          <w:color w:val="000000"/>
        </w:rPr>
        <w:t xml:space="preserve">. The </w:t>
      </w:r>
      <w:proofErr w:type="spellStart"/>
      <w:r>
        <w:rPr>
          <w:color w:val="000000"/>
        </w:rPr>
        <w:t>results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divided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sections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expert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analysis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child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analysis</w:t>
      </w:r>
      <w:proofErr w:type="spellEnd"/>
      <w:r>
        <w:rPr>
          <w:color w:val="000000"/>
        </w:rPr>
        <w:t xml:space="preserve">, and </w:t>
      </w:r>
      <w:proofErr w:type="spellStart"/>
      <w:r>
        <w:rPr>
          <w:color w:val="000000"/>
        </w:rPr>
        <w:t>parent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analysis</w:t>
      </w:r>
      <w:proofErr w:type="spellEnd"/>
      <w:r>
        <w:rPr>
          <w:color w:val="000000"/>
        </w:rPr>
        <w:t xml:space="preserve">. The </w:t>
      </w:r>
      <w:proofErr w:type="spellStart"/>
      <w:r>
        <w:rPr>
          <w:color w:val="000000"/>
        </w:rPr>
        <w:t>description</w:t>
      </w:r>
      <w:proofErr w:type="spellEnd"/>
      <w:r>
        <w:rPr>
          <w:color w:val="000000"/>
        </w:rPr>
        <w:t xml:space="preserve"> of the </w:t>
      </w:r>
      <w:proofErr w:type="spellStart"/>
      <w:r>
        <w:rPr>
          <w:color w:val="000000"/>
        </w:rPr>
        <w:t>sample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conducted</w:t>
      </w:r>
      <w:proofErr w:type="spellEnd"/>
      <w:r>
        <w:rPr>
          <w:color w:val="000000"/>
        </w:rPr>
        <w:t xml:space="preserve"> in the </w:t>
      </w:r>
      <w:proofErr w:type="spellStart"/>
      <w:r>
        <w:rPr>
          <w:color w:val="000000"/>
        </w:rPr>
        <w:t>topics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sample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group</w:t>
      </w:r>
      <w:proofErr w:type="spellEnd"/>
      <w:r>
        <w:rPr>
          <w:color w:val="000000"/>
        </w:rPr>
        <w:t>.</w:t>
      </w:r>
    </w:p>
    <w:p w14:paraId="00000048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Quantitative</w:t>
      </w:r>
      <w:proofErr w:type="spellEnd"/>
      <w:r>
        <w:rPr>
          <w:b/>
          <w:color w:val="000000"/>
        </w:rPr>
        <w:t xml:space="preserve"> and </w:t>
      </w:r>
      <w:proofErr w:type="spellStart"/>
      <w:r>
        <w:rPr>
          <w:b/>
          <w:color w:val="000000"/>
        </w:rPr>
        <w:t>Qualitative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Analysis</w:t>
      </w:r>
      <w:proofErr w:type="spellEnd"/>
      <w:r>
        <w:rPr>
          <w:b/>
          <w:color w:val="000000"/>
        </w:rPr>
        <w:t xml:space="preserve"> of </w:t>
      </w:r>
      <w:proofErr w:type="spellStart"/>
      <w:r>
        <w:rPr>
          <w:b/>
          <w:color w:val="000000"/>
        </w:rPr>
        <w:t>Experts</w:t>
      </w:r>
      <w:proofErr w:type="spellEnd"/>
    </w:p>
    <w:p w14:paraId="00000049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The </w:t>
      </w:r>
      <w:proofErr w:type="spellStart"/>
      <w:r>
        <w:rPr>
          <w:color w:val="000000"/>
        </w:rPr>
        <w:t>experts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participating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professionals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expertise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neuropsychology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psychometrics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technological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innovation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assessment</w:t>
      </w:r>
      <w:proofErr w:type="spellEnd"/>
      <w:r>
        <w:rPr>
          <w:color w:val="000000"/>
        </w:rPr>
        <w:t>, and/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executive </w:t>
      </w:r>
      <w:proofErr w:type="spellStart"/>
      <w:r>
        <w:rPr>
          <w:color w:val="000000"/>
        </w:rPr>
        <w:t>functions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participant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master's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level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clinical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psychologist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while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others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PhDs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professors</w:t>
      </w:r>
      <w:proofErr w:type="spellEnd"/>
      <w:r>
        <w:rPr>
          <w:color w:val="000000"/>
        </w:rPr>
        <w:t xml:space="preserve"> at federal </w:t>
      </w:r>
      <w:proofErr w:type="spellStart"/>
      <w:r>
        <w:rPr>
          <w:color w:val="000000"/>
        </w:rPr>
        <w:t>universities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experience </w:t>
      </w:r>
      <w:proofErr w:type="spellStart"/>
      <w:r>
        <w:rPr>
          <w:color w:val="000000"/>
        </w:rPr>
        <w:t>ranging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25 </w:t>
      </w:r>
      <w:proofErr w:type="spellStart"/>
      <w:r>
        <w:rPr>
          <w:color w:val="000000"/>
        </w:rPr>
        <w:t>years</w:t>
      </w:r>
      <w:proofErr w:type="spellEnd"/>
      <w:r>
        <w:rPr>
          <w:color w:val="000000"/>
        </w:rPr>
        <w:t xml:space="preserve"> in the </w:t>
      </w:r>
      <w:proofErr w:type="spellStart"/>
      <w:r>
        <w:rPr>
          <w:color w:val="000000"/>
        </w:rPr>
        <w:t>field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lastRenderedPageBreak/>
        <w:t>most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over</w:t>
      </w:r>
      <w:proofErr w:type="spellEnd"/>
      <w:r>
        <w:rPr>
          <w:color w:val="000000"/>
        </w:rPr>
        <w:t xml:space="preserve"> </w:t>
      </w:r>
      <w:r>
        <w:t xml:space="preserve">10 </w:t>
      </w:r>
      <w:proofErr w:type="spellStart"/>
      <w:r>
        <w:rPr>
          <w:color w:val="000000"/>
        </w:rPr>
        <w:t>years</w:t>
      </w:r>
      <w:proofErr w:type="spellEnd"/>
      <w:r>
        <w:rPr>
          <w:color w:val="000000"/>
        </w:rPr>
        <w:t xml:space="preserve"> of experience.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residential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work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locations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included</w:t>
      </w:r>
      <w:proofErr w:type="spellEnd"/>
      <w:r>
        <w:rPr>
          <w:color w:val="000000"/>
        </w:rPr>
        <w:t xml:space="preserve"> Paraíba (n=3 </w:t>
      </w:r>
      <w:proofErr w:type="spellStart"/>
      <w:r>
        <w:rPr>
          <w:color w:val="000000"/>
        </w:rPr>
        <w:t>participants</w:t>
      </w:r>
      <w:proofErr w:type="spellEnd"/>
      <w:r>
        <w:rPr>
          <w:color w:val="000000"/>
        </w:rPr>
        <w:t xml:space="preserve">), Pernambuco (n=1), Maranhão (n=1), São Paulo (n=1), and Epsom-Surrey in the </w:t>
      </w:r>
      <w:proofErr w:type="spellStart"/>
      <w:r>
        <w:rPr>
          <w:color w:val="000000"/>
        </w:rPr>
        <w:t>United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Kingdom</w:t>
      </w:r>
      <w:proofErr w:type="spellEnd"/>
      <w:r>
        <w:rPr>
          <w:color w:val="000000"/>
        </w:rPr>
        <w:t xml:space="preserve"> (n=1). </w:t>
      </w:r>
    </w:p>
    <w:p w14:paraId="0000004A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bookmarkStart w:id="2" w:name="_heading=h.1fob9te" w:colFirst="0" w:colLast="0"/>
      <w:bookmarkEnd w:id="2"/>
      <w:r>
        <w:rPr>
          <w:color w:val="000000"/>
        </w:rPr>
        <w:t xml:space="preserve">The </w:t>
      </w:r>
      <w:proofErr w:type="spellStart"/>
      <w:r>
        <w:rPr>
          <w:color w:val="000000"/>
        </w:rPr>
        <w:t>experts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evaluated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instruments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use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 and the </w:t>
      </w:r>
      <w:proofErr w:type="spellStart"/>
      <w:r>
        <w:rPr>
          <w:color w:val="000000"/>
        </w:rPr>
        <w:t>scale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application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parents</w:t>
      </w:r>
      <w:proofErr w:type="spellEnd"/>
      <w:r>
        <w:rPr>
          <w:color w:val="000000"/>
        </w:rPr>
        <w:t xml:space="preserve">. The </w:t>
      </w:r>
      <w:proofErr w:type="spellStart"/>
      <w:r>
        <w:rPr>
          <w:color w:val="000000"/>
        </w:rPr>
        <w:t>level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among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experts</w:t>
      </w:r>
      <w:proofErr w:type="spellEnd"/>
      <w:r>
        <w:rPr>
          <w:color w:val="000000"/>
        </w:rPr>
        <w:t xml:space="preserve"> and the </w:t>
      </w:r>
      <w:proofErr w:type="spellStart"/>
      <w:r>
        <w:rPr>
          <w:color w:val="000000"/>
        </w:rPr>
        <w:t>adjusted</w:t>
      </w:r>
      <w:proofErr w:type="spellEnd"/>
      <w:r>
        <w:rPr>
          <w:color w:val="000000"/>
        </w:rPr>
        <w:t xml:space="preserve"> Content </w:t>
      </w:r>
      <w:proofErr w:type="spellStart"/>
      <w:r>
        <w:rPr>
          <w:color w:val="000000"/>
        </w:rPr>
        <w:t>Validity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Coefficient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CVCa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instruments</w:t>
      </w:r>
      <w:proofErr w:type="spellEnd"/>
      <w:r>
        <w:rPr>
          <w:color w:val="000000"/>
        </w:rPr>
        <w:t xml:space="preserve"> as a </w:t>
      </w:r>
      <w:proofErr w:type="spellStart"/>
      <w:r>
        <w:rPr>
          <w:color w:val="000000"/>
        </w:rPr>
        <w:t>whole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considered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adequate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CVCa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values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ranging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0.85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0.96, and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levels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varying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95.3%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100%. </w:t>
      </w:r>
      <w:proofErr w:type="spellStart"/>
      <w:r>
        <w:rPr>
          <w:color w:val="000000"/>
        </w:rPr>
        <w:t>See</w:t>
      </w:r>
      <w:proofErr w:type="spellEnd"/>
      <w:r>
        <w:rPr>
          <w:color w:val="000000"/>
        </w:rPr>
        <w:t xml:space="preserve"> Table 1.</w:t>
      </w:r>
    </w:p>
    <w:tbl>
      <w:tblPr>
        <w:tblStyle w:val="a0"/>
        <w:tblW w:w="878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00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</w:tblGrid>
      <w:tr w:rsidR="00C57DD8" w14:paraId="127E6581" w14:textId="77777777">
        <w:trPr>
          <w:trHeight w:val="710"/>
        </w:trPr>
        <w:tc>
          <w:tcPr>
            <w:tcW w:w="8789" w:type="dxa"/>
            <w:gridSpan w:val="13"/>
            <w:tcBorders>
              <w:top w:val="single" w:sz="4" w:space="0" w:color="FFFFFF"/>
            </w:tcBorders>
          </w:tcPr>
          <w:p w14:paraId="0000004B" w14:textId="77777777" w:rsidR="00C57DD8" w:rsidRDefault="00EB3EF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Table 1</w:t>
            </w:r>
          </w:p>
          <w:p w14:paraId="0000004C" w14:textId="77777777" w:rsidR="00C57DD8" w:rsidRDefault="00EB3EF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Content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Validity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Coefficients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and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Percentage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Agreement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Among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Experts</w:t>
            </w:r>
            <w:proofErr w:type="spellEnd"/>
          </w:p>
        </w:tc>
      </w:tr>
      <w:tr w:rsidR="00C57DD8" w14:paraId="1608CBC6" w14:textId="77777777">
        <w:tc>
          <w:tcPr>
            <w:tcW w:w="701" w:type="dxa"/>
            <w:tcBorders>
              <w:top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00000059" w14:textId="77777777" w:rsidR="00C57DD8" w:rsidRDefault="00C57DD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</w:tcBorders>
          </w:tcPr>
          <w:p w14:paraId="0000005A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</w:t>
            </w:r>
          </w:p>
        </w:tc>
        <w:tc>
          <w:tcPr>
            <w:tcW w:w="2022" w:type="dxa"/>
            <w:gridSpan w:val="3"/>
            <w:tcBorders>
              <w:top w:val="single" w:sz="4" w:space="0" w:color="000000"/>
              <w:bottom w:val="single" w:sz="4" w:space="0" w:color="FFFFFF"/>
            </w:tcBorders>
          </w:tcPr>
          <w:p w14:paraId="0000005D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TIMTraC</w:t>
            </w:r>
            <w:proofErr w:type="spellEnd"/>
          </w:p>
        </w:tc>
        <w:tc>
          <w:tcPr>
            <w:tcW w:w="2022" w:type="dxa"/>
            <w:gridSpan w:val="3"/>
            <w:tcBorders>
              <w:top w:val="single" w:sz="4" w:space="0" w:color="000000"/>
              <w:bottom w:val="single" w:sz="4" w:space="0" w:color="FFFFFF"/>
            </w:tcBorders>
          </w:tcPr>
          <w:p w14:paraId="00000060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VPC</w:t>
            </w:r>
          </w:p>
        </w:tc>
        <w:tc>
          <w:tcPr>
            <w:tcW w:w="2022" w:type="dxa"/>
            <w:gridSpan w:val="3"/>
            <w:tcBorders>
              <w:top w:val="single" w:sz="4" w:space="0" w:color="000000"/>
              <w:bottom w:val="single" w:sz="4" w:space="0" w:color="FFFFFF"/>
            </w:tcBorders>
          </w:tcPr>
          <w:p w14:paraId="00000063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EFEC-</w:t>
            </w:r>
            <w:proofErr w:type="spellStart"/>
            <w:r>
              <w:rPr>
                <w:sz w:val="20"/>
                <w:szCs w:val="20"/>
              </w:rPr>
              <w:t>parents</w:t>
            </w:r>
            <w:proofErr w:type="spellEnd"/>
          </w:p>
        </w:tc>
      </w:tr>
      <w:tr w:rsidR="00C57DD8" w14:paraId="6A7E3076" w14:textId="77777777">
        <w:tc>
          <w:tcPr>
            <w:tcW w:w="701" w:type="dxa"/>
            <w:tcBorders>
              <w:bottom w:val="single" w:sz="4" w:space="0" w:color="000000"/>
            </w:tcBorders>
          </w:tcPr>
          <w:p w14:paraId="00000066" w14:textId="77777777" w:rsidR="00C57DD8" w:rsidRDefault="00C57DD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FFFFFF"/>
              <w:bottom w:val="single" w:sz="4" w:space="0" w:color="000000"/>
            </w:tcBorders>
          </w:tcPr>
          <w:p w14:paraId="00000067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Cla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74" w:type="dxa"/>
            <w:tcBorders>
              <w:top w:val="single" w:sz="4" w:space="0" w:color="FFFFFF"/>
              <w:bottom w:val="single" w:sz="4" w:space="0" w:color="000000"/>
            </w:tcBorders>
          </w:tcPr>
          <w:p w14:paraId="00000068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Rel.</w:t>
            </w:r>
          </w:p>
        </w:tc>
        <w:tc>
          <w:tcPr>
            <w:tcW w:w="674" w:type="dxa"/>
            <w:tcBorders>
              <w:top w:val="single" w:sz="4" w:space="0" w:color="FFFFFF"/>
              <w:bottom w:val="single" w:sz="4" w:space="0" w:color="000000"/>
            </w:tcBorders>
          </w:tcPr>
          <w:p w14:paraId="00000069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Des.</w:t>
            </w:r>
          </w:p>
        </w:tc>
        <w:tc>
          <w:tcPr>
            <w:tcW w:w="674" w:type="dxa"/>
            <w:tcBorders>
              <w:top w:val="single" w:sz="4" w:space="0" w:color="FFFFFF"/>
              <w:bottom w:val="single" w:sz="4" w:space="0" w:color="000000"/>
            </w:tcBorders>
          </w:tcPr>
          <w:p w14:paraId="0000006A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Cla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74" w:type="dxa"/>
            <w:tcBorders>
              <w:top w:val="single" w:sz="4" w:space="0" w:color="FFFFFF"/>
              <w:bottom w:val="single" w:sz="4" w:space="0" w:color="000000"/>
            </w:tcBorders>
          </w:tcPr>
          <w:p w14:paraId="0000006B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Rel.</w:t>
            </w:r>
          </w:p>
        </w:tc>
        <w:tc>
          <w:tcPr>
            <w:tcW w:w="674" w:type="dxa"/>
            <w:tcBorders>
              <w:top w:val="single" w:sz="4" w:space="0" w:color="FFFFFF"/>
              <w:bottom w:val="single" w:sz="4" w:space="0" w:color="000000"/>
            </w:tcBorders>
          </w:tcPr>
          <w:p w14:paraId="0000006C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Des.</w:t>
            </w:r>
          </w:p>
        </w:tc>
        <w:tc>
          <w:tcPr>
            <w:tcW w:w="674" w:type="dxa"/>
            <w:tcBorders>
              <w:top w:val="single" w:sz="4" w:space="0" w:color="FFFFFF"/>
              <w:bottom w:val="single" w:sz="4" w:space="0" w:color="000000"/>
            </w:tcBorders>
          </w:tcPr>
          <w:p w14:paraId="0000006D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Cla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74" w:type="dxa"/>
            <w:tcBorders>
              <w:top w:val="single" w:sz="4" w:space="0" w:color="FFFFFF"/>
              <w:bottom w:val="single" w:sz="4" w:space="0" w:color="000000"/>
            </w:tcBorders>
          </w:tcPr>
          <w:p w14:paraId="0000006E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Rel.</w:t>
            </w:r>
          </w:p>
        </w:tc>
        <w:tc>
          <w:tcPr>
            <w:tcW w:w="674" w:type="dxa"/>
            <w:tcBorders>
              <w:top w:val="single" w:sz="4" w:space="0" w:color="FFFFFF"/>
              <w:bottom w:val="single" w:sz="4" w:space="0" w:color="000000"/>
            </w:tcBorders>
          </w:tcPr>
          <w:p w14:paraId="0000006F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Des.</w:t>
            </w:r>
          </w:p>
        </w:tc>
        <w:tc>
          <w:tcPr>
            <w:tcW w:w="674" w:type="dxa"/>
            <w:tcBorders>
              <w:top w:val="single" w:sz="4" w:space="0" w:color="FFFFFF"/>
              <w:bottom w:val="single" w:sz="4" w:space="0" w:color="000000"/>
            </w:tcBorders>
          </w:tcPr>
          <w:p w14:paraId="00000070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Cla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74" w:type="dxa"/>
            <w:tcBorders>
              <w:top w:val="single" w:sz="4" w:space="0" w:color="FFFFFF"/>
              <w:bottom w:val="single" w:sz="4" w:space="0" w:color="000000"/>
            </w:tcBorders>
          </w:tcPr>
          <w:p w14:paraId="00000071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Rel.</w:t>
            </w:r>
          </w:p>
        </w:tc>
        <w:tc>
          <w:tcPr>
            <w:tcW w:w="674" w:type="dxa"/>
            <w:tcBorders>
              <w:top w:val="single" w:sz="4" w:space="0" w:color="FFFFFF"/>
              <w:bottom w:val="single" w:sz="4" w:space="0" w:color="000000"/>
            </w:tcBorders>
          </w:tcPr>
          <w:p w14:paraId="00000072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Des.</w:t>
            </w:r>
          </w:p>
        </w:tc>
      </w:tr>
      <w:tr w:rsidR="00C57DD8" w14:paraId="06160E4A" w14:textId="77777777">
        <w:tc>
          <w:tcPr>
            <w:tcW w:w="701" w:type="dxa"/>
            <w:tcBorders>
              <w:top w:val="single" w:sz="4" w:space="0" w:color="000000"/>
            </w:tcBorders>
          </w:tcPr>
          <w:p w14:paraId="00000073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CVC</w:t>
            </w:r>
            <w:r>
              <w:rPr>
                <w:sz w:val="20"/>
                <w:szCs w:val="20"/>
                <w:vertAlign w:val="subscript"/>
              </w:rPr>
              <w:t>a</w:t>
            </w:r>
            <w:proofErr w:type="spellEnd"/>
          </w:p>
        </w:tc>
        <w:tc>
          <w:tcPr>
            <w:tcW w:w="674" w:type="dxa"/>
            <w:tcBorders>
              <w:top w:val="single" w:sz="4" w:space="0" w:color="000000"/>
            </w:tcBorders>
          </w:tcPr>
          <w:p w14:paraId="00000074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674" w:type="dxa"/>
            <w:tcBorders>
              <w:top w:val="single" w:sz="4" w:space="0" w:color="000000"/>
            </w:tcBorders>
          </w:tcPr>
          <w:p w14:paraId="00000075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674" w:type="dxa"/>
            <w:tcBorders>
              <w:top w:val="single" w:sz="4" w:space="0" w:color="000000"/>
            </w:tcBorders>
          </w:tcPr>
          <w:p w14:paraId="00000076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0.95</w:t>
            </w:r>
          </w:p>
        </w:tc>
        <w:tc>
          <w:tcPr>
            <w:tcW w:w="674" w:type="dxa"/>
            <w:tcBorders>
              <w:top w:val="single" w:sz="4" w:space="0" w:color="000000"/>
            </w:tcBorders>
          </w:tcPr>
          <w:p w14:paraId="00000077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0.93</w:t>
            </w:r>
          </w:p>
        </w:tc>
        <w:tc>
          <w:tcPr>
            <w:tcW w:w="674" w:type="dxa"/>
            <w:tcBorders>
              <w:top w:val="single" w:sz="4" w:space="0" w:color="000000"/>
            </w:tcBorders>
          </w:tcPr>
          <w:p w14:paraId="00000078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674" w:type="dxa"/>
            <w:tcBorders>
              <w:top w:val="single" w:sz="4" w:space="0" w:color="000000"/>
            </w:tcBorders>
          </w:tcPr>
          <w:p w14:paraId="00000079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0.94</w:t>
            </w:r>
          </w:p>
        </w:tc>
        <w:tc>
          <w:tcPr>
            <w:tcW w:w="674" w:type="dxa"/>
            <w:tcBorders>
              <w:top w:val="single" w:sz="4" w:space="0" w:color="000000"/>
            </w:tcBorders>
          </w:tcPr>
          <w:p w14:paraId="0000007A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0.85</w:t>
            </w:r>
          </w:p>
        </w:tc>
        <w:tc>
          <w:tcPr>
            <w:tcW w:w="674" w:type="dxa"/>
            <w:tcBorders>
              <w:top w:val="single" w:sz="4" w:space="0" w:color="000000"/>
            </w:tcBorders>
          </w:tcPr>
          <w:p w14:paraId="0000007B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674" w:type="dxa"/>
            <w:tcBorders>
              <w:top w:val="single" w:sz="4" w:space="0" w:color="000000"/>
            </w:tcBorders>
          </w:tcPr>
          <w:p w14:paraId="0000007C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0.85</w:t>
            </w:r>
          </w:p>
        </w:tc>
        <w:tc>
          <w:tcPr>
            <w:tcW w:w="674" w:type="dxa"/>
            <w:tcBorders>
              <w:top w:val="single" w:sz="4" w:space="0" w:color="000000"/>
            </w:tcBorders>
          </w:tcPr>
          <w:p w14:paraId="0000007D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0.88</w:t>
            </w:r>
          </w:p>
        </w:tc>
        <w:tc>
          <w:tcPr>
            <w:tcW w:w="674" w:type="dxa"/>
            <w:tcBorders>
              <w:top w:val="single" w:sz="4" w:space="0" w:color="000000"/>
            </w:tcBorders>
          </w:tcPr>
          <w:p w14:paraId="0000007E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0.91</w:t>
            </w:r>
          </w:p>
        </w:tc>
        <w:tc>
          <w:tcPr>
            <w:tcW w:w="674" w:type="dxa"/>
            <w:tcBorders>
              <w:top w:val="single" w:sz="4" w:space="0" w:color="000000"/>
            </w:tcBorders>
          </w:tcPr>
          <w:p w14:paraId="0000007F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0.92</w:t>
            </w:r>
          </w:p>
        </w:tc>
      </w:tr>
      <w:tr w:rsidR="00C57DD8" w14:paraId="172EE42F" w14:textId="77777777">
        <w:tc>
          <w:tcPr>
            <w:tcW w:w="701" w:type="dxa"/>
            <w:tcBorders>
              <w:bottom w:val="single" w:sz="4" w:space="0" w:color="000000"/>
            </w:tcBorders>
          </w:tcPr>
          <w:p w14:paraId="00000080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74" w:type="dxa"/>
            <w:tcBorders>
              <w:bottom w:val="single" w:sz="4" w:space="0" w:color="000000"/>
            </w:tcBorders>
          </w:tcPr>
          <w:p w14:paraId="00000081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74" w:type="dxa"/>
            <w:tcBorders>
              <w:bottom w:val="single" w:sz="4" w:space="0" w:color="000000"/>
            </w:tcBorders>
          </w:tcPr>
          <w:p w14:paraId="00000082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74" w:type="dxa"/>
            <w:tcBorders>
              <w:bottom w:val="single" w:sz="4" w:space="0" w:color="000000"/>
            </w:tcBorders>
          </w:tcPr>
          <w:p w14:paraId="00000083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74" w:type="dxa"/>
            <w:tcBorders>
              <w:bottom w:val="single" w:sz="4" w:space="0" w:color="000000"/>
            </w:tcBorders>
          </w:tcPr>
          <w:p w14:paraId="00000084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74" w:type="dxa"/>
            <w:tcBorders>
              <w:bottom w:val="single" w:sz="4" w:space="0" w:color="000000"/>
            </w:tcBorders>
          </w:tcPr>
          <w:p w14:paraId="00000085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74" w:type="dxa"/>
            <w:tcBorders>
              <w:bottom w:val="single" w:sz="4" w:space="0" w:color="000000"/>
            </w:tcBorders>
          </w:tcPr>
          <w:p w14:paraId="00000086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74" w:type="dxa"/>
            <w:tcBorders>
              <w:bottom w:val="single" w:sz="4" w:space="0" w:color="000000"/>
            </w:tcBorders>
          </w:tcPr>
          <w:p w14:paraId="00000087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95.24</w:t>
            </w:r>
          </w:p>
        </w:tc>
        <w:tc>
          <w:tcPr>
            <w:tcW w:w="674" w:type="dxa"/>
            <w:tcBorders>
              <w:bottom w:val="single" w:sz="4" w:space="0" w:color="000000"/>
            </w:tcBorders>
          </w:tcPr>
          <w:p w14:paraId="00000088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74" w:type="dxa"/>
            <w:tcBorders>
              <w:bottom w:val="single" w:sz="4" w:space="0" w:color="000000"/>
            </w:tcBorders>
          </w:tcPr>
          <w:p w14:paraId="00000089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74" w:type="dxa"/>
            <w:tcBorders>
              <w:bottom w:val="single" w:sz="4" w:space="0" w:color="000000"/>
            </w:tcBorders>
          </w:tcPr>
          <w:p w14:paraId="0000008A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99.74</w:t>
            </w:r>
          </w:p>
        </w:tc>
        <w:tc>
          <w:tcPr>
            <w:tcW w:w="674" w:type="dxa"/>
            <w:tcBorders>
              <w:bottom w:val="single" w:sz="4" w:space="0" w:color="000000"/>
            </w:tcBorders>
          </w:tcPr>
          <w:p w14:paraId="0000008B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96.49</w:t>
            </w:r>
          </w:p>
        </w:tc>
        <w:tc>
          <w:tcPr>
            <w:tcW w:w="674" w:type="dxa"/>
            <w:tcBorders>
              <w:bottom w:val="single" w:sz="4" w:space="0" w:color="000000"/>
            </w:tcBorders>
          </w:tcPr>
          <w:p w14:paraId="0000008C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96.49</w:t>
            </w:r>
          </w:p>
        </w:tc>
      </w:tr>
    </w:tbl>
    <w:p w14:paraId="0000008D" w14:textId="77777777" w:rsidR="00C57DD8" w:rsidRDefault="00EB3EFF">
      <w:pPr>
        <w:spacing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Note. </w:t>
      </w:r>
      <w:r>
        <w:rPr>
          <w:sz w:val="20"/>
          <w:szCs w:val="20"/>
        </w:rPr>
        <w:t xml:space="preserve">MO: </w:t>
      </w:r>
      <w:proofErr w:type="spellStart"/>
      <w:r>
        <w:rPr>
          <w:sz w:val="20"/>
          <w:szCs w:val="20"/>
        </w:rPr>
        <w:t>Organized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Backpacks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TIMTraC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Computerized</w:t>
      </w:r>
      <w:proofErr w:type="spellEnd"/>
      <w:r>
        <w:rPr>
          <w:sz w:val="20"/>
          <w:szCs w:val="20"/>
        </w:rPr>
        <w:t xml:space="preserve"> Task of Working Memory in </w:t>
      </w:r>
      <w:proofErr w:type="spellStart"/>
      <w:r>
        <w:rPr>
          <w:sz w:val="20"/>
          <w:szCs w:val="20"/>
        </w:rPr>
        <w:t>Children</w:t>
      </w:r>
      <w:proofErr w:type="spellEnd"/>
      <w:r>
        <w:rPr>
          <w:sz w:val="20"/>
          <w:szCs w:val="20"/>
        </w:rPr>
        <w:t xml:space="preserve">; VPC: </w:t>
      </w:r>
      <w:proofErr w:type="spellStart"/>
      <w:r>
        <w:rPr>
          <w:sz w:val="20"/>
          <w:szCs w:val="20"/>
        </w:rPr>
        <w:t>Going</w:t>
      </w:r>
      <w:proofErr w:type="spellEnd"/>
      <w:r>
        <w:rPr>
          <w:sz w:val="20"/>
          <w:szCs w:val="20"/>
        </w:rPr>
        <w:t xml:space="preserve"> Home; EFEC-</w:t>
      </w:r>
      <w:proofErr w:type="spellStart"/>
      <w:r>
        <w:rPr>
          <w:sz w:val="20"/>
          <w:szCs w:val="20"/>
        </w:rPr>
        <w:t>Parents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Everyday</w:t>
      </w:r>
      <w:proofErr w:type="spellEnd"/>
      <w:r>
        <w:rPr>
          <w:sz w:val="20"/>
          <w:szCs w:val="20"/>
        </w:rPr>
        <w:t xml:space="preserve"> Executive </w:t>
      </w:r>
      <w:proofErr w:type="spellStart"/>
      <w:r>
        <w:rPr>
          <w:sz w:val="20"/>
          <w:szCs w:val="20"/>
        </w:rPr>
        <w:t>Function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Scale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Cla</w:t>
      </w:r>
      <w:proofErr w:type="spellEnd"/>
      <w:r>
        <w:rPr>
          <w:sz w:val="20"/>
          <w:szCs w:val="20"/>
        </w:rPr>
        <w:t xml:space="preserve">.: </w:t>
      </w:r>
      <w:proofErr w:type="spellStart"/>
      <w:r>
        <w:rPr>
          <w:sz w:val="20"/>
          <w:szCs w:val="20"/>
        </w:rPr>
        <w:t>Clarity</w:t>
      </w:r>
      <w:proofErr w:type="spellEnd"/>
      <w:r>
        <w:rPr>
          <w:sz w:val="20"/>
          <w:szCs w:val="20"/>
        </w:rPr>
        <w:t xml:space="preserve">; Rel.: </w:t>
      </w:r>
      <w:proofErr w:type="spellStart"/>
      <w:r>
        <w:rPr>
          <w:sz w:val="20"/>
          <w:szCs w:val="20"/>
        </w:rPr>
        <w:t>Relevance</w:t>
      </w:r>
      <w:proofErr w:type="spellEnd"/>
      <w:r>
        <w:rPr>
          <w:sz w:val="20"/>
          <w:szCs w:val="20"/>
        </w:rPr>
        <w:t xml:space="preserve">; Des.: </w:t>
      </w:r>
      <w:proofErr w:type="spellStart"/>
      <w:r>
        <w:rPr>
          <w:sz w:val="20"/>
          <w:szCs w:val="20"/>
        </w:rPr>
        <w:t>Understanding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design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layout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elements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CVC</w:t>
      </w:r>
      <w:r>
        <w:rPr>
          <w:sz w:val="20"/>
          <w:szCs w:val="20"/>
          <w:vertAlign w:val="subscript"/>
        </w:rPr>
        <w:t>a</w:t>
      </w:r>
      <w:proofErr w:type="spellEnd"/>
      <w:r>
        <w:rPr>
          <w:sz w:val="20"/>
          <w:szCs w:val="20"/>
          <w:vertAlign w:val="subscript"/>
        </w:rPr>
        <w:t xml:space="preserve">: </w:t>
      </w:r>
      <w:proofErr w:type="spellStart"/>
      <w:r>
        <w:rPr>
          <w:sz w:val="20"/>
          <w:szCs w:val="20"/>
        </w:rPr>
        <w:t>Adjusted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validity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coefficient</w:t>
      </w:r>
      <w:proofErr w:type="spellEnd"/>
      <w:r>
        <w:rPr>
          <w:sz w:val="20"/>
          <w:szCs w:val="20"/>
        </w:rPr>
        <w:t xml:space="preserve">; %. </w:t>
      </w:r>
      <w:proofErr w:type="spellStart"/>
      <w:r>
        <w:rPr>
          <w:sz w:val="20"/>
          <w:szCs w:val="20"/>
        </w:rPr>
        <w:t>Percent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agreement</w:t>
      </w:r>
      <w:proofErr w:type="spellEnd"/>
      <w:r>
        <w:rPr>
          <w:sz w:val="20"/>
          <w:szCs w:val="20"/>
        </w:rPr>
        <w:t>.</w:t>
      </w:r>
    </w:p>
    <w:p w14:paraId="0000008E" w14:textId="57FB9D86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The </w:t>
      </w:r>
      <w:proofErr w:type="spellStart"/>
      <w:r>
        <w:rPr>
          <w:color w:val="000000"/>
        </w:rPr>
        <w:t>analysis</w:t>
      </w:r>
      <w:proofErr w:type="spellEnd"/>
      <w:r>
        <w:rPr>
          <w:color w:val="000000"/>
        </w:rPr>
        <w:t xml:space="preserve"> of the </w:t>
      </w:r>
      <w:proofErr w:type="spellStart"/>
      <w:r>
        <w:rPr>
          <w:color w:val="000000"/>
        </w:rPr>
        <w:t>indicators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content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validity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showed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instructions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items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CVCa</w:t>
      </w:r>
      <w:proofErr w:type="spellEnd"/>
      <w:r>
        <w:rPr>
          <w:color w:val="000000"/>
        </w:rPr>
        <w:t xml:space="preserve"> of 0.80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above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percentage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above</w:t>
      </w:r>
      <w:proofErr w:type="spellEnd"/>
      <w:r>
        <w:rPr>
          <w:color w:val="000000"/>
        </w:rPr>
        <w:t xml:space="preserve"> 90%. </w:t>
      </w:r>
      <w:proofErr w:type="spellStart"/>
      <w:r>
        <w:rPr>
          <w:color w:val="000000"/>
        </w:rPr>
        <w:t>Exceptions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occurred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clarity</w:t>
      </w:r>
      <w:proofErr w:type="spellEnd"/>
      <w:sdt>
        <w:sdtPr>
          <w:tag w:val="goog_rdk_8"/>
          <w:id w:val="-102196254"/>
        </w:sdtPr>
        <w:sdtEndPr/>
        <w:sdtContent/>
      </w:sdt>
      <w:sdt>
        <w:sdtPr>
          <w:tag w:val="goog_rdk_9"/>
          <w:id w:val="-1697764654"/>
        </w:sdtPr>
        <w:sdtEndPr/>
        <w:sdtContent/>
      </w:sdt>
      <w:r>
        <w:rPr>
          <w:color w:val="000000"/>
        </w:rPr>
        <w:t xml:space="preserve">: </w:t>
      </w:r>
      <w:proofErr w:type="spellStart"/>
      <w:r>
        <w:rPr>
          <w:color w:val="000000"/>
        </w:rPr>
        <w:t>Part</w:t>
      </w:r>
      <w:proofErr w:type="spellEnd"/>
      <w:r>
        <w:rPr>
          <w:color w:val="000000"/>
        </w:rPr>
        <w:t xml:space="preserve"> B of VPC, and </w:t>
      </w:r>
      <w:proofErr w:type="spellStart"/>
      <w:r>
        <w:rPr>
          <w:color w:val="000000"/>
        </w:rPr>
        <w:t>items</w:t>
      </w:r>
      <w:proofErr w:type="spellEnd"/>
      <w:r>
        <w:rPr>
          <w:color w:val="000000"/>
        </w:rPr>
        <w:t xml:space="preserve"> 8, 11, and 16 of EFEC-</w:t>
      </w:r>
      <w:proofErr w:type="spellStart"/>
      <w:r>
        <w:rPr>
          <w:color w:val="000000"/>
        </w:rPr>
        <w:t>parents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relevance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items</w:t>
      </w:r>
      <w:proofErr w:type="spellEnd"/>
      <w:r>
        <w:rPr>
          <w:color w:val="000000"/>
        </w:rPr>
        <w:t xml:space="preserve"> 8 and 16 of EFEC-</w:t>
      </w:r>
      <w:proofErr w:type="spellStart"/>
      <w:r>
        <w:rPr>
          <w:color w:val="000000"/>
        </w:rPr>
        <w:t>parents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understanding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design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items</w:t>
      </w:r>
      <w:proofErr w:type="spellEnd"/>
      <w:r>
        <w:rPr>
          <w:color w:val="000000"/>
        </w:rPr>
        <w:t xml:space="preserve"> 6 and 16 of EFEC-</w:t>
      </w:r>
      <w:proofErr w:type="spellStart"/>
      <w:r>
        <w:rPr>
          <w:color w:val="000000"/>
        </w:rPr>
        <w:t>parents</w:t>
      </w:r>
      <w:proofErr w:type="spellEnd"/>
      <w:r>
        <w:rPr>
          <w:color w:val="000000"/>
        </w:rPr>
        <w:t xml:space="preserve">. In </w:t>
      </w:r>
      <w:proofErr w:type="spellStart"/>
      <w:r>
        <w:rPr>
          <w:color w:val="000000"/>
        </w:rPr>
        <w:t>these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items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&lt; 90%. </w:t>
      </w:r>
    </w:p>
    <w:p w14:paraId="0000008F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i/>
          <w:color w:val="000000"/>
        </w:rPr>
      </w:pPr>
      <w:proofErr w:type="spellStart"/>
      <w:r>
        <w:rPr>
          <w:i/>
          <w:color w:val="000000"/>
        </w:rPr>
        <w:t>Qualitative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Assessment</w:t>
      </w:r>
      <w:proofErr w:type="spellEnd"/>
      <w:r>
        <w:rPr>
          <w:i/>
          <w:color w:val="000000"/>
        </w:rPr>
        <w:t xml:space="preserve"> of the "MO" Test</w:t>
      </w:r>
    </w:p>
    <w:p w14:paraId="00000090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The </w:t>
      </w:r>
      <w:proofErr w:type="spellStart"/>
      <w:r>
        <w:rPr>
          <w:color w:val="000000"/>
        </w:rPr>
        <w:t>qualitative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analysis</w:t>
      </w:r>
      <w:proofErr w:type="spellEnd"/>
      <w:r>
        <w:rPr>
          <w:color w:val="000000"/>
        </w:rPr>
        <w:t xml:space="preserve"> of the MO test </w:t>
      </w:r>
      <w:proofErr w:type="spellStart"/>
      <w:r>
        <w:rPr>
          <w:color w:val="000000"/>
        </w:rPr>
        <w:t>brought</w:t>
      </w:r>
      <w:proofErr w:type="spellEnd"/>
      <w:r>
        <w:rPr>
          <w:color w:val="000000"/>
        </w:rPr>
        <w:t xml:space="preserve"> forward </w:t>
      </w:r>
      <w:proofErr w:type="spellStart"/>
      <w:r>
        <w:rPr>
          <w:color w:val="000000"/>
        </w:rPr>
        <w:t>relevant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suggestions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improvement</w:t>
      </w:r>
      <w:proofErr w:type="spellEnd"/>
      <w:r>
        <w:rPr>
          <w:color w:val="000000"/>
        </w:rPr>
        <w:t xml:space="preserve">. In the </w:t>
      </w:r>
      <w:proofErr w:type="spellStart"/>
      <w:r>
        <w:rPr>
          <w:color w:val="000000"/>
        </w:rPr>
        <w:t>first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screen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recommended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replace</w:t>
      </w:r>
      <w:proofErr w:type="spellEnd"/>
      <w:r>
        <w:rPr>
          <w:color w:val="000000"/>
        </w:rPr>
        <w:t xml:space="preserve"> 'arrumando'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'organizando'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better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cohesion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the task </w:t>
      </w:r>
      <w:proofErr w:type="spellStart"/>
      <w:r>
        <w:rPr>
          <w:color w:val="000000"/>
        </w:rPr>
        <w:t>name</w:t>
      </w:r>
      <w:proofErr w:type="spellEnd"/>
      <w:r>
        <w:rPr>
          <w:color w:val="000000"/>
        </w:rPr>
        <w:t xml:space="preserve"> and regional </w:t>
      </w:r>
      <w:proofErr w:type="spellStart"/>
      <w:r>
        <w:rPr>
          <w:color w:val="000000"/>
        </w:rPr>
        <w:t>understanding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screen</w:t>
      </w:r>
      <w:proofErr w:type="spellEnd"/>
      <w:r>
        <w:rPr>
          <w:color w:val="000000"/>
        </w:rPr>
        <w:t xml:space="preserve"> </w:t>
      </w:r>
      <w:proofErr w:type="spellStart"/>
      <w:r>
        <w:t>six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concerning</w:t>
      </w:r>
      <w:proofErr w:type="spellEnd"/>
      <w:r>
        <w:rPr>
          <w:color w:val="000000"/>
        </w:rPr>
        <w:t xml:space="preserve"> response </w:t>
      </w:r>
      <w:proofErr w:type="spellStart"/>
      <w:r>
        <w:rPr>
          <w:color w:val="000000"/>
        </w:rPr>
        <w:t>inhibition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image</w:t>
      </w:r>
      <w:proofErr w:type="spellEnd"/>
      <w:r>
        <w:rPr>
          <w:color w:val="000000"/>
        </w:rPr>
        <w:t xml:space="preserve"> of a </w:t>
      </w:r>
      <w:proofErr w:type="spellStart"/>
      <w:r>
        <w:rPr>
          <w:color w:val="000000"/>
        </w:rPr>
        <w:t>cat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suggested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add</w:t>
      </w:r>
      <w:proofErr w:type="spellEnd"/>
      <w:r>
        <w:rPr>
          <w:color w:val="000000"/>
        </w:rPr>
        <w:t xml:space="preserve"> a contextual cue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word</w:t>
      </w:r>
      <w:proofErr w:type="spellEnd"/>
      <w:r>
        <w:rPr>
          <w:color w:val="000000"/>
        </w:rPr>
        <w:t xml:space="preserve"> 'CUIDADO' (CAUTION) in </w:t>
      </w:r>
      <w:proofErr w:type="spellStart"/>
      <w:r>
        <w:rPr>
          <w:color w:val="000000"/>
        </w:rPr>
        <w:t>uppercase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proposed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include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keyboard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signal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nothing</w:t>
      </w:r>
      <w:proofErr w:type="spellEnd"/>
      <w:r>
        <w:rPr>
          <w:color w:val="000000"/>
        </w:rPr>
        <w:t xml:space="preserve"> and the </w:t>
      </w:r>
      <w:proofErr w:type="spellStart"/>
      <w:r>
        <w:rPr>
          <w:color w:val="000000"/>
        </w:rPr>
        <w:t>identification</w:t>
      </w:r>
      <w:proofErr w:type="spellEnd"/>
      <w:r>
        <w:rPr>
          <w:color w:val="000000"/>
        </w:rPr>
        <w:t xml:space="preserve"> of the </w:t>
      </w:r>
      <w:proofErr w:type="spellStart"/>
      <w:r>
        <w:rPr>
          <w:color w:val="000000"/>
        </w:rPr>
        <w:t>cat</w:t>
      </w:r>
      <w:proofErr w:type="spellEnd"/>
      <w:r>
        <w:rPr>
          <w:color w:val="000000"/>
        </w:rPr>
        <w:t xml:space="preserve"> as 'MEL'. </w:t>
      </w:r>
      <w:proofErr w:type="spellStart"/>
      <w:r>
        <w:rPr>
          <w:color w:val="000000"/>
        </w:rPr>
        <w:t>These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suggestions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accepted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implemented</w:t>
      </w:r>
      <w:proofErr w:type="spellEnd"/>
      <w:r>
        <w:rPr>
          <w:color w:val="000000"/>
        </w:rPr>
        <w:t xml:space="preserve">. </w:t>
      </w:r>
    </w:p>
    <w:p w14:paraId="00000091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Another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suggestion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adjust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key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layout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placing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closer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together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facilitate</w:t>
      </w:r>
      <w:proofErr w:type="spellEnd"/>
      <w:r>
        <w:rPr>
          <w:color w:val="000000"/>
        </w:rPr>
        <w:t xml:space="preserve"> responses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younger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However</w:t>
      </w:r>
      <w:proofErr w:type="spellEnd"/>
      <w:r>
        <w:rPr>
          <w:color w:val="000000"/>
        </w:rPr>
        <w:t xml:space="preserve">, the </w:t>
      </w:r>
      <w:proofErr w:type="spellStart"/>
      <w:r>
        <w:rPr>
          <w:color w:val="000000"/>
        </w:rPr>
        <w:t>current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layout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maintained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Simon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effect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Simon</w:t>
      </w:r>
      <w:proofErr w:type="spellEnd"/>
      <w:r>
        <w:rPr>
          <w:color w:val="000000"/>
        </w:rPr>
        <w:t xml:space="preserve"> &amp; </w:t>
      </w:r>
      <w:proofErr w:type="spellStart"/>
      <w:r>
        <w:rPr>
          <w:color w:val="000000"/>
        </w:rPr>
        <w:t>Rudell</w:t>
      </w:r>
      <w:proofErr w:type="spellEnd"/>
      <w:r>
        <w:rPr>
          <w:color w:val="000000"/>
        </w:rPr>
        <w:t xml:space="preserve">, 1967),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required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be </w:t>
      </w:r>
      <w:proofErr w:type="spellStart"/>
      <w:r>
        <w:rPr>
          <w:color w:val="000000"/>
        </w:rPr>
        <w:t>distant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other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During</w:t>
      </w:r>
      <w:proofErr w:type="spellEnd"/>
      <w:r>
        <w:rPr>
          <w:color w:val="000000"/>
        </w:rPr>
        <w:t xml:space="preserve"> the </w:t>
      </w:r>
      <w:r>
        <w:rPr>
          <w:color w:val="000000"/>
        </w:rPr>
        <w:lastRenderedPageBreak/>
        <w:t xml:space="preserve">training and </w:t>
      </w:r>
      <w:proofErr w:type="spellStart"/>
      <w:r>
        <w:rPr>
          <w:color w:val="000000"/>
        </w:rPr>
        <w:t>testing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stages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suggestions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optimize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clarity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diversity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including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avoiding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repetition</w:t>
      </w:r>
      <w:proofErr w:type="spellEnd"/>
      <w:r>
        <w:rPr>
          <w:color w:val="000000"/>
        </w:rPr>
        <w:t xml:space="preserve"> of the </w:t>
      </w:r>
      <w:proofErr w:type="spellStart"/>
      <w:r>
        <w:rPr>
          <w:color w:val="000000"/>
        </w:rPr>
        <w:t>cat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images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However</w:t>
      </w:r>
      <w:proofErr w:type="spellEnd"/>
      <w:r>
        <w:rPr>
          <w:color w:val="000000"/>
        </w:rPr>
        <w:t xml:space="preserve">, the </w:t>
      </w:r>
      <w:proofErr w:type="spellStart"/>
      <w:r>
        <w:rPr>
          <w:color w:val="000000"/>
        </w:rPr>
        <w:t>item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randomization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changed</w:t>
      </w:r>
      <w:proofErr w:type="spellEnd"/>
      <w:r>
        <w:rPr>
          <w:color w:val="000000"/>
        </w:rPr>
        <w:t xml:space="preserve">. General </w:t>
      </w:r>
      <w:proofErr w:type="spellStart"/>
      <w:r>
        <w:rPr>
          <w:color w:val="000000"/>
        </w:rPr>
        <w:t>comments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highlighted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task's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quality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praising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clarity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relevance</w:t>
      </w:r>
      <w:proofErr w:type="spellEnd"/>
      <w:r>
        <w:rPr>
          <w:color w:val="000000"/>
        </w:rPr>
        <w:t xml:space="preserve">, and </w:t>
      </w:r>
      <w:proofErr w:type="spellStart"/>
      <w:r>
        <w:rPr>
          <w:color w:val="000000"/>
        </w:rPr>
        <w:t>layout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Constant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attention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support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levels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needed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atypical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participants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recommended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aim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refining</w:t>
      </w:r>
      <w:proofErr w:type="spellEnd"/>
      <w:r>
        <w:rPr>
          <w:color w:val="000000"/>
        </w:rPr>
        <w:t xml:space="preserve"> the test and </w:t>
      </w:r>
      <w:proofErr w:type="spellStart"/>
      <w:r>
        <w:rPr>
          <w:color w:val="000000"/>
        </w:rPr>
        <w:t>enhancing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acceptance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professionals</w:t>
      </w:r>
      <w:proofErr w:type="spellEnd"/>
      <w:r>
        <w:rPr>
          <w:color w:val="000000"/>
        </w:rPr>
        <w:t>.</w:t>
      </w:r>
    </w:p>
    <w:p w14:paraId="00000092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i/>
          <w:color w:val="000000"/>
        </w:rPr>
      </w:pPr>
      <w:proofErr w:type="spellStart"/>
      <w:r>
        <w:rPr>
          <w:i/>
          <w:color w:val="000000"/>
        </w:rPr>
        <w:t>Qualitative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analysis</w:t>
      </w:r>
      <w:proofErr w:type="spellEnd"/>
      <w:r>
        <w:rPr>
          <w:i/>
          <w:color w:val="000000"/>
        </w:rPr>
        <w:t xml:space="preserve"> of </w:t>
      </w:r>
      <w:proofErr w:type="spellStart"/>
      <w:r>
        <w:rPr>
          <w:i/>
          <w:color w:val="000000"/>
        </w:rPr>
        <w:t>TIMTraC</w:t>
      </w:r>
      <w:proofErr w:type="spellEnd"/>
    </w:p>
    <w:p w14:paraId="00000093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In the mouse </w:t>
      </w:r>
      <w:proofErr w:type="spellStart"/>
      <w:r>
        <w:rPr>
          <w:color w:val="000000"/>
        </w:rPr>
        <w:t>usage</w:t>
      </w:r>
      <w:proofErr w:type="spellEnd"/>
      <w:r>
        <w:rPr>
          <w:color w:val="000000"/>
        </w:rPr>
        <w:t xml:space="preserve"> training interface,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suggested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replace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term</w:t>
      </w:r>
      <w:proofErr w:type="spellEnd"/>
      <w:r>
        <w:rPr>
          <w:color w:val="000000"/>
        </w:rPr>
        <w:t xml:space="preserve"> '</w:t>
      </w:r>
      <w:proofErr w:type="spellStart"/>
      <w:r>
        <w:rPr>
          <w:color w:val="000000"/>
        </w:rPr>
        <w:t>move</w:t>
      </w:r>
      <w:proofErr w:type="spellEnd"/>
      <w:r>
        <w:rPr>
          <w:color w:val="000000"/>
        </w:rPr>
        <w:t xml:space="preserve">'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'drag,' and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change</w:t>
      </w:r>
      <w:proofErr w:type="spellEnd"/>
      <w:r>
        <w:rPr>
          <w:color w:val="000000"/>
        </w:rPr>
        <w:t xml:space="preserve"> '</w:t>
      </w:r>
      <w:proofErr w:type="spellStart"/>
      <w:r>
        <w:rPr>
          <w:color w:val="000000"/>
        </w:rPr>
        <w:t>indicated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location</w:t>
      </w:r>
      <w:proofErr w:type="spellEnd"/>
      <w:r>
        <w:rPr>
          <w:color w:val="000000"/>
        </w:rPr>
        <w:t xml:space="preserve">'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'the </w:t>
      </w:r>
      <w:proofErr w:type="spellStart"/>
      <w:r>
        <w:rPr>
          <w:color w:val="000000"/>
        </w:rPr>
        <w:t>white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circle</w:t>
      </w:r>
      <w:proofErr w:type="spellEnd"/>
      <w:r>
        <w:rPr>
          <w:color w:val="000000"/>
        </w:rPr>
        <w:t xml:space="preserve">,' as the </w:t>
      </w:r>
      <w:proofErr w:type="spellStart"/>
      <w:r>
        <w:rPr>
          <w:color w:val="000000"/>
        </w:rPr>
        <w:t>location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might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be </w:t>
      </w:r>
      <w:proofErr w:type="spellStart"/>
      <w:r>
        <w:rPr>
          <w:color w:val="000000"/>
        </w:rPr>
        <w:t>sufficiently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explicit</w:t>
      </w:r>
      <w:proofErr w:type="spellEnd"/>
      <w:r>
        <w:rPr>
          <w:color w:val="000000"/>
        </w:rPr>
        <w:t xml:space="preserve">. In the </w:t>
      </w:r>
      <w:proofErr w:type="spellStart"/>
      <w:r>
        <w:rPr>
          <w:color w:val="000000"/>
        </w:rPr>
        <w:t>instruction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second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phase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suggested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more </w:t>
      </w:r>
      <w:proofErr w:type="spellStart"/>
      <w:r>
        <w:rPr>
          <w:color w:val="000000"/>
        </w:rPr>
        <w:t>explicitly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expose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child's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action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Throughout</w:t>
      </w:r>
      <w:proofErr w:type="spellEnd"/>
      <w:r>
        <w:rPr>
          <w:color w:val="000000"/>
        </w:rPr>
        <w:t xml:space="preserve"> the task, </w:t>
      </w:r>
      <w:proofErr w:type="spellStart"/>
      <w:r>
        <w:rPr>
          <w:color w:val="000000"/>
        </w:rPr>
        <w:t>minimal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suggestions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given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such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standardizing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size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elements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suggestions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accepted</w:t>
      </w:r>
      <w:proofErr w:type="spellEnd"/>
      <w:r>
        <w:rPr>
          <w:color w:val="000000"/>
        </w:rPr>
        <w:t xml:space="preserve">. General </w:t>
      </w:r>
      <w:proofErr w:type="spellStart"/>
      <w:r>
        <w:rPr>
          <w:color w:val="000000"/>
        </w:rPr>
        <w:t>comments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indicated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the task has </w:t>
      </w:r>
      <w:proofErr w:type="spellStart"/>
      <w:r>
        <w:rPr>
          <w:color w:val="000000"/>
        </w:rPr>
        <w:t>items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clarity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relevance</w:t>
      </w:r>
      <w:proofErr w:type="spellEnd"/>
      <w:r>
        <w:rPr>
          <w:color w:val="000000"/>
        </w:rPr>
        <w:t xml:space="preserve">, and </w:t>
      </w:r>
      <w:proofErr w:type="spellStart"/>
      <w:r>
        <w:rPr>
          <w:color w:val="000000"/>
        </w:rPr>
        <w:t>design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suitable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intended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evaluation</w:t>
      </w:r>
      <w:proofErr w:type="spellEnd"/>
      <w:r>
        <w:rPr>
          <w:color w:val="000000"/>
        </w:rPr>
        <w:t>.</w:t>
      </w:r>
    </w:p>
    <w:p w14:paraId="00000094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i/>
          <w:color w:val="000000"/>
        </w:rPr>
      </w:pPr>
      <w:proofErr w:type="spellStart"/>
      <w:r>
        <w:rPr>
          <w:i/>
          <w:color w:val="000000"/>
        </w:rPr>
        <w:t>Qualitative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analysis</w:t>
      </w:r>
      <w:proofErr w:type="spellEnd"/>
      <w:r>
        <w:rPr>
          <w:i/>
          <w:color w:val="000000"/>
        </w:rPr>
        <w:t xml:space="preserve"> of VPC</w:t>
      </w:r>
    </w:p>
    <w:p w14:paraId="00000095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In the </w:t>
      </w:r>
      <w:proofErr w:type="spellStart"/>
      <w:r>
        <w:rPr>
          <w:color w:val="000000"/>
        </w:rPr>
        <w:t>qualitative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analysis</w:t>
      </w:r>
      <w:proofErr w:type="spellEnd"/>
      <w:r>
        <w:rPr>
          <w:color w:val="000000"/>
        </w:rPr>
        <w:t xml:space="preserve"> of the VPC test, </w:t>
      </w:r>
      <w:proofErr w:type="spellStart"/>
      <w:r>
        <w:rPr>
          <w:color w:val="000000"/>
        </w:rPr>
        <w:t>some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modifications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suggested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screen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designs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screen</w:t>
      </w:r>
      <w:proofErr w:type="spellEnd"/>
      <w:r>
        <w:rPr>
          <w:color w:val="000000"/>
        </w:rPr>
        <w:t xml:space="preserve"> </w:t>
      </w:r>
      <w:proofErr w:type="spellStart"/>
      <w:r>
        <w:t>two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suggested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explicitly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indicate</w:t>
      </w:r>
      <w:proofErr w:type="spellEnd"/>
      <w:r>
        <w:rPr>
          <w:color w:val="000000"/>
        </w:rPr>
        <w:t xml:space="preserve"> the spot </w:t>
      </w:r>
      <w:proofErr w:type="spellStart"/>
      <w:r>
        <w:rPr>
          <w:color w:val="000000"/>
        </w:rPr>
        <w:t>where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child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should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touch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above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frog</w:t>
      </w:r>
      <w:proofErr w:type="spellEnd"/>
      <w:r>
        <w:rPr>
          <w:color w:val="000000"/>
        </w:rPr>
        <w:t xml:space="preserve">. In the </w:t>
      </w:r>
      <w:proofErr w:type="spellStart"/>
      <w:r>
        <w:rPr>
          <w:color w:val="000000"/>
        </w:rPr>
        <w:t>second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stage</w:t>
      </w:r>
      <w:proofErr w:type="spellEnd"/>
      <w:r>
        <w:rPr>
          <w:color w:val="000000"/>
        </w:rPr>
        <w:t xml:space="preserve"> of the test,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involves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alternation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suggested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replace</w:t>
      </w:r>
      <w:proofErr w:type="spellEnd"/>
      <w:r>
        <w:rPr>
          <w:color w:val="000000"/>
        </w:rPr>
        <w:t xml:space="preserve"> the red color of the </w:t>
      </w:r>
      <w:proofErr w:type="spellStart"/>
      <w:r>
        <w:rPr>
          <w:color w:val="000000"/>
        </w:rPr>
        <w:t>letters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orange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improved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contrast</w:t>
      </w:r>
      <w:proofErr w:type="spellEnd"/>
      <w:r>
        <w:rPr>
          <w:color w:val="000000"/>
        </w:rPr>
        <w:t>.</w:t>
      </w:r>
    </w:p>
    <w:p w14:paraId="00000096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i/>
          <w:color w:val="000000"/>
        </w:rPr>
      </w:pPr>
      <w:proofErr w:type="spellStart"/>
      <w:r>
        <w:rPr>
          <w:i/>
          <w:color w:val="000000"/>
        </w:rPr>
        <w:t>Qualitative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analysis</w:t>
      </w:r>
      <w:proofErr w:type="spellEnd"/>
      <w:r>
        <w:rPr>
          <w:i/>
          <w:color w:val="000000"/>
        </w:rPr>
        <w:t xml:space="preserve"> of EFEC-</w:t>
      </w:r>
      <w:proofErr w:type="spellStart"/>
      <w:r>
        <w:rPr>
          <w:i/>
          <w:color w:val="000000"/>
        </w:rPr>
        <w:t>parents</w:t>
      </w:r>
      <w:proofErr w:type="spellEnd"/>
    </w:p>
    <w:p w14:paraId="00000097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The </w:t>
      </w:r>
      <w:proofErr w:type="spellStart"/>
      <w:r>
        <w:rPr>
          <w:color w:val="000000"/>
        </w:rPr>
        <w:t>experts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evaluating</w:t>
      </w:r>
      <w:proofErr w:type="spellEnd"/>
      <w:r>
        <w:rPr>
          <w:color w:val="000000"/>
        </w:rPr>
        <w:t xml:space="preserve"> the EFEC-</w:t>
      </w:r>
      <w:proofErr w:type="spellStart"/>
      <w:r>
        <w:rPr>
          <w:color w:val="000000"/>
        </w:rPr>
        <w:t>parents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indicated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several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modifications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would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enhance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clarity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precision</w:t>
      </w:r>
      <w:proofErr w:type="spellEnd"/>
      <w:r>
        <w:rPr>
          <w:color w:val="000000"/>
        </w:rPr>
        <w:t xml:space="preserve"> of the </w:t>
      </w:r>
      <w:proofErr w:type="spellStart"/>
      <w:r>
        <w:rPr>
          <w:color w:val="000000"/>
        </w:rPr>
        <w:t>instructions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items</w:t>
      </w:r>
      <w:proofErr w:type="spellEnd"/>
      <w:r>
        <w:rPr>
          <w:color w:val="000000"/>
        </w:rPr>
        <w:t xml:space="preserve">. The </w:t>
      </w:r>
      <w:proofErr w:type="spellStart"/>
      <w:r>
        <w:rPr>
          <w:color w:val="000000"/>
        </w:rPr>
        <w:t>questionnaire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revised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suggestions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improve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clarity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precision</w:t>
      </w:r>
      <w:proofErr w:type="spellEnd"/>
      <w:r>
        <w:rPr>
          <w:color w:val="000000"/>
        </w:rPr>
        <w:t xml:space="preserve"> in the </w:t>
      </w:r>
      <w:proofErr w:type="spellStart"/>
      <w:r>
        <w:rPr>
          <w:color w:val="000000"/>
        </w:rPr>
        <w:t>instructions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questions</w:t>
      </w:r>
      <w:proofErr w:type="spellEnd"/>
      <w:r>
        <w:rPr>
          <w:color w:val="000000"/>
        </w:rPr>
        <w:t xml:space="preserve">. The general </w:t>
      </w:r>
      <w:proofErr w:type="spellStart"/>
      <w:r>
        <w:rPr>
          <w:color w:val="000000"/>
        </w:rPr>
        <w:t>instruction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explicitly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responses </w:t>
      </w:r>
      <w:proofErr w:type="spellStart"/>
      <w:r>
        <w:rPr>
          <w:color w:val="000000"/>
        </w:rPr>
        <w:t>should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pertain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evaluated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child's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behavior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avoid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misunderstandings</w:t>
      </w:r>
      <w:proofErr w:type="spellEnd"/>
      <w:r>
        <w:rPr>
          <w:color w:val="000000"/>
        </w:rPr>
        <w:t xml:space="preserve">. </w:t>
      </w:r>
    </w:p>
    <w:p w14:paraId="00000098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Specific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items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adjusted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context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eliminate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ambiguities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example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information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class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schedule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visible in the </w:t>
      </w:r>
      <w:proofErr w:type="spellStart"/>
      <w:r>
        <w:rPr>
          <w:color w:val="000000"/>
        </w:rPr>
        <w:t>child's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room</w:t>
      </w:r>
      <w:proofErr w:type="spellEnd"/>
      <w:r>
        <w:rPr>
          <w:color w:val="000000"/>
        </w:rPr>
        <w:t xml:space="preserve">, and responses </w:t>
      </w:r>
      <w:proofErr w:type="spellStart"/>
      <w:r>
        <w:rPr>
          <w:color w:val="000000"/>
        </w:rPr>
        <w:t>about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storytelling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details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following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logical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sequence</w:t>
      </w:r>
      <w:proofErr w:type="spellEnd"/>
      <w:r>
        <w:rPr>
          <w:color w:val="000000"/>
        </w:rPr>
        <w:t xml:space="preserve">. The </w:t>
      </w:r>
      <w:proofErr w:type="spellStart"/>
      <w:r>
        <w:rPr>
          <w:color w:val="000000"/>
        </w:rPr>
        <w:t>second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previously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mentioned</w:t>
      </w:r>
      <w:proofErr w:type="spellEnd"/>
      <w:r>
        <w:rPr>
          <w:color w:val="000000"/>
        </w:rPr>
        <w:t xml:space="preserve"> "</w:t>
      </w:r>
      <w:proofErr w:type="spellStart"/>
      <w:r>
        <w:rPr>
          <w:color w:val="000000"/>
        </w:rPr>
        <w:t>impulsivity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inhibition</w:t>
      </w:r>
      <w:proofErr w:type="spellEnd"/>
      <w:r>
        <w:rPr>
          <w:color w:val="000000"/>
        </w:rPr>
        <w:t xml:space="preserve">," </w:t>
      </w:r>
      <w:proofErr w:type="spellStart"/>
      <w:r>
        <w:rPr>
          <w:color w:val="000000"/>
        </w:rPr>
        <w:t>now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attention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behavior</w:t>
      </w:r>
      <w:proofErr w:type="spellEnd"/>
      <w:r>
        <w:rPr>
          <w:color w:val="000000"/>
        </w:rPr>
        <w:t xml:space="preserve"> control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confusion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introversion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shyness</w:t>
      </w:r>
      <w:proofErr w:type="spellEnd"/>
      <w:r>
        <w:rPr>
          <w:color w:val="000000"/>
        </w:rPr>
        <w:t xml:space="preserve">. </w:t>
      </w:r>
    </w:p>
    <w:p w14:paraId="0000009B" w14:textId="7C5D9E1F" w:rsidR="00C57DD8" w:rsidRPr="0076678E" w:rsidRDefault="00EB3EFF" w:rsidP="007667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Daily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situations</w:t>
      </w:r>
      <w:proofErr w:type="spellEnd"/>
      <w:r>
        <w:rPr>
          <w:color w:val="000000"/>
        </w:rPr>
        <w:t xml:space="preserve"> in the </w:t>
      </w:r>
      <w:proofErr w:type="spellStart"/>
      <w:r>
        <w:rPr>
          <w:color w:val="000000"/>
        </w:rPr>
        <w:t>questions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adapted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be more </w:t>
      </w:r>
      <w:proofErr w:type="spellStart"/>
      <w:r>
        <w:rPr>
          <w:color w:val="000000"/>
        </w:rPr>
        <w:t>culturally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relevant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specific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Examples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dangerous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activities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behaviors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revised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be more </w:t>
      </w:r>
      <w:proofErr w:type="spellStart"/>
      <w:r>
        <w:rPr>
          <w:color w:val="000000"/>
        </w:rPr>
        <w:t>common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easily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understood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parents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changes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parents</w:t>
      </w:r>
      <w:proofErr w:type="spellEnd"/>
      <w:r>
        <w:rPr>
          <w:color w:val="000000"/>
        </w:rPr>
        <w:t xml:space="preserve"> can </w:t>
      </w:r>
      <w:proofErr w:type="spellStart"/>
      <w:r>
        <w:rPr>
          <w:color w:val="000000"/>
        </w:rPr>
        <w:t>respond</w:t>
      </w:r>
      <w:proofErr w:type="spellEnd"/>
      <w:r>
        <w:rPr>
          <w:color w:val="000000"/>
        </w:rPr>
        <w:t xml:space="preserve"> more </w:t>
      </w:r>
      <w:proofErr w:type="spellStart"/>
      <w:r>
        <w:rPr>
          <w:color w:val="000000"/>
        </w:rPr>
        <w:t>accurately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better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reflect</w:t>
      </w:r>
      <w:proofErr w:type="spellEnd"/>
      <w:r>
        <w:rPr>
          <w:color w:val="000000"/>
        </w:rPr>
        <w:t xml:space="preserve"> the actual </w:t>
      </w:r>
      <w:proofErr w:type="spellStart"/>
      <w:r>
        <w:rPr>
          <w:color w:val="000000"/>
        </w:rPr>
        <w:t>behavior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>.</w:t>
      </w:r>
    </w:p>
    <w:p w14:paraId="0000009C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Quantitative</w:t>
      </w:r>
      <w:proofErr w:type="spellEnd"/>
      <w:r>
        <w:rPr>
          <w:b/>
          <w:color w:val="000000"/>
        </w:rPr>
        <w:t xml:space="preserve"> and </w:t>
      </w:r>
      <w:proofErr w:type="spellStart"/>
      <w:r>
        <w:rPr>
          <w:b/>
          <w:color w:val="000000"/>
        </w:rPr>
        <w:t>qualitative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analysis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with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children</w:t>
      </w:r>
      <w:proofErr w:type="spellEnd"/>
    </w:p>
    <w:p w14:paraId="0000009D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The </w:t>
      </w:r>
      <w:proofErr w:type="spellStart"/>
      <w:r>
        <w:rPr>
          <w:color w:val="000000"/>
        </w:rPr>
        <w:t>study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involved</w:t>
      </w:r>
      <w:proofErr w:type="spellEnd"/>
      <w:r>
        <w:rPr>
          <w:color w:val="000000"/>
        </w:rPr>
        <w:t xml:space="preserve"> 15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ten </w:t>
      </w:r>
      <w:proofErr w:type="spellStart"/>
      <w:r>
        <w:rPr>
          <w:color w:val="000000"/>
        </w:rPr>
        <w:t>years</w:t>
      </w:r>
      <w:proofErr w:type="spellEnd"/>
      <w:r>
        <w:rPr>
          <w:color w:val="000000"/>
        </w:rPr>
        <w:t xml:space="preserve"> (M=8.0; SD=1.5),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group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nine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females</w:t>
      </w:r>
      <w:proofErr w:type="spellEnd"/>
      <w:r>
        <w:rPr>
          <w:color w:val="000000"/>
        </w:rPr>
        <w:t xml:space="preserve">. The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in 1st (n=4), 2nd (n=4), 3rd (n=4), and 4th grade (n=3) of </w:t>
      </w:r>
      <w:proofErr w:type="spellStart"/>
      <w:r>
        <w:rPr>
          <w:color w:val="000000"/>
        </w:rPr>
        <w:t>primary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school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Four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non-</w:t>
      </w:r>
      <w:proofErr w:type="spellStart"/>
      <w:r>
        <w:rPr>
          <w:color w:val="000000"/>
        </w:rPr>
        <w:t>readers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two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six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seven</w:t>
      </w:r>
      <w:proofErr w:type="spellEnd"/>
      <w:r>
        <w:rPr>
          <w:color w:val="000000"/>
        </w:rPr>
        <w:t xml:space="preserve">, and </w:t>
      </w:r>
      <w:proofErr w:type="spellStart"/>
      <w:r>
        <w:rPr>
          <w:color w:val="000000"/>
        </w:rPr>
        <w:t>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eight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years</w:t>
      </w:r>
      <w:proofErr w:type="spellEnd"/>
      <w:r>
        <w:rPr>
          <w:color w:val="000000"/>
        </w:rPr>
        <w:t xml:space="preserve">), and </w:t>
      </w:r>
      <w:proofErr w:type="spellStart"/>
      <w:r>
        <w:rPr>
          <w:color w:val="000000"/>
        </w:rPr>
        <w:t>three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struggled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reading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aged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six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seven</w:t>
      </w:r>
      <w:proofErr w:type="spellEnd"/>
      <w:r>
        <w:rPr>
          <w:color w:val="000000"/>
        </w:rPr>
        <w:t xml:space="preserve">, and </w:t>
      </w:r>
      <w:proofErr w:type="spellStart"/>
      <w:r>
        <w:rPr>
          <w:color w:val="000000"/>
        </w:rPr>
        <w:t>eight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years</w:t>
      </w:r>
      <w:proofErr w:type="spellEnd"/>
      <w:r>
        <w:rPr>
          <w:color w:val="000000"/>
        </w:rPr>
        <w:t xml:space="preserve">). The </w:t>
      </w:r>
      <w:proofErr w:type="spellStart"/>
      <w:r>
        <w:rPr>
          <w:color w:val="000000"/>
        </w:rPr>
        <w:t>rest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could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fluently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Regarding</w:t>
      </w:r>
      <w:proofErr w:type="spellEnd"/>
      <w:r>
        <w:rPr>
          <w:color w:val="000000"/>
        </w:rPr>
        <w:t xml:space="preserve"> the use of </w:t>
      </w:r>
      <w:proofErr w:type="spellStart"/>
      <w:r>
        <w:rPr>
          <w:color w:val="000000"/>
        </w:rPr>
        <w:t>electronics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subtests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three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never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used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tablet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faced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difficulties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Six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especially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eight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struggled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the mouse, </w:t>
      </w:r>
      <w:proofErr w:type="spellStart"/>
      <w:r>
        <w:rPr>
          <w:color w:val="000000"/>
        </w:rPr>
        <w:t>having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never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devices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before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provided</w:t>
      </w:r>
      <w:proofErr w:type="spellEnd"/>
      <w:r>
        <w:rPr>
          <w:color w:val="000000"/>
        </w:rPr>
        <w:t xml:space="preserve"> positive </w:t>
      </w:r>
      <w:proofErr w:type="spellStart"/>
      <w:r>
        <w:rPr>
          <w:color w:val="000000"/>
        </w:rPr>
        <w:t>feedback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instruments</w:t>
      </w:r>
      <w:proofErr w:type="spellEnd"/>
      <w:r>
        <w:rPr>
          <w:color w:val="000000"/>
        </w:rPr>
        <w:t xml:space="preserve">. </w:t>
      </w:r>
    </w:p>
    <w:tbl>
      <w:tblPr>
        <w:tblStyle w:val="a1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50"/>
        <w:gridCol w:w="850"/>
        <w:gridCol w:w="993"/>
        <w:gridCol w:w="784"/>
        <w:gridCol w:w="729"/>
        <w:gridCol w:w="792"/>
        <w:gridCol w:w="700"/>
        <w:gridCol w:w="964"/>
        <w:gridCol w:w="931"/>
        <w:gridCol w:w="708"/>
        <w:gridCol w:w="1054"/>
      </w:tblGrid>
      <w:tr w:rsidR="00C57DD8" w14:paraId="16246C09" w14:textId="77777777">
        <w:tc>
          <w:tcPr>
            <w:tcW w:w="9356" w:type="dxa"/>
            <w:gridSpan w:val="11"/>
            <w:tcBorders>
              <w:top w:val="single" w:sz="4" w:space="0" w:color="FFFFFF"/>
            </w:tcBorders>
            <w:vAlign w:val="bottom"/>
          </w:tcPr>
          <w:p w14:paraId="0000009E" w14:textId="77777777" w:rsidR="00C57DD8" w:rsidRDefault="00EB3EFF">
            <w:pPr>
              <w:keepNext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Table 2</w:t>
            </w:r>
          </w:p>
          <w:p w14:paraId="0000009F" w14:textId="77777777" w:rsidR="00C57DD8" w:rsidRDefault="00EB3EFF">
            <w:pPr>
              <w:widowControl w:val="0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Content </w:t>
            </w:r>
            <w:proofErr w:type="spellStart"/>
            <w:r>
              <w:rPr>
                <w:i/>
                <w:sz w:val="20"/>
                <w:szCs w:val="20"/>
              </w:rPr>
              <w:t>Validity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Coefficients</w:t>
            </w:r>
            <w:proofErr w:type="spellEnd"/>
            <w:r>
              <w:rPr>
                <w:i/>
                <w:sz w:val="20"/>
                <w:szCs w:val="20"/>
              </w:rPr>
              <w:t xml:space="preserve"> and </w:t>
            </w:r>
            <w:proofErr w:type="spellStart"/>
            <w:r>
              <w:rPr>
                <w:i/>
                <w:sz w:val="20"/>
                <w:szCs w:val="20"/>
              </w:rPr>
              <w:t>Percentage</w:t>
            </w:r>
            <w:proofErr w:type="spellEnd"/>
            <w:r>
              <w:rPr>
                <w:i/>
                <w:sz w:val="20"/>
                <w:szCs w:val="20"/>
              </w:rPr>
              <w:t xml:space="preserve"> of </w:t>
            </w:r>
            <w:proofErr w:type="spellStart"/>
            <w:r>
              <w:rPr>
                <w:i/>
                <w:sz w:val="20"/>
                <w:szCs w:val="20"/>
              </w:rPr>
              <w:t>Agreement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Among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Children</w:t>
            </w:r>
            <w:proofErr w:type="spellEnd"/>
          </w:p>
        </w:tc>
      </w:tr>
      <w:tr w:rsidR="00C57DD8" w14:paraId="0E5145FA" w14:textId="77777777">
        <w:tc>
          <w:tcPr>
            <w:tcW w:w="851" w:type="dxa"/>
            <w:vMerge w:val="restart"/>
            <w:tcBorders>
              <w:top w:val="single" w:sz="4" w:space="0" w:color="000000"/>
            </w:tcBorders>
            <w:vAlign w:val="bottom"/>
          </w:tcPr>
          <w:p w14:paraId="000000AA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  <w:vAlign w:val="bottom"/>
          </w:tcPr>
          <w:p w14:paraId="000000AB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Index</w:t>
            </w:r>
            <w:proofErr w:type="spellEnd"/>
          </w:p>
        </w:tc>
        <w:tc>
          <w:tcPr>
            <w:tcW w:w="250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00000AC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</w:t>
            </w:r>
          </w:p>
        </w:tc>
        <w:tc>
          <w:tcPr>
            <w:tcW w:w="245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00000AF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TIMTraC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00000B2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VPC</w:t>
            </w:r>
          </w:p>
        </w:tc>
      </w:tr>
      <w:tr w:rsidR="00C57DD8" w14:paraId="5EF63DD8" w14:textId="77777777">
        <w:tc>
          <w:tcPr>
            <w:tcW w:w="851" w:type="dxa"/>
            <w:vMerge/>
            <w:tcBorders>
              <w:top w:val="single" w:sz="4" w:space="0" w:color="000000"/>
            </w:tcBorders>
            <w:vAlign w:val="bottom"/>
          </w:tcPr>
          <w:p w14:paraId="000000B5" w14:textId="77777777" w:rsidR="00C57DD8" w:rsidRDefault="00C57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</w:tcBorders>
            <w:vAlign w:val="bottom"/>
          </w:tcPr>
          <w:p w14:paraId="000000B6" w14:textId="77777777" w:rsidR="00C57DD8" w:rsidRDefault="00C57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000000B7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Com.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</w:tcBorders>
          </w:tcPr>
          <w:p w14:paraId="000000B8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Des.</w:t>
            </w:r>
          </w:p>
        </w:tc>
        <w:tc>
          <w:tcPr>
            <w:tcW w:w="729" w:type="dxa"/>
            <w:tcBorders>
              <w:top w:val="single" w:sz="4" w:space="0" w:color="000000"/>
              <w:bottom w:val="single" w:sz="4" w:space="0" w:color="000000"/>
            </w:tcBorders>
          </w:tcPr>
          <w:p w14:paraId="000000B9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Eas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92" w:type="dxa"/>
            <w:tcBorders>
              <w:bottom w:val="single" w:sz="4" w:space="0" w:color="000000"/>
            </w:tcBorders>
          </w:tcPr>
          <w:p w14:paraId="000000BA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Com.</w:t>
            </w:r>
          </w:p>
        </w:tc>
        <w:tc>
          <w:tcPr>
            <w:tcW w:w="700" w:type="dxa"/>
            <w:tcBorders>
              <w:bottom w:val="single" w:sz="4" w:space="0" w:color="000000"/>
            </w:tcBorders>
          </w:tcPr>
          <w:p w14:paraId="000000BB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Des.</w:t>
            </w:r>
          </w:p>
        </w:tc>
        <w:tc>
          <w:tcPr>
            <w:tcW w:w="964" w:type="dxa"/>
            <w:tcBorders>
              <w:bottom w:val="single" w:sz="4" w:space="0" w:color="000000"/>
            </w:tcBorders>
          </w:tcPr>
          <w:p w14:paraId="000000BC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Eas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31" w:type="dxa"/>
            <w:tcBorders>
              <w:top w:val="single" w:sz="4" w:space="0" w:color="000000"/>
              <w:bottom w:val="single" w:sz="4" w:space="0" w:color="000000"/>
            </w:tcBorders>
          </w:tcPr>
          <w:p w14:paraId="000000BD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Com.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14:paraId="000000BE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Des.</w:t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</w:tcPr>
          <w:p w14:paraId="000000BF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Eas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C57DD8" w14:paraId="27AF5FE3" w14:textId="77777777">
        <w:tc>
          <w:tcPr>
            <w:tcW w:w="851" w:type="dxa"/>
            <w:vMerge w:val="restart"/>
            <w:tcBorders>
              <w:top w:val="single" w:sz="4" w:space="0" w:color="000000"/>
            </w:tcBorders>
            <w:vAlign w:val="center"/>
          </w:tcPr>
          <w:p w14:paraId="000000C0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000000C1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CVC</w:t>
            </w:r>
            <w:r>
              <w:rPr>
                <w:sz w:val="20"/>
                <w:szCs w:val="20"/>
                <w:vertAlign w:val="subscript"/>
              </w:rPr>
              <w:t>a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000000C2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784" w:type="dxa"/>
            <w:tcBorders>
              <w:top w:val="single" w:sz="4" w:space="0" w:color="000000"/>
            </w:tcBorders>
          </w:tcPr>
          <w:p w14:paraId="000000C3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0.93</w:t>
            </w:r>
          </w:p>
        </w:tc>
        <w:tc>
          <w:tcPr>
            <w:tcW w:w="729" w:type="dxa"/>
            <w:tcBorders>
              <w:top w:val="single" w:sz="4" w:space="0" w:color="000000"/>
            </w:tcBorders>
          </w:tcPr>
          <w:p w14:paraId="000000C4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792" w:type="dxa"/>
            <w:tcBorders>
              <w:top w:val="single" w:sz="4" w:space="0" w:color="000000"/>
            </w:tcBorders>
          </w:tcPr>
          <w:p w14:paraId="000000C5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0.90</w:t>
            </w:r>
          </w:p>
        </w:tc>
        <w:tc>
          <w:tcPr>
            <w:tcW w:w="700" w:type="dxa"/>
            <w:tcBorders>
              <w:top w:val="single" w:sz="4" w:space="0" w:color="000000"/>
            </w:tcBorders>
          </w:tcPr>
          <w:p w14:paraId="000000C6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964" w:type="dxa"/>
            <w:tcBorders>
              <w:top w:val="single" w:sz="4" w:space="0" w:color="000000"/>
            </w:tcBorders>
          </w:tcPr>
          <w:p w14:paraId="000000C7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0.88</w:t>
            </w:r>
          </w:p>
        </w:tc>
        <w:tc>
          <w:tcPr>
            <w:tcW w:w="931" w:type="dxa"/>
            <w:tcBorders>
              <w:top w:val="single" w:sz="4" w:space="0" w:color="000000"/>
            </w:tcBorders>
          </w:tcPr>
          <w:p w14:paraId="000000C8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0.85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000000C9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0.94</w:t>
            </w:r>
          </w:p>
        </w:tc>
        <w:tc>
          <w:tcPr>
            <w:tcW w:w="1054" w:type="dxa"/>
            <w:tcBorders>
              <w:top w:val="single" w:sz="4" w:space="0" w:color="000000"/>
            </w:tcBorders>
          </w:tcPr>
          <w:p w14:paraId="000000CA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0.85</w:t>
            </w:r>
          </w:p>
        </w:tc>
      </w:tr>
      <w:tr w:rsidR="00C57DD8" w14:paraId="0DFE47D5" w14:textId="77777777">
        <w:tc>
          <w:tcPr>
            <w:tcW w:w="851" w:type="dxa"/>
            <w:vMerge/>
            <w:tcBorders>
              <w:top w:val="single" w:sz="4" w:space="0" w:color="000000"/>
            </w:tcBorders>
            <w:vAlign w:val="center"/>
          </w:tcPr>
          <w:p w14:paraId="000000CB" w14:textId="77777777" w:rsidR="00C57DD8" w:rsidRDefault="00C57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00000CC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14:paraId="000000CD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4" w:type="dxa"/>
          </w:tcPr>
          <w:p w14:paraId="000000CE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29" w:type="dxa"/>
          </w:tcPr>
          <w:p w14:paraId="000000CF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92" w:type="dxa"/>
          </w:tcPr>
          <w:p w14:paraId="000000D0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0" w:type="dxa"/>
          </w:tcPr>
          <w:p w14:paraId="000000D1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64" w:type="dxa"/>
          </w:tcPr>
          <w:p w14:paraId="000000D2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31" w:type="dxa"/>
          </w:tcPr>
          <w:p w14:paraId="000000D3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14:paraId="000000D4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54" w:type="dxa"/>
          </w:tcPr>
          <w:p w14:paraId="000000D5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57DD8" w14:paraId="6F166AFA" w14:textId="77777777">
        <w:tc>
          <w:tcPr>
            <w:tcW w:w="851" w:type="dxa"/>
            <w:vMerge w:val="restart"/>
            <w:vAlign w:val="center"/>
          </w:tcPr>
          <w:p w14:paraId="000000D6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000000D7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CVC</w:t>
            </w:r>
            <w:r>
              <w:rPr>
                <w:sz w:val="20"/>
                <w:szCs w:val="20"/>
                <w:vertAlign w:val="subscript"/>
              </w:rPr>
              <w:t>a</w:t>
            </w:r>
            <w:proofErr w:type="spellEnd"/>
          </w:p>
        </w:tc>
        <w:tc>
          <w:tcPr>
            <w:tcW w:w="993" w:type="dxa"/>
          </w:tcPr>
          <w:p w14:paraId="000000D8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784" w:type="dxa"/>
          </w:tcPr>
          <w:p w14:paraId="000000D9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0.93</w:t>
            </w:r>
          </w:p>
        </w:tc>
        <w:tc>
          <w:tcPr>
            <w:tcW w:w="729" w:type="dxa"/>
          </w:tcPr>
          <w:p w14:paraId="000000DA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792" w:type="dxa"/>
          </w:tcPr>
          <w:p w14:paraId="000000DB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0.90</w:t>
            </w:r>
          </w:p>
        </w:tc>
        <w:tc>
          <w:tcPr>
            <w:tcW w:w="700" w:type="dxa"/>
          </w:tcPr>
          <w:p w14:paraId="000000DC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964" w:type="dxa"/>
          </w:tcPr>
          <w:p w14:paraId="000000DD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0.80</w:t>
            </w:r>
          </w:p>
        </w:tc>
        <w:tc>
          <w:tcPr>
            <w:tcW w:w="931" w:type="dxa"/>
          </w:tcPr>
          <w:p w14:paraId="000000DE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0.80</w:t>
            </w:r>
          </w:p>
        </w:tc>
        <w:tc>
          <w:tcPr>
            <w:tcW w:w="708" w:type="dxa"/>
          </w:tcPr>
          <w:p w14:paraId="000000DF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0.95</w:t>
            </w:r>
          </w:p>
        </w:tc>
        <w:tc>
          <w:tcPr>
            <w:tcW w:w="1054" w:type="dxa"/>
          </w:tcPr>
          <w:p w14:paraId="000000E0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0.80</w:t>
            </w:r>
          </w:p>
        </w:tc>
      </w:tr>
      <w:tr w:rsidR="00C57DD8" w14:paraId="4A12E64A" w14:textId="77777777">
        <w:tc>
          <w:tcPr>
            <w:tcW w:w="851" w:type="dxa"/>
            <w:vMerge/>
            <w:vAlign w:val="center"/>
          </w:tcPr>
          <w:p w14:paraId="000000E1" w14:textId="77777777" w:rsidR="00C57DD8" w:rsidRDefault="00C57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00000E2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14:paraId="000000E3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4" w:type="dxa"/>
          </w:tcPr>
          <w:p w14:paraId="000000E4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29" w:type="dxa"/>
          </w:tcPr>
          <w:p w14:paraId="000000E5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92" w:type="dxa"/>
          </w:tcPr>
          <w:p w14:paraId="000000E6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0" w:type="dxa"/>
          </w:tcPr>
          <w:p w14:paraId="000000E7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64" w:type="dxa"/>
          </w:tcPr>
          <w:p w14:paraId="000000E8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31" w:type="dxa"/>
          </w:tcPr>
          <w:p w14:paraId="000000E9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83.22</w:t>
            </w:r>
            <w:r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708" w:type="dxa"/>
          </w:tcPr>
          <w:p w14:paraId="000000EA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54" w:type="dxa"/>
          </w:tcPr>
          <w:p w14:paraId="000000EB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57DD8" w14:paraId="52198D42" w14:textId="77777777">
        <w:tc>
          <w:tcPr>
            <w:tcW w:w="851" w:type="dxa"/>
            <w:vMerge w:val="restart"/>
            <w:vAlign w:val="center"/>
          </w:tcPr>
          <w:p w14:paraId="000000EC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000000ED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CVC</w:t>
            </w:r>
            <w:r>
              <w:rPr>
                <w:sz w:val="20"/>
                <w:szCs w:val="20"/>
                <w:vertAlign w:val="subscript"/>
              </w:rPr>
              <w:t>a</w:t>
            </w:r>
            <w:proofErr w:type="spellEnd"/>
          </w:p>
        </w:tc>
        <w:tc>
          <w:tcPr>
            <w:tcW w:w="993" w:type="dxa"/>
          </w:tcPr>
          <w:p w14:paraId="000000EE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784" w:type="dxa"/>
          </w:tcPr>
          <w:p w14:paraId="000000EF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0.93</w:t>
            </w:r>
          </w:p>
        </w:tc>
        <w:tc>
          <w:tcPr>
            <w:tcW w:w="729" w:type="dxa"/>
          </w:tcPr>
          <w:p w14:paraId="000000F0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792" w:type="dxa"/>
          </w:tcPr>
          <w:p w14:paraId="000000F1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0.89</w:t>
            </w:r>
          </w:p>
        </w:tc>
        <w:tc>
          <w:tcPr>
            <w:tcW w:w="700" w:type="dxa"/>
          </w:tcPr>
          <w:p w14:paraId="000000F2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0.95</w:t>
            </w:r>
          </w:p>
        </w:tc>
        <w:tc>
          <w:tcPr>
            <w:tcW w:w="964" w:type="dxa"/>
          </w:tcPr>
          <w:p w14:paraId="000000F3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31" w:type="dxa"/>
          </w:tcPr>
          <w:p w14:paraId="000000F4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0.91</w:t>
            </w:r>
          </w:p>
        </w:tc>
        <w:tc>
          <w:tcPr>
            <w:tcW w:w="708" w:type="dxa"/>
          </w:tcPr>
          <w:p w14:paraId="000000F5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1054" w:type="dxa"/>
          </w:tcPr>
          <w:p w14:paraId="000000F6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0.82</w:t>
            </w:r>
          </w:p>
        </w:tc>
      </w:tr>
      <w:tr w:rsidR="00C57DD8" w14:paraId="394CF7CA" w14:textId="77777777">
        <w:tc>
          <w:tcPr>
            <w:tcW w:w="851" w:type="dxa"/>
            <w:vMerge/>
            <w:vAlign w:val="center"/>
          </w:tcPr>
          <w:p w14:paraId="000000F7" w14:textId="77777777" w:rsidR="00C57DD8" w:rsidRDefault="00C57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00000F8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14:paraId="000000F9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4" w:type="dxa"/>
          </w:tcPr>
          <w:p w14:paraId="000000FA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29" w:type="dxa"/>
          </w:tcPr>
          <w:p w14:paraId="000000FB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92" w:type="dxa"/>
          </w:tcPr>
          <w:p w14:paraId="000000FC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95.24</w:t>
            </w:r>
          </w:p>
        </w:tc>
        <w:tc>
          <w:tcPr>
            <w:tcW w:w="700" w:type="dxa"/>
          </w:tcPr>
          <w:p w14:paraId="000000FD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64" w:type="dxa"/>
          </w:tcPr>
          <w:p w14:paraId="000000FE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83.34</w:t>
            </w:r>
            <w:r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31" w:type="dxa"/>
          </w:tcPr>
          <w:p w14:paraId="000000FF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14:paraId="00000100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54" w:type="dxa"/>
          </w:tcPr>
          <w:p w14:paraId="00000101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88.89</w:t>
            </w:r>
            <w:r>
              <w:rPr>
                <w:sz w:val="20"/>
                <w:szCs w:val="20"/>
                <w:vertAlign w:val="superscript"/>
              </w:rPr>
              <w:t>**</w:t>
            </w:r>
          </w:p>
        </w:tc>
      </w:tr>
      <w:tr w:rsidR="00C57DD8" w14:paraId="58CADFEA" w14:textId="77777777">
        <w:tc>
          <w:tcPr>
            <w:tcW w:w="851" w:type="dxa"/>
            <w:vMerge w:val="restart"/>
            <w:vAlign w:val="center"/>
          </w:tcPr>
          <w:p w14:paraId="00000102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00000103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CVC</w:t>
            </w:r>
            <w:r>
              <w:rPr>
                <w:sz w:val="20"/>
                <w:szCs w:val="20"/>
                <w:vertAlign w:val="subscript"/>
              </w:rPr>
              <w:t>a</w:t>
            </w:r>
            <w:proofErr w:type="spellEnd"/>
          </w:p>
        </w:tc>
        <w:tc>
          <w:tcPr>
            <w:tcW w:w="993" w:type="dxa"/>
          </w:tcPr>
          <w:p w14:paraId="00000104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784" w:type="dxa"/>
          </w:tcPr>
          <w:p w14:paraId="00000105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0.93</w:t>
            </w:r>
          </w:p>
        </w:tc>
        <w:tc>
          <w:tcPr>
            <w:tcW w:w="729" w:type="dxa"/>
          </w:tcPr>
          <w:p w14:paraId="00000106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792" w:type="dxa"/>
          </w:tcPr>
          <w:p w14:paraId="00000107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0.94</w:t>
            </w:r>
          </w:p>
        </w:tc>
        <w:tc>
          <w:tcPr>
            <w:tcW w:w="700" w:type="dxa"/>
          </w:tcPr>
          <w:p w14:paraId="00000108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0.95</w:t>
            </w:r>
          </w:p>
        </w:tc>
        <w:tc>
          <w:tcPr>
            <w:tcW w:w="964" w:type="dxa"/>
          </w:tcPr>
          <w:p w14:paraId="00000109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31" w:type="dxa"/>
          </w:tcPr>
          <w:p w14:paraId="0000010A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0.85</w:t>
            </w:r>
          </w:p>
        </w:tc>
        <w:tc>
          <w:tcPr>
            <w:tcW w:w="708" w:type="dxa"/>
          </w:tcPr>
          <w:p w14:paraId="0000010B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1054" w:type="dxa"/>
          </w:tcPr>
          <w:p w14:paraId="0000010C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0.94</w:t>
            </w:r>
          </w:p>
        </w:tc>
      </w:tr>
      <w:tr w:rsidR="00C57DD8" w14:paraId="79FD048C" w14:textId="77777777">
        <w:tc>
          <w:tcPr>
            <w:tcW w:w="851" w:type="dxa"/>
            <w:vMerge/>
            <w:vAlign w:val="center"/>
          </w:tcPr>
          <w:p w14:paraId="0000010D" w14:textId="77777777" w:rsidR="00C57DD8" w:rsidRDefault="00C57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000010E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14:paraId="0000010F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4" w:type="dxa"/>
          </w:tcPr>
          <w:p w14:paraId="00000110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97.73</w:t>
            </w:r>
          </w:p>
        </w:tc>
        <w:tc>
          <w:tcPr>
            <w:tcW w:w="729" w:type="dxa"/>
          </w:tcPr>
          <w:p w14:paraId="00000111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92" w:type="dxa"/>
          </w:tcPr>
          <w:p w14:paraId="00000112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0" w:type="dxa"/>
          </w:tcPr>
          <w:p w14:paraId="00000113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64" w:type="dxa"/>
          </w:tcPr>
          <w:p w14:paraId="00000114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83.34</w:t>
            </w:r>
            <w:r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931" w:type="dxa"/>
          </w:tcPr>
          <w:p w14:paraId="00000115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94.43</w:t>
            </w:r>
          </w:p>
        </w:tc>
        <w:tc>
          <w:tcPr>
            <w:tcW w:w="708" w:type="dxa"/>
          </w:tcPr>
          <w:p w14:paraId="00000116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54" w:type="dxa"/>
          </w:tcPr>
          <w:p w14:paraId="00000117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57DD8" w14:paraId="7AA46851" w14:textId="77777777">
        <w:tc>
          <w:tcPr>
            <w:tcW w:w="851" w:type="dxa"/>
            <w:vMerge w:val="restart"/>
            <w:vAlign w:val="center"/>
          </w:tcPr>
          <w:p w14:paraId="00000118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00000119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CVC</w:t>
            </w:r>
            <w:r>
              <w:rPr>
                <w:sz w:val="20"/>
                <w:szCs w:val="20"/>
                <w:vertAlign w:val="subscript"/>
              </w:rPr>
              <w:t>a</w:t>
            </w:r>
            <w:proofErr w:type="spellEnd"/>
          </w:p>
        </w:tc>
        <w:tc>
          <w:tcPr>
            <w:tcW w:w="993" w:type="dxa"/>
          </w:tcPr>
          <w:p w14:paraId="0000011A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784" w:type="dxa"/>
          </w:tcPr>
          <w:p w14:paraId="0000011B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0.95</w:t>
            </w:r>
          </w:p>
        </w:tc>
        <w:tc>
          <w:tcPr>
            <w:tcW w:w="729" w:type="dxa"/>
          </w:tcPr>
          <w:p w14:paraId="0000011C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792" w:type="dxa"/>
          </w:tcPr>
          <w:p w14:paraId="0000011D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0.95</w:t>
            </w:r>
          </w:p>
        </w:tc>
        <w:tc>
          <w:tcPr>
            <w:tcW w:w="700" w:type="dxa"/>
          </w:tcPr>
          <w:p w14:paraId="0000011E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964" w:type="dxa"/>
          </w:tcPr>
          <w:p w14:paraId="0000011F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31" w:type="dxa"/>
          </w:tcPr>
          <w:p w14:paraId="00000120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0.92</w:t>
            </w:r>
          </w:p>
        </w:tc>
        <w:tc>
          <w:tcPr>
            <w:tcW w:w="708" w:type="dxa"/>
          </w:tcPr>
          <w:p w14:paraId="00000121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</w:tc>
        <w:tc>
          <w:tcPr>
            <w:tcW w:w="1054" w:type="dxa"/>
          </w:tcPr>
          <w:p w14:paraId="00000122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0.91</w:t>
            </w:r>
          </w:p>
        </w:tc>
      </w:tr>
      <w:tr w:rsidR="00C57DD8" w14:paraId="1042D634" w14:textId="77777777">
        <w:tc>
          <w:tcPr>
            <w:tcW w:w="851" w:type="dxa"/>
            <w:vMerge/>
            <w:vAlign w:val="center"/>
          </w:tcPr>
          <w:p w14:paraId="00000123" w14:textId="77777777" w:rsidR="00C57DD8" w:rsidRDefault="00C57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0000124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14:paraId="00000125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4" w:type="dxa"/>
          </w:tcPr>
          <w:p w14:paraId="00000126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29" w:type="dxa"/>
          </w:tcPr>
          <w:p w14:paraId="00000127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92" w:type="dxa"/>
          </w:tcPr>
          <w:p w14:paraId="00000128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0" w:type="dxa"/>
          </w:tcPr>
          <w:p w14:paraId="00000129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64" w:type="dxa"/>
          </w:tcPr>
          <w:p w14:paraId="0000012A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31" w:type="dxa"/>
          </w:tcPr>
          <w:p w14:paraId="0000012B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14:paraId="0000012C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54" w:type="dxa"/>
          </w:tcPr>
          <w:p w14:paraId="0000012D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57DD8" w14:paraId="6F203638" w14:textId="77777777">
        <w:tc>
          <w:tcPr>
            <w:tcW w:w="851" w:type="dxa"/>
            <w:vMerge w:val="restart"/>
            <w:vAlign w:val="center"/>
          </w:tcPr>
          <w:p w14:paraId="0000012E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All</w:t>
            </w:r>
            <w:proofErr w:type="spellEnd"/>
          </w:p>
        </w:tc>
        <w:tc>
          <w:tcPr>
            <w:tcW w:w="850" w:type="dxa"/>
          </w:tcPr>
          <w:p w14:paraId="0000012F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CVC</w:t>
            </w:r>
            <w:r>
              <w:rPr>
                <w:sz w:val="20"/>
                <w:szCs w:val="20"/>
                <w:vertAlign w:val="subscript"/>
              </w:rPr>
              <w:t>a</w:t>
            </w:r>
            <w:proofErr w:type="spellEnd"/>
          </w:p>
        </w:tc>
        <w:tc>
          <w:tcPr>
            <w:tcW w:w="993" w:type="dxa"/>
          </w:tcPr>
          <w:p w14:paraId="00000130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0.99</w:t>
            </w:r>
          </w:p>
        </w:tc>
        <w:tc>
          <w:tcPr>
            <w:tcW w:w="784" w:type="dxa"/>
          </w:tcPr>
          <w:p w14:paraId="00000131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0.97</w:t>
            </w:r>
          </w:p>
        </w:tc>
        <w:tc>
          <w:tcPr>
            <w:tcW w:w="729" w:type="dxa"/>
          </w:tcPr>
          <w:p w14:paraId="00000132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0.99</w:t>
            </w:r>
          </w:p>
        </w:tc>
        <w:tc>
          <w:tcPr>
            <w:tcW w:w="792" w:type="dxa"/>
          </w:tcPr>
          <w:p w14:paraId="00000133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0.95</w:t>
            </w:r>
          </w:p>
        </w:tc>
        <w:tc>
          <w:tcPr>
            <w:tcW w:w="700" w:type="dxa"/>
          </w:tcPr>
          <w:p w14:paraId="00000134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0.99</w:t>
            </w:r>
          </w:p>
        </w:tc>
        <w:tc>
          <w:tcPr>
            <w:tcW w:w="964" w:type="dxa"/>
          </w:tcPr>
          <w:p w14:paraId="00000135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0.82</w:t>
            </w:r>
          </w:p>
        </w:tc>
        <w:tc>
          <w:tcPr>
            <w:tcW w:w="931" w:type="dxa"/>
          </w:tcPr>
          <w:p w14:paraId="00000136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0.90</w:t>
            </w:r>
          </w:p>
        </w:tc>
        <w:tc>
          <w:tcPr>
            <w:tcW w:w="708" w:type="dxa"/>
          </w:tcPr>
          <w:p w14:paraId="00000137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0.99</w:t>
            </w:r>
          </w:p>
        </w:tc>
        <w:tc>
          <w:tcPr>
            <w:tcW w:w="1054" w:type="dxa"/>
          </w:tcPr>
          <w:p w14:paraId="00000138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0.90</w:t>
            </w:r>
          </w:p>
        </w:tc>
      </w:tr>
      <w:tr w:rsidR="00C57DD8" w14:paraId="41CCFE6D" w14:textId="77777777">
        <w:tc>
          <w:tcPr>
            <w:tcW w:w="851" w:type="dxa"/>
            <w:vMerge/>
            <w:vAlign w:val="center"/>
          </w:tcPr>
          <w:p w14:paraId="00000139" w14:textId="77777777" w:rsidR="00C57DD8" w:rsidRDefault="00C57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0000013A" w14:textId="77777777" w:rsidR="00C57DD8" w:rsidRDefault="00EB3E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0000013B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4" w:type="dxa"/>
            <w:tcBorders>
              <w:bottom w:val="single" w:sz="4" w:space="0" w:color="000000"/>
            </w:tcBorders>
          </w:tcPr>
          <w:p w14:paraId="0000013C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99.55</w:t>
            </w:r>
          </w:p>
        </w:tc>
        <w:tc>
          <w:tcPr>
            <w:tcW w:w="729" w:type="dxa"/>
            <w:tcBorders>
              <w:bottom w:val="single" w:sz="4" w:space="0" w:color="000000"/>
            </w:tcBorders>
          </w:tcPr>
          <w:p w14:paraId="0000013D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92" w:type="dxa"/>
            <w:tcBorders>
              <w:bottom w:val="single" w:sz="4" w:space="0" w:color="000000"/>
            </w:tcBorders>
          </w:tcPr>
          <w:p w14:paraId="0000013E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99.05</w:t>
            </w:r>
          </w:p>
        </w:tc>
        <w:tc>
          <w:tcPr>
            <w:tcW w:w="700" w:type="dxa"/>
            <w:tcBorders>
              <w:bottom w:val="single" w:sz="4" w:space="0" w:color="000000"/>
            </w:tcBorders>
          </w:tcPr>
          <w:p w14:paraId="0000013F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</w:tcBorders>
          </w:tcPr>
          <w:p w14:paraId="00000140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93.33</w:t>
            </w:r>
          </w:p>
        </w:tc>
        <w:tc>
          <w:tcPr>
            <w:tcW w:w="931" w:type="dxa"/>
            <w:tcBorders>
              <w:bottom w:val="single" w:sz="4" w:space="0" w:color="000000"/>
            </w:tcBorders>
          </w:tcPr>
          <w:p w14:paraId="00000141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95.55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00000142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54" w:type="dxa"/>
            <w:tcBorders>
              <w:bottom w:val="single" w:sz="4" w:space="0" w:color="000000"/>
            </w:tcBorders>
          </w:tcPr>
          <w:p w14:paraId="00000143" w14:textId="77777777" w:rsidR="00C57DD8" w:rsidRDefault="00EB3E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97.78</w:t>
            </w:r>
          </w:p>
        </w:tc>
      </w:tr>
    </w:tbl>
    <w:p w14:paraId="00000144" w14:textId="77777777" w:rsidR="00C57DD8" w:rsidRDefault="00EB3EFF">
      <w:pPr>
        <w:spacing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Note. </w:t>
      </w:r>
      <w:r>
        <w:rPr>
          <w:sz w:val="20"/>
          <w:szCs w:val="20"/>
        </w:rPr>
        <w:t xml:space="preserve">MO: </w:t>
      </w:r>
      <w:proofErr w:type="spellStart"/>
      <w:r>
        <w:rPr>
          <w:sz w:val="20"/>
          <w:szCs w:val="20"/>
        </w:rPr>
        <w:t>Organized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Backpacks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TIMTraC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Computerized</w:t>
      </w:r>
      <w:proofErr w:type="spellEnd"/>
      <w:r>
        <w:rPr>
          <w:sz w:val="20"/>
          <w:szCs w:val="20"/>
        </w:rPr>
        <w:t xml:space="preserve"> Task of Working Memory in </w:t>
      </w:r>
      <w:proofErr w:type="spellStart"/>
      <w:r>
        <w:rPr>
          <w:sz w:val="20"/>
          <w:szCs w:val="20"/>
        </w:rPr>
        <w:t>Children</w:t>
      </w:r>
      <w:proofErr w:type="spellEnd"/>
      <w:r>
        <w:rPr>
          <w:sz w:val="20"/>
          <w:szCs w:val="20"/>
        </w:rPr>
        <w:t xml:space="preserve">; VPC: </w:t>
      </w:r>
      <w:proofErr w:type="spellStart"/>
      <w:r>
        <w:rPr>
          <w:sz w:val="20"/>
          <w:szCs w:val="20"/>
        </w:rPr>
        <w:t>Going</w:t>
      </w:r>
      <w:proofErr w:type="spellEnd"/>
      <w:r>
        <w:rPr>
          <w:sz w:val="20"/>
          <w:szCs w:val="20"/>
        </w:rPr>
        <w:t xml:space="preserve"> Home; Com.: </w:t>
      </w:r>
      <w:proofErr w:type="spellStart"/>
      <w:r>
        <w:rPr>
          <w:sz w:val="20"/>
          <w:szCs w:val="20"/>
        </w:rPr>
        <w:t>Comprehension</w:t>
      </w:r>
      <w:proofErr w:type="spellEnd"/>
      <w:r>
        <w:rPr>
          <w:sz w:val="20"/>
          <w:szCs w:val="20"/>
        </w:rPr>
        <w:t xml:space="preserve">; Des.: </w:t>
      </w:r>
      <w:proofErr w:type="spellStart"/>
      <w:r>
        <w:rPr>
          <w:sz w:val="20"/>
          <w:szCs w:val="20"/>
        </w:rPr>
        <w:t>Understanding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design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layout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elements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Eas</w:t>
      </w:r>
      <w:proofErr w:type="spellEnd"/>
      <w:r>
        <w:rPr>
          <w:sz w:val="20"/>
          <w:szCs w:val="20"/>
        </w:rPr>
        <w:t xml:space="preserve">.: </w:t>
      </w:r>
      <w:proofErr w:type="spellStart"/>
      <w:r>
        <w:rPr>
          <w:sz w:val="20"/>
          <w:szCs w:val="20"/>
        </w:rPr>
        <w:t>Instrument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ease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TIMTraC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Computerized</w:t>
      </w:r>
      <w:proofErr w:type="spellEnd"/>
      <w:r>
        <w:rPr>
          <w:sz w:val="20"/>
          <w:szCs w:val="20"/>
        </w:rPr>
        <w:t xml:space="preserve"> Task of Working Memory in </w:t>
      </w:r>
      <w:proofErr w:type="spellStart"/>
      <w:r>
        <w:rPr>
          <w:sz w:val="20"/>
          <w:szCs w:val="20"/>
        </w:rPr>
        <w:t>Children</w:t>
      </w:r>
      <w:proofErr w:type="spellEnd"/>
      <w:r>
        <w:rPr>
          <w:sz w:val="20"/>
          <w:szCs w:val="20"/>
        </w:rPr>
        <w:t xml:space="preserve">; %. </w:t>
      </w:r>
      <w:proofErr w:type="spellStart"/>
      <w:r>
        <w:rPr>
          <w:sz w:val="20"/>
          <w:szCs w:val="20"/>
        </w:rPr>
        <w:t>Percent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agreement</w:t>
      </w:r>
      <w:proofErr w:type="spellEnd"/>
      <w:r>
        <w:rPr>
          <w:sz w:val="20"/>
          <w:szCs w:val="20"/>
        </w:rPr>
        <w:t xml:space="preserve">; *. </w:t>
      </w:r>
      <w:proofErr w:type="spellStart"/>
      <w:r>
        <w:rPr>
          <w:sz w:val="20"/>
          <w:szCs w:val="20"/>
        </w:rPr>
        <w:t>CVCa</w:t>
      </w:r>
      <w:proofErr w:type="spellEnd"/>
      <w:r>
        <w:rPr>
          <w:sz w:val="20"/>
          <w:szCs w:val="20"/>
        </w:rPr>
        <w:t xml:space="preserve"> &lt; 0.80; **. </w:t>
      </w:r>
      <w:proofErr w:type="spellStart"/>
      <w:r>
        <w:rPr>
          <w:sz w:val="20"/>
          <w:szCs w:val="20"/>
        </w:rPr>
        <w:t>Percent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agreement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below</w:t>
      </w:r>
      <w:proofErr w:type="spellEnd"/>
      <w:r>
        <w:rPr>
          <w:sz w:val="20"/>
          <w:szCs w:val="20"/>
        </w:rPr>
        <w:t xml:space="preserve"> 90.</w:t>
      </w:r>
    </w:p>
    <w:p w14:paraId="00000145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In </w:t>
      </w:r>
      <w:proofErr w:type="spellStart"/>
      <w:r>
        <w:rPr>
          <w:color w:val="000000"/>
        </w:rPr>
        <w:t>assessing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CVCa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instruction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item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across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without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group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separation</w:t>
      </w:r>
      <w:proofErr w:type="spellEnd"/>
      <w:r>
        <w:rPr>
          <w:color w:val="000000"/>
        </w:rPr>
        <w:t xml:space="preserve">, the </w:t>
      </w:r>
      <w:proofErr w:type="spellStart"/>
      <w:r>
        <w:rPr>
          <w:color w:val="000000"/>
        </w:rPr>
        <w:t>only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CVCa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below</w:t>
      </w:r>
      <w:proofErr w:type="spellEnd"/>
      <w:r>
        <w:rPr>
          <w:color w:val="000000"/>
        </w:rPr>
        <w:t xml:space="preserve"> 0.80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comprehension</w:t>
      </w:r>
      <w:proofErr w:type="spellEnd"/>
      <w:r>
        <w:rPr>
          <w:color w:val="000000"/>
        </w:rPr>
        <w:t xml:space="preserve"> of the </w:t>
      </w:r>
      <w:proofErr w:type="spellStart"/>
      <w:r>
        <w:rPr>
          <w:color w:val="000000"/>
        </w:rPr>
        <w:t>first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screen</w:t>
      </w:r>
      <w:proofErr w:type="spellEnd"/>
      <w:r>
        <w:rPr>
          <w:color w:val="000000"/>
        </w:rPr>
        <w:t xml:space="preserve"> of the VPC,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valued</w:t>
      </w:r>
      <w:proofErr w:type="spellEnd"/>
      <w:r>
        <w:rPr>
          <w:color w:val="000000"/>
        </w:rPr>
        <w:t xml:space="preserve"> at 0.78. </w:t>
      </w:r>
      <w:proofErr w:type="spellStart"/>
      <w:r>
        <w:rPr>
          <w:color w:val="000000"/>
        </w:rPr>
        <w:t>When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separated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group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characteristics</w:t>
      </w:r>
      <w:proofErr w:type="spellEnd"/>
      <w:r>
        <w:rPr>
          <w:color w:val="000000"/>
        </w:rPr>
        <w:t xml:space="preserve"> of the </w:t>
      </w:r>
      <w:proofErr w:type="spellStart"/>
      <w:r>
        <w:rPr>
          <w:color w:val="000000"/>
        </w:rPr>
        <w:t>evaluated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instruments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comprehension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instruction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item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design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elements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comprehension</w:t>
      </w:r>
      <w:proofErr w:type="spellEnd"/>
      <w:r>
        <w:rPr>
          <w:color w:val="000000"/>
        </w:rPr>
        <w:t xml:space="preserve">; and </w:t>
      </w:r>
      <w:proofErr w:type="spellStart"/>
      <w:r>
        <w:rPr>
          <w:color w:val="000000"/>
        </w:rPr>
        <w:lastRenderedPageBreak/>
        <w:t>item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ease</w:t>
      </w:r>
      <w:proofErr w:type="spellEnd"/>
      <w:r>
        <w:rPr>
          <w:color w:val="000000"/>
        </w:rPr>
        <w:t xml:space="preserve">), the </w:t>
      </w:r>
      <w:proofErr w:type="spellStart"/>
      <w:r>
        <w:rPr>
          <w:color w:val="000000"/>
        </w:rPr>
        <w:t>only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feature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CVCa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below</w:t>
      </w:r>
      <w:proofErr w:type="spellEnd"/>
      <w:r>
        <w:rPr>
          <w:color w:val="000000"/>
        </w:rPr>
        <w:t xml:space="preserve"> 0.80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ease</w:t>
      </w:r>
      <w:proofErr w:type="spellEnd"/>
      <w:r>
        <w:rPr>
          <w:color w:val="000000"/>
        </w:rPr>
        <w:t xml:space="preserve"> of the </w:t>
      </w:r>
      <w:proofErr w:type="spellStart"/>
      <w:r>
        <w:rPr>
          <w:color w:val="000000"/>
        </w:rPr>
        <w:t>TIMTraC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groups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eight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nine</w:t>
      </w:r>
      <w:proofErr w:type="spellEnd"/>
      <w:r>
        <w:rPr>
          <w:color w:val="000000"/>
        </w:rPr>
        <w:t xml:space="preserve">, and ten </w:t>
      </w:r>
      <w:proofErr w:type="spellStart"/>
      <w:r>
        <w:rPr>
          <w:color w:val="000000"/>
        </w:rPr>
        <w:t>years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Some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percentages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below</w:t>
      </w:r>
      <w:proofErr w:type="spellEnd"/>
      <w:r>
        <w:rPr>
          <w:color w:val="000000"/>
        </w:rPr>
        <w:t xml:space="preserve"> 0.90 (</w:t>
      </w:r>
      <w:proofErr w:type="spellStart"/>
      <w:r>
        <w:rPr>
          <w:color w:val="000000"/>
        </w:rPr>
        <w:t>see</w:t>
      </w:r>
      <w:proofErr w:type="spellEnd"/>
      <w:r>
        <w:rPr>
          <w:color w:val="000000"/>
        </w:rPr>
        <w:t xml:space="preserve"> Table 2). </w:t>
      </w:r>
    </w:p>
    <w:p w14:paraId="00000146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four-point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scale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where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closer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indicates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easier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phase</w:t>
      </w:r>
      <w:proofErr w:type="spellEnd"/>
      <w:r>
        <w:rPr>
          <w:color w:val="000000"/>
        </w:rPr>
        <w:t xml:space="preserve">, of the </w:t>
      </w:r>
      <w:proofErr w:type="spellStart"/>
      <w:r>
        <w:rPr>
          <w:color w:val="000000"/>
        </w:rPr>
        <w:t>nine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eight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ten, </w:t>
      </w:r>
      <w:proofErr w:type="spellStart"/>
      <w:r>
        <w:rPr>
          <w:color w:val="000000"/>
        </w:rPr>
        <w:t>only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two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rated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instrument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stages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level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ease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others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varying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between</w:t>
      </w:r>
      <w:proofErr w:type="spellEnd"/>
      <w:r>
        <w:t xml:space="preserve"> </w:t>
      </w:r>
      <w:proofErr w:type="spellStart"/>
      <w:r>
        <w:t>one</w:t>
      </w:r>
      <w:proofErr w:type="spellEnd"/>
      <w:r>
        <w:rPr>
          <w:color w:val="000000"/>
        </w:rPr>
        <w:t xml:space="preserve"> and </w:t>
      </w:r>
      <w:proofErr w:type="spellStart"/>
      <w:r>
        <w:t>three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task, the </w:t>
      </w:r>
      <w:proofErr w:type="spellStart"/>
      <w:r>
        <w:rPr>
          <w:color w:val="000000"/>
        </w:rPr>
        <w:t>CVCa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calculated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follows</w:t>
      </w:r>
      <w:proofErr w:type="spellEnd"/>
      <w:r>
        <w:rPr>
          <w:color w:val="000000"/>
        </w:rPr>
        <w:t xml:space="preserve">: 0.98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MO, 0.92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TIMTraC</w:t>
      </w:r>
      <w:proofErr w:type="spellEnd"/>
      <w:r>
        <w:rPr>
          <w:color w:val="000000"/>
        </w:rPr>
        <w:t xml:space="preserve">, and 0.93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VPC, </w:t>
      </w:r>
      <w:proofErr w:type="spellStart"/>
      <w:r>
        <w:rPr>
          <w:color w:val="000000"/>
        </w:rPr>
        <w:t>indicating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excellent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validity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feedback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regarding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instruments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positive.</w:t>
      </w:r>
    </w:p>
    <w:p w14:paraId="00000147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Quantitative</w:t>
      </w:r>
      <w:proofErr w:type="spellEnd"/>
      <w:r>
        <w:rPr>
          <w:b/>
          <w:color w:val="000000"/>
        </w:rPr>
        <w:t xml:space="preserve"> and </w:t>
      </w:r>
      <w:proofErr w:type="spellStart"/>
      <w:r>
        <w:rPr>
          <w:b/>
          <w:color w:val="000000"/>
        </w:rPr>
        <w:t>Qualitative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Analysis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with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Parents</w:t>
      </w:r>
      <w:proofErr w:type="spellEnd"/>
      <w:r>
        <w:rPr>
          <w:b/>
          <w:color w:val="000000"/>
        </w:rPr>
        <w:t>/</w:t>
      </w:r>
      <w:proofErr w:type="spellStart"/>
      <w:r>
        <w:rPr>
          <w:b/>
          <w:color w:val="000000"/>
        </w:rPr>
        <w:t>Caregivers</w:t>
      </w:r>
      <w:proofErr w:type="spellEnd"/>
    </w:p>
    <w:p w14:paraId="00000148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The </w:t>
      </w:r>
      <w:proofErr w:type="spellStart"/>
      <w:r>
        <w:rPr>
          <w:color w:val="000000"/>
        </w:rPr>
        <w:t>participants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seven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parents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caregivers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two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five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women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aged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between</w:t>
      </w:r>
      <w:proofErr w:type="spellEnd"/>
      <w:r>
        <w:rPr>
          <w:color w:val="000000"/>
        </w:rPr>
        <w:t xml:space="preserve"> 31 and 51 </w:t>
      </w:r>
      <w:proofErr w:type="spellStart"/>
      <w:r>
        <w:rPr>
          <w:color w:val="000000"/>
        </w:rPr>
        <w:t>years</w:t>
      </w:r>
      <w:proofErr w:type="spellEnd"/>
      <w:r>
        <w:rPr>
          <w:color w:val="000000"/>
        </w:rPr>
        <w:t xml:space="preserve"> (M=40.57; SD=6.9). </w:t>
      </w:r>
      <w:proofErr w:type="spellStart"/>
      <w:r>
        <w:rPr>
          <w:color w:val="000000"/>
        </w:rPr>
        <w:t>Regarding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education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primary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education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four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education</w:t>
      </w:r>
      <w:proofErr w:type="spellEnd"/>
      <w:r>
        <w:rPr>
          <w:color w:val="000000"/>
        </w:rPr>
        <w:t xml:space="preserve">, and </w:t>
      </w:r>
      <w:proofErr w:type="spellStart"/>
      <w:r>
        <w:rPr>
          <w:color w:val="000000"/>
        </w:rPr>
        <w:t>two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postgraduate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degrees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Occupations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included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homemaker</w:t>
      </w:r>
      <w:proofErr w:type="spellEnd"/>
      <w:r>
        <w:rPr>
          <w:color w:val="000000"/>
        </w:rPr>
        <w:t xml:space="preserve"> (n=1), </w:t>
      </w:r>
      <w:proofErr w:type="spellStart"/>
      <w:r>
        <w:rPr>
          <w:color w:val="000000"/>
        </w:rPr>
        <w:t>psychologist</w:t>
      </w:r>
      <w:proofErr w:type="spellEnd"/>
      <w:r>
        <w:rPr>
          <w:color w:val="000000"/>
        </w:rPr>
        <w:t xml:space="preserve"> (n=1), </w:t>
      </w:r>
      <w:proofErr w:type="spellStart"/>
      <w:r>
        <w:rPr>
          <w:color w:val="000000"/>
        </w:rPr>
        <w:t>businesswoman</w:t>
      </w:r>
      <w:proofErr w:type="spellEnd"/>
      <w:r>
        <w:rPr>
          <w:color w:val="000000"/>
        </w:rPr>
        <w:t xml:space="preserve"> (n=1), </w:t>
      </w:r>
      <w:proofErr w:type="spellStart"/>
      <w:r>
        <w:rPr>
          <w:color w:val="000000"/>
        </w:rPr>
        <w:t>accountants</w:t>
      </w:r>
      <w:proofErr w:type="spellEnd"/>
      <w:r>
        <w:rPr>
          <w:color w:val="000000"/>
        </w:rPr>
        <w:t xml:space="preserve"> (n=2), and </w:t>
      </w:r>
      <w:proofErr w:type="spellStart"/>
      <w:r>
        <w:rPr>
          <w:color w:val="000000"/>
        </w:rPr>
        <w:t>public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servants</w:t>
      </w:r>
      <w:proofErr w:type="spellEnd"/>
      <w:r>
        <w:rPr>
          <w:color w:val="000000"/>
        </w:rPr>
        <w:t xml:space="preserve"> (n=2). </w:t>
      </w:r>
    </w:p>
    <w:p w14:paraId="00000149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The </w:t>
      </w:r>
      <w:proofErr w:type="spellStart"/>
      <w:r>
        <w:rPr>
          <w:color w:val="000000"/>
        </w:rPr>
        <w:t>CVCa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EFEC-</w:t>
      </w:r>
      <w:proofErr w:type="spellStart"/>
      <w:r>
        <w:rPr>
          <w:color w:val="000000"/>
        </w:rPr>
        <w:t>parents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showed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clarity</w:t>
      </w:r>
      <w:proofErr w:type="spellEnd"/>
      <w:r>
        <w:rPr>
          <w:color w:val="000000"/>
        </w:rPr>
        <w:t xml:space="preserve"> (0.93), </w:t>
      </w:r>
      <w:proofErr w:type="spellStart"/>
      <w:r>
        <w:rPr>
          <w:color w:val="000000"/>
        </w:rPr>
        <w:t>relevance</w:t>
      </w:r>
      <w:proofErr w:type="spellEnd"/>
      <w:r>
        <w:rPr>
          <w:color w:val="000000"/>
        </w:rPr>
        <w:t xml:space="preserve"> (0.92), and </w:t>
      </w:r>
      <w:proofErr w:type="spellStart"/>
      <w:r>
        <w:rPr>
          <w:color w:val="000000"/>
        </w:rPr>
        <w:t>design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comprehension</w:t>
      </w:r>
      <w:proofErr w:type="spellEnd"/>
      <w:r>
        <w:rPr>
          <w:color w:val="000000"/>
        </w:rPr>
        <w:t xml:space="preserve"> (0.98), </w:t>
      </w:r>
      <w:proofErr w:type="spellStart"/>
      <w:r>
        <w:rPr>
          <w:color w:val="000000"/>
        </w:rPr>
        <w:t>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above</w:t>
      </w:r>
      <w:proofErr w:type="spellEnd"/>
      <w:r>
        <w:rPr>
          <w:color w:val="000000"/>
        </w:rPr>
        <w:t xml:space="preserve"> 0.80. The total </w:t>
      </w:r>
      <w:proofErr w:type="spellStart"/>
      <w:r>
        <w:rPr>
          <w:color w:val="000000"/>
        </w:rPr>
        <w:t>CVCa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EFEC-</w:t>
      </w:r>
      <w:proofErr w:type="spellStart"/>
      <w:r>
        <w:rPr>
          <w:color w:val="000000"/>
        </w:rPr>
        <w:t>parents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0.94. As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percentage</w:t>
      </w:r>
      <w:proofErr w:type="spellEnd"/>
      <w:r>
        <w:rPr>
          <w:color w:val="000000"/>
        </w:rPr>
        <w:t xml:space="preserve">, the </w:t>
      </w:r>
      <w:proofErr w:type="spellStart"/>
      <w:r>
        <w:rPr>
          <w:color w:val="000000"/>
        </w:rPr>
        <w:t>results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clarity</w:t>
      </w:r>
      <w:proofErr w:type="spellEnd"/>
      <w:r>
        <w:rPr>
          <w:color w:val="000000"/>
        </w:rPr>
        <w:t xml:space="preserve"> (94.96%), </w:t>
      </w:r>
      <w:proofErr w:type="spellStart"/>
      <w:r>
        <w:rPr>
          <w:color w:val="000000"/>
        </w:rPr>
        <w:t>relevance</w:t>
      </w:r>
      <w:proofErr w:type="spellEnd"/>
      <w:r>
        <w:rPr>
          <w:color w:val="000000"/>
        </w:rPr>
        <w:t xml:space="preserve"> (94.12%), and </w:t>
      </w:r>
      <w:proofErr w:type="spellStart"/>
      <w:r>
        <w:rPr>
          <w:color w:val="000000"/>
        </w:rPr>
        <w:t>design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comprehension</w:t>
      </w:r>
      <w:proofErr w:type="spellEnd"/>
      <w:r>
        <w:rPr>
          <w:color w:val="000000"/>
        </w:rPr>
        <w:t xml:space="preserve"> (100%). </w:t>
      </w:r>
      <w:proofErr w:type="spellStart"/>
      <w:r>
        <w:rPr>
          <w:color w:val="000000"/>
        </w:rPr>
        <w:t>However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some</w:t>
      </w:r>
      <w:proofErr w:type="spellEnd"/>
      <w:r>
        <w:rPr>
          <w:color w:val="000000"/>
        </w:rPr>
        <w:t xml:space="preserve"> individual </w:t>
      </w:r>
      <w:proofErr w:type="spellStart"/>
      <w:r>
        <w:rPr>
          <w:color w:val="000000"/>
        </w:rPr>
        <w:t>items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showed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below</w:t>
      </w:r>
      <w:proofErr w:type="spellEnd"/>
      <w:r>
        <w:rPr>
          <w:color w:val="000000"/>
        </w:rPr>
        <w:t xml:space="preserve"> 90%: </w:t>
      </w:r>
      <w:proofErr w:type="spellStart"/>
      <w:r>
        <w:rPr>
          <w:color w:val="000000"/>
        </w:rPr>
        <w:t>clarity</w:t>
      </w:r>
      <w:proofErr w:type="spellEnd"/>
      <w:r>
        <w:rPr>
          <w:color w:val="000000"/>
        </w:rPr>
        <w:t xml:space="preserve"> (85.71%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items</w:t>
      </w:r>
      <w:proofErr w:type="spellEnd"/>
      <w:r>
        <w:rPr>
          <w:color w:val="000000"/>
        </w:rPr>
        <w:t xml:space="preserve"> 1, 4, 5, 7, 11, and 12), </w:t>
      </w:r>
      <w:proofErr w:type="spellStart"/>
      <w:r>
        <w:rPr>
          <w:color w:val="000000"/>
        </w:rPr>
        <w:t>relevance</w:t>
      </w:r>
      <w:proofErr w:type="spellEnd"/>
      <w:r>
        <w:rPr>
          <w:color w:val="000000"/>
        </w:rPr>
        <w:t xml:space="preserve"> (85.71%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items</w:t>
      </w:r>
      <w:proofErr w:type="spellEnd"/>
      <w:r>
        <w:rPr>
          <w:color w:val="000000"/>
        </w:rPr>
        <w:t xml:space="preserve"> 5, 7, 9, 12, and 15), </w:t>
      </w:r>
      <w:sdt>
        <w:sdtPr>
          <w:tag w:val="goog_rdk_10"/>
          <w:id w:val="-527329281"/>
        </w:sdtPr>
        <w:sdtEndPr/>
        <w:sdtContent/>
      </w:sdt>
      <w:sdt>
        <w:sdtPr>
          <w:tag w:val="goog_rdk_11"/>
          <w:id w:val="2052341602"/>
        </w:sdtPr>
        <w:sdtEndPr/>
        <w:sdtContent/>
      </w:sdt>
      <w:r>
        <w:rPr>
          <w:color w:val="000000"/>
        </w:rPr>
        <w:t xml:space="preserve">and </w:t>
      </w:r>
      <w:proofErr w:type="spellStart"/>
      <w:r>
        <w:rPr>
          <w:color w:val="000000"/>
        </w:rPr>
        <w:t>design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comprehension</w:t>
      </w:r>
      <w:proofErr w:type="spellEnd"/>
      <w:r>
        <w:rPr>
          <w:color w:val="000000"/>
        </w:rPr>
        <w:t xml:space="preserve"> (71.43%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item</w:t>
      </w:r>
      <w:proofErr w:type="spellEnd"/>
      <w:r>
        <w:rPr>
          <w:color w:val="000000"/>
        </w:rPr>
        <w:t xml:space="preserve"> 11). </w:t>
      </w:r>
    </w:p>
    <w:p w14:paraId="0000014A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In the </w:t>
      </w:r>
      <w:proofErr w:type="spellStart"/>
      <w:r>
        <w:rPr>
          <w:color w:val="000000"/>
        </w:rPr>
        <w:t>qualitative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analysis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uncertainty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regarding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term</w:t>
      </w:r>
      <w:proofErr w:type="spellEnd"/>
      <w:r>
        <w:rPr>
          <w:color w:val="000000"/>
        </w:rPr>
        <w:t xml:space="preserve"> "</w:t>
      </w:r>
      <w:proofErr w:type="spellStart"/>
      <w:r>
        <w:rPr>
          <w:color w:val="000000"/>
        </w:rPr>
        <w:t>supervision</w:t>
      </w:r>
      <w:proofErr w:type="spellEnd"/>
      <w:r>
        <w:rPr>
          <w:color w:val="000000"/>
        </w:rPr>
        <w:t xml:space="preserve">" in </w:t>
      </w:r>
      <w:proofErr w:type="spellStart"/>
      <w:r>
        <w:rPr>
          <w:color w:val="000000"/>
        </w:rPr>
        <w:t>item</w:t>
      </w:r>
      <w:proofErr w:type="spellEnd"/>
      <w:r>
        <w:rPr>
          <w:color w:val="000000"/>
        </w:rPr>
        <w:t xml:space="preserve"> 9,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changed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"</w:t>
      </w:r>
      <w:proofErr w:type="spellStart"/>
      <w:r>
        <w:rPr>
          <w:color w:val="000000"/>
        </w:rPr>
        <w:t>presence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assistance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adult</w:t>
      </w:r>
      <w:proofErr w:type="spellEnd"/>
      <w:r>
        <w:rPr>
          <w:color w:val="000000"/>
        </w:rPr>
        <w:t xml:space="preserve">." </w:t>
      </w:r>
      <w:proofErr w:type="spellStart"/>
      <w:r>
        <w:rPr>
          <w:color w:val="000000"/>
        </w:rPr>
        <w:t>Also</w:t>
      </w:r>
      <w:proofErr w:type="spellEnd"/>
      <w:r>
        <w:rPr>
          <w:color w:val="000000"/>
        </w:rPr>
        <w:t xml:space="preserve">, in </w:t>
      </w:r>
      <w:proofErr w:type="spellStart"/>
      <w:r>
        <w:rPr>
          <w:color w:val="000000"/>
        </w:rPr>
        <w:t>item</w:t>
      </w:r>
      <w:proofErr w:type="spellEnd"/>
      <w:r>
        <w:rPr>
          <w:color w:val="000000"/>
        </w:rPr>
        <w:t xml:space="preserve"> 8, the </w:t>
      </w:r>
      <w:proofErr w:type="spellStart"/>
      <w:r>
        <w:rPr>
          <w:color w:val="000000"/>
        </w:rPr>
        <w:t>term</w:t>
      </w:r>
      <w:proofErr w:type="spellEnd"/>
      <w:r>
        <w:rPr>
          <w:color w:val="000000"/>
        </w:rPr>
        <w:t xml:space="preserve"> "</w:t>
      </w:r>
      <w:proofErr w:type="spellStart"/>
      <w:r>
        <w:rPr>
          <w:color w:val="000000"/>
        </w:rPr>
        <w:t>falls</w:t>
      </w:r>
      <w:proofErr w:type="spellEnd"/>
      <w:r>
        <w:rPr>
          <w:color w:val="000000"/>
        </w:rPr>
        <w:t xml:space="preserve">"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changed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"</w:t>
      </w:r>
      <w:proofErr w:type="spellStart"/>
      <w:r>
        <w:rPr>
          <w:color w:val="000000"/>
        </w:rPr>
        <w:t>trips</w:t>
      </w:r>
      <w:proofErr w:type="spellEnd"/>
      <w:r>
        <w:rPr>
          <w:color w:val="000000"/>
        </w:rPr>
        <w:t xml:space="preserve">"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avoid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ambiguity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participants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commented</w:t>
      </w:r>
      <w:proofErr w:type="spellEnd"/>
      <w:r>
        <w:rPr>
          <w:color w:val="000000"/>
        </w:rPr>
        <w:t xml:space="preserve"> at the </w:t>
      </w:r>
      <w:proofErr w:type="spellStart"/>
      <w:r>
        <w:rPr>
          <w:color w:val="000000"/>
        </w:rPr>
        <w:t>end</w:t>
      </w:r>
      <w:proofErr w:type="spellEnd"/>
      <w:r>
        <w:rPr>
          <w:color w:val="000000"/>
        </w:rPr>
        <w:t xml:space="preserve"> of the </w:t>
      </w:r>
      <w:proofErr w:type="spellStart"/>
      <w:r>
        <w:rPr>
          <w:color w:val="000000"/>
        </w:rPr>
        <w:t>questionnaire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questions</w:t>
      </w:r>
      <w:proofErr w:type="spellEnd"/>
      <w:r>
        <w:rPr>
          <w:color w:val="000000"/>
        </w:rPr>
        <w:t xml:space="preserve"> and figures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comprehensible.</w:t>
      </w:r>
    </w:p>
    <w:p w14:paraId="0000014B" w14:textId="77777777" w:rsidR="00C57DD8" w:rsidRDefault="00C57DD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000014C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Discussion</w:t>
      </w:r>
      <w:proofErr w:type="spellEnd"/>
      <w:r>
        <w:rPr>
          <w:b/>
          <w:color w:val="000000"/>
        </w:rPr>
        <w:t xml:space="preserve"> and </w:t>
      </w:r>
      <w:proofErr w:type="spellStart"/>
      <w:r>
        <w:rPr>
          <w:b/>
          <w:color w:val="000000"/>
        </w:rPr>
        <w:t>Conclusion</w:t>
      </w:r>
      <w:proofErr w:type="spellEnd"/>
    </w:p>
    <w:p w14:paraId="0000014D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The </w:t>
      </w:r>
      <w:proofErr w:type="spellStart"/>
      <w:r>
        <w:rPr>
          <w:color w:val="000000"/>
        </w:rPr>
        <w:t>aim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analyze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content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validity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evidence</w:t>
      </w:r>
      <w:proofErr w:type="spellEnd"/>
      <w:r>
        <w:rPr>
          <w:color w:val="000000"/>
        </w:rPr>
        <w:t xml:space="preserve"> of BAFE-</w:t>
      </w:r>
      <w:proofErr w:type="spellStart"/>
      <w:r>
        <w:rPr>
          <w:color w:val="000000"/>
        </w:rPr>
        <w:t>inf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first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piece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validity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evidence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be </w:t>
      </w:r>
      <w:proofErr w:type="spellStart"/>
      <w:r>
        <w:rPr>
          <w:color w:val="000000"/>
        </w:rPr>
        <w:t>analyzed</w:t>
      </w:r>
      <w:proofErr w:type="spellEnd"/>
      <w:r>
        <w:rPr>
          <w:color w:val="000000"/>
        </w:rPr>
        <w:t xml:space="preserve">, as </w:t>
      </w:r>
      <w:proofErr w:type="spellStart"/>
      <w:r>
        <w:rPr>
          <w:color w:val="000000"/>
        </w:rPr>
        <w:t>recommended</w:t>
      </w:r>
      <w:proofErr w:type="spellEnd"/>
      <w:r>
        <w:rPr>
          <w:color w:val="000000"/>
        </w:rPr>
        <w:t xml:space="preserve"> (AERA et al., 2014; </w:t>
      </w:r>
      <w:proofErr w:type="spellStart"/>
      <w:r>
        <w:rPr>
          <w:color w:val="000000"/>
        </w:rPr>
        <w:t>Almanasreh</w:t>
      </w:r>
      <w:proofErr w:type="spellEnd"/>
      <w:r>
        <w:rPr>
          <w:color w:val="000000"/>
        </w:rPr>
        <w:t xml:space="preserve"> et al., 2018). The </w:t>
      </w:r>
      <w:proofErr w:type="spellStart"/>
      <w:r>
        <w:rPr>
          <w:color w:val="000000"/>
        </w:rPr>
        <w:t>analysis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involved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expert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judges</w:t>
      </w:r>
      <w:proofErr w:type="spellEnd"/>
      <w:r>
        <w:rPr>
          <w:color w:val="000000"/>
        </w:rPr>
        <w:t xml:space="preserve"> and the target </w:t>
      </w:r>
      <w:proofErr w:type="spellStart"/>
      <w:r>
        <w:rPr>
          <w:color w:val="000000"/>
        </w:rPr>
        <w:t>population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consisted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ten </w:t>
      </w:r>
      <w:proofErr w:type="spellStart"/>
      <w:r>
        <w:rPr>
          <w:color w:val="000000"/>
        </w:rPr>
        <w:t>who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evaluated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computerized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instruments</w:t>
      </w:r>
      <w:proofErr w:type="spellEnd"/>
      <w:r>
        <w:rPr>
          <w:color w:val="000000"/>
        </w:rPr>
        <w:t xml:space="preserve">, and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evaluated</w:t>
      </w:r>
      <w:proofErr w:type="spellEnd"/>
      <w:r>
        <w:rPr>
          <w:color w:val="000000"/>
        </w:rPr>
        <w:t xml:space="preserve"> the EFEC-</w:t>
      </w:r>
      <w:proofErr w:type="spellStart"/>
      <w:r>
        <w:rPr>
          <w:color w:val="000000"/>
        </w:rPr>
        <w:t>parents</w:t>
      </w:r>
      <w:proofErr w:type="spellEnd"/>
      <w:r>
        <w:rPr>
          <w:color w:val="000000"/>
        </w:rPr>
        <w:t xml:space="preserve">. The responses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subjected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quantitative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qualitative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analyses</w:t>
      </w:r>
      <w:proofErr w:type="spellEnd"/>
      <w:r>
        <w:rPr>
          <w:color w:val="000000"/>
        </w:rPr>
        <w:t xml:space="preserve">. The </w:t>
      </w:r>
      <w:proofErr w:type="spellStart"/>
      <w:r>
        <w:rPr>
          <w:color w:val="000000"/>
        </w:rPr>
        <w:t>quantitative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analyses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calculations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content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validity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indices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indices</w:t>
      </w:r>
      <w:proofErr w:type="spellEnd"/>
      <w:r>
        <w:rPr>
          <w:color w:val="000000"/>
        </w:rPr>
        <w:t xml:space="preserve"> (Alexandre &amp; </w:t>
      </w:r>
      <w:proofErr w:type="spellStart"/>
      <w:r>
        <w:rPr>
          <w:color w:val="000000"/>
        </w:rPr>
        <w:t>Coluci</w:t>
      </w:r>
      <w:proofErr w:type="spellEnd"/>
      <w:r>
        <w:rPr>
          <w:color w:val="000000"/>
        </w:rPr>
        <w:t xml:space="preserve">, 2011; </w:t>
      </w:r>
      <w:proofErr w:type="spellStart"/>
      <w:r>
        <w:rPr>
          <w:color w:val="000000"/>
        </w:rPr>
        <w:t>Almanasreh</w:t>
      </w:r>
      <w:proofErr w:type="spellEnd"/>
      <w:r>
        <w:rPr>
          <w:color w:val="000000"/>
        </w:rPr>
        <w:t xml:space="preserve"> et al., 2018).</w:t>
      </w:r>
    </w:p>
    <w:p w14:paraId="0000014E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Experts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materials</w:t>
      </w:r>
      <w:proofErr w:type="spellEnd"/>
      <w:r>
        <w:rPr>
          <w:color w:val="000000"/>
        </w:rPr>
        <w:t xml:space="preserve"> and response </w:t>
      </w:r>
      <w:proofErr w:type="spellStart"/>
      <w:r>
        <w:rPr>
          <w:color w:val="000000"/>
        </w:rPr>
        <w:t>forms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analysis</w:t>
      </w:r>
      <w:proofErr w:type="spellEnd"/>
      <w:r>
        <w:rPr>
          <w:color w:val="000000"/>
        </w:rPr>
        <w:t xml:space="preserve">. The </w:t>
      </w:r>
      <w:proofErr w:type="spellStart"/>
      <w:r>
        <w:rPr>
          <w:color w:val="000000"/>
        </w:rPr>
        <w:t>quantitative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judges</w:t>
      </w:r>
      <w:proofErr w:type="spellEnd"/>
      <w:r>
        <w:rPr>
          <w:color w:val="000000"/>
        </w:rPr>
        <w:t xml:space="preserve">' </w:t>
      </w:r>
      <w:proofErr w:type="spellStart"/>
      <w:r>
        <w:rPr>
          <w:color w:val="000000"/>
        </w:rPr>
        <w:t>analysis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showed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percentage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above</w:t>
      </w:r>
      <w:proofErr w:type="spellEnd"/>
      <w:r>
        <w:rPr>
          <w:color w:val="000000"/>
        </w:rPr>
        <w:t xml:space="preserve"> 0.90 and a </w:t>
      </w:r>
      <w:proofErr w:type="spellStart"/>
      <w:r>
        <w:rPr>
          <w:color w:val="000000"/>
        </w:rPr>
        <w:t>CVCa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above</w:t>
      </w:r>
      <w:proofErr w:type="spellEnd"/>
      <w:r>
        <w:rPr>
          <w:color w:val="000000"/>
        </w:rPr>
        <w:t xml:space="preserve"> 0.80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clarity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pertinence</w:t>
      </w:r>
      <w:proofErr w:type="spellEnd"/>
      <w:r>
        <w:rPr>
          <w:color w:val="000000"/>
        </w:rPr>
        <w:t xml:space="preserve">, and </w:t>
      </w:r>
      <w:proofErr w:type="spellStart"/>
      <w:r>
        <w:rPr>
          <w:color w:val="000000"/>
        </w:rPr>
        <w:t>comprehension</w:t>
      </w:r>
      <w:proofErr w:type="spellEnd"/>
      <w:r>
        <w:rPr>
          <w:color w:val="000000"/>
        </w:rPr>
        <w:t xml:space="preserve"> of the </w:t>
      </w:r>
      <w:proofErr w:type="spellStart"/>
      <w:r>
        <w:rPr>
          <w:color w:val="000000"/>
        </w:rPr>
        <w:t>design</w:t>
      </w:r>
      <w:proofErr w:type="spellEnd"/>
      <w:r>
        <w:rPr>
          <w:color w:val="000000"/>
        </w:rPr>
        <w:t xml:space="preserve"> of the </w:t>
      </w:r>
      <w:proofErr w:type="spellStart"/>
      <w:r>
        <w:rPr>
          <w:color w:val="000000"/>
        </w:rPr>
        <w:t>instruments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both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considered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adequate</w:t>
      </w:r>
      <w:proofErr w:type="spellEnd"/>
      <w:r>
        <w:rPr>
          <w:color w:val="000000"/>
        </w:rPr>
        <w:t xml:space="preserve"> (Hernández-Nieto, 2002; </w:t>
      </w:r>
      <w:proofErr w:type="spellStart"/>
      <w:r>
        <w:rPr>
          <w:color w:val="000000"/>
        </w:rPr>
        <w:t>Stemler</w:t>
      </w:r>
      <w:proofErr w:type="spellEnd"/>
      <w:r>
        <w:rPr>
          <w:color w:val="000000"/>
        </w:rPr>
        <w:t xml:space="preserve">, 2004).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suggests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BAFE-</w:t>
      </w:r>
      <w:proofErr w:type="spellStart"/>
      <w:r>
        <w:rPr>
          <w:color w:val="000000"/>
        </w:rPr>
        <w:t>inf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possesses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appropriate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instruments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working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memory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inhibition</w:t>
      </w:r>
      <w:proofErr w:type="spellEnd"/>
      <w:r>
        <w:rPr>
          <w:color w:val="000000"/>
        </w:rPr>
        <w:t xml:space="preserve">, and cognitive </w:t>
      </w:r>
      <w:proofErr w:type="spellStart"/>
      <w:r>
        <w:rPr>
          <w:color w:val="000000"/>
        </w:rPr>
        <w:t>flexibility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Diamond</w:t>
      </w:r>
      <w:proofErr w:type="spellEnd"/>
      <w:r>
        <w:rPr>
          <w:color w:val="000000"/>
        </w:rPr>
        <w:t xml:space="preserve">, 2013, 2020; </w:t>
      </w:r>
      <w:proofErr w:type="spellStart"/>
      <w:r>
        <w:rPr>
          <w:color w:val="000000"/>
        </w:rPr>
        <w:t>Doğru</w:t>
      </w:r>
      <w:proofErr w:type="spellEnd"/>
      <w:r>
        <w:rPr>
          <w:color w:val="000000"/>
        </w:rPr>
        <w:t xml:space="preserve"> et al., 2023; </w:t>
      </w:r>
      <w:proofErr w:type="spellStart"/>
      <w:r>
        <w:rPr>
          <w:color w:val="000000"/>
        </w:rPr>
        <w:t>Nweze</w:t>
      </w:r>
      <w:proofErr w:type="spellEnd"/>
      <w:r>
        <w:rPr>
          <w:color w:val="000000"/>
        </w:rPr>
        <w:t xml:space="preserve"> &amp; </w:t>
      </w:r>
      <w:proofErr w:type="spellStart"/>
      <w:r>
        <w:rPr>
          <w:color w:val="000000"/>
        </w:rPr>
        <w:t>Nwani</w:t>
      </w:r>
      <w:proofErr w:type="spellEnd"/>
      <w:r>
        <w:rPr>
          <w:color w:val="000000"/>
        </w:rPr>
        <w:t xml:space="preserve">, 2020; </w:t>
      </w:r>
      <w:proofErr w:type="spellStart"/>
      <w:r>
        <w:rPr>
          <w:color w:val="000000"/>
        </w:rPr>
        <w:t>Souissi</w:t>
      </w:r>
      <w:proofErr w:type="spellEnd"/>
      <w:r>
        <w:rPr>
          <w:color w:val="000000"/>
        </w:rPr>
        <w:t xml:space="preserve"> et al., 2022; </w:t>
      </w:r>
      <w:proofErr w:type="spellStart"/>
      <w:r>
        <w:rPr>
          <w:color w:val="000000"/>
        </w:rPr>
        <w:t>Theodoraki</w:t>
      </w:r>
      <w:proofErr w:type="spellEnd"/>
      <w:r>
        <w:rPr>
          <w:color w:val="000000"/>
        </w:rPr>
        <w:t xml:space="preserve"> et al., 2020) as per AERA et al. (2014).</w:t>
      </w:r>
    </w:p>
    <w:p w14:paraId="0000014F" w14:textId="3F052FDB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items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instructions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had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CVCa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above</w:t>
      </w:r>
      <w:proofErr w:type="spellEnd"/>
      <w:r>
        <w:rPr>
          <w:color w:val="000000"/>
        </w:rPr>
        <w:t xml:space="preserve"> 0.80. </w:t>
      </w:r>
      <w:proofErr w:type="spellStart"/>
      <w:r>
        <w:rPr>
          <w:color w:val="000000"/>
        </w:rPr>
        <w:t>However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disagreement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experts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regarding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clarity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pertinence</w:t>
      </w:r>
      <w:proofErr w:type="spellEnd"/>
      <w:r>
        <w:rPr>
          <w:color w:val="000000"/>
        </w:rPr>
        <w:t xml:space="preserve">, and </w:t>
      </w:r>
      <w:proofErr w:type="spellStart"/>
      <w:r>
        <w:rPr>
          <w:color w:val="000000"/>
        </w:rPr>
        <w:t>comprehension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design</w:t>
      </w:r>
      <w:proofErr w:type="spellEnd"/>
      <w:r>
        <w:rPr>
          <w:color w:val="000000"/>
        </w:rPr>
        <w:t xml:space="preserve"> in the </w:t>
      </w:r>
      <w:proofErr w:type="spellStart"/>
      <w:r>
        <w:rPr>
          <w:color w:val="000000"/>
        </w:rPr>
        <w:t>Part</w:t>
      </w:r>
      <w:proofErr w:type="spellEnd"/>
      <w:r>
        <w:rPr>
          <w:color w:val="000000"/>
        </w:rPr>
        <w:t xml:space="preserve"> B of VPC and </w:t>
      </w:r>
      <w:proofErr w:type="spellStart"/>
      <w:r>
        <w:rPr>
          <w:color w:val="000000"/>
        </w:rPr>
        <w:t>some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items</w:t>
      </w:r>
      <w:proofErr w:type="spellEnd"/>
      <w:r>
        <w:rPr>
          <w:color w:val="000000"/>
        </w:rPr>
        <w:t xml:space="preserve"> of EFEC-</w:t>
      </w:r>
      <w:proofErr w:type="spellStart"/>
      <w:r>
        <w:rPr>
          <w:color w:val="000000"/>
        </w:rPr>
        <w:t>parents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resulting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below</w:t>
      </w:r>
      <w:proofErr w:type="spellEnd"/>
      <w:r>
        <w:rPr>
          <w:color w:val="000000"/>
        </w:rPr>
        <w:t xml:space="preserve"> 0.90. </w:t>
      </w:r>
      <w:proofErr w:type="spellStart"/>
      <w:r w:rsidR="00F03219" w:rsidRPr="00F03219">
        <w:rPr>
          <w:color w:val="000000"/>
        </w:rPr>
        <w:t>Qualitative</w:t>
      </w:r>
      <w:proofErr w:type="spellEnd"/>
      <w:r w:rsidR="00F03219" w:rsidRPr="00F03219">
        <w:rPr>
          <w:color w:val="000000"/>
        </w:rPr>
        <w:t xml:space="preserve"> </w:t>
      </w:r>
      <w:proofErr w:type="spellStart"/>
      <w:r w:rsidR="00F03219" w:rsidRPr="00F03219">
        <w:rPr>
          <w:color w:val="000000"/>
        </w:rPr>
        <w:t>analysis</w:t>
      </w:r>
      <w:proofErr w:type="spellEnd"/>
      <w:r w:rsidR="00F03219" w:rsidRPr="00F03219">
        <w:rPr>
          <w:color w:val="000000"/>
        </w:rPr>
        <w:t xml:space="preserve"> </w:t>
      </w:r>
      <w:proofErr w:type="spellStart"/>
      <w:r w:rsidR="00F03219" w:rsidRPr="00F03219">
        <w:rPr>
          <w:color w:val="000000"/>
        </w:rPr>
        <w:t>revealed</w:t>
      </w:r>
      <w:proofErr w:type="spellEnd"/>
      <w:r w:rsidR="00F03219" w:rsidRPr="00F03219">
        <w:rPr>
          <w:color w:val="000000"/>
        </w:rPr>
        <w:t xml:space="preserve"> </w:t>
      </w:r>
      <w:proofErr w:type="spellStart"/>
      <w:r w:rsidR="00F03219" w:rsidRPr="00F03219">
        <w:rPr>
          <w:color w:val="000000"/>
        </w:rPr>
        <w:t>that</w:t>
      </w:r>
      <w:proofErr w:type="spellEnd"/>
      <w:r w:rsidR="00F03219" w:rsidRPr="00F03219">
        <w:rPr>
          <w:color w:val="000000"/>
        </w:rPr>
        <w:t xml:space="preserve"> the negative </w:t>
      </w:r>
      <w:proofErr w:type="spellStart"/>
      <w:r w:rsidR="00F03219" w:rsidRPr="00F03219">
        <w:rPr>
          <w:color w:val="000000"/>
        </w:rPr>
        <w:t>evaluation</w:t>
      </w:r>
      <w:proofErr w:type="spellEnd"/>
      <w:r w:rsidR="00F03219" w:rsidRPr="00F03219">
        <w:rPr>
          <w:color w:val="000000"/>
        </w:rPr>
        <w:t xml:space="preserve"> of </w:t>
      </w:r>
      <w:proofErr w:type="spellStart"/>
      <w:r w:rsidR="00F03219" w:rsidRPr="00F03219">
        <w:rPr>
          <w:color w:val="000000"/>
        </w:rPr>
        <w:t>part</w:t>
      </w:r>
      <w:proofErr w:type="spellEnd"/>
      <w:r w:rsidR="00F03219" w:rsidRPr="00F03219">
        <w:rPr>
          <w:color w:val="000000"/>
        </w:rPr>
        <w:t xml:space="preserve"> B of the VPC </w:t>
      </w:r>
      <w:proofErr w:type="spellStart"/>
      <w:r w:rsidR="00F03219" w:rsidRPr="00F03219">
        <w:rPr>
          <w:color w:val="000000"/>
        </w:rPr>
        <w:t>by</w:t>
      </w:r>
      <w:proofErr w:type="spellEnd"/>
      <w:r w:rsidR="00F03219" w:rsidRPr="00F03219">
        <w:rPr>
          <w:color w:val="000000"/>
        </w:rPr>
        <w:t xml:space="preserve"> </w:t>
      </w:r>
      <w:proofErr w:type="spellStart"/>
      <w:r w:rsidR="00F03219" w:rsidRPr="00F03219">
        <w:rPr>
          <w:color w:val="000000"/>
        </w:rPr>
        <w:t>one</w:t>
      </w:r>
      <w:proofErr w:type="spellEnd"/>
      <w:r w:rsidR="00F03219" w:rsidRPr="00F03219">
        <w:rPr>
          <w:color w:val="000000"/>
        </w:rPr>
        <w:t xml:space="preserve"> </w:t>
      </w:r>
      <w:proofErr w:type="spellStart"/>
      <w:r w:rsidR="00F03219" w:rsidRPr="00F03219">
        <w:rPr>
          <w:color w:val="000000"/>
        </w:rPr>
        <w:t>evaluator</w:t>
      </w:r>
      <w:proofErr w:type="spellEnd"/>
      <w:r w:rsidR="00F03219" w:rsidRPr="00F03219">
        <w:rPr>
          <w:color w:val="000000"/>
        </w:rPr>
        <w:t xml:space="preserve"> </w:t>
      </w:r>
      <w:proofErr w:type="spellStart"/>
      <w:r w:rsidR="00F03219" w:rsidRPr="00F03219">
        <w:rPr>
          <w:color w:val="000000"/>
        </w:rPr>
        <w:t>was</w:t>
      </w:r>
      <w:proofErr w:type="spellEnd"/>
      <w:r w:rsidR="00F03219" w:rsidRPr="00F03219">
        <w:rPr>
          <w:color w:val="000000"/>
        </w:rPr>
        <w:t xml:space="preserve"> </w:t>
      </w:r>
      <w:proofErr w:type="spellStart"/>
      <w:r w:rsidR="00F03219" w:rsidRPr="00F03219">
        <w:rPr>
          <w:color w:val="000000"/>
        </w:rPr>
        <w:t>due</w:t>
      </w:r>
      <w:proofErr w:type="spellEnd"/>
      <w:r w:rsidR="00F03219" w:rsidRPr="00F03219">
        <w:rPr>
          <w:color w:val="000000"/>
        </w:rPr>
        <w:t xml:space="preserve"> </w:t>
      </w:r>
      <w:proofErr w:type="spellStart"/>
      <w:r w:rsidR="00F03219" w:rsidRPr="00F03219">
        <w:rPr>
          <w:color w:val="000000"/>
        </w:rPr>
        <w:t>to</w:t>
      </w:r>
      <w:proofErr w:type="spellEnd"/>
      <w:r w:rsidR="00F03219" w:rsidRPr="00F03219">
        <w:rPr>
          <w:color w:val="000000"/>
        </w:rPr>
        <w:t xml:space="preserve"> </w:t>
      </w:r>
      <w:proofErr w:type="spellStart"/>
      <w:r w:rsidR="00F03219" w:rsidRPr="00F03219">
        <w:rPr>
          <w:color w:val="000000"/>
        </w:rPr>
        <w:t>an</w:t>
      </w:r>
      <w:proofErr w:type="spellEnd"/>
      <w:r w:rsidR="00F03219" w:rsidRPr="00F03219">
        <w:rPr>
          <w:color w:val="000000"/>
        </w:rPr>
        <w:t xml:space="preserve"> </w:t>
      </w:r>
      <w:proofErr w:type="spellStart"/>
      <w:r w:rsidR="00F03219" w:rsidRPr="00F03219">
        <w:rPr>
          <w:color w:val="000000"/>
        </w:rPr>
        <w:t>issue</w:t>
      </w:r>
      <w:proofErr w:type="spellEnd"/>
      <w:r w:rsidR="00F03219" w:rsidRPr="00F03219">
        <w:rPr>
          <w:color w:val="000000"/>
        </w:rPr>
        <w:t xml:space="preserve"> of </w:t>
      </w:r>
      <w:proofErr w:type="spellStart"/>
      <w:r w:rsidR="00F03219" w:rsidRPr="00F03219">
        <w:rPr>
          <w:color w:val="000000"/>
        </w:rPr>
        <w:t>contrast</w:t>
      </w:r>
      <w:proofErr w:type="spellEnd"/>
      <w:r w:rsidR="00F03219" w:rsidRPr="00F03219">
        <w:rPr>
          <w:color w:val="000000"/>
        </w:rPr>
        <w:t xml:space="preserve"> of the figures, </w:t>
      </w:r>
      <w:proofErr w:type="spellStart"/>
      <w:r w:rsidR="00F03219" w:rsidRPr="00F03219">
        <w:rPr>
          <w:color w:val="000000"/>
        </w:rPr>
        <w:t>which</w:t>
      </w:r>
      <w:proofErr w:type="spellEnd"/>
      <w:r w:rsidR="00F03219" w:rsidRPr="00F03219">
        <w:rPr>
          <w:color w:val="000000"/>
        </w:rPr>
        <w:t xml:space="preserve"> </w:t>
      </w:r>
      <w:proofErr w:type="spellStart"/>
      <w:r w:rsidR="00F03219" w:rsidRPr="00F03219">
        <w:rPr>
          <w:color w:val="000000"/>
        </w:rPr>
        <w:t>was</w:t>
      </w:r>
      <w:proofErr w:type="spellEnd"/>
      <w:r w:rsidR="00F03219" w:rsidRPr="00F03219">
        <w:rPr>
          <w:color w:val="000000"/>
        </w:rPr>
        <w:t xml:space="preserve"> </w:t>
      </w:r>
      <w:proofErr w:type="spellStart"/>
      <w:r w:rsidR="00F03219" w:rsidRPr="00F03219">
        <w:rPr>
          <w:color w:val="000000"/>
        </w:rPr>
        <w:t>modified</w:t>
      </w:r>
      <w:proofErr w:type="spellEnd"/>
      <w:r w:rsidR="00F03219" w:rsidRPr="00F03219">
        <w:rPr>
          <w:color w:val="000000"/>
        </w:rPr>
        <w:t xml:space="preserve"> </w:t>
      </w:r>
      <w:proofErr w:type="spellStart"/>
      <w:r w:rsidR="00F03219" w:rsidRPr="00F03219">
        <w:rPr>
          <w:color w:val="000000"/>
        </w:rPr>
        <w:t>for</w:t>
      </w:r>
      <w:proofErr w:type="spellEnd"/>
      <w:r w:rsidR="00F03219" w:rsidRPr="00F03219">
        <w:rPr>
          <w:color w:val="000000"/>
        </w:rPr>
        <w:t xml:space="preserve"> </w:t>
      </w:r>
      <w:proofErr w:type="spellStart"/>
      <w:r w:rsidR="00F03219" w:rsidRPr="00F03219">
        <w:rPr>
          <w:color w:val="000000"/>
        </w:rPr>
        <w:t>improvement</w:t>
      </w:r>
      <w:proofErr w:type="spellEnd"/>
      <w:r w:rsidR="00F03219" w:rsidRPr="00F03219">
        <w:rPr>
          <w:color w:val="000000"/>
        </w:rPr>
        <w:t>.</w:t>
      </w:r>
      <w:r w:rsidR="00F03219">
        <w:rPr>
          <w:color w:val="000000"/>
        </w:rPr>
        <w:t xml:space="preserve"> </w:t>
      </w:r>
      <w:proofErr w:type="spellStart"/>
      <w:r>
        <w:rPr>
          <w:color w:val="000000"/>
        </w:rPr>
        <w:t>Regarding</w:t>
      </w:r>
      <w:proofErr w:type="spellEnd"/>
      <w:r>
        <w:rPr>
          <w:color w:val="000000"/>
        </w:rPr>
        <w:t xml:space="preserve"> the EFEC-</w:t>
      </w:r>
      <w:proofErr w:type="spellStart"/>
      <w:r>
        <w:rPr>
          <w:color w:val="000000"/>
        </w:rPr>
        <w:t>parents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items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expert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disagreed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about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clarity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pertinence</w:t>
      </w:r>
      <w:proofErr w:type="spellEnd"/>
      <w:r>
        <w:rPr>
          <w:color w:val="000000"/>
        </w:rPr>
        <w:t xml:space="preserve">, and </w:t>
      </w:r>
      <w:proofErr w:type="spellStart"/>
      <w:r>
        <w:rPr>
          <w:color w:val="000000"/>
        </w:rPr>
        <w:t>design</w:t>
      </w:r>
      <w:proofErr w:type="spellEnd"/>
      <w:r>
        <w:rPr>
          <w:color w:val="000000"/>
        </w:rPr>
        <w:t xml:space="preserve"> of the </w:t>
      </w:r>
      <w:proofErr w:type="spellStart"/>
      <w:r>
        <w:rPr>
          <w:color w:val="000000"/>
        </w:rPr>
        <w:t>items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improvement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suggestions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analyzed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accepted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resulting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modifications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enhance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instrument</w:t>
      </w:r>
      <w:proofErr w:type="spellEnd"/>
      <w:r>
        <w:rPr>
          <w:color w:val="000000"/>
        </w:rPr>
        <w:t>.</w:t>
      </w:r>
    </w:p>
    <w:p w14:paraId="00000150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The target </w:t>
      </w:r>
      <w:proofErr w:type="spellStart"/>
      <w:r>
        <w:rPr>
          <w:color w:val="000000"/>
        </w:rPr>
        <w:t>population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participated</w:t>
      </w:r>
      <w:proofErr w:type="spellEnd"/>
      <w:r>
        <w:rPr>
          <w:color w:val="000000"/>
        </w:rPr>
        <w:t xml:space="preserve"> in the </w:t>
      </w:r>
      <w:proofErr w:type="spellStart"/>
      <w:r>
        <w:rPr>
          <w:color w:val="000000"/>
        </w:rPr>
        <w:t>analyses</w:t>
      </w:r>
      <w:proofErr w:type="spellEnd"/>
      <w:r>
        <w:rPr>
          <w:color w:val="000000"/>
        </w:rPr>
        <w:t xml:space="preserve">, similar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in Leal (2022). The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computerized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instruments</w:t>
      </w:r>
      <w:proofErr w:type="spellEnd"/>
      <w:r>
        <w:rPr>
          <w:color w:val="000000"/>
        </w:rPr>
        <w:t xml:space="preserve">, and the </w:t>
      </w:r>
      <w:proofErr w:type="spellStart"/>
      <w:r>
        <w:rPr>
          <w:color w:val="000000"/>
        </w:rPr>
        <w:t>scoring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mostly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adequate</w:t>
      </w:r>
      <w:proofErr w:type="spellEnd"/>
      <w:r>
        <w:rPr>
          <w:color w:val="000000"/>
        </w:rPr>
        <w:t xml:space="preserve"> (Hernández-Nieto, 2002; </w:t>
      </w:r>
      <w:proofErr w:type="spellStart"/>
      <w:r>
        <w:rPr>
          <w:color w:val="000000"/>
        </w:rPr>
        <w:t>Stemler</w:t>
      </w:r>
      <w:proofErr w:type="spellEnd"/>
      <w:r>
        <w:rPr>
          <w:color w:val="000000"/>
        </w:rPr>
        <w:t xml:space="preserve">, 2004).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asked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evaluate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ease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item</w:t>
      </w:r>
      <w:proofErr w:type="spellEnd"/>
      <w:r>
        <w:rPr>
          <w:color w:val="000000"/>
        </w:rPr>
        <w:t xml:space="preserve">, and in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characteristic</w:t>
      </w:r>
      <w:proofErr w:type="spellEnd"/>
      <w:r>
        <w:rPr>
          <w:color w:val="000000"/>
        </w:rPr>
        <w:t xml:space="preserve">, the </w:t>
      </w:r>
      <w:proofErr w:type="spellStart"/>
      <w:r>
        <w:rPr>
          <w:color w:val="000000"/>
        </w:rPr>
        <w:t>CVCa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indices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percentages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TIMTraC</w:t>
      </w:r>
      <w:proofErr w:type="spellEnd"/>
      <w:r>
        <w:rPr>
          <w:color w:val="000000"/>
        </w:rPr>
        <w:t xml:space="preserve"> and VPC in </w:t>
      </w:r>
      <w:proofErr w:type="spellStart"/>
      <w:r>
        <w:rPr>
          <w:color w:val="000000"/>
        </w:rPr>
        <w:t>groups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eight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nine</w:t>
      </w:r>
      <w:proofErr w:type="spellEnd"/>
      <w:r>
        <w:rPr>
          <w:color w:val="000000"/>
        </w:rPr>
        <w:t>, and ten-</w:t>
      </w:r>
      <w:proofErr w:type="spellStart"/>
      <w:r>
        <w:rPr>
          <w:color w:val="000000"/>
        </w:rPr>
        <w:t>year</w:t>
      </w:r>
      <w:proofErr w:type="spellEnd"/>
      <w:r>
        <w:rPr>
          <w:color w:val="000000"/>
        </w:rPr>
        <w:t>-</w:t>
      </w:r>
      <w:proofErr w:type="spellStart"/>
      <w:r>
        <w:rPr>
          <w:color w:val="000000"/>
        </w:rPr>
        <w:t>olds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resulted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values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below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expectations</w:t>
      </w:r>
      <w:proofErr w:type="spellEnd"/>
      <w:r>
        <w:rPr>
          <w:color w:val="000000"/>
        </w:rPr>
        <w:t>.</w:t>
      </w:r>
    </w:p>
    <w:p w14:paraId="00000151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These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discrepancies</w:t>
      </w:r>
      <w:proofErr w:type="spellEnd"/>
      <w:r>
        <w:rPr>
          <w:color w:val="000000"/>
        </w:rPr>
        <w:t xml:space="preserve"> can be </w:t>
      </w:r>
      <w:proofErr w:type="spellStart"/>
      <w:r>
        <w:rPr>
          <w:color w:val="000000"/>
        </w:rPr>
        <w:t>attributed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variability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latent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traits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working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memory</w:t>
      </w:r>
      <w:proofErr w:type="spellEnd"/>
      <w:r>
        <w:rPr>
          <w:color w:val="000000"/>
        </w:rPr>
        <w:t xml:space="preserve"> (Baddeley, 2012) and cognitive </w:t>
      </w:r>
      <w:proofErr w:type="spellStart"/>
      <w:r>
        <w:rPr>
          <w:color w:val="000000"/>
        </w:rPr>
        <w:t>flexibility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Diamond</w:t>
      </w:r>
      <w:proofErr w:type="spellEnd"/>
      <w:r>
        <w:rPr>
          <w:color w:val="000000"/>
        </w:rPr>
        <w:t xml:space="preserve">, 2013) </w:t>
      </w:r>
      <w:proofErr w:type="spellStart"/>
      <w:r>
        <w:rPr>
          <w:color w:val="000000"/>
        </w:rPr>
        <w:t>among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better</w:t>
      </w:r>
      <w:proofErr w:type="spellEnd"/>
      <w:r>
        <w:rPr>
          <w:color w:val="000000"/>
        </w:rPr>
        <w:t xml:space="preserve"> abilities </w:t>
      </w:r>
      <w:proofErr w:type="spellStart"/>
      <w:r>
        <w:rPr>
          <w:color w:val="000000"/>
        </w:rPr>
        <w:t>found</w:t>
      </w:r>
      <w:proofErr w:type="spellEnd"/>
      <w:r>
        <w:rPr>
          <w:color w:val="000000"/>
        </w:rPr>
        <w:t xml:space="preserve"> the tasks </w:t>
      </w:r>
      <w:proofErr w:type="spellStart"/>
      <w:r>
        <w:rPr>
          <w:color w:val="000000"/>
        </w:rPr>
        <w:t>easier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while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more </w:t>
      </w:r>
      <w:proofErr w:type="spellStart"/>
      <w:r>
        <w:rPr>
          <w:color w:val="000000"/>
        </w:rPr>
        <w:t>difficulty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harder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Additionally</w:t>
      </w:r>
      <w:proofErr w:type="spellEnd"/>
      <w:r>
        <w:rPr>
          <w:color w:val="000000"/>
        </w:rPr>
        <w:t xml:space="preserve">, social </w:t>
      </w:r>
      <w:proofErr w:type="spellStart"/>
      <w:r>
        <w:rPr>
          <w:color w:val="000000"/>
        </w:rPr>
        <w:t>desirability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influenced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results</w:t>
      </w:r>
      <w:proofErr w:type="spellEnd"/>
      <w:r>
        <w:rPr>
          <w:color w:val="000000"/>
        </w:rPr>
        <w:t xml:space="preserve">, as </w:t>
      </w:r>
      <w:proofErr w:type="spellStart"/>
      <w:r>
        <w:rPr>
          <w:color w:val="000000"/>
        </w:rPr>
        <w:t>some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reluctant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items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difficult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provided</w:t>
      </w:r>
      <w:proofErr w:type="spellEnd"/>
      <w:r>
        <w:rPr>
          <w:color w:val="000000"/>
        </w:rPr>
        <w:t xml:space="preserve"> positive </w:t>
      </w:r>
      <w:proofErr w:type="spellStart"/>
      <w:r>
        <w:rPr>
          <w:color w:val="000000"/>
        </w:rPr>
        <w:t>feedback</w:t>
      </w:r>
      <w:proofErr w:type="spellEnd"/>
      <w:r>
        <w:rPr>
          <w:color w:val="000000"/>
        </w:rPr>
        <w:t xml:space="preserve"> at the </w:t>
      </w:r>
      <w:proofErr w:type="spellStart"/>
      <w:r>
        <w:rPr>
          <w:color w:val="000000"/>
        </w:rPr>
        <w:t>end</w:t>
      </w:r>
      <w:proofErr w:type="spellEnd"/>
      <w:r>
        <w:rPr>
          <w:color w:val="000000"/>
        </w:rPr>
        <w:t>.</w:t>
      </w:r>
    </w:p>
    <w:p w14:paraId="00000152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When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considering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CVCa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values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each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instruction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item</w:t>
      </w:r>
      <w:proofErr w:type="spellEnd"/>
      <w:r>
        <w:rPr>
          <w:color w:val="000000"/>
        </w:rPr>
        <w:t xml:space="preserve">, the </w:t>
      </w:r>
      <w:proofErr w:type="spellStart"/>
      <w:r>
        <w:rPr>
          <w:color w:val="000000"/>
        </w:rPr>
        <w:t>only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below</w:t>
      </w:r>
      <w:proofErr w:type="spellEnd"/>
      <w:r>
        <w:rPr>
          <w:color w:val="000000"/>
        </w:rPr>
        <w:t xml:space="preserve"> 0.80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comprehension</w:t>
      </w:r>
      <w:proofErr w:type="spellEnd"/>
      <w:r>
        <w:rPr>
          <w:color w:val="000000"/>
        </w:rPr>
        <w:t xml:space="preserve"> of the </w:t>
      </w:r>
      <w:proofErr w:type="spellStart"/>
      <w:r>
        <w:rPr>
          <w:color w:val="000000"/>
        </w:rPr>
        <w:t>instruction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screen</w:t>
      </w:r>
      <w:proofErr w:type="spellEnd"/>
      <w:r>
        <w:rPr>
          <w:color w:val="000000"/>
        </w:rPr>
        <w:t xml:space="preserve"> </w:t>
      </w:r>
      <w:proofErr w:type="spellStart"/>
      <w:r>
        <w:t>one</w:t>
      </w:r>
      <w:proofErr w:type="spellEnd"/>
      <w:r>
        <w:rPr>
          <w:color w:val="000000"/>
        </w:rPr>
        <w:t xml:space="preserve"> of VPC,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had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value</w:t>
      </w:r>
      <w:proofErr w:type="spellEnd"/>
      <w:r>
        <w:rPr>
          <w:color w:val="000000"/>
        </w:rPr>
        <w:t xml:space="preserve"> of 0.78. </w:t>
      </w:r>
      <w:proofErr w:type="spellStart"/>
      <w:r>
        <w:rPr>
          <w:color w:val="000000"/>
        </w:rPr>
        <w:t>Qualitative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analyses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indicate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screen</w:t>
      </w:r>
      <w:proofErr w:type="spellEnd"/>
      <w:r>
        <w:rPr>
          <w:color w:val="000000"/>
        </w:rPr>
        <w:t xml:space="preserve"> </w:t>
      </w:r>
      <w:proofErr w:type="spellStart"/>
      <w:r>
        <w:t>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only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part</w:t>
      </w:r>
      <w:proofErr w:type="spellEnd"/>
      <w:r>
        <w:rPr>
          <w:color w:val="000000"/>
        </w:rPr>
        <w:t xml:space="preserve"> of the </w:t>
      </w:r>
      <w:proofErr w:type="spellStart"/>
      <w:r>
        <w:rPr>
          <w:color w:val="000000"/>
        </w:rPr>
        <w:t>instruction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complemented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screen</w:t>
      </w:r>
      <w:proofErr w:type="spellEnd"/>
      <w:r>
        <w:rPr>
          <w:color w:val="000000"/>
        </w:rPr>
        <w:t xml:space="preserve"> </w:t>
      </w:r>
      <w:proofErr w:type="spellStart"/>
      <w:r>
        <w:t>two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Upon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reaching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screen</w:t>
      </w:r>
      <w:proofErr w:type="spellEnd"/>
      <w:r>
        <w:rPr>
          <w:color w:val="000000"/>
        </w:rPr>
        <w:t xml:space="preserve"> </w:t>
      </w:r>
      <w:proofErr w:type="spellStart"/>
      <w:r>
        <w:t>two</w:t>
      </w:r>
      <w:proofErr w:type="spellEnd"/>
      <w:r>
        <w:rPr>
          <w:color w:val="000000"/>
        </w:rPr>
        <w:t xml:space="preserve">, the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understood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instruction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better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gave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higher</w:t>
      </w:r>
      <w:proofErr w:type="spellEnd"/>
      <w:r>
        <w:rPr>
          <w:color w:val="000000"/>
        </w:rPr>
        <w:t xml:space="preserve"> rating. The </w:t>
      </w:r>
      <w:proofErr w:type="spellStart"/>
      <w:r>
        <w:rPr>
          <w:color w:val="000000"/>
        </w:rPr>
        <w:t>division</w:t>
      </w:r>
      <w:proofErr w:type="spellEnd"/>
      <w:r>
        <w:rPr>
          <w:color w:val="000000"/>
        </w:rPr>
        <w:t xml:space="preserve"> of the </w:t>
      </w:r>
      <w:proofErr w:type="spellStart"/>
      <w:r>
        <w:rPr>
          <w:color w:val="000000"/>
        </w:rPr>
        <w:t>instruction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across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screens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modified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because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considering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costs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benefits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could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better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understand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instruction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presented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parts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a single </w:t>
      </w:r>
      <w:proofErr w:type="spellStart"/>
      <w:r>
        <w:rPr>
          <w:color w:val="000000"/>
        </w:rPr>
        <w:t>screen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where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denser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text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smaller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might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divert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attention</w:t>
      </w:r>
      <w:proofErr w:type="spellEnd"/>
      <w:r>
        <w:rPr>
          <w:color w:val="000000"/>
        </w:rPr>
        <w:t>.</w:t>
      </w:r>
    </w:p>
    <w:p w14:paraId="00000153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When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separated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groups</w:t>
      </w:r>
      <w:proofErr w:type="spellEnd"/>
      <w:r>
        <w:rPr>
          <w:color w:val="000000"/>
        </w:rPr>
        <w:t xml:space="preserve">, the </w:t>
      </w:r>
      <w:proofErr w:type="spellStart"/>
      <w:r>
        <w:rPr>
          <w:color w:val="000000"/>
        </w:rPr>
        <w:t>CVCa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ranged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between</w:t>
      </w:r>
      <w:proofErr w:type="spellEnd"/>
      <w:r>
        <w:rPr>
          <w:color w:val="000000"/>
        </w:rPr>
        <w:t xml:space="preserve"> 0.92 and 0.98, and the </w:t>
      </w:r>
      <w:proofErr w:type="spellStart"/>
      <w:r>
        <w:rPr>
          <w:color w:val="000000"/>
        </w:rPr>
        <w:t>concordance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1.0, </w:t>
      </w:r>
      <w:proofErr w:type="spellStart"/>
      <w:r>
        <w:rPr>
          <w:color w:val="000000"/>
        </w:rPr>
        <w:t>indicating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measures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appropriate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evidence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content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validity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intended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constructs</w:t>
      </w:r>
      <w:proofErr w:type="spellEnd"/>
      <w:r>
        <w:rPr>
          <w:color w:val="000000"/>
        </w:rPr>
        <w:t xml:space="preserve"> (AERA et al., 2014; Alexandre &amp; </w:t>
      </w:r>
      <w:proofErr w:type="spellStart"/>
      <w:r>
        <w:rPr>
          <w:color w:val="000000"/>
        </w:rPr>
        <w:t>Coluci</w:t>
      </w:r>
      <w:proofErr w:type="spellEnd"/>
      <w:r>
        <w:rPr>
          <w:color w:val="000000"/>
        </w:rPr>
        <w:t xml:space="preserve">, 2011; </w:t>
      </w:r>
      <w:proofErr w:type="spellStart"/>
      <w:r>
        <w:rPr>
          <w:color w:val="000000"/>
        </w:rPr>
        <w:t>Almanasreh</w:t>
      </w:r>
      <w:proofErr w:type="spellEnd"/>
      <w:r>
        <w:rPr>
          <w:color w:val="000000"/>
        </w:rPr>
        <w:t xml:space="preserve"> et al., 2018).</w:t>
      </w:r>
    </w:p>
    <w:p w14:paraId="00000154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Adults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between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six</w:t>
      </w:r>
      <w:proofErr w:type="spellEnd"/>
      <w:r>
        <w:rPr>
          <w:color w:val="000000"/>
        </w:rPr>
        <w:t xml:space="preserve"> and ten </w:t>
      </w:r>
      <w:proofErr w:type="spellStart"/>
      <w:r>
        <w:rPr>
          <w:color w:val="000000"/>
        </w:rPr>
        <w:t>years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evaluated</w:t>
      </w:r>
      <w:proofErr w:type="spellEnd"/>
      <w:r>
        <w:rPr>
          <w:color w:val="000000"/>
        </w:rPr>
        <w:t xml:space="preserve"> the EFEC-</w:t>
      </w:r>
      <w:proofErr w:type="spellStart"/>
      <w:r>
        <w:rPr>
          <w:color w:val="000000"/>
        </w:rPr>
        <w:t>parents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Suggestions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improvement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mother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items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considered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understandable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experts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demonstrated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importance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evaluation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the target </w:t>
      </w:r>
      <w:proofErr w:type="spellStart"/>
      <w:r>
        <w:rPr>
          <w:color w:val="000000"/>
        </w:rPr>
        <w:t>population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well</w:t>
      </w:r>
      <w:proofErr w:type="spellEnd"/>
      <w:r>
        <w:rPr>
          <w:color w:val="000000"/>
        </w:rPr>
        <w:t xml:space="preserve"> (Leal, 2022). The </w:t>
      </w:r>
      <w:proofErr w:type="spellStart"/>
      <w:r>
        <w:rPr>
          <w:color w:val="000000"/>
        </w:rPr>
        <w:t>CVCa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among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parents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both</w:t>
      </w:r>
      <w:proofErr w:type="spellEnd"/>
      <w:r>
        <w:rPr>
          <w:color w:val="000000"/>
        </w:rPr>
        <w:t xml:space="preserve"> in the </w:t>
      </w:r>
      <w:proofErr w:type="spellStart"/>
      <w:r>
        <w:rPr>
          <w:color w:val="000000"/>
        </w:rPr>
        <w:t>analysis</w:t>
      </w:r>
      <w:proofErr w:type="spellEnd"/>
      <w:r>
        <w:rPr>
          <w:color w:val="000000"/>
        </w:rPr>
        <w:t xml:space="preserve"> of the </w:t>
      </w:r>
      <w:proofErr w:type="spellStart"/>
      <w:r>
        <w:rPr>
          <w:color w:val="000000"/>
        </w:rPr>
        <w:t>scale</w:t>
      </w:r>
      <w:proofErr w:type="spellEnd"/>
      <w:r>
        <w:rPr>
          <w:color w:val="000000"/>
        </w:rPr>
        <w:t xml:space="preserve"> as a </w:t>
      </w:r>
      <w:proofErr w:type="spellStart"/>
      <w:r>
        <w:rPr>
          <w:color w:val="000000"/>
        </w:rPr>
        <w:t>whole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among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instructions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items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above</w:t>
      </w:r>
      <w:proofErr w:type="spellEnd"/>
      <w:r>
        <w:rPr>
          <w:color w:val="000000"/>
        </w:rPr>
        <w:t xml:space="preserve"> 0.80, </w:t>
      </w:r>
      <w:proofErr w:type="spellStart"/>
      <w:r>
        <w:rPr>
          <w:color w:val="000000"/>
        </w:rPr>
        <w:t>suggesting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adequacy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content-based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validity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evidence</w:t>
      </w:r>
      <w:proofErr w:type="spellEnd"/>
      <w:r>
        <w:rPr>
          <w:color w:val="000000"/>
        </w:rPr>
        <w:t xml:space="preserve"> of EFEC-</w:t>
      </w:r>
      <w:proofErr w:type="spellStart"/>
      <w:r>
        <w:rPr>
          <w:color w:val="000000"/>
        </w:rPr>
        <w:t>parents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Almanasreh</w:t>
      </w:r>
      <w:proofErr w:type="spellEnd"/>
      <w:r>
        <w:rPr>
          <w:color w:val="000000"/>
        </w:rPr>
        <w:t xml:space="preserve"> et al., 2018; Hernández-Nieto, 2002). </w:t>
      </w:r>
    </w:p>
    <w:p w14:paraId="00000155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The </w:t>
      </w:r>
      <w:proofErr w:type="spellStart"/>
      <w:r>
        <w:rPr>
          <w:color w:val="000000"/>
        </w:rPr>
        <w:t>indices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clarity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pertinence</w:t>
      </w:r>
      <w:proofErr w:type="spellEnd"/>
      <w:r>
        <w:rPr>
          <w:color w:val="000000"/>
        </w:rPr>
        <w:t xml:space="preserve">, and </w:t>
      </w:r>
      <w:proofErr w:type="spellStart"/>
      <w:r>
        <w:rPr>
          <w:color w:val="000000"/>
        </w:rPr>
        <w:t>design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comprehension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entire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above</w:t>
      </w:r>
      <w:proofErr w:type="spellEnd"/>
      <w:r>
        <w:rPr>
          <w:color w:val="000000"/>
        </w:rPr>
        <w:t xml:space="preserve"> 0.90. </w:t>
      </w:r>
      <w:proofErr w:type="spellStart"/>
      <w:r>
        <w:rPr>
          <w:color w:val="000000"/>
        </w:rPr>
        <w:t>However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some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items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showed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inadequate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concordance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percentages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Stemler</w:t>
      </w:r>
      <w:proofErr w:type="spellEnd"/>
      <w:r>
        <w:rPr>
          <w:color w:val="000000"/>
        </w:rPr>
        <w:t xml:space="preserve">, 2004), </w:t>
      </w:r>
      <w:proofErr w:type="spellStart"/>
      <w:r>
        <w:rPr>
          <w:color w:val="000000"/>
        </w:rPr>
        <w:t>mostly</w:t>
      </w:r>
      <w:proofErr w:type="spellEnd"/>
      <w:r>
        <w:rPr>
          <w:color w:val="000000"/>
        </w:rPr>
        <w:t xml:space="preserve"> 85.71%.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percentage</w:t>
      </w:r>
      <w:proofErr w:type="spellEnd"/>
      <w:r>
        <w:rPr>
          <w:color w:val="000000"/>
        </w:rPr>
        <w:t xml:space="preserve"> varies </w:t>
      </w:r>
      <w:proofErr w:type="spellStart"/>
      <w:r>
        <w:rPr>
          <w:color w:val="000000"/>
        </w:rPr>
        <w:t>according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size</w:t>
      </w:r>
      <w:proofErr w:type="spellEnd"/>
      <w:r>
        <w:rPr>
          <w:color w:val="000000"/>
        </w:rPr>
        <w:t xml:space="preserve"> of the </w:t>
      </w:r>
      <w:proofErr w:type="spellStart"/>
      <w:r>
        <w:rPr>
          <w:color w:val="000000"/>
        </w:rPr>
        <w:t>sample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group</w:t>
      </w:r>
      <w:proofErr w:type="spellEnd"/>
      <w:r>
        <w:rPr>
          <w:color w:val="000000"/>
        </w:rPr>
        <w:t xml:space="preserve">; the </w:t>
      </w:r>
      <w:proofErr w:type="spellStart"/>
      <w:r>
        <w:rPr>
          <w:color w:val="000000"/>
        </w:rPr>
        <w:t>disagreement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person</w:t>
      </w:r>
      <w:proofErr w:type="spellEnd"/>
      <w:r>
        <w:rPr>
          <w:color w:val="000000"/>
        </w:rPr>
        <w:t xml:space="preserve"> in a </w:t>
      </w:r>
      <w:proofErr w:type="spellStart"/>
      <w:r>
        <w:rPr>
          <w:color w:val="000000"/>
        </w:rPr>
        <w:t>group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seven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Nevertheless</w:t>
      </w:r>
      <w:proofErr w:type="spellEnd"/>
      <w:r>
        <w:rPr>
          <w:color w:val="000000"/>
        </w:rPr>
        <w:t xml:space="preserve">, the </w:t>
      </w:r>
      <w:proofErr w:type="spellStart"/>
      <w:r>
        <w:rPr>
          <w:color w:val="000000"/>
        </w:rPr>
        <w:t>suggestions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improvement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implemented</w:t>
      </w:r>
      <w:proofErr w:type="spellEnd"/>
      <w:r>
        <w:rPr>
          <w:color w:val="000000"/>
        </w:rPr>
        <w:t>.</w:t>
      </w:r>
    </w:p>
    <w:p w14:paraId="00000156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rPr>
          <w:color w:val="000000"/>
        </w:rPr>
        <w:t xml:space="preserve">The </w:t>
      </w:r>
      <w:proofErr w:type="spellStart"/>
      <w:r>
        <w:rPr>
          <w:color w:val="000000"/>
        </w:rPr>
        <w:t>results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study</w:t>
      </w:r>
      <w:proofErr w:type="spellEnd"/>
      <w:r>
        <w:rPr>
          <w:color w:val="000000"/>
        </w:rPr>
        <w:t xml:space="preserve"> reduce the </w:t>
      </w:r>
      <w:proofErr w:type="spellStart"/>
      <w:r>
        <w:rPr>
          <w:color w:val="000000"/>
        </w:rPr>
        <w:t>scarcity</w:t>
      </w:r>
      <w:proofErr w:type="spellEnd"/>
      <w:r>
        <w:rPr>
          <w:color w:val="000000"/>
        </w:rPr>
        <w:t xml:space="preserve"> (Berardi et al., 2021; Canet-</w:t>
      </w:r>
      <w:proofErr w:type="spellStart"/>
      <w:r>
        <w:rPr>
          <w:color w:val="000000"/>
        </w:rPr>
        <w:t>Juric</w:t>
      </w:r>
      <w:proofErr w:type="spellEnd"/>
      <w:r>
        <w:rPr>
          <w:color w:val="000000"/>
        </w:rPr>
        <w:t xml:space="preserve"> et al., 2021; </w:t>
      </w:r>
      <w:proofErr w:type="spellStart"/>
      <w:r>
        <w:rPr>
          <w:color w:val="000000"/>
        </w:rPr>
        <w:t>Kusi</w:t>
      </w:r>
      <w:proofErr w:type="spellEnd"/>
      <w:r>
        <w:rPr>
          <w:color w:val="000000"/>
        </w:rPr>
        <w:t xml:space="preserve">-Mensah et al., 2022b; Santana et al., 2019) of </w:t>
      </w:r>
      <w:proofErr w:type="spellStart"/>
      <w:r>
        <w:rPr>
          <w:color w:val="000000"/>
        </w:rPr>
        <w:t>computerized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instruments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basic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components</w:t>
      </w:r>
      <w:proofErr w:type="spellEnd"/>
      <w:r>
        <w:rPr>
          <w:color w:val="000000"/>
        </w:rPr>
        <w:t xml:space="preserve"> of EF, </w:t>
      </w:r>
      <w:proofErr w:type="spellStart"/>
      <w:r>
        <w:rPr>
          <w:color w:val="000000"/>
        </w:rPr>
        <w:t>designed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children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simple and </w:t>
      </w:r>
      <w:proofErr w:type="spellStart"/>
      <w:r>
        <w:rPr>
          <w:color w:val="000000"/>
        </w:rPr>
        <w:t>quick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application</w:t>
      </w:r>
      <w:proofErr w:type="spellEnd"/>
      <w:r>
        <w:rPr>
          <w:color w:val="000000"/>
        </w:rPr>
        <w:t xml:space="preserve">, and </w:t>
      </w:r>
      <w:proofErr w:type="spellStart"/>
      <w:r>
        <w:rPr>
          <w:color w:val="000000"/>
        </w:rPr>
        <w:t>good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validity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indices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facilitates</w:t>
      </w:r>
      <w:proofErr w:type="spellEnd"/>
      <w:r>
        <w:rPr>
          <w:color w:val="000000"/>
        </w:rPr>
        <w:t xml:space="preserve"> the </w:t>
      </w:r>
      <w:proofErr w:type="spellStart"/>
      <w:r>
        <w:rPr>
          <w:color w:val="000000"/>
        </w:rPr>
        <w:t>continuation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other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validity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analysis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processes</w:t>
      </w:r>
      <w:proofErr w:type="spellEnd"/>
      <w:r>
        <w:rPr>
          <w:color w:val="000000"/>
        </w:rPr>
        <w:t xml:space="preserve"> (AERA et al., 2014; </w:t>
      </w:r>
      <w:proofErr w:type="spellStart"/>
      <w:r>
        <w:rPr>
          <w:color w:val="000000"/>
        </w:rPr>
        <w:t>Almanasreh</w:t>
      </w:r>
      <w:proofErr w:type="spellEnd"/>
      <w:r>
        <w:rPr>
          <w:color w:val="000000"/>
        </w:rPr>
        <w:t xml:space="preserve"> et al., 2018)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later</w:t>
      </w:r>
      <w:proofErr w:type="spellEnd"/>
      <w:r>
        <w:rPr>
          <w:color w:val="000000"/>
        </w:rPr>
        <w:t xml:space="preserve"> use in </w:t>
      </w:r>
      <w:proofErr w:type="spellStart"/>
      <w:r>
        <w:rPr>
          <w:color w:val="000000"/>
        </w:rPr>
        <w:t>clinical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institutional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environments</w:t>
      </w:r>
      <w:proofErr w:type="spellEnd"/>
      <w:r>
        <w:rPr>
          <w:color w:val="000000"/>
        </w:rPr>
        <w:t>.</w:t>
      </w:r>
      <w:r>
        <w:t xml:space="preserve"> </w:t>
      </w:r>
    </w:p>
    <w:p w14:paraId="00000157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t xml:space="preserve">The </w:t>
      </w:r>
      <w:proofErr w:type="spellStart"/>
      <w:r>
        <w:t>analysis</w:t>
      </w:r>
      <w:proofErr w:type="spellEnd"/>
      <w:r>
        <w:t xml:space="preserve"> of BAFE-</w:t>
      </w:r>
      <w:proofErr w:type="spellStart"/>
      <w:r>
        <w:t>inf’s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validity</w:t>
      </w:r>
      <w:proofErr w:type="spellEnd"/>
      <w:r>
        <w:t xml:space="preserve"> </w:t>
      </w:r>
      <w:proofErr w:type="spellStart"/>
      <w:r>
        <w:t>confirmed</w:t>
      </w:r>
      <w:proofErr w:type="spellEnd"/>
      <w:r>
        <w:t xml:space="preserve"> the </w:t>
      </w:r>
      <w:proofErr w:type="spellStart"/>
      <w:r>
        <w:t>quality</w:t>
      </w:r>
      <w:proofErr w:type="spellEnd"/>
      <w:r>
        <w:t xml:space="preserve"> and </w:t>
      </w:r>
      <w:proofErr w:type="spellStart"/>
      <w:r>
        <w:t>utility</w:t>
      </w:r>
      <w:proofErr w:type="spellEnd"/>
      <w:r>
        <w:t xml:space="preserve"> of the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, </w:t>
      </w:r>
      <w:proofErr w:type="spellStart"/>
      <w:r>
        <w:t>demonstrating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accurately</w:t>
      </w:r>
      <w:proofErr w:type="spellEnd"/>
      <w:r>
        <w:t xml:space="preserve"> </w:t>
      </w:r>
      <w:proofErr w:type="spellStart"/>
      <w:r>
        <w:t>measure</w:t>
      </w:r>
      <w:proofErr w:type="spellEnd"/>
      <w:r>
        <w:t xml:space="preserve"> the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constructs</w:t>
      </w:r>
      <w:proofErr w:type="spellEnd"/>
      <w:r>
        <w:t xml:space="preserve">. The </w:t>
      </w:r>
      <w:proofErr w:type="spellStart"/>
      <w:r>
        <w:t>findings</w:t>
      </w:r>
      <w:proofErr w:type="spellEnd"/>
      <w:r>
        <w:t xml:space="preserve"> </w:t>
      </w:r>
      <w:proofErr w:type="spellStart"/>
      <w:r>
        <w:t>emphasized</w:t>
      </w:r>
      <w:proofErr w:type="spellEnd"/>
      <w:r>
        <w:t xml:space="preserve"> the </w:t>
      </w:r>
      <w:proofErr w:type="spellStart"/>
      <w:r>
        <w:t>importance</w:t>
      </w:r>
      <w:proofErr w:type="spellEnd"/>
      <w:r>
        <w:t xml:space="preserve"> of </w:t>
      </w:r>
      <w:proofErr w:type="spellStart"/>
      <w:r>
        <w:t>expert</w:t>
      </w:r>
      <w:proofErr w:type="spellEnd"/>
      <w:r>
        <w:t xml:space="preserve"> and target </w:t>
      </w:r>
      <w:proofErr w:type="spellStart"/>
      <w:r>
        <w:t>population</w:t>
      </w:r>
      <w:proofErr w:type="spellEnd"/>
      <w:r>
        <w:t xml:space="preserve"> input,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quantitative</w:t>
      </w:r>
      <w:proofErr w:type="spellEnd"/>
      <w:r>
        <w:t xml:space="preserve"> data </w:t>
      </w:r>
      <w:proofErr w:type="spellStart"/>
      <w:r>
        <w:t>showing</w:t>
      </w:r>
      <w:proofErr w:type="spellEnd"/>
      <w:r>
        <w:t xml:space="preserve"> </w:t>
      </w:r>
      <w:proofErr w:type="spellStart"/>
      <w:r>
        <w:t>consistent</w:t>
      </w:r>
      <w:proofErr w:type="spellEnd"/>
      <w:r>
        <w:t xml:space="preserve"> </w:t>
      </w:r>
      <w:proofErr w:type="spellStart"/>
      <w:r>
        <w:t>evaluations</w:t>
      </w:r>
      <w:proofErr w:type="spellEnd"/>
      <w:r>
        <w:t>. BAFE-</w:t>
      </w:r>
      <w:proofErr w:type="spellStart"/>
      <w:r>
        <w:t>inf</w:t>
      </w:r>
      <w:proofErr w:type="spellEnd"/>
      <w:r>
        <w:t xml:space="preserve">,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assess</w:t>
      </w:r>
      <w:proofErr w:type="spellEnd"/>
      <w:r>
        <w:t xml:space="preserve"> EF in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aged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10,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 the gap in </w:t>
      </w:r>
      <w:proofErr w:type="spellStart"/>
      <w:r>
        <w:t>instruments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adequate</w:t>
      </w:r>
      <w:proofErr w:type="spellEnd"/>
      <w:r>
        <w:t xml:space="preserve"> </w:t>
      </w:r>
      <w:proofErr w:type="spellStart"/>
      <w:r>
        <w:t>validity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a comprehensive </w:t>
      </w:r>
      <w:proofErr w:type="spellStart"/>
      <w:r>
        <w:t>measure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computerized</w:t>
      </w:r>
      <w:proofErr w:type="spellEnd"/>
      <w:r>
        <w:t xml:space="preserve"> </w:t>
      </w:r>
      <w:proofErr w:type="spellStart"/>
      <w:r>
        <w:t>tests</w:t>
      </w:r>
      <w:proofErr w:type="spellEnd"/>
      <w:r>
        <w:t xml:space="preserve"> and a </w:t>
      </w:r>
      <w:proofErr w:type="spellStart"/>
      <w:r>
        <w:t>parent-perception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, </w:t>
      </w:r>
      <w:proofErr w:type="spellStart"/>
      <w:r>
        <w:t>capturing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controlled</w:t>
      </w:r>
      <w:proofErr w:type="spellEnd"/>
      <w:r>
        <w:t xml:space="preserve"> and </w:t>
      </w:r>
      <w:proofErr w:type="spellStart"/>
      <w:r>
        <w:t>everyday</w:t>
      </w:r>
      <w:proofErr w:type="spellEnd"/>
      <w:r>
        <w:t xml:space="preserve"> performance.</w:t>
      </w:r>
      <w:r>
        <w:br w:type="page"/>
      </w:r>
    </w:p>
    <w:p w14:paraId="00000158" w14:textId="77777777" w:rsidR="00C57DD8" w:rsidRDefault="00EB3E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lastRenderedPageBreak/>
        <w:t>References</w:t>
      </w:r>
      <w:proofErr w:type="spellEnd"/>
    </w:p>
    <w:p w14:paraId="00000159" w14:textId="77777777" w:rsidR="00C57DD8" w:rsidRDefault="00EB3EFF">
      <w:pPr>
        <w:spacing w:line="360" w:lineRule="auto"/>
        <w:ind w:left="720" w:hanging="720"/>
        <w:jc w:val="both"/>
      </w:pPr>
      <w:r>
        <w:t xml:space="preserve">Alexandre, N. M. C., &amp; </w:t>
      </w:r>
      <w:proofErr w:type="spellStart"/>
      <w:r>
        <w:t>Coluci</w:t>
      </w:r>
      <w:proofErr w:type="spellEnd"/>
      <w:r>
        <w:t xml:space="preserve">, M. Z. O. (2011). Validade de </w:t>
      </w:r>
      <w:proofErr w:type="spellStart"/>
      <w:r>
        <w:t>conteúdo</w:t>
      </w:r>
      <w:proofErr w:type="spellEnd"/>
      <w:r>
        <w:t xml:space="preserve"> nos </w:t>
      </w:r>
      <w:proofErr w:type="spellStart"/>
      <w:r>
        <w:t>processos</w:t>
      </w:r>
      <w:proofErr w:type="spellEnd"/>
      <w:r>
        <w:t xml:space="preserve"> de </w:t>
      </w:r>
      <w:proofErr w:type="spellStart"/>
      <w:r>
        <w:t>construção</w:t>
      </w:r>
      <w:proofErr w:type="spellEnd"/>
      <w:r>
        <w:t xml:space="preserve"> e </w:t>
      </w:r>
      <w:proofErr w:type="spellStart"/>
      <w:r>
        <w:t>adaptação</w:t>
      </w:r>
      <w:proofErr w:type="spellEnd"/>
      <w:r>
        <w:t xml:space="preserve"> de instrumentos de medidas. </w:t>
      </w:r>
      <w:proofErr w:type="spellStart"/>
      <w:r>
        <w:rPr>
          <w:i/>
        </w:rPr>
        <w:t>Ciência</w:t>
      </w:r>
      <w:proofErr w:type="spellEnd"/>
      <w:r>
        <w:rPr>
          <w:i/>
        </w:rPr>
        <w:t xml:space="preserve"> &amp; </w:t>
      </w:r>
      <w:proofErr w:type="spellStart"/>
      <w:r>
        <w:rPr>
          <w:i/>
        </w:rPr>
        <w:t>Saúde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Coletiva</w:t>
      </w:r>
      <w:proofErr w:type="spellEnd"/>
      <w:r>
        <w:rPr>
          <w:i/>
        </w:rPr>
        <w:t>, 16</w:t>
      </w:r>
      <w:r>
        <w:t>(7), 3061–3068. https://doi.org/10.1590/S1413-81232011000800006</w:t>
      </w:r>
    </w:p>
    <w:p w14:paraId="0000015A" w14:textId="77777777" w:rsidR="00C57DD8" w:rsidRDefault="00EB3EFF">
      <w:pPr>
        <w:spacing w:line="360" w:lineRule="auto"/>
        <w:ind w:left="709" w:hanging="709"/>
        <w:jc w:val="both"/>
      </w:pPr>
      <w:proofErr w:type="spellStart"/>
      <w:r>
        <w:t>Almanasreh</w:t>
      </w:r>
      <w:proofErr w:type="spellEnd"/>
      <w:r>
        <w:t xml:space="preserve">, E., Moles, R., &amp; Chen, T. F. (2018). </w:t>
      </w:r>
      <w:proofErr w:type="spellStart"/>
      <w:r>
        <w:t>Evaluation</w:t>
      </w:r>
      <w:proofErr w:type="spellEnd"/>
      <w:r>
        <w:t xml:space="preserve"> of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estimating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validity</w:t>
      </w:r>
      <w:proofErr w:type="spellEnd"/>
      <w:r>
        <w:t xml:space="preserve">. </w:t>
      </w:r>
      <w:proofErr w:type="spellStart"/>
      <w:r>
        <w:rPr>
          <w:i/>
        </w:rPr>
        <w:t>Research</w:t>
      </w:r>
      <w:proofErr w:type="spellEnd"/>
      <w:r>
        <w:rPr>
          <w:i/>
        </w:rPr>
        <w:t xml:space="preserve"> in Social and Administrative </w:t>
      </w:r>
      <w:proofErr w:type="spellStart"/>
      <w:r>
        <w:rPr>
          <w:i/>
        </w:rPr>
        <w:t>Pharmacy</w:t>
      </w:r>
      <w:proofErr w:type="spellEnd"/>
      <w:r>
        <w:rPr>
          <w:i/>
        </w:rPr>
        <w:t>.</w:t>
      </w:r>
      <w:r>
        <w:t xml:space="preserve"> https://doi.org/10.1016/j.sapharm.2018.03.066 </w:t>
      </w:r>
    </w:p>
    <w:p w14:paraId="0000015B" w14:textId="77777777" w:rsidR="00C57DD8" w:rsidRDefault="00EB3EFF">
      <w:pPr>
        <w:spacing w:line="360" w:lineRule="auto"/>
        <w:ind w:left="720" w:hanging="720"/>
        <w:jc w:val="both"/>
      </w:pPr>
      <w:r>
        <w:t xml:space="preserve">American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– AERA, American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– APA, and </w:t>
      </w:r>
      <w:proofErr w:type="spellStart"/>
      <w:r>
        <w:t>National</w:t>
      </w:r>
      <w:proofErr w:type="spellEnd"/>
      <w:r>
        <w:t xml:space="preserve"> Council </w:t>
      </w:r>
      <w:proofErr w:type="spellStart"/>
      <w:r>
        <w:t>on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 in </w:t>
      </w:r>
      <w:proofErr w:type="spellStart"/>
      <w:r>
        <w:t>Education</w:t>
      </w:r>
      <w:proofErr w:type="spellEnd"/>
      <w:r>
        <w:t xml:space="preserve"> – NCME. (2014).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and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testing</w:t>
      </w:r>
      <w:proofErr w:type="spellEnd"/>
      <w:r>
        <w:t>. Washington, DC. https://www.testingstandards.net/open-access-files.html</w:t>
      </w:r>
    </w:p>
    <w:p w14:paraId="0000015C" w14:textId="77777777" w:rsidR="00C57DD8" w:rsidRDefault="00EB3EFF">
      <w:pPr>
        <w:spacing w:line="360" w:lineRule="auto"/>
        <w:ind w:left="720" w:hanging="720"/>
        <w:jc w:val="both"/>
      </w:pPr>
      <w:r>
        <w:t xml:space="preserve">Baddeley, A. (2000). The </w:t>
      </w:r>
      <w:proofErr w:type="spellStart"/>
      <w:r>
        <w:t>episodic</w:t>
      </w:r>
      <w:proofErr w:type="spellEnd"/>
      <w:r>
        <w:t xml:space="preserve"> buffer: a new </w:t>
      </w:r>
      <w:proofErr w:type="spellStart"/>
      <w:r>
        <w:t>component</w:t>
      </w:r>
      <w:proofErr w:type="spellEnd"/>
      <w:r>
        <w:t xml:space="preserve"> of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memory</w:t>
      </w:r>
      <w:proofErr w:type="spellEnd"/>
      <w:r>
        <w:t xml:space="preserve">? </w:t>
      </w:r>
      <w:proofErr w:type="spellStart"/>
      <w:r>
        <w:rPr>
          <w:i/>
        </w:rPr>
        <w:t>Trends</w:t>
      </w:r>
      <w:proofErr w:type="spellEnd"/>
      <w:r>
        <w:rPr>
          <w:i/>
        </w:rPr>
        <w:t xml:space="preserve"> in Cognitive </w:t>
      </w:r>
      <w:proofErr w:type="spellStart"/>
      <w:r>
        <w:rPr>
          <w:i/>
        </w:rPr>
        <w:t>Sciences</w:t>
      </w:r>
      <w:proofErr w:type="spellEnd"/>
      <w:r>
        <w:rPr>
          <w:i/>
        </w:rPr>
        <w:t>, 4</w:t>
      </w:r>
      <w:r>
        <w:t xml:space="preserve">(11), 417–423. https://doi.org/10.1016/S1364-6613(00)01538-2 </w:t>
      </w:r>
    </w:p>
    <w:p w14:paraId="0000015D" w14:textId="77777777" w:rsidR="00C57DD8" w:rsidRDefault="00EB3EFF">
      <w:pPr>
        <w:spacing w:line="360" w:lineRule="auto"/>
        <w:ind w:left="720" w:hanging="720"/>
        <w:jc w:val="both"/>
      </w:pPr>
      <w:r>
        <w:t xml:space="preserve">Baddeley, A. (2012). Working </w:t>
      </w:r>
      <w:proofErr w:type="spellStart"/>
      <w:r>
        <w:t>memory</w:t>
      </w:r>
      <w:proofErr w:type="spellEnd"/>
      <w:r>
        <w:t xml:space="preserve">: </w:t>
      </w:r>
      <w:proofErr w:type="spellStart"/>
      <w:r>
        <w:t>Theories</w:t>
      </w:r>
      <w:proofErr w:type="spellEnd"/>
      <w:r>
        <w:t xml:space="preserve">, </w:t>
      </w:r>
      <w:proofErr w:type="spellStart"/>
      <w:r>
        <w:t>models</w:t>
      </w:r>
      <w:proofErr w:type="spellEnd"/>
      <w:r>
        <w:t xml:space="preserve">, and </w:t>
      </w:r>
      <w:proofErr w:type="spellStart"/>
      <w:r>
        <w:t>controversies</w:t>
      </w:r>
      <w:proofErr w:type="spellEnd"/>
      <w:r>
        <w:t xml:space="preserve">. </w:t>
      </w:r>
      <w:proofErr w:type="spellStart"/>
      <w:r>
        <w:rPr>
          <w:i/>
        </w:rPr>
        <w:t>Annual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review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psychology</w:t>
      </w:r>
      <w:proofErr w:type="spellEnd"/>
      <w:r>
        <w:rPr>
          <w:i/>
        </w:rPr>
        <w:t>, 63</w:t>
      </w:r>
      <w:r>
        <w:t xml:space="preserve">, 1-29. https://doi.org/10.1146/annurev-psych-120710-100422 </w:t>
      </w:r>
    </w:p>
    <w:p w14:paraId="0000015E" w14:textId="77777777" w:rsidR="00C57DD8" w:rsidRDefault="00EB3EFF">
      <w:pPr>
        <w:spacing w:line="360" w:lineRule="auto"/>
        <w:ind w:left="720" w:hanging="720"/>
        <w:jc w:val="both"/>
      </w:pPr>
      <w:r>
        <w:t xml:space="preserve">Berardi, A., </w:t>
      </w:r>
      <w:proofErr w:type="spellStart"/>
      <w:r>
        <w:t>Panuccio</w:t>
      </w:r>
      <w:proofErr w:type="spellEnd"/>
      <w:r>
        <w:t xml:space="preserve">, F., </w:t>
      </w:r>
      <w:proofErr w:type="spellStart"/>
      <w:r>
        <w:t>Pilli</w:t>
      </w:r>
      <w:proofErr w:type="spellEnd"/>
      <w:r>
        <w:t xml:space="preserve">, L., </w:t>
      </w:r>
      <w:proofErr w:type="spellStart"/>
      <w:r>
        <w:t>Tofani</w:t>
      </w:r>
      <w:proofErr w:type="spellEnd"/>
      <w:r>
        <w:t xml:space="preserve">, M., Valente, D., &amp; Galeoto, G. (2021).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instruments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executive </w:t>
      </w:r>
      <w:proofErr w:type="spellStart"/>
      <w:r>
        <w:t>functions</w:t>
      </w:r>
      <w:proofErr w:type="spellEnd"/>
      <w:r>
        <w:t xml:space="preserve"> in </w:t>
      </w:r>
      <w:proofErr w:type="spellStart"/>
      <w:r>
        <w:t>children</w:t>
      </w:r>
      <w:proofErr w:type="spellEnd"/>
      <w:r>
        <w:t xml:space="preserve"> and </w:t>
      </w:r>
      <w:proofErr w:type="spellStart"/>
      <w:r>
        <w:t>adolescents</w:t>
      </w:r>
      <w:proofErr w:type="spellEnd"/>
      <w:r>
        <w:t xml:space="preserve">: a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. </w:t>
      </w:r>
      <w:r>
        <w:rPr>
          <w:i/>
        </w:rPr>
        <w:t xml:space="preserve">Expert </w:t>
      </w:r>
      <w:proofErr w:type="spellStart"/>
      <w:r>
        <w:rPr>
          <w:i/>
        </w:rPr>
        <w:t>review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pharmacoeconomics</w:t>
      </w:r>
      <w:proofErr w:type="spellEnd"/>
      <w:r>
        <w:rPr>
          <w:i/>
        </w:rPr>
        <w:t xml:space="preserve"> &amp; </w:t>
      </w:r>
      <w:proofErr w:type="spellStart"/>
      <w:r>
        <w:rPr>
          <w:i/>
        </w:rPr>
        <w:t>outcomes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research</w:t>
      </w:r>
      <w:proofErr w:type="spellEnd"/>
      <w:r>
        <w:rPr>
          <w:i/>
        </w:rPr>
        <w:t>, 21</w:t>
      </w:r>
      <w:r>
        <w:t>(5), 885–896. https://doi.org/10.1080/14737167.2021.1908889</w:t>
      </w:r>
    </w:p>
    <w:p w14:paraId="0000015F" w14:textId="77777777" w:rsidR="00C57DD8" w:rsidRDefault="00EB3EFF">
      <w:pPr>
        <w:spacing w:line="360" w:lineRule="auto"/>
        <w:ind w:left="720" w:hanging="720"/>
        <w:jc w:val="both"/>
      </w:pPr>
      <w:r>
        <w:t xml:space="preserve">Bowie, C., Harvey, P. (2006). </w:t>
      </w:r>
      <w:proofErr w:type="spellStart"/>
      <w:r>
        <w:t>Administration</w:t>
      </w:r>
      <w:proofErr w:type="spellEnd"/>
      <w:r>
        <w:t xml:space="preserve"> and </w:t>
      </w:r>
      <w:proofErr w:type="spellStart"/>
      <w:r>
        <w:t>interpretation</w:t>
      </w:r>
      <w:proofErr w:type="spellEnd"/>
      <w:r>
        <w:t xml:space="preserve"> of the Trail </w:t>
      </w:r>
      <w:proofErr w:type="spellStart"/>
      <w:r>
        <w:t>Making</w:t>
      </w:r>
      <w:proofErr w:type="spellEnd"/>
      <w:r>
        <w:t xml:space="preserve"> Test. </w:t>
      </w:r>
      <w:proofErr w:type="spellStart"/>
      <w:r>
        <w:rPr>
          <w:i/>
        </w:rPr>
        <w:t>Nature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Protocols</w:t>
      </w:r>
      <w:proofErr w:type="spellEnd"/>
      <w:r>
        <w:rPr>
          <w:i/>
        </w:rPr>
        <w:t>, 1</w:t>
      </w:r>
      <w:r>
        <w:t xml:space="preserve">, 2277–2281. https://doi.org/10.1038/nprot.2006.390 </w:t>
      </w:r>
    </w:p>
    <w:p w14:paraId="00000160" w14:textId="77777777" w:rsidR="00C57DD8" w:rsidRDefault="00EB3EFF">
      <w:pPr>
        <w:spacing w:line="360" w:lineRule="auto"/>
        <w:ind w:left="720" w:hanging="720"/>
        <w:jc w:val="both"/>
      </w:pPr>
      <w:proofErr w:type="spellStart"/>
      <w:r>
        <w:t>Brocki</w:t>
      </w:r>
      <w:proofErr w:type="spellEnd"/>
      <w:r>
        <w:t xml:space="preserve">, K. C., &amp; </w:t>
      </w:r>
      <w:proofErr w:type="spellStart"/>
      <w:r>
        <w:t>Bohlin</w:t>
      </w:r>
      <w:proofErr w:type="spellEnd"/>
      <w:r>
        <w:t xml:space="preserve">, G. (2010). Executive Functions in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Aged</w:t>
      </w:r>
      <w:proofErr w:type="spellEnd"/>
      <w:r>
        <w:t xml:space="preserve"> 6 </w:t>
      </w:r>
      <w:proofErr w:type="spellStart"/>
      <w:r>
        <w:t>to</w:t>
      </w:r>
      <w:proofErr w:type="spellEnd"/>
      <w:r>
        <w:t xml:space="preserve"> 13: A Dimensional and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. </w:t>
      </w:r>
      <w:proofErr w:type="spellStart"/>
      <w:r>
        <w:rPr>
          <w:i/>
        </w:rPr>
        <w:t>Developmental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Neuropsychology</w:t>
      </w:r>
      <w:proofErr w:type="spellEnd"/>
      <w:r>
        <w:rPr>
          <w:i/>
        </w:rPr>
        <w:t>, 26</w:t>
      </w:r>
      <w:r>
        <w:t xml:space="preserve">(2), 571-593. http://dx.doi.org/10.1207/s15326942dn2602_3 </w:t>
      </w:r>
    </w:p>
    <w:p w14:paraId="00000161" w14:textId="77777777" w:rsidR="00C57DD8" w:rsidRDefault="00EB3EFF">
      <w:pPr>
        <w:spacing w:line="360" w:lineRule="auto"/>
        <w:ind w:left="720" w:hanging="720"/>
        <w:jc w:val="both"/>
      </w:pPr>
      <w:r>
        <w:t>Canet-</w:t>
      </w:r>
      <w:proofErr w:type="spellStart"/>
      <w:r>
        <w:t>Juric</w:t>
      </w:r>
      <w:proofErr w:type="spellEnd"/>
      <w:r>
        <w:t>, L., del-Valle, M. V., Gelpi-</w:t>
      </w:r>
      <w:proofErr w:type="spellStart"/>
      <w:r>
        <w:t>Trudo</w:t>
      </w:r>
      <w:proofErr w:type="spellEnd"/>
      <w:r>
        <w:t>, R., García-</w:t>
      </w:r>
      <w:proofErr w:type="spellStart"/>
      <w:r>
        <w:t>Coni</w:t>
      </w:r>
      <w:proofErr w:type="spellEnd"/>
      <w:r>
        <w:t xml:space="preserve">, A., Zamora, E. V., </w:t>
      </w:r>
      <w:proofErr w:type="spellStart"/>
      <w:r>
        <w:t>Introzzi</w:t>
      </w:r>
      <w:proofErr w:type="spellEnd"/>
      <w:r>
        <w:t xml:space="preserve">, I., &amp; Andrés, M. L. (2021). Desarrollo y validación del Cuestionario de Funciones Ejecutivas en niños de 9 a 12 años (CUFE). </w:t>
      </w:r>
      <w:r>
        <w:rPr>
          <w:i/>
        </w:rPr>
        <w:t>Avances En Psicología Latinoamericana, 39</w:t>
      </w:r>
      <w:r>
        <w:t xml:space="preserve">(1), 1-25. https://doi.org/10.12804/revistas.urosario.edu.co/apl/a.9892 </w:t>
      </w:r>
    </w:p>
    <w:p w14:paraId="00000162" w14:textId="77777777" w:rsidR="00C57DD8" w:rsidRDefault="00EB3EFF">
      <w:pPr>
        <w:spacing w:line="360" w:lineRule="auto"/>
        <w:ind w:left="720" w:hanging="720"/>
        <w:jc w:val="both"/>
      </w:pPr>
      <w:proofErr w:type="spellStart"/>
      <w:r>
        <w:t>Cevada</w:t>
      </w:r>
      <w:proofErr w:type="spellEnd"/>
      <w:r>
        <w:t xml:space="preserve">, T., Conde, E., Marques, D., &amp; </w:t>
      </w:r>
      <w:proofErr w:type="spellStart"/>
      <w:r>
        <w:t>Deslandes</w:t>
      </w:r>
      <w:proofErr w:type="spellEnd"/>
      <w:r>
        <w:t>, A. C. (2019): Test-</w:t>
      </w:r>
      <w:proofErr w:type="spellStart"/>
      <w:r>
        <w:t>retest</w:t>
      </w:r>
      <w:proofErr w:type="spellEnd"/>
      <w:r>
        <w:t xml:space="preserve"> </w:t>
      </w:r>
      <w:proofErr w:type="spellStart"/>
      <w:r>
        <w:t>reliability</w:t>
      </w:r>
      <w:proofErr w:type="spellEnd"/>
      <w:r>
        <w:t xml:space="preserve"> of the </w:t>
      </w:r>
      <w:proofErr w:type="spellStart"/>
      <w:r>
        <w:t>simon</w:t>
      </w:r>
      <w:proofErr w:type="spellEnd"/>
      <w:r>
        <w:t xml:space="preserve"> task: a short </w:t>
      </w:r>
      <w:proofErr w:type="spellStart"/>
      <w:r>
        <w:t>version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. </w:t>
      </w:r>
      <w:proofErr w:type="spellStart"/>
      <w:r>
        <w:rPr>
          <w:i/>
        </w:rPr>
        <w:t>Somatosensory</w:t>
      </w:r>
      <w:proofErr w:type="spellEnd"/>
      <w:r>
        <w:rPr>
          <w:i/>
        </w:rPr>
        <w:t xml:space="preserve"> &amp; Motor </w:t>
      </w:r>
      <w:proofErr w:type="spellStart"/>
      <w:r>
        <w:rPr>
          <w:i/>
        </w:rPr>
        <w:t>Research</w:t>
      </w:r>
      <w:proofErr w:type="spellEnd"/>
      <w:r>
        <w:rPr>
          <w:i/>
        </w:rPr>
        <w:t>,</w:t>
      </w:r>
      <w:r>
        <w:t xml:space="preserve"> 1-8. https://doi.org/10.1080/08990220.2019.1689114 </w:t>
      </w:r>
    </w:p>
    <w:p w14:paraId="00000163" w14:textId="77777777" w:rsidR="00C57DD8" w:rsidRDefault="00EB3EFF">
      <w:pPr>
        <w:spacing w:line="360" w:lineRule="auto"/>
        <w:ind w:left="720" w:hanging="720"/>
        <w:jc w:val="both"/>
      </w:pPr>
      <w:r>
        <w:lastRenderedPageBreak/>
        <w:t xml:space="preserve">Chami, S., </w:t>
      </w:r>
      <w:proofErr w:type="spellStart"/>
      <w:r>
        <w:t>Charalambous</w:t>
      </w:r>
      <w:proofErr w:type="spellEnd"/>
      <w:r>
        <w:t xml:space="preserve">, C., </w:t>
      </w:r>
      <w:proofErr w:type="spellStart"/>
      <w:r>
        <w:t>Knijnik</w:t>
      </w:r>
      <w:proofErr w:type="spellEnd"/>
      <w:r>
        <w:t xml:space="preserve">, S. R., &amp; </w:t>
      </w:r>
      <w:proofErr w:type="spellStart"/>
      <w:r>
        <w:t>Docking</w:t>
      </w:r>
      <w:proofErr w:type="spellEnd"/>
      <w:r>
        <w:t xml:space="preserve">, K. (2022). </w:t>
      </w:r>
      <w:proofErr w:type="spellStart"/>
      <w:r>
        <w:t>Language</w:t>
      </w:r>
      <w:proofErr w:type="spellEnd"/>
      <w:r>
        <w:t xml:space="preserve"> and executive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as </w:t>
      </w:r>
      <w:proofErr w:type="spellStart"/>
      <w:r>
        <w:t>predictors</w:t>
      </w:r>
      <w:proofErr w:type="spellEnd"/>
      <w:r>
        <w:t xml:space="preserve"> of </w:t>
      </w:r>
      <w:proofErr w:type="spellStart"/>
      <w:r>
        <w:t>semantic</w:t>
      </w:r>
      <w:proofErr w:type="spellEnd"/>
      <w:r>
        <w:t xml:space="preserve"> </w:t>
      </w:r>
      <w:proofErr w:type="spellStart"/>
      <w:r>
        <w:t>fluency</w:t>
      </w:r>
      <w:proofErr w:type="spellEnd"/>
      <w:r>
        <w:t xml:space="preserve"> performance in </w:t>
      </w:r>
      <w:proofErr w:type="spellStart"/>
      <w:r>
        <w:t>pre-school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. </w:t>
      </w:r>
      <w:r>
        <w:rPr>
          <w:i/>
        </w:rPr>
        <w:t xml:space="preserve">International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speech-language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pathology</w:t>
      </w:r>
      <w:proofErr w:type="spellEnd"/>
      <w:r>
        <w:rPr>
          <w:i/>
        </w:rPr>
        <w:t>, 24</w:t>
      </w:r>
      <w:r>
        <w:t>(6), 626–635. https://doi.org/10.1080/17549507.2021.2008005</w:t>
      </w:r>
    </w:p>
    <w:p w14:paraId="00000164" w14:textId="77777777" w:rsidR="00C57DD8" w:rsidRDefault="00EB3EFF">
      <w:pPr>
        <w:spacing w:line="360" w:lineRule="auto"/>
        <w:ind w:left="720" w:hanging="720"/>
        <w:jc w:val="both"/>
      </w:pPr>
      <w:proofErr w:type="spellStart"/>
      <w:r>
        <w:t>Cordeiro</w:t>
      </w:r>
      <w:proofErr w:type="spellEnd"/>
      <w:r>
        <w:t xml:space="preserve">, A. S. (2020). </w:t>
      </w:r>
      <w:proofErr w:type="spellStart"/>
      <w:r>
        <w:t>Análise</w:t>
      </w:r>
      <w:proofErr w:type="spellEnd"/>
      <w:r>
        <w:t xml:space="preserve"> das </w:t>
      </w:r>
      <w:proofErr w:type="spellStart"/>
      <w:r>
        <w:t>funções</w:t>
      </w:r>
      <w:proofErr w:type="spellEnd"/>
      <w:r>
        <w:t xml:space="preserve"> executivas </w:t>
      </w:r>
      <w:proofErr w:type="spellStart"/>
      <w:r>
        <w:t>infantis</w:t>
      </w:r>
      <w:proofErr w:type="spellEnd"/>
      <w:r>
        <w:t>: antes e durante a pandemia por COVID-19. [</w:t>
      </w:r>
      <w:proofErr w:type="spellStart"/>
      <w:r>
        <w:t>Dissertação</w:t>
      </w:r>
      <w:proofErr w:type="spellEnd"/>
      <w:r>
        <w:t xml:space="preserve"> de </w:t>
      </w:r>
      <w:proofErr w:type="spellStart"/>
      <w:r>
        <w:t>mestrado</w:t>
      </w:r>
      <w:proofErr w:type="spellEnd"/>
      <w:r>
        <w:t xml:space="preserve">. </w:t>
      </w:r>
      <w:proofErr w:type="spellStart"/>
      <w:r>
        <w:t>Universidade</w:t>
      </w:r>
      <w:proofErr w:type="spellEnd"/>
      <w:r>
        <w:t xml:space="preserve"> Federal da Paraíba]. https://repositorio.ufpb.br/jspui/handle/123456789/20876?locale=pt_BR </w:t>
      </w:r>
    </w:p>
    <w:p w14:paraId="00000165" w14:textId="77777777" w:rsidR="00C57DD8" w:rsidRDefault="00EB3EFF">
      <w:pPr>
        <w:spacing w:line="360" w:lineRule="auto"/>
        <w:ind w:left="720" w:hanging="720"/>
        <w:jc w:val="both"/>
      </w:pPr>
      <w:proofErr w:type="spellStart"/>
      <w:r>
        <w:t>Cordeiro</w:t>
      </w:r>
      <w:proofErr w:type="spellEnd"/>
      <w:r>
        <w:t xml:space="preserve">, A. S., </w:t>
      </w:r>
      <w:proofErr w:type="spellStart"/>
      <w:r>
        <w:t>Tomaz</w:t>
      </w:r>
      <w:proofErr w:type="spellEnd"/>
      <w:r>
        <w:t xml:space="preserve">, D. F. de O., &amp; </w:t>
      </w:r>
      <w:proofErr w:type="spellStart"/>
      <w:r>
        <w:t>Minervino</w:t>
      </w:r>
      <w:proofErr w:type="spellEnd"/>
      <w:r>
        <w:t xml:space="preserve">, C. A. da S. M. (2019). </w:t>
      </w:r>
      <w:proofErr w:type="spellStart"/>
      <w:r>
        <w:t>Memória</w:t>
      </w:r>
      <w:proofErr w:type="spellEnd"/>
      <w:r>
        <w:t xml:space="preserve"> de </w:t>
      </w:r>
      <w:proofErr w:type="spellStart"/>
      <w:r>
        <w:t>trabalho</w:t>
      </w:r>
      <w:proofErr w:type="spellEnd"/>
      <w:r>
        <w:t xml:space="preserve"> infantil: </w:t>
      </w:r>
      <w:proofErr w:type="spellStart"/>
      <w:r>
        <w:t>informatização</w:t>
      </w:r>
      <w:proofErr w:type="spellEnd"/>
      <w:r>
        <w:t xml:space="preserve"> de </w:t>
      </w:r>
      <w:proofErr w:type="spellStart"/>
      <w:r>
        <w:t>uma</w:t>
      </w:r>
      <w:proofErr w:type="spellEnd"/>
      <w:r>
        <w:t xml:space="preserve"> tarefa </w:t>
      </w:r>
      <w:proofErr w:type="spellStart"/>
      <w:r>
        <w:t>avaliativa</w:t>
      </w:r>
      <w:proofErr w:type="spellEnd"/>
      <w:r>
        <w:t xml:space="preserve">. </w:t>
      </w:r>
      <w:r>
        <w:rPr>
          <w:i/>
        </w:rPr>
        <w:t xml:space="preserve">Revista </w:t>
      </w:r>
      <w:proofErr w:type="spellStart"/>
      <w:r>
        <w:rPr>
          <w:i/>
        </w:rPr>
        <w:t>Neuropsicologia</w:t>
      </w:r>
      <w:proofErr w:type="spellEnd"/>
      <w:r>
        <w:rPr>
          <w:i/>
        </w:rPr>
        <w:t xml:space="preserve"> Latinoamericana, 11</w:t>
      </w:r>
      <w:r>
        <w:t xml:space="preserve">(2), 21-33. https://www.neuropsicolatina.org/index.php/Neuropsicologia_Latinoamericana/article/view/493 </w:t>
      </w:r>
    </w:p>
    <w:p w14:paraId="00000166" w14:textId="77777777" w:rsidR="00C57DD8" w:rsidRDefault="00EB3EFF">
      <w:pPr>
        <w:spacing w:line="360" w:lineRule="auto"/>
        <w:ind w:left="720" w:hanging="720"/>
        <w:jc w:val="both"/>
      </w:pPr>
      <w:proofErr w:type="spellStart"/>
      <w:r>
        <w:t>Dai</w:t>
      </w:r>
      <w:proofErr w:type="spellEnd"/>
      <w:r>
        <w:t xml:space="preserve">, D. W. T., </w:t>
      </w:r>
      <w:proofErr w:type="spellStart"/>
      <w:r>
        <w:t>Franke</w:t>
      </w:r>
      <w:proofErr w:type="spellEnd"/>
      <w:r>
        <w:t xml:space="preserve">, N., </w:t>
      </w:r>
      <w:proofErr w:type="spellStart"/>
      <w:r>
        <w:t>Wouldes</w:t>
      </w:r>
      <w:proofErr w:type="spellEnd"/>
      <w:r>
        <w:t xml:space="preserve">, T. A., Brown, G. T. L., </w:t>
      </w:r>
      <w:proofErr w:type="spellStart"/>
      <w:r>
        <w:t>Tottman</w:t>
      </w:r>
      <w:proofErr w:type="spellEnd"/>
      <w:r>
        <w:t xml:space="preserve">, A. C., Harding, J. E., &amp; PIANO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(2021). The </w:t>
      </w:r>
      <w:proofErr w:type="spellStart"/>
      <w:r>
        <w:t>contributions</w:t>
      </w:r>
      <w:proofErr w:type="spellEnd"/>
      <w:r>
        <w:t xml:space="preserve"> of </w:t>
      </w:r>
      <w:proofErr w:type="spellStart"/>
      <w:r>
        <w:t>intelligence</w:t>
      </w:r>
      <w:proofErr w:type="spellEnd"/>
      <w:r>
        <w:t xml:space="preserve"> and executive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behaviour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in </w:t>
      </w:r>
      <w:proofErr w:type="spellStart"/>
      <w:r>
        <w:t>school-age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born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preterm</w:t>
      </w:r>
      <w:proofErr w:type="spellEnd"/>
      <w:r>
        <w:t xml:space="preserve">. </w:t>
      </w:r>
      <w:r>
        <w:rPr>
          <w:i/>
        </w:rPr>
        <w:t xml:space="preserve">Acta </w:t>
      </w:r>
      <w:proofErr w:type="spellStart"/>
      <w:r>
        <w:rPr>
          <w:i/>
        </w:rPr>
        <w:t>paediatrica</w:t>
      </w:r>
      <w:proofErr w:type="spellEnd"/>
      <w:r>
        <w:rPr>
          <w:i/>
        </w:rPr>
        <w:t xml:space="preserve"> (Oslo, </w:t>
      </w:r>
      <w:proofErr w:type="spellStart"/>
      <w:r>
        <w:rPr>
          <w:i/>
        </w:rPr>
        <w:t>Norway</w:t>
      </w:r>
      <w:proofErr w:type="spellEnd"/>
      <w:r>
        <w:rPr>
          <w:i/>
        </w:rPr>
        <w:t>: 1992), 110</w:t>
      </w:r>
      <w:r>
        <w:t>(6), 1827–1834. https://doi.org/10.1111/apa.15763</w:t>
      </w:r>
    </w:p>
    <w:p w14:paraId="00000167" w14:textId="77777777" w:rsidR="00C57DD8" w:rsidRDefault="00EB3EFF">
      <w:pPr>
        <w:spacing w:line="360" w:lineRule="auto"/>
        <w:ind w:left="720" w:hanging="720"/>
        <w:jc w:val="both"/>
      </w:pPr>
      <w:r>
        <w:t xml:space="preserve">Damásio, B. (2023, </w:t>
      </w:r>
      <w:proofErr w:type="spellStart"/>
      <w:r>
        <w:t>Junho</w:t>
      </w:r>
      <w:proofErr w:type="spellEnd"/>
      <w:r>
        <w:t xml:space="preserve"> 09). </w:t>
      </w:r>
      <w:proofErr w:type="spellStart"/>
      <w:r>
        <w:t>Compreendendo</w:t>
      </w:r>
      <w:proofErr w:type="spellEnd"/>
      <w:r>
        <w:t xml:space="preserve"> os índices de validade de </w:t>
      </w:r>
      <w:proofErr w:type="spellStart"/>
      <w:r>
        <w:t>conteúdo</w:t>
      </w:r>
      <w:proofErr w:type="spellEnd"/>
      <w:r>
        <w:t xml:space="preserve">. Psicometria Online. https://psicometriaonline.com.br/compreendendo-os-indices-de-validade-de conteudo/#:~:text=%E2%80%93%20Coeficiente%20de%20Validade%20de%20Conte%C3%BAdo,relev%C3%A2ncia%20te%C3%B3rica%20de%20cada%20item. </w:t>
      </w:r>
    </w:p>
    <w:p w14:paraId="00000168" w14:textId="77777777" w:rsidR="00C57DD8" w:rsidRDefault="00EB3EFF">
      <w:pPr>
        <w:spacing w:line="360" w:lineRule="auto"/>
        <w:ind w:left="720" w:hanging="720"/>
        <w:jc w:val="both"/>
      </w:pPr>
      <w:proofErr w:type="spellStart"/>
      <w:r>
        <w:t>Diamond</w:t>
      </w:r>
      <w:proofErr w:type="spellEnd"/>
      <w:r>
        <w:t xml:space="preserve">, A. (2013). Executive </w:t>
      </w:r>
      <w:proofErr w:type="spellStart"/>
      <w:r>
        <w:t>functions</w:t>
      </w:r>
      <w:proofErr w:type="spellEnd"/>
      <w:r>
        <w:t xml:space="preserve">. </w:t>
      </w:r>
      <w:proofErr w:type="spellStart"/>
      <w:r>
        <w:rPr>
          <w:i/>
        </w:rPr>
        <w:t>Annual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Review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Psychology</w:t>
      </w:r>
      <w:proofErr w:type="spellEnd"/>
      <w:r>
        <w:rPr>
          <w:i/>
        </w:rPr>
        <w:t>, 64,</w:t>
      </w:r>
      <w:r>
        <w:t xml:space="preserve"> 135-168. https://doi.org/10.1146/annurev-psych-113011-143750 </w:t>
      </w:r>
    </w:p>
    <w:p w14:paraId="00000169" w14:textId="77777777" w:rsidR="00C57DD8" w:rsidRDefault="00EB3EFF">
      <w:pPr>
        <w:spacing w:line="360" w:lineRule="auto"/>
        <w:ind w:left="720" w:hanging="720"/>
        <w:jc w:val="both"/>
      </w:pPr>
      <w:proofErr w:type="spellStart"/>
      <w:r>
        <w:t>Diamond</w:t>
      </w:r>
      <w:proofErr w:type="spellEnd"/>
      <w:r>
        <w:t xml:space="preserve"> A. (2020). Executive </w:t>
      </w:r>
      <w:proofErr w:type="spellStart"/>
      <w:r>
        <w:t>functions</w:t>
      </w:r>
      <w:proofErr w:type="spellEnd"/>
      <w:r>
        <w:t xml:space="preserve">. </w:t>
      </w:r>
      <w:proofErr w:type="spellStart"/>
      <w:r>
        <w:rPr>
          <w:i/>
        </w:rPr>
        <w:t>Handbook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clinical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neurology</w:t>
      </w:r>
      <w:proofErr w:type="spellEnd"/>
      <w:r>
        <w:rPr>
          <w:i/>
        </w:rPr>
        <w:t>, 173,</w:t>
      </w:r>
      <w:r>
        <w:t xml:space="preserve"> 225–240. https://doi.org/10.1016/B978-0-444-64150-2.00020-4</w:t>
      </w:r>
    </w:p>
    <w:p w14:paraId="0000016A" w14:textId="77777777" w:rsidR="00C57DD8" w:rsidRDefault="00EB3EFF">
      <w:pPr>
        <w:spacing w:line="360" w:lineRule="auto"/>
        <w:ind w:left="720" w:hanging="720"/>
        <w:jc w:val="both"/>
      </w:pPr>
      <w:proofErr w:type="spellStart"/>
      <w:r>
        <w:t>Doğru</w:t>
      </w:r>
      <w:proofErr w:type="spellEnd"/>
      <w:r>
        <w:t xml:space="preserve">, Y., Carroll, D., &amp; Blakey, E.P. (2023). Cognitive </w:t>
      </w:r>
      <w:proofErr w:type="spellStart"/>
      <w:r>
        <w:t>Flexibility</w:t>
      </w:r>
      <w:proofErr w:type="spellEnd"/>
      <w:r>
        <w:t xml:space="preserve"> in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Childhood</w:t>
      </w:r>
      <w:proofErr w:type="spellEnd"/>
      <w:r>
        <w:t xml:space="preserve">: A </w:t>
      </w:r>
      <w:proofErr w:type="spellStart"/>
      <w:r>
        <w:t>Contemporary</w:t>
      </w:r>
      <w:proofErr w:type="spellEnd"/>
      <w:r>
        <w:t xml:space="preserve"> View of the </w:t>
      </w:r>
      <w:proofErr w:type="spellStart"/>
      <w:r>
        <w:t>Development</w:t>
      </w:r>
      <w:proofErr w:type="spellEnd"/>
      <w:r>
        <w:t xml:space="preserve"> of Flexible </w:t>
      </w:r>
      <w:proofErr w:type="spellStart"/>
      <w:r>
        <w:t>Goal-Oriented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. </w:t>
      </w:r>
      <w:proofErr w:type="spellStart"/>
      <w:r>
        <w:rPr>
          <w:i/>
        </w:rPr>
        <w:t>Psikoloji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Çalışmaları</w:t>
      </w:r>
      <w:proofErr w:type="spellEnd"/>
      <w:r>
        <w:rPr>
          <w:i/>
        </w:rPr>
        <w:t xml:space="preserve"> / </w:t>
      </w:r>
      <w:proofErr w:type="spellStart"/>
      <w:r>
        <w:rPr>
          <w:i/>
        </w:rPr>
        <w:t>Studies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Psychology</w:t>
      </w:r>
      <w:proofErr w:type="spellEnd"/>
      <w:r>
        <w:rPr>
          <w:i/>
        </w:rPr>
        <w:t>, 43</w:t>
      </w:r>
      <w:r>
        <w:t>(2), 171-193. https://doi.org/10.26650/sp2022-1138580</w:t>
      </w:r>
    </w:p>
    <w:p w14:paraId="0000016B" w14:textId="77777777" w:rsidR="00C57DD8" w:rsidRDefault="00EB3EFF">
      <w:pPr>
        <w:spacing w:line="360" w:lineRule="auto"/>
        <w:ind w:left="720" w:hanging="720"/>
        <w:jc w:val="both"/>
      </w:pPr>
      <w:proofErr w:type="spellStart"/>
      <w:r>
        <w:t>Elage</w:t>
      </w:r>
      <w:proofErr w:type="spellEnd"/>
      <w:r>
        <w:t xml:space="preserve">, G. K. C. de F., &amp; </w:t>
      </w:r>
      <w:proofErr w:type="spellStart"/>
      <w:r>
        <w:t>Seabra</w:t>
      </w:r>
      <w:proofErr w:type="spellEnd"/>
      <w:r>
        <w:t xml:space="preserve">, A. G. (2021). </w:t>
      </w:r>
      <w:proofErr w:type="spellStart"/>
      <w:r>
        <w:t>Desenvolvimento</w:t>
      </w:r>
      <w:proofErr w:type="spellEnd"/>
      <w:r>
        <w:t xml:space="preserve"> e Propriedades Psicométricas do Teste Informatizado de </w:t>
      </w:r>
      <w:proofErr w:type="spellStart"/>
      <w:r>
        <w:t>Avaliação</w:t>
      </w:r>
      <w:proofErr w:type="spellEnd"/>
      <w:r>
        <w:t xml:space="preserve"> das </w:t>
      </w:r>
      <w:proofErr w:type="spellStart"/>
      <w:r>
        <w:t>Funções</w:t>
      </w:r>
      <w:proofErr w:type="spellEnd"/>
      <w:r>
        <w:t xml:space="preserve"> Executivas. </w:t>
      </w:r>
      <w:proofErr w:type="spellStart"/>
      <w:r>
        <w:rPr>
          <w:i/>
        </w:rPr>
        <w:t>Avaliação</w:t>
      </w:r>
      <w:proofErr w:type="spellEnd"/>
      <w:r>
        <w:rPr>
          <w:i/>
        </w:rPr>
        <w:t xml:space="preserve"> Psicológica, 20</w:t>
      </w:r>
      <w:r>
        <w:t>(1), 100-110. https://dx.doi.org/10.15689/ap.2021.2001.17491.11</w:t>
      </w:r>
    </w:p>
    <w:p w14:paraId="0000016C" w14:textId="77777777" w:rsidR="00C57DD8" w:rsidRDefault="00EB3EFF">
      <w:pPr>
        <w:spacing w:line="360" w:lineRule="auto"/>
        <w:ind w:left="720" w:hanging="720"/>
        <w:jc w:val="both"/>
      </w:pPr>
      <w:r>
        <w:lastRenderedPageBreak/>
        <w:t xml:space="preserve">Guerra, A., </w:t>
      </w:r>
      <w:proofErr w:type="spellStart"/>
      <w:r>
        <w:t>Hazin</w:t>
      </w:r>
      <w:proofErr w:type="spellEnd"/>
      <w:r>
        <w:t xml:space="preserve">, I., Guerra, Y., </w:t>
      </w:r>
      <w:proofErr w:type="spellStart"/>
      <w:r>
        <w:t>Roulin</w:t>
      </w:r>
      <w:proofErr w:type="spellEnd"/>
      <w:r>
        <w:t xml:space="preserve">, J. L., Le Gall, D., &amp; Roy, A. (2021).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Profile</w:t>
      </w:r>
      <w:proofErr w:type="spellEnd"/>
      <w:r>
        <w:t xml:space="preserve"> of Executive </w:t>
      </w:r>
      <w:proofErr w:type="spellStart"/>
      <w:r>
        <w:t>Functioning</w:t>
      </w:r>
      <w:proofErr w:type="spellEnd"/>
      <w:r>
        <w:t xml:space="preserve"> in </w:t>
      </w:r>
      <w:proofErr w:type="spellStart"/>
      <w:r>
        <w:t>School</w:t>
      </w:r>
      <w:proofErr w:type="spellEnd"/>
      <w:r>
        <w:t xml:space="preserve">-Age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Northeast</w:t>
      </w:r>
      <w:proofErr w:type="spellEnd"/>
      <w:r>
        <w:t xml:space="preserve"> </w:t>
      </w:r>
      <w:proofErr w:type="spellStart"/>
      <w:r>
        <w:t>Brazil</w:t>
      </w:r>
      <w:proofErr w:type="spellEnd"/>
      <w:r>
        <w:t xml:space="preserve">. </w:t>
      </w:r>
      <w:proofErr w:type="spellStart"/>
      <w:r>
        <w:rPr>
          <w:i/>
        </w:rPr>
        <w:t>Frontiers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psychology</w:t>
      </w:r>
      <w:proofErr w:type="spellEnd"/>
      <w:r>
        <w:rPr>
          <w:i/>
        </w:rPr>
        <w:t>, 11,</w:t>
      </w:r>
      <w:r>
        <w:t xml:space="preserve"> 596075. https://doi.org/10.3389/fpsyg.2020.596075</w:t>
      </w:r>
    </w:p>
    <w:p w14:paraId="0000016D" w14:textId="77777777" w:rsidR="00C57DD8" w:rsidRDefault="00EB3EFF">
      <w:pPr>
        <w:spacing w:line="360" w:lineRule="auto"/>
        <w:ind w:left="720" w:hanging="720"/>
        <w:jc w:val="both"/>
      </w:pPr>
      <w:r>
        <w:t xml:space="preserve">Guerra, A., </w:t>
      </w:r>
      <w:proofErr w:type="spellStart"/>
      <w:r>
        <w:t>Hazin</w:t>
      </w:r>
      <w:proofErr w:type="spellEnd"/>
      <w:r>
        <w:t xml:space="preserve">, I., </w:t>
      </w:r>
      <w:proofErr w:type="spellStart"/>
      <w:r>
        <w:t>Siebra</w:t>
      </w:r>
      <w:proofErr w:type="spellEnd"/>
      <w:r>
        <w:t xml:space="preserve">, C., </w:t>
      </w:r>
      <w:proofErr w:type="spellStart"/>
      <w:r>
        <w:t>Rezende</w:t>
      </w:r>
      <w:proofErr w:type="spellEnd"/>
      <w:r>
        <w:t xml:space="preserve">, M., Silvestre, I., Le Gall, D., &amp; Roy, A. (2022). </w:t>
      </w:r>
      <w:proofErr w:type="spellStart"/>
      <w:r>
        <w:t>Assessing</w:t>
      </w:r>
      <w:proofErr w:type="spellEnd"/>
      <w:r>
        <w:t xml:space="preserve"> executive </w:t>
      </w:r>
      <w:proofErr w:type="spellStart"/>
      <w:r>
        <w:t>functions</w:t>
      </w:r>
      <w:proofErr w:type="spellEnd"/>
      <w:r>
        <w:t xml:space="preserve"> in </w:t>
      </w:r>
      <w:proofErr w:type="spellStart"/>
      <w:r>
        <w:t>Brazilian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: A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of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. </w:t>
      </w:r>
      <w:proofErr w:type="spellStart"/>
      <w:r>
        <w:rPr>
          <w:i/>
        </w:rPr>
        <w:t>Applied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Neuropsychology</w:t>
      </w:r>
      <w:proofErr w:type="spellEnd"/>
      <w:r>
        <w:rPr>
          <w:i/>
        </w:rPr>
        <w:t>: Child, 11</w:t>
      </w:r>
      <w:r>
        <w:t xml:space="preserve">(2), 184-196. https://doi.org/10.1080/21622965.2020.1775598 </w:t>
      </w:r>
    </w:p>
    <w:p w14:paraId="0000016E" w14:textId="77777777" w:rsidR="00C57DD8" w:rsidRDefault="00EB3EFF">
      <w:pPr>
        <w:spacing w:line="360" w:lineRule="auto"/>
        <w:ind w:left="720" w:hanging="720"/>
        <w:jc w:val="both"/>
      </w:pPr>
      <w:r>
        <w:t xml:space="preserve">Hernández-Nieto, R. A. (2002). </w:t>
      </w:r>
      <w:proofErr w:type="spellStart"/>
      <w:r>
        <w:t>Contributions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: The </w:t>
      </w:r>
      <w:proofErr w:type="spellStart"/>
      <w:r>
        <w:t>coefficients</w:t>
      </w:r>
      <w:proofErr w:type="spellEnd"/>
      <w:r>
        <w:t xml:space="preserve"> of </w:t>
      </w:r>
      <w:proofErr w:type="spellStart"/>
      <w:r>
        <w:t>proportional</w:t>
      </w:r>
      <w:proofErr w:type="spellEnd"/>
      <w:r>
        <w:t xml:space="preserve"> </w:t>
      </w:r>
      <w:proofErr w:type="spellStart"/>
      <w:r>
        <w:t>variance</w:t>
      </w:r>
      <w:proofErr w:type="spellEnd"/>
      <w:r>
        <w:t xml:space="preserve">,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validity</w:t>
      </w:r>
      <w:proofErr w:type="spellEnd"/>
      <w:r>
        <w:t xml:space="preserve"> and kappa capa. </w:t>
      </w:r>
      <w:proofErr w:type="spellStart"/>
      <w:r>
        <w:t>Booksurge</w:t>
      </w:r>
      <w:proofErr w:type="spellEnd"/>
      <w:r>
        <w:t xml:space="preserve"> Publishing.</w:t>
      </w:r>
    </w:p>
    <w:p w14:paraId="0000016F" w14:textId="77777777" w:rsidR="00C57DD8" w:rsidRDefault="00EB3EFF">
      <w:pPr>
        <w:spacing w:line="360" w:lineRule="auto"/>
        <w:ind w:left="720" w:hanging="720"/>
        <w:jc w:val="both"/>
      </w:pPr>
      <w:proofErr w:type="spellStart"/>
      <w:r>
        <w:t>Isherwood</w:t>
      </w:r>
      <w:proofErr w:type="spellEnd"/>
      <w:r>
        <w:t xml:space="preserve">, S. J. S., Bazin, P. L., </w:t>
      </w:r>
      <w:proofErr w:type="spellStart"/>
      <w:r>
        <w:t>Miletić</w:t>
      </w:r>
      <w:proofErr w:type="spellEnd"/>
      <w:r>
        <w:t xml:space="preserve">, S., Stevenson, N. R., </w:t>
      </w:r>
      <w:proofErr w:type="spellStart"/>
      <w:r>
        <w:t>Trutti</w:t>
      </w:r>
      <w:proofErr w:type="spellEnd"/>
      <w:r>
        <w:t xml:space="preserve">, A. C., </w:t>
      </w:r>
      <w:proofErr w:type="spellStart"/>
      <w:r>
        <w:t>Tse</w:t>
      </w:r>
      <w:proofErr w:type="spellEnd"/>
      <w:r>
        <w:t xml:space="preserve">, D. H. Y., Heathcote, A., </w:t>
      </w:r>
      <w:proofErr w:type="spellStart"/>
      <w:r>
        <w:t>Matzke</w:t>
      </w:r>
      <w:proofErr w:type="spellEnd"/>
      <w:r>
        <w:t xml:space="preserve">, D., Innes, R. J., </w:t>
      </w:r>
      <w:proofErr w:type="spellStart"/>
      <w:r>
        <w:t>Habli</w:t>
      </w:r>
      <w:proofErr w:type="spellEnd"/>
      <w:r>
        <w:t xml:space="preserve">, S., </w:t>
      </w:r>
      <w:proofErr w:type="spellStart"/>
      <w:r>
        <w:t>Sokołowski</w:t>
      </w:r>
      <w:proofErr w:type="spellEnd"/>
      <w:r>
        <w:t xml:space="preserve">, D. R., </w:t>
      </w:r>
      <w:proofErr w:type="spellStart"/>
      <w:r>
        <w:t>Alkemade</w:t>
      </w:r>
      <w:proofErr w:type="spellEnd"/>
      <w:r>
        <w:t xml:space="preserve">, A., </w:t>
      </w:r>
      <w:proofErr w:type="spellStart"/>
      <w:r>
        <w:t>Håberg</w:t>
      </w:r>
      <w:proofErr w:type="spellEnd"/>
      <w:r>
        <w:t xml:space="preserve">, A. K., &amp; </w:t>
      </w:r>
      <w:proofErr w:type="spellStart"/>
      <w:r>
        <w:t>Forstmann</w:t>
      </w:r>
      <w:proofErr w:type="spellEnd"/>
      <w:r>
        <w:t xml:space="preserve">, B. U. (2023). </w:t>
      </w:r>
      <w:proofErr w:type="spellStart"/>
      <w:r>
        <w:t>Investigating</w:t>
      </w:r>
      <w:proofErr w:type="spellEnd"/>
      <w:r>
        <w:t xml:space="preserve"> Intra-Individual Networks of Response </w:t>
      </w:r>
      <w:proofErr w:type="spellStart"/>
      <w:r>
        <w:t>Inhibition</w:t>
      </w:r>
      <w:proofErr w:type="spellEnd"/>
      <w:r>
        <w:t xml:space="preserve"> and </w:t>
      </w:r>
      <w:proofErr w:type="spellStart"/>
      <w:r>
        <w:t>Interference</w:t>
      </w:r>
      <w:proofErr w:type="spellEnd"/>
      <w:r>
        <w:t xml:space="preserve"> </w:t>
      </w:r>
      <w:proofErr w:type="spellStart"/>
      <w:r>
        <w:t>Resolution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7T MRI. </w:t>
      </w:r>
      <w:proofErr w:type="spellStart"/>
      <w:r>
        <w:rPr>
          <w:i/>
        </w:rPr>
        <w:t>NeuroImage</w:t>
      </w:r>
      <w:proofErr w:type="spellEnd"/>
      <w:r>
        <w:rPr>
          <w:i/>
        </w:rPr>
        <w:t>, 271,</w:t>
      </w:r>
      <w:r>
        <w:t xml:space="preserve"> 119988. https://doi.org/10.1016/j.neuroimage.2023.119988 </w:t>
      </w:r>
    </w:p>
    <w:p w14:paraId="00000170" w14:textId="77777777" w:rsidR="00C57DD8" w:rsidRDefault="00EB3EFF">
      <w:pPr>
        <w:spacing w:line="360" w:lineRule="auto"/>
        <w:ind w:left="720" w:hanging="720"/>
        <w:jc w:val="both"/>
      </w:pPr>
      <w:proofErr w:type="spellStart"/>
      <w:r>
        <w:t>Jersild</w:t>
      </w:r>
      <w:proofErr w:type="spellEnd"/>
      <w:r>
        <w:t xml:space="preserve">, A. T. (1927). Mental set and shift. </w:t>
      </w:r>
      <w:r>
        <w:rPr>
          <w:i/>
        </w:rPr>
        <w:t xml:space="preserve">Archives of </w:t>
      </w:r>
      <w:proofErr w:type="spellStart"/>
      <w:r>
        <w:rPr>
          <w:i/>
        </w:rPr>
        <w:t>Psychology</w:t>
      </w:r>
      <w:proofErr w:type="spellEnd"/>
      <w:r>
        <w:rPr>
          <w:i/>
        </w:rPr>
        <w:t>, 14,</w:t>
      </w:r>
      <w:r>
        <w:t xml:space="preserve"> 5–81. https://archive.org/details/mentalsetshift00jers/page/6/mode/2up. </w:t>
      </w:r>
    </w:p>
    <w:p w14:paraId="00000171" w14:textId="77777777" w:rsidR="00C57DD8" w:rsidRDefault="00EB3EFF">
      <w:pPr>
        <w:spacing w:line="360" w:lineRule="auto"/>
        <w:ind w:left="720" w:hanging="720"/>
        <w:jc w:val="both"/>
      </w:pPr>
      <w:proofErr w:type="spellStart"/>
      <w:r>
        <w:t>Jiang</w:t>
      </w:r>
      <w:proofErr w:type="spellEnd"/>
      <w:r>
        <w:t xml:space="preserve">, H., </w:t>
      </w:r>
      <w:proofErr w:type="spellStart"/>
      <w:r>
        <w:t>Johnstone</w:t>
      </w:r>
      <w:proofErr w:type="spellEnd"/>
      <w:r>
        <w:t xml:space="preserve">, S. J., &amp; Lu, J. (2022). </w:t>
      </w:r>
      <w:proofErr w:type="spellStart"/>
      <w:r>
        <w:t>Comparing</w:t>
      </w:r>
      <w:proofErr w:type="spellEnd"/>
      <w:r>
        <w:t xml:space="preserve"> the </w:t>
      </w:r>
      <w:proofErr w:type="spellStart"/>
      <w:r>
        <w:t>Efficacy</w:t>
      </w:r>
      <w:proofErr w:type="spellEnd"/>
      <w:r>
        <w:t xml:space="preserve"> of </w:t>
      </w:r>
      <w:proofErr w:type="spellStart"/>
      <w:r>
        <w:t>Two</w:t>
      </w:r>
      <w:proofErr w:type="spellEnd"/>
      <w:r>
        <w:t xml:space="preserve"> </w:t>
      </w:r>
      <w:proofErr w:type="spellStart"/>
      <w:r>
        <w:t>School-Based</w:t>
      </w:r>
      <w:proofErr w:type="spellEnd"/>
      <w:r>
        <w:t xml:space="preserve"> </w:t>
      </w:r>
      <w:proofErr w:type="spellStart"/>
      <w:r>
        <w:t>Approaches</w:t>
      </w:r>
      <w:proofErr w:type="spellEnd"/>
      <w:r>
        <w:t xml:space="preserve"> of Neurocognitive Training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Enhancing</w:t>
      </w:r>
      <w:proofErr w:type="spellEnd"/>
      <w:r>
        <w:t xml:space="preserve"> Executive Functions. </w:t>
      </w:r>
      <w:proofErr w:type="spellStart"/>
      <w:r>
        <w:rPr>
          <w:i/>
        </w:rPr>
        <w:t>Children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Basel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Switzerland</w:t>
      </w:r>
      <w:proofErr w:type="spellEnd"/>
      <w:r>
        <w:rPr>
          <w:i/>
        </w:rPr>
        <w:t>), 9</w:t>
      </w:r>
      <w:r>
        <w:t>(10), 1501. https://doi.org/10.3390/children9101501</w:t>
      </w:r>
    </w:p>
    <w:p w14:paraId="00000172" w14:textId="77777777" w:rsidR="00C57DD8" w:rsidRDefault="00EB3EFF">
      <w:pPr>
        <w:spacing w:line="360" w:lineRule="auto"/>
        <w:ind w:left="720" w:hanging="720"/>
        <w:jc w:val="both"/>
      </w:pPr>
      <w:proofErr w:type="spellStart"/>
      <w:r>
        <w:t>Kusi</w:t>
      </w:r>
      <w:proofErr w:type="spellEnd"/>
      <w:r>
        <w:t xml:space="preserve">-Mensah, K., </w:t>
      </w:r>
      <w:proofErr w:type="spellStart"/>
      <w:r>
        <w:t>Nuamah</w:t>
      </w:r>
      <w:proofErr w:type="spellEnd"/>
      <w:r>
        <w:t xml:space="preserve">, N. D., </w:t>
      </w:r>
      <w:proofErr w:type="spellStart"/>
      <w:r>
        <w:t>Wemakor</w:t>
      </w:r>
      <w:proofErr w:type="spellEnd"/>
      <w:r>
        <w:t xml:space="preserve">, S., </w:t>
      </w:r>
      <w:proofErr w:type="spellStart"/>
      <w:r>
        <w:t>Agorinya</w:t>
      </w:r>
      <w:proofErr w:type="spellEnd"/>
      <w:r>
        <w:t xml:space="preserve">, J., </w:t>
      </w:r>
      <w:proofErr w:type="spellStart"/>
      <w:r>
        <w:t>Seidu</w:t>
      </w:r>
      <w:proofErr w:type="spellEnd"/>
      <w:r>
        <w:t xml:space="preserve">, R., Martyn-Dickens, C., &amp; Bateman, A. (2022a). </w:t>
      </w:r>
      <w:proofErr w:type="spellStart"/>
      <w:r>
        <w:t>Assessment</w:t>
      </w:r>
      <w:proofErr w:type="spellEnd"/>
      <w:r>
        <w:t xml:space="preserve"> Tools </w:t>
      </w:r>
      <w:proofErr w:type="spellStart"/>
      <w:r>
        <w:t>for</w:t>
      </w:r>
      <w:proofErr w:type="spellEnd"/>
      <w:r>
        <w:t xml:space="preserve"> Executive </w:t>
      </w:r>
      <w:proofErr w:type="spellStart"/>
      <w:r>
        <w:t>Function</w:t>
      </w:r>
      <w:proofErr w:type="spellEnd"/>
      <w:r>
        <w:t xml:space="preserve"> and Adaptive </w:t>
      </w:r>
      <w:proofErr w:type="spellStart"/>
      <w:r>
        <w:t>Function</w:t>
      </w:r>
      <w:proofErr w:type="spellEnd"/>
      <w:r>
        <w:t xml:space="preserve"> Following Brain </w:t>
      </w:r>
      <w:proofErr w:type="spellStart"/>
      <w:r>
        <w:t>Pathology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in </w:t>
      </w:r>
      <w:proofErr w:type="spellStart"/>
      <w:r>
        <w:t>Developing</w:t>
      </w:r>
      <w:proofErr w:type="spellEnd"/>
      <w:r>
        <w:t xml:space="preserve"> Country </w:t>
      </w:r>
      <w:proofErr w:type="spellStart"/>
      <w:r>
        <w:t>Contexts</w:t>
      </w:r>
      <w:proofErr w:type="spellEnd"/>
      <w:r>
        <w:t xml:space="preserve">: a </w:t>
      </w:r>
      <w:proofErr w:type="spellStart"/>
      <w:r>
        <w:t>Scoping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of </w:t>
      </w:r>
      <w:proofErr w:type="spellStart"/>
      <w:r>
        <w:t>Current</w:t>
      </w:r>
      <w:proofErr w:type="spellEnd"/>
      <w:r>
        <w:t xml:space="preserve"> Tools. </w:t>
      </w:r>
      <w:proofErr w:type="spellStart"/>
      <w:r>
        <w:rPr>
          <w:i/>
        </w:rPr>
        <w:t>Neuropsychology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review</w:t>
      </w:r>
      <w:proofErr w:type="spellEnd"/>
      <w:r>
        <w:rPr>
          <w:i/>
        </w:rPr>
        <w:t>, 32</w:t>
      </w:r>
      <w:r>
        <w:t>(3), 459–482. https://doi.org/10.1007/s11065-021-09529-w</w:t>
      </w:r>
    </w:p>
    <w:p w14:paraId="00000173" w14:textId="77777777" w:rsidR="00C57DD8" w:rsidRDefault="00EB3EFF">
      <w:pPr>
        <w:spacing w:line="360" w:lineRule="auto"/>
        <w:ind w:left="720" w:hanging="720"/>
        <w:jc w:val="both"/>
      </w:pPr>
      <w:proofErr w:type="spellStart"/>
      <w:r>
        <w:t>Kusi</w:t>
      </w:r>
      <w:proofErr w:type="spellEnd"/>
      <w:r>
        <w:t xml:space="preserve">-Mensah, K., </w:t>
      </w:r>
      <w:proofErr w:type="spellStart"/>
      <w:r>
        <w:t>Nuamah</w:t>
      </w:r>
      <w:proofErr w:type="spellEnd"/>
      <w:r>
        <w:t xml:space="preserve">, N. D., </w:t>
      </w:r>
      <w:proofErr w:type="spellStart"/>
      <w:r>
        <w:t>Wemakor</w:t>
      </w:r>
      <w:proofErr w:type="spellEnd"/>
      <w:r>
        <w:t xml:space="preserve">, S., </w:t>
      </w:r>
      <w:proofErr w:type="spellStart"/>
      <w:r>
        <w:t>Agorinya</w:t>
      </w:r>
      <w:proofErr w:type="spellEnd"/>
      <w:r>
        <w:t xml:space="preserve">, J., </w:t>
      </w:r>
      <w:proofErr w:type="spellStart"/>
      <w:r>
        <w:t>Seidu</w:t>
      </w:r>
      <w:proofErr w:type="spellEnd"/>
      <w:r>
        <w:t xml:space="preserve">, R., Martyn-Dickens, C., &amp; Bateman, A. (2022b). A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of the </w:t>
      </w:r>
      <w:proofErr w:type="spellStart"/>
      <w:r>
        <w:t>Validity</w:t>
      </w:r>
      <w:proofErr w:type="spellEnd"/>
      <w:r>
        <w:t xml:space="preserve"> and </w:t>
      </w:r>
      <w:proofErr w:type="spellStart"/>
      <w:r>
        <w:t>Reliability</w:t>
      </w:r>
      <w:proofErr w:type="spellEnd"/>
      <w:r>
        <w:t xml:space="preserve"> of </w:t>
      </w:r>
      <w:proofErr w:type="spellStart"/>
      <w:r>
        <w:t>Assessment</w:t>
      </w:r>
      <w:proofErr w:type="spellEnd"/>
      <w:r>
        <w:t xml:space="preserve"> Tools </w:t>
      </w:r>
      <w:proofErr w:type="spellStart"/>
      <w:r>
        <w:t>for</w:t>
      </w:r>
      <w:proofErr w:type="spellEnd"/>
      <w:r>
        <w:t xml:space="preserve"> Executive </w:t>
      </w:r>
      <w:proofErr w:type="spellStart"/>
      <w:r>
        <w:t>Function</w:t>
      </w:r>
      <w:proofErr w:type="spellEnd"/>
      <w:r>
        <w:t xml:space="preserve"> and Adaptive </w:t>
      </w:r>
      <w:proofErr w:type="spellStart"/>
      <w:r>
        <w:t>Function</w:t>
      </w:r>
      <w:proofErr w:type="spellEnd"/>
      <w:r>
        <w:t xml:space="preserve"> Following Brain </w:t>
      </w:r>
      <w:proofErr w:type="spellStart"/>
      <w:r>
        <w:t>Pathology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and </w:t>
      </w:r>
      <w:proofErr w:type="spellStart"/>
      <w:r>
        <w:t>Adolescents</w:t>
      </w:r>
      <w:proofErr w:type="spellEnd"/>
      <w:r>
        <w:t xml:space="preserve"> in Low- and </w:t>
      </w:r>
      <w:proofErr w:type="spellStart"/>
      <w:r>
        <w:t>Middle-Income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. </w:t>
      </w:r>
      <w:proofErr w:type="spellStart"/>
      <w:r>
        <w:rPr>
          <w:i/>
        </w:rPr>
        <w:t>Neuropsychology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review</w:t>
      </w:r>
      <w:proofErr w:type="spellEnd"/>
      <w:r>
        <w:rPr>
          <w:i/>
        </w:rPr>
        <w:t>, 32</w:t>
      </w:r>
      <w:r>
        <w:t>(4), 974–1016. https://doi.org/10.1007/s11065-022-09538-3</w:t>
      </w:r>
    </w:p>
    <w:p w14:paraId="00000174" w14:textId="77777777" w:rsidR="00C57DD8" w:rsidRDefault="00EB3EFF">
      <w:pPr>
        <w:spacing w:line="360" w:lineRule="auto"/>
        <w:ind w:left="720" w:hanging="720"/>
        <w:jc w:val="both"/>
      </w:pPr>
      <w:r>
        <w:t xml:space="preserve">Leal, P. B. (2022). Instrumento para </w:t>
      </w:r>
      <w:proofErr w:type="spellStart"/>
      <w:r>
        <w:t>avaliação</w:t>
      </w:r>
      <w:proofErr w:type="spellEnd"/>
      <w:r>
        <w:t xml:space="preserve"> da </w:t>
      </w:r>
      <w:proofErr w:type="spellStart"/>
      <w:r>
        <w:t>qualidade</w:t>
      </w:r>
      <w:proofErr w:type="spellEnd"/>
      <w:r>
        <w:t xml:space="preserve"> do </w:t>
      </w:r>
      <w:proofErr w:type="spellStart"/>
      <w:r>
        <w:t>serviço</w:t>
      </w:r>
      <w:proofErr w:type="spellEnd"/>
      <w:r>
        <w:t xml:space="preserve"> médico de </w:t>
      </w:r>
      <w:proofErr w:type="spellStart"/>
      <w:r>
        <w:t>emergência</w:t>
      </w:r>
      <w:proofErr w:type="spellEnd"/>
      <w:r>
        <w:t xml:space="preserve"> </w:t>
      </w:r>
      <w:proofErr w:type="spellStart"/>
      <w:r>
        <w:t>sob</w:t>
      </w:r>
      <w:proofErr w:type="spellEnd"/>
      <w:r>
        <w:t xml:space="preserve"> perspectiva do </w:t>
      </w:r>
      <w:proofErr w:type="spellStart"/>
      <w:r>
        <w:t>usuário</w:t>
      </w:r>
      <w:proofErr w:type="spellEnd"/>
      <w:r>
        <w:t xml:space="preserve"> </w:t>
      </w:r>
      <w:proofErr w:type="spellStart"/>
      <w:r>
        <w:t>proposta</w:t>
      </w:r>
      <w:proofErr w:type="spellEnd"/>
      <w:r>
        <w:t xml:space="preserve"> e </w:t>
      </w:r>
      <w:proofErr w:type="spellStart"/>
      <w:r>
        <w:t>validação</w:t>
      </w:r>
      <w:proofErr w:type="spellEnd"/>
      <w:r>
        <w:t xml:space="preserve"> de </w:t>
      </w:r>
      <w:proofErr w:type="spellStart"/>
      <w:r>
        <w:t>conteúdo</w:t>
      </w:r>
      <w:proofErr w:type="spellEnd"/>
      <w:r>
        <w:t xml:space="preserve"> [</w:t>
      </w:r>
      <w:proofErr w:type="spellStart"/>
      <w:r>
        <w:t>Trabalho</w:t>
      </w:r>
      <w:proofErr w:type="spellEnd"/>
      <w:r>
        <w:t xml:space="preserve"> de </w:t>
      </w:r>
      <w:proofErr w:type="spellStart"/>
      <w:r>
        <w:t>Conclusão</w:t>
      </w:r>
      <w:proofErr w:type="spellEnd"/>
      <w:r>
        <w:t xml:space="preserve"> de Curso, </w:t>
      </w:r>
      <w:r>
        <w:lastRenderedPageBreak/>
        <w:t xml:space="preserve">Escola Bahiana de Medicina e </w:t>
      </w:r>
      <w:proofErr w:type="spellStart"/>
      <w:r>
        <w:t>Saúde</w:t>
      </w:r>
      <w:proofErr w:type="spellEnd"/>
      <w:r>
        <w:t xml:space="preserve"> Pública]. </w:t>
      </w:r>
      <w:proofErr w:type="spellStart"/>
      <w:r>
        <w:t>Repositório</w:t>
      </w:r>
      <w:proofErr w:type="spellEnd"/>
      <w:r>
        <w:t xml:space="preserve"> Institucional.  http://www.repositorio.bahiana.edu.br/jspui/handle/bahiana/7181 </w:t>
      </w:r>
    </w:p>
    <w:p w14:paraId="00000175" w14:textId="77777777" w:rsidR="00C57DD8" w:rsidRDefault="00EB3EFF">
      <w:pPr>
        <w:spacing w:line="360" w:lineRule="auto"/>
        <w:ind w:left="720" w:hanging="720"/>
        <w:jc w:val="both"/>
      </w:pPr>
      <w:proofErr w:type="spellStart"/>
      <w:r>
        <w:t>Likhitweerawong</w:t>
      </w:r>
      <w:proofErr w:type="spellEnd"/>
      <w:r>
        <w:t xml:space="preserve">, N., </w:t>
      </w:r>
      <w:proofErr w:type="spellStart"/>
      <w:r>
        <w:t>Khorana</w:t>
      </w:r>
      <w:proofErr w:type="spellEnd"/>
      <w:r>
        <w:t xml:space="preserve">, J., </w:t>
      </w:r>
      <w:proofErr w:type="spellStart"/>
      <w:r>
        <w:t>Boonchooduang</w:t>
      </w:r>
      <w:proofErr w:type="spellEnd"/>
      <w:r>
        <w:t xml:space="preserve">, N., </w:t>
      </w:r>
      <w:proofErr w:type="spellStart"/>
      <w:r>
        <w:t>Phinyo</w:t>
      </w:r>
      <w:proofErr w:type="spellEnd"/>
      <w:r>
        <w:t xml:space="preserve">, P., </w:t>
      </w:r>
      <w:proofErr w:type="spellStart"/>
      <w:r>
        <w:t>Patumanond</w:t>
      </w:r>
      <w:proofErr w:type="spellEnd"/>
      <w:r>
        <w:t xml:space="preserve">, J., &amp; </w:t>
      </w:r>
      <w:proofErr w:type="spellStart"/>
      <w:r>
        <w:t>Louthrenoo</w:t>
      </w:r>
      <w:proofErr w:type="spellEnd"/>
      <w:r>
        <w:t xml:space="preserve">, O. (2022). </w:t>
      </w:r>
      <w:proofErr w:type="spellStart"/>
      <w:r>
        <w:t>Association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executive </w:t>
      </w:r>
      <w:proofErr w:type="spellStart"/>
      <w:r>
        <w:t>function</w:t>
      </w:r>
      <w:proofErr w:type="spellEnd"/>
      <w:r>
        <w:t xml:space="preserve"> and </w:t>
      </w:r>
      <w:proofErr w:type="spellStart"/>
      <w:r>
        <w:t>excess</w:t>
      </w:r>
      <w:proofErr w:type="spellEnd"/>
      <w:r>
        <w:t xml:space="preserve"> </w:t>
      </w:r>
      <w:proofErr w:type="spellStart"/>
      <w:r>
        <w:t>weight</w:t>
      </w:r>
      <w:proofErr w:type="spellEnd"/>
      <w:r>
        <w:t xml:space="preserve"> in </w:t>
      </w:r>
      <w:proofErr w:type="spellStart"/>
      <w:r>
        <w:t>pre-school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. </w:t>
      </w:r>
      <w:proofErr w:type="spellStart"/>
      <w:r>
        <w:rPr>
          <w:i/>
        </w:rPr>
        <w:t>PloS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one</w:t>
      </w:r>
      <w:proofErr w:type="spellEnd"/>
      <w:r>
        <w:rPr>
          <w:i/>
        </w:rPr>
        <w:t>, 17</w:t>
      </w:r>
      <w:r>
        <w:t>(10), e0275711. https://doi.org/10.1371/journal.pone.0275711</w:t>
      </w:r>
    </w:p>
    <w:p w14:paraId="00000176" w14:textId="77777777" w:rsidR="00C57DD8" w:rsidRDefault="00EB3EFF">
      <w:pPr>
        <w:spacing w:line="360" w:lineRule="auto"/>
        <w:ind w:left="720" w:hanging="720"/>
        <w:jc w:val="both"/>
      </w:pPr>
      <w:proofErr w:type="spellStart"/>
      <w:r>
        <w:t>Martins</w:t>
      </w:r>
      <w:proofErr w:type="spellEnd"/>
      <w:r>
        <w:t xml:space="preserve">, C. R. (2020). </w:t>
      </w:r>
      <w:proofErr w:type="spellStart"/>
      <w:r>
        <w:t>Evidências</w:t>
      </w:r>
      <w:proofErr w:type="spellEnd"/>
      <w:r>
        <w:t xml:space="preserve"> de validade do Teste de </w:t>
      </w:r>
      <w:proofErr w:type="spellStart"/>
      <w:r>
        <w:t>Inibição</w:t>
      </w:r>
      <w:proofErr w:type="spellEnd"/>
      <w:r>
        <w:t xml:space="preserve"> e </w:t>
      </w:r>
      <w:proofErr w:type="spellStart"/>
      <w:r>
        <w:t>Flexibilidade</w:t>
      </w:r>
      <w:proofErr w:type="spellEnd"/>
      <w:r>
        <w:t xml:space="preserve"> Cognitiva - TIF: </w:t>
      </w:r>
      <w:proofErr w:type="spellStart"/>
      <w:r>
        <w:t>Analisando</w:t>
      </w:r>
      <w:proofErr w:type="spellEnd"/>
      <w:r>
        <w:t xml:space="preserve"> o </w:t>
      </w:r>
      <w:proofErr w:type="spellStart"/>
      <w:r>
        <w:t>desenvolvimento</w:t>
      </w:r>
      <w:proofErr w:type="spellEnd"/>
      <w:r>
        <w:t xml:space="preserve"> do controle </w:t>
      </w:r>
      <w:proofErr w:type="spellStart"/>
      <w:r>
        <w:t>inibitório</w:t>
      </w:r>
      <w:proofErr w:type="spellEnd"/>
      <w:r>
        <w:t xml:space="preserve"> e </w:t>
      </w:r>
      <w:proofErr w:type="spellStart"/>
      <w:r>
        <w:t>flexibilidade</w:t>
      </w:r>
      <w:proofErr w:type="spellEnd"/>
      <w:r>
        <w:t xml:space="preserve"> cognitiva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infância</w:t>
      </w:r>
      <w:proofErr w:type="spellEnd"/>
      <w:r>
        <w:t xml:space="preserve">. [Tese de </w:t>
      </w:r>
      <w:proofErr w:type="spellStart"/>
      <w:r>
        <w:t>Doutorado</w:t>
      </w:r>
      <w:proofErr w:type="spellEnd"/>
      <w:r>
        <w:t xml:space="preserve">. </w:t>
      </w:r>
      <w:proofErr w:type="spellStart"/>
      <w:r>
        <w:t>Universidade</w:t>
      </w:r>
      <w:proofErr w:type="spellEnd"/>
      <w:r>
        <w:t xml:space="preserve"> Federal da </w:t>
      </w:r>
      <w:proofErr w:type="spellStart"/>
      <w:r>
        <w:t>Bahia</w:t>
      </w:r>
      <w:proofErr w:type="spellEnd"/>
      <w:r>
        <w:t xml:space="preserve">]. https://repositorio.ufba.br/ri/handle/ri/32839 </w:t>
      </w:r>
    </w:p>
    <w:p w14:paraId="00000177" w14:textId="77777777" w:rsidR="00C57DD8" w:rsidRDefault="00EB3EFF">
      <w:pPr>
        <w:spacing w:line="360" w:lineRule="auto"/>
        <w:ind w:left="720" w:hanging="720"/>
        <w:jc w:val="both"/>
      </w:pPr>
      <w:proofErr w:type="spellStart"/>
      <w:r>
        <w:t>Minervino</w:t>
      </w:r>
      <w:proofErr w:type="spellEnd"/>
      <w:r>
        <w:t xml:space="preserve">, C. A. da S. M., &amp; </w:t>
      </w:r>
      <w:proofErr w:type="spellStart"/>
      <w:r>
        <w:t>Tomaz</w:t>
      </w:r>
      <w:proofErr w:type="spellEnd"/>
      <w:r>
        <w:t xml:space="preserve">, D. F. de O. (2021). Habilidades precursoras da </w:t>
      </w:r>
      <w:proofErr w:type="spellStart"/>
      <w:r>
        <w:t>leitura</w:t>
      </w:r>
      <w:proofErr w:type="spellEnd"/>
      <w:r>
        <w:t xml:space="preserve">: </w:t>
      </w:r>
      <w:proofErr w:type="spellStart"/>
      <w:r>
        <w:t>análise</w:t>
      </w:r>
      <w:proofErr w:type="spellEnd"/>
      <w:r>
        <w:t xml:space="preserve"> da tarefa informatizada de </w:t>
      </w:r>
      <w:proofErr w:type="spellStart"/>
      <w:r>
        <w:t>memória</w:t>
      </w:r>
      <w:proofErr w:type="spellEnd"/>
      <w:r>
        <w:t xml:space="preserve"> de </w:t>
      </w:r>
      <w:proofErr w:type="spellStart"/>
      <w:r>
        <w:t>trabalho</w:t>
      </w:r>
      <w:proofErr w:type="spellEnd"/>
      <w:r>
        <w:t xml:space="preserve"> para </w:t>
      </w:r>
      <w:proofErr w:type="spellStart"/>
      <w:r>
        <w:t>crianças</w:t>
      </w:r>
      <w:proofErr w:type="spellEnd"/>
      <w:r>
        <w:t xml:space="preserve">. Em J. F. de S., &amp; A. L. P. G. P. Navas. </w:t>
      </w:r>
      <w:proofErr w:type="spellStart"/>
      <w:r>
        <w:t>Avaliação</w:t>
      </w:r>
      <w:proofErr w:type="spellEnd"/>
      <w:r>
        <w:t xml:space="preserve"> da </w:t>
      </w:r>
      <w:proofErr w:type="spellStart"/>
      <w:r>
        <w:t>linguagem</w:t>
      </w:r>
      <w:proofErr w:type="spellEnd"/>
      <w:r>
        <w:t xml:space="preserve"> oral, escrita e de habilidades relacionadas: Panorama nacional de instrumentos. </w:t>
      </w:r>
      <w:proofErr w:type="spellStart"/>
      <w:r>
        <w:t>Vetor</w:t>
      </w:r>
      <w:proofErr w:type="spellEnd"/>
      <w:r>
        <w:t xml:space="preserve"> Editora. </w:t>
      </w:r>
    </w:p>
    <w:p w14:paraId="00000178" w14:textId="77777777" w:rsidR="00C57DD8" w:rsidRDefault="00EB3EFF">
      <w:pPr>
        <w:spacing w:line="360" w:lineRule="auto"/>
        <w:ind w:left="720" w:hanging="720"/>
        <w:jc w:val="both"/>
      </w:pPr>
      <w:r>
        <w:t xml:space="preserve">Nogues, C. P., Nunes, D. M. (2023). A </w:t>
      </w:r>
      <w:proofErr w:type="spellStart"/>
      <w:r>
        <w:t>influência</w:t>
      </w:r>
      <w:proofErr w:type="spellEnd"/>
      <w:r>
        <w:t xml:space="preserve"> das </w:t>
      </w:r>
      <w:proofErr w:type="spellStart"/>
      <w:r>
        <w:t>funções</w:t>
      </w:r>
      <w:proofErr w:type="spellEnd"/>
      <w:r>
        <w:t xml:space="preserve"> executivas </w:t>
      </w:r>
      <w:proofErr w:type="spellStart"/>
      <w:r>
        <w:t>na</w:t>
      </w:r>
      <w:proofErr w:type="spellEnd"/>
      <w:r>
        <w:t xml:space="preserve"> matemática. Em L. V. Corso, E. F. de </w:t>
      </w:r>
      <w:proofErr w:type="spellStart"/>
      <w:r>
        <w:t>Assis</w:t>
      </w:r>
      <w:proofErr w:type="spellEnd"/>
      <w:r>
        <w:t>, &amp; C. P. Nogues (</w:t>
      </w:r>
      <w:proofErr w:type="spellStart"/>
      <w:r>
        <w:t>Orgs</w:t>
      </w:r>
      <w:proofErr w:type="spellEnd"/>
      <w:r>
        <w:t xml:space="preserve">.), Matemática </w:t>
      </w:r>
      <w:proofErr w:type="spellStart"/>
      <w:r>
        <w:t>na</w:t>
      </w:r>
      <w:proofErr w:type="spellEnd"/>
      <w:r>
        <w:t xml:space="preserve"> </w:t>
      </w:r>
      <w:proofErr w:type="spellStart"/>
      <w:r>
        <w:t>Educação</w:t>
      </w:r>
      <w:proofErr w:type="spellEnd"/>
      <w:r>
        <w:t xml:space="preserve"> Infantil (pp. 93-110). </w:t>
      </w:r>
      <w:proofErr w:type="spellStart"/>
      <w:r>
        <w:t>CirKula</w:t>
      </w:r>
      <w:proofErr w:type="spellEnd"/>
      <w:r>
        <w:t>. https://lume.ufrgs.br/handle/10183/265677</w:t>
      </w:r>
    </w:p>
    <w:p w14:paraId="00000179" w14:textId="77777777" w:rsidR="00C57DD8" w:rsidRDefault="00EB3EFF">
      <w:pPr>
        <w:spacing w:line="360" w:lineRule="auto"/>
        <w:ind w:left="720" w:hanging="720"/>
        <w:jc w:val="both"/>
      </w:pPr>
      <w:proofErr w:type="spellStart"/>
      <w:r>
        <w:t>Nweze</w:t>
      </w:r>
      <w:proofErr w:type="spellEnd"/>
      <w:r>
        <w:t xml:space="preserve">, T., &amp; </w:t>
      </w:r>
      <w:proofErr w:type="spellStart"/>
      <w:r>
        <w:t>Nwani</w:t>
      </w:r>
      <w:proofErr w:type="spellEnd"/>
      <w:r>
        <w:t xml:space="preserve">, W. (2020). </w:t>
      </w:r>
      <w:proofErr w:type="spellStart"/>
      <w:r>
        <w:t>Contributions</w:t>
      </w:r>
      <w:proofErr w:type="spellEnd"/>
      <w:r>
        <w:t xml:space="preserve"> of Working Memory and </w:t>
      </w:r>
      <w:proofErr w:type="spellStart"/>
      <w:r>
        <w:t>Inhibition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Cognitive </w:t>
      </w:r>
      <w:proofErr w:type="spellStart"/>
      <w:r>
        <w:t>Flexibility</w:t>
      </w:r>
      <w:proofErr w:type="spellEnd"/>
      <w:r>
        <w:t xml:space="preserve"> in </w:t>
      </w:r>
      <w:proofErr w:type="spellStart"/>
      <w:r>
        <w:t>Nigerian</w:t>
      </w:r>
      <w:proofErr w:type="spellEnd"/>
      <w:r>
        <w:t xml:space="preserve"> </w:t>
      </w:r>
      <w:proofErr w:type="spellStart"/>
      <w:r>
        <w:t>Adolescents</w:t>
      </w:r>
      <w:proofErr w:type="spellEnd"/>
      <w:r>
        <w:t xml:space="preserve">. </w:t>
      </w:r>
      <w:proofErr w:type="spellStart"/>
      <w:r>
        <w:rPr>
          <w:i/>
        </w:rPr>
        <w:t>Developmental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neuropsychology</w:t>
      </w:r>
      <w:proofErr w:type="spellEnd"/>
      <w:r>
        <w:rPr>
          <w:i/>
        </w:rPr>
        <w:t>, 45</w:t>
      </w:r>
      <w:r>
        <w:t>(3), 118–128. https://doi.org/10.1080/87565641.2020.1765169</w:t>
      </w:r>
    </w:p>
    <w:p w14:paraId="0000017A" w14:textId="77777777" w:rsidR="00C57DD8" w:rsidRDefault="00EB3EFF">
      <w:pPr>
        <w:spacing w:line="360" w:lineRule="auto"/>
        <w:ind w:left="720" w:hanging="720"/>
        <w:jc w:val="both"/>
      </w:pPr>
      <w:r>
        <w:t xml:space="preserve">Pereira, E. E. L. D., </w:t>
      </w:r>
      <w:proofErr w:type="spellStart"/>
      <w:r>
        <w:t>Minervino</w:t>
      </w:r>
      <w:proofErr w:type="spellEnd"/>
      <w:r>
        <w:t xml:space="preserve">, C. A. da S. M., Cruz, L. F. P. da., </w:t>
      </w:r>
      <w:proofErr w:type="spellStart"/>
      <w:r>
        <w:t>Roama</w:t>
      </w:r>
      <w:proofErr w:type="spellEnd"/>
      <w:r>
        <w:t xml:space="preserve">-Alves, R. J., &amp; Andrade, J. M.. (2020). Executive Functions in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ADHD and/</w:t>
      </w:r>
      <w:proofErr w:type="spellStart"/>
      <w:r>
        <w:t>or</w:t>
      </w:r>
      <w:proofErr w:type="spellEnd"/>
      <w:r>
        <w:t xml:space="preserve"> Reading </w:t>
      </w:r>
      <w:proofErr w:type="spellStart"/>
      <w:r>
        <w:t>Difficulty</w:t>
      </w:r>
      <w:proofErr w:type="spellEnd"/>
      <w:r>
        <w:t xml:space="preserve">. </w:t>
      </w:r>
      <w:proofErr w:type="spellStart"/>
      <w:r>
        <w:rPr>
          <w:i/>
        </w:rPr>
        <w:t>Psicologia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Teoria</w:t>
      </w:r>
      <w:proofErr w:type="spellEnd"/>
      <w:r>
        <w:rPr>
          <w:i/>
        </w:rPr>
        <w:t xml:space="preserve"> E Pesquisa, 36,</w:t>
      </w:r>
      <w:r>
        <w:t xml:space="preserve"> e3623. https://doi.org/10.1590/0102.3772e3623</w:t>
      </w:r>
    </w:p>
    <w:p w14:paraId="0000017B" w14:textId="77777777" w:rsidR="00C57DD8" w:rsidRDefault="00EB3EFF">
      <w:pPr>
        <w:spacing w:line="360" w:lineRule="auto"/>
        <w:ind w:left="720" w:hanging="720"/>
        <w:jc w:val="both"/>
      </w:pPr>
      <w:proofErr w:type="spellStart"/>
      <w:r>
        <w:t>Perone</w:t>
      </w:r>
      <w:proofErr w:type="spellEnd"/>
      <w:r>
        <w:t xml:space="preserve">, S., </w:t>
      </w:r>
      <w:proofErr w:type="spellStart"/>
      <w:r>
        <w:t>Simmering</w:t>
      </w:r>
      <w:proofErr w:type="spellEnd"/>
      <w:r>
        <w:t xml:space="preserve">, V. R., &amp; </w:t>
      </w:r>
      <w:proofErr w:type="spellStart"/>
      <w:r>
        <w:t>Buss</w:t>
      </w:r>
      <w:proofErr w:type="spellEnd"/>
      <w:r>
        <w:t xml:space="preserve">, A. T. (2021). A </w:t>
      </w:r>
      <w:proofErr w:type="spellStart"/>
      <w:r>
        <w:t>Dynamical</w:t>
      </w:r>
      <w:proofErr w:type="spellEnd"/>
      <w:r>
        <w:t xml:space="preserve"> </w:t>
      </w:r>
      <w:proofErr w:type="spellStart"/>
      <w:r>
        <w:t>Reconceptualization</w:t>
      </w:r>
      <w:proofErr w:type="spellEnd"/>
      <w:r>
        <w:t xml:space="preserve"> of Executive-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. </w:t>
      </w:r>
      <w:proofErr w:type="spellStart"/>
      <w:r>
        <w:rPr>
          <w:i/>
        </w:rPr>
        <w:t>Perspectives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Psychological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Science</w:t>
      </w:r>
      <w:proofErr w:type="spellEnd"/>
      <w:r>
        <w:rPr>
          <w:i/>
        </w:rPr>
        <w:t>, 16</w:t>
      </w:r>
      <w:r>
        <w:t>(6), 1198-1208. https://doi.org/10.1177/1745691620966792</w:t>
      </w:r>
    </w:p>
    <w:p w14:paraId="0000017C" w14:textId="77777777" w:rsidR="00C57DD8" w:rsidRDefault="00EB3EFF">
      <w:pPr>
        <w:spacing w:line="360" w:lineRule="auto"/>
        <w:ind w:left="720" w:hanging="720"/>
        <w:jc w:val="both"/>
      </w:pPr>
      <w:proofErr w:type="spellStart"/>
      <w:r>
        <w:t>Reppold</w:t>
      </w:r>
      <w:proofErr w:type="spellEnd"/>
      <w:r>
        <w:t xml:space="preserve">, C. T., Wechsler, S. M., Almeida, L. da S., Elosua, P., &amp; </w:t>
      </w:r>
      <w:proofErr w:type="spellStart"/>
      <w:r>
        <w:t>Hutz</w:t>
      </w:r>
      <w:proofErr w:type="spellEnd"/>
      <w:r>
        <w:t xml:space="preserve">, C. S. (2020). Perfil dos Psicólogos Brasileiros que </w:t>
      </w:r>
      <w:proofErr w:type="spellStart"/>
      <w:r>
        <w:t>Utilizam</w:t>
      </w:r>
      <w:proofErr w:type="spellEnd"/>
      <w:r>
        <w:t xml:space="preserve"> Testes Psicológicos: Áreas e Instrumentos Utilizados. </w:t>
      </w:r>
      <w:proofErr w:type="spellStart"/>
      <w:r>
        <w:rPr>
          <w:i/>
        </w:rPr>
        <w:t>Psicologia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Ciência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Profissão</w:t>
      </w:r>
      <w:proofErr w:type="spellEnd"/>
      <w:r>
        <w:rPr>
          <w:i/>
        </w:rPr>
        <w:t>, 40,</w:t>
      </w:r>
      <w:r>
        <w:t xml:space="preserve"> e201348. https://doi.org/10.1590/1982-3703003201348</w:t>
      </w:r>
    </w:p>
    <w:p w14:paraId="0000017D" w14:textId="77777777" w:rsidR="00C57DD8" w:rsidRDefault="00EB3EFF">
      <w:pPr>
        <w:spacing w:line="360" w:lineRule="auto"/>
        <w:ind w:left="720" w:hanging="720"/>
        <w:jc w:val="both"/>
      </w:pPr>
      <w:r>
        <w:lastRenderedPageBreak/>
        <w:t xml:space="preserve">Ruffini, C., </w:t>
      </w:r>
      <w:proofErr w:type="spellStart"/>
      <w:r>
        <w:t>Marzocchi</w:t>
      </w:r>
      <w:proofErr w:type="spellEnd"/>
      <w:r>
        <w:t xml:space="preserve">, G. M., &amp; </w:t>
      </w:r>
      <w:proofErr w:type="spellStart"/>
      <w:r>
        <w:t>Pecini</w:t>
      </w:r>
      <w:proofErr w:type="spellEnd"/>
      <w:r>
        <w:t xml:space="preserve">, C. (2021). </w:t>
      </w:r>
      <w:proofErr w:type="spellStart"/>
      <w:r>
        <w:t>Preschool</w:t>
      </w:r>
      <w:proofErr w:type="spellEnd"/>
      <w:r>
        <w:t xml:space="preserve"> Executive </w:t>
      </w:r>
      <w:proofErr w:type="spellStart"/>
      <w:r>
        <w:t>Functioning</w:t>
      </w:r>
      <w:proofErr w:type="spellEnd"/>
      <w:r>
        <w:t xml:space="preserve"> and Child </w:t>
      </w:r>
      <w:proofErr w:type="spellStart"/>
      <w:r>
        <w:t>Behavior</w:t>
      </w:r>
      <w:proofErr w:type="spellEnd"/>
      <w:r>
        <w:t xml:space="preserve">: </w:t>
      </w:r>
      <w:proofErr w:type="spellStart"/>
      <w:r>
        <w:t>Association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Prerequisites</w:t>
      </w:r>
      <w:proofErr w:type="spellEnd"/>
      <w:r>
        <w:t xml:space="preserve">?. </w:t>
      </w:r>
      <w:proofErr w:type="spellStart"/>
      <w:r>
        <w:rPr>
          <w:i/>
        </w:rPr>
        <w:t>Children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Basel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Switzerland</w:t>
      </w:r>
      <w:proofErr w:type="spellEnd"/>
      <w:r>
        <w:rPr>
          <w:i/>
        </w:rPr>
        <w:t>), 8</w:t>
      </w:r>
      <w:r>
        <w:t>(11), 964. https://doi.org/10.3390/children8110964</w:t>
      </w:r>
    </w:p>
    <w:p w14:paraId="0000017E" w14:textId="77777777" w:rsidR="00C57DD8" w:rsidRDefault="00EB3EFF">
      <w:pPr>
        <w:spacing w:line="360" w:lineRule="auto"/>
        <w:ind w:left="720" w:hanging="720"/>
        <w:jc w:val="both"/>
      </w:pPr>
      <w:r>
        <w:t xml:space="preserve">Santana, A. N. de., Melo, M. R. A., &amp; </w:t>
      </w:r>
      <w:proofErr w:type="spellStart"/>
      <w:r>
        <w:t>Minervino</w:t>
      </w:r>
      <w:proofErr w:type="spellEnd"/>
      <w:r>
        <w:t xml:space="preserve">, C. A. da S. M. (2019). Instrumentos de </w:t>
      </w:r>
      <w:proofErr w:type="spellStart"/>
      <w:r>
        <w:t>Avaliação</w:t>
      </w:r>
      <w:proofErr w:type="spellEnd"/>
      <w:r>
        <w:t xml:space="preserve"> das </w:t>
      </w:r>
      <w:proofErr w:type="spellStart"/>
      <w:r>
        <w:t>Funções</w:t>
      </w:r>
      <w:proofErr w:type="spellEnd"/>
      <w:r>
        <w:t xml:space="preserve"> Executivas: </w:t>
      </w:r>
      <w:proofErr w:type="spellStart"/>
      <w:r>
        <w:t>Revisão</w:t>
      </w:r>
      <w:proofErr w:type="spellEnd"/>
      <w:r>
        <w:t xml:space="preserve"> Sistemática dos Últimos Cinco </w:t>
      </w:r>
      <w:proofErr w:type="spellStart"/>
      <w:r>
        <w:t>Anos</w:t>
      </w:r>
      <w:proofErr w:type="spellEnd"/>
      <w:r>
        <w:t xml:space="preserve">. </w:t>
      </w:r>
      <w:proofErr w:type="spellStart"/>
      <w:r>
        <w:rPr>
          <w:i/>
        </w:rPr>
        <w:t>Avaliação</w:t>
      </w:r>
      <w:proofErr w:type="spellEnd"/>
      <w:r>
        <w:rPr>
          <w:i/>
        </w:rPr>
        <w:t xml:space="preserve"> Psicológica, 18</w:t>
      </w:r>
      <w:r>
        <w:t xml:space="preserve">(1), 96-107. http://dx.doi.org/10.15689/ap.2019.1801.14668.11 </w:t>
      </w:r>
    </w:p>
    <w:p w14:paraId="0000017F" w14:textId="77777777" w:rsidR="00C57DD8" w:rsidRDefault="00EB3EFF">
      <w:pPr>
        <w:spacing w:line="360" w:lineRule="auto"/>
        <w:ind w:left="720" w:hanging="720"/>
        <w:jc w:val="both"/>
      </w:pPr>
      <w:proofErr w:type="spellStart"/>
      <w:r>
        <w:t>Simon</w:t>
      </w:r>
      <w:proofErr w:type="spellEnd"/>
      <w:r>
        <w:t xml:space="preserve">, J. R., &amp; </w:t>
      </w:r>
      <w:proofErr w:type="spellStart"/>
      <w:r>
        <w:t>Rudell</w:t>
      </w:r>
      <w:proofErr w:type="spellEnd"/>
      <w:r>
        <w:t xml:space="preserve">, A. P. (1967). </w:t>
      </w:r>
      <w:proofErr w:type="spellStart"/>
      <w:r>
        <w:t>Auditory</w:t>
      </w:r>
      <w:proofErr w:type="spellEnd"/>
      <w:r>
        <w:t xml:space="preserve"> S-R </w:t>
      </w:r>
      <w:proofErr w:type="spellStart"/>
      <w:r>
        <w:t>compatibility</w:t>
      </w:r>
      <w:proofErr w:type="spellEnd"/>
      <w:r>
        <w:t xml:space="preserve">: the </w:t>
      </w:r>
      <w:proofErr w:type="spellStart"/>
      <w:r>
        <w:t>effect</w:t>
      </w:r>
      <w:proofErr w:type="spellEnd"/>
      <w:r>
        <w:t xml:space="preserve"> of </w:t>
      </w:r>
      <w:proofErr w:type="spellStart"/>
      <w:r>
        <w:t>an</w:t>
      </w:r>
      <w:proofErr w:type="spellEnd"/>
      <w:r>
        <w:t xml:space="preserve"> </w:t>
      </w:r>
      <w:proofErr w:type="spellStart"/>
      <w:r>
        <w:t>irrelevant</w:t>
      </w:r>
      <w:proofErr w:type="spellEnd"/>
      <w:r>
        <w:t xml:space="preserve"> cue </w:t>
      </w:r>
      <w:proofErr w:type="spellStart"/>
      <w:r>
        <w:t>on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. </w:t>
      </w:r>
      <w:r>
        <w:rPr>
          <w:i/>
        </w:rPr>
        <w:t xml:space="preserve">The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applied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psychology</w:t>
      </w:r>
      <w:proofErr w:type="spellEnd"/>
      <w:r>
        <w:rPr>
          <w:i/>
        </w:rPr>
        <w:t>, 51</w:t>
      </w:r>
      <w:r>
        <w:t xml:space="preserve">(3), 300–304. https://doi.org/10.1037/h0020586 </w:t>
      </w:r>
    </w:p>
    <w:p w14:paraId="00000180" w14:textId="77777777" w:rsidR="00C57DD8" w:rsidRDefault="00EB3EFF">
      <w:pPr>
        <w:spacing w:line="360" w:lineRule="auto"/>
        <w:ind w:left="720" w:hanging="720"/>
        <w:jc w:val="both"/>
      </w:pPr>
      <w:proofErr w:type="spellStart"/>
      <w:r>
        <w:t>Souissi</w:t>
      </w:r>
      <w:proofErr w:type="spellEnd"/>
      <w:r>
        <w:t xml:space="preserve">, S., </w:t>
      </w:r>
      <w:proofErr w:type="spellStart"/>
      <w:r>
        <w:t>Chamari</w:t>
      </w:r>
      <w:proofErr w:type="spellEnd"/>
      <w:r>
        <w:t xml:space="preserve">, K., &amp; </w:t>
      </w:r>
      <w:proofErr w:type="spellStart"/>
      <w:r>
        <w:t>Bellaj</w:t>
      </w:r>
      <w:proofErr w:type="spellEnd"/>
      <w:r>
        <w:t xml:space="preserve">, T. (2022). </w:t>
      </w:r>
      <w:proofErr w:type="spellStart"/>
      <w:r>
        <w:t>Assessment</w:t>
      </w:r>
      <w:proofErr w:type="spellEnd"/>
      <w:r>
        <w:t xml:space="preserve"> of executive </w:t>
      </w:r>
      <w:proofErr w:type="spellStart"/>
      <w:r>
        <w:t>functions</w:t>
      </w:r>
      <w:proofErr w:type="spellEnd"/>
      <w:r>
        <w:t xml:space="preserve"> in </w:t>
      </w:r>
      <w:proofErr w:type="spellStart"/>
      <w:r>
        <w:t>school-aged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: A narrative </w:t>
      </w:r>
      <w:proofErr w:type="spellStart"/>
      <w:r>
        <w:t>review</w:t>
      </w:r>
      <w:proofErr w:type="spellEnd"/>
      <w:r>
        <w:t xml:space="preserve">. </w:t>
      </w:r>
      <w:proofErr w:type="spellStart"/>
      <w:r>
        <w:rPr>
          <w:i/>
        </w:rPr>
        <w:t>Frontiers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psychology</w:t>
      </w:r>
      <w:proofErr w:type="spellEnd"/>
      <w:r>
        <w:rPr>
          <w:i/>
        </w:rPr>
        <w:t>, 13,</w:t>
      </w:r>
      <w:r>
        <w:t xml:space="preserve"> 991699. https://doi.org/10.3389/fpsyg.2022.991699</w:t>
      </w:r>
    </w:p>
    <w:p w14:paraId="00000181" w14:textId="77777777" w:rsidR="00C57DD8" w:rsidRDefault="00EB3EFF">
      <w:pPr>
        <w:spacing w:line="360" w:lineRule="auto"/>
        <w:ind w:left="720" w:hanging="720"/>
        <w:jc w:val="both"/>
      </w:pPr>
      <w:proofErr w:type="spellStart"/>
      <w:r>
        <w:t>Stemler</w:t>
      </w:r>
      <w:proofErr w:type="spellEnd"/>
      <w:r>
        <w:t xml:space="preserve">, S. E. (2004). A </w:t>
      </w:r>
      <w:proofErr w:type="spellStart"/>
      <w:r>
        <w:t>comparison</w:t>
      </w:r>
      <w:proofErr w:type="spellEnd"/>
      <w:r>
        <w:t xml:space="preserve"> of </w:t>
      </w:r>
      <w:proofErr w:type="spellStart"/>
      <w:r>
        <w:t>consensus</w:t>
      </w:r>
      <w:proofErr w:type="spellEnd"/>
      <w:r>
        <w:t xml:space="preserve">, </w:t>
      </w:r>
      <w:proofErr w:type="spellStart"/>
      <w:r>
        <w:t>consistency</w:t>
      </w:r>
      <w:proofErr w:type="spellEnd"/>
      <w:r>
        <w:t xml:space="preserve">, and </w:t>
      </w:r>
      <w:proofErr w:type="spellStart"/>
      <w:r>
        <w:t>measurement</w:t>
      </w:r>
      <w:proofErr w:type="spellEnd"/>
      <w:r>
        <w:t xml:space="preserve"> </w:t>
      </w:r>
      <w:proofErr w:type="spellStart"/>
      <w:r>
        <w:t>approaches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estimating</w:t>
      </w:r>
      <w:proofErr w:type="spellEnd"/>
      <w:r>
        <w:t xml:space="preserve"> </w:t>
      </w:r>
      <w:proofErr w:type="spellStart"/>
      <w:r>
        <w:t>interrater</w:t>
      </w:r>
      <w:proofErr w:type="spellEnd"/>
      <w:r>
        <w:t xml:space="preserve"> </w:t>
      </w:r>
      <w:proofErr w:type="spellStart"/>
      <w:r>
        <w:t>reliability</w:t>
      </w:r>
      <w:proofErr w:type="spellEnd"/>
      <w:r>
        <w:t xml:space="preserve">. </w:t>
      </w:r>
      <w:proofErr w:type="spellStart"/>
      <w:r>
        <w:rPr>
          <w:i/>
        </w:rPr>
        <w:t>Practical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Assessment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Research</w:t>
      </w:r>
      <w:proofErr w:type="spellEnd"/>
      <w:r>
        <w:rPr>
          <w:i/>
        </w:rPr>
        <w:t xml:space="preserve"> &amp; </w:t>
      </w:r>
      <w:proofErr w:type="spellStart"/>
      <w:r>
        <w:rPr>
          <w:i/>
        </w:rPr>
        <w:t>Evaluation</w:t>
      </w:r>
      <w:proofErr w:type="spellEnd"/>
      <w:r>
        <w:rPr>
          <w:i/>
        </w:rPr>
        <w:t>, 9</w:t>
      </w:r>
      <w:r>
        <w:t xml:space="preserve">(4), 1-19. https://doi.org/10.7275/96jp-xz07 </w:t>
      </w:r>
    </w:p>
    <w:p w14:paraId="00000182" w14:textId="77777777" w:rsidR="00C57DD8" w:rsidRDefault="00EB3EFF">
      <w:pPr>
        <w:spacing w:line="360" w:lineRule="auto"/>
        <w:ind w:left="720" w:hanging="720"/>
        <w:jc w:val="both"/>
      </w:pPr>
      <w:proofErr w:type="spellStart"/>
      <w:r>
        <w:t>Theodoraki</w:t>
      </w:r>
      <w:proofErr w:type="spellEnd"/>
      <w:r>
        <w:t xml:space="preserve">, T. E., </w:t>
      </w:r>
      <w:proofErr w:type="spellStart"/>
      <w:r>
        <w:t>McGeown</w:t>
      </w:r>
      <w:proofErr w:type="spellEnd"/>
      <w:r>
        <w:t xml:space="preserve">, S. P., Rhodes, S. M., &amp; </w:t>
      </w:r>
      <w:proofErr w:type="spellStart"/>
      <w:r>
        <w:t>MacPherson</w:t>
      </w:r>
      <w:proofErr w:type="spellEnd"/>
      <w:r>
        <w:t xml:space="preserve">, S. E. (2020). </w:t>
      </w:r>
      <w:proofErr w:type="spellStart"/>
      <w:r>
        <w:t>Developmental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in executive </w:t>
      </w:r>
      <w:proofErr w:type="spellStart"/>
      <w:r>
        <w:t>functions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adolescence</w:t>
      </w:r>
      <w:proofErr w:type="spellEnd"/>
      <w:r>
        <w:t xml:space="preserve">: A </w:t>
      </w:r>
      <w:proofErr w:type="spellStart"/>
      <w:r>
        <w:t>study</w:t>
      </w:r>
      <w:proofErr w:type="spellEnd"/>
      <w:r>
        <w:t xml:space="preserve"> of </w:t>
      </w:r>
      <w:proofErr w:type="spellStart"/>
      <w:r>
        <w:t>inhibition</w:t>
      </w:r>
      <w:proofErr w:type="spellEnd"/>
      <w:r>
        <w:t xml:space="preserve">, </w:t>
      </w:r>
      <w:proofErr w:type="spellStart"/>
      <w:r>
        <w:t>shifting</w:t>
      </w:r>
      <w:proofErr w:type="spellEnd"/>
      <w:r>
        <w:t xml:space="preserve">, and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memory</w:t>
      </w:r>
      <w:proofErr w:type="spellEnd"/>
      <w:r>
        <w:t xml:space="preserve">. </w:t>
      </w:r>
      <w:r>
        <w:rPr>
          <w:i/>
        </w:rPr>
        <w:t xml:space="preserve">The British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developmental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psychology</w:t>
      </w:r>
      <w:proofErr w:type="spellEnd"/>
      <w:r>
        <w:rPr>
          <w:i/>
        </w:rPr>
        <w:t>, 38</w:t>
      </w:r>
      <w:r>
        <w:t>(1), 74–89. https://doi.org/10.1111/bjdp.12307</w:t>
      </w:r>
    </w:p>
    <w:p w14:paraId="00000183" w14:textId="77777777" w:rsidR="00C57DD8" w:rsidRDefault="00EB3EFF">
      <w:pPr>
        <w:spacing w:line="360" w:lineRule="auto"/>
        <w:ind w:left="720" w:hanging="720"/>
        <w:jc w:val="both"/>
      </w:pPr>
      <w:proofErr w:type="spellStart"/>
      <w:r>
        <w:t>Venturieri</w:t>
      </w:r>
      <w:proofErr w:type="spellEnd"/>
      <w:r>
        <w:t xml:space="preserve">, C., Silva, L. D. P. da, </w:t>
      </w:r>
      <w:proofErr w:type="spellStart"/>
      <w:r>
        <w:t>Lunkes</w:t>
      </w:r>
      <w:proofErr w:type="spellEnd"/>
      <w:r>
        <w:t xml:space="preserve">, S., </w:t>
      </w:r>
      <w:proofErr w:type="spellStart"/>
      <w:r>
        <w:t>Stutz</w:t>
      </w:r>
      <w:proofErr w:type="spellEnd"/>
      <w:r>
        <w:t xml:space="preserve">, L. P., &amp; </w:t>
      </w:r>
      <w:proofErr w:type="spellStart"/>
      <w:r>
        <w:t>Dias</w:t>
      </w:r>
      <w:proofErr w:type="spellEnd"/>
      <w:r>
        <w:t xml:space="preserve">, N. M. (2023). </w:t>
      </w:r>
      <w:proofErr w:type="spellStart"/>
      <w:r>
        <w:t>Avaliação</w:t>
      </w:r>
      <w:proofErr w:type="spellEnd"/>
      <w:r>
        <w:t xml:space="preserve"> de </w:t>
      </w:r>
      <w:proofErr w:type="spellStart"/>
      <w:r>
        <w:t>funções</w:t>
      </w:r>
      <w:proofErr w:type="spellEnd"/>
      <w:r>
        <w:t xml:space="preserve"> executivas em </w:t>
      </w:r>
      <w:proofErr w:type="spellStart"/>
      <w:r>
        <w:t>pré</w:t>
      </w:r>
      <w:proofErr w:type="spellEnd"/>
      <w:r>
        <w:t xml:space="preserve">-escolares: </w:t>
      </w:r>
      <w:proofErr w:type="spellStart"/>
      <w:r>
        <w:t>revisão</w:t>
      </w:r>
      <w:proofErr w:type="spellEnd"/>
      <w:r>
        <w:t xml:space="preserve"> de escopo da literatura brasileira: </w:t>
      </w:r>
      <w:proofErr w:type="spellStart"/>
      <w:r>
        <w:t>Funções</w:t>
      </w:r>
      <w:proofErr w:type="spellEnd"/>
      <w:r>
        <w:t xml:space="preserve"> executivas em </w:t>
      </w:r>
      <w:proofErr w:type="spellStart"/>
      <w:r>
        <w:t>pré</w:t>
      </w:r>
      <w:proofErr w:type="spellEnd"/>
      <w:r>
        <w:t xml:space="preserve">-escolares. </w:t>
      </w:r>
      <w:r>
        <w:rPr>
          <w:i/>
        </w:rPr>
        <w:t>Neuropsicología Latinoamericana, 15</w:t>
      </w:r>
      <w:r>
        <w:t>(1), 31–44. https://neuropsicolatina.org/index.php/Neuropsicologia_Latinoamericana/article/view/7562</w:t>
      </w:r>
    </w:p>
    <w:p w14:paraId="00000184" w14:textId="77777777" w:rsidR="00C57DD8" w:rsidRDefault="00EB3EFF">
      <w:pPr>
        <w:spacing w:line="360" w:lineRule="auto"/>
        <w:ind w:left="720" w:hanging="720"/>
        <w:jc w:val="both"/>
      </w:pPr>
      <w:r>
        <w:t xml:space="preserve">Wang, L., Li, J., Jia, F., </w:t>
      </w:r>
      <w:proofErr w:type="spellStart"/>
      <w:r>
        <w:t>Lian</w:t>
      </w:r>
      <w:proofErr w:type="spellEnd"/>
      <w:r>
        <w:t xml:space="preserve">, L., &amp; Li, L. (2024). The </w:t>
      </w:r>
      <w:proofErr w:type="spellStart"/>
      <w:r>
        <w:t>Development</w:t>
      </w:r>
      <w:proofErr w:type="spellEnd"/>
      <w:r>
        <w:t xml:space="preserve"> of Response and </w:t>
      </w:r>
      <w:proofErr w:type="spellStart"/>
      <w:r>
        <w:t>Interference</w:t>
      </w:r>
      <w:proofErr w:type="spellEnd"/>
      <w:r>
        <w:t xml:space="preserve"> </w:t>
      </w:r>
      <w:proofErr w:type="spellStart"/>
      <w:r>
        <w:t>Inhibition</w:t>
      </w:r>
      <w:proofErr w:type="spellEnd"/>
      <w:r>
        <w:t xml:space="preserve"> in </w:t>
      </w:r>
      <w:proofErr w:type="spellStart"/>
      <w:r>
        <w:t>Children</w:t>
      </w:r>
      <w:proofErr w:type="spellEnd"/>
      <w:r>
        <w:t xml:space="preserve">: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Serious</w:t>
      </w:r>
      <w:proofErr w:type="spellEnd"/>
      <w:r>
        <w:t xml:space="preserve"> </w:t>
      </w:r>
      <w:proofErr w:type="spellStart"/>
      <w:r>
        <w:t>Game</w:t>
      </w:r>
      <w:proofErr w:type="spellEnd"/>
      <w:r>
        <w:t xml:space="preserve"> Training. </w:t>
      </w:r>
      <w:proofErr w:type="spellStart"/>
      <w:r>
        <w:rPr>
          <w:i/>
        </w:rPr>
        <w:t>Children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Basel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Switzerland</w:t>
      </w:r>
      <w:proofErr w:type="spellEnd"/>
      <w:r>
        <w:rPr>
          <w:i/>
        </w:rPr>
        <w:t>), 11</w:t>
      </w:r>
      <w:r>
        <w:t>(2), 138. https://doi.org/10.3390/children11020138</w:t>
      </w:r>
    </w:p>
    <w:p w14:paraId="00000185" w14:textId="77777777" w:rsidR="00C57DD8" w:rsidRDefault="00C57DD8">
      <w:pPr>
        <w:spacing w:line="360" w:lineRule="auto"/>
        <w:rPr>
          <w:color w:val="000000"/>
        </w:rPr>
      </w:pPr>
    </w:p>
    <w:p w14:paraId="00000186" w14:textId="77777777" w:rsidR="00C57DD8" w:rsidRDefault="00C57DD8"/>
    <w:sectPr w:rsidR="00C57DD8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8E025" w14:textId="77777777" w:rsidR="00A27226" w:rsidRDefault="00A27226">
      <w:r>
        <w:separator/>
      </w:r>
    </w:p>
  </w:endnote>
  <w:endnote w:type="continuationSeparator" w:id="0">
    <w:p w14:paraId="16153845" w14:textId="77777777" w:rsidR="00A27226" w:rsidRDefault="00A2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8A" w14:textId="45DD45FC" w:rsidR="00C57DD8" w:rsidRDefault="00EB3E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3960" w:firstLine="3960"/>
      <w:rPr>
        <w:rFonts w:ascii="Calibri" w:eastAsia="Calibri" w:hAnsi="Calibri" w:cs="Calibri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 xml:space="preserve">ARTICLE | </w:t>
    </w:r>
    <w:r>
      <w:rPr>
        <w:rFonts w:ascii="Times" w:eastAsia="Times" w:hAnsi="Times" w:cs="Times"/>
        <w:color w:val="000000"/>
        <w:sz w:val="16"/>
        <w:szCs w:val="16"/>
      </w:rPr>
      <w:fldChar w:fldCharType="begin"/>
    </w:r>
    <w:r>
      <w:rPr>
        <w:rFonts w:ascii="Times" w:eastAsia="Times" w:hAnsi="Times" w:cs="Times"/>
        <w:color w:val="000000"/>
        <w:sz w:val="16"/>
        <w:szCs w:val="16"/>
      </w:rPr>
      <w:instrText>PAGE</w:instrText>
    </w:r>
    <w:r>
      <w:rPr>
        <w:rFonts w:ascii="Times" w:eastAsia="Times" w:hAnsi="Times" w:cs="Times"/>
        <w:color w:val="000000"/>
        <w:sz w:val="16"/>
        <w:szCs w:val="16"/>
      </w:rPr>
      <w:fldChar w:fldCharType="separate"/>
    </w:r>
    <w:r w:rsidR="00207355">
      <w:rPr>
        <w:rFonts w:ascii="Times" w:eastAsia="Times" w:hAnsi="Times" w:cs="Times"/>
        <w:noProof/>
        <w:color w:val="000000"/>
        <w:sz w:val="16"/>
        <w:szCs w:val="16"/>
      </w:rPr>
      <w:t>2</w:t>
    </w:r>
    <w:r>
      <w:rPr>
        <w:rFonts w:ascii="Times" w:eastAsia="Times" w:hAnsi="Times" w:cs="Times"/>
        <w:color w:val="000000"/>
        <w:sz w:val="16"/>
        <w:szCs w:val="16"/>
      </w:rPr>
      <w:fldChar w:fldCharType="end"/>
    </w:r>
  </w:p>
  <w:p w14:paraId="0000018B" w14:textId="77777777" w:rsidR="00C57DD8" w:rsidRDefault="00C57D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8C" w14:textId="5D3142D1" w:rsidR="00C57DD8" w:rsidRDefault="00EB3E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 xml:space="preserve">ARTICLE | </w:t>
    </w:r>
    <w:r>
      <w:rPr>
        <w:rFonts w:ascii="Times" w:eastAsia="Times" w:hAnsi="Times" w:cs="Times"/>
        <w:color w:val="000000"/>
        <w:sz w:val="16"/>
        <w:szCs w:val="16"/>
      </w:rPr>
      <w:fldChar w:fldCharType="begin"/>
    </w:r>
    <w:r>
      <w:rPr>
        <w:rFonts w:ascii="Times" w:eastAsia="Times" w:hAnsi="Times" w:cs="Times"/>
        <w:color w:val="000000"/>
        <w:sz w:val="16"/>
        <w:szCs w:val="16"/>
      </w:rPr>
      <w:instrText>PAGE</w:instrText>
    </w:r>
    <w:r>
      <w:rPr>
        <w:rFonts w:ascii="Times" w:eastAsia="Times" w:hAnsi="Times" w:cs="Times"/>
        <w:color w:val="000000"/>
        <w:sz w:val="16"/>
        <w:szCs w:val="16"/>
      </w:rPr>
      <w:fldChar w:fldCharType="separate"/>
    </w:r>
    <w:r w:rsidR="00207355">
      <w:rPr>
        <w:rFonts w:ascii="Times" w:eastAsia="Times" w:hAnsi="Times" w:cs="Times"/>
        <w:noProof/>
        <w:color w:val="000000"/>
        <w:sz w:val="16"/>
        <w:szCs w:val="16"/>
      </w:rPr>
      <w:t>1</w:t>
    </w:r>
    <w:r>
      <w:rPr>
        <w:rFonts w:ascii="Times" w:eastAsia="Times" w:hAnsi="Times" w:cs="Times"/>
        <w:color w:val="000000"/>
        <w:sz w:val="16"/>
        <w:szCs w:val="16"/>
      </w:rPr>
      <w:fldChar w:fldCharType="end"/>
    </w:r>
  </w:p>
  <w:p w14:paraId="0000018D" w14:textId="77777777" w:rsidR="00C57DD8" w:rsidRDefault="00C57D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688A2" w14:textId="77777777" w:rsidR="00A27226" w:rsidRDefault="00A27226">
      <w:r>
        <w:separator/>
      </w:r>
    </w:p>
  </w:footnote>
  <w:footnote w:type="continuationSeparator" w:id="0">
    <w:p w14:paraId="7F57C766" w14:textId="77777777" w:rsidR="00A27226" w:rsidRDefault="00A27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87" w14:textId="77777777" w:rsidR="00C57DD8" w:rsidRDefault="00EB3E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Times" w:eastAsia="Times" w:hAnsi="Times" w:cs="Times"/>
        <w:smallCaps/>
        <w:color w:val="000000"/>
        <w:sz w:val="20"/>
        <w:szCs w:val="20"/>
      </w:rPr>
    </w:pPr>
    <w:proofErr w:type="spellStart"/>
    <w:r>
      <w:rPr>
        <w:rFonts w:ascii="Times" w:eastAsia="Times" w:hAnsi="Times" w:cs="Times"/>
        <w:smallCaps/>
        <w:color w:val="000000"/>
        <w:sz w:val="20"/>
        <w:szCs w:val="20"/>
      </w:rPr>
      <w:t>Manuscript</w:t>
    </w:r>
    <w:proofErr w:type="spellEnd"/>
    <w:r>
      <w:rPr>
        <w:rFonts w:ascii="Times" w:eastAsia="Times" w:hAnsi="Times" w:cs="Times"/>
        <w:smallCaps/>
        <w:color w:val="000000"/>
        <w:sz w:val="20"/>
        <w:szCs w:val="20"/>
      </w:rPr>
      <w:t xml:space="preserve"> </w:t>
    </w:r>
    <w:proofErr w:type="spellStart"/>
    <w:r>
      <w:rPr>
        <w:rFonts w:ascii="Times" w:eastAsia="Times" w:hAnsi="Times" w:cs="Times"/>
        <w:smallCaps/>
        <w:color w:val="000000"/>
        <w:sz w:val="20"/>
        <w:szCs w:val="20"/>
      </w:rPr>
      <w:t>submission</w:t>
    </w:r>
    <w:proofErr w:type="spellEnd"/>
    <w:r>
      <w:rPr>
        <w:rFonts w:ascii="Times" w:eastAsia="Times" w:hAnsi="Times" w:cs="Times"/>
        <w:smallCaps/>
        <w:color w:val="000000"/>
        <w:sz w:val="20"/>
        <w:szCs w:val="20"/>
      </w:rPr>
      <w:t xml:space="preserve"> </w:t>
    </w:r>
    <w:proofErr w:type="spellStart"/>
    <w:r>
      <w:rPr>
        <w:rFonts w:ascii="Times" w:eastAsia="Times" w:hAnsi="Times" w:cs="Times"/>
        <w:smallCaps/>
        <w:color w:val="000000"/>
        <w:sz w:val="20"/>
        <w:szCs w:val="20"/>
      </w:rPr>
      <w:t>model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88" w14:textId="77777777" w:rsidR="00C57DD8" w:rsidRDefault="00EB3E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" w:eastAsia="Times" w:hAnsi="Times" w:cs="Times"/>
        <w:i/>
        <w:color w:val="000000"/>
        <w:sz w:val="18"/>
        <w:szCs w:val="18"/>
      </w:rPr>
    </w:pPr>
    <w:r>
      <w:rPr>
        <w:rFonts w:ascii="Times" w:eastAsia="Times" w:hAnsi="Times" w:cs="Times"/>
        <w:b/>
        <w:i/>
        <w:color w:val="000000"/>
        <w:sz w:val="18"/>
        <w:szCs w:val="18"/>
      </w:rPr>
      <w:t>Revista Interamericana de Psicología/</w:t>
    </w:r>
    <w:proofErr w:type="spellStart"/>
    <w:r>
      <w:rPr>
        <w:rFonts w:ascii="Times" w:eastAsia="Times" w:hAnsi="Times" w:cs="Times"/>
        <w:b/>
        <w:i/>
        <w:color w:val="000000"/>
        <w:sz w:val="18"/>
        <w:szCs w:val="18"/>
      </w:rPr>
      <w:t>Interamerican</w:t>
    </w:r>
    <w:proofErr w:type="spellEnd"/>
    <w:r>
      <w:rPr>
        <w:rFonts w:ascii="Times" w:eastAsia="Times" w:hAnsi="Times" w:cs="Times"/>
        <w:b/>
        <w:i/>
        <w:color w:val="000000"/>
        <w:sz w:val="18"/>
        <w:szCs w:val="18"/>
      </w:rPr>
      <w:t xml:space="preserve"> </w:t>
    </w:r>
    <w:proofErr w:type="spellStart"/>
    <w:r>
      <w:rPr>
        <w:rFonts w:ascii="Times" w:eastAsia="Times" w:hAnsi="Times" w:cs="Times"/>
        <w:b/>
        <w:i/>
        <w:color w:val="000000"/>
        <w:sz w:val="18"/>
        <w:szCs w:val="18"/>
      </w:rPr>
      <w:t>Journal</w:t>
    </w:r>
    <w:proofErr w:type="spellEnd"/>
    <w:r>
      <w:rPr>
        <w:rFonts w:ascii="Times" w:eastAsia="Times" w:hAnsi="Times" w:cs="Times"/>
        <w:b/>
        <w:i/>
        <w:color w:val="000000"/>
        <w:sz w:val="18"/>
        <w:szCs w:val="18"/>
      </w:rPr>
      <w:t xml:space="preserve"> of </w:t>
    </w:r>
    <w:proofErr w:type="spellStart"/>
    <w:r>
      <w:rPr>
        <w:rFonts w:ascii="Times" w:eastAsia="Times" w:hAnsi="Times" w:cs="Times"/>
        <w:b/>
        <w:i/>
        <w:color w:val="000000"/>
        <w:sz w:val="18"/>
        <w:szCs w:val="18"/>
      </w:rPr>
      <w:t>Psychology</w:t>
    </w:r>
    <w:proofErr w:type="spellEnd"/>
    <w:r>
      <w:rPr>
        <w:noProof/>
      </w:rPr>
      <w:drawing>
        <wp:anchor distT="0" distB="0" distL="114300" distR="114300" simplePos="0" relativeHeight="251658240" behindDoc="0" locked="0" layoutInCell="1" hidden="0" allowOverlap="1" wp14:anchorId="2374EDB7" wp14:editId="57D03D13">
          <wp:simplePos x="0" y="0"/>
          <wp:positionH relativeFrom="column">
            <wp:posOffset>64657</wp:posOffset>
          </wp:positionH>
          <wp:positionV relativeFrom="paragraph">
            <wp:posOffset>-253535</wp:posOffset>
          </wp:positionV>
          <wp:extent cx="681164" cy="628073"/>
          <wp:effectExtent l="0" t="0" r="0" b="0"/>
          <wp:wrapNone/>
          <wp:docPr id="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8661"/>
                  <a:stretch>
                    <a:fillRect/>
                  </a:stretch>
                </pic:blipFill>
                <pic:spPr>
                  <a:xfrm>
                    <a:off x="0" y="0"/>
                    <a:ext cx="681164" cy="6280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189" w14:textId="77777777" w:rsidR="00C57DD8" w:rsidRDefault="00EB3E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</w:rPr>
    </w:pPr>
    <w:proofErr w:type="spellStart"/>
    <w:r>
      <w:rPr>
        <w:rFonts w:ascii="Times" w:eastAsia="Times" w:hAnsi="Times" w:cs="Times"/>
        <w:i/>
        <w:color w:val="000000"/>
        <w:sz w:val="18"/>
        <w:szCs w:val="18"/>
      </w:rPr>
      <w:t>Manuscript</w:t>
    </w:r>
    <w:proofErr w:type="spellEnd"/>
    <w:r>
      <w:rPr>
        <w:rFonts w:ascii="Times" w:eastAsia="Times" w:hAnsi="Times" w:cs="Times"/>
        <w:i/>
        <w:color w:val="000000"/>
        <w:sz w:val="18"/>
        <w:szCs w:val="18"/>
      </w:rPr>
      <w:t xml:space="preserve"> </w:t>
    </w:r>
    <w:proofErr w:type="spellStart"/>
    <w:r>
      <w:rPr>
        <w:rFonts w:ascii="Times" w:eastAsia="Times" w:hAnsi="Times" w:cs="Times"/>
        <w:i/>
        <w:color w:val="000000"/>
        <w:sz w:val="18"/>
        <w:szCs w:val="18"/>
      </w:rPr>
      <w:t>submission</w:t>
    </w:r>
    <w:proofErr w:type="spellEnd"/>
    <w:r>
      <w:rPr>
        <w:rFonts w:ascii="Times" w:eastAsia="Times" w:hAnsi="Times" w:cs="Times"/>
        <w:i/>
        <w:color w:val="000000"/>
        <w:sz w:val="18"/>
        <w:szCs w:val="18"/>
      </w:rPr>
      <w:t xml:space="preserve"> </w:t>
    </w:r>
    <w:proofErr w:type="spellStart"/>
    <w:r>
      <w:rPr>
        <w:rFonts w:ascii="Times" w:eastAsia="Times" w:hAnsi="Times" w:cs="Times"/>
        <w:i/>
        <w:color w:val="000000"/>
        <w:sz w:val="18"/>
        <w:szCs w:val="18"/>
      </w:rPr>
      <w:t>model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DD8"/>
    <w:rsid w:val="0001543D"/>
    <w:rsid w:val="00200938"/>
    <w:rsid w:val="00207355"/>
    <w:rsid w:val="0028628E"/>
    <w:rsid w:val="002B606D"/>
    <w:rsid w:val="00360897"/>
    <w:rsid w:val="00541A84"/>
    <w:rsid w:val="00551FD2"/>
    <w:rsid w:val="006D0C8C"/>
    <w:rsid w:val="006F3EF1"/>
    <w:rsid w:val="0076678E"/>
    <w:rsid w:val="008845CF"/>
    <w:rsid w:val="00A27226"/>
    <w:rsid w:val="00C57DD8"/>
    <w:rsid w:val="00D81E3C"/>
    <w:rsid w:val="00E5264D"/>
    <w:rsid w:val="00EB3EFF"/>
    <w:rsid w:val="00F0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E5422"/>
  <w15:docId w15:val="{E1208A17-728B-4106-9437-5AB65199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02D"/>
    <w:rPr>
      <w:lang w:val="es-AR" w:eastAsia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3B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413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413D4"/>
  </w:style>
  <w:style w:type="paragraph" w:styleId="Rodap">
    <w:name w:val="footer"/>
    <w:basedOn w:val="Normal"/>
    <w:link w:val="RodapChar"/>
    <w:uiPriority w:val="99"/>
    <w:unhideWhenUsed/>
    <w:rsid w:val="00C413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C413D4"/>
  </w:style>
  <w:style w:type="character" w:customStyle="1" w:styleId="label3">
    <w:name w:val="label3"/>
    <w:basedOn w:val="Fontepargpadro"/>
    <w:rsid w:val="00C413D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413D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413D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derodap">
    <w:name w:val="footnote reference"/>
    <w:basedOn w:val="Fontepargpadro"/>
    <w:uiPriority w:val="99"/>
    <w:semiHidden/>
    <w:unhideWhenUsed/>
    <w:rsid w:val="00C413D4"/>
    <w:rPr>
      <w:vertAlign w:val="superscript"/>
    </w:rPr>
  </w:style>
  <w:style w:type="character" w:styleId="Nmerodepgina">
    <w:name w:val="page number"/>
    <w:basedOn w:val="Fontepargpadro"/>
    <w:uiPriority w:val="99"/>
    <w:semiHidden/>
    <w:unhideWhenUsed/>
    <w:rsid w:val="00C413D4"/>
  </w:style>
  <w:style w:type="paragraph" w:styleId="Corpodetexto">
    <w:name w:val="Body Text"/>
    <w:basedOn w:val="Normal"/>
    <w:link w:val="CorpodetextoChar"/>
    <w:rsid w:val="006F7E7E"/>
    <w:pPr>
      <w:spacing w:line="480" w:lineRule="auto"/>
      <w:ind w:firstLine="540"/>
    </w:pPr>
    <w:rPr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rsid w:val="006F7E7E"/>
    <w:rPr>
      <w:rFonts w:ascii="Times New Roman" w:eastAsia="Times New Roman" w:hAnsi="Times New Roman" w:cs="Times New Roman"/>
      <w:szCs w:val="20"/>
    </w:rPr>
  </w:style>
  <w:style w:type="paragraph" w:customStyle="1" w:styleId="EndNoteBibliography">
    <w:name w:val="EndNote Bibliography"/>
    <w:basedOn w:val="Normal"/>
    <w:rsid w:val="006F7E7E"/>
    <w:pPr>
      <w:spacing w:after="200"/>
    </w:pPr>
    <w:rPr>
      <w:rFonts w:ascii="Calibri" w:hAnsi="Calibri"/>
      <w:sz w:val="22"/>
      <w:szCs w:val="22"/>
      <w:lang w:val="es-ES" w:eastAsia="es-E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A7C7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A7C7C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defim">
    <w:name w:val="endnote reference"/>
    <w:basedOn w:val="Fontepargpadro"/>
    <w:uiPriority w:val="99"/>
    <w:semiHidden/>
    <w:unhideWhenUsed/>
    <w:rsid w:val="007A7C7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6522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0419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419"/>
    <w:rPr>
      <w:rFonts w:ascii="Times New Roman" w:eastAsia="Times New Roman" w:hAnsi="Times New Roman" w:cs="Times New Roman"/>
      <w:sz w:val="18"/>
      <w:szCs w:val="18"/>
      <w:lang w:val="es-ES_tradnl" w:eastAsia="es-ES_tradnl"/>
    </w:rPr>
  </w:style>
  <w:style w:type="table" w:styleId="Tabelacomgrade">
    <w:name w:val="Table Grid"/>
    <w:basedOn w:val="Tabelanormal"/>
    <w:uiPriority w:val="39"/>
    <w:rsid w:val="00CE7D65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ias">
    <w:name w:val="Referencias"/>
    <w:basedOn w:val="Normal"/>
    <w:qFormat/>
    <w:rsid w:val="00CE7D65"/>
    <w:pPr>
      <w:ind w:left="720" w:hanging="720"/>
      <w:jc w:val="both"/>
    </w:pPr>
    <w:rPr>
      <w:lang w:val="en-US"/>
    </w:rPr>
  </w:style>
  <w:style w:type="paragraph" w:customStyle="1" w:styleId="Prrafocomn">
    <w:name w:val="Párrafo común"/>
    <w:basedOn w:val="Normal"/>
    <w:qFormat/>
    <w:rsid w:val="00CE7D65"/>
    <w:pPr>
      <w:spacing w:line="360" w:lineRule="auto"/>
      <w:ind w:firstLine="708"/>
      <w:contextualSpacing/>
      <w:jc w:val="both"/>
    </w:pPr>
    <w:rPr>
      <w:lang w:val="en-US"/>
    </w:rPr>
  </w:style>
  <w:style w:type="paragraph" w:customStyle="1" w:styleId="Ttulosinternos">
    <w:name w:val="Títulos internos"/>
    <w:basedOn w:val="Normal"/>
    <w:link w:val="TtulosinternosCar"/>
    <w:autoRedefine/>
    <w:qFormat/>
    <w:rsid w:val="001516ED"/>
    <w:pPr>
      <w:spacing w:before="100" w:beforeAutospacing="1" w:after="100" w:afterAutospacing="1"/>
      <w:jc w:val="center"/>
      <w:outlineLvl w:val="0"/>
    </w:pPr>
    <w:rPr>
      <w:b/>
      <w:lang w:val="en-US" w:eastAsia="en-US"/>
    </w:rPr>
  </w:style>
  <w:style w:type="paragraph" w:customStyle="1" w:styleId="SubtituloInterno">
    <w:name w:val="Subtitulo Interno"/>
    <w:basedOn w:val="Normal"/>
    <w:autoRedefine/>
    <w:qFormat/>
    <w:rsid w:val="007E3B8D"/>
    <w:pPr>
      <w:spacing w:before="100" w:beforeAutospacing="1" w:after="100" w:afterAutospacing="1" w:line="360" w:lineRule="auto"/>
      <w:contextualSpacing/>
      <w:jc w:val="both"/>
      <w:outlineLvl w:val="1"/>
    </w:pPr>
    <w:rPr>
      <w:b/>
      <w:i/>
      <w:lang w:val="en-US"/>
    </w:rPr>
  </w:style>
  <w:style w:type="paragraph" w:customStyle="1" w:styleId="TtuloResumen">
    <w:name w:val="Título Resumen"/>
    <w:basedOn w:val="Normal"/>
    <w:link w:val="TtuloResumenCar"/>
    <w:autoRedefine/>
    <w:qFormat/>
    <w:rsid w:val="00C43335"/>
    <w:pPr>
      <w:spacing w:after="120"/>
      <w:jc w:val="center"/>
      <w:outlineLvl w:val="0"/>
    </w:pPr>
    <w:rPr>
      <w:b/>
      <w:smallCaps/>
      <w:sz w:val="20"/>
      <w:szCs w:val="20"/>
      <w:lang w:val="pt-BR"/>
    </w:rPr>
  </w:style>
  <w:style w:type="paragraph" w:customStyle="1" w:styleId="Resumen">
    <w:name w:val="Resumen"/>
    <w:basedOn w:val="Normal"/>
    <w:autoRedefine/>
    <w:qFormat/>
    <w:rsid w:val="007E3B8D"/>
    <w:pPr>
      <w:jc w:val="both"/>
    </w:pPr>
    <w:rPr>
      <w:sz w:val="20"/>
      <w:szCs w:val="20"/>
      <w:lang w:val="pt-BR"/>
    </w:rPr>
  </w:style>
  <w:style w:type="paragraph" w:customStyle="1" w:styleId="Ttulodepalabrasclave">
    <w:name w:val="Título de palabras clave"/>
    <w:basedOn w:val="Normal"/>
    <w:qFormat/>
    <w:rsid w:val="00CE7D65"/>
    <w:rPr>
      <w:b/>
      <w:sz w:val="20"/>
      <w:szCs w:val="20"/>
      <w:lang w:val="en-US"/>
    </w:rPr>
  </w:style>
  <w:style w:type="paragraph" w:customStyle="1" w:styleId="Palabrasclave">
    <w:name w:val="Palabras clave"/>
    <w:basedOn w:val="Normal"/>
    <w:qFormat/>
    <w:rsid w:val="00CE7D65"/>
    <w:pPr>
      <w:jc w:val="both"/>
    </w:pPr>
    <w:rPr>
      <w:bCs/>
      <w:sz w:val="20"/>
      <w:szCs w:val="20"/>
    </w:rPr>
  </w:style>
  <w:style w:type="paragraph" w:customStyle="1" w:styleId="Notaalpie1erapgina">
    <w:name w:val="Nota al pie 1era página"/>
    <w:basedOn w:val="Normal"/>
    <w:qFormat/>
    <w:rsid w:val="00CE7D65"/>
    <w:rPr>
      <w:rFonts w:ascii="Times" w:hAnsi="Times"/>
      <w:sz w:val="16"/>
      <w:szCs w:val="16"/>
      <w:lang w:val="pt-BR"/>
    </w:rPr>
  </w:style>
  <w:style w:type="paragraph" w:customStyle="1" w:styleId="NombresAutores">
    <w:name w:val="Nombres Autores"/>
    <w:basedOn w:val="Normal"/>
    <w:qFormat/>
    <w:rsid w:val="00CE7D65"/>
    <w:rPr>
      <w:b/>
      <w:color w:val="222222"/>
      <w:sz w:val="28"/>
      <w:szCs w:val="28"/>
      <w:lang w:val="pt-BR"/>
    </w:rPr>
  </w:style>
  <w:style w:type="paragraph" w:customStyle="1" w:styleId="Instituciones">
    <w:name w:val="Instituciones"/>
    <w:basedOn w:val="Normal"/>
    <w:qFormat/>
    <w:rsid w:val="00CE7D65"/>
    <w:rPr>
      <w:i/>
      <w:sz w:val="28"/>
      <w:szCs w:val="28"/>
      <w:lang w:val="pt-BR"/>
    </w:rPr>
  </w:style>
  <w:style w:type="paragraph" w:customStyle="1" w:styleId="Titulodeartculo">
    <w:name w:val="Titulo de artículo"/>
    <w:basedOn w:val="Normal"/>
    <w:link w:val="TitulodeartculoCar"/>
    <w:autoRedefine/>
    <w:qFormat/>
    <w:rsid w:val="007E3B8D"/>
    <w:pPr>
      <w:jc w:val="center"/>
      <w:outlineLvl w:val="0"/>
    </w:pPr>
    <w:rPr>
      <w:b/>
      <w:noProof/>
      <w:sz w:val="36"/>
      <w:szCs w:val="36"/>
    </w:rPr>
  </w:style>
  <w:style w:type="paragraph" w:customStyle="1" w:styleId="RecibidoAceptado">
    <w:name w:val="Recibido/Aceptado"/>
    <w:basedOn w:val="Normal"/>
    <w:qFormat/>
    <w:rsid w:val="00CE7D65"/>
    <w:pPr>
      <w:shd w:val="clear" w:color="auto" w:fill="FFFFFF"/>
      <w:jc w:val="right"/>
    </w:pPr>
    <w:rPr>
      <w:i/>
      <w:iCs/>
      <w:sz w:val="20"/>
      <w:szCs w:val="20"/>
      <w:lang w:val="pt-BR"/>
    </w:rPr>
  </w:style>
  <w:style w:type="character" w:customStyle="1" w:styleId="TtulosinternosCar">
    <w:name w:val="Títulos internos Car"/>
    <w:basedOn w:val="Fontepargpadro"/>
    <w:link w:val="Ttulosinternos"/>
    <w:rsid w:val="001516ED"/>
    <w:rPr>
      <w:rFonts w:ascii="Times New Roman" w:eastAsia="Times New Roman" w:hAnsi="Times New Roman" w:cs="Times New Roman"/>
      <w:b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3B8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 w:eastAsia="es-ES_tradnl"/>
    </w:rPr>
  </w:style>
  <w:style w:type="paragraph" w:customStyle="1" w:styleId="Ttuloprincipiodeartculo">
    <w:name w:val="Título principio de artículo"/>
    <w:basedOn w:val="Normal"/>
    <w:link w:val="TtuloprincipiodeartculoCar"/>
    <w:autoRedefine/>
    <w:qFormat/>
    <w:rsid w:val="007E3B8D"/>
    <w:pPr>
      <w:jc w:val="center"/>
      <w:outlineLvl w:val="0"/>
    </w:pPr>
    <w:rPr>
      <w:lang w:val="pt-BR"/>
    </w:rPr>
  </w:style>
  <w:style w:type="character" w:customStyle="1" w:styleId="TitulodeartculoCar">
    <w:name w:val="Titulo de artículo Car"/>
    <w:basedOn w:val="Fontepargpadro"/>
    <w:link w:val="Titulodeartculo"/>
    <w:rsid w:val="007E3B8D"/>
    <w:rPr>
      <w:rFonts w:ascii="Times New Roman" w:eastAsia="Times New Roman" w:hAnsi="Times New Roman" w:cs="Times New Roman"/>
      <w:b/>
      <w:noProof/>
      <w:sz w:val="36"/>
      <w:szCs w:val="36"/>
      <w:lang w:val="es-ES_tradnl" w:eastAsia="es-ES_tradnl"/>
    </w:rPr>
  </w:style>
  <w:style w:type="character" w:customStyle="1" w:styleId="TtuloprincipiodeartculoCar">
    <w:name w:val="Título principio de artículo Car"/>
    <w:basedOn w:val="Fontepargpadro"/>
    <w:link w:val="Ttuloprincipiodeartculo"/>
    <w:rsid w:val="007E3B8D"/>
    <w:rPr>
      <w:rFonts w:ascii="Times New Roman" w:eastAsia="Times New Roman" w:hAnsi="Times New Roman" w:cs="Times New Roman"/>
      <w:lang w:val="pt-BR" w:eastAsia="es-ES_tradnl"/>
    </w:rPr>
  </w:style>
  <w:style w:type="character" w:customStyle="1" w:styleId="TtuloResumenCar">
    <w:name w:val="Título Resumen Car"/>
    <w:basedOn w:val="Fontepargpadro"/>
    <w:link w:val="TtuloResumen"/>
    <w:rsid w:val="00C43335"/>
    <w:rPr>
      <w:rFonts w:ascii="Times New Roman" w:eastAsia="Times New Roman" w:hAnsi="Times New Roman" w:cs="Times New Roman"/>
      <w:b/>
      <w:smallCaps/>
      <w:sz w:val="20"/>
      <w:szCs w:val="20"/>
      <w:lang w:val="pt-BR" w:eastAsia="es-ES_tradnl"/>
    </w:rPr>
  </w:style>
  <w:style w:type="character" w:styleId="MenoPendente">
    <w:name w:val="Unresolved Mention"/>
    <w:basedOn w:val="Fontepargpadro"/>
    <w:uiPriority w:val="99"/>
    <w:semiHidden/>
    <w:unhideWhenUsed/>
    <w:rsid w:val="00EB21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8651A"/>
  </w:style>
  <w:style w:type="table" w:customStyle="1" w:styleId="TableNormal1">
    <w:name w:val="Table Normal"/>
    <w:rsid w:val="00A9314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es-AR" w:eastAsia="es-ES_trad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tituloInterno1">
    <w:name w:val="Subtitulo Interno 1"/>
    <w:basedOn w:val="SubtituloInterno"/>
    <w:link w:val="SubtituloInterno1Car"/>
    <w:qFormat/>
    <w:rsid w:val="0078702D"/>
    <w:pPr>
      <w:outlineLvl w:val="2"/>
    </w:pPr>
    <w:rPr>
      <w:b w:val="0"/>
      <w:lang w:val="es-AR" w:eastAsia="en-US"/>
    </w:rPr>
  </w:style>
  <w:style w:type="character" w:customStyle="1" w:styleId="SubtituloInterno1Car">
    <w:name w:val="Subtitulo Interno 1 Car"/>
    <w:basedOn w:val="Fontepargpadro"/>
    <w:link w:val="SubtituloInterno1"/>
    <w:rsid w:val="0078702D"/>
    <w:rPr>
      <w:rFonts w:ascii="Times New Roman" w:eastAsia="Times New Roman" w:hAnsi="Times New Roman" w:cs="Times New Roman"/>
      <w:i/>
      <w:lang w:val="es-A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rFonts w:eastAsia="Times New Roman"/>
    </w:rPr>
    <w:tblPr>
      <w:tblStyleRowBandSize w:val="1"/>
      <w:tblStyleColBandSize w:val="1"/>
    </w:tblPr>
  </w:style>
  <w:style w:type="character" w:styleId="Refdecomentrio">
    <w:name w:val="annotation reference"/>
    <w:basedOn w:val="Fontepargpadro"/>
    <w:uiPriority w:val="99"/>
    <w:semiHidden/>
    <w:unhideWhenUsed/>
    <w:rsid w:val="00B759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7593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7593F"/>
    <w:rPr>
      <w:sz w:val="20"/>
      <w:szCs w:val="20"/>
      <w:lang w:val="es-AR" w:eastAsia="es-ES_tradn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759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7593F"/>
    <w:rPr>
      <w:b/>
      <w:bCs/>
      <w:sz w:val="20"/>
      <w:szCs w:val="20"/>
      <w:lang w:val="es-AR" w:eastAsia="es-ES_tradnl"/>
    </w:rPr>
  </w:style>
  <w:style w:type="paragraph" w:styleId="Legenda">
    <w:name w:val="caption"/>
    <w:basedOn w:val="Normal"/>
    <w:next w:val="Corpodetexto"/>
    <w:link w:val="LegendaChar"/>
    <w:uiPriority w:val="35"/>
    <w:unhideWhenUsed/>
    <w:qFormat/>
    <w:rsid w:val="00235480"/>
    <w:pPr>
      <w:spacing w:after="200"/>
      <w:jc w:val="both"/>
    </w:pPr>
    <w:rPr>
      <w:rFonts w:eastAsia="Calibri" w:cs="Calibri"/>
      <w:b/>
      <w:iCs/>
      <w:szCs w:val="18"/>
      <w:lang w:val="pt-BR" w:eastAsia="pt-BR"/>
    </w:rPr>
  </w:style>
  <w:style w:type="character" w:customStyle="1" w:styleId="LegendaChar">
    <w:name w:val="Legenda Char"/>
    <w:basedOn w:val="Fontepargpadro"/>
    <w:link w:val="Legenda"/>
    <w:uiPriority w:val="35"/>
    <w:rsid w:val="00235480"/>
    <w:rPr>
      <w:rFonts w:eastAsia="Calibri" w:cs="Calibri"/>
      <w:b/>
      <w:iCs/>
      <w:szCs w:val="18"/>
      <w:lang w:val="pt-BR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Rci98KnP2FfGjBdWNV/Y3mn6Kw==">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2401</TotalTime>
  <Pages>20</Pages>
  <Words>7702</Words>
  <Characters>41596</Characters>
  <Application>Microsoft Office Word</Application>
  <DocSecurity>0</DocSecurity>
  <Lines>346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Andriely Cordeiro'</cp:lastModifiedBy>
  <cp:revision>5</cp:revision>
  <dcterms:created xsi:type="dcterms:W3CDTF">2025-01-10T20:47:00Z</dcterms:created>
  <dcterms:modified xsi:type="dcterms:W3CDTF">2025-01-12T17:40:00Z</dcterms:modified>
</cp:coreProperties>
</file>