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DCB47" w14:textId="77777777" w:rsidR="00D434FF" w:rsidRPr="002E6E0F" w:rsidRDefault="005D106E">
      <w:pPr>
        <w:pBdr>
          <w:top w:val="nil"/>
          <w:left w:val="nil"/>
          <w:bottom w:val="nil"/>
          <w:right w:val="nil"/>
          <w:between w:val="nil"/>
        </w:pBdr>
        <w:jc w:val="center"/>
        <w:rPr>
          <w:b/>
          <w:sz w:val="36"/>
          <w:szCs w:val="36"/>
          <w:lang w:val="en-US"/>
        </w:rPr>
      </w:pPr>
      <w:r w:rsidRPr="002E6E0F">
        <w:rPr>
          <w:b/>
          <w:color w:val="000000"/>
          <w:sz w:val="36"/>
          <w:szCs w:val="36"/>
          <w:lang w:val="en-US"/>
        </w:rPr>
        <w:t xml:space="preserve"> </w:t>
      </w:r>
      <w:r w:rsidRPr="002E6E0F">
        <w:rPr>
          <w:b/>
          <w:sz w:val="36"/>
          <w:szCs w:val="36"/>
          <w:lang w:val="en-US"/>
        </w:rPr>
        <w:t>Evaluation of the efficacy of psilocybin for the treatment of individuals with major depressive disorder: a systematic review</w:t>
      </w:r>
    </w:p>
    <w:p w14:paraId="1CBC37B0" w14:textId="77777777" w:rsidR="00D434FF" w:rsidRPr="002E6E0F" w:rsidRDefault="00D434FF">
      <w:pPr>
        <w:pBdr>
          <w:top w:val="nil"/>
          <w:left w:val="nil"/>
          <w:bottom w:val="nil"/>
          <w:right w:val="nil"/>
          <w:between w:val="nil"/>
        </w:pBdr>
        <w:jc w:val="center"/>
        <w:rPr>
          <w:b/>
          <w:sz w:val="36"/>
          <w:szCs w:val="36"/>
          <w:lang w:val="en-US"/>
        </w:rPr>
      </w:pPr>
    </w:p>
    <w:p w14:paraId="7BB12D0E" w14:textId="77777777" w:rsidR="00D434FF" w:rsidRPr="002E6E0F" w:rsidRDefault="005D106E">
      <w:pPr>
        <w:pBdr>
          <w:top w:val="nil"/>
          <w:left w:val="nil"/>
          <w:bottom w:val="nil"/>
          <w:right w:val="nil"/>
          <w:between w:val="nil"/>
        </w:pBdr>
        <w:spacing w:after="120"/>
        <w:jc w:val="center"/>
        <w:rPr>
          <w:b/>
          <w:smallCaps/>
          <w:color w:val="000000"/>
          <w:sz w:val="20"/>
          <w:szCs w:val="20"/>
          <w:lang w:val="en-US"/>
        </w:rPr>
      </w:pPr>
      <w:r w:rsidRPr="002E6E0F">
        <w:rPr>
          <w:b/>
          <w:smallCaps/>
          <w:color w:val="000000"/>
          <w:sz w:val="20"/>
          <w:szCs w:val="20"/>
          <w:lang w:val="en-US"/>
        </w:rPr>
        <w:t>Abstract</w:t>
      </w:r>
    </w:p>
    <w:p w14:paraId="25F1BE41" w14:textId="77777777" w:rsidR="003C4456" w:rsidRPr="002E6E0F" w:rsidRDefault="003C4456" w:rsidP="008D43DC">
      <w:pPr>
        <w:jc w:val="both"/>
        <w:rPr>
          <w:sz w:val="20"/>
          <w:szCs w:val="20"/>
          <w:lang w:val="en-US"/>
        </w:rPr>
      </w:pPr>
      <w:r w:rsidRPr="002E6E0F">
        <w:rPr>
          <w:sz w:val="20"/>
          <w:szCs w:val="20"/>
          <w:lang w:val="en-US"/>
        </w:rPr>
        <w:t>Major Depressive Disorder (MDD) has compromised neurobiological, cognitive and behavioral aspects. Around a third of people with MDD progress to Treatment Resistant Depression (TRD), characterized by a failure to respond to antidepressants of adequate dose and duration. Therefore, gold standard treatments, such as Selective Serotonin Reuptake Inhibitors (SSRIs), show limitations such as resistance, risk of relapse and low adherence. New treatments such as Psilocybin-Assisted Psychotherapy (PAP) are being studied in order to guarantee a rapid and sustained effect. Given this panorama, the aim of this article was to gather evidence on the use of PAP for the treatment of individuals with MDD. To this end, a systematic review was carried out in the MEDLINE, PubMed, Scopus, CENTRAL and EMBASE databases. As a result, the clinical trials showed that treatment with psilocybin, from week 2 onwards, reduced scores on the depression scale and ensured improvements in depressive symptoms. In addition, remission of these symptoms was observed, as well as sustained responses in individuals who took psilocybin compared to placebo. In conclusion, although PAP has proven to be effective for the treatment of MDD, further studies should be carried out in order to ensure methodological robustness and significant results.</w:t>
      </w:r>
    </w:p>
    <w:p w14:paraId="461C834D" w14:textId="77777777" w:rsidR="003C4456" w:rsidRPr="002E6E0F" w:rsidRDefault="003C4456" w:rsidP="003C4456">
      <w:pPr>
        <w:rPr>
          <w:sz w:val="20"/>
          <w:szCs w:val="20"/>
          <w:lang w:val="en-US"/>
        </w:rPr>
      </w:pPr>
    </w:p>
    <w:p w14:paraId="32325679" w14:textId="77777777" w:rsidR="00D434FF" w:rsidRPr="002E6E0F" w:rsidRDefault="005D106E">
      <w:pPr>
        <w:rPr>
          <w:b/>
          <w:sz w:val="20"/>
          <w:szCs w:val="20"/>
          <w:lang w:val="en-US"/>
        </w:rPr>
      </w:pPr>
      <w:r w:rsidRPr="002E6E0F">
        <w:rPr>
          <w:b/>
          <w:sz w:val="20"/>
          <w:szCs w:val="20"/>
          <w:lang w:val="en-US"/>
        </w:rPr>
        <w:t>Keywords</w:t>
      </w:r>
    </w:p>
    <w:p w14:paraId="502C390C" w14:textId="77777777" w:rsidR="00D434FF" w:rsidRPr="002E6E0F" w:rsidRDefault="005D106E">
      <w:pPr>
        <w:jc w:val="both"/>
        <w:rPr>
          <w:sz w:val="20"/>
          <w:szCs w:val="20"/>
          <w:lang w:val="en-US"/>
        </w:rPr>
      </w:pPr>
      <w:r w:rsidRPr="002E6E0F">
        <w:rPr>
          <w:sz w:val="20"/>
          <w:szCs w:val="20"/>
          <w:lang w:val="en-US"/>
        </w:rPr>
        <w:t>Depression; Major Depressive Disorder; Psilocybin-Assisted Psychotherapy; Psilocybin; Treatment-Resistant Depression</w:t>
      </w:r>
    </w:p>
    <w:p w14:paraId="4B955A13" w14:textId="77777777" w:rsidR="00D434FF" w:rsidRPr="002E6E0F" w:rsidRDefault="00D434FF">
      <w:pPr>
        <w:jc w:val="both"/>
        <w:rPr>
          <w:sz w:val="20"/>
          <w:szCs w:val="20"/>
          <w:lang w:val="en-US"/>
        </w:rPr>
      </w:pPr>
    </w:p>
    <w:p w14:paraId="3BAD6724" w14:textId="77777777" w:rsidR="00D434FF" w:rsidRPr="007E4DFC" w:rsidRDefault="005D106E">
      <w:pPr>
        <w:pBdr>
          <w:top w:val="nil"/>
          <w:left w:val="nil"/>
          <w:bottom w:val="nil"/>
          <w:right w:val="nil"/>
          <w:between w:val="nil"/>
        </w:pBdr>
        <w:spacing w:after="120"/>
        <w:jc w:val="center"/>
        <w:rPr>
          <w:b/>
          <w:smallCaps/>
          <w:color w:val="000000"/>
          <w:sz w:val="20"/>
          <w:szCs w:val="20"/>
        </w:rPr>
      </w:pPr>
      <w:r w:rsidRPr="007E4DFC">
        <w:rPr>
          <w:b/>
          <w:smallCaps/>
          <w:sz w:val="20"/>
          <w:szCs w:val="20"/>
        </w:rPr>
        <w:t xml:space="preserve">Resumo </w:t>
      </w:r>
    </w:p>
    <w:p w14:paraId="065A9A90" w14:textId="56594E60" w:rsidR="00D434FF" w:rsidRPr="007E4DFC" w:rsidRDefault="005D106E">
      <w:pPr>
        <w:shd w:val="clear" w:color="auto" w:fill="FFFFFF"/>
        <w:spacing w:after="180"/>
        <w:jc w:val="both"/>
        <w:rPr>
          <w:i/>
          <w:sz w:val="16"/>
          <w:szCs w:val="16"/>
        </w:rPr>
      </w:pPr>
      <w:r w:rsidRPr="007E4DFC">
        <w:rPr>
          <w:sz w:val="20"/>
          <w:szCs w:val="20"/>
        </w:rPr>
        <w:t>O Transtorno Depressivo Maior (TDM) apresenta aspectos neurobiológicos, cognitivos e comportamentais comprometidos. Cerca de um terço das pessoas com TDM evoluem para a Depressão Resistente ao Tratamento (DRT), caracterizada pela falha de resposta aos antidepressivos com dose e duração adequadas. Logo, tratamentos padr</w:t>
      </w:r>
      <w:r w:rsidR="003C4456">
        <w:rPr>
          <w:sz w:val="20"/>
          <w:szCs w:val="20"/>
        </w:rPr>
        <w:t>ões</w:t>
      </w:r>
      <w:r w:rsidRPr="007E4DFC">
        <w:rPr>
          <w:sz w:val="20"/>
          <w:szCs w:val="20"/>
        </w:rPr>
        <w:t>-ouro, como os Inibidores Seletivos de Recaptação de Serotonina (</w:t>
      </w:r>
      <w:proofErr w:type="spellStart"/>
      <w:r w:rsidRPr="007E4DFC">
        <w:rPr>
          <w:sz w:val="20"/>
          <w:szCs w:val="20"/>
        </w:rPr>
        <w:t>ISRSs</w:t>
      </w:r>
      <w:proofErr w:type="spellEnd"/>
      <w:r w:rsidRPr="007E4DFC">
        <w:rPr>
          <w:sz w:val="20"/>
          <w:szCs w:val="20"/>
        </w:rPr>
        <w:t xml:space="preserve">), mostram limitações como resistência, risco de recaída e baixa adesão. Novos tratamentos como a Psicoterapia-Assistida por Psilocibina (PAP) estão sendo estudados, a fim de garantir um efeito rápido e sustentado. Dado a esse panorama, objetivou-se, neste artigo, reunir evidências acerca do uso da PAP para o tratamento de indivíduos com TDM. Para tanto, realizou-se uma revisão sistemática nas bases de dados MEDLINE, via </w:t>
      </w:r>
      <w:proofErr w:type="spellStart"/>
      <w:r w:rsidRPr="007E4DFC">
        <w:rPr>
          <w:sz w:val="20"/>
          <w:szCs w:val="20"/>
        </w:rPr>
        <w:t>PubMed</w:t>
      </w:r>
      <w:proofErr w:type="spellEnd"/>
      <w:r w:rsidRPr="007E4DFC">
        <w:rPr>
          <w:sz w:val="20"/>
          <w:szCs w:val="20"/>
        </w:rPr>
        <w:t xml:space="preserve">, Scopus, CENTRAL e EMBASE. Como resultado, os ensaios clínicos mostraram que o tratamento com psilocibina, a partir da semana 2, diminuiu os escores na escala de depressão e garantiu melhorias nos sintomas depressivos. Além disso, foi observada remissão destes sintomas, bem como respostas sustentadas em indivíduos que usufruíram da psilocibina comparativamente ao placebo. Conclui-se que, embora a PAP tenha </w:t>
      </w:r>
      <w:proofErr w:type="spellStart"/>
      <w:r w:rsidRPr="007E4DFC">
        <w:rPr>
          <w:sz w:val="20"/>
          <w:szCs w:val="20"/>
        </w:rPr>
        <w:t>mostrado-se</w:t>
      </w:r>
      <w:proofErr w:type="spellEnd"/>
      <w:r w:rsidRPr="007E4DFC">
        <w:rPr>
          <w:sz w:val="20"/>
          <w:szCs w:val="20"/>
        </w:rPr>
        <w:t xml:space="preserve"> eficaz para o tratamento do TDM, mais estudos devem ser realizados a fim de garantir robustez metodológica e resultados significativos.</w:t>
      </w:r>
    </w:p>
    <w:p w14:paraId="5CE8288E" w14:textId="77777777" w:rsidR="00D434FF" w:rsidRPr="007E4DFC" w:rsidRDefault="00D434FF">
      <w:pPr>
        <w:rPr>
          <w:sz w:val="20"/>
          <w:szCs w:val="20"/>
        </w:rPr>
      </w:pPr>
    </w:p>
    <w:p w14:paraId="5168A9CD" w14:textId="77777777" w:rsidR="00D434FF" w:rsidRPr="007E4DFC" w:rsidRDefault="005D106E">
      <w:pPr>
        <w:jc w:val="both"/>
        <w:rPr>
          <w:b/>
          <w:sz w:val="20"/>
          <w:szCs w:val="20"/>
        </w:rPr>
      </w:pPr>
      <w:r w:rsidRPr="007E4DFC">
        <w:rPr>
          <w:b/>
          <w:sz w:val="20"/>
          <w:szCs w:val="20"/>
        </w:rPr>
        <w:t>Palavras-chave</w:t>
      </w:r>
    </w:p>
    <w:p w14:paraId="3746EBA0" w14:textId="77777777" w:rsidR="00D434FF" w:rsidRPr="007E4DFC" w:rsidRDefault="005D106E">
      <w:pPr>
        <w:jc w:val="both"/>
        <w:rPr>
          <w:sz w:val="20"/>
          <w:szCs w:val="20"/>
        </w:rPr>
      </w:pPr>
      <w:r w:rsidRPr="007E4DFC">
        <w:rPr>
          <w:sz w:val="20"/>
          <w:szCs w:val="20"/>
        </w:rPr>
        <w:t>Depressão; Depressão Resistente ao Tratamento; Psicoterapia-Assistida por Psilocibina; Psilocibina; Transtorno Depressivo Maior</w:t>
      </w:r>
    </w:p>
    <w:p w14:paraId="36CA1DE9" w14:textId="77777777" w:rsidR="00D434FF" w:rsidRPr="007E4DFC" w:rsidRDefault="005D106E">
      <w:pPr>
        <w:jc w:val="center"/>
      </w:pPr>
      <w:r w:rsidRPr="007E4DFC">
        <w:br w:type="page"/>
      </w:r>
      <w:r w:rsidRPr="007E4DFC">
        <w:lastRenderedPageBreak/>
        <w:t>Avaliação da eficácia da psilocibina para o tratamento de indivíduos com transtorno depressivo maior: uma revisão sistemática</w:t>
      </w:r>
      <w:r w:rsidRPr="007E4DFC">
        <w:rPr>
          <w:noProof/>
        </w:rPr>
        <w:drawing>
          <wp:anchor distT="0" distB="0" distL="114300" distR="114300" simplePos="0" relativeHeight="251658240" behindDoc="0" locked="0" layoutInCell="1" hidden="0" allowOverlap="1" wp14:anchorId="66B11AC5" wp14:editId="335CD83A">
            <wp:simplePos x="0" y="0"/>
            <wp:positionH relativeFrom="column">
              <wp:posOffset>5359950</wp:posOffset>
            </wp:positionH>
            <wp:positionV relativeFrom="paragraph">
              <wp:posOffset>17731</wp:posOffset>
            </wp:positionV>
            <wp:extent cx="396000" cy="259200"/>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96000" cy="259200"/>
                    </a:xfrm>
                    <a:prstGeom prst="rect">
                      <a:avLst/>
                    </a:prstGeom>
                    <a:ln/>
                  </pic:spPr>
                </pic:pic>
              </a:graphicData>
            </a:graphic>
          </wp:anchor>
        </w:drawing>
      </w:r>
    </w:p>
    <w:p w14:paraId="02EA43BF" w14:textId="77777777" w:rsidR="00D434FF" w:rsidRPr="007E4DFC" w:rsidRDefault="00D434FF">
      <w:pPr>
        <w:pBdr>
          <w:top w:val="nil"/>
          <w:left w:val="nil"/>
          <w:bottom w:val="nil"/>
          <w:right w:val="nil"/>
          <w:between w:val="nil"/>
        </w:pBdr>
        <w:jc w:val="center"/>
      </w:pPr>
    </w:p>
    <w:p w14:paraId="7035B087" w14:textId="77777777" w:rsidR="00D434FF" w:rsidRPr="007E4DFC" w:rsidRDefault="005D106E">
      <w:pPr>
        <w:pBdr>
          <w:top w:val="nil"/>
          <w:left w:val="nil"/>
          <w:bottom w:val="nil"/>
          <w:right w:val="nil"/>
          <w:between w:val="nil"/>
        </w:pBdr>
        <w:jc w:val="center"/>
        <w:rPr>
          <w:b/>
        </w:rPr>
      </w:pPr>
      <w:r w:rsidRPr="007E4DFC">
        <w:rPr>
          <w:b/>
        </w:rPr>
        <w:t xml:space="preserve">Introdução </w:t>
      </w:r>
    </w:p>
    <w:p w14:paraId="56C22973" w14:textId="77777777" w:rsidR="00D434FF" w:rsidRPr="007E4DFC" w:rsidRDefault="00D434FF">
      <w:pPr>
        <w:pBdr>
          <w:top w:val="nil"/>
          <w:left w:val="nil"/>
          <w:bottom w:val="nil"/>
          <w:right w:val="nil"/>
          <w:between w:val="nil"/>
        </w:pBdr>
        <w:jc w:val="center"/>
        <w:rPr>
          <w:b/>
        </w:rPr>
      </w:pPr>
    </w:p>
    <w:p w14:paraId="71BCFBAA" w14:textId="77777777" w:rsidR="00D434FF" w:rsidRPr="007E4DFC" w:rsidRDefault="005D106E">
      <w:pPr>
        <w:spacing w:line="360" w:lineRule="auto"/>
        <w:ind w:firstLine="708"/>
        <w:jc w:val="both"/>
      </w:pPr>
      <w:r w:rsidRPr="007E4DFC">
        <w:t xml:space="preserve">O Transtorno Depressivo Maior (TDM) é o mais recorrente dos transtornos depressivos e caracteriza-se, essencialmente, pelo humor deprimido (distimia) e perda de interesse, prazer (anedonia) e energia (CID-10, 1993; </w:t>
      </w:r>
      <w:r w:rsidRPr="007E4DFC">
        <w:rPr>
          <w:color w:val="212121"/>
        </w:rPr>
        <w:t>Tolentino e Schmidt, 2018</w:t>
      </w:r>
      <w:r w:rsidRPr="007E4DFC">
        <w:t>). Estatisticamente, de acordo com o Manual Diagnóstico e Estatístico de Transtornos Mentais, 5º edição, texto revisado, (DSM 5-TR), no que se refere ao gênero, o sexo feminino apresenta uma taxa duas vezes maior do que o masculino, em especial, no período entre a menarca e a menopausa (</w:t>
      </w:r>
      <w:r w:rsidRPr="007E4DFC">
        <w:rPr>
          <w:i/>
        </w:rPr>
        <w:t xml:space="preserve">American </w:t>
      </w:r>
      <w:proofErr w:type="spellStart"/>
      <w:r w:rsidRPr="007E4DFC">
        <w:rPr>
          <w:i/>
        </w:rPr>
        <w:t>Psychological</w:t>
      </w:r>
      <w:proofErr w:type="spellEnd"/>
      <w:r w:rsidRPr="007E4DFC">
        <w:rPr>
          <w:i/>
        </w:rPr>
        <w:t xml:space="preserve"> </w:t>
      </w:r>
      <w:proofErr w:type="spellStart"/>
      <w:r w:rsidRPr="007E4DFC">
        <w:rPr>
          <w:i/>
        </w:rPr>
        <w:t>Association</w:t>
      </w:r>
      <w:proofErr w:type="spellEnd"/>
      <w:r w:rsidRPr="007E4DFC">
        <w:t>, 2022). Outras estimativas também mostram que a depressão é mais comum entre as mulheres do que entre os homens, sendo 5,1% e 3,6%, respectivamente (</w:t>
      </w:r>
      <w:proofErr w:type="spellStart"/>
      <w:r w:rsidRPr="007E4DFC">
        <w:t>Kuehner</w:t>
      </w:r>
      <w:proofErr w:type="spellEnd"/>
      <w:r w:rsidRPr="007E4DFC">
        <w:t>, 2017).</w:t>
      </w:r>
    </w:p>
    <w:p w14:paraId="7A0F8F42" w14:textId="77777777" w:rsidR="00D434FF" w:rsidRPr="007E4DFC" w:rsidRDefault="005D106E">
      <w:pPr>
        <w:spacing w:line="360" w:lineRule="auto"/>
        <w:ind w:firstLine="708"/>
        <w:jc w:val="both"/>
      </w:pPr>
      <w:r w:rsidRPr="007E4DFC">
        <w:t xml:space="preserve">Segundo a </w:t>
      </w:r>
      <w:r w:rsidRPr="007E4DFC">
        <w:rPr>
          <w:i/>
        </w:rPr>
        <w:t xml:space="preserve">World Health </w:t>
      </w:r>
      <w:proofErr w:type="spellStart"/>
      <w:r w:rsidRPr="007E4DFC">
        <w:rPr>
          <w:i/>
        </w:rPr>
        <w:t>Organization</w:t>
      </w:r>
      <w:proofErr w:type="spellEnd"/>
      <w:r w:rsidRPr="007E4DFC">
        <w:t xml:space="preserve"> (WHO, 2017), em estimativas globais, o número de indivíduos com depressão ultrapassou 300 milhões no ano de 2015. Por conta disso, a depressão é a maior contribuinte para a incapacidade global e para mortes por suicídio, chegando a 800 mil por ano. Em uma revisão sistemática, James </w:t>
      </w:r>
      <w:r w:rsidRPr="007E4DFC">
        <w:rPr>
          <w:i/>
        </w:rPr>
        <w:t>et al.</w:t>
      </w:r>
      <w:r w:rsidRPr="007E4DFC">
        <w:t xml:space="preserve"> (2018) mostrou a prevalência global de 163 milhões de indivíduos no mundo com Transtorno Depressivo Maior (TDM), em 2017, e uma incidência de até 241 milhões de casos no mesmo ano. </w:t>
      </w:r>
    </w:p>
    <w:p w14:paraId="41F7C366" w14:textId="77777777" w:rsidR="00D434FF" w:rsidRPr="007E4DFC" w:rsidRDefault="005D106E">
      <w:pPr>
        <w:spacing w:line="360" w:lineRule="auto"/>
        <w:ind w:firstLine="708"/>
        <w:jc w:val="both"/>
      </w:pPr>
      <w:r w:rsidRPr="007E4DFC">
        <w:t xml:space="preserve">Diversos parâmetros são usados a fim de compreender a etiologia do transtorno em foco e de alcançar tratamentos eficazes e efetivos (Patel, 2021). É válido ressaltar dois destes: o neuroquímico, pautado em pressupostos neurobiológicos, correlacionando o Sistema Nervoso Central (SNC) a alterações sobre níveis sinápticos de neurotransmissores, usado como base para o tratamento medicamentoso (Lafer; Vallada, 1999), e o psicológico, pautado em mudanças cognitivas e comportamentais como condições para tratamento (Alves; </w:t>
      </w:r>
      <w:proofErr w:type="spellStart"/>
      <w:r w:rsidRPr="007E4DFC">
        <w:t>Bonvicini</w:t>
      </w:r>
      <w:proofErr w:type="spellEnd"/>
      <w:r w:rsidRPr="007E4DFC">
        <w:t xml:space="preserve">, 2022). </w:t>
      </w:r>
    </w:p>
    <w:p w14:paraId="590FF399" w14:textId="77777777" w:rsidR="00D434FF" w:rsidRPr="007E4DFC" w:rsidRDefault="005D106E">
      <w:pPr>
        <w:spacing w:line="360" w:lineRule="auto"/>
        <w:ind w:firstLine="708"/>
        <w:jc w:val="both"/>
      </w:pPr>
      <w:r w:rsidRPr="007E4DFC">
        <w:t>Sabe-se que há a hipótese de que a depressão esteja relacionada ao baixo nível de serotonina (5-HT) (</w:t>
      </w:r>
      <w:proofErr w:type="spellStart"/>
      <w:r w:rsidRPr="007E4DFC">
        <w:t>Kostic</w:t>
      </w:r>
      <w:proofErr w:type="spellEnd"/>
      <w:r w:rsidRPr="007E4DFC">
        <w:t xml:space="preserve">; </w:t>
      </w:r>
      <w:proofErr w:type="spellStart"/>
      <w:r w:rsidRPr="007E4DFC">
        <w:t>Agrela</w:t>
      </w:r>
      <w:proofErr w:type="spellEnd"/>
      <w:r w:rsidRPr="007E4DFC">
        <w:t xml:space="preserve"> Rodrigues; 2023). Na tentativa de tratamento, os psicotrópicos usados, como a fluoxetina, o </w:t>
      </w:r>
      <w:proofErr w:type="spellStart"/>
      <w:r w:rsidRPr="007E4DFC">
        <w:t>escitalopram</w:t>
      </w:r>
      <w:proofErr w:type="spellEnd"/>
      <w:r w:rsidRPr="007E4DFC">
        <w:t xml:space="preserve"> e a sertralina, que são Inibidores Seletivos da Recaptação de Serotonina (</w:t>
      </w:r>
      <w:proofErr w:type="spellStart"/>
      <w:r w:rsidRPr="007E4DFC">
        <w:t>ISRSs</w:t>
      </w:r>
      <w:proofErr w:type="spellEnd"/>
      <w:r w:rsidRPr="007E4DFC">
        <w:t xml:space="preserve">), têm como mecanismo de ação a inibição da recaptação desse neurotransmissor e, consequentemente, a potencialização de sua transmissão (Moreno; Moreno; Soares, 1999). </w:t>
      </w:r>
    </w:p>
    <w:p w14:paraId="540122BA" w14:textId="77777777" w:rsidR="00D434FF" w:rsidRPr="007E4DFC" w:rsidRDefault="005D106E">
      <w:pPr>
        <w:spacing w:line="360" w:lineRule="auto"/>
        <w:ind w:firstLine="708"/>
        <w:jc w:val="both"/>
      </w:pPr>
      <w:r w:rsidRPr="007E4DFC">
        <w:t>Em relação aos antidepressivos, pesquisas demonstram que dois dos principais fatores que impossibilitam apenas o uso destes é a baixa adesão e a falta de prevenção à recaída (</w:t>
      </w:r>
      <w:proofErr w:type="spellStart"/>
      <w:r w:rsidRPr="007E4DFC">
        <w:t>Ijaz</w:t>
      </w:r>
      <w:proofErr w:type="spellEnd"/>
      <w:r w:rsidRPr="007E4DFC">
        <w:t xml:space="preserve"> </w:t>
      </w:r>
      <w:r w:rsidRPr="007E4DFC">
        <w:rPr>
          <w:i/>
        </w:rPr>
        <w:lastRenderedPageBreak/>
        <w:t>et al</w:t>
      </w:r>
      <w:r w:rsidRPr="007E4DFC">
        <w:t xml:space="preserve">., 2018; </w:t>
      </w:r>
      <w:proofErr w:type="spellStart"/>
      <w:r w:rsidRPr="007E4DFC">
        <w:t>Bockting</w:t>
      </w:r>
      <w:proofErr w:type="spellEnd"/>
      <w:r w:rsidRPr="007E4DFC">
        <w:t xml:space="preserve"> </w:t>
      </w:r>
      <w:r w:rsidRPr="007E4DFC">
        <w:rPr>
          <w:i/>
        </w:rPr>
        <w:t>et al</w:t>
      </w:r>
      <w:r w:rsidRPr="007E4DFC">
        <w:t xml:space="preserve">., 2008; </w:t>
      </w:r>
      <w:proofErr w:type="spellStart"/>
      <w:r w:rsidRPr="007E4DFC">
        <w:t>ten</w:t>
      </w:r>
      <w:proofErr w:type="spellEnd"/>
      <w:r w:rsidRPr="007E4DFC">
        <w:t xml:space="preserve"> </w:t>
      </w:r>
      <w:proofErr w:type="spellStart"/>
      <w:r w:rsidRPr="007E4DFC">
        <w:t>Doesschate</w:t>
      </w:r>
      <w:proofErr w:type="spellEnd"/>
      <w:r w:rsidRPr="007E4DFC">
        <w:t xml:space="preserve">; </w:t>
      </w:r>
      <w:proofErr w:type="spellStart"/>
      <w:r w:rsidRPr="007E4DFC">
        <w:t>Bockting</w:t>
      </w:r>
      <w:proofErr w:type="spellEnd"/>
      <w:r w:rsidRPr="007E4DFC">
        <w:t xml:space="preserve">; </w:t>
      </w:r>
      <w:proofErr w:type="spellStart"/>
      <w:r w:rsidRPr="007E4DFC">
        <w:t>Schene</w:t>
      </w:r>
      <w:proofErr w:type="spellEnd"/>
      <w:r w:rsidRPr="007E4DFC">
        <w:t xml:space="preserve">, 2009; Santos e Medeiros, 2021). Além disso, estudos com meta-análises mostram que o uso de antidepressivos em indivíduos com depressão leve à moderada pode ser comparado ao placebo, diferenciando-se apenas do uso em indivíduos com depressão grave (Kirsch </w:t>
      </w:r>
      <w:r w:rsidRPr="007E4DFC">
        <w:rPr>
          <w:i/>
        </w:rPr>
        <w:t>et al</w:t>
      </w:r>
      <w:r w:rsidRPr="007E4DFC">
        <w:t xml:space="preserve">., 2008; Fournier </w:t>
      </w:r>
      <w:r w:rsidRPr="007E4DFC">
        <w:rPr>
          <w:i/>
        </w:rPr>
        <w:t>et al</w:t>
      </w:r>
      <w:r w:rsidRPr="007E4DFC">
        <w:t>., 2010).</w:t>
      </w:r>
    </w:p>
    <w:p w14:paraId="4A9E13DC" w14:textId="77777777" w:rsidR="00D434FF" w:rsidRPr="007E4DFC" w:rsidRDefault="005D106E">
      <w:pPr>
        <w:spacing w:line="360" w:lineRule="auto"/>
        <w:ind w:firstLine="708"/>
        <w:jc w:val="both"/>
      </w:pPr>
      <w:r w:rsidRPr="007E4DFC">
        <w:t xml:space="preserve"> Na esfera científica, novas linhas de intervenção estão apresentando evidências para o tratamento de sintomas depressivos, a exemplo do exercício físico (Dunn </w:t>
      </w:r>
      <w:r w:rsidRPr="007E4DFC">
        <w:rPr>
          <w:i/>
        </w:rPr>
        <w:t>et al.</w:t>
      </w:r>
      <w:r w:rsidRPr="007E4DFC">
        <w:t xml:space="preserve">, 2005; </w:t>
      </w:r>
      <w:proofErr w:type="spellStart"/>
      <w:r w:rsidRPr="007E4DFC">
        <w:t>Carek</w:t>
      </w:r>
      <w:proofErr w:type="spellEnd"/>
      <w:r w:rsidRPr="007E4DFC">
        <w:t xml:space="preserve">; </w:t>
      </w:r>
      <w:proofErr w:type="spellStart"/>
      <w:r w:rsidRPr="007E4DFC">
        <w:t>Laibstain</w:t>
      </w:r>
      <w:proofErr w:type="spellEnd"/>
      <w:r w:rsidRPr="007E4DFC">
        <w:t xml:space="preserve">; </w:t>
      </w:r>
      <w:proofErr w:type="spellStart"/>
      <w:r w:rsidRPr="007E4DFC">
        <w:t>Carek</w:t>
      </w:r>
      <w:proofErr w:type="spellEnd"/>
      <w:r w:rsidRPr="007E4DFC">
        <w:t xml:space="preserve">, 2011; </w:t>
      </w:r>
      <w:proofErr w:type="spellStart"/>
      <w:r w:rsidRPr="007E4DFC">
        <w:t>Verhoeven</w:t>
      </w:r>
      <w:proofErr w:type="spellEnd"/>
      <w:r w:rsidRPr="007E4DFC">
        <w:t xml:space="preserve"> </w:t>
      </w:r>
      <w:r w:rsidRPr="007E4DFC">
        <w:rPr>
          <w:i/>
        </w:rPr>
        <w:t>et al</w:t>
      </w:r>
      <w:r w:rsidRPr="007E4DFC">
        <w:t>., 2023), das Terapias Comportamentais (</w:t>
      </w:r>
      <w:proofErr w:type="spellStart"/>
      <w:r w:rsidRPr="007E4DFC">
        <w:t>TCs</w:t>
      </w:r>
      <w:proofErr w:type="spellEnd"/>
      <w:r w:rsidRPr="007E4DFC">
        <w:t xml:space="preserve">) (Abreu; Santos, 2008; Zhang </w:t>
      </w:r>
      <w:r w:rsidRPr="007E4DFC">
        <w:rPr>
          <w:i/>
        </w:rPr>
        <w:t>et al</w:t>
      </w:r>
      <w:r w:rsidRPr="007E4DFC">
        <w:t xml:space="preserve">., 2019; Cardoso; 2017) e da Psicoterapia Assistida por </w:t>
      </w:r>
      <w:proofErr w:type="spellStart"/>
      <w:r w:rsidRPr="007E4DFC">
        <w:t>Psilocibina</w:t>
      </w:r>
      <w:proofErr w:type="spellEnd"/>
      <w:r w:rsidRPr="007E4DFC">
        <w:t xml:space="preserve"> (PAP)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Rosenblat</w:t>
      </w:r>
      <w:proofErr w:type="spellEnd"/>
      <w:r w:rsidRPr="007E4DFC">
        <w:t xml:space="preserve"> </w:t>
      </w:r>
      <w:r w:rsidRPr="007E4DFC">
        <w:rPr>
          <w:i/>
        </w:rPr>
        <w:t>et al</w:t>
      </w:r>
      <w:r w:rsidRPr="007E4DFC">
        <w:t xml:space="preserve">., 2024; Davis </w:t>
      </w:r>
      <w:r w:rsidRPr="007E4DFC">
        <w:rPr>
          <w:i/>
        </w:rPr>
        <w:t>et al</w:t>
      </w:r>
      <w:r w:rsidRPr="007E4DFC">
        <w:t>., 2021).</w:t>
      </w:r>
    </w:p>
    <w:p w14:paraId="2D6CB40B" w14:textId="77777777" w:rsidR="00D434FF" w:rsidRPr="007E4DFC" w:rsidRDefault="00D434FF">
      <w:pPr>
        <w:spacing w:line="360" w:lineRule="auto"/>
        <w:jc w:val="both"/>
      </w:pPr>
    </w:p>
    <w:p w14:paraId="3E43CAA9" w14:textId="77777777" w:rsidR="00D434FF" w:rsidRPr="007E4DFC" w:rsidRDefault="005D106E">
      <w:pPr>
        <w:spacing w:line="360" w:lineRule="auto"/>
        <w:jc w:val="both"/>
        <w:rPr>
          <w:b/>
          <w:i/>
        </w:rPr>
      </w:pPr>
      <w:r w:rsidRPr="007E4DFC">
        <w:rPr>
          <w:b/>
          <w:i/>
        </w:rPr>
        <w:t xml:space="preserve">Psilocibina </w:t>
      </w:r>
    </w:p>
    <w:p w14:paraId="49C285DE" w14:textId="77777777" w:rsidR="00D434FF" w:rsidRPr="007E4DFC" w:rsidRDefault="005D106E">
      <w:pPr>
        <w:spacing w:line="360" w:lineRule="auto"/>
        <w:ind w:firstLine="708"/>
        <w:jc w:val="both"/>
      </w:pPr>
      <w:r w:rsidRPr="007E4DFC">
        <w:t xml:space="preserve">A psilocibina é uma substância de efeito psicoativo produzida por cogumelos do gênero </w:t>
      </w:r>
      <w:proofErr w:type="spellStart"/>
      <w:r w:rsidRPr="007E4DFC">
        <w:rPr>
          <w:i/>
        </w:rPr>
        <w:t>Psilocybe</w:t>
      </w:r>
      <w:proofErr w:type="spellEnd"/>
      <w:r w:rsidRPr="007E4DFC">
        <w:t xml:space="preserve"> (Silva; Costa; Silva, 2021). Alguns dos efeitos causados pela ingestão da psilocibina estão relacionados com a alteração da mente e distorção da realidade, ou seja, alucinações, além de o indivíduo delirar, oscilar as emoções e desrealizar (Lowe </w:t>
      </w:r>
      <w:r w:rsidRPr="007E4DFC">
        <w:rPr>
          <w:i/>
        </w:rPr>
        <w:t>et al</w:t>
      </w:r>
      <w:r w:rsidRPr="007E4DFC">
        <w:t xml:space="preserve">., 2021). </w:t>
      </w:r>
    </w:p>
    <w:p w14:paraId="469672A2" w14:textId="77777777" w:rsidR="00D434FF" w:rsidRPr="007E4DFC" w:rsidRDefault="005D106E">
      <w:pPr>
        <w:spacing w:line="360" w:lineRule="auto"/>
        <w:ind w:firstLine="708"/>
        <w:jc w:val="both"/>
      </w:pPr>
      <w:r w:rsidRPr="007E4DFC">
        <w:t xml:space="preserve">Ao final da década de 50, em 1958, o cientista suíço Albert Hofmann isolou uma substância cristalina pura da </w:t>
      </w:r>
      <w:proofErr w:type="spellStart"/>
      <w:r w:rsidRPr="007E4DFC">
        <w:rPr>
          <w:i/>
        </w:rPr>
        <w:t>Psilocybe</w:t>
      </w:r>
      <w:proofErr w:type="spellEnd"/>
      <w:r w:rsidRPr="007E4DFC">
        <w:rPr>
          <w:i/>
        </w:rPr>
        <w:t xml:space="preserve"> mexicana R. </w:t>
      </w:r>
      <w:proofErr w:type="spellStart"/>
      <w:r w:rsidRPr="007E4DFC">
        <w:rPr>
          <w:i/>
        </w:rPr>
        <w:t>Heim</w:t>
      </w:r>
      <w:proofErr w:type="spellEnd"/>
      <w:r w:rsidRPr="007E4DFC">
        <w:t xml:space="preserve">, pela primeira vez, batizando-a como psilocibina. Hofmann classificou sua estrutura química como uma pequena molécula derivada do fosfato de </w:t>
      </w:r>
      <w:proofErr w:type="spellStart"/>
      <w:r w:rsidRPr="007E4DFC">
        <w:t>triptamina</w:t>
      </w:r>
      <w:proofErr w:type="spellEnd"/>
      <w:r w:rsidRPr="007E4DFC">
        <w:t xml:space="preserve">, para, posteriormente, comercializá-la no decorrer dos anos 60 (Hofmann, 1958; Pepe </w:t>
      </w:r>
      <w:r w:rsidRPr="007E4DFC">
        <w:rPr>
          <w:i/>
        </w:rPr>
        <w:t>et al.</w:t>
      </w:r>
      <w:r w:rsidRPr="007E4DFC">
        <w:t xml:space="preserve">, 2023; </w:t>
      </w:r>
      <w:proofErr w:type="spellStart"/>
      <w:r w:rsidRPr="007E4DFC">
        <w:rPr>
          <w:color w:val="212121"/>
        </w:rPr>
        <w:t>Rucker</w:t>
      </w:r>
      <w:proofErr w:type="spellEnd"/>
      <w:r w:rsidRPr="007E4DFC">
        <w:rPr>
          <w:color w:val="212121"/>
        </w:rPr>
        <w:t xml:space="preserve">, </w:t>
      </w:r>
      <w:proofErr w:type="spellStart"/>
      <w:r w:rsidRPr="007E4DFC">
        <w:rPr>
          <w:color w:val="212121"/>
        </w:rPr>
        <w:t>Iliff</w:t>
      </w:r>
      <w:proofErr w:type="spellEnd"/>
      <w:r w:rsidRPr="007E4DFC">
        <w:rPr>
          <w:color w:val="212121"/>
        </w:rPr>
        <w:t xml:space="preserve"> e </w:t>
      </w:r>
      <w:proofErr w:type="spellStart"/>
      <w:r w:rsidRPr="007E4DFC">
        <w:rPr>
          <w:color w:val="212121"/>
        </w:rPr>
        <w:t>Nutt</w:t>
      </w:r>
      <w:proofErr w:type="spellEnd"/>
      <w:r w:rsidRPr="007E4DFC">
        <w:rPr>
          <w:color w:val="212121"/>
        </w:rPr>
        <w:t>, 2018</w:t>
      </w:r>
      <w:r w:rsidRPr="007E4DFC">
        <w:t>).</w:t>
      </w:r>
    </w:p>
    <w:p w14:paraId="14B89AA7" w14:textId="77777777" w:rsidR="00D434FF" w:rsidRPr="007E4DFC" w:rsidRDefault="005D106E">
      <w:pPr>
        <w:spacing w:line="360" w:lineRule="auto"/>
        <w:ind w:firstLine="708"/>
        <w:jc w:val="both"/>
      </w:pPr>
      <w:r w:rsidRPr="007E4DFC">
        <w:t xml:space="preserve">Os achados acerca da Psicoterapia Assistida por Psilocibina revelaram efeitos significativos com a administração de uma ou duas doses com associação de suporte psicológico (Ross </w:t>
      </w:r>
      <w:r w:rsidRPr="007E4DFC">
        <w:rPr>
          <w:i/>
        </w:rPr>
        <w:t>et al</w:t>
      </w:r>
      <w:r w:rsidRPr="007E4DFC">
        <w:t xml:space="preserve">., 2016; Griffiths </w:t>
      </w:r>
      <w:r w:rsidRPr="007E4DFC">
        <w:rPr>
          <w:i/>
        </w:rPr>
        <w:t>et al</w:t>
      </w:r>
      <w:r w:rsidRPr="007E4DFC">
        <w:t xml:space="preserve">., 2016; Goodwin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Goodwin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Além disso, as evidências de ensaios clínicos randomizados, realizados a fim de avaliar, durante seis meses, a remissão dos sintomas através de duas doses de Psilocibina, também se mostraram promissoras (Davis </w:t>
      </w:r>
      <w:r w:rsidRPr="007E4DFC">
        <w:rPr>
          <w:i/>
        </w:rPr>
        <w:t>et al</w:t>
      </w:r>
      <w:r w:rsidRPr="007E4DFC">
        <w:t xml:space="preserve">., 2021; Carhart-Harris </w:t>
      </w:r>
      <w:r w:rsidRPr="007E4DFC">
        <w:rPr>
          <w:i/>
        </w:rPr>
        <w:t>et al</w:t>
      </w:r>
      <w:r w:rsidRPr="007E4DFC">
        <w:t>., 2018).</w:t>
      </w:r>
    </w:p>
    <w:p w14:paraId="0911BE6E" w14:textId="77777777" w:rsidR="00D434FF" w:rsidRPr="007E4DFC" w:rsidRDefault="005D106E">
      <w:pPr>
        <w:spacing w:line="360" w:lineRule="auto"/>
        <w:ind w:firstLine="708"/>
        <w:jc w:val="both"/>
      </w:pPr>
      <w:r w:rsidRPr="007E4DFC">
        <w:t>O uso da psilocibina como tratamento farmacológico possibilita efeitos fisiológicos, a exemplo do aumento da plasticidade neural e neurogênese, além de efeitos subjetivos, ao ocasionar um aumento na sensação de bem-estar, otimismo e redução da ansiedade (</w:t>
      </w:r>
      <w:r w:rsidRPr="007E4DFC">
        <w:rPr>
          <w:color w:val="212121"/>
        </w:rPr>
        <w:t>Johnson e Griffiths, 2017)</w:t>
      </w:r>
      <w:r w:rsidRPr="007E4DFC">
        <w:t>. O efeito da psilocibina ocorre em um curto espaço de tempo e possibilita uma melhora profunda, diferentemente do uso crônico dos antidepressivos (Moreno; Moreno; Soares, 1999).</w:t>
      </w:r>
    </w:p>
    <w:p w14:paraId="08C33990" w14:textId="77777777" w:rsidR="00D434FF" w:rsidRPr="007E4DFC" w:rsidRDefault="005D106E">
      <w:pPr>
        <w:spacing w:line="360" w:lineRule="auto"/>
        <w:ind w:firstLine="708"/>
        <w:jc w:val="both"/>
      </w:pPr>
      <w:r w:rsidRPr="007E4DFC">
        <w:lastRenderedPageBreak/>
        <w:t xml:space="preserve">No âmbito das psicoterapias assistidas por psicodélicos e, em especial, por psilocibina, é imprescindível mencionar dois conceitos que fazem parte do possível sucesso terapêutico na jornada psicodélica como </w:t>
      </w:r>
      <w:r w:rsidRPr="007E4DFC">
        <w:rPr>
          <w:i/>
        </w:rPr>
        <w:t>Set</w:t>
      </w:r>
      <w:r w:rsidRPr="007E4DFC">
        <w:t xml:space="preserve"> e </w:t>
      </w:r>
      <w:r w:rsidRPr="007E4DFC">
        <w:rPr>
          <w:i/>
        </w:rPr>
        <w:t>Setting</w:t>
      </w:r>
      <w:r w:rsidRPr="007E4DFC">
        <w:t xml:space="preserve">. O termo </w:t>
      </w:r>
      <w:r w:rsidRPr="007E4DFC">
        <w:rPr>
          <w:i/>
        </w:rPr>
        <w:t>Set</w:t>
      </w:r>
      <w:r w:rsidRPr="007E4DFC">
        <w:t xml:space="preserve"> diz respeito a características de personalidade, da história, das experiências, das expectativas e dos objetivos do paciente que podem delinear a experiência subjetiva com a psilocibina. O </w:t>
      </w:r>
      <w:r w:rsidRPr="007E4DFC">
        <w:rPr>
          <w:i/>
        </w:rPr>
        <w:t>Setting</w:t>
      </w:r>
      <w:r w:rsidRPr="007E4DFC">
        <w:t>, por sua vez, está diretamente ligado ao cenário controlado, ou seja, um ambiente seguro, com apoio e confortável (</w:t>
      </w:r>
      <w:proofErr w:type="spellStart"/>
      <w:r w:rsidRPr="007E4DFC">
        <w:t>Hartogsohn</w:t>
      </w:r>
      <w:proofErr w:type="spellEnd"/>
      <w:r w:rsidRPr="007E4DFC">
        <w:t xml:space="preserve">, 2017; </w:t>
      </w:r>
      <w:proofErr w:type="spellStart"/>
      <w:r w:rsidRPr="007E4DFC">
        <w:t>Ziff</w:t>
      </w:r>
      <w:proofErr w:type="spellEnd"/>
      <w:r w:rsidRPr="007E4DFC">
        <w:t xml:space="preserve"> </w:t>
      </w:r>
      <w:r w:rsidRPr="007E4DFC">
        <w:rPr>
          <w:i/>
        </w:rPr>
        <w:t>et al</w:t>
      </w:r>
      <w:r w:rsidRPr="007E4DFC">
        <w:t xml:space="preserve">., 2022; </w:t>
      </w:r>
      <w:proofErr w:type="spellStart"/>
      <w:r w:rsidRPr="007E4DFC">
        <w:t>Chisamore</w:t>
      </w:r>
      <w:proofErr w:type="spellEnd"/>
      <w:r w:rsidRPr="007E4DFC">
        <w:t xml:space="preserve"> </w:t>
      </w:r>
      <w:r w:rsidRPr="007E4DFC">
        <w:rPr>
          <w:i/>
        </w:rPr>
        <w:t>et al</w:t>
      </w:r>
      <w:r w:rsidRPr="007E4DFC">
        <w:t xml:space="preserve">., 2024). </w:t>
      </w:r>
    </w:p>
    <w:p w14:paraId="4483F43F" w14:textId="77777777" w:rsidR="00D434FF" w:rsidRPr="007E4DFC" w:rsidRDefault="005D106E">
      <w:pPr>
        <w:spacing w:line="360" w:lineRule="auto"/>
        <w:ind w:firstLine="708"/>
        <w:jc w:val="both"/>
        <w:rPr>
          <w:rFonts w:eastAsia="Arial"/>
        </w:rPr>
      </w:pPr>
      <w:r w:rsidRPr="007E4DFC">
        <w:t>A depressão está associada a uma série de déficits sinápticos, a exemplo da diminuição da densidade sináptica, ao resultar em alterações na conectividade funcional e, consequentemente, ao déficit cognitivo e afetivo (</w:t>
      </w:r>
      <w:proofErr w:type="spellStart"/>
      <w:r w:rsidRPr="007E4DFC">
        <w:t>Skosnik</w:t>
      </w:r>
      <w:proofErr w:type="spellEnd"/>
      <w:r w:rsidRPr="007E4DFC">
        <w:t xml:space="preserve"> </w:t>
      </w:r>
      <w:r w:rsidRPr="007E4DFC">
        <w:rPr>
          <w:i/>
        </w:rPr>
        <w:t>et al</w:t>
      </w:r>
      <w:r w:rsidRPr="007E4DFC">
        <w:t>., 2023). Na imagem abaixo, pode-se perceber como a psilocibina atua, diferentemente do placebo, na conexão cerebral</w:t>
      </w:r>
      <w:r w:rsidRPr="007E4DFC">
        <w:rPr>
          <w:rFonts w:eastAsia="Arial"/>
        </w:rPr>
        <w:t>.</w:t>
      </w:r>
    </w:p>
    <w:p w14:paraId="153DF1CD" w14:textId="77777777" w:rsidR="00D434FF" w:rsidRPr="007E4DFC" w:rsidRDefault="00D434FF">
      <w:pPr>
        <w:spacing w:line="360" w:lineRule="auto"/>
        <w:jc w:val="both"/>
        <w:rPr>
          <w:rFonts w:eastAsia="Arial"/>
        </w:rPr>
      </w:pPr>
    </w:p>
    <w:p w14:paraId="047201F2" w14:textId="77777777" w:rsidR="00D434FF" w:rsidRPr="007E4DFC" w:rsidRDefault="005D106E">
      <w:pPr>
        <w:spacing w:line="360" w:lineRule="auto"/>
        <w:jc w:val="both"/>
        <w:rPr>
          <w:b/>
        </w:rPr>
      </w:pPr>
      <w:r w:rsidRPr="007E4DFC">
        <w:rPr>
          <w:b/>
        </w:rPr>
        <w:t>Imagem 1</w:t>
      </w:r>
    </w:p>
    <w:p w14:paraId="24C1446F" w14:textId="77777777" w:rsidR="00D434FF" w:rsidRPr="007E4DFC" w:rsidRDefault="005D106E">
      <w:pPr>
        <w:spacing w:line="360" w:lineRule="auto"/>
        <w:jc w:val="both"/>
        <w:rPr>
          <w:b/>
          <w:i/>
          <w:sz w:val="28"/>
          <w:szCs w:val="28"/>
        </w:rPr>
      </w:pPr>
      <w:r w:rsidRPr="007E4DFC">
        <w:rPr>
          <w:i/>
        </w:rPr>
        <w:t>Maior integração entre regiões corticais sob o uso da psilocibina, devido à estimulação dos receptores 5HT2A</w:t>
      </w:r>
    </w:p>
    <w:p w14:paraId="256B0D8C" w14:textId="77777777" w:rsidR="00D434FF" w:rsidRPr="007E4DFC" w:rsidRDefault="005D106E">
      <w:pPr>
        <w:widowControl w:val="0"/>
        <w:spacing w:line="360" w:lineRule="auto"/>
        <w:ind w:firstLine="566"/>
        <w:jc w:val="center"/>
        <w:rPr>
          <w:i/>
        </w:rPr>
      </w:pPr>
      <w:r w:rsidRPr="007E4DFC">
        <w:rPr>
          <w:rFonts w:eastAsia="Roboto"/>
          <w:noProof/>
          <w:sz w:val="21"/>
          <w:szCs w:val="21"/>
        </w:rPr>
        <w:drawing>
          <wp:inline distT="114300" distB="114300" distL="114300" distR="114300" wp14:anchorId="0BDFE8B0" wp14:editId="27EE6395">
            <wp:extent cx="3755863" cy="199435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b="9799"/>
                    <a:stretch>
                      <a:fillRect/>
                    </a:stretch>
                  </pic:blipFill>
                  <pic:spPr>
                    <a:xfrm>
                      <a:off x="0" y="0"/>
                      <a:ext cx="3755863" cy="1994353"/>
                    </a:xfrm>
                    <a:prstGeom prst="rect">
                      <a:avLst/>
                    </a:prstGeom>
                    <a:ln/>
                  </pic:spPr>
                </pic:pic>
              </a:graphicData>
            </a:graphic>
          </wp:inline>
        </w:drawing>
      </w:r>
    </w:p>
    <w:p w14:paraId="16F388AE" w14:textId="77777777" w:rsidR="00D434FF" w:rsidRPr="007E4DFC" w:rsidRDefault="005D106E">
      <w:pPr>
        <w:spacing w:line="360" w:lineRule="auto"/>
        <w:ind w:firstLine="708"/>
        <w:jc w:val="both"/>
        <w:rPr>
          <w:sz w:val="20"/>
          <w:szCs w:val="20"/>
        </w:rPr>
      </w:pPr>
      <w:r w:rsidRPr="007E4DFC">
        <w:rPr>
          <w:i/>
          <w:sz w:val="20"/>
          <w:szCs w:val="20"/>
        </w:rPr>
        <w:t xml:space="preserve">Nota: </w:t>
      </w:r>
      <w:r w:rsidRPr="007E4DFC">
        <w:rPr>
          <w:sz w:val="20"/>
          <w:szCs w:val="20"/>
        </w:rPr>
        <w:t xml:space="preserve">Adaptado de: Petri </w:t>
      </w:r>
      <w:r w:rsidRPr="007E4DFC">
        <w:rPr>
          <w:i/>
          <w:sz w:val="20"/>
          <w:szCs w:val="20"/>
        </w:rPr>
        <w:t>et al.</w:t>
      </w:r>
      <w:r w:rsidRPr="007E4DFC">
        <w:rPr>
          <w:sz w:val="20"/>
          <w:szCs w:val="20"/>
        </w:rPr>
        <w:t xml:space="preserve"> </w:t>
      </w:r>
      <w:r w:rsidRPr="002E6E0F">
        <w:rPr>
          <w:sz w:val="20"/>
          <w:szCs w:val="20"/>
          <w:lang w:val="en-US"/>
        </w:rPr>
        <w:t xml:space="preserve">(2014). Homological scaffolds of brain functional networks. </w:t>
      </w:r>
      <w:hyperlink r:id="rId8">
        <w:r w:rsidRPr="007E4DFC">
          <w:rPr>
            <w:color w:val="1155CC"/>
            <w:sz w:val="20"/>
            <w:szCs w:val="20"/>
            <w:u w:val="single"/>
          </w:rPr>
          <w:t>https://doi.org/10.1098/rsif.2014.0873</w:t>
        </w:r>
      </w:hyperlink>
    </w:p>
    <w:p w14:paraId="17CF465E" w14:textId="77777777" w:rsidR="00D434FF" w:rsidRPr="007E4DFC" w:rsidRDefault="00D434FF">
      <w:pPr>
        <w:spacing w:line="360" w:lineRule="auto"/>
        <w:ind w:firstLine="708"/>
        <w:jc w:val="both"/>
      </w:pPr>
    </w:p>
    <w:p w14:paraId="05CB3EBF" w14:textId="77777777" w:rsidR="00D434FF" w:rsidRPr="007E4DFC" w:rsidRDefault="005D106E">
      <w:pPr>
        <w:spacing w:line="360" w:lineRule="auto"/>
        <w:ind w:firstLine="708"/>
        <w:jc w:val="both"/>
      </w:pPr>
      <w:r w:rsidRPr="007E4DFC">
        <w:rPr>
          <w:rFonts w:eastAsia="Arial"/>
        </w:rPr>
        <w:t xml:space="preserve"> </w:t>
      </w:r>
      <w:r w:rsidRPr="007E4DFC">
        <w:t xml:space="preserve">A sintetização da </w:t>
      </w:r>
      <w:proofErr w:type="spellStart"/>
      <w:r w:rsidRPr="007E4DFC">
        <w:t>psilocibina</w:t>
      </w:r>
      <w:proofErr w:type="spellEnd"/>
      <w:r w:rsidRPr="007E4DFC">
        <w:t xml:space="preserve"> (4-hidroxi-N, N-</w:t>
      </w:r>
      <w:proofErr w:type="spellStart"/>
      <w:r w:rsidRPr="007E4DFC">
        <w:t>dimetiltriptamina</w:t>
      </w:r>
      <w:proofErr w:type="spellEnd"/>
      <w:r w:rsidRPr="007E4DFC">
        <w:t xml:space="preserve">), convertida em L-triptofano, é ligeiramente transformada em </w:t>
      </w:r>
      <w:proofErr w:type="spellStart"/>
      <w:r w:rsidRPr="007E4DFC">
        <w:t>psilocina</w:t>
      </w:r>
      <w:proofErr w:type="spellEnd"/>
      <w:r w:rsidRPr="007E4DFC">
        <w:t xml:space="preserve">, através da </w:t>
      </w:r>
      <w:proofErr w:type="spellStart"/>
      <w:r w:rsidRPr="007E4DFC">
        <w:t>desfosforilação</w:t>
      </w:r>
      <w:proofErr w:type="spellEnd"/>
      <w:r w:rsidRPr="007E4DFC">
        <w:t xml:space="preserve"> fosfatase alcalina no fígado e esterase inespecífica na mucosa intestinal (Lowe </w:t>
      </w:r>
      <w:r w:rsidRPr="007E4DFC">
        <w:rPr>
          <w:i/>
        </w:rPr>
        <w:t>et al</w:t>
      </w:r>
      <w:r w:rsidRPr="007E4DFC">
        <w:t xml:space="preserve">., 2021). A psilocibina é responsável por agir, de forma agonista, na serotonina tipo 2A (5-HT2A) e os efeitos antidepressivos, por sua vez, são advindos da atividade </w:t>
      </w:r>
      <w:proofErr w:type="spellStart"/>
      <w:r w:rsidRPr="007E4DFC">
        <w:t>modulatória</w:t>
      </w:r>
      <w:proofErr w:type="spellEnd"/>
      <w:r w:rsidRPr="007E4DFC">
        <w:t xml:space="preserve"> na região pré-frontal, que, na depressão, está hiperativa e, a partir da psilocibina, é normalizada, assim como age na área límbica do cérebro, incluindo a amígdala, reduzindo a sua hiperatividade e, com o aumento da conectividade cerebral, a amígdala interage de forma mais integrada com outras áreas do </w:t>
      </w:r>
      <w:r w:rsidRPr="007E4DFC">
        <w:lastRenderedPageBreak/>
        <w:t>cérebro, a exemplo do Córtex Pré-Frontal (</w:t>
      </w:r>
      <w:proofErr w:type="spellStart"/>
      <w:r w:rsidRPr="007E4DFC">
        <w:t>Mocaiber</w:t>
      </w:r>
      <w:proofErr w:type="spellEnd"/>
      <w:r w:rsidRPr="007E4DFC">
        <w:t xml:space="preserve"> </w:t>
      </w:r>
      <w:r w:rsidRPr="007E4DFC">
        <w:rPr>
          <w:i/>
        </w:rPr>
        <w:t>et al</w:t>
      </w:r>
      <w:r w:rsidRPr="007E4DFC">
        <w:t xml:space="preserve">., 2008; Grimm </w:t>
      </w:r>
      <w:r w:rsidRPr="007E4DFC">
        <w:rPr>
          <w:i/>
        </w:rPr>
        <w:t>et al</w:t>
      </w:r>
      <w:r w:rsidRPr="007E4DFC">
        <w:t xml:space="preserve">., 2018;  Lowe et </w:t>
      </w:r>
      <w:r w:rsidRPr="007E4DFC">
        <w:rPr>
          <w:i/>
        </w:rPr>
        <w:t>al.</w:t>
      </w:r>
      <w:r w:rsidRPr="007E4DFC">
        <w:t xml:space="preserve">, 2021; </w:t>
      </w:r>
      <w:r w:rsidRPr="007E4DFC">
        <w:rPr>
          <w:color w:val="212121"/>
        </w:rPr>
        <w:t xml:space="preserve">Rodríguez Arce e </w:t>
      </w:r>
      <w:proofErr w:type="spellStart"/>
      <w:r w:rsidRPr="007E4DFC">
        <w:rPr>
          <w:color w:val="212121"/>
        </w:rPr>
        <w:t>Winkelman</w:t>
      </w:r>
      <w:proofErr w:type="spellEnd"/>
      <w:r w:rsidRPr="007E4DFC">
        <w:rPr>
          <w:color w:val="212121"/>
        </w:rPr>
        <w:t>, 2021</w:t>
      </w:r>
      <w:r w:rsidRPr="007E4DFC">
        <w:t xml:space="preserve">). </w:t>
      </w:r>
    </w:p>
    <w:p w14:paraId="6132DA82" w14:textId="77777777" w:rsidR="00D434FF" w:rsidRPr="007E4DFC" w:rsidRDefault="00D434FF">
      <w:pPr>
        <w:spacing w:line="360" w:lineRule="auto"/>
        <w:ind w:firstLine="708"/>
        <w:jc w:val="both"/>
      </w:pPr>
    </w:p>
    <w:p w14:paraId="76F5A51C" w14:textId="77777777" w:rsidR="00D434FF" w:rsidRPr="007E4DFC" w:rsidRDefault="005D106E">
      <w:pPr>
        <w:spacing w:line="360" w:lineRule="auto"/>
        <w:jc w:val="both"/>
        <w:rPr>
          <w:b/>
        </w:rPr>
      </w:pPr>
      <w:r w:rsidRPr="007E4DFC">
        <w:rPr>
          <w:b/>
        </w:rPr>
        <w:t>Imagem 2</w:t>
      </w:r>
    </w:p>
    <w:p w14:paraId="48CC14FD" w14:textId="77777777" w:rsidR="00D434FF" w:rsidRPr="007E4DFC" w:rsidRDefault="005D106E">
      <w:pPr>
        <w:spacing w:line="360" w:lineRule="auto"/>
        <w:rPr>
          <w:i/>
        </w:rPr>
      </w:pPr>
      <w:r w:rsidRPr="007E4DFC">
        <w:rPr>
          <w:i/>
        </w:rPr>
        <w:t xml:space="preserve">Semelhança entre a estrutura química da </w:t>
      </w:r>
      <w:proofErr w:type="spellStart"/>
      <w:r w:rsidRPr="007E4DFC">
        <w:rPr>
          <w:i/>
        </w:rPr>
        <w:t>psilocibina</w:t>
      </w:r>
      <w:proofErr w:type="spellEnd"/>
      <w:r w:rsidRPr="007E4DFC">
        <w:rPr>
          <w:i/>
        </w:rPr>
        <w:t xml:space="preserve">, da </w:t>
      </w:r>
      <w:proofErr w:type="spellStart"/>
      <w:r w:rsidRPr="007E4DFC">
        <w:rPr>
          <w:i/>
        </w:rPr>
        <w:t>psilocina</w:t>
      </w:r>
      <w:proofErr w:type="spellEnd"/>
      <w:r w:rsidRPr="007E4DFC">
        <w:rPr>
          <w:i/>
        </w:rPr>
        <w:t xml:space="preserve"> e da serotonina</w:t>
      </w:r>
    </w:p>
    <w:p w14:paraId="584E0474" w14:textId="77777777" w:rsidR="00D434FF" w:rsidRPr="007E4DFC" w:rsidRDefault="00D434FF">
      <w:pPr>
        <w:spacing w:line="360" w:lineRule="auto"/>
        <w:jc w:val="both"/>
        <w:rPr>
          <w:b/>
        </w:rPr>
      </w:pPr>
    </w:p>
    <w:p w14:paraId="440DA81D" w14:textId="77777777" w:rsidR="00D434FF" w:rsidRPr="007E4DFC" w:rsidRDefault="005D106E">
      <w:pPr>
        <w:spacing w:line="480" w:lineRule="auto"/>
        <w:ind w:firstLine="566"/>
        <w:jc w:val="center"/>
        <w:rPr>
          <w:rFonts w:eastAsia="Arial"/>
        </w:rPr>
      </w:pPr>
      <w:r w:rsidRPr="007E4DFC">
        <w:rPr>
          <w:rFonts w:eastAsia="Arial"/>
          <w:noProof/>
        </w:rPr>
        <w:drawing>
          <wp:inline distT="114300" distB="114300" distL="114300" distR="114300" wp14:anchorId="7F6F1514" wp14:editId="6388AB2E">
            <wp:extent cx="4267200" cy="19812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16465"/>
                    <a:stretch>
                      <a:fillRect/>
                    </a:stretch>
                  </pic:blipFill>
                  <pic:spPr>
                    <a:xfrm>
                      <a:off x="0" y="0"/>
                      <a:ext cx="4267200" cy="1981200"/>
                    </a:xfrm>
                    <a:prstGeom prst="rect">
                      <a:avLst/>
                    </a:prstGeom>
                    <a:ln/>
                  </pic:spPr>
                </pic:pic>
              </a:graphicData>
            </a:graphic>
          </wp:inline>
        </w:drawing>
      </w:r>
    </w:p>
    <w:p w14:paraId="5AF72F6F" w14:textId="77777777" w:rsidR="00D434FF" w:rsidRPr="007E4DFC" w:rsidRDefault="005D106E">
      <w:pPr>
        <w:spacing w:line="480" w:lineRule="auto"/>
        <w:ind w:firstLine="566"/>
        <w:jc w:val="both"/>
        <w:rPr>
          <w:b/>
          <w:sz w:val="20"/>
          <w:szCs w:val="20"/>
        </w:rPr>
      </w:pPr>
      <w:r w:rsidRPr="00031D66">
        <w:rPr>
          <w:i/>
          <w:sz w:val="20"/>
          <w:szCs w:val="20"/>
          <w:lang w:val="es-AR"/>
        </w:rPr>
        <w:t xml:space="preserve">Nota: </w:t>
      </w:r>
      <w:r w:rsidRPr="00031D66">
        <w:rPr>
          <w:sz w:val="20"/>
          <w:szCs w:val="20"/>
          <w:lang w:val="es-AR"/>
        </w:rPr>
        <w:t xml:space="preserve">Adaptado de: Lowe </w:t>
      </w:r>
      <w:r w:rsidRPr="00031D66">
        <w:rPr>
          <w:i/>
          <w:sz w:val="20"/>
          <w:szCs w:val="20"/>
          <w:lang w:val="es-AR"/>
        </w:rPr>
        <w:t>et al.</w:t>
      </w:r>
      <w:r w:rsidRPr="00031D66">
        <w:rPr>
          <w:sz w:val="20"/>
          <w:szCs w:val="20"/>
          <w:lang w:val="es-AR"/>
        </w:rPr>
        <w:t xml:space="preserve"> </w:t>
      </w:r>
      <w:r w:rsidRPr="002E6E0F">
        <w:rPr>
          <w:sz w:val="20"/>
          <w:szCs w:val="20"/>
          <w:lang w:val="en-US"/>
        </w:rPr>
        <w:t xml:space="preserve">(2021). The Therapeutic Potential of Psilocybin. </w:t>
      </w:r>
      <w:hyperlink r:id="rId10">
        <w:r w:rsidRPr="007E4DFC">
          <w:rPr>
            <w:color w:val="1155CC"/>
            <w:sz w:val="20"/>
            <w:szCs w:val="20"/>
            <w:u w:val="single"/>
          </w:rPr>
          <w:t>https://doi.org/10.3390/molecules26102948</w:t>
        </w:r>
      </w:hyperlink>
    </w:p>
    <w:p w14:paraId="57E3996D" w14:textId="77777777" w:rsidR="00D434FF" w:rsidRPr="007E4DFC" w:rsidRDefault="00D434FF">
      <w:pPr>
        <w:spacing w:line="360" w:lineRule="auto"/>
        <w:ind w:firstLine="566"/>
        <w:jc w:val="both"/>
        <w:rPr>
          <w:b/>
          <w:sz w:val="20"/>
          <w:szCs w:val="20"/>
        </w:rPr>
      </w:pPr>
    </w:p>
    <w:p w14:paraId="5181DE36" w14:textId="77777777" w:rsidR="00D434FF" w:rsidRPr="007E4DFC" w:rsidRDefault="005D106E">
      <w:pPr>
        <w:spacing w:line="360" w:lineRule="auto"/>
        <w:ind w:firstLine="708"/>
        <w:jc w:val="both"/>
      </w:pPr>
      <w:r w:rsidRPr="007E4DFC">
        <w:t xml:space="preserve">Dentre os psicodélicos, a psilocibina é considerada um psicodélico clássico, pois faz parte do grupo </w:t>
      </w:r>
      <w:proofErr w:type="spellStart"/>
      <w:r w:rsidRPr="007E4DFC">
        <w:t>triptaminas</w:t>
      </w:r>
      <w:proofErr w:type="spellEnd"/>
      <w:r w:rsidRPr="007E4DFC">
        <w:t xml:space="preserve"> (Nichols, 2016). Esta também é denominada de </w:t>
      </w:r>
      <w:proofErr w:type="spellStart"/>
      <w:r w:rsidRPr="007E4DFC">
        <w:t>psicoplastógeno</w:t>
      </w:r>
      <w:proofErr w:type="spellEnd"/>
      <w:r w:rsidRPr="007E4DFC">
        <w:t xml:space="preserve">, ou seja, produz efeitos rápidos e sustentados, diferentemente da ação crônica dos antidepressivos (e.g.: </w:t>
      </w:r>
      <w:proofErr w:type="spellStart"/>
      <w:r w:rsidRPr="007E4DFC">
        <w:t>ISRSs</w:t>
      </w:r>
      <w:proofErr w:type="spellEnd"/>
      <w:r w:rsidRPr="007E4DFC">
        <w:t xml:space="preserve">), ao induzir a neuroplasticidade e ao possibilitar mudanças duradouras (Grieco </w:t>
      </w:r>
      <w:r w:rsidRPr="007E4DFC">
        <w:rPr>
          <w:i/>
        </w:rPr>
        <w:t>et al</w:t>
      </w:r>
      <w:r w:rsidRPr="007E4DFC">
        <w:t>., 2022). Após a administração oral da psilocibina, é possível observar os primeiros efeitos em, aproximadamente, 40 minutos (</w:t>
      </w:r>
      <w:proofErr w:type="spellStart"/>
      <w:r w:rsidRPr="007E4DFC">
        <w:t>Passie</w:t>
      </w:r>
      <w:proofErr w:type="spellEnd"/>
      <w:r w:rsidRPr="007E4DFC">
        <w:t xml:space="preserve"> </w:t>
      </w:r>
      <w:r w:rsidRPr="007E4DFC">
        <w:rPr>
          <w:i/>
        </w:rPr>
        <w:t>et al</w:t>
      </w:r>
      <w:r w:rsidRPr="007E4DFC">
        <w:t xml:space="preserve">., 2002). </w:t>
      </w:r>
    </w:p>
    <w:p w14:paraId="7E36A1DE" w14:textId="77777777" w:rsidR="00D434FF" w:rsidRPr="007E4DFC" w:rsidRDefault="005D106E">
      <w:pPr>
        <w:spacing w:line="360" w:lineRule="auto"/>
        <w:ind w:firstLine="708"/>
        <w:jc w:val="both"/>
      </w:pPr>
      <w:r w:rsidRPr="007E4DFC">
        <w:t>A plasticidade neural estrutural, induzida pela psilocibina, acontece a nível celular e se dá por meio do crescimento e densidade das espinhas dendríticas em células piramidais corticais (</w:t>
      </w:r>
      <w:proofErr w:type="spellStart"/>
      <w:r w:rsidRPr="007E4DFC">
        <w:t>Shao</w:t>
      </w:r>
      <w:proofErr w:type="spellEnd"/>
      <w:r w:rsidRPr="007E4DFC">
        <w:t xml:space="preserve"> </w:t>
      </w:r>
      <w:proofErr w:type="spellStart"/>
      <w:r w:rsidRPr="007E4DFC">
        <w:t>Ling</w:t>
      </w:r>
      <w:proofErr w:type="spellEnd"/>
      <w:r w:rsidRPr="007E4DFC">
        <w:t xml:space="preserve">-Xiao </w:t>
      </w:r>
      <w:r w:rsidRPr="007E4DFC">
        <w:rPr>
          <w:i/>
        </w:rPr>
        <w:t>et al</w:t>
      </w:r>
      <w:r w:rsidRPr="007E4DFC">
        <w:t xml:space="preserve">., 2024). Ainda, a </w:t>
      </w:r>
      <w:proofErr w:type="spellStart"/>
      <w:r w:rsidRPr="007E4DFC">
        <w:t>psilocibina</w:t>
      </w:r>
      <w:proofErr w:type="spellEnd"/>
      <w:r w:rsidRPr="007E4DFC">
        <w:t xml:space="preserve"> aumenta a neurogênese, a </w:t>
      </w:r>
      <w:proofErr w:type="spellStart"/>
      <w:r w:rsidRPr="007E4DFC">
        <w:t>espinogênese</w:t>
      </w:r>
      <w:proofErr w:type="spellEnd"/>
      <w:r w:rsidRPr="007E4DFC">
        <w:t xml:space="preserve"> e a </w:t>
      </w:r>
      <w:proofErr w:type="spellStart"/>
      <w:r w:rsidRPr="007E4DFC">
        <w:t>sinaptogênese</w:t>
      </w:r>
      <w:proofErr w:type="spellEnd"/>
      <w:r w:rsidRPr="007E4DFC">
        <w:t xml:space="preserve"> (</w:t>
      </w:r>
      <w:proofErr w:type="spellStart"/>
      <w:r w:rsidRPr="007E4DFC">
        <w:t>Ly</w:t>
      </w:r>
      <w:proofErr w:type="spellEnd"/>
      <w:r w:rsidRPr="007E4DFC">
        <w:t xml:space="preserve"> </w:t>
      </w:r>
      <w:r w:rsidRPr="007E4DFC">
        <w:rPr>
          <w:i/>
        </w:rPr>
        <w:t>et al</w:t>
      </w:r>
      <w:r w:rsidRPr="007E4DFC">
        <w:t>., 2018), fator este de extrema importância considerando a neurobiologia da depressão que está associada à diminuição das sinapses neurais em áreas que regulam o humor e a cognição, a exemplo do Córtex Pré-Frontal (CPF) e o hipocampo (</w:t>
      </w:r>
      <w:proofErr w:type="spellStart"/>
      <w:r w:rsidRPr="007E4DFC">
        <w:t>Duman</w:t>
      </w:r>
      <w:proofErr w:type="spellEnd"/>
      <w:r w:rsidRPr="007E4DFC">
        <w:t xml:space="preserve"> e </w:t>
      </w:r>
      <w:proofErr w:type="spellStart"/>
      <w:r w:rsidRPr="007E4DFC">
        <w:t>Aghajanian</w:t>
      </w:r>
      <w:proofErr w:type="spellEnd"/>
      <w:r w:rsidRPr="007E4DFC">
        <w:t xml:space="preserve">, 2012). O fator </w:t>
      </w:r>
      <w:proofErr w:type="spellStart"/>
      <w:r w:rsidRPr="007E4DFC">
        <w:t>neurotrófico</w:t>
      </w:r>
      <w:proofErr w:type="spellEnd"/>
      <w:r w:rsidRPr="007E4DFC">
        <w:t xml:space="preserve"> derivado do cérebro (BDNF) está diretamente relacionado com a neurogênese e a neuroplasticidade, devido à estimulação, em células piramidais </w:t>
      </w:r>
      <w:proofErr w:type="spellStart"/>
      <w:r w:rsidRPr="007E4DFC">
        <w:t>glutamatérgicas</w:t>
      </w:r>
      <w:proofErr w:type="spellEnd"/>
      <w:r w:rsidRPr="007E4DFC">
        <w:t xml:space="preserve">, de receptores do tipo 5-HT2A, em especial nas camadas V e VI, </w:t>
      </w:r>
      <w:r w:rsidRPr="007E4DFC">
        <w:lastRenderedPageBreak/>
        <w:t>pois há um aumento de glutamato, no CPF, a nível extracelular, ocasionando, assim, a neuroplasticidade via BDNF (</w:t>
      </w:r>
      <w:proofErr w:type="spellStart"/>
      <w:r w:rsidRPr="007E4DFC">
        <w:t>Vollenweider</w:t>
      </w:r>
      <w:proofErr w:type="spellEnd"/>
      <w:r w:rsidRPr="007E4DFC">
        <w:t xml:space="preserve"> e </w:t>
      </w:r>
      <w:proofErr w:type="spellStart"/>
      <w:r w:rsidRPr="007E4DFC">
        <w:t>Kometer</w:t>
      </w:r>
      <w:proofErr w:type="spellEnd"/>
      <w:r w:rsidRPr="007E4DFC">
        <w:t xml:space="preserve">, 2010; </w:t>
      </w:r>
      <w:proofErr w:type="spellStart"/>
      <w:r w:rsidRPr="007E4DFC">
        <w:t>Strumila</w:t>
      </w:r>
      <w:proofErr w:type="spellEnd"/>
      <w:r w:rsidRPr="007E4DFC">
        <w:t xml:space="preserve"> </w:t>
      </w:r>
      <w:r w:rsidRPr="007E4DFC">
        <w:rPr>
          <w:i/>
        </w:rPr>
        <w:t>et al</w:t>
      </w:r>
      <w:r w:rsidRPr="007E4DFC">
        <w:t>., 2021).</w:t>
      </w:r>
    </w:p>
    <w:p w14:paraId="10ECC334" w14:textId="77777777" w:rsidR="00D434FF" w:rsidRPr="007E4DFC" w:rsidRDefault="005D106E">
      <w:pPr>
        <w:spacing w:line="360" w:lineRule="auto"/>
        <w:ind w:firstLine="708"/>
        <w:jc w:val="both"/>
      </w:pPr>
      <w:r w:rsidRPr="007E4DFC">
        <w:t>Considerando o crescente número de pesquisas acerca da psilocibina para o tratamento de indivíduos com depressão (</w:t>
      </w:r>
      <w:proofErr w:type="spellStart"/>
      <w:r w:rsidRPr="007E4DFC">
        <w:t>Linartevichi</w:t>
      </w:r>
      <w:proofErr w:type="spellEnd"/>
      <w:r w:rsidRPr="007E4DFC">
        <w:t xml:space="preserve"> </w:t>
      </w:r>
      <w:r w:rsidRPr="007E4DFC">
        <w:rPr>
          <w:i/>
        </w:rPr>
        <w:t>et al</w:t>
      </w:r>
      <w:r w:rsidRPr="007E4DFC">
        <w:t xml:space="preserve">., 2021), o presente trabalho tem como objetivo analisar o uso da psilocibina como tratamento farmacológico em indivíduos com Transtorno Depressivo Maior (TDM), comparando-o com o placebo. </w:t>
      </w:r>
    </w:p>
    <w:p w14:paraId="6609579D" w14:textId="77777777" w:rsidR="00D434FF" w:rsidRPr="007E4DFC" w:rsidRDefault="00D434FF">
      <w:pPr>
        <w:pBdr>
          <w:top w:val="nil"/>
          <w:left w:val="nil"/>
          <w:bottom w:val="nil"/>
          <w:right w:val="nil"/>
          <w:between w:val="nil"/>
        </w:pBdr>
        <w:spacing w:line="360" w:lineRule="auto"/>
        <w:ind w:firstLine="708"/>
        <w:jc w:val="both"/>
        <w:rPr>
          <w:color w:val="000000"/>
        </w:rPr>
      </w:pPr>
    </w:p>
    <w:p w14:paraId="0F7304F2" w14:textId="77777777" w:rsidR="00D434FF" w:rsidRPr="007E4DFC" w:rsidRDefault="005D106E">
      <w:pPr>
        <w:pBdr>
          <w:top w:val="nil"/>
          <w:left w:val="nil"/>
          <w:bottom w:val="nil"/>
          <w:right w:val="nil"/>
          <w:between w:val="nil"/>
        </w:pBdr>
        <w:jc w:val="center"/>
        <w:rPr>
          <w:b/>
        </w:rPr>
      </w:pPr>
      <w:r w:rsidRPr="007E4DFC">
        <w:rPr>
          <w:b/>
        </w:rPr>
        <w:t>Método</w:t>
      </w:r>
    </w:p>
    <w:p w14:paraId="4A916266" w14:textId="77777777" w:rsidR="00D434FF" w:rsidRPr="007E4DFC" w:rsidRDefault="005D106E">
      <w:pPr>
        <w:pStyle w:val="Ttulo2"/>
        <w:keepNext w:val="0"/>
        <w:keepLines w:val="0"/>
        <w:widowControl w:val="0"/>
        <w:shd w:val="clear" w:color="auto" w:fill="FFFFFF"/>
        <w:tabs>
          <w:tab w:val="right" w:leader="dot" w:pos="12000"/>
        </w:tabs>
        <w:spacing w:before="0" w:line="360" w:lineRule="auto"/>
        <w:rPr>
          <w:rFonts w:ascii="Times New Roman" w:eastAsia="Times New Roman" w:hAnsi="Times New Roman" w:cs="Times New Roman"/>
          <w:b/>
          <w:i/>
        </w:rPr>
      </w:pPr>
      <w:bookmarkStart w:id="0" w:name="_dal7ylgfp0re" w:colFirst="0" w:colLast="0"/>
      <w:bookmarkEnd w:id="0"/>
      <w:r w:rsidRPr="007E4DFC">
        <w:rPr>
          <w:rFonts w:ascii="Times New Roman" w:eastAsia="Times New Roman" w:hAnsi="Times New Roman" w:cs="Times New Roman"/>
          <w:b/>
          <w:i/>
          <w:color w:val="000000"/>
          <w:sz w:val="24"/>
          <w:szCs w:val="24"/>
        </w:rPr>
        <w:t>Desenho do estudo</w:t>
      </w:r>
    </w:p>
    <w:p w14:paraId="4678BC85" w14:textId="77777777" w:rsidR="00D434FF" w:rsidRPr="007E4DFC" w:rsidRDefault="005D106E">
      <w:pPr>
        <w:shd w:val="clear" w:color="auto" w:fill="FFFFFF"/>
        <w:tabs>
          <w:tab w:val="right" w:leader="dot" w:pos="12000"/>
        </w:tabs>
        <w:spacing w:line="360" w:lineRule="auto"/>
        <w:ind w:firstLine="708"/>
        <w:jc w:val="both"/>
      </w:pPr>
      <w:r w:rsidRPr="007E4DFC">
        <w:t>A presente Revisão Sistemática de Ensaios Clínicos Randomizados (</w:t>
      </w:r>
      <w:proofErr w:type="spellStart"/>
      <w:r w:rsidRPr="007E4DFC">
        <w:t>ECRs</w:t>
      </w:r>
      <w:proofErr w:type="spellEnd"/>
      <w:r w:rsidRPr="007E4DFC">
        <w:t xml:space="preserve">) segue as recomendações do </w:t>
      </w:r>
      <w:r w:rsidRPr="007E4DFC">
        <w:rPr>
          <w:i/>
        </w:rPr>
        <w:t xml:space="preserve">Cochrane Handbook for </w:t>
      </w:r>
      <w:proofErr w:type="spellStart"/>
      <w:r w:rsidRPr="007E4DFC">
        <w:rPr>
          <w:i/>
        </w:rPr>
        <w:t>Systematic</w:t>
      </w:r>
      <w:proofErr w:type="spellEnd"/>
      <w:r w:rsidRPr="007E4DFC">
        <w:rPr>
          <w:i/>
        </w:rPr>
        <w:t xml:space="preserve"> Reviews </w:t>
      </w:r>
      <w:proofErr w:type="spellStart"/>
      <w:r w:rsidRPr="007E4DFC">
        <w:rPr>
          <w:i/>
        </w:rPr>
        <w:t>of</w:t>
      </w:r>
      <w:proofErr w:type="spellEnd"/>
      <w:r w:rsidRPr="007E4DFC">
        <w:rPr>
          <w:i/>
        </w:rPr>
        <w:t xml:space="preserve"> </w:t>
      </w:r>
      <w:proofErr w:type="spellStart"/>
      <w:r w:rsidRPr="007E4DFC">
        <w:rPr>
          <w:i/>
        </w:rPr>
        <w:t>Interventions</w:t>
      </w:r>
      <w:proofErr w:type="spellEnd"/>
      <w:r w:rsidRPr="007E4DFC">
        <w:t xml:space="preserve"> (Higgins </w:t>
      </w:r>
      <w:r w:rsidRPr="007E4DFC">
        <w:rPr>
          <w:i/>
        </w:rPr>
        <w:t>et</w:t>
      </w:r>
      <w:r w:rsidRPr="007E4DFC">
        <w:t xml:space="preserve"> </w:t>
      </w:r>
      <w:r w:rsidRPr="007E4DFC">
        <w:rPr>
          <w:i/>
        </w:rPr>
        <w:t>al</w:t>
      </w:r>
      <w:r w:rsidRPr="007E4DFC">
        <w:t xml:space="preserve">., 2024), assim como as diretrizes do </w:t>
      </w:r>
      <w:proofErr w:type="spellStart"/>
      <w:r w:rsidRPr="007E4DFC">
        <w:rPr>
          <w:i/>
        </w:rPr>
        <w:t>Preferred</w:t>
      </w:r>
      <w:proofErr w:type="spellEnd"/>
      <w:r w:rsidRPr="007E4DFC">
        <w:rPr>
          <w:i/>
        </w:rPr>
        <w:t xml:space="preserve"> </w:t>
      </w:r>
      <w:proofErr w:type="spellStart"/>
      <w:r w:rsidRPr="007E4DFC">
        <w:rPr>
          <w:i/>
        </w:rPr>
        <w:t>Reporting</w:t>
      </w:r>
      <w:proofErr w:type="spellEnd"/>
      <w:r w:rsidRPr="007E4DFC">
        <w:rPr>
          <w:i/>
        </w:rPr>
        <w:t xml:space="preserve"> </w:t>
      </w:r>
      <w:proofErr w:type="spellStart"/>
      <w:r w:rsidRPr="007E4DFC">
        <w:rPr>
          <w:i/>
        </w:rPr>
        <w:t>Items</w:t>
      </w:r>
      <w:proofErr w:type="spellEnd"/>
      <w:r w:rsidRPr="007E4DFC">
        <w:rPr>
          <w:i/>
        </w:rPr>
        <w:t xml:space="preserve"> for </w:t>
      </w:r>
      <w:proofErr w:type="spellStart"/>
      <w:r w:rsidRPr="007E4DFC">
        <w:rPr>
          <w:i/>
        </w:rPr>
        <w:t>Systematic</w:t>
      </w:r>
      <w:proofErr w:type="spellEnd"/>
      <w:r w:rsidRPr="007E4DFC">
        <w:rPr>
          <w:i/>
        </w:rPr>
        <w:t xml:space="preserve"> Reviews </w:t>
      </w:r>
      <w:proofErr w:type="spellStart"/>
      <w:r w:rsidRPr="007E4DFC">
        <w:rPr>
          <w:i/>
        </w:rPr>
        <w:t>and</w:t>
      </w:r>
      <w:proofErr w:type="spellEnd"/>
      <w:r w:rsidRPr="007E4DFC">
        <w:rPr>
          <w:i/>
        </w:rPr>
        <w:t xml:space="preserve"> Meta-</w:t>
      </w:r>
      <w:proofErr w:type="spellStart"/>
      <w:r w:rsidRPr="007E4DFC">
        <w:rPr>
          <w:i/>
        </w:rPr>
        <w:t>Analyses</w:t>
      </w:r>
      <w:proofErr w:type="spellEnd"/>
      <w:r w:rsidRPr="007E4DFC">
        <w:t xml:space="preserve"> (PRISMA) (Page </w:t>
      </w:r>
      <w:r w:rsidRPr="007E4DFC">
        <w:rPr>
          <w:i/>
        </w:rPr>
        <w:t>et al</w:t>
      </w:r>
      <w:r w:rsidRPr="007E4DFC">
        <w:t>., 2021).</w:t>
      </w:r>
    </w:p>
    <w:p w14:paraId="20E50F83" w14:textId="77777777" w:rsidR="00D434FF" w:rsidRPr="007E4DFC" w:rsidRDefault="00D434FF">
      <w:pPr>
        <w:shd w:val="clear" w:color="auto" w:fill="FFFFFF"/>
        <w:tabs>
          <w:tab w:val="right" w:leader="dot" w:pos="12000"/>
        </w:tabs>
        <w:spacing w:line="360" w:lineRule="auto"/>
        <w:ind w:firstLine="708"/>
        <w:jc w:val="both"/>
      </w:pPr>
    </w:p>
    <w:p w14:paraId="0E90DC3A" w14:textId="77777777" w:rsidR="00D434FF" w:rsidRPr="007E4DFC" w:rsidRDefault="005D106E">
      <w:pPr>
        <w:shd w:val="clear" w:color="auto" w:fill="FFFFFF"/>
        <w:tabs>
          <w:tab w:val="right" w:leader="dot" w:pos="12000"/>
        </w:tabs>
        <w:spacing w:line="360" w:lineRule="auto"/>
        <w:jc w:val="both"/>
        <w:rPr>
          <w:b/>
          <w:i/>
          <w:color w:val="000000"/>
        </w:rPr>
      </w:pPr>
      <w:r w:rsidRPr="007E4DFC">
        <w:rPr>
          <w:b/>
          <w:i/>
          <w:color w:val="000000"/>
        </w:rPr>
        <w:t>Questão de pesquisa</w:t>
      </w:r>
    </w:p>
    <w:p w14:paraId="665D430F" w14:textId="77777777" w:rsidR="00D434FF" w:rsidRPr="007E4DFC" w:rsidRDefault="005D106E">
      <w:pPr>
        <w:shd w:val="clear" w:color="auto" w:fill="FFFFFF"/>
        <w:tabs>
          <w:tab w:val="right" w:leader="dot" w:pos="12000"/>
        </w:tabs>
        <w:spacing w:line="360" w:lineRule="auto"/>
        <w:ind w:firstLine="708"/>
        <w:jc w:val="both"/>
      </w:pPr>
      <w:r w:rsidRPr="007E4DFC">
        <w:t xml:space="preserve">Com o objetivo de avaliar as evidências em </w:t>
      </w:r>
      <w:proofErr w:type="spellStart"/>
      <w:r w:rsidRPr="007E4DFC">
        <w:t>ECRs</w:t>
      </w:r>
      <w:proofErr w:type="spellEnd"/>
      <w:r w:rsidRPr="007E4DFC">
        <w:t xml:space="preserve"> do uso da psilocibina em indivíduos com depressão, foi definida a questão de pesquisa estruturada segundo os componentes do acrônimo PICOS:</w:t>
      </w:r>
      <w:r w:rsidRPr="007E4DFC">
        <w:rPr>
          <w:b/>
        </w:rPr>
        <w:t xml:space="preserve"> </w:t>
      </w:r>
      <w:r w:rsidRPr="007E4DFC">
        <w:t>“O uso da psilocibina é mais eficaz para a remissão de sintomas em indivíduos com depressão do que o placebo?”.</w:t>
      </w:r>
    </w:p>
    <w:p w14:paraId="22E273D0" w14:textId="77777777" w:rsidR="00D434FF" w:rsidRPr="007E4DFC" w:rsidRDefault="00D434FF">
      <w:pPr>
        <w:pStyle w:val="Ttulo2"/>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color w:val="000000"/>
          <w:sz w:val="24"/>
          <w:szCs w:val="24"/>
        </w:rPr>
      </w:pPr>
      <w:bookmarkStart w:id="1" w:name="_pe0ieaysz8o7" w:colFirst="0" w:colLast="0"/>
      <w:bookmarkEnd w:id="1"/>
    </w:p>
    <w:p w14:paraId="6481B279" w14:textId="77777777" w:rsidR="00D434FF" w:rsidRPr="007E4DFC" w:rsidRDefault="005D106E">
      <w:pPr>
        <w:pStyle w:val="Ttulo2"/>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color w:val="000000"/>
          <w:sz w:val="24"/>
          <w:szCs w:val="24"/>
        </w:rPr>
      </w:pPr>
      <w:bookmarkStart w:id="2" w:name="_rtklfxbctl06" w:colFirst="0" w:colLast="0"/>
      <w:bookmarkEnd w:id="2"/>
      <w:r w:rsidRPr="007E4DFC">
        <w:rPr>
          <w:rFonts w:ascii="Times New Roman" w:eastAsia="Times New Roman" w:hAnsi="Times New Roman" w:cs="Times New Roman"/>
          <w:b/>
          <w:i/>
          <w:color w:val="000000"/>
          <w:sz w:val="24"/>
          <w:szCs w:val="24"/>
        </w:rPr>
        <w:t>Critérios de elegibilidade</w:t>
      </w:r>
      <w:r w:rsidRPr="007E4DFC">
        <w:rPr>
          <w:rFonts w:ascii="Times New Roman" w:eastAsia="Times New Roman" w:hAnsi="Times New Roman" w:cs="Times New Roman"/>
          <w:b/>
          <w:color w:val="000000"/>
          <w:sz w:val="24"/>
          <w:szCs w:val="24"/>
        </w:rPr>
        <w:t xml:space="preserve"> </w:t>
      </w:r>
    </w:p>
    <w:p w14:paraId="5EA8C9D6" w14:textId="77777777" w:rsidR="00D434FF" w:rsidRPr="007E4DFC" w:rsidRDefault="005D106E">
      <w:pPr>
        <w:widowControl w:val="0"/>
        <w:shd w:val="clear" w:color="auto" w:fill="FFFFFF"/>
        <w:tabs>
          <w:tab w:val="right" w:leader="dot" w:pos="12000"/>
        </w:tabs>
        <w:spacing w:after="180" w:line="360" w:lineRule="auto"/>
        <w:ind w:firstLine="708"/>
        <w:jc w:val="both"/>
      </w:pPr>
      <w:r w:rsidRPr="007E4DFC">
        <w:t>Os critérios de elegibilidade foram definidos a partir do acrônimo PICOS - P (</w:t>
      </w:r>
      <w:proofErr w:type="spellStart"/>
      <w:r w:rsidRPr="007E4DFC">
        <w:rPr>
          <w:i/>
        </w:rPr>
        <w:t>Patient</w:t>
      </w:r>
      <w:proofErr w:type="spellEnd"/>
      <w:r w:rsidRPr="007E4DFC">
        <w:t>): Transtorno Depressivo Maior (TDM), I (</w:t>
      </w:r>
      <w:proofErr w:type="spellStart"/>
      <w:r w:rsidRPr="007E4DFC">
        <w:rPr>
          <w:i/>
        </w:rPr>
        <w:t>Intervention</w:t>
      </w:r>
      <w:proofErr w:type="spellEnd"/>
      <w:r w:rsidRPr="007E4DFC">
        <w:t>): Psicoterapia Assistida por Psilocibina (PAP), C (</w:t>
      </w:r>
      <w:proofErr w:type="spellStart"/>
      <w:r w:rsidRPr="007E4DFC">
        <w:rPr>
          <w:i/>
        </w:rPr>
        <w:t>Comparison</w:t>
      </w:r>
      <w:proofErr w:type="spellEnd"/>
      <w:r w:rsidRPr="007E4DFC">
        <w:t>): Placebo, O (</w:t>
      </w:r>
      <w:proofErr w:type="spellStart"/>
      <w:r w:rsidRPr="007E4DFC">
        <w:rPr>
          <w:i/>
        </w:rPr>
        <w:t>Outcome</w:t>
      </w:r>
      <w:proofErr w:type="spellEnd"/>
      <w:r w:rsidRPr="007E4DFC">
        <w:t>): remissão parcial ou total dos sintomas depressivos e S (</w:t>
      </w:r>
      <w:proofErr w:type="spellStart"/>
      <w:r w:rsidRPr="007E4DFC">
        <w:rPr>
          <w:i/>
        </w:rPr>
        <w:t>Study</w:t>
      </w:r>
      <w:proofErr w:type="spellEnd"/>
      <w:r w:rsidRPr="007E4DFC">
        <w:rPr>
          <w:i/>
        </w:rPr>
        <w:t xml:space="preserve"> </w:t>
      </w:r>
      <w:proofErr w:type="spellStart"/>
      <w:r w:rsidRPr="007E4DFC">
        <w:rPr>
          <w:i/>
        </w:rPr>
        <w:t>type</w:t>
      </w:r>
      <w:proofErr w:type="spellEnd"/>
      <w:r w:rsidRPr="007E4DFC">
        <w:t>): Ensaios Clínicos Randomizados (</w:t>
      </w:r>
      <w:proofErr w:type="spellStart"/>
      <w:r w:rsidRPr="007E4DFC">
        <w:t>ECRs</w:t>
      </w:r>
      <w:proofErr w:type="spellEnd"/>
      <w:r w:rsidRPr="007E4DFC">
        <w:t>). Foram incluídos estudos que usaram apenas a psilocibina como tratamento, estudos com a população diagnosticada com TDM e estudos nos quais os indivíduos com depressão apresentaram comorbidades (e.g.: câncer). Como critério de exclusão, foram excluídos artigo de revisão, estudos com animais e indivíduos saudáveis, revisões sistemáticas e meta-análises, estudos clínicos com outras populações (e.g.: TEPT e TOC) e substâncias (e.g.: LSD e MDMA), resumos incompletos ou artigos que não foram encontrados gratuitamente para a leitura na íntegra</w:t>
      </w:r>
      <w:r w:rsidRPr="007E4DFC">
        <w:rPr>
          <w:b/>
        </w:rPr>
        <w:t xml:space="preserve"> </w:t>
      </w:r>
      <w:r w:rsidRPr="007E4DFC">
        <w:t>e estudos nos quais o desfecho não estava pautado em visualizar a remissão dos sintomas depressivos.</w:t>
      </w:r>
    </w:p>
    <w:p w14:paraId="0C53F694" w14:textId="77777777" w:rsidR="00D434FF" w:rsidRPr="007E4DFC" w:rsidRDefault="005D106E">
      <w:pPr>
        <w:widowControl w:val="0"/>
        <w:shd w:val="clear" w:color="auto" w:fill="FFFFFF"/>
        <w:tabs>
          <w:tab w:val="right" w:leader="dot" w:pos="12000"/>
        </w:tabs>
        <w:spacing w:line="360" w:lineRule="auto"/>
        <w:jc w:val="both"/>
        <w:rPr>
          <w:b/>
        </w:rPr>
      </w:pPr>
      <w:r w:rsidRPr="007E4DFC">
        <w:rPr>
          <w:b/>
        </w:rPr>
        <w:t>Tabela 1</w:t>
      </w:r>
    </w:p>
    <w:p w14:paraId="0C274B75" w14:textId="77777777" w:rsidR="00D434FF" w:rsidRPr="007E4DFC" w:rsidRDefault="005D106E">
      <w:pPr>
        <w:widowControl w:val="0"/>
        <w:shd w:val="clear" w:color="auto" w:fill="FFFFFF"/>
        <w:tabs>
          <w:tab w:val="right" w:leader="dot" w:pos="12000"/>
        </w:tabs>
        <w:spacing w:line="360" w:lineRule="auto"/>
        <w:jc w:val="both"/>
        <w:rPr>
          <w:i/>
        </w:rPr>
      </w:pPr>
      <w:r w:rsidRPr="007E4DFC">
        <w:rPr>
          <w:i/>
        </w:rPr>
        <w:lastRenderedPageBreak/>
        <w:t xml:space="preserve">Estratégia de busca de acordo com o acrônimo PICOS </w:t>
      </w:r>
    </w:p>
    <w:p w14:paraId="5A868A1D" w14:textId="77777777" w:rsidR="00D434FF" w:rsidRPr="007E4DFC" w:rsidRDefault="00D434FF">
      <w:pPr>
        <w:widowControl w:val="0"/>
        <w:shd w:val="clear" w:color="auto" w:fill="FFFFFF"/>
        <w:tabs>
          <w:tab w:val="right" w:leader="dot" w:pos="12000"/>
        </w:tabs>
        <w:spacing w:line="360" w:lineRule="auto"/>
        <w:jc w:val="both"/>
        <w:rPr>
          <w:i/>
          <w:sz w:val="20"/>
          <w:szCs w:val="20"/>
        </w:rPr>
      </w:pPr>
    </w:p>
    <w:tbl>
      <w:tblPr>
        <w:tblStyle w:val="a"/>
        <w:tblW w:w="9060"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785"/>
        <w:gridCol w:w="1785"/>
        <w:gridCol w:w="1800"/>
        <w:gridCol w:w="1650"/>
      </w:tblGrid>
      <w:tr w:rsidR="00D434FF" w:rsidRPr="007E4DFC" w14:paraId="50F3EA29" w14:textId="77777777" w:rsidTr="002E6E0F">
        <w:trPr>
          <w:trHeight w:val="245"/>
        </w:trPr>
        <w:tc>
          <w:tcPr>
            <w:tcW w:w="2040" w:type="dxa"/>
            <w:tcBorders>
              <w:left w:val="nil"/>
              <w:right w:val="nil"/>
            </w:tcBorders>
            <w:shd w:val="clear" w:color="auto" w:fill="CCCCCC"/>
            <w:tcMar>
              <w:top w:w="100" w:type="dxa"/>
              <w:left w:w="100" w:type="dxa"/>
              <w:bottom w:w="100" w:type="dxa"/>
              <w:right w:w="100" w:type="dxa"/>
            </w:tcMar>
          </w:tcPr>
          <w:p w14:paraId="766D66BB" w14:textId="77777777" w:rsidR="00D434FF" w:rsidRPr="007E4DFC" w:rsidRDefault="005D106E">
            <w:pPr>
              <w:jc w:val="center"/>
              <w:rPr>
                <w:b/>
                <w:sz w:val="20"/>
                <w:szCs w:val="20"/>
              </w:rPr>
            </w:pPr>
            <w:r w:rsidRPr="007E4DFC">
              <w:rPr>
                <w:b/>
                <w:sz w:val="20"/>
                <w:szCs w:val="20"/>
              </w:rPr>
              <w:t>P (</w:t>
            </w:r>
            <w:proofErr w:type="spellStart"/>
            <w:r w:rsidRPr="007E4DFC">
              <w:rPr>
                <w:b/>
                <w:sz w:val="20"/>
                <w:szCs w:val="20"/>
              </w:rPr>
              <w:t>Population</w:t>
            </w:r>
            <w:proofErr w:type="spellEnd"/>
            <w:r w:rsidRPr="007E4DFC">
              <w:rPr>
                <w:b/>
                <w:sz w:val="20"/>
                <w:szCs w:val="20"/>
              </w:rPr>
              <w:t>)</w:t>
            </w:r>
          </w:p>
        </w:tc>
        <w:tc>
          <w:tcPr>
            <w:tcW w:w="1785" w:type="dxa"/>
            <w:tcBorders>
              <w:left w:val="nil"/>
              <w:right w:val="nil"/>
            </w:tcBorders>
            <w:shd w:val="clear" w:color="auto" w:fill="CCCCCC"/>
            <w:tcMar>
              <w:top w:w="100" w:type="dxa"/>
              <w:left w:w="100" w:type="dxa"/>
              <w:bottom w:w="100" w:type="dxa"/>
              <w:right w:w="100" w:type="dxa"/>
            </w:tcMar>
          </w:tcPr>
          <w:p w14:paraId="5E0AF8DC" w14:textId="77777777" w:rsidR="00D434FF" w:rsidRPr="007E4DFC" w:rsidRDefault="005D106E">
            <w:pPr>
              <w:jc w:val="center"/>
              <w:rPr>
                <w:b/>
                <w:sz w:val="20"/>
                <w:szCs w:val="20"/>
              </w:rPr>
            </w:pPr>
            <w:r w:rsidRPr="007E4DFC">
              <w:rPr>
                <w:b/>
                <w:sz w:val="20"/>
                <w:szCs w:val="20"/>
              </w:rPr>
              <w:t>I (</w:t>
            </w:r>
            <w:proofErr w:type="spellStart"/>
            <w:r w:rsidRPr="007E4DFC">
              <w:rPr>
                <w:b/>
                <w:sz w:val="20"/>
                <w:szCs w:val="20"/>
              </w:rPr>
              <w:t>Intervention</w:t>
            </w:r>
            <w:proofErr w:type="spellEnd"/>
            <w:r w:rsidRPr="007E4DFC">
              <w:rPr>
                <w:b/>
                <w:sz w:val="20"/>
                <w:szCs w:val="20"/>
              </w:rPr>
              <w:t xml:space="preserve">) </w:t>
            </w:r>
          </w:p>
        </w:tc>
        <w:tc>
          <w:tcPr>
            <w:tcW w:w="1785" w:type="dxa"/>
            <w:tcBorders>
              <w:left w:val="nil"/>
              <w:right w:val="nil"/>
            </w:tcBorders>
            <w:shd w:val="clear" w:color="auto" w:fill="CCCCCC"/>
            <w:tcMar>
              <w:top w:w="100" w:type="dxa"/>
              <w:left w:w="100" w:type="dxa"/>
              <w:bottom w:w="100" w:type="dxa"/>
              <w:right w:w="100" w:type="dxa"/>
            </w:tcMar>
          </w:tcPr>
          <w:p w14:paraId="65FA0389" w14:textId="77777777" w:rsidR="00D434FF" w:rsidRPr="007E4DFC" w:rsidRDefault="005D106E">
            <w:pPr>
              <w:jc w:val="center"/>
              <w:rPr>
                <w:b/>
                <w:sz w:val="20"/>
                <w:szCs w:val="20"/>
              </w:rPr>
            </w:pPr>
            <w:r w:rsidRPr="007E4DFC">
              <w:rPr>
                <w:b/>
                <w:sz w:val="20"/>
                <w:szCs w:val="20"/>
              </w:rPr>
              <w:t>C (</w:t>
            </w:r>
            <w:proofErr w:type="spellStart"/>
            <w:r w:rsidRPr="007E4DFC">
              <w:rPr>
                <w:b/>
                <w:sz w:val="20"/>
                <w:szCs w:val="20"/>
              </w:rPr>
              <w:t>Comparison</w:t>
            </w:r>
            <w:proofErr w:type="spellEnd"/>
            <w:r w:rsidRPr="007E4DFC">
              <w:rPr>
                <w:b/>
                <w:sz w:val="20"/>
                <w:szCs w:val="20"/>
              </w:rPr>
              <w:t xml:space="preserve">) </w:t>
            </w:r>
          </w:p>
        </w:tc>
        <w:tc>
          <w:tcPr>
            <w:tcW w:w="1800" w:type="dxa"/>
            <w:tcBorders>
              <w:left w:val="nil"/>
              <w:right w:val="nil"/>
            </w:tcBorders>
            <w:shd w:val="clear" w:color="auto" w:fill="CCCCCC"/>
            <w:tcMar>
              <w:top w:w="100" w:type="dxa"/>
              <w:left w:w="100" w:type="dxa"/>
              <w:bottom w:w="100" w:type="dxa"/>
              <w:right w:w="100" w:type="dxa"/>
            </w:tcMar>
          </w:tcPr>
          <w:p w14:paraId="43668306" w14:textId="77777777" w:rsidR="00D434FF" w:rsidRPr="007E4DFC" w:rsidRDefault="005D106E">
            <w:pPr>
              <w:jc w:val="center"/>
              <w:rPr>
                <w:b/>
                <w:sz w:val="20"/>
                <w:szCs w:val="20"/>
              </w:rPr>
            </w:pPr>
            <w:r w:rsidRPr="007E4DFC">
              <w:rPr>
                <w:b/>
                <w:sz w:val="20"/>
                <w:szCs w:val="20"/>
              </w:rPr>
              <w:t>O (</w:t>
            </w:r>
            <w:proofErr w:type="spellStart"/>
            <w:r w:rsidRPr="007E4DFC">
              <w:rPr>
                <w:b/>
                <w:sz w:val="20"/>
                <w:szCs w:val="20"/>
              </w:rPr>
              <w:t>Outcome</w:t>
            </w:r>
            <w:proofErr w:type="spellEnd"/>
            <w:r w:rsidRPr="007E4DFC">
              <w:rPr>
                <w:b/>
                <w:sz w:val="20"/>
                <w:szCs w:val="20"/>
              </w:rPr>
              <w:t xml:space="preserve">) </w:t>
            </w:r>
          </w:p>
        </w:tc>
        <w:tc>
          <w:tcPr>
            <w:tcW w:w="1650" w:type="dxa"/>
            <w:tcBorders>
              <w:left w:val="nil"/>
              <w:right w:val="nil"/>
            </w:tcBorders>
            <w:shd w:val="clear" w:color="auto" w:fill="CCCCCC"/>
            <w:tcMar>
              <w:top w:w="100" w:type="dxa"/>
              <w:left w:w="100" w:type="dxa"/>
              <w:bottom w:w="100" w:type="dxa"/>
              <w:right w:w="100" w:type="dxa"/>
            </w:tcMar>
          </w:tcPr>
          <w:p w14:paraId="4EBD585E" w14:textId="77777777" w:rsidR="00D434FF" w:rsidRPr="007E4DFC" w:rsidRDefault="005D106E">
            <w:pPr>
              <w:jc w:val="center"/>
              <w:rPr>
                <w:b/>
                <w:sz w:val="20"/>
                <w:szCs w:val="20"/>
              </w:rPr>
            </w:pPr>
            <w:r w:rsidRPr="007E4DFC">
              <w:rPr>
                <w:b/>
                <w:sz w:val="20"/>
                <w:szCs w:val="20"/>
              </w:rPr>
              <w:t>S (</w:t>
            </w:r>
            <w:proofErr w:type="spellStart"/>
            <w:r w:rsidRPr="007E4DFC">
              <w:rPr>
                <w:b/>
                <w:sz w:val="20"/>
                <w:szCs w:val="20"/>
              </w:rPr>
              <w:t>Study</w:t>
            </w:r>
            <w:proofErr w:type="spellEnd"/>
            <w:r w:rsidRPr="007E4DFC">
              <w:rPr>
                <w:b/>
                <w:sz w:val="20"/>
                <w:szCs w:val="20"/>
              </w:rPr>
              <w:t xml:space="preserve"> </w:t>
            </w:r>
            <w:proofErr w:type="spellStart"/>
            <w:r w:rsidRPr="007E4DFC">
              <w:rPr>
                <w:b/>
                <w:sz w:val="20"/>
                <w:szCs w:val="20"/>
              </w:rPr>
              <w:t>type</w:t>
            </w:r>
            <w:proofErr w:type="spellEnd"/>
            <w:r w:rsidRPr="007E4DFC">
              <w:rPr>
                <w:b/>
                <w:sz w:val="20"/>
                <w:szCs w:val="20"/>
              </w:rPr>
              <w:t>)</w:t>
            </w:r>
          </w:p>
        </w:tc>
      </w:tr>
      <w:tr w:rsidR="00D434FF" w:rsidRPr="007E4DFC" w14:paraId="4A1C2F22" w14:textId="77777777">
        <w:trPr>
          <w:trHeight w:val="1154"/>
        </w:trPr>
        <w:tc>
          <w:tcPr>
            <w:tcW w:w="2040" w:type="dxa"/>
            <w:tcBorders>
              <w:left w:val="nil"/>
              <w:right w:val="nil"/>
            </w:tcBorders>
            <w:shd w:val="clear" w:color="auto" w:fill="auto"/>
            <w:tcMar>
              <w:top w:w="100" w:type="dxa"/>
              <w:left w:w="100" w:type="dxa"/>
              <w:bottom w:w="100" w:type="dxa"/>
              <w:right w:w="100" w:type="dxa"/>
            </w:tcMar>
          </w:tcPr>
          <w:p w14:paraId="386B02D5"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Indivíduos com Transtorno Depressivo Maior (TDM)</w:t>
            </w:r>
          </w:p>
        </w:tc>
        <w:tc>
          <w:tcPr>
            <w:tcW w:w="1785" w:type="dxa"/>
            <w:tcBorders>
              <w:left w:val="nil"/>
              <w:right w:val="nil"/>
            </w:tcBorders>
            <w:shd w:val="clear" w:color="auto" w:fill="auto"/>
            <w:tcMar>
              <w:top w:w="100" w:type="dxa"/>
              <w:left w:w="100" w:type="dxa"/>
              <w:bottom w:w="100" w:type="dxa"/>
              <w:right w:w="100" w:type="dxa"/>
            </w:tcMar>
          </w:tcPr>
          <w:p w14:paraId="7C587A58"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Psicoterapia Assistida por Psilocibina (PAP)</w:t>
            </w:r>
          </w:p>
        </w:tc>
        <w:tc>
          <w:tcPr>
            <w:tcW w:w="1785" w:type="dxa"/>
            <w:tcBorders>
              <w:left w:val="nil"/>
              <w:right w:val="nil"/>
            </w:tcBorders>
            <w:shd w:val="clear" w:color="auto" w:fill="auto"/>
            <w:tcMar>
              <w:top w:w="100" w:type="dxa"/>
              <w:left w:w="100" w:type="dxa"/>
              <w:bottom w:w="100" w:type="dxa"/>
              <w:right w:w="100" w:type="dxa"/>
            </w:tcMar>
          </w:tcPr>
          <w:p w14:paraId="695A816B" w14:textId="77777777" w:rsidR="00D434FF" w:rsidRPr="007E4DFC" w:rsidRDefault="00D434FF">
            <w:pPr>
              <w:keepNext/>
              <w:widowControl w:val="0"/>
              <w:shd w:val="clear" w:color="auto" w:fill="FFFFFF"/>
              <w:spacing w:line="360" w:lineRule="auto"/>
              <w:jc w:val="center"/>
              <w:rPr>
                <w:sz w:val="20"/>
                <w:szCs w:val="20"/>
              </w:rPr>
            </w:pPr>
          </w:p>
          <w:p w14:paraId="5023E506"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 xml:space="preserve">Placebo </w:t>
            </w:r>
          </w:p>
        </w:tc>
        <w:tc>
          <w:tcPr>
            <w:tcW w:w="1800" w:type="dxa"/>
            <w:tcBorders>
              <w:left w:val="nil"/>
              <w:right w:val="nil"/>
            </w:tcBorders>
            <w:shd w:val="clear" w:color="auto" w:fill="auto"/>
            <w:tcMar>
              <w:top w:w="100" w:type="dxa"/>
              <w:left w:w="100" w:type="dxa"/>
              <w:bottom w:w="100" w:type="dxa"/>
              <w:right w:w="100" w:type="dxa"/>
            </w:tcMar>
          </w:tcPr>
          <w:p w14:paraId="0C15FA63"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 xml:space="preserve">Remissão parcial/parcial dos sintomas </w:t>
            </w:r>
          </w:p>
        </w:tc>
        <w:tc>
          <w:tcPr>
            <w:tcW w:w="1650" w:type="dxa"/>
            <w:tcBorders>
              <w:left w:val="nil"/>
              <w:right w:val="nil"/>
            </w:tcBorders>
            <w:shd w:val="clear" w:color="auto" w:fill="auto"/>
            <w:tcMar>
              <w:top w:w="100" w:type="dxa"/>
              <w:left w:w="100" w:type="dxa"/>
              <w:bottom w:w="100" w:type="dxa"/>
              <w:right w:w="100" w:type="dxa"/>
            </w:tcMar>
          </w:tcPr>
          <w:p w14:paraId="42336E53"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Ensaio Clínicos Randomizados (</w:t>
            </w:r>
            <w:proofErr w:type="spellStart"/>
            <w:r w:rsidRPr="007E4DFC">
              <w:rPr>
                <w:sz w:val="20"/>
                <w:szCs w:val="20"/>
              </w:rPr>
              <w:t>ECRs</w:t>
            </w:r>
            <w:proofErr w:type="spellEnd"/>
            <w:r w:rsidRPr="007E4DFC">
              <w:rPr>
                <w:sz w:val="20"/>
                <w:szCs w:val="20"/>
              </w:rPr>
              <w:t>)</w:t>
            </w:r>
          </w:p>
        </w:tc>
      </w:tr>
    </w:tbl>
    <w:p w14:paraId="3649020B" w14:textId="77777777" w:rsidR="00D434FF" w:rsidRPr="007E4DFC" w:rsidRDefault="00D434FF">
      <w:pPr>
        <w:shd w:val="clear" w:color="auto" w:fill="FFFFFF"/>
        <w:spacing w:line="480" w:lineRule="auto"/>
      </w:pPr>
    </w:p>
    <w:p w14:paraId="29E03FE8" w14:textId="77777777" w:rsidR="00D434FF" w:rsidRPr="007E4DFC" w:rsidRDefault="005D106E">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3" w:name="_y8okce9i7i0e" w:colFirst="0" w:colLast="0"/>
      <w:bookmarkEnd w:id="3"/>
      <w:r w:rsidRPr="007E4DFC">
        <w:rPr>
          <w:rFonts w:ascii="Times New Roman" w:eastAsia="Times New Roman" w:hAnsi="Times New Roman" w:cs="Times New Roman"/>
          <w:b/>
          <w:i/>
          <w:color w:val="000000"/>
          <w:sz w:val="24"/>
          <w:szCs w:val="24"/>
        </w:rPr>
        <w:t xml:space="preserve">Métodos de busca para identificação de estudos </w:t>
      </w:r>
    </w:p>
    <w:p w14:paraId="1B006DF1" w14:textId="77777777" w:rsidR="00D434FF" w:rsidRPr="007E4DFC" w:rsidRDefault="005D106E">
      <w:pPr>
        <w:widowControl w:val="0"/>
        <w:shd w:val="clear" w:color="auto" w:fill="FFFFFF"/>
        <w:tabs>
          <w:tab w:val="right" w:leader="dot" w:pos="12000"/>
        </w:tabs>
        <w:spacing w:after="180" w:line="360" w:lineRule="auto"/>
        <w:ind w:firstLine="708"/>
        <w:jc w:val="both"/>
        <w:rPr>
          <w:b/>
          <w:sz w:val="20"/>
          <w:szCs w:val="20"/>
        </w:rPr>
      </w:pPr>
      <w:r w:rsidRPr="007E4DFC">
        <w:t xml:space="preserve">Na EMBASE, foi usado o </w:t>
      </w:r>
      <w:proofErr w:type="spellStart"/>
      <w:r w:rsidRPr="007E4DFC">
        <w:t>Emtree</w:t>
      </w:r>
      <w:proofErr w:type="spellEnd"/>
      <w:r w:rsidRPr="007E4DFC">
        <w:t xml:space="preserve"> (</w:t>
      </w:r>
      <w:r w:rsidRPr="007E4DFC">
        <w:rPr>
          <w:i/>
        </w:rPr>
        <w:t xml:space="preserve">Embase </w:t>
      </w:r>
      <w:proofErr w:type="spellStart"/>
      <w:r w:rsidRPr="007E4DFC">
        <w:rPr>
          <w:i/>
        </w:rPr>
        <w:t>subject</w:t>
      </w:r>
      <w:proofErr w:type="spellEnd"/>
      <w:r w:rsidRPr="007E4DFC">
        <w:rPr>
          <w:i/>
        </w:rPr>
        <w:t xml:space="preserve"> </w:t>
      </w:r>
      <w:proofErr w:type="spellStart"/>
      <w:r w:rsidRPr="007E4DFC">
        <w:rPr>
          <w:i/>
        </w:rPr>
        <w:t>headings</w:t>
      </w:r>
      <w:proofErr w:type="spellEnd"/>
      <w:r w:rsidRPr="007E4DFC">
        <w:t xml:space="preserve">) para verificar os termos da plataforma. Os termos </w:t>
      </w:r>
      <w:r w:rsidRPr="007E4DFC">
        <w:rPr>
          <w:i/>
        </w:rPr>
        <w:t xml:space="preserve">major </w:t>
      </w:r>
      <w:proofErr w:type="spellStart"/>
      <w:r w:rsidRPr="007E4DFC">
        <w:rPr>
          <w:i/>
        </w:rPr>
        <w:t>depression</w:t>
      </w:r>
      <w:proofErr w:type="spellEnd"/>
      <w:r w:rsidRPr="007E4DFC">
        <w:t xml:space="preserve"> e </w:t>
      </w:r>
      <w:proofErr w:type="spellStart"/>
      <w:r w:rsidRPr="007E4DFC">
        <w:rPr>
          <w:i/>
        </w:rPr>
        <w:t>psilocybine</w:t>
      </w:r>
      <w:proofErr w:type="spellEnd"/>
      <w:r w:rsidRPr="007E4DFC">
        <w:t xml:space="preserve"> foram utilizados como descritores com o auxílio de </w:t>
      </w:r>
      <w:r w:rsidRPr="007E4DFC">
        <w:rPr>
          <w:i/>
        </w:rPr>
        <w:t>/</w:t>
      </w:r>
      <w:proofErr w:type="spellStart"/>
      <w:r w:rsidRPr="007E4DFC">
        <w:rPr>
          <w:i/>
        </w:rPr>
        <w:t>exp</w:t>
      </w:r>
      <w:proofErr w:type="spellEnd"/>
      <w:r w:rsidRPr="007E4DFC">
        <w:rPr>
          <w:i/>
        </w:rPr>
        <w:t xml:space="preserve">, </w:t>
      </w:r>
      <w:r w:rsidRPr="007E4DFC">
        <w:t xml:space="preserve">que indica um descritor controlado. O filtro </w:t>
      </w:r>
      <w:r w:rsidRPr="007E4DFC">
        <w:rPr>
          <w:i/>
        </w:rPr>
        <w:t>[embase]/</w:t>
      </w:r>
      <w:proofErr w:type="spellStart"/>
      <w:r w:rsidRPr="007E4DFC">
        <w:rPr>
          <w:i/>
        </w:rPr>
        <w:t>lim</w:t>
      </w:r>
      <w:proofErr w:type="spellEnd"/>
      <w:r w:rsidRPr="007E4DFC">
        <w:t xml:space="preserve"> foi adicionado para limitar os artigos, como presente na tabela. Além disso, nas bases </w:t>
      </w:r>
      <w:r w:rsidRPr="007E4DFC">
        <w:rPr>
          <w:i/>
        </w:rPr>
        <w:t>Scopus</w:t>
      </w:r>
      <w:r w:rsidRPr="007E4DFC">
        <w:t xml:space="preserve">, CENTRAL e MEDLINE, o </w:t>
      </w:r>
      <w:proofErr w:type="spellStart"/>
      <w:r w:rsidRPr="007E4DFC">
        <w:rPr>
          <w:i/>
        </w:rPr>
        <w:t>MeSH</w:t>
      </w:r>
      <w:proofErr w:type="spellEnd"/>
      <w:r w:rsidRPr="007E4DFC">
        <w:rPr>
          <w:i/>
        </w:rPr>
        <w:t xml:space="preserve"> </w:t>
      </w:r>
      <w:proofErr w:type="spellStart"/>
      <w:r w:rsidRPr="007E4DFC">
        <w:rPr>
          <w:i/>
        </w:rPr>
        <w:t>Terms</w:t>
      </w:r>
      <w:proofErr w:type="spellEnd"/>
      <w:r w:rsidRPr="007E4DFC">
        <w:t xml:space="preserve"> foi utilizado para verificar os termos. Para o acesso aos artigos da MEDLINE, foi utilizado o filtro existente na </w:t>
      </w:r>
      <w:proofErr w:type="spellStart"/>
      <w:r w:rsidRPr="007E4DFC">
        <w:t>PubMed</w:t>
      </w:r>
      <w:proofErr w:type="spellEnd"/>
      <w:r w:rsidRPr="007E4DFC">
        <w:t xml:space="preserve"> para restringi-los. No total, foram encontrados 2915 resultados. Estes foram exportados para o gerenciador </w:t>
      </w:r>
      <w:proofErr w:type="spellStart"/>
      <w:r w:rsidRPr="007E4DFC">
        <w:rPr>
          <w:i/>
        </w:rPr>
        <w:t>Rayyan</w:t>
      </w:r>
      <w:proofErr w:type="spellEnd"/>
      <w:r w:rsidRPr="007E4DFC">
        <w:t xml:space="preserve">. A busca foi realizada em 9 de julho de 2024, por dois pesquisadores de forma independente, a partir de quatro bases de dados eletrônicas: </w:t>
      </w:r>
      <w:r w:rsidRPr="007E4DFC">
        <w:rPr>
          <w:i/>
        </w:rPr>
        <w:t>Scopus</w:t>
      </w:r>
      <w:r w:rsidRPr="007E4DFC">
        <w:t xml:space="preserve">, </w:t>
      </w:r>
      <w:proofErr w:type="spellStart"/>
      <w:r w:rsidRPr="007E4DFC">
        <w:rPr>
          <w:i/>
        </w:rPr>
        <w:t>Excerpta</w:t>
      </w:r>
      <w:proofErr w:type="spellEnd"/>
      <w:r w:rsidRPr="007E4DFC">
        <w:rPr>
          <w:i/>
        </w:rPr>
        <w:t xml:space="preserve"> Medica </w:t>
      </w:r>
      <w:proofErr w:type="spellStart"/>
      <w:r w:rsidRPr="007E4DFC">
        <w:rPr>
          <w:i/>
        </w:rPr>
        <w:t>dataBASE</w:t>
      </w:r>
      <w:proofErr w:type="spellEnd"/>
      <w:r w:rsidRPr="007E4DFC">
        <w:t xml:space="preserve"> (EMBASE), </w:t>
      </w:r>
      <w:r w:rsidRPr="007E4DFC">
        <w:rPr>
          <w:i/>
        </w:rPr>
        <w:t xml:space="preserve">Medical </w:t>
      </w:r>
      <w:proofErr w:type="spellStart"/>
      <w:r w:rsidRPr="007E4DFC">
        <w:rPr>
          <w:i/>
        </w:rPr>
        <w:t>Literature</w:t>
      </w:r>
      <w:proofErr w:type="spellEnd"/>
      <w:r w:rsidRPr="007E4DFC">
        <w:rPr>
          <w:i/>
        </w:rPr>
        <w:t xml:space="preserve"> </w:t>
      </w:r>
      <w:proofErr w:type="spellStart"/>
      <w:r w:rsidRPr="007E4DFC">
        <w:rPr>
          <w:i/>
        </w:rPr>
        <w:t>Analysis</w:t>
      </w:r>
      <w:proofErr w:type="spellEnd"/>
      <w:r w:rsidRPr="007E4DFC">
        <w:rPr>
          <w:i/>
        </w:rPr>
        <w:t xml:space="preserve"> </w:t>
      </w:r>
      <w:proofErr w:type="spellStart"/>
      <w:r w:rsidRPr="007E4DFC">
        <w:rPr>
          <w:i/>
        </w:rPr>
        <w:t>and</w:t>
      </w:r>
      <w:proofErr w:type="spellEnd"/>
      <w:r w:rsidRPr="007E4DFC">
        <w:rPr>
          <w:i/>
        </w:rPr>
        <w:t xml:space="preserve"> </w:t>
      </w:r>
      <w:proofErr w:type="spellStart"/>
      <w:r w:rsidRPr="007E4DFC">
        <w:rPr>
          <w:i/>
        </w:rPr>
        <w:t>Retrieval</w:t>
      </w:r>
      <w:proofErr w:type="spellEnd"/>
      <w:r w:rsidRPr="007E4DFC">
        <w:rPr>
          <w:i/>
        </w:rPr>
        <w:t xml:space="preserve"> System Online</w:t>
      </w:r>
      <w:r w:rsidRPr="007E4DFC">
        <w:t xml:space="preserve"> (MEDLINE)/</w:t>
      </w:r>
      <w:proofErr w:type="spellStart"/>
      <w:r w:rsidRPr="007E4DFC">
        <w:t>PubMed</w:t>
      </w:r>
      <w:proofErr w:type="spellEnd"/>
      <w:r w:rsidRPr="007E4DFC">
        <w:t xml:space="preserve"> (via </w:t>
      </w:r>
      <w:proofErr w:type="spellStart"/>
      <w:r w:rsidRPr="007E4DFC">
        <w:rPr>
          <w:i/>
        </w:rPr>
        <w:t>National</w:t>
      </w:r>
      <w:proofErr w:type="spellEnd"/>
      <w:r w:rsidRPr="007E4DFC">
        <w:rPr>
          <w:i/>
        </w:rPr>
        <w:t xml:space="preserve"> Library </w:t>
      </w:r>
      <w:proofErr w:type="spellStart"/>
      <w:r w:rsidRPr="007E4DFC">
        <w:rPr>
          <w:i/>
        </w:rPr>
        <w:t>of</w:t>
      </w:r>
      <w:proofErr w:type="spellEnd"/>
      <w:r w:rsidRPr="007E4DFC">
        <w:rPr>
          <w:i/>
        </w:rPr>
        <w:t xml:space="preserve"> Medicine</w:t>
      </w:r>
      <w:r w:rsidRPr="007E4DFC">
        <w:t xml:space="preserve">) e </w:t>
      </w:r>
      <w:r w:rsidRPr="007E4DFC">
        <w:rPr>
          <w:i/>
        </w:rPr>
        <w:t xml:space="preserve">Cochrane Central Register </w:t>
      </w:r>
      <w:proofErr w:type="spellStart"/>
      <w:r w:rsidRPr="007E4DFC">
        <w:rPr>
          <w:i/>
        </w:rPr>
        <w:t>of</w:t>
      </w:r>
      <w:proofErr w:type="spellEnd"/>
      <w:r w:rsidRPr="007E4DFC">
        <w:rPr>
          <w:i/>
        </w:rPr>
        <w:t xml:space="preserve"> </w:t>
      </w:r>
      <w:proofErr w:type="spellStart"/>
      <w:r w:rsidRPr="007E4DFC">
        <w:rPr>
          <w:i/>
        </w:rPr>
        <w:t>Controlled</w:t>
      </w:r>
      <w:proofErr w:type="spellEnd"/>
      <w:r w:rsidRPr="007E4DFC">
        <w:rPr>
          <w:i/>
        </w:rPr>
        <w:t xml:space="preserve"> </w:t>
      </w:r>
      <w:proofErr w:type="spellStart"/>
      <w:r w:rsidRPr="007E4DFC">
        <w:rPr>
          <w:i/>
        </w:rPr>
        <w:t>Trials</w:t>
      </w:r>
      <w:proofErr w:type="spellEnd"/>
      <w:r w:rsidRPr="007E4DFC">
        <w:t xml:space="preserve"> (CENTRAL). Restrições como idioma e data de publicação não foram aplicadas na busca.</w:t>
      </w:r>
    </w:p>
    <w:p w14:paraId="7A86750A" w14:textId="77777777" w:rsidR="00D434FF" w:rsidRPr="007E4DFC" w:rsidRDefault="005D106E">
      <w:pPr>
        <w:widowControl w:val="0"/>
        <w:shd w:val="clear" w:color="auto" w:fill="FFFFFF"/>
        <w:tabs>
          <w:tab w:val="right" w:leader="dot" w:pos="12000"/>
        </w:tabs>
        <w:spacing w:line="360" w:lineRule="auto"/>
        <w:jc w:val="both"/>
        <w:rPr>
          <w:b/>
        </w:rPr>
      </w:pPr>
      <w:r w:rsidRPr="007E4DFC">
        <w:rPr>
          <w:b/>
        </w:rPr>
        <w:t>Tabela 2</w:t>
      </w:r>
    </w:p>
    <w:p w14:paraId="1344ED35" w14:textId="77777777" w:rsidR="00D434FF" w:rsidRPr="007E4DFC" w:rsidRDefault="005D106E">
      <w:pPr>
        <w:widowControl w:val="0"/>
        <w:shd w:val="clear" w:color="auto" w:fill="FFFFFF"/>
        <w:tabs>
          <w:tab w:val="right" w:leader="dot" w:pos="12000"/>
        </w:tabs>
        <w:spacing w:after="180" w:line="360" w:lineRule="auto"/>
        <w:jc w:val="both"/>
        <w:rPr>
          <w:i/>
          <w:sz w:val="20"/>
          <w:szCs w:val="20"/>
        </w:rPr>
      </w:pPr>
      <w:r w:rsidRPr="007E4DFC">
        <w:rPr>
          <w:i/>
        </w:rPr>
        <w:t>Bases, estratégias de busca, quantidade de itens encontrados e data</w:t>
      </w:r>
      <w:r w:rsidRPr="007E4DFC">
        <w:rPr>
          <w:i/>
          <w:sz w:val="20"/>
          <w:szCs w:val="20"/>
        </w:rPr>
        <w:t xml:space="preserve"> </w:t>
      </w:r>
    </w:p>
    <w:tbl>
      <w:tblPr>
        <w:tblStyle w:val="a0"/>
        <w:tblW w:w="9135"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180"/>
        <w:gridCol w:w="1785"/>
        <w:gridCol w:w="1365"/>
      </w:tblGrid>
      <w:tr w:rsidR="00D434FF" w:rsidRPr="007E4DFC" w14:paraId="36474101" w14:textId="77777777" w:rsidTr="002E6E0F">
        <w:trPr>
          <w:trHeight w:val="345"/>
        </w:trPr>
        <w:tc>
          <w:tcPr>
            <w:tcW w:w="2805" w:type="dxa"/>
            <w:tcBorders>
              <w:left w:val="nil"/>
              <w:right w:val="nil"/>
            </w:tcBorders>
            <w:shd w:val="clear" w:color="auto" w:fill="CCCCCC"/>
            <w:tcMar>
              <w:top w:w="100" w:type="dxa"/>
              <w:left w:w="100" w:type="dxa"/>
              <w:bottom w:w="100" w:type="dxa"/>
              <w:right w:w="100" w:type="dxa"/>
            </w:tcMar>
          </w:tcPr>
          <w:p w14:paraId="564CC55F" w14:textId="77777777" w:rsidR="00D434FF" w:rsidRPr="007E4DFC" w:rsidRDefault="005D106E">
            <w:pPr>
              <w:jc w:val="center"/>
              <w:rPr>
                <w:b/>
                <w:sz w:val="20"/>
                <w:szCs w:val="20"/>
              </w:rPr>
            </w:pPr>
            <w:r w:rsidRPr="007E4DFC">
              <w:rPr>
                <w:b/>
                <w:sz w:val="20"/>
                <w:szCs w:val="20"/>
              </w:rPr>
              <w:t>Base</w:t>
            </w:r>
          </w:p>
        </w:tc>
        <w:tc>
          <w:tcPr>
            <w:tcW w:w="3180" w:type="dxa"/>
            <w:tcBorders>
              <w:left w:val="nil"/>
              <w:right w:val="nil"/>
            </w:tcBorders>
            <w:shd w:val="clear" w:color="auto" w:fill="CCCCCC"/>
            <w:tcMar>
              <w:top w:w="100" w:type="dxa"/>
              <w:left w:w="100" w:type="dxa"/>
              <w:bottom w:w="100" w:type="dxa"/>
              <w:right w:w="100" w:type="dxa"/>
            </w:tcMar>
          </w:tcPr>
          <w:p w14:paraId="5A3CB36A" w14:textId="77777777" w:rsidR="00D434FF" w:rsidRPr="007E4DFC" w:rsidRDefault="005D106E">
            <w:pPr>
              <w:jc w:val="center"/>
              <w:rPr>
                <w:b/>
                <w:sz w:val="20"/>
                <w:szCs w:val="20"/>
              </w:rPr>
            </w:pPr>
            <w:r w:rsidRPr="007E4DFC">
              <w:rPr>
                <w:b/>
                <w:sz w:val="20"/>
                <w:szCs w:val="20"/>
              </w:rPr>
              <w:t>Busca realizada</w:t>
            </w:r>
          </w:p>
        </w:tc>
        <w:tc>
          <w:tcPr>
            <w:tcW w:w="1785" w:type="dxa"/>
            <w:tcBorders>
              <w:left w:val="nil"/>
              <w:right w:val="nil"/>
            </w:tcBorders>
            <w:shd w:val="clear" w:color="auto" w:fill="CCCCCC"/>
            <w:tcMar>
              <w:top w:w="100" w:type="dxa"/>
              <w:left w:w="100" w:type="dxa"/>
              <w:bottom w:w="100" w:type="dxa"/>
              <w:right w:w="100" w:type="dxa"/>
            </w:tcMar>
          </w:tcPr>
          <w:p w14:paraId="65BBC48B" w14:textId="77777777" w:rsidR="00D434FF" w:rsidRPr="007E4DFC" w:rsidRDefault="005D106E">
            <w:pPr>
              <w:jc w:val="center"/>
              <w:rPr>
                <w:b/>
                <w:sz w:val="20"/>
                <w:szCs w:val="20"/>
              </w:rPr>
            </w:pPr>
            <w:r w:rsidRPr="007E4DFC">
              <w:rPr>
                <w:b/>
                <w:sz w:val="20"/>
                <w:szCs w:val="20"/>
              </w:rPr>
              <w:t xml:space="preserve">Itens encontrados </w:t>
            </w:r>
          </w:p>
        </w:tc>
        <w:tc>
          <w:tcPr>
            <w:tcW w:w="1365" w:type="dxa"/>
            <w:tcBorders>
              <w:left w:val="nil"/>
              <w:right w:val="nil"/>
            </w:tcBorders>
            <w:shd w:val="clear" w:color="auto" w:fill="CCCCCC"/>
            <w:tcMar>
              <w:top w:w="100" w:type="dxa"/>
              <w:left w:w="100" w:type="dxa"/>
              <w:bottom w:w="100" w:type="dxa"/>
              <w:right w:w="100" w:type="dxa"/>
            </w:tcMar>
          </w:tcPr>
          <w:p w14:paraId="6F6FFCEF" w14:textId="77777777" w:rsidR="00D434FF" w:rsidRPr="007E4DFC" w:rsidRDefault="005D106E">
            <w:pPr>
              <w:jc w:val="center"/>
              <w:rPr>
                <w:b/>
                <w:sz w:val="20"/>
                <w:szCs w:val="20"/>
              </w:rPr>
            </w:pPr>
            <w:r w:rsidRPr="007E4DFC">
              <w:rPr>
                <w:b/>
                <w:sz w:val="20"/>
                <w:szCs w:val="20"/>
              </w:rPr>
              <w:t xml:space="preserve">Data </w:t>
            </w:r>
          </w:p>
        </w:tc>
      </w:tr>
      <w:tr w:rsidR="00D434FF" w:rsidRPr="007E4DFC" w14:paraId="224166B6" w14:textId="77777777">
        <w:trPr>
          <w:trHeight w:val="1604"/>
        </w:trPr>
        <w:tc>
          <w:tcPr>
            <w:tcW w:w="2805" w:type="dxa"/>
            <w:tcBorders>
              <w:left w:val="nil"/>
              <w:right w:val="nil"/>
            </w:tcBorders>
            <w:shd w:val="clear" w:color="auto" w:fill="auto"/>
            <w:tcMar>
              <w:top w:w="100" w:type="dxa"/>
              <w:left w:w="100" w:type="dxa"/>
              <w:bottom w:w="100" w:type="dxa"/>
              <w:right w:w="100" w:type="dxa"/>
            </w:tcMar>
          </w:tcPr>
          <w:p w14:paraId="669597A8" w14:textId="77777777" w:rsidR="00D434FF" w:rsidRPr="007E4DFC" w:rsidRDefault="00D434FF">
            <w:pPr>
              <w:shd w:val="clear" w:color="auto" w:fill="FFFFFF"/>
              <w:spacing w:line="360" w:lineRule="auto"/>
              <w:jc w:val="both"/>
              <w:rPr>
                <w:i/>
                <w:sz w:val="20"/>
                <w:szCs w:val="20"/>
              </w:rPr>
            </w:pPr>
          </w:p>
          <w:p w14:paraId="13E7EF23" w14:textId="77777777" w:rsidR="00D434FF" w:rsidRPr="007E4DFC" w:rsidRDefault="00D434FF">
            <w:pPr>
              <w:shd w:val="clear" w:color="auto" w:fill="FFFFFF"/>
              <w:spacing w:line="360" w:lineRule="auto"/>
              <w:jc w:val="both"/>
              <w:rPr>
                <w:i/>
                <w:sz w:val="20"/>
                <w:szCs w:val="20"/>
              </w:rPr>
            </w:pPr>
          </w:p>
          <w:p w14:paraId="43CDC2CB" w14:textId="77777777" w:rsidR="00D434FF" w:rsidRPr="007E4DFC" w:rsidRDefault="005D106E">
            <w:pPr>
              <w:shd w:val="clear" w:color="auto" w:fill="FFFFFF"/>
              <w:spacing w:line="360" w:lineRule="auto"/>
              <w:jc w:val="center"/>
              <w:rPr>
                <w:i/>
                <w:sz w:val="20"/>
                <w:szCs w:val="20"/>
              </w:rPr>
            </w:pPr>
            <w:r w:rsidRPr="007E4DFC">
              <w:rPr>
                <w:i/>
                <w:sz w:val="20"/>
                <w:szCs w:val="20"/>
              </w:rPr>
              <w:t>Scopus</w:t>
            </w:r>
          </w:p>
        </w:tc>
        <w:tc>
          <w:tcPr>
            <w:tcW w:w="3180" w:type="dxa"/>
            <w:tcBorders>
              <w:left w:val="nil"/>
              <w:right w:val="nil"/>
            </w:tcBorders>
            <w:shd w:val="clear" w:color="auto" w:fill="auto"/>
            <w:tcMar>
              <w:top w:w="100" w:type="dxa"/>
              <w:left w:w="100" w:type="dxa"/>
              <w:bottom w:w="100" w:type="dxa"/>
              <w:right w:w="100" w:type="dxa"/>
            </w:tcMar>
          </w:tcPr>
          <w:p w14:paraId="47B6BE9C" w14:textId="77777777" w:rsidR="00D434FF" w:rsidRPr="002E6E0F" w:rsidRDefault="005D106E">
            <w:pPr>
              <w:shd w:val="clear" w:color="auto" w:fill="FFFFFF"/>
              <w:spacing w:line="360" w:lineRule="auto"/>
              <w:jc w:val="center"/>
              <w:rPr>
                <w:sz w:val="20"/>
                <w:szCs w:val="20"/>
                <w:lang w:val="en-US"/>
              </w:rPr>
            </w:pPr>
            <w:r w:rsidRPr="002E6E0F">
              <w:rPr>
                <w:sz w:val="20"/>
                <w:szCs w:val="20"/>
                <w:lang w:val="en-US"/>
              </w:rPr>
              <w:t>(TITLE-ABS-KEY ("major depression" OR depression OR "major depressive disorder") AND TITLE-ABS-KEY (</w:t>
            </w:r>
            <w:proofErr w:type="spellStart"/>
            <w:r w:rsidRPr="002E6E0F">
              <w:rPr>
                <w:sz w:val="20"/>
                <w:szCs w:val="20"/>
                <w:lang w:val="en-US"/>
              </w:rPr>
              <w:t>psilocybine</w:t>
            </w:r>
            <w:proofErr w:type="spellEnd"/>
            <w:r w:rsidRPr="002E6E0F">
              <w:rPr>
                <w:sz w:val="20"/>
                <w:szCs w:val="20"/>
                <w:lang w:val="en-US"/>
              </w:rPr>
              <w:t xml:space="preserve"> OR psilocybin OR "psilocybin-assisted therapy")) </w:t>
            </w:r>
          </w:p>
        </w:tc>
        <w:tc>
          <w:tcPr>
            <w:tcW w:w="1785" w:type="dxa"/>
            <w:tcBorders>
              <w:left w:val="nil"/>
              <w:right w:val="nil"/>
            </w:tcBorders>
            <w:shd w:val="clear" w:color="auto" w:fill="auto"/>
            <w:tcMar>
              <w:top w:w="100" w:type="dxa"/>
              <w:left w:w="100" w:type="dxa"/>
              <w:bottom w:w="100" w:type="dxa"/>
              <w:right w:w="100" w:type="dxa"/>
            </w:tcMar>
          </w:tcPr>
          <w:p w14:paraId="48BB50D8" w14:textId="77777777" w:rsidR="00D434FF" w:rsidRPr="002E6E0F" w:rsidRDefault="00D434FF">
            <w:pPr>
              <w:widowControl w:val="0"/>
              <w:spacing w:line="360" w:lineRule="auto"/>
              <w:jc w:val="center"/>
              <w:rPr>
                <w:sz w:val="20"/>
                <w:szCs w:val="20"/>
                <w:lang w:val="en-US"/>
              </w:rPr>
            </w:pPr>
          </w:p>
          <w:p w14:paraId="55195711" w14:textId="77777777" w:rsidR="00D434FF" w:rsidRPr="002E6E0F" w:rsidRDefault="00D434FF">
            <w:pPr>
              <w:widowControl w:val="0"/>
              <w:spacing w:line="360" w:lineRule="auto"/>
              <w:jc w:val="center"/>
              <w:rPr>
                <w:sz w:val="20"/>
                <w:szCs w:val="20"/>
                <w:lang w:val="en-US"/>
              </w:rPr>
            </w:pPr>
          </w:p>
          <w:p w14:paraId="482E16E5" w14:textId="77777777" w:rsidR="00D434FF" w:rsidRPr="007E4DFC" w:rsidRDefault="005D106E">
            <w:pPr>
              <w:widowControl w:val="0"/>
              <w:spacing w:line="360" w:lineRule="auto"/>
              <w:jc w:val="center"/>
              <w:rPr>
                <w:sz w:val="20"/>
                <w:szCs w:val="20"/>
              </w:rPr>
            </w:pPr>
            <w:r w:rsidRPr="007E4DFC">
              <w:rPr>
                <w:sz w:val="20"/>
                <w:szCs w:val="20"/>
              </w:rPr>
              <w:t>1.117</w:t>
            </w:r>
          </w:p>
        </w:tc>
        <w:tc>
          <w:tcPr>
            <w:tcW w:w="1365" w:type="dxa"/>
            <w:tcBorders>
              <w:left w:val="nil"/>
              <w:right w:val="nil"/>
            </w:tcBorders>
            <w:shd w:val="clear" w:color="auto" w:fill="auto"/>
            <w:tcMar>
              <w:top w:w="100" w:type="dxa"/>
              <w:left w:w="100" w:type="dxa"/>
              <w:bottom w:w="100" w:type="dxa"/>
              <w:right w:w="100" w:type="dxa"/>
            </w:tcMar>
          </w:tcPr>
          <w:p w14:paraId="2B31225D" w14:textId="77777777" w:rsidR="00D434FF" w:rsidRPr="007E4DFC" w:rsidRDefault="00D434FF">
            <w:pPr>
              <w:widowControl w:val="0"/>
              <w:spacing w:line="360" w:lineRule="auto"/>
              <w:jc w:val="center"/>
              <w:rPr>
                <w:sz w:val="20"/>
                <w:szCs w:val="20"/>
              </w:rPr>
            </w:pPr>
          </w:p>
          <w:p w14:paraId="17001517" w14:textId="77777777" w:rsidR="00D434FF" w:rsidRPr="007E4DFC" w:rsidRDefault="00D434FF">
            <w:pPr>
              <w:widowControl w:val="0"/>
              <w:spacing w:line="360" w:lineRule="auto"/>
              <w:jc w:val="center"/>
              <w:rPr>
                <w:sz w:val="20"/>
                <w:szCs w:val="20"/>
              </w:rPr>
            </w:pPr>
          </w:p>
          <w:p w14:paraId="7935DBE2" w14:textId="77777777" w:rsidR="00D434FF" w:rsidRPr="007E4DFC" w:rsidRDefault="005D106E">
            <w:pPr>
              <w:widowControl w:val="0"/>
              <w:spacing w:line="360" w:lineRule="auto"/>
              <w:jc w:val="center"/>
              <w:rPr>
                <w:sz w:val="20"/>
                <w:szCs w:val="20"/>
              </w:rPr>
            </w:pPr>
            <w:r w:rsidRPr="007E4DFC">
              <w:rPr>
                <w:sz w:val="20"/>
                <w:szCs w:val="20"/>
              </w:rPr>
              <w:t>09/07/2024</w:t>
            </w:r>
          </w:p>
        </w:tc>
      </w:tr>
      <w:tr w:rsidR="00D434FF" w:rsidRPr="007E4DFC" w14:paraId="005F0982" w14:textId="77777777">
        <w:trPr>
          <w:trHeight w:val="1124"/>
        </w:trPr>
        <w:tc>
          <w:tcPr>
            <w:tcW w:w="2805" w:type="dxa"/>
            <w:tcBorders>
              <w:left w:val="nil"/>
              <w:right w:val="nil"/>
            </w:tcBorders>
            <w:shd w:val="clear" w:color="auto" w:fill="auto"/>
            <w:tcMar>
              <w:top w:w="100" w:type="dxa"/>
              <w:left w:w="100" w:type="dxa"/>
              <w:bottom w:w="100" w:type="dxa"/>
              <w:right w:w="100" w:type="dxa"/>
            </w:tcMar>
          </w:tcPr>
          <w:p w14:paraId="420E2677" w14:textId="77777777" w:rsidR="00D434FF" w:rsidRPr="007E4DFC" w:rsidRDefault="00D434FF">
            <w:pPr>
              <w:shd w:val="clear" w:color="auto" w:fill="FFFFFF"/>
              <w:spacing w:line="360" w:lineRule="auto"/>
              <w:jc w:val="center"/>
              <w:rPr>
                <w:i/>
                <w:sz w:val="20"/>
                <w:szCs w:val="20"/>
              </w:rPr>
            </w:pPr>
          </w:p>
          <w:p w14:paraId="33E66E9C" w14:textId="77777777" w:rsidR="00D434FF" w:rsidRPr="007E4DFC" w:rsidRDefault="00D434FF">
            <w:pPr>
              <w:shd w:val="clear" w:color="auto" w:fill="FFFFFF"/>
              <w:spacing w:line="360" w:lineRule="auto"/>
              <w:jc w:val="center"/>
              <w:rPr>
                <w:i/>
                <w:sz w:val="20"/>
                <w:szCs w:val="20"/>
              </w:rPr>
            </w:pPr>
          </w:p>
          <w:p w14:paraId="2A2E262C" w14:textId="77777777" w:rsidR="00D434FF" w:rsidRPr="007E4DFC" w:rsidRDefault="00D434FF">
            <w:pPr>
              <w:shd w:val="clear" w:color="auto" w:fill="FFFFFF"/>
              <w:spacing w:line="360" w:lineRule="auto"/>
              <w:jc w:val="center"/>
              <w:rPr>
                <w:i/>
                <w:sz w:val="20"/>
                <w:szCs w:val="20"/>
              </w:rPr>
            </w:pPr>
          </w:p>
          <w:p w14:paraId="477B351C" w14:textId="77777777" w:rsidR="00D434FF" w:rsidRPr="007E4DFC" w:rsidRDefault="005D106E">
            <w:pPr>
              <w:shd w:val="clear" w:color="auto" w:fill="FFFFFF"/>
              <w:spacing w:line="360" w:lineRule="auto"/>
              <w:jc w:val="center"/>
              <w:rPr>
                <w:sz w:val="20"/>
                <w:szCs w:val="20"/>
              </w:rPr>
            </w:pPr>
            <w:proofErr w:type="spellStart"/>
            <w:r w:rsidRPr="007E4DFC">
              <w:rPr>
                <w:i/>
                <w:sz w:val="20"/>
                <w:szCs w:val="20"/>
              </w:rPr>
              <w:t>Excerpta</w:t>
            </w:r>
            <w:proofErr w:type="spellEnd"/>
            <w:r w:rsidRPr="007E4DFC">
              <w:rPr>
                <w:i/>
                <w:sz w:val="20"/>
                <w:szCs w:val="20"/>
              </w:rPr>
              <w:t xml:space="preserve"> Medica </w:t>
            </w:r>
            <w:proofErr w:type="spellStart"/>
            <w:r w:rsidRPr="007E4DFC">
              <w:rPr>
                <w:i/>
                <w:sz w:val="20"/>
                <w:szCs w:val="20"/>
              </w:rPr>
              <w:t>dataBASE</w:t>
            </w:r>
            <w:proofErr w:type="spellEnd"/>
            <w:r w:rsidRPr="007E4DFC">
              <w:rPr>
                <w:sz w:val="20"/>
                <w:szCs w:val="20"/>
              </w:rPr>
              <w:t xml:space="preserve"> (EMBASE)</w:t>
            </w:r>
          </w:p>
        </w:tc>
        <w:tc>
          <w:tcPr>
            <w:tcW w:w="3180" w:type="dxa"/>
            <w:tcBorders>
              <w:left w:val="nil"/>
              <w:right w:val="nil"/>
            </w:tcBorders>
            <w:shd w:val="clear" w:color="auto" w:fill="auto"/>
            <w:tcMar>
              <w:top w:w="100" w:type="dxa"/>
              <w:left w:w="100" w:type="dxa"/>
              <w:bottom w:w="100" w:type="dxa"/>
              <w:right w:w="100" w:type="dxa"/>
            </w:tcMar>
          </w:tcPr>
          <w:p w14:paraId="5CB145D1" w14:textId="77777777" w:rsidR="00D434FF" w:rsidRPr="002E6E0F" w:rsidRDefault="005D106E">
            <w:pPr>
              <w:widowControl w:val="0"/>
              <w:shd w:val="clear" w:color="auto" w:fill="FFFFFF"/>
              <w:spacing w:line="360" w:lineRule="auto"/>
              <w:jc w:val="center"/>
              <w:rPr>
                <w:i/>
                <w:sz w:val="20"/>
                <w:szCs w:val="20"/>
                <w:lang w:val="en-US"/>
              </w:rPr>
            </w:pPr>
            <w:r w:rsidRPr="002E6E0F">
              <w:rPr>
                <w:sz w:val="20"/>
                <w:szCs w:val="20"/>
                <w:lang w:val="en-US"/>
              </w:rPr>
              <w:t>('major depression'/exp OR 'major depression' OR 'depression'/exp OR depression OR 'major depressive disorder') AND ('</w:t>
            </w:r>
            <w:proofErr w:type="spellStart"/>
            <w:r w:rsidRPr="002E6E0F">
              <w:rPr>
                <w:sz w:val="20"/>
                <w:szCs w:val="20"/>
                <w:lang w:val="en-US"/>
              </w:rPr>
              <w:t>psilocybine</w:t>
            </w:r>
            <w:proofErr w:type="spellEnd"/>
            <w:r w:rsidRPr="002E6E0F">
              <w:rPr>
                <w:sz w:val="20"/>
                <w:szCs w:val="20"/>
                <w:lang w:val="en-US"/>
              </w:rPr>
              <w:t xml:space="preserve">'/exp OR </w:t>
            </w:r>
            <w:proofErr w:type="spellStart"/>
            <w:r w:rsidRPr="002E6E0F">
              <w:rPr>
                <w:sz w:val="20"/>
                <w:szCs w:val="20"/>
                <w:lang w:val="en-US"/>
              </w:rPr>
              <w:t>psilocybine</w:t>
            </w:r>
            <w:proofErr w:type="spellEnd"/>
            <w:r w:rsidRPr="002E6E0F">
              <w:rPr>
                <w:sz w:val="20"/>
                <w:szCs w:val="20"/>
                <w:lang w:val="en-US"/>
              </w:rPr>
              <w:t xml:space="preserve"> OR </w:t>
            </w:r>
            <w:proofErr w:type="spellStart"/>
            <w:r w:rsidRPr="002E6E0F">
              <w:rPr>
                <w:sz w:val="20"/>
                <w:szCs w:val="20"/>
                <w:lang w:val="en-US"/>
              </w:rPr>
              <w:t>psiloycbin</w:t>
            </w:r>
            <w:proofErr w:type="spellEnd"/>
            <w:r w:rsidRPr="002E6E0F">
              <w:rPr>
                <w:sz w:val="20"/>
                <w:szCs w:val="20"/>
                <w:lang w:val="en-US"/>
              </w:rPr>
              <w:t xml:space="preserve"> OR 'psilocybin-assisted therapy') AND [</w:t>
            </w:r>
            <w:proofErr w:type="spellStart"/>
            <w:r w:rsidRPr="002E6E0F">
              <w:rPr>
                <w:sz w:val="20"/>
                <w:szCs w:val="20"/>
                <w:lang w:val="en-US"/>
              </w:rPr>
              <w:t>embase</w:t>
            </w:r>
            <w:proofErr w:type="spellEnd"/>
            <w:r w:rsidRPr="002E6E0F">
              <w:rPr>
                <w:sz w:val="20"/>
                <w:szCs w:val="20"/>
                <w:lang w:val="en-US"/>
              </w:rPr>
              <w:t>]/</w:t>
            </w:r>
            <w:proofErr w:type="spellStart"/>
            <w:r w:rsidRPr="002E6E0F">
              <w:rPr>
                <w:sz w:val="20"/>
                <w:szCs w:val="20"/>
                <w:lang w:val="en-US"/>
              </w:rPr>
              <w:t>lim</w:t>
            </w:r>
            <w:proofErr w:type="spellEnd"/>
          </w:p>
        </w:tc>
        <w:tc>
          <w:tcPr>
            <w:tcW w:w="1785" w:type="dxa"/>
            <w:tcBorders>
              <w:left w:val="nil"/>
              <w:right w:val="nil"/>
            </w:tcBorders>
            <w:shd w:val="clear" w:color="auto" w:fill="auto"/>
            <w:tcMar>
              <w:top w:w="100" w:type="dxa"/>
              <w:left w:w="100" w:type="dxa"/>
              <w:bottom w:w="100" w:type="dxa"/>
              <w:right w:w="100" w:type="dxa"/>
            </w:tcMar>
          </w:tcPr>
          <w:p w14:paraId="17D04A2E" w14:textId="77777777" w:rsidR="00D434FF" w:rsidRPr="002E6E0F" w:rsidRDefault="00D434FF">
            <w:pPr>
              <w:widowControl w:val="0"/>
              <w:spacing w:line="360" w:lineRule="auto"/>
              <w:jc w:val="center"/>
              <w:rPr>
                <w:sz w:val="20"/>
                <w:szCs w:val="20"/>
                <w:lang w:val="en-US"/>
              </w:rPr>
            </w:pPr>
          </w:p>
          <w:p w14:paraId="2CBA85BA" w14:textId="77777777" w:rsidR="00D434FF" w:rsidRPr="002E6E0F" w:rsidRDefault="00D434FF">
            <w:pPr>
              <w:widowControl w:val="0"/>
              <w:spacing w:line="360" w:lineRule="auto"/>
              <w:jc w:val="center"/>
              <w:rPr>
                <w:sz w:val="20"/>
                <w:szCs w:val="20"/>
                <w:lang w:val="en-US"/>
              </w:rPr>
            </w:pPr>
          </w:p>
          <w:p w14:paraId="0AA90132" w14:textId="77777777" w:rsidR="00D434FF" w:rsidRPr="002E6E0F" w:rsidRDefault="00D434FF">
            <w:pPr>
              <w:widowControl w:val="0"/>
              <w:spacing w:line="360" w:lineRule="auto"/>
              <w:jc w:val="center"/>
              <w:rPr>
                <w:sz w:val="20"/>
                <w:szCs w:val="20"/>
                <w:lang w:val="en-US"/>
              </w:rPr>
            </w:pPr>
          </w:p>
          <w:p w14:paraId="109F9FBA" w14:textId="77777777" w:rsidR="00D434FF" w:rsidRPr="007E4DFC" w:rsidRDefault="005D106E">
            <w:pPr>
              <w:widowControl w:val="0"/>
              <w:spacing w:line="360" w:lineRule="auto"/>
              <w:jc w:val="center"/>
              <w:rPr>
                <w:sz w:val="20"/>
                <w:szCs w:val="20"/>
              </w:rPr>
            </w:pPr>
            <w:r w:rsidRPr="007E4DFC">
              <w:rPr>
                <w:sz w:val="20"/>
                <w:szCs w:val="20"/>
              </w:rPr>
              <w:t>1.113</w:t>
            </w:r>
          </w:p>
        </w:tc>
        <w:tc>
          <w:tcPr>
            <w:tcW w:w="1365" w:type="dxa"/>
            <w:tcBorders>
              <w:left w:val="nil"/>
              <w:right w:val="nil"/>
            </w:tcBorders>
            <w:shd w:val="clear" w:color="auto" w:fill="auto"/>
            <w:tcMar>
              <w:top w:w="100" w:type="dxa"/>
              <w:left w:w="100" w:type="dxa"/>
              <w:bottom w:w="100" w:type="dxa"/>
              <w:right w:w="100" w:type="dxa"/>
            </w:tcMar>
          </w:tcPr>
          <w:p w14:paraId="56BF5DC3" w14:textId="77777777" w:rsidR="00D434FF" w:rsidRPr="007E4DFC" w:rsidRDefault="00D434FF">
            <w:pPr>
              <w:widowControl w:val="0"/>
              <w:spacing w:line="360" w:lineRule="auto"/>
              <w:jc w:val="center"/>
              <w:rPr>
                <w:sz w:val="20"/>
                <w:szCs w:val="20"/>
              </w:rPr>
            </w:pPr>
          </w:p>
          <w:p w14:paraId="067CEEB7" w14:textId="77777777" w:rsidR="00D434FF" w:rsidRPr="007E4DFC" w:rsidRDefault="00D434FF">
            <w:pPr>
              <w:widowControl w:val="0"/>
              <w:spacing w:line="360" w:lineRule="auto"/>
              <w:jc w:val="center"/>
              <w:rPr>
                <w:sz w:val="20"/>
                <w:szCs w:val="20"/>
              </w:rPr>
            </w:pPr>
          </w:p>
          <w:p w14:paraId="01DE930A" w14:textId="77777777" w:rsidR="00D434FF" w:rsidRPr="007E4DFC" w:rsidRDefault="00D434FF">
            <w:pPr>
              <w:widowControl w:val="0"/>
              <w:spacing w:line="360" w:lineRule="auto"/>
              <w:jc w:val="center"/>
              <w:rPr>
                <w:sz w:val="20"/>
                <w:szCs w:val="20"/>
              </w:rPr>
            </w:pPr>
          </w:p>
          <w:p w14:paraId="52BB8EB8" w14:textId="77777777" w:rsidR="00D434FF" w:rsidRPr="007E4DFC" w:rsidRDefault="005D106E">
            <w:pPr>
              <w:widowControl w:val="0"/>
              <w:spacing w:line="360" w:lineRule="auto"/>
              <w:jc w:val="center"/>
              <w:rPr>
                <w:sz w:val="20"/>
                <w:szCs w:val="20"/>
              </w:rPr>
            </w:pPr>
            <w:r w:rsidRPr="007E4DFC">
              <w:rPr>
                <w:sz w:val="20"/>
                <w:szCs w:val="20"/>
              </w:rPr>
              <w:t>09/07/2024</w:t>
            </w:r>
          </w:p>
        </w:tc>
      </w:tr>
      <w:tr w:rsidR="00D434FF" w:rsidRPr="007E4DFC" w14:paraId="23F8ECFB" w14:textId="77777777">
        <w:trPr>
          <w:trHeight w:val="1094"/>
        </w:trPr>
        <w:tc>
          <w:tcPr>
            <w:tcW w:w="2805" w:type="dxa"/>
            <w:tcBorders>
              <w:left w:val="nil"/>
              <w:right w:val="nil"/>
            </w:tcBorders>
            <w:shd w:val="clear" w:color="auto" w:fill="auto"/>
            <w:tcMar>
              <w:top w:w="100" w:type="dxa"/>
              <w:left w:w="100" w:type="dxa"/>
              <w:bottom w:w="100" w:type="dxa"/>
              <w:right w:w="100" w:type="dxa"/>
            </w:tcMar>
          </w:tcPr>
          <w:p w14:paraId="58FC707B" w14:textId="77777777" w:rsidR="00D434FF" w:rsidRPr="002E6E0F" w:rsidRDefault="005D106E">
            <w:pPr>
              <w:shd w:val="clear" w:color="auto" w:fill="FFFFFF"/>
              <w:spacing w:line="360" w:lineRule="auto"/>
              <w:jc w:val="center"/>
              <w:rPr>
                <w:sz w:val="20"/>
                <w:szCs w:val="20"/>
                <w:lang w:val="en-US"/>
              </w:rPr>
            </w:pPr>
            <w:r w:rsidRPr="002E6E0F">
              <w:rPr>
                <w:i/>
                <w:sz w:val="20"/>
                <w:szCs w:val="20"/>
                <w:lang w:val="en-US"/>
              </w:rPr>
              <w:t>Medical Literature Analysis and Retrieval System Online</w:t>
            </w:r>
            <w:r w:rsidRPr="002E6E0F">
              <w:rPr>
                <w:sz w:val="20"/>
                <w:szCs w:val="20"/>
                <w:lang w:val="en-US"/>
              </w:rPr>
              <w:t xml:space="preserve"> (MEDLINE) / PubMed (via National Library of Medicine)</w:t>
            </w:r>
          </w:p>
        </w:tc>
        <w:tc>
          <w:tcPr>
            <w:tcW w:w="3180" w:type="dxa"/>
            <w:tcBorders>
              <w:left w:val="nil"/>
              <w:right w:val="nil"/>
            </w:tcBorders>
            <w:shd w:val="clear" w:color="auto" w:fill="auto"/>
            <w:tcMar>
              <w:top w:w="100" w:type="dxa"/>
              <w:left w:w="100" w:type="dxa"/>
              <w:bottom w:w="100" w:type="dxa"/>
              <w:right w:w="100" w:type="dxa"/>
            </w:tcMar>
          </w:tcPr>
          <w:p w14:paraId="6773F79F" w14:textId="77777777" w:rsidR="00D434FF" w:rsidRPr="002E6E0F" w:rsidRDefault="005D106E">
            <w:pPr>
              <w:shd w:val="clear" w:color="auto" w:fill="FFFFFF"/>
              <w:spacing w:line="360" w:lineRule="auto"/>
              <w:jc w:val="center"/>
              <w:rPr>
                <w:sz w:val="20"/>
                <w:szCs w:val="20"/>
                <w:lang w:val="en-US"/>
              </w:rPr>
            </w:pPr>
            <w:r w:rsidRPr="002E6E0F">
              <w:rPr>
                <w:sz w:val="20"/>
                <w:szCs w:val="20"/>
                <w:lang w:val="en-US"/>
              </w:rPr>
              <w:t>(‘major depression’ OR depression OR ‘major depressive disorder’) AND ('</w:t>
            </w:r>
            <w:proofErr w:type="spellStart"/>
            <w:r w:rsidRPr="002E6E0F">
              <w:rPr>
                <w:sz w:val="20"/>
                <w:szCs w:val="20"/>
                <w:lang w:val="en-US"/>
              </w:rPr>
              <w:t>psilocybine</w:t>
            </w:r>
            <w:proofErr w:type="spellEnd"/>
            <w:r w:rsidRPr="002E6E0F">
              <w:rPr>
                <w:sz w:val="20"/>
                <w:szCs w:val="20"/>
                <w:lang w:val="en-US"/>
              </w:rPr>
              <w:t>' OR ‘psilocybin’ OR ‘psilocybin-assisted therapy’) Filters: MEDLINE</w:t>
            </w:r>
          </w:p>
        </w:tc>
        <w:tc>
          <w:tcPr>
            <w:tcW w:w="1785" w:type="dxa"/>
            <w:tcBorders>
              <w:left w:val="nil"/>
              <w:right w:val="nil"/>
            </w:tcBorders>
            <w:shd w:val="clear" w:color="auto" w:fill="auto"/>
            <w:tcMar>
              <w:top w:w="100" w:type="dxa"/>
              <w:left w:w="100" w:type="dxa"/>
              <w:bottom w:w="100" w:type="dxa"/>
              <w:right w:w="100" w:type="dxa"/>
            </w:tcMar>
          </w:tcPr>
          <w:p w14:paraId="66EF8E4A" w14:textId="77777777" w:rsidR="00D434FF" w:rsidRPr="002E6E0F" w:rsidRDefault="00D434FF">
            <w:pPr>
              <w:widowControl w:val="0"/>
              <w:spacing w:line="360" w:lineRule="auto"/>
              <w:jc w:val="center"/>
              <w:rPr>
                <w:sz w:val="20"/>
                <w:szCs w:val="20"/>
                <w:lang w:val="en-US"/>
              </w:rPr>
            </w:pPr>
          </w:p>
          <w:p w14:paraId="0F328C92" w14:textId="77777777" w:rsidR="00D434FF" w:rsidRPr="002E6E0F" w:rsidRDefault="00D434FF">
            <w:pPr>
              <w:widowControl w:val="0"/>
              <w:spacing w:line="360" w:lineRule="auto"/>
              <w:jc w:val="center"/>
              <w:rPr>
                <w:sz w:val="20"/>
                <w:szCs w:val="20"/>
                <w:lang w:val="en-US"/>
              </w:rPr>
            </w:pPr>
          </w:p>
          <w:p w14:paraId="21476ECB" w14:textId="77777777" w:rsidR="00D434FF" w:rsidRPr="007E4DFC" w:rsidRDefault="005D106E">
            <w:pPr>
              <w:widowControl w:val="0"/>
              <w:spacing w:line="360" w:lineRule="auto"/>
              <w:jc w:val="center"/>
              <w:rPr>
                <w:sz w:val="20"/>
                <w:szCs w:val="20"/>
              </w:rPr>
            </w:pPr>
            <w:r w:rsidRPr="007E4DFC">
              <w:rPr>
                <w:sz w:val="20"/>
                <w:szCs w:val="20"/>
              </w:rPr>
              <w:t>505</w:t>
            </w:r>
          </w:p>
        </w:tc>
        <w:tc>
          <w:tcPr>
            <w:tcW w:w="1365" w:type="dxa"/>
            <w:tcBorders>
              <w:left w:val="nil"/>
              <w:right w:val="nil"/>
            </w:tcBorders>
            <w:shd w:val="clear" w:color="auto" w:fill="auto"/>
            <w:tcMar>
              <w:top w:w="100" w:type="dxa"/>
              <w:left w:w="100" w:type="dxa"/>
              <w:bottom w:w="100" w:type="dxa"/>
              <w:right w:w="100" w:type="dxa"/>
            </w:tcMar>
          </w:tcPr>
          <w:p w14:paraId="4C722C99" w14:textId="77777777" w:rsidR="00D434FF" w:rsidRPr="007E4DFC" w:rsidRDefault="00D434FF">
            <w:pPr>
              <w:widowControl w:val="0"/>
              <w:spacing w:line="360" w:lineRule="auto"/>
              <w:jc w:val="center"/>
              <w:rPr>
                <w:sz w:val="20"/>
                <w:szCs w:val="20"/>
              </w:rPr>
            </w:pPr>
          </w:p>
          <w:p w14:paraId="5325D507" w14:textId="77777777" w:rsidR="00D434FF" w:rsidRPr="007E4DFC" w:rsidRDefault="00D434FF">
            <w:pPr>
              <w:widowControl w:val="0"/>
              <w:spacing w:line="360" w:lineRule="auto"/>
              <w:jc w:val="center"/>
              <w:rPr>
                <w:sz w:val="20"/>
                <w:szCs w:val="20"/>
              </w:rPr>
            </w:pPr>
          </w:p>
          <w:p w14:paraId="6D6A5983" w14:textId="77777777" w:rsidR="00D434FF" w:rsidRPr="007E4DFC" w:rsidRDefault="005D106E">
            <w:pPr>
              <w:widowControl w:val="0"/>
              <w:spacing w:line="360" w:lineRule="auto"/>
              <w:jc w:val="center"/>
              <w:rPr>
                <w:sz w:val="20"/>
                <w:szCs w:val="20"/>
              </w:rPr>
            </w:pPr>
            <w:r w:rsidRPr="007E4DFC">
              <w:rPr>
                <w:sz w:val="20"/>
                <w:szCs w:val="20"/>
              </w:rPr>
              <w:t>09/07/2024</w:t>
            </w:r>
          </w:p>
        </w:tc>
      </w:tr>
      <w:tr w:rsidR="00D434FF" w:rsidRPr="007E4DFC" w14:paraId="748B132E" w14:textId="77777777">
        <w:trPr>
          <w:trHeight w:val="1619"/>
        </w:trPr>
        <w:tc>
          <w:tcPr>
            <w:tcW w:w="2805" w:type="dxa"/>
            <w:tcBorders>
              <w:left w:val="nil"/>
              <w:right w:val="nil"/>
            </w:tcBorders>
            <w:shd w:val="clear" w:color="auto" w:fill="auto"/>
            <w:tcMar>
              <w:top w:w="100" w:type="dxa"/>
              <w:left w:w="100" w:type="dxa"/>
              <w:bottom w:w="100" w:type="dxa"/>
              <w:right w:w="100" w:type="dxa"/>
            </w:tcMar>
          </w:tcPr>
          <w:p w14:paraId="1FA80C5D" w14:textId="77777777" w:rsidR="00D434FF" w:rsidRPr="002E6E0F" w:rsidRDefault="00D434FF">
            <w:pPr>
              <w:shd w:val="clear" w:color="auto" w:fill="FFFFFF"/>
              <w:spacing w:line="360" w:lineRule="auto"/>
              <w:jc w:val="center"/>
              <w:rPr>
                <w:i/>
                <w:sz w:val="20"/>
                <w:szCs w:val="20"/>
                <w:lang w:val="en-US"/>
              </w:rPr>
            </w:pPr>
          </w:p>
          <w:p w14:paraId="0CEF0196" w14:textId="77777777" w:rsidR="00D434FF" w:rsidRPr="002E6E0F" w:rsidRDefault="005D106E">
            <w:pPr>
              <w:shd w:val="clear" w:color="auto" w:fill="FFFFFF"/>
              <w:spacing w:line="360" w:lineRule="auto"/>
              <w:jc w:val="center"/>
              <w:rPr>
                <w:sz w:val="20"/>
                <w:szCs w:val="20"/>
                <w:lang w:val="en-US"/>
              </w:rPr>
            </w:pPr>
            <w:r w:rsidRPr="002E6E0F">
              <w:rPr>
                <w:i/>
                <w:sz w:val="20"/>
                <w:szCs w:val="20"/>
                <w:lang w:val="en-US"/>
              </w:rPr>
              <w:t>Cochrane Central Register of Controlled Trials</w:t>
            </w:r>
            <w:r w:rsidRPr="002E6E0F">
              <w:rPr>
                <w:sz w:val="20"/>
                <w:szCs w:val="20"/>
                <w:lang w:val="en-US"/>
              </w:rPr>
              <w:t xml:space="preserve"> (CENTRAL)</w:t>
            </w:r>
          </w:p>
        </w:tc>
        <w:tc>
          <w:tcPr>
            <w:tcW w:w="3180" w:type="dxa"/>
            <w:tcBorders>
              <w:left w:val="nil"/>
              <w:right w:val="nil"/>
            </w:tcBorders>
            <w:shd w:val="clear" w:color="auto" w:fill="auto"/>
            <w:tcMar>
              <w:top w:w="100" w:type="dxa"/>
              <w:left w:w="100" w:type="dxa"/>
              <w:bottom w:w="100" w:type="dxa"/>
              <w:right w:w="100" w:type="dxa"/>
            </w:tcMar>
          </w:tcPr>
          <w:p w14:paraId="481C9B01" w14:textId="77777777" w:rsidR="00D434FF" w:rsidRPr="002E6E0F" w:rsidRDefault="005D106E">
            <w:pPr>
              <w:shd w:val="clear" w:color="auto" w:fill="FFFFFF"/>
              <w:spacing w:line="360" w:lineRule="auto"/>
              <w:jc w:val="center"/>
              <w:rPr>
                <w:i/>
                <w:sz w:val="20"/>
                <w:szCs w:val="20"/>
                <w:lang w:val="en-US"/>
              </w:rPr>
            </w:pPr>
            <w:r w:rsidRPr="002E6E0F">
              <w:rPr>
                <w:sz w:val="20"/>
                <w:szCs w:val="20"/>
                <w:lang w:val="en-US"/>
              </w:rPr>
              <w:t>‘</w:t>
            </w:r>
            <w:proofErr w:type="gramStart"/>
            <w:r w:rsidRPr="002E6E0F">
              <w:rPr>
                <w:sz w:val="20"/>
                <w:szCs w:val="20"/>
                <w:lang w:val="en-US"/>
              </w:rPr>
              <w:t>major</w:t>
            </w:r>
            <w:proofErr w:type="gramEnd"/>
            <w:r w:rsidRPr="002E6E0F">
              <w:rPr>
                <w:sz w:val="20"/>
                <w:szCs w:val="20"/>
                <w:lang w:val="en-US"/>
              </w:rPr>
              <w:t xml:space="preserve"> depression’ OR depression OR ‘major depressive disorder’ in Title Abstract Keyword AND </w:t>
            </w:r>
            <w:proofErr w:type="spellStart"/>
            <w:r w:rsidRPr="002E6E0F">
              <w:rPr>
                <w:sz w:val="20"/>
                <w:szCs w:val="20"/>
                <w:lang w:val="en-US"/>
              </w:rPr>
              <w:t>psilocybine</w:t>
            </w:r>
            <w:proofErr w:type="spellEnd"/>
            <w:r w:rsidRPr="002E6E0F">
              <w:rPr>
                <w:sz w:val="20"/>
                <w:szCs w:val="20"/>
                <w:lang w:val="en-US"/>
              </w:rPr>
              <w:t xml:space="preserve"> OR psilocybin OR ‘psilocybin-assisted therapy’ in Title Abstract Keyword</w:t>
            </w:r>
          </w:p>
        </w:tc>
        <w:tc>
          <w:tcPr>
            <w:tcW w:w="1785" w:type="dxa"/>
            <w:tcBorders>
              <w:left w:val="nil"/>
              <w:right w:val="nil"/>
            </w:tcBorders>
            <w:shd w:val="clear" w:color="auto" w:fill="auto"/>
            <w:tcMar>
              <w:top w:w="100" w:type="dxa"/>
              <w:left w:w="100" w:type="dxa"/>
              <w:bottom w:w="100" w:type="dxa"/>
              <w:right w:w="100" w:type="dxa"/>
            </w:tcMar>
          </w:tcPr>
          <w:p w14:paraId="0C734218" w14:textId="77777777" w:rsidR="00D434FF" w:rsidRPr="002E6E0F" w:rsidRDefault="00D434FF">
            <w:pPr>
              <w:widowControl w:val="0"/>
              <w:spacing w:line="360" w:lineRule="auto"/>
              <w:jc w:val="center"/>
              <w:rPr>
                <w:sz w:val="20"/>
                <w:szCs w:val="20"/>
                <w:lang w:val="en-US"/>
              </w:rPr>
            </w:pPr>
          </w:p>
          <w:p w14:paraId="3CBB4632" w14:textId="77777777" w:rsidR="00D434FF" w:rsidRPr="002E6E0F" w:rsidRDefault="00D434FF">
            <w:pPr>
              <w:widowControl w:val="0"/>
              <w:spacing w:line="360" w:lineRule="auto"/>
              <w:jc w:val="center"/>
              <w:rPr>
                <w:sz w:val="20"/>
                <w:szCs w:val="20"/>
                <w:lang w:val="en-US"/>
              </w:rPr>
            </w:pPr>
          </w:p>
          <w:p w14:paraId="7780BDD5" w14:textId="77777777" w:rsidR="00D434FF" w:rsidRPr="007E4DFC" w:rsidRDefault="005D106E">
            <w:pPr>
              <w:widowControl w:val="0"/>
              <w:spacing w:line="360" w:lineRule="auto"/>
              <w:jc w:val="center"/>
              <w:rPr>
                <w:sz w:val="20"/>
                <w:szCs w:val="20"/>
              </w:rPr>
            </w:pPr>
            <w:r w:rsidRPr="007E4DFC">
              <w:rPr>
                <w:sz w:val="20"/>
                <w:szCs w:val="20"/>
              </w:rPr>
              <w:t>180</w:t>
            </w:r>
          </w:p>
        </w:tc>
        <w:tc>
          <w:tcPr>
            <w:tcW w:w="1365" w:type="dxa"/>
            <w:tcBorders>
              <w:left w:val="nil"/>
              <w:right w:val="nil"/>
            </w:tcBorders>
            <w:shd w:val="clear" w:color="auto" w:fill="auto"/>
            <w:tcMar>
              <w:top w:w="100" w:type="dxa"/>
              <w:left w:w="100" w:type="dxa"/>
              <w:bottom w:w="100" w:type="dxa"/>
              <w:right w:w="100" w:type="dxa"/>
            </w:tcMar>
          </w:tcPr>
          <w:p w14:paraId="20FF9422" w14:textId="77777777" w:rsidR="00D434FF" w:rsidRPr="007E4DFC" w:rsidRDefault="00D434FF">
            <w:pPr>
              <w:widowControl w:val="0"/>
              <w:spacing w:line="360" w:lineRule="auto"/>
              <w:jc w:val="center"/>
              <w:rPr>
                <w:sz w:val="20"/>
                <w:szCs w:val="20"/>
              </w:rPr>
            </w:pPr>
          </w:p>
          <w:p w14:paraId="07E2AAA8" w14:textId="77777777" w:rsidR="00D434FF" w:rsidRPr="007E4DFC" w:rsidRDefault="00D434FF">
            <w:pPr>
              <w:widowControl w:val="0"/>
              <w:spacing w:line="360" w:lineRule="auto"/>
              <w:jc w:val="center"/>
              <w:rPr>
                <w:sz w:val="20"/>
                <w:szCs w:val="20"/>
              </w:rPr>
            </w:pPr>
          </w:p>
          <w:p w14:paraId="1DB99B64" w14:textId="77777777" w:rsidR="00D434FF" w:rsidRPr="007E4DFC" w:rsidRDefault="005D106E">
            <w:pPr>
              <w:widowControl w:val="0"/>
              <w:spacing w:line="360" w:lineRule="auto"/>
              <w:jc w:val="center"/>
              <w:rPr>
                <w:sz w:val="20"/>
                <w:szCs w:val="20"/>
              </w:rPr>
            </w:pPr>
            <w:r w:rsidRPr="007E4DFC">
              <w:rPr>
                <w:sz w:val="20"/>
                <w:szCs w:val="20"/>
              </w:rPr>
              <w:t>09/07/2024</w:t>
            </w:r>
          </w:p>
        </w:tc>
      </w:tr>
    </w:tbl>
    <w:p w14:paraId="166BD356" w14:textId="77777777" w:rsidR="00D434FF" w:rsidRPr="007E4DFC" w:rsidRDefault="00D434FF">
      <w:pPr>
        <w:widowControl w:val="0"/>
        <w:shd w:val="clear" w:color="auto" w:fill="FFFFFF"/>
        <w:tabs>
          <w:tab w:val="right" w:leader="dot" w:pos="12000"/>
        </w:tabs>
        <w:spacing w:after="180" w:line="360" w:lineRule="auto"/>
        <w:jc w:val="both"/>
        <w:rPr>
          <w:b/>
          <w:sz w:val="20"/>
          <w:szCs w:val="20"/>
        </w:rPr>
      </w:pPr>
    </w:p>
    <w:p w14:paraId="41973507" w14:textId="77777777" w:rsidR="00D434FF" w:rsidRPr="007E4DFC" w:rsidRDefault="005D106E">
      <w:pPr>
        <w:widowControl w:val="0"/>
        <w:shd w:val="clear" w:color="auto" w:fill="FFFFFF"/>
        <w:tabs>
          <w:tab w:val="right" w:leader="dot" w:pos="12000"/>
        </w:tabs>
        <w:spacing w:after="180" w:line="360" w:lineRule="auto"/>
        <w:ind w:firstLine="708"/>
        <w:jc w:val="both"/>
      </w:pPr>
      <w:r w:rsidRPr="007E4DFC">
        <w:t xml:space="preserve">Dois domínios independentes com descritores em inglês foram criados e, a partir da combinação destes com os operadores booleanos </w:t>
      </w:r>
      <w:r w:rsidRPr="007E4DFC">
        <w:rPr>
          <w:i/>
        </w:rPr>
        <w:t>AND</w:t>
      </w:r>
      <w:r w:rsidRPr="007E4DFC">
        <w:t xml:space="preserve"> e </w:t>
      </w:r>
      <w:r w:rsidRPr="007E4DFC">
        <w:rPr>
          <w:i/>
        </w:rPr>
        <w:t>OR</w:t>
      </w:r>
      <w:r w:rsidRPr="007E4DFC">
        <w:t>, resultou-se em um domínio geral que guiou a busca.</w:t>
      </w:r>
    </w:p>
    <w:p w14:paraId="60DA1C84" w14:textId="77777777" w:rsidR="00D434FF" w:rsidRPr="007E4DFC" w:rsidRDefault="005D106E">
      <w:pPr>
        <w:widowControl w:val="0"/>
        <w:shd w:val="clear" w:color="auto" w:fill="FFFFFF"/>
        <w:tabs>
          <w:tab w:val="right" w:leader="dot" w:pos="12000"/>
        </w:tabs>
        <w:spacing w:line="360" w:lineRule="auto"/>
        <w:rPr>
          <w:b/>
        </w:rPr>
      </w:pPr>
      <w:r w:rsidRPr="007E4DFC">
        <w:rPr>
          <w:b/>
        </w:rPr>
        <w:t xml:space="preserve">Tabela 3 </w:t>
      </w:r>
    </w:p>
    <w:p w14:paraId="2A84DF07" w14:textId="77777777" w:rsidR="00D434FF" w:rsidRPr="007E4DFC" w:rsidRDefault="005D106E">
      <w:pPr>
        <w:widowControl w:val="0"/>
        <w:shd w:val="clear" w:color="auto" w:fill="FFFFFF"/>
        <w:tabs>
          <w:tab w:val="right" w:leader="dot" w:pos="12000"/>
        </w:tabs>
        <w:spacing w:line="360" w:lineRule="auto"/>
        <w:rPr>
          <w:i/>
        </w:rPr>
      </w:pPr>
      <w:r w:rsidRPr="007E4DFC">
        <w:rPr>
          <w:i/>
        </w:rPr>
        <w:t xml:space="preserve">Domínios de busca </w:t>
      </w:r>
    </w:p>
    <w:tbl>
      <w:tblPr>
        <w:tblStyle w:val="a1"/>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D434FF" w:rsidRPr="008C3A18" w14:paraId="046CE735" w14:textId="77777777">
        <w:trPr>
          <w:trHeight w:val="689"/>
        </w:trPr>
        <w:tc>
          <w:tcPr>
            <w:tcW w:w="9072" w:type="dxa"/>
            <w:tcBorders>
              <w:left w:val="nil"/>
              <w:right w:val="nil"/>
            </w:tcBorders>
            <w:shd w:val="clear" w:color="auto" w:fill="auto"/>
            <w:tcMar>
              <w:top w:w="100" w:type="dxa"/>
              <w:left w:w="100" w:type="dxa"/>
              <w:bottom w:w="100" w:type="dxa"/>
              <w:right w:w="100" w:type="dxa"/>
            </w:tcMar>
          </w:tcPr>
          <w:p w14:paraId="466CD8AC" w14:textId="77777777" w:rsidR="00D434FF" w:rsidRPr="008C3A18" w:rsidRDefault="005D106E">
            <w:pPr>
              <w:widowControl w:val="0"/>
              <w:spacing w:line="360" w:lineRule="auto"/>
              <w:jc w:val="center"/>
              <w:rPr>
                <w:b/>
                <w:sz w:val="20"/>
                <w:szCs w:val="20"/>
                <w:lang w:val="en-US"/>
              </w:rPr>
            </w:pPr>
            <w:proofErr w:type="spellStart"/>
            <w:r w:rsidRPr="008C3A18">
              <w:rPr>
                <w:b/>
                <w:sz w:val="20"/>
                <w:szCs w:val="20"/>
                <w:lang w:val="en-US"/>
              </w:rPr>
              <w:t>Domínio</w:t>
            </w:r>
            <w:proofErr w:type="spellEnd"/>
            <w:r w:rsidRPr="008C3A18">
              <w:rPr>
                <w:b/>
                <w:sz w:val="20"/>
                <w:szCs w:val="20"/>
                <w:lang w:val="en-US"/>
              </w:rPr>
              <w:t xml:space="preserve"> 1 </w:t>
            </w:r>
          </w:p>
          <w:p w14:paraId="58C1231D" w14:textId="0241174B" w:rsidR="00D434FF" w:rsidRPr="002E6E0F" w:rsidRDefault="005D106E">
            <w:pPr>
              <w:shd w:val="clear" w:color="auto" w:fill="FFFFFF"/>
              <w:spacing w:line="360" w:lineRule="auto"/>
              <w:jc w:val="center"/>
              <w:rPr>
                <w:sz w:val="20"/>
                <w:szCs w:val="20"/>
                <w:lang w:val="en-US"/>
              </w:rPr>
            </w:pPr>
            <w:r w:rsidRPr="002E6E0F">
              <w:rPr>
                <w:sz w:val="20"/>
                <w:szCs w:val="20"/>
                <w:lang w:val="en-US"/>
              </w:rPr>
              <w:t>"</w:t>
            </w:r>
            <w:proofErr w:type="gramStart"/>
            <w:r w:rsidRPr="002E6E0F">
              <w:rPr>
                <w:i/>
                <w:sz w:val="20"/>
                <w:szCs w:val="20"/>
                <w:lang w:val="en-US"/>
              </w:rPr>
              <w:t>major</w:t>
            </w:r>
            <w:proofErr w:type="gramEnd"/>
            <w:r w:rsidRPr="002E6E0F">
              <w:rPr>
                <w:i/>
                <w:sz w:val="20"/>
                <w:szCs w:val="20"/>
                <w:lang w:val="en-US"/>
              </w:rPr>
              <w:t xml:space="preserve"> depression</w:t>
            </w:r>
            <w:r w:rsidRPr="002E6E0F">
              <w:rPr>
                <w:sz w:val="20"/>
                <w:szCs w:val="20"/>
                <w:lang w:val="en-US"/>
              </w:rPr>
              <w:t xml:space="preserve">" </w:t>
            </w:r>
            <w:proofErr w:type="gramStart"/>
            <w:r w:rsidRPr="002E6E0F">
              <w:rPr>
                <w:sz w:val="20"/>
                <w:szCs w:val="20"/>
                <w:lang w:val="en-US"/>
              </w:rPr>
              <w:t xml:space="preserve">OR  </w:t>
            </w:r>
            <w:r w:rsidRPr="002E6E0F">
              <w:rPr>
                <w:i/>
                <w:sz w:val="20"/>
                <w:szCs w:val="20"/>
                <w:lang w:val="en-US"/>
              </w:rPr>
              <w:t>depression</w:t>
            </w:r>
            <w:proofErr w:type="gramEnd"/>
            <w:r w:rsidRPr="002E6E0F">
              <w:rPr>
                <w:sz w:val="20"/>
                <w:szCs w:val="20"/>
                <w:lang w:val="en-US"/>
              </w:rPr>
              <w:t xml:space="preserve">  </w:t>
            </w:r>
            <w:proofErr w:type="gramStart"/>
            <w:r w:rsidRPr="002E6E0F">
              <w:rPr>
                <w:sz w:val="20"/>
                <w:szCs w:val="20"/>
                <w:lang w:val="en-US"/>
              </w:rPr>
              <w:t>OR  "</w:t>
            </w:r>
            <w:proofErr w:type="gramEnd"/>
            <w:r w:rsidRPr="002E6E0F">
              <w:rPr>
                <w:i/>
                <w:sz w:val="20"/>
                <w:szCs w:val="20"/>
                <w:lang w:val="en-US"/>
              </w:rPr>
              <w:t>major depressive disorder</w:t>
            </w:r>
            <w:r w:rsidRPr="002E6E0F">
              <w:rPr>
                <w:sz w:val="20"/>
                <w:szCs w:val="20"/>
                <w:lang w:val="en-US"/>
              </w:rPr>
              <w:t xml:space="preserve">" </w:t>
            </w:r>
          </w:p>
        </w:tc>
      </w:tr>
      <w:tr w:rsidR="00D434FF" w:rsidRPr="00031D66" w14:paraId="7D1BB497" w14:textId="77777777">
        <w:tc>
          <w:tcPr>
            <w:tcW w:w="9072" w:type="dxa"/>
            <w:tcBorders>
              <w:left w:val="nil"/>
              <w:right w:val="nil"/>
            </w:tcBorders>
            <w:shd w:val="clear" w:color="auto" w:fill="auto"/>
            <w:tcMar>
              <w:top w:w="100" w:type="dxa"/>
              <w:left w:w="100" w:type="dxa"/>
              <w:bottom w:w="100" w:type="dxa"/>
              <w:right w:w="100" w:type="dxa"/>
            </w:tcMar>
          </w:tcPr>
          <w:p w14:paraId="60EE7D4C" w14:textId="77777777" w:rsidR="00D434FF" w:rsidRPr="008C3A18" w:rsidRDefault="005D106E">
            <w:pPr>
              <w:widowControl w:val="0"/>
              <w:spacing w:line="360" w:lineRule="auto"/>
              <w:jc w:val="center"/>
              <w:rPr>
                <w:b/>
                <w:sz w:val="20"/>
                <w:szCs w:val="20"/>
                <w:lang w:val="en-US"/>
              </w:rPr>
            </w:pPr>
            <w:proofErr w:type="spellStart"/>
            <w:r w:rsidRPr="008C3A18">
              <w:rPr>
                <w:b/>
                <w:sz w:val="20"/>
                <w:szCs w:val="20"/>
                <w:lang w:val="en-US"/>
              </w:rPr>
              <w:t>Domínio</w:t>
            </w:r>
            <w:proofErr w:type="spellEnd"/>
            <w:r w:rsidRPr="008C3A18">
              <w:rPr>
                <w:b/>
                <w:sz w:val="20"/>
                <w:szCs w:val="20"/>
                <w:lang w:val="en-US"/>
              </w:rPr>
              <w:t xml:space="preserve"> 2</w:t>
            </w:r>
          </w:p>
          <w:p w14:paraId="3849AA6C" w14:textId="16274A60" w:rsidR="00D434FF" w:rsidRPr="002E6E0F" w:rsidRDefault="005D106E">
            <w:pPr>
              <w:widowControl w:val="0"/>
              <w:spacing w:line="360" w:lineRule="auto"/>
              <w:jc w:val="center"/>
              <w:rPr>
                <w:sz w:val="20"/>
                <w:szCs w:val="20"/>
                <w:lang w:val="en-US"/>
              </w:rPr>
            </w:pPr>
            <w:proofErr w:type="spellStart"/>
            <w:r w:rsidRPr="002E6E0F">
              <w:rPr>
                <w:i/>
                <w:sz w:val="20"/>
                <w:szCs w:val="20"/>
                <w:lang w:val="en-US"/>
              </w:rPr>
              <w:t>psilocybine</w:t>
            </w:r>
            <w:proofErr w:type="spellEnd"/>
            <w:r w:rsidRPr="002E6E0F">
              <w:rPr>
                <w:i/>
                <w:sz w:val="20"/>
                <w:szCs w:val="20"/>
                <w:lang w:val="en-US"/>
              </w:rPr>
              <w:t>*</w:t>
            </w:r>
            <w:r w:rsidRPr="002E6E0F">
              <w:rPr>
                <w:sz w:val="20"/>
                <w:szCs w:val="20"/>
                <w:lang w:val="en-US"/>
              </w:rPr>
              <w:t xml:space="preserve"> </w:t>
            </w:r>
            <w:proofErr w:type="gramStart"/>
            <w:r w:rsidRPr="002E6E0F">
              <w:rPr>
                <w:sz w:val="20"/>
                <w:szCs w:val="20"/>
                <w:lang w:val="en-US"/>
              </w:rPr>
              <w:t xml:space="preserve">OR  </w:t>
            </w:r>
            <w:r w:rsidRPr="002E6E0F">
              <w:rPr>
                <w:i/>
                <w:sz w:val="20"/>
                <w:szCs w:val="20"/>
                <w:lang w:val="en-US"/>
              </w:rPr>
              <w:t>psilocybin</w:t>
            </w:r>
            <w:proofErr w:type="gramEnd"/>
            <w:r w:rsidRPr="002E6E0F">
              <w:rPr>
                <w:sz w:val="20"/>
                <w:szCs w:val="20"/>
                <w:lang w:val="en-US"/>
              </w:rPr>
              <w:t xml:space="preserve">  </w:t>
            </w:r>
            <w:proofErr w:type="gramStart"/>
            <w:r w:rsidRPr="002E6E0F">
              <w:rPr>
                <w:sz w:val="20"/>
                <w:szCs w:val="20"/>
                <w:lang w:val="en-US"/>
              </w:rPr>
              <w:t>OR  "</w:t>
            </w:r>
            <w:proofErr w:type="gramEnd"/>
            <w:r w:rsidRPr="002E6E0F">
              <w:rPr>
                <w:i/>
                <w:sz w:val="20"/>
                <w:szCs w:val="20"/>
                <w:lang w:val="en-US"/>
              </w:rPr>
              <w:t>psilocybin-assisted therapy</w:t>
            </w:r>
            <w:r w:rsidRPr="002E6E0F">
              <w:rPr>
                <w:sz w:val="20"/>
                <w:szCs w:val="20"/>
                <w:lang w:val="en-US"/>
              </w:rPr>
              <w:t>"</w:t>
            </w:r>
          </w:p>
        </w:tc>
      </w:tr>
      <w:tr w:rsidR="00D434FF" w:rsidRPr="008C3A18" w14:paraId="659FCDE1" w14:textId="77777777">
        <w:tc>
          <w:tcPr>
            <w:tcW w:w="9072" w:type="dxa"/>
            <w:tcBorders>
              <w:left w:val="nil"/>
              <w:right w:val="nil"/>
            </w:tcBorders>
            <w:shd w:val="clear" w:color="auto" w:fill="auto"/>
            <w:tcMar>
              <w:top w:w="100" w:type="dxa"/>
              <w:left w:w="100" w:type="dxa"/>
              <w:bottom w:w="100" w:type="dxa"/>
              <w:right w:w="100" w:type="dxa"/>
            </w:tcMar>
          </w:tcPr>
          <w:p w14:paraId="2AEC1060" w14:textId="77777777" w:rsidR="00D434FF" w:rsidRPr="008C3A18" w:rsidRDefault="005D106E">
            <w:pPr>
              <w:widowControl w:val="0"/>
              <w:spacing w:line="360" w:lineRule="auto"/>
              <w:jc w:val="center"/>
              <w:rPr>
                <w:b/>
                <w:sz w:val="20"/>
                <w:szCs w:val="20"/>
                <w:lang w:val="en-US"/>
              </w:rPr>
            </w:pPr>
            <w:proofErr w:type="spellStart"/>
            <w:r w:rsidRPr="008C3A18">
              <w:rPr>
                <w:b/>
                <w:sz w:val="20"/>
                <w:szCs w:val="20"/>
                <w:lang w:val="en-US"/>
              </w:rPr>
              <w:t>Domínio</w:t>
            </w:r>
            <w:proofErr w:type="spellEnd"/>
            <w:r w:rsidRPr="008C3A18">
              <w:rPr>
                <w:b/>
                <w:sz w:val="20"/>
                <w:szCs w:val="20"/>
                <w:lang w:val="en-US"/>
              </w:rPr>
              <w:t xml:space="preserve"> </w:t>
            </w:r>
            <w:proofErr w:type="spellStart"/>
            <w:r w:rsidRPr="008C3A18">
              <w:rPr>
                <w:b/>
                <w:sz w:val="20"/>
                <w:szCs w:val="20"/>
                <w:lang w:val="en-US"/>
              </w:rPr>
              <w:t>geral</w:t>
            </w:r>
            <w:proofErr w:type="spellEnd"/>
            <w:r w:rsidRPr="008C3A18">
              <w:rPr>
                <w:b/>
                <w:sz w:val="20"/>
                <w:szCs w:val="20"/>
                <w:lang w:val="en-US"/>
              </w:rPr>
              <w:t xml:space="preserve"> </w:t>
            </w:r>
          </w:p>
          <w:p w14:paraId="3D3CEEBE" w14:textId="7C5D0C35" w:rsidR="00D434FF" w:rsidRPr="002E6E0F" w:rsidRDefault="005D106E">
            <w:pPr>
              <w:widowControl w:val="0"/>
              <w:shd w:val="clear" w:color="auto" w:fill="FFFFFF"/>
              <w:spacing w:line="360" w:lineRule="auto"/>
              <w:jc w:val="center"/>
              <w:rPr>
                <w:sz w:val="20"/>
                <w:szCs w:val="20"/>
                <w:lang w:val="en-US"/>
              </w:rPr>
            </w:pPr>
            <w:r w:rsidRPr="002E6E0F">
              <w:rPr>
                <w:sz w:val="20"/>
                <w:szCs w:val="20"/>
                <w:lang w:val="en-US"/>
              </w:rPr>
              <w:t>("</w:t>
            </w:r>
            <w:r w:rsidRPr="002E6E0F">
              <w:rPr>
                <w:i/>
                <w:sz w:val="20"/>
                <w:szCs w:val="20"/>
                <w:lang w:val="en-US"/>
              </w:rPr>
              <w:t>major depression</w:t>
            </w:r>
            <w:r w:rsidRPr="002E6E0F">
              <w:rPr>
                <w:sz w:val="20"/>
                <w:szCs w:val="20"/>
                <w:lang w:val="en-US"/>
              </w:rPr>
              <w:t xml:space="preserve">" </w:t>
            </w:r>
            <w:proofErr w:type="gramStart"/>
            <w:r w:rsidRPr="002E6E0F">
              <w:rPr>
                <w:sz w:val="20"/>
                <w:szCs w:val="20"/>
                <w:lang w:val="en-US"/>
              </w:rPr>
              <w:t xml:space="preserve">OR  </w:t>
            </w:r>
            <w:r w:rsidRPr="002E6E0F">
              <w:rPr>
                <w:i/>
                <w:sz w:val="20"/>
                <w:szCs w:val="20"/>
                <w:lang w:val="en-US"/>
              </w:rPr>
              <w:t>depression</w:t>
            </w:r>
            <w:proofErr w:type="gramEnd"/>
            <w:r w:rsidRPr="002E6E0F">
              <w:rPr>
                <w:sz w:val="20"/>
                <w:szCs w:val="20"/>
                <w:lang w:val="en-US"/>
              </w:rPr>
              <w:t xml:space="preserve">  </w:t>
            </w:r>
            <w:proofErr w:type="gramStart"/>
            <w:r w:rsidRPr="002E6E0F">
              <w:rPr>
                <w:sz w:val="20"/>
                <w:szCs w:val="20"/>
                <w:lang w:val="en-US"/>
              </w:rPr>
              <w:t>OR  "</w:t>
            </w:r>
            <w:proofErr w:type="gramEnd"/>
            <w:r w:rsidRPr="002E6E0F">
              <w:rPr>
                <w:i/>
                <w:sz w:val="20"/>
                <w:szCs w:val="20"/>
                <w:lang w:val="en-US"/>
              </w:rPr>
              <w:t>major depressive disorder</w:t>
            </w:r>
            <w:r w:rsidRPr="002E6E0F">
              <w:rPr>
                <w:sz w:val="20"/>
                <w:szCs w:val="20"/>
                <w:lang w:val="en-US"/>
              </w:rPr>
              <w:t>") AND (</w:t>
            </w:r>
            <w:proofErr w:type="spellStart"/>
            <w:proofErr w:type="gramStart"/>
            <w:r w:rsidRPr="002E6E0F">
              <w:rPr>
                <w:i/>
                <w:sz w:val="20"/>
                <w:szCs w:val="20"/>
                <w:lang w:val="en-US"/>
              </w:rPr>
              <w:t>psilocybine</w:t>
            </w:r>
            <w:proofErr w:type="spellEnd"/>
            <w:r w:rsidRPr="002E6E0F">
              <w:rPr>
                <w:sz w:val="20"/>
                <w:szCs w:val="20"/>
                <w:lang w:val="en-US"/>
              </w:rPr>
              <w:t xml:space="preserve">  OR</w:t>
            </w:r>
            <w:proofErr w:type="gramEnd"/>
            <w:r w:rsidRPr="002E6E0F">
              <w:rPr>
                <w:sz w:val="20"/>
                <w:szCs w:val="20"/>
                <w:lang w:val="en-US"/>
              </w:rPr>
              <w:t xml:space="preserve">  </w:t>
            </w:r>
            <w:proofErr w:type="gramStart"/>
            <w:r w:rsidRPr="002E6E0F">
              <w:rPr>
                <w:i/>
                <w:sz w:val="20"/>
                <w:szCs w:val="20"/>
                <w:lang w:val="en-US"/>
              </w:rPr>
              <w:t>psilocybin</w:t>
            </w:r>
            <w:r w:rsidRPr="002E6E0F">
              <w:rPr>
                <w:sz w:val="20"/>
                <w:szCs w:val="20"/>
                <w:lang w:val="en-US"/>
              </w:rPr>
              <w:t xml:space="preserve">  OR</w:t>
            </w:r>
            <w:proofErr w:type="gramEnd"/>
            <w:r w:rsidRPr="002E6E0F">
              <w:rPr>
                <w:sz w:val="20"/>
                <w:szCs w:val="20"/>
                <w:lang w:val="en-US"/>
              </w:rPr>
              <w:t xml:space="preserve">  "</w:t>
            </w:r>
            <w:r w:rsidRPr="002E6E0F">
              <w:rPr>
                <w:i/>
                <w:sz w:val="20"/>
                <w:szCs w:val="20"/>
                <w:lang w:val="en-US"/>
              </w:rPr>
              <w:t>psilocybin-assisted therapy</w:t>
            </w:r>
            <w:r w:rsidRPr="002E6E0F">
              <w:rPr>
                <w:sz w:val="20"/>
                <w:szCs w:val="20"/>
                <w:lang w:val="en-US"/>
              </w:rPr>
              <w:t>")</w:t>
            </w:r>
          </w:p>
        </w:tc>
      </w:tr>
    </w:tbl>
    <w:p w14:paraId="3EAA2F4B" w14:textId="77777777" w:rsidR="00D434FF" w:rsidRPr="007E4DFC" w:rsidRDefault="005D106E">
      <w:pPr>
        <w:shd w:val="clear" w:color="auto" w:fill="FFFFFF"/>
        <w:jc w:val="both"/>
        <w:rPr>
          <w:sz w:val="20"/>
          <w:szCs w:val="20"/>
        </w:rPr>
      </w:pPr>
      <w:r w:rsidRPr="007E4DFC">
        <w:rPr>
          <w:sz w:val="20"/>
          <w:szCs w:val="20"/>
        </w:rPr>
        <w:t>*Os domínios foram adaptados de acordo com as normas de cada base pesquisada.</w:t>
      </w:r>
    </w:p>
    <w:p w14:paraId="21E52212" w14:textId="77777777" w:rsidR="00D434FF" w:rsidRPr="007E4DFC" w:rsidRDefault="00D434FF">
      <w:pPr>
        <w:shd w:val="clear" w:color="auto" w:fill="FFFFFF"/>
        <w:jc w:val="both"/>
        <w:rPr>
          <w:sz w:val="20"/>
          <w:szCs w:val="20"/>
        </w:rPr>
      </w:pPr>
    </w:p>
    <w:p w14:paraId="6E58CD80" w14:textId="77777777" w:rsidR="00D434FF" w:rsidRPr="007E4DFC" w:rsidRDefault="00D434FF">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4" w:name="_2scsrh1f0z30" w:colFirst="0" w:colLast="0"/>
      <w:bookmarkEnd w:id="4"/>
    </w:p>
    <w:p w14:paraId="5FD093D8" w14:textId="77777777" w:rsidR="00D434FF" w:rsidRPr="007E4DFC" w:rsidRDefault="00D434FF">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5" w:name="_8ujm87pl4vzo" w:colFirst="0" w:colLast="0"/>
      <w:bookmarkEnd w:id="5"/>
    </w:p>
    <w:p w14:paraId="5FC4B87B" w14:textId="77777777" w:rsidR="00D434FF" w:rsidRPr="007E4DFC" w:rsidRDefault="00D434FF">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6" w:name="_l4scxqn3dq2w" w:colFirst="0" w:colLast="0"/>
      <w:bookmarkEnd w:id="6"/>
    </w:p>
    <w:p w14:paraId="18E63FEC" w14:textId="77777777" w:rsidR="00D434FF" w:rsidRPr="007E4DFC" w:rsidRDefault="005D106E">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color w:val="000000"/>
          <w:sz w:val="24"/>
          <w:szCs w:val="24"/>
        </w:rPr>
      </w:pPr>
      <w:bookmarkStart w:id="7" w:name="_me8mg34k47ts" w:colFirst="0" w:colLast="0"/>
      <w:bookmarkEnd w:id="7"/>
      <w:r w:rsidRPr="007E4DFC">
        <w:rPr>
          <w:rFonts w:ascii="Times New Roman" w:eastAsia="Times New Roman" w:hAnsi="Times New Roman" w:cs="Times New Roman"/>
          <w:b/>
          <w:i/>
          <w:color w:val="000000"/>
          <w:sz w:val="24"/>
          <w:szCs w:val="24"/>
        </w:rPr>
        <w:t>Seleção de estudos</w:t>
      </w:r>
      <w:r w:rsidRPr="007E4DFC">
        <w:rPr>
          <w:rFonts w:ascii="Times New Roman" w:eastAsia="Times New Roman" w:hAnsi="Times New Roman" w:cs="Times New Roman"/>
          <w:color w:val="000000"/>
          <w:sz w:val="24"/>
          <w:szCs w:val="24"/>
        </w:rPr>
        <w:t xml:space="preserve"> </w:t>
      </w:r>
    </w:p>
    <w:p w14:paraId="542EF02A" w14:textId="77777777" w:rsidR="00D434FF" w:rsidRPr="007E4DFC" w:rsidRDefault="005D106E">
      <w:pPr>
        <w:shd w:val="clear" w:color="auto" w:fill="FFFFFF"/>
        <w:tabs>
          <w:tab w:val="right" w:leader="dot" w:pos="12000"/>
        </w:tabs>
        <w:spacing w:after="180" w:line="360" w:lineRule="auto"/>
        <w:ind w:firstLine="708"/>
        <w:jc w:val="both"/>
      </w:pPr>
      <w:r w:rsidRPr="007E4DFC">
        <w:t xml:space="preserve">Com os resultados exportados para o </w:t>
      </w:r>
      <w:proofErr w:type="spellStart"/>
      <w:r w:rsidRPr="007E4DFC">
        <w:rPr>
          <w:i/>
        </w:rPr>
        <w:t>Rayyan</w:t>
      </w:r>
      <w:proofErr w:type="spellEnd"/>
      <w:r w:rsidRPr="007E4DFC">
        <w:rPr>
          <w:i/>
        </w:rPr>
        <w:t>,</w:t>
      </w:r>
      <w:r w:rsidRPr="007E4DFC">
        <w:t xml:space="preserve"> houve a identificação de artigos duplicados (n = 1482) e, manualmente, excluídos. Após a exclusão, os artigos foram selecionados conforme o título e o resumo, de forma independente, por cada um dos autores. Durante a triagem, o modo </w:t>
      </w:r>
      <w:r w:rsidRPr="007E4DFC">
        <w:rPr>
          <w:i/>
        </w:rPr>
        <w:t xml:space="preserve">Blind </w:t>
      </w:r>
      <w:proofErr w:type="spellStart"/>
      <w:r w:rsidRPr="007E4DFC">
        <w:rPr>
          <w:i/>
        </w:rPr>
        <w:t>on</w:t>
      </w:r>
      <w:proofErr w:type="spellEnd"/>
      <w:r w:rsidRPr="007E4DFC">
        <w:t xml:space="preserve">, oferecido pelo </w:t>
      </w:r>
      <w:r w:rsidRPr="007E4DFC">
        <w:rPr>
          <w:i/>
        </w:rPr>
        <w:t>software</w:t>
      </w:r>
      <w:r w:rsidRPr="007E4DFC">
        <w:t xml:space="preserve">, que permite ambos os autores realizarem suas escolhas de forma autônoma, diminuindo um risco de viés da pesquisa, estava ativado. Posteriormente, um terceiro autor foi responsável pela resolução dos conflitos. Após a exclusão dos artigos com título/resumo não condizentes (n = 1406), os estudos que passaram pelo crivo do terceiro autor foram incluídos na presente revisão e avaliados para a elegibilidade (n = 10). Para a avaliação da qualidade metodológica dos estudos selecionados, também houve a análise do risco de viés presente nestes, a Escala </w:t>
      </w:r>
      <w:proofErr w:type="spellStart"/>
      <w:r w:rsidRPr="007E4DFC">
        <w:t>PEDro</w:t>
      </w:r>
      <w:proofErr w:type="spellEnd"/>
      <w:r w:rsidRPr="007E4DFC">
        <w:t xml:space="preserve"> foi utilizada. </w:t>
      </w:r>
    </w:p>
    <w:p w14:paraId="27C05446" w14:textId="77777777" w:rsidR="00D434FF" w:rsidRPr="007E4DFC" w:rsidRDefault="005D106E">
      <w:pPr>
        <w:shd w:val="clear" w:color="auto" w:fill="FFFFFF"/>
        <w:tabs>
          <w:tab w:val="right" w:leader="dot" w:pos="12000"/>
        </w:tabs>
        <w:spacing w:line="360" w:lineRule="auto"/>
        <w:ind w:firstLine="708"/>
        <w:jc w:val="both"/>
      </w:pPr>
      <w:r w:rsidRPr="007E4DFC">
        <w:t xml:space="preserve">A Escala </w:t>
      </w:r>
      <w:proofErr w:type="spellStart"/>
      <w:r w:rsidRPr="007E4DFC">
        <w:t>PEDro</w:t>
      </w:r>
      <w:proofErr w:type="spellEnd"/>
      <w:r w:rsidRPr="007E4DFC">
        <w:t xml:space="preserve"> é dividida em 11 itens, sendo estes: 1) especificação dos critérios de elegibilidade - Validade externa; 2) randomização, 3) distribuição cega, 4) semelhança entre os grupos, 5) sujeitos de forma cega, 6) terapeutas de forma cega, 7) avaliação de forma cega, 8) resultados-chave obtidos em mais de 85% dos sujeitos iniciais (destaca-se, aqui, uma perda de, pelo menos, 15% do número total da amostra) e 9) intenção de tratamento - Análise de risco de viés; 10) comparação estatística intergrupos e 11) medidas de precisão (ex.: desvios-padrão, erros-padrão etc.) - Descrição estatística (</w:t>
      </w:r>
      <w:proofErr w:type="spellStart"/>
      <w:r w:rsidRPr="007E4DFC">
        <w:t>Shiwa</w:t>
      </w:r>
      <w:proofErr w:type="spellEnd"/>
      <w:r w:rsidRPr="007E4DFC">
        <w:t xml:space="preserve"> </w:t>
      </w:r>
      <w:r w:rsidRPr="007E4DFC">
        <w:rPr>
          <w:i/>
        </w:rPr>
        <w:t>et al</w:t>
      </w:r>
      <w:r w:rsidRPr="007E4DFC">
        <w:t xml:space="preserve">., 2011). É válido ressaltar que apenas estudos com escores acima de cinco pontos foram elegíveis e o item 1 não faz parte da pontuação, pois este refere-se à validade externa do estudo. </w:t>
      </w:r>
    </w:p>
    <w:p w14:paraId="186DD32E" w14:textId="77777777" w:rsidR="00D434FF" w:rsidRPr="007E4DFC" w:rsidRDefault="00D434FF">
      <w:pPr>
        <w:pBdr>
          <w:top w:val="nil"/>
          <w:left w:val="nil"/>
          <w:bottom w:val="nil"/>
          <w:right w:val="nil"/>
          <w:between w:val="nil"/>
        </w:pBdr>
        <w:jc w:val="center"/>
        <w:rPr>
          <w:b/>
        </w:rPr>
      </w:pPr>
    </w:p>
    <w:p w14:paraId="484B45B5" w14:textId="77777777" w:rsidR="00D434FF" w:rsidRPr="007E4DFC" w:rsidRDefault="00D434FF">
      <w:pPr>
        <w:pBdr>
          <w:top w:val="nil"/>
          <w:left w:val="nil"/>
          <w:bottom w:val="nil"/>
          <w:right w:val="nil"/>
          <w:between w:val="nil"/>
        </w:pBdr>
        <w:jc w:val="center"/>
        <w:rPr>
          <w:b/>
        </w:rPr>
      </w:pPr>
    </w:p>
    <w:p w14:paraId="0ABDFADD" w14:textId="77777777" w:rsidR="00D434FF" w:rsidRPr="007E4DFC" w:rsidRDefault="00D434FF">
      <w:pPr>
        <w:pBdr>
          <w:top w:val="nil"/>
          <w:left w:val="nil"/>
          <w:bottom w:val="nil"/>
          <w:right w:val="nil"/>
          <w:between w:val="nil"/>
        </w:pBdr>
        <w:jc w:val="center"/>
        <w:rPr>
          <w:b/>
        </w:rPr>
      </w:pPr>
    </w:p>
    <w:p w14:paraId="354D960D" w14:textId="77777777" w:rsidR="00D434FF" w:rsidRPr="007E4DFC" w:rsidRDefault="00D434FF">
      <w:pPr>
        <w:pBdr>
          <w:top w:val="nil"/>
          <w:left w:val="nil"/>
          <w:bottom w:val="nil"/>
          <w:right w:val="nil"/>
          <w:between w:val="nil"/>
        </w:pBdr>
        <w:jc w:val="center"/>
        <w:rPr>
          <w:b/>
        </w:rPr>
      </w:pPr>
    </w:p>
    <w:p w14:paraId="7C82392D" w14:textId="77777777" w:rsidR="00D434FF" w:rsidRPr="007E4DFC" w:rsidRDefault="00D434FF">
      <w:pPr>
        <w:pBdr>
          <w:top w:val="nil"/>
          <w:left w:val="nil"/>
          <w:bottom w:val="nil"/>
          <w:right w:val="nil"/>
          <w:between w:val="nil"/>
        </w:pBdr>
        <w:jc w:val="center"/>
        <w:rPr>
          <w:b/>
        </w:rPr>
      </w:pPr>
    </w:p>
    <w:p w14:paraId="2AD865FD" w14:textId="77777777" w:rsidR="00D434FF" w:rsidRPr="007E4DFC" w:rsidRDefault="00D434FF">
      <w:pPr>
        <w:pBdr>
          <w:top w:val="nil"/>
          <w:left w:val="nil"/>
          <w:bottom w:val="nil"/>
          <w:right w:val="nil"/>
          <w:between w:val="nil"/>
        </w:pBdr>
        <w:jc w:val="center"/>
        <w:rPr>
          <w:b/>
        </w:rPr>
      </w:pPr>
    </w:p>
    <w:p w14:paraId="4ACD7174" w14:textId="77777777" w:rsidR="00D434FF" w:rsidRPr="007E4DFC" w:rsidRDefault="00D434FF">
      <w:pPr>
        <w:pBdr>
          <w:top w:val="nil"/>
          <w:left w:val="nil"/>
          <w:bottom w:val="nil"/>
          <w:right w:val="nil"/>
          <w:between w:val="nil"/>
        </w:pBdr>
        <w:jc w:val="center"/>
        <w:rPr>
          <w:b/>
        </w:rPr>
      </w:pPr>
    </w:p>
    <w:p w14:paraId="4686411D" w14:textId="77777777" w:rsidR="00D434FF" w:rsidRPr="007E4DFC" w:rsidRDefault="00D434FF">
      <w:pPr>
        <w:pBdr>
          <w:top w:val="nil"/>
          <w:left w:val="nil"/>
          <w:bottom w:val="nil"/>
          <w:right w:val="nil"/>
          <w:between w:val="nil"/>
        </w:pBdr>
        <w:jc w:val="center"/>
        <w:rPr>
          <w:b/>
        </w:rPr>
      </w:pPr>
    </w:p>
    <w:p w14:paraId="277CC470" w14:textId="77777777" w:rsidR="00D434FF" w:rsidRPr="007E4DFC" w:rsidRDefault="00D434FF">
      <w:pPr>
        <w:pBdr>
          <w:top w:val="nil"/>
          <w:left w:val="nil"/>
          <w:bottom w:val="nil"/>
          <w:right w:val="nil"/>
          <w:between w:val="nil"/>
        </w:pBdr>
        <w:jc w:val="center"/>
        <w:rPr>
          <w:b/>
        </w:rPr>
      </w:pPr>
    </w:p>
    <w:p w14:paraId="7888BA6D" w14:textId="77777777" w:rsidR="00D434FF" w:rsidRPr="007E4DFC" w:rsidRDefault="00D434FF">
      <w:pPr>
        <w:pBdr>
          <w:top w:val="nil"/>
          <w:left w:val="nil"/>
          <w:bottom w:val="nil"/>
          <w:right w:val="nil"/>
          <w:between w:val="nil"/>
        </w:pBdr>
        <w:jc w:val="center"/>
        <w:rPr>
          <w:b/>
        </w:rPr>
      </w:pPr>
    </w:p>
    <w:p w14:paraId="3064DB37" w14:textId="77777777" w:rsidR="00D434FF" w:rsidRPr="007E4DFC" w:rsidRDefault="00D434FF">
      <w:pPr>
        <w:pBdr>
          <w:top w:val="nil"/>
          <w:left w:val="nil"/>
          <w:bottom w:val="nil"/>
          <w:right w:val="nil"/>
          <w:between w:val="nil"/>
        </w:pBdr>
        <w:jc w:val="center"/>
        <w:rPr>
          <w:b/>
        </w:rPr>
      </w:pPr>
    </w:p>
    <w:p w14:paraId="283A8AF3" w14:textId="77777777" w:rsidR="00D434FF" w:rsidRPr="007E4DFC" w:rsidRDefault="00D434FF">
      <w:pPr>
        <w:pBdr>
          <w:top w:val="nil"/>
          <w:left w:val="nil"/>
          <w:bottom w:val="nil"/>
          <w:right w:val="nil"/>
          <w:between w:val="nil"/>
        </w:pBdr>
        <w:jc w:val="center"/>
        <w:rPr>
          <w:b/>
        </w:rPr>
      </w:pPr>
    </w:p>
    <w:p w14:paraId="68F14811" w14:textId="77777777" w:rsidR="00D434FF" w:rsidRPr="007E4DFC" w:rsidRDefault="00D434FF">
      <w:pPr>
        <w:pBdr>
          <w:top w:val="nil"/>
          <w:left w:val="nil"/>
          <w:bottom w:val="nil"/>
          <w:right w:val="nil"/>
          <w:between w:val="nil"/>
        </w:pBdr>
        <w:jc w:val="center"/>
        <w:rPr>
          <w:b/>
        </w:rPr>
      </w:pPr>
    </w:p>
    <w:p w14:paraId="0B66B26F" w14:textId="77777777" w:rsidR="00D434FF" w:rsidRPr="007E4DFC" w:rsidRDefault="00D434FF">
      <w:pPr>
        <w:pBdr>
          <w:top w:val="nil"/>
          <w:left w:val="nil"/>
          <w:bottom w:val="nil"/>
          <w:right w:val="nil"/>
          <w:between w:val="nil"/>
        </w:pBdr>
        <w:jc w:val="center"/>
        <w:rPr>
          <w:b/>
        </w:rPr>
      </w:pPr>
    </w:p>
    <w:p w14:paraId="7DD80245" w14:textId="77777777" w:rsidR="00D434FF" w:rsidRPr="007E4DFC" w:rsidRDefault="00D434FF">
      <w:pPr>
        <w:pBdr>
          <w:top w:val="nil"/>
          <w:left w:val="nil"/>
          <w:bottom w:val="nil"/>
          <w:right w:val="nil"/>
          <w:between w:val="nil"/>
        </w:pBdr>
        <w:jc w:val="center"/>
        <w:rPr>
          <w:b/>
        </w:rPr>
      </w:pPr>
    </w:p>
    <w:p w14:paraId="62DC08E0" w14:textId="77777777" w:rsidR="00D434FF" w:rsidRPr="007E4DFC" w:rsidRDefault="00D434FF">
      <w:pPr>
        <w:pBdr>
          <w:top w:val="nil"/>
          <w:left w:val="nil"/>
          <w:bottom w:val="nil"/>
          <w:right w:val="nil"/>
          <w:between w:val="nil"/>
        </w:pBdr>
        <w:jc w:val="center"/>
        <w:rPr>
          <w:b/>
        </w:rPr>
      </w:pPr>
    </w:p>
    <w:p w14:paraId="2E4D644D" w14:textId="77777777" w:rsidR="00D434FF" w:rsidRPr="007E4DFC" w:rsidRDefault="00D434FF">
      <w:pPr>
        <w:pBdr>
          <w:top w:val="nil"/>
          <w:left w:val="nil"/>
          <w:bottom w:val="nil"/>
          <w:right w:val="nil"/>
          <w:between w:val="nil"/>
        </w:pBdr>
        <w:jc w:val="center"/>
        <w:rPr>
          <w:b/>
        </w:rPr>
      </w:pPr>
    </w:p>
    <w:p w14:paraId="26B9CD21" w14:textId="77777777" w:rsidR="00D434FF" w:rsidRPr="007E4DFC" w:rsidRDefault="00D434FF">
      <w:pPr>
        <w:pBdr>
          <w:top w:val="nil"/>
          <w:left w:val="nil"/>
          <w:bottom w:val="nil"/>
          <w:right w:val="nil"/>
          <w:between w:val="nil"/>
        </w:pBdr>
        <w:rPr>
          <w:b/>
        </w:rPr>
      </w:pPr>
    </w:p>
    <w:p w14:paraId="40FF41E8" w14:textId="77777777" w:rsidR="00D434FF" w:rsidRPr="007E4DFC" w:rsidRDefault="005D106E">
      <w:pPr>
        <w:pBdr>
          <w:top w:val="nil"/>
          <w:left w:val="nil"/>
          <w:bottom w:val="nil"/>
          <w:right w:val="nil"/>
          <w:between w:val="nil"/>
        </w:pBdr>
        <w:jc w:val="center"/>
        <w:rPr>
          <w:b/>
        </w:rPr>
      </w:pPr>
      <w:r w:rsidRPr="007E4DFC">
        <w:rPr>
          <w:b/>
        </w:rPr>
        <w:lastRenderedPageBreak/>
        <w:t xml:space="preserve">Resultados </w:t>
      </w:r>
    </w:p>
    <w:p w14:paraId="1B902FBC" w14:textId="77777777" w:rsidR="00D434FF" w:rsidRPr="007E4DFC" w:rsidRDefault="00D434FF">
      <w:pPr>
        <w:pBdr>
          <w:top w:val="nil"/>
          <w:left w:val="nil"/>
          <w:bottom w:val="nil"/>
          <w:right w:val="nil"/>
          <w:between w:val="nil"/>
        </w:pBdr>
        <w:jc w:val="center"/>
        <w:rPr>
          <w:b/>
        </w:rPr>
      </w:pPr>
    </w:p>
    <w:p w14:paraId="0583F998"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8" w:name="_qfqrykvmnfsz" w:colFirst="0" w:colLast="0"/>
      <w:bookmarkEnd w:id="8"/>
      <w:r w:rsidRPr="007E4DFC">
        <w:rPr>
          <w:rFonts w:ascii="Times New Roman" w:eastAsia="Times New Roman" w:hAnsi="Times New Roman" w:cs="Times New Roman"/>
          <w:b/>
          <w:i/>
          <w:color w:val="000000"/>
          <w:sz w:val="24"/>
          <w:szCs w:val="24"/>
        </w:rPr>
        <w:t>Seleção e características gerais dos estudos incluídos</w:t>
      </w:r>
    </w:p>
    <w:p w14:paraId="330AFBD6" w14:textId="77777777" w:rsidR="00D434FF" w:rsidRPr="007E4DFC" w:rsidRDefault="00D434FF"/>
    <w:p w14:paraId="476BFC63" w14:textId="77777777" w:rsidR="00D434FF" w:rsidRPr="007E4DFC" w:rsidRDefault="005D106E">
      <w:pPr>
        <w:rPr>
          <w:b/>
        </w:rPr>
      </w:pPr>
      <w:r w:rsidRPr="007E4DFC">
        <w:rPr>
          <w:b/>
        </w:rPr>
        <w:t xml:space="preserve">Figura 1 </w:t>
      </w:r>
    </w:p>
    <w:p w14:paraId="14BE2BEC" w14:textId="77777777" w:rsidR="00D434FF" w:rsidRPr="007E4DFC" w:rsidRDefault="005D106E">
      <w:r w:rsidRPr="007E4DFC">
        <w:rPr>
          <w:i/>
        </w:rPr>
        <w:t>Fluxograma * (PRISMA 2020)</w:t>
      </w:r>
    </w:p>
    <w:p w14:paraId="5EA7BAEC" w14:textId="77777777" w:rsidR="00D434FF" w:rsidRPr="007E4DFC" w:rsidRDefault="005D106E">
      <w:pPr>
        <w:jc w:val="center"/>
        <w:rPr>
          <w:sz w:val="20"/>
          <w:szCs w:val="20"/>
        </w:rPr>
      </w:pPr>
      <w:r w:rsidRPr="007E4DFC">
        <w:rPr>
          <w:noProof/>
        </w:rPr>
        <w:drawing>
          <wp:inline distT="114300" distB="114300" distL="114300" distR="114300" wp14:anchorId="0D1BFAED" wp14:editId="05760934">
            <wp:extent cx="5445591" cy="5889166"/>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724"/>
                    <a:stretch>
                      <a:fillRect/>
                    </a:stretch>
                  </pic:blipFill>
                  <pic:spPr>
                    <a:xfrm>
                      <a:off x="0" y="0"/>
                      <a:ext cx="5445591" cy="5889166"/>
                    </a:xfrm>
                    <a:prstGeom prst="rect">
                      <a:avLst/>
                    </a:prstGeom>
                    <a:ln/>
                  </pic:spPr>
                </pic:pic>
              </a:graphicData>
            </a:graphic>
          </wp:inline>
        </w:drawing>
      </w:r>
    </w:p>
    <w:p w14:paraId="63BAE6CB" w14:textId="77777777" w:rsidR="00D434FF" w:rsidRPr="008C3A18" w:rsidRDefault="005D106E">
      <w:pPr>
        <w:widowControl w:val="0"/>
        <w:spacing w:line="360" w:lineRule="auto"/>
        <w:jc w:val="both"/>
        <w:rPr>
          <w:sz w:val="20"/>
          <w:szCs w:val="20"/>
        </w:rPr>
      </w:pPr>
      <w:r w:rsidRPr="007E4DFC">
        <w:rPr>
          <w:i/>
          <w:sz w:val="20"/>
          <w:szCs w:val="20"/>
        </w:rPr>
        <w:t>Nota: Traduzido por: Verónica Abreu, Sónia Gonçalves-Lopes, José Luís Sousa e Verónica Oliveira/ESS Jean Piaget - Vila Nova de Gaia - Portugal de:</w:t>
      </w:r>
      <w:r w:rsidRPr="007E4DFC">
        <w:rPr>
          <w:sz w:val="20"/>
          <w:szCs w:val="20"/>
        </w:rPr>
        <w:t xml:space="preserve"> Page MJ, McKenzie JE, </w:t>
      </w:r>
      <w:proofErr w:type="spellStart"/>
      <w:r w:rsidRPr="007E4DFC">
        <w:rPr>
          <w:sz w:val="20"/>
          <w:szCs w:val="20"/>
        </w:rPr>
        <w:t>Bossuyt</w:t>
      </w:r>
      <w:proofErr w:type="spellEnd"/>
      <w:r w:rsidRPr="007E4DFC">
        <w:rPr>
          <w:sz w:val="20"/>
          <w:szCs w:val="20"/>
        </w:rPr>
        <w:t xml:space="preserve"> PM, </w:t>
      </w:r>
      <w:proofErr w:type="spellStart"/>
      <w:r w:rsidRPr="007E4DFC">
        <w:rPr>
          <w:sz w:val="20"/>
          <w:szCs w:val="20"/>
        </w:rPr>
        <w:t>Boutron</w:t>
      </w:r>
      <w:proofErr w:type="spellEnd"/>
      <w:r w:rsidRPr="007E4DFC">
        <w:rPr>
          <w:sz w:val="20"/>
          <w:szCs w:val="20"/>
        </w:rPr>
        <w:t xml:space="preserve"> I, Hoffmann TC, </w:t>
      </w:r>
      <w:proofErr w:type="spellStart"/>
      <w:r w:rsidRPr="007E4DFC">
        <w:rPr>
          <w:sz w:val="20"/>
          <w:szCs w:val="20"/>
        </w:rPr>
        <w:t>Mulrow</w:t>
      </w:r>
      <w:proofErr w:type="spellEnd"/>
      <w:r w:rsidRPr="007E4DFC">
        <w:rPr>
          <w:sz w:val="20"/>
          <w:szCs w:val="20"/>
        </w:rPr>
        <w:t xml:space="preserve"> CD, </w:t>
      </w:r>
      <w:r w:rsidRPr="007E4DFC">
        <w:rPr>
          <w:i/>
          <w:sz w:val="20"/>
          <w:szCs w:val="20"/>
        </w:rPr>
        <w:t>et al</w:t>
      </w:r>
      <w:r w:rsidRPr="007E4DFC">
        <w:rPr>
          <w:sz w:val="20"/>
          <w:szCs w:val="20"/>
        </w:rPr>
        <w:t xml:space="preserve">. </w:t>
      </w:r>
      <w:r w:rsidRPr="002E6E0F">
        <w:rPr>
          <w:sz w:val="20"/>
          <w:szCs w:val="20"/>
          <w:lang w:val="en-US"/>
        </w:rPr>
        <w:t xml:space="preserve">The PRISMA 2020 statement: an updated guideline for reporting systematic reviews. </w:t>
      </w:r>
      <w:r w:rsidRPr="008C3A18">
        <w:rPr>
          <w:sz w:val="20"/>
          <w:szCs w:val="20"/>
        </w:rPr>
        <w:t xml:space="preserve">BMJ 2021;372:n71. </w:t>
      </w:r>
      <w:proofErr w:type="spellStart"/>
      <w:r w:rsidRPr="008C3A18">
        <w:rPr>
          <w:sz w:val="20"/>
          <w:szCs w:val="20"/>
        </w:rPr>
        <w:t>doi</w:t>
      </w:r>
      <w:proofErr w:type="spellEnd"/>
      <w:r w:rsidRPr="008C3A18">
        <w:rPr>
          <w:sz w:val="20"/>
          <w:szCs w:val="20"/>
        </w:rPr>
        <w:t>: 10.1136/</w:t>
      </w:r>
      <w:proofErr w:type="gramStart"/>
      <w:r w:rsidRPr="008C3A18">
        <w:rPr>
          <w:sz w:val="20"/>
          <w:szCs w:val="20"/>
        </w:rPr>
        <w:t>bmj.n</w:t>
      </w:r>
      <w:proofErr w:type="gramEnd"/>
      <w:r w:rsidRPr="008C3A18">
        <w:rPr>
          <w:sz w:val="20"/>
          <w:szCs w:val="20"/>
        </w:rPr>
        <w:t xml:space="preserve">71. </w:t>
      </w:r>
    </w:p>
    <w:p w14:paraId="1434EBA4" w14:textId="77777777" w:rsidR="00D434FF" w:rsidRPr="007E4DFC" w:rsidRDefault="005D106E">
      <w:pPr>
        <w:widowControl w:val="0"/>
        <w:spacing w:line="360" w:lineRule="auto"/>
        <w:jc w:val="both"/>
        <w:rPr>
          <w:sz w:val="20"/>
          <w:szCs w:val="20"/>
        </w:rPr>
      </w:pPr>
      <w:r w:rsidRPr="007E4DFC">
        <w:rPr>
          <w:sz w:val="20"/>
          <w:szCs w:val="20"/>
        </w:rPr>
        <w:t>*O fluxograma foi adaptado conforme as necessidades da presente pesquisa.</w:t>
      </w:r>
    </w:p>
    <w:p w14:paraId="4D40A9A6" w14:textId="77777777" w:rsidR="00D434FF" w:rsidRPr="007E4DFC" w:rsidRDefault="00D434FF">
      <w:pPr>
        <w:widowControl w:val="0"/>
        <w:jc w:val="both"/>
      </w:pPr>
    </w:p>
    <w:p w14:paraId="44B9328D" w14:textId="77777777" w:rsidR="00D434FF" w:rsidRPr="007E4DFC" w:rsidRDefault="00D434FF">
      <w:pPr>
        <w:pStyle w:val="Ttulo2"/>
        <w:widowControl w:val="0"/>
        <w:spacing w:before="0" w:line="360" w:lineRule="auto"/>
        <w:jc w:val="both"/>
        <w:rPr>
          <w:rFonts w:ascii="Times New Roman" w:eastAsia="Times New Roman" w:hAnsi="Times New Roman" w:cs="Times New Roman"/>
          <w:b/>
          <w:i/>
          <w:color w:val="000000"/>
          <w:sz w:val="24"/>
          <w:szCs w:val="24"/>
        </w:rPr>
      </w:pPr>
      <w:bookmarkStart w:id="9" w:name="_3o9udyd2r1qd" w:colFirst="0" w:colLast="0"/>
      <w:bookmarkEnd w:id="9"/>
    </w:p>
    <w:p w14:paraId="0FD51E9F" w14:textId="77777777" w:rsidR="00D434FF" w:rsidRPr="007E4DFC" w:rsidRDefault="005D106E">
      <w:pPr>
        <w:pStyle w:val="Ttulo2"/>
        <w:widowControl w:val="0"/>
        <w:spacing w:before="0" w:line="360" w:lineRule="auto"/>
        <w:jc w:val="both"/>
        <w:rPr>
          <w:rFonts w:ascii="Times New Roman" w:eastAsia="Times New Roman" w:hAnsi="Times New Roman" w:cs="Times New Roman"/>
          <w:b/>
          <w:i/>
          <w:color w:val="000000"/>
          <w:sz w:val="24"/>
          <w:szCs w:val="24"/>
        </w:rPr>
      </w:pPr>
      <w:bookmarkStart w:id="10" w:name="_jm3isfcrhumn" w:colFirst="0" w:colLast="0"/>
      <w:bookmarkEnd w:id="10"/>
      <w:r w:rsidRPr="007E4DFC">
        <w:rPr>
          <w:rFonts w:ascii="Times New Roman" w:eastAsia="Times New Roman" w:hAnsi="Times New Roman" w:cs="Times New Roman"/>
          <w:b/>
          <w:i/>
          <w:color w:val="000000"/>
          <w:sz w:val="24"/>
          <w:szCs w:val="24"/>
        </w:rPr>
        <w:t xml:space="preserve">Extração de dados </w:t>
      </w:r>
    </w:p>
    <w:p w14:paraId="7E04739A" w14:textId="77777777" w:rsidR="00D434FF" w:rsidRPr="007E4DFC" w:rsidRDefault="005D106E">
      <w:pPr>
        <w:widowControl w:val="0"/>
        <w:spacing w:line="360" w:lineRule="auto"/>
        <w:ind w:firstLine="708"/>
        <w:jc w:val="both"/>
      </w:pPr>
      <w:r w:rsidRPr="007E4DFC">
        <w:t xml:space="preserve">Após a leitura na íntegra e a análise metodológica dos artigos, foi realizada a extração de dados com as informações principais dos estudos (e.g.: </w:t>
      </w:r>
      <w:r w:rsidRPr="007E4DFC">
        <w:rPr>
          <w:color w:val="252525"/>
          <w:sz w:val="26"/>
          <w:szCs w:val="26"/>
        </w:rPr>
        <w:t>autores/ano, tipo de estudo, tamanho amostral, país, idade, intervenção, dosagens/tempo, mensuração e desfecho</w:t>
      </w:r>
      <w:r w:rsidRPr="007E4DFC">
        <w:t xml:space="preserve">). Dos registros procurados para aquisição (n = 27), houve a exclusão de um resumo de congresso (n = 1) e outros não foram adquiridos (n = 16), resultando, assim, nos estudos finais incluídos na revisão (n = 10). </w:t>
      </w:r>
    </w:p>
    <w:p w14:paraId="0BD3E3D8" w14:textId="77777777" w:rsidR="00D434FF" w:rsidRPr="007E4DFC" w:rsidRDefault="00D434FF">
      <w:pPr>
        <w:widowControl w:val="0"/>
        <w:spacing w:line="360" w:lineRule="auto"/>
        <w:jc w:val="both"/>
      </w:pPr>
    </w:p>
    <w:p w14:paraId="5AD8838C" w14:textId="77777777" w:rsidR="00D434FF" w:rsidRPr="007E4DFC" w:rsidRDefault="005D106E">
      <w:pPr>
        <w:pStyle w:val="Ttulo2"/>
        <w:widowControl w:val="0"/>
        <w:shd w:val="clear" w:color="auto" w:fill="FFFFFF"/>
        <w:spacing w:before="0" w:line="360" w:lineRule="auto"/>
        <w:jc w:val="both"/>
        <w:rPr>
          <w:rFonts w:ascii="Times New Roman" w:eastAsia="Times New Roman" w:hAnsi="Times New Roman" w:cs="Times New Roman"/>
          <w:b/>
          <w:i/>
          <w:color w:val="000000"/>
          <w:sz w:val="24"/>
          <w:szCs w:val="24"/>
        </w:rPr>
      </w:pPr>
      <w:bookmarkStart w:id="11" w:name="_hxt1cjd16ewa" w:colFirst="0" w:colLast="0"/>
      <w:bookmarkEnd w:id="11"/>
      <w:r w:rsidRPr="007E4DFC">
        <w:rPr>
          <w:rFonts w:ascii="Times New Roman" w:eastAsia="Times New Roman" w:hAnsi="Times New Roman" w:cs="Times New Roman"/>
          <w:b/>
          <w:i/>
          <w:color w:val="000000"/>
          <w:sz w:val="24"/>
          <w:szCs w:val="24"/>
        </w:rPr>
        <w:t xml:space="preserve">Qualidade metodológica </w:t>
      </w:r>
    </w:p>
    <w:p w14:paraId="69B2F4C0" w14:textId="149987DA" w:rsidR="00D434FF" w:rsidRPr="007E4DFC" w:rsidRDefault="005D106E" w:rsidP="002E6E0F">
      <w:pPr>
        <w:widowControl w:val="0"/>
        <w:spacing w:line="360" w:lineRule="auto"/>
        <w:ind w:firstLine="708"/>
        <w:jc w:val="both"/>
      </w:pPr>
      <w:r w:rsidRPr="007E4DFC">
        <w:t xml:space="preserve">A avaliação metodológica realizada através da escala </w:t>
      </w:r>
      <w:proofErr w:type="spellStart"/>
      <w:r w:rsidRPr="007E4DFC">
        <w:t>PEDro</w:t>
      </w:r>
      <w:proofErr w:type="spellEnd"/>
      <w:r w:rsidRPr="007E4DFC">
        <w:t xml:space="preserve"> garantiu a qualidade dos estudos incluídos. Cabe destacar que todos os estudos (n = 10, 100%) obtiveram a pontuação máxima na escala (10).</w:t>
      </w:r>
    </w:p>
    <w:p w14:paraId="116469BB" w14:textId="77777777" w:rsidR="00D434FF" w:rsidRPr="007E4DFC" w:rsidRDefault="005D106E">
      <w:pPr>
        <w:widowControl w:val="0"/>
        <w:shd w:val="clear" w:color="auto" w:fill="FFFFFF"/>
        <w:spacing w:after="180"/>
        <w:rPr>
          <w:b/>
        </w:rPr>
      </w:pPr>
      <w:r w:rsidRPr="007E4DFC">
        <w:rPr>
          <w:b/>
        </w:rPr>
        <w:t>Figura 2</w:t>
      </w:r>
    </w:p>
    <w:p w14:paraId="5438E7B3" w14:textId="77777777" w:rsidR="00D434FF" w:rsidRPr="007E4DFC" w:rsidRDefault="005D106E">
      <w:pPr>
        <w:widowControl w:val="0"/>
        <w:shd w:val="clear" w:color="auto" w:fill="FFFFFF"/>
        <w:spacing w:after="180"/>
        <w:rPr>
          <w:i/>
        </w:rPr>
      </w:pPr>
      <w:r w:rsidRPr="007E4DFC">
        <w:rPr>
          <w:i/>
        </w:rPr>
        <w:t xml:space="preserve">Pontuação dos estudos avaliados a partir da escala </w:t>
      </w:r>
      <w:proofErr w:type="spellStart"/>
      <w:r w:rsidRPr="007E4DFC">
        <w:rPr>
          <w:i/>
        </w:rPr>
        <w:t>PEDro</w:t>
      </w:r>
      <w:proofErr w:type="spellEnd"/>
    </w:p>
    <w:tbl>
      <w:tblPr>
        <w:tblStyle w:val="a2"/>
        <w:tblW w:w="912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450"/>
        <w:gridCol w:w="420"/>
        <w:gridCol w:w="390"/>
        <w:gridCol w:w="480"/>
        <w:gridCol w:w="420"/>
        <w:gridCol w:w="405"/>
        <w:gridCol w:w="465"/>
        <w:gridCol w:w="510"/>
        <w:gridCol w:w="465"/>
        <w:gridCol w:w="555"/>
        <w:gridCol w:w="465"/>
        <w:gridCol w:w="705"/>
      </w:tblGrid>
      <w:tr w:rsidR="00D434FF" w:rsidRPr="007E4DFC" w14:paraId="36ABBD02" w14:textId="77777777">
        <w:trPr>
          <w:trHeight w:val="405"/>
        </w:trPr>
        <w:tc>
          <w:tcPr>
            <w:tcW w:w="3390" w:type="dxa"/>
            <w:tcBorders>
              <w:left w:val="nil"/>
              <w:right w:val="nil"/>
            </w:tcBorders>
            <w:shd w:val="clear" w:color="auto" w:fill="CCCCCC"/>
            <w:tcMar>
              <w:top w:w="100" w:type="dxa"/>
              <w:left w:w="100" w:type="dxa"/>
              <w:bottom w:w="100" w:type="dxa"/>
              <w:right w:w="100" w:type="dxa"/>
            </w:tcMar>
          </w:tcPr>
          <w:p w14:paraId="261DA3C8" w14:textId="77777777" w:rsidR="00D434FF" w:rsidRPr="007E4DFC" w:rsidRDefault="005D106E">
            <w:pPr>
              <w:widowControl w:val="0"/>
              <w:rPr>
                <w:b/>
                <w:sz w:val="20"/>
                <w:szCs w:val="20"/>
              </w:rPr>
            </w:pPr>
            <w:r w:rsidRPr="007E4DFC">
              <w:rPr>
                <w:b/>
                <w:sz w:val="20"/>
                <w:szCs w:val="20"/>
              </w:rPr>
              <w:t xml:space="preserve">Estudo </w:t>
            </w:r>
          </w:p>
        </w:tc>
        <w:tc>
          <w:tcPr>
            <w:tcW w:w="450" w:type="dxa"/>
            <w:tcBorders>
              <w:left w:val="nil"/>
              <w:right w:val="nil"/>
            </w:tcBorders>
            <w:shd w:val="clear" w:color="auto" w:fill="CCCCCC"/>
            <w:tcMar>
              <w:top w:w="100" w:type="dxa"/>
              <w:left w:w="100" w:type="dxa"/>
              <w:bottom w:w="100" w:type="dxa"/>
              <w:right w:w="100" w:type="dxa"/>
            </w:tcMar>
          </w:tcPr>
          <w:p w14:paraId="5A20FCC2" w14:textId="77777777" w:rsidR="00D434FF" w:rsidRPr="007E4DFC" w:rsidRDefault="005D106E">
            <w:pPr>
              <w:widowControl w:val="0"/>
              <w:rPr>
                <w:b/>
                <w:sz w:val="20"/>
                <w:szCs w:val="20"/>
              </w:rPr>
            </w:pPr>
            <w:r w:rsidRPr="007E4DFC">
              <w:rPr>
                <w:b/>
                <w:sz w:val="20"/>
                <w:szCs w:val="20"/>
              </w:rPr>
              <w:t>1*</w:t>
            </w:r>
          </w:p>
        </w:tc>
        <w:tc>
          <w:tcPr>
            <w:tcW w:w="420" w:type="dxa"/>
            <w:tcBorders>
              <w:left w:val="nil"/>
              <w:right w:val="nil"/>
            </w:tcBorders>
            <w:shd w:val="clear" w:color="auto" w:fill="CCCCCC"/>
            <w:tcMar>
              <w:top w:w="100" w:type="dxa"/>
              <w:left w:w="100" w:type="dxa"/>
              <w:bottom w:w="100" w:type="dxa"/>
              <w:right w:w="100" w:type="dxa"/>
            </w:tcMar>
          </w:tcPr>
          <w:p w14:paraId="3E8D74CB" w14:textId="77777777" w:rsidR="00D434FF" w:rsidRPr="007E4DFC" w:rsidRDefault="005D106E">
            <w:pPr>
              <w:widowControl w:val="0"/>
              <w:rPr>
                <w:b/>
                <w:sz w:val="20"/>
                <w:szCs w:val="20"/>
              </w:rPr>
            </w:pPr>
            <w:r w:rsidRPr="007E4DFC">
              <w:rPr>
                <w:b/>
                <w:sz w:val="20"/>
                <w:szCs w:val="20"/>
              </w:rPr>
              <w:t>2</w:t>
            </w:r>
          </w:p>
        </w:tc>
        <w:tc>
          <w:tcPr>
            <w:tcW w:w="390" w:type="dxa"/>
            <w:tcBorders>
              <w:left w:val="nil"/>
              <w:right w:val="nil"/>
            </w:tcBorders>
            <w:shd w:val="clear" w:color="auto" w:fill="CCCCCC"/>
            <w:tcMar>
              <w:top w:w="100" w:type="dxa"/>
              <w:left w:w="100" w:type="dxa"/>
              <w:bottom w:w="100" w:type="dxa"/>
              <w:right w:w="100" w:type="dxa"/>
            </w:tcMar>
          </w:tcPr>
          <w:p w14:paraId="53C6732D" w14:textId="77777777" w:rsidR="00D434FF" w:rsidRPr="007E4DFC" w:rsidRDefault="005D106E">
            <w:pPr>
              <w:widowControl w:val="0"/>
              <w:rPr>
                <w:b/>
                <w:sz w:val="20"/>
                <w:szCs w:val="20"/>
              </w:rPr>
            </w:pPr>
            <w:r w:rsidRPr="007E4DFC">
              <w:rPr>
                <w:b/>
                <w:sz w:val="20"/>
                <w:szCs w:val="20"/>
              </w:rPr>
              <w:t>3</w:t>
            </w:r>
          </w:p>
        </w:tc>
        <w:tc>
          <w:tcPr>
            <w:tcW w:w="480" w:type="dxa"/>
            <w:tcBorders>
              <w:left w:val="nil"/>
              <w:right w:val="nil"/>
            </w:tcBorders>
            <w:shd w:val="clear" w:color="auto" w:fill="CCCCCC"/>
            <w:tcMar>
              <w:top w:w="100" w:type="dxa"/>
              <w:left w:w="100" w:type="dxa"/>
              <w:bottom w:w="100" w:type="dxa"/>
              <w:right w:w="100" w:type="dxa"/>
            </w:tcMar>
          </w:tcPr>
          <w:p w14:paraId="7F3D609B" w14:textId="77777777" w:rsidR="00D434FF" w:rsidRPr="007E4DFC" w:rsidRDefault="005D106E">
            <w:pPr>
              <w:widowControl w:val="0"/>
              <w:rPr>
                <w:b/>
                <w:sz w:val="20"/>
                <w:szCs w:val="20"/>
              </w:rPr>
            </w:pPr>
            <w:r w:rsidRPr="007E4DFC">
              <w:rPr>
                <w:b/>
                <w:sz w:val="20"/>
                <w:szCs w:val="20"/>
              </w:rPr>
              <w:t>4</w:t>
            </w:r>
          </w:p>
        </w:tc>
        <w:tc>
          <w:tcPr>
            <w:tcW w:w="420" w:type="dxa"/>
            <w:tcBorders>
              <w:left w:val="nil"/>
              <w:right w:val="nil"/>
            </w:tcBorders>
            <w:shd w:val="clear" w:color="auto" w:fill="CCCCCC"/>
            <w:tcMar>
              <w:top w:w="100" w:type="dxa"/>
              <w:left w:w="100" w:type="dxa"/>
              <w:bottom w:w="100" w:type="dxa"/>
              <w:right w:w="100" w:type="dxa"/>
            </w:tcMar>
          </w:tcPr>
          <w:p w14:paraId="70B023A6" w14:textId="77777777" w:rsidR="00D434FF" w:rsidRPr="007E4DFC" w:rsidRDefault="005D106E">
            <w:pPr>
              <w:widowControl w:val="0"/>
              <w:rPr>
                <w:b/>
                <w:sz w:val="20"/>
                <w:szCs w:val="20"/>
              </w:rPr>
            </w:pPr>
            <w:r w:rsidRPr="007E4DFC">
              <w:rPr>
                <w:b/>
                <w:sz w:val="20"/>
                <w:szCs w:val="20"/>
              </w:rPr>
              <w:t>5</w:t>
            </w:r>
          </w:p>
        </w:tc>
        <w:tc>
          <w:tcPr>
            <w:tcW w:w="405" w:type="dxa"/>
            <w:tcBorders>
              <w:left w:val="nil"/>
              <w:right w:val="nil"/>
            </w:tcBorders>
            <w:shd w:val="clear" w:color="auto" w:fill="CCCCCC"/>
            <w:tcMar>
              <w:top w:w="100" w:type="dxa"/>
              <w:left w:w="100" w:type="dxa"/>
              <w:bottom w:w="100" w:type="dxa"/>
              <w:right w:w="100" w:type="dxa"/>
            </w:tcMar>
          </w:tcPr>
          <w:p w14:paraId="3054958F" w14:textId="77777777" w:rsidR="00D434FF" w:rsidRPr="007E4DFC" w:rsidRDefault="005D106E">
            <w:pPr>
              <w:widowControl w:val="0"/>
              <w:rPr>
                <w:b/>
                <w:sz w:val="20"/>
                <w:szCs w:val="20"/>
              </w:rPr>
            </w:pPr>
            <w:r w:rsidRPr="007E4DFC">
              <w:rPr>
                <w:b/>
                <w:sz w:val="20"/>
                <w:szCs w:val="20"/>
              </w:rPr>
              <w:t>6</w:t>
            </w:r>
          </w:p>
        </w:tc>
        <w:tc>
          <w:tcPr>
            <w:tcW w:w="465" w:type="dxa"/>
            <w:tcBorders>
              <w:left w:val="nil"/>
              <w:right w:val="nil"/>
            </w:tcBorders>
            <w:shd w:val="clear" w:color="auto" w:fill="CCCCCC"/>
            <w:tcMar>
              <w:top w:w="100" w:type="dxa"/>
              <w:left w:w="100" w:type="dxa"/>
              <w:bottom w:w="100" w:type="dxa"/>
              <w:right w:w="100" w:type="dxa"/>
            </w:tcMar>
          </w:tcPr>
          <w:p w14:paraId="37FA6B56" w14:textId="77777777" w:rsidR="00D434FF" w:rsidRPr="007E4DFC" w:rsidRDefault="005D106E">
            <w:pPr>
              <w:widowControl w:val="0"/>
              <w:rPr>
                <w:b/>
                <w:sz w:val="20"/>
                <w:szCs w:val="20"/>
              </w:rPr>
            </w:pPr>
            <w:r w:rsidRPr="007E4DFC">
              <w:rPr>
                <w:b/>
                <w:sz w:val="20"/>
                <w:szCs w:val="20"/>
              </w:rPr>
              <w:t>7</w:t>
            </w:r>
          </w:p>
        </w:tc>
        <w:tc>
          <w:tcPr>
            <w:tcW w:w="510" w:type="dxa"/>
            <w:tcBorders>
              <w:left w:val="nil"/>
              <w:right w:val="nil"/>
            </w:tcBorders>
            <w:shd w:val="clear" w:color="auto" w:fill="CCCCCC"/>
            <w:tcMar>
              <w:top w:w="100" w:type="dxa"/>
              <w:left w:w="100" w:type="dxa"/>
              <w:bottom w:w="100" w:type="dxa"/>
              <w:right w:w="100" w:type="dxa"/>
            </w:tcMar>
          </w:tcPr>
          <w:p w14:paraId="1CF49AA9" w14:textId="77777777" w:rsidR="00D434FF" w:rsidRPr="007E4DFC" w:rsidRDefault="005D106E">
            <w:pPr>
              <w:widowControl w:val="0"/>
              <w:rPr>
                <w:b/>
                <w:sz w:val="20"/>
                <w:szCs w:val="20"/>
              </w:rPr>
            </w:pPr>
            <w:r w:rsidRPr="007E4DFC">
              <w:rPr>
                <w:b/>
                <w:sz w:val="20"/>
                <w:szCs w:val="20"/>
              </w:rPr>
              <w:t>8</w:t>
            </w:r>
          </w:p>
        </w:tc>
        <w:tc>
          <w:tcPr>
            <w:tcW w:w="465" w:type="dxa"/>
            <w:tcBorders>
              <w:left w:val="nil"/>
              <w:right w:val="nil"/>
            </w:tcBorders>
            <w:shd w:val="clear" w:color="auto" w:fill="CCCCCC"/>
            <w:tcMar>
              <w:top w:w="100" w:type="dxa"/>
              <w:left w:w="100" w:type="dxa"/>
              <w:bottom w:w="100" w:type="dxa"/>
              <w:right w:w="100" w:type="dxa"/>
            </w:tcMar>
          </w:tcPr>
          <w:p w14:paraId="6EDE05C1" w14:textId="77777777" w:rsidR="00D434FF" w:rsidRPr="007E4DFC" w:rsidRDefault="005D106E">
            <w:pPr>
              <w:widowControl w:val="0"/>
              <w:rPr>
                <w:b/>
                <w:sz w:val="20"/>
                <w:szCs w:val="20"/>
              </w:rPr>
            </w:pPr>
            <w:r w:rsidRPr="007E4DFC">
              <w:rPr>
                <w:b/>
                <w:sz w:val="20"/>
                <w:szCs w:val="20"/>
              </w:rPr>
              <w:t>9</w:t>
            </w:r>
          </w:p>
        </w:tc>
        <w:tc>
          <w:tcPr>
            <w:tcW w:w="555" w:type="dxa"/>
            <w:tcBorders>
              <w:left w:val="nil"/>
              <w:right w:val="nil"/>
            </w:tcBorders>
            <w:shd w:val="clear" w:color="auto" w:fill="CCCCCC"/>
            <w:tcMar>
              <w:top w:w="100" w:type="dxa"/>
              <w:left w:w="100" w:type="dxa"/>
              <w:bottom w:w="100" w:type="dxa"/>
              <w:right w:w="100" w:type="dxa"/>
            </w:tcMar>
          </w:tcPr>
          <w:p w14:paraId="568FBE70" w14:textId="77777777" w:rsidR="00D434FF" w:rsidRPr="007E4DFC" w:rsidRDefault="005D106E">
            <w:pPr>
              <w:widowControl w:val="0"/>
              <w:rPr>
                <w:b/>
                <w:sz w:val="20"/>
                <w:szCs w:val="20"/>
              </w:rPr>
            </w:pPr>
            <w:r w:rsidRPr="007E4DFC">
              <w:rPr>
                <w:b/>
                <w:sz w:val="20"/>
                <w:szCs w:val="20"/>
              </w:rPr>
              <w:t>10</w:t>
            </w:r>
          </w:p>
        </w:tc>
        <w:tc>
          <w:tcPr>
            <w:tcW w:w="465" w:type="dxa"/>
            <w:tcBorders>
              <w:left w:val="nil"/>
              <w:right w:val="nil"/>
            </w:tcBorders>
            <w:shd w:val="clear" w:color="auto" w:fill="CCCCCC"/>
            <w:tcMar>
              <w:top w:w="100" w:type="dxa"/>
              <w:left w:w="100" w:type="dxa"/>
              <w:bottom w:w="100" w:type="dxa"/>
              <w:right w:w="100" w:type="dxa"/>
            </w:tcMar>
          </w:tcPr>
          <w:p w14:paraId="6389BC4E" w14:textId="77777777" w:rsidR="00D434FF" w:rsidRPr="007E4DFC" w:rsidRDefault="005D106E">
            <w:pPr>
              <w:widowControl w:val="0"/>
              <w:rPr>
                <w:b/>
                <w:sz w:val="20"/>
                <w:szCs w:val="20"/>
              </w:rPr>
            </w:pPr>
            <w:r w:rsidRPr="007E4DFC">
              <w:rPr>
                <w:b/>
                <w:sz w:val="20"/>
                <w:szCs w:val="20"/>
              </w:rPr>
              <w:t>11</w:t>
            </w:r>
          </w:p>
        </w:tc>
        <w:tc>
          <w:tcPr>
            <w:tcW w:w="705" w:type="dxa"/>
            <w:tcBorders>
              <w:left w:val="nil"/>
              <w:right w:val="nil"/>
            </w:tcBorders>
            <w:shd w:val="clear" w:color="auto" w:fill="CCCCCC"/>
            <w:tcMar>
              <w:top w:w="100" w:type="dxa"/>
              <w:left w:w="100" w:type="dxa"/>
              <w:bottom w:w="100" w:type="dxa"/>
              <w:right w:w="100" w:type="dxa"/>
            </w:tcMar>
          </w:tcPr>
          <w:p w14:paraId="3609F293" w14:textId="77777777" w:rsidR="00D434FF" w:rsidRPr="007E4DFC" w:rsidRDefault="005D106E">
            <w:pPr>
              <w:widowControl w:val="0"/>
              <w:jc w:val="center"/>
              <w:rPr>
                <w:b/>
                <w:sz w:val="20"/>
                <w:szCs w:val="20"/>
              </w:rPr>
            </w:pPr>
            <w:r w:rsidRPr="007E4DFC">
              <w:rPr>
                <w:b/>
                <w:sz w:val="20"/>
                <w:szCs w:val="20"/>
              </w:rPr>
              <w:t>Total</w:t>
            </w:r>
          </w:p>
        </w:tc>
      </w:tr>
      <w:tr w:rsidR="00D434FF" w:rsidRPr="007E4DFC" w14:paraId="16B59720"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757EB3C4" w14:textId="77777777" w:rsidR="00D434FF" w:rsidRPr="007E4DFC" w:rsidRDefault="005D106E">
            <w:pPr>
              <w:widowControl w:val="0"/>
              <w:rPr>
                <w:sz w:val="20"/>
                <w:szCs w:val="20"/>
              </w:rPr>
            </w:pPr>
            <w:r w:rsidRPr="007E4DFC">
              <w:rPr>
                <w:sz w:val="20"/>
                <w:szCs w:val="20"/>
              </w:rPr>
              <w:t xml:space="preserve">Ross </w:t>
            </w:r>
            <w:r w:rsidRPr="007E4DFC">
              <w:rPr>
                <w:i/>
                <w:sz w:val="20"/>
                <w:szCs w:val="20"/>
              </w:rPr>
              <w:t>et al</w:t>
            </w:r>
            <w:r w:rsidRPr="007E4DFC">
              <w:rPr>
                <w:sz w:val="20"/>
                <w:szCs w:val="20"/>
              </w:rPr>
              <w:t>., 2016</w:t>
            </w:r>
          </w:p>
        </w:tc>
        <w:tc>
          <w:tcPr>
            <w:tcW w:w="450" w:type="dxa"/>
            <w:tcBorders>
              <w:left w:val="nil"/>
              <w:right w:val="nil"/>
            </w:tcBorders>
            <w:shd w:val="clear" w:color="auto" w:fill="auto"/>
            <w:tcMar>
              <w:top w:w="100" w:type="dxa"/>
              <w:left w:w="100" w:type="dxa"/>
              <w:bottom w:w="100" w:type="dxa"/>
              <w:right w:w="100" w:type="dxa"/>
            </w:tcMar>
          </w:tcPr>
          <w:p w14:paraId="18C34F55"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17C71D5D"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CBE3613"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382D671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0D7F428"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7BE7B79"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1939BBD"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36CA5FC7"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0CC91F07"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1AB7F8D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1ED1BA14"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EDC5BAB" w14:textId="77777777" w:rsidR="00D434FF" w:rsidRPr="007E4DFC" w:rsidRDefault="005D106E">
            <w:pPr>
              <w:widowControl w:val="0"/>
              <w:jc w:val="center"/>
              <w:rPr>
                <w:sz w:val="20"/>
                <w:szCs w:val="20"/>
              </w:rPr>
            </w:pPr>
            <w:r w:rsidRPr="007E4DFC">
              <w:rPr>
                <w:sz w:val="20"/>
                <w:szCs w:val="20"/>
              </w:rPr>
              <w:t>10</w:t>
            </w:r>
          </w:p>
        </w:tc>
      </w:tr>
      <w:tr w:rsidR="00D434FF" w:rsidRPr="007E4DFC" w14:paraId="122771F3"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4F735E99" w14:textId="77777777" w:rsidR="00D434FF" w:rsidRPr="007E4DFC" w:rsidRDefault="005D106E">
            <w:pPr>
              <w:widowControl w:val="0"/>
              <w:rPr>
                <w:sz w:val="20"/>
                <w:szCs w:val="20"/>
              </w:rPr>
            </w:pPr>
            <w:r w:rsidRPr="007E4DFC">
              <w:rPr>
                <w:sz w:val="20"/>
                <w:szCs w:val="20"/>
              </w:rPr>
              <w:t xml:space="preserve">Griffiths </w:t>
            </w:r>
            <w:r w:rsidRPr="007E4DFC">
              <w:rPr>
                <w:i/>
                <w:sz w:val="20"/>
                <w:szCs w:val="20"/>
              </w:rPr>
              <w:t>et al.</w:t>
            </w:r>
            <w:r w:rsidRPr="007E4DFC">
              <w:rPr>
                <w:sz w:val="20"/>
                <w:szCs w:val="20"/>
              </w:rPr>
              <w:t>, 2016</w:t>
            </w:r>
          </w:p>
        </w:tc>
        <w:tc>
          <w:tcPr>
            <w:tcW w:w="450" w:type="dxa"/>
            <w:tcBorders>
              <w:left w:val="nil"/>
              <w:right w:val="nil"/>
            </w:tcBorders>
            <w:shd w:val="clear" w:color="auto" w:fill="auto"/>
            <w:tcMar>
              <w:top w:w="100" w:type="dxa"/>
              <w:left w:w="100" w:type="dxa"/>
              <w:bottom w:w="100" w:type="dxa"/>
              <w:right w:w="100" w:type="dxa"/>
            </w:tcMar>
          </w:tcPr>
          <w:p w14:paraId="1800E15C"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74D24EBA"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3231A46"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34B3CE11"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70F52575"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07AAFE0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5E11F00"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686F1A84"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095919CA"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3A3F1A13"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1D80D84"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788B46C8" w14:textId="77777777" w:rsidR="00D434FF" w:rsidRPr="007E4DFC" w:rsidRDefault="005D106E">
            <w:pPr>
              <w:widowControl w:val="0"/>
              <w:jc w:val="center"/>
              <w:rPr>
                <w:sz w:val="20"/>
                <w:szCs w:val="20"/>
              </w:rPr>
            </w:pPr>
            <w:r w:rsidRPr="007E4DFC">
              <w:rPr>
                <w:sz w:val="20"/>
                <w:szCs w:val="20"/>
              </w:rPr>
              <w:t>10</w:t>
            </w:r>
          </w:p>
        </w:tc>
      </w:tr>
      <w:tr w:rsidR="00D434FF" w:rsidRPr="007E4DFC" w14:paraId="50E4C1B0"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0E4B4488" w14:textId="77777777" w:rsidR="00D434FF" w:rsidRPr="007E4DFC" w:rsidRDefault="005D106E">
            <w:pPr>
              <w:widowControl w:val="0"/>
              <w:rPr>
                <w:sz w:val="20"/>
                <w:szCs w:val="20"/>
              </w:rPr>
            </w:pPr>
            <w:r w:rsidRPr="007E4DFC">
              <w:rPr>
                <w:sz w:val="20"/>
                <w:szCs w:val="20"/>
              </w:rPr>
              <w:t xml:space="preserve">Carhart-Harris </w:t>
            </w:r>
            <w:r w:rsidRPr="007E4DFC">
              <w:rPr>
                <w:i/>
                <w:sz w:val="20"/>
                <w:szCs w:val="20"/>
              </w:rPr>
              <w:t>et al.</w:t>
            </w:r>
            <w:r w:rsidRPr="007E4DFC">
              <w:rPr>
                <w:sz w:val="20"/>
                <w:szCs w:val="20"/>
              </w:rPr>
              <w:t xml:space="preserve">, 2021 </w:t>
            </w:r>
          </w:p>
        </w:tc>
        <w:tc>
          <w:tcPr>
            <w:tcW w:w="450" w:type="dxa"/>
            <w:tcBorders>
              <w:left w:val="nil"/>
              <w:right w:val="nil"/>
            </w:tcBorders>
            <w:shd w:val="clear" w:color="auto" w:fill="auto"/>
            <w:tcMar>
              <w:top w:w="100" w:type="dxa"/>
              <w:left w:w="100" w:type="dxa"/>
              <w:bottom w:w="100" w:type="dxa"/>
              <w:right w:w="100" w:type="dxa"/>
            </w:tcMar>
          </w:tcPr>
          <w:p w14:paraId="7890D34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6706E5CC"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0EAA9F33"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42AA241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14369764"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0D5A8A6F"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57D7327"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18B78D2A"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54AF509C"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64B44E08"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4226F2E"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8103597" w14:textId="77777777" w:rsidR="00D434FF" w:rsidRPr="007E4DFC" w:rsidRDefault="005D106E">
            <w:pPr>
              <w:widowControl w:val="0"/>
              <w:jc w:val="center"/>
              <w:rPr>
                <w:sz w:val="20"/>
                <w:szCs w:val="20"/>
              </w:rPr>
            </w:pPr>
            <w:r w:rsidRPr="007E4DFC">
              <w:rPr>
                <w:sz w:val="20"/>
                <w:szCs w:val="20"/>
              </w:rPr>
              <w:t>10</w:t>
            </w:r>
          </w:p>
        </w:tc>
      </w:tr>
      <w:tr w:rsidR="00D434FF" w:rsidRPr="007E4DFC" w14:paraId="6548D84C" w14:textId="77777777">
        <w:trPr>
          <w:trHeight w:val="435"/>
        </w:trPr>
        <w:tc>
          <w:tcPr>
            <w:tcW w:w="3390" w:type="dxa"/>
            <w:tcBorders>
              <w:left w:val="nil"/>
              <w:right w:val="nil"/>
            </w:tcBorders>
            <w:shd w:val="clear" w:color="auto" w:fill="auto"/>
            <w:tcMar>
              <w:top w:w="100" w:type="dxa"/>
              <w:left w:w="100" w:type="dxa"/>
              <w:bottom w:w="100" w:type="dxa"/>
              <w:right w:w="100" w:type="dxa"/>
            </w:tcMar>
          </w:tcPr>
          <w:p w14:paraId="72E762FD" w14:textId="77777777" w:rsidR="00D434FF" w:rsidRPr="007E4DFC" w:rsidRDefault="005D106E">
            <w:pPr>
              <w:widowControl w:val="0"/>
              <w:rPr>
                <w:sz w:val="20"/>
                <w:szCs w:val="20"/>
              </w:rPr>
            </w:pPr>
            <w:r w:rsidRPr="007E4DFC">
              <w:rPr>
                <w:sz w:val="20"/>
                <w:szCs w:val="20"/>
              </w:rPr>
              <w:t xml:space="preserve">von </w:t>
            </w:r>
            <w:proofErr w:type="spellStart"/>
            <w:r w:rsidRPr="007E4DFC">
              <w:rPr>
                <w:sz w:val="20"/>
                <w:szCs w:val="20"/>
              </w:rPr>
              <w:t>Rotz</w:t>
            </w:r>
            <w:proofErr w:type="spellEnd"/>
            <w:r w:rsidRPr="007E4DFC">
              <w:rPr>
                <w:sz w:val="20"/>
                <w:szCs w:val="20"/>
              </w:rPr>
              <w:t xml:space="preserve"> </w:t>
            </w:r>
            <w:r w:rsidRPr="007E4DFC">
              <w:rPr>
                <w:i/>
                <w:sz w:val="20"/>
                <w:szCs w:val="20"/>
              </w:rPr>
              <w:t>et al.,</w:t>
            </w:r>
            <w:r w:rsidRPr="007E4DFC">
              <w:rPr>
                <w:sz w:val="20"/>
                <w:szCs w:val="20"/>
              </w:rPr>
              <w:t xml:space="preserve"> 2022</w:t>
            </w:r>
          </w:p>
        </w:tc>
        <w:tc>
          <w:tcPr>
            <w:tcW w:w="450" w:type="dxa"/>
            <w:tcBorders>
              <w:left w:val="nil"/>
              <w:right w:val="nil"/>
            </w:tcBorders>
            <w:shd w:val="clear" w:color="auto" w:fill="auto"/>
            <w:tcMar>
              <w:top w:w="100" w:type="dxa"/>
              <w:left w:w="100" w:type="dxa"/>
              <w:bottom w:w="100" w:type="dxa"/>
              <w:right w:w="100" w:type="dxa"/>
            </w:tcMar>
          </w:tcPr>
          <w:p w14:paraId="31CD6CE3"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30D70660"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41C5669"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E2BC334"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3FEC5930"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69266239"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0093121B"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252A50C7"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369BA42"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6A1B64C1"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37F5427D"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57049159" w14:textId="77777777" w:rsidR="00D434FF" w:rsidRPr="007E4DFC" w:rsidRDefault="005D106E">
            <w:pPr>
              <w:widowControl w:val="0"/>
              <w:jc w:val="center"/>
              <w:rPr>
                <w:sz w:val="20"/>
                <w:szCs w:val="20"/>
              </w:rPr>
            </w:pPr>
            <w:r w:rsidRPr="007E4DFC">
              <w:rPr>
                <w:sz w:val="20"/>
                <w:szCs w:val="20"/>
              </w:rPr>
              <w:t>10</w:t>
            </w:r>
          </w:p>
        </w:tc>
      </w:tr>
      <w:tr w:rsidR="00D434FF" w:rsidRPr="007E4DFC" w14:paraId="37B33587"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369EDB10" w14:textId="77777777" w:rsidR="00D434FF" w:rsidRPr="007E4DFC" w:rsidRDefault="005D106E">
            <w:pPr>
              <w:widowControl w:val="0"/>
              <w:rPr>
                <w:sz w:val="20"/>
                <w:szCs w:val="20"/>
              </w:rPr>
            </w:pPr>
            <w:r w:rsidRPr="007E4DFC">
              <w:rPr>
                <w:sz w:val="20"/>
                <w:szCs w:val="20"/>
              </w:rPr>
              <w:t xml:space="preserve">Goodwin </w:t>
            </w:r>
            <w:r w:rsidRPr="007E4DFC">
              <w:rPr>
                <w:i/>
                <w:sz w:val="20"/>
                <w:szCs w:val="20"/>
              </w:rPr>
              <w:t>et al.,</w:t>
            </w:r>
            <w:r w:rsidRPr="007E4DFC">
              <w:rPr>
                <w:sz w:val="20"/>
                <w:szCs w:val="20"/>
              </w:rPr>
              <w:t xml:space="preserve"> 2022</w:t>
            </w:r>
          </w:p>
        </w:tc>
        <w:tc>
          <w:tcPr>
            <w:tcW w:w="450" w:type="dxa"/>
            <w:tcBorders>
              <w:left w:val="nil"/>
              <w:right w:val="nil"/>
            </w:tcBorders>
            <w:shd w:val="clear" w:color="auto" w:fill="auto"/>
            <w:tcMar>
              <w:top w:w="100" w:type="dxa"/>
              <w:left w:w="100" w:type="dxa"/>
              <w:bottom w:w="100" w:type="dxa"/>
              <w:right w:w="100" w:type="dxa"/>
            </w:tcMar>
          </w:tcPr>
          <w:p w14:paraId="0746CD88"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2479048"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E76E4A2"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422E09D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7B3B9780"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82FFE04"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430A450"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791C6820"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51D39660"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3D3CB95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5DA0127B"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0F1CF86" w14:textId="77777777" w:rsidR="00D434FF" w:rsidRPr="007E4DFC" w:rsidRDefault="005D106E">
            <w:pPr>
              <w:widowControl w:val="0"/>
              <w:jc w:val="center"/>
              <w:rPr>
                <w:sz w:val="20"/>
                <w:szCs w:val="20"/>
              </w:rPr>
            </w:pPr>
            <w:r w:rsidRPr="007E4DFC">
              <w:rPr>
                <w:sz w:val="20"/>
                <w:szCs w:val="20"/>
              </w:rPr>
              <w:t>10</w:t>
            </w:r>
          </w:p>
        </w:tc>
      </w:tr>
      <w:tr w:rsidR="00D434FF" w:rsidRPr="007E4DFC" w14:paraId="2C792C77" w14:textId="77777777">
        <w:trPr>
          <w:trHeight w:val="585"/>
        </w:trPr>
        <w:tc>
          <w:tcPr>
            <w:tcW w:w="3390" w:type="dxa"/>
            <w:tcBorders>
              <w:left w:val="nil"/>
              <w:right w:val="nil"/>
            </w:tcBorders>
            <w:shd w:val="clear" w:color="auto" w:fill="auto"/>
            <w:tcMar>
              <w:top w:w="100" w:type="dxa"/>
              <w:left w:w="100" w:type="dxa"/>
              <w:bottom w:w="100" w:type="dxa"/>
              <w:right w:w="100" w:type="dxa"/>
            </w:tcMar>
          </w:tcPr>
          <w:p w14:paraId="71193A75" w14:textId="77777777" w:rsidR="00D434FF" w:rsidRPr="007E4DFC" w:rsidRDefault="005D106E">
            <w:pPr>
              <w:widowControl w:val="0"/>
              <w:rPr>
                <w:sz w:val="20"/>
                <w:szCs w:val="20"/>
              </w:rPr>
            </w:pPr>
            <w:r w:rsidRPr="007E4DFC">
              <w:rPr>
                <w:sz w:val="20"/>
                <w:szCs w:val="20"/>
              </w:rPr>
              <w:t xml:space="preserve">Barba </w:t>
            </w:r>
            <w:r w:rsidRPr="007E4DFC">
              <w:rPr>
                <w:i/>
                <w:sz w:val="20"/>
                <w:szCs w:val="20"/>
              </w:rPr>
              <w:t>et al.</w:t>
            </w:r>
            <w:r w:rsidRPr="007E4DFC">
              <w:rPr>
                <w:sz w:val="20"/>
                <w:szCs w:val="20"/>
              </w:rPr>
              <w:t xml:space="preserve">, 2022 (secundário de Carhart-Harris </w:t>
            </w:r>
            <w:r w:rsidRPr="007E4DFC">
              <w:rPr>
                <w:i/>
                <w:sz w:val="20"/>
                <w:szCs w:val="20"/>
              </w:rPr>
              <w:t>et al.</w:t>
            </w:r>
            <w:r w:rsidRPr="007E4DFC">
              <w:rPr>
                <w:sz w:val="20"/>
                <w:szCs w:val="20"/>
              </w:rPr>
              <w:t>, 2021)</w:t>
            </w:r>
          </w:p>
        </w:tc>
        <w:tc>
          <w:tcPr>
            <w:tcW w:w="450" w:type="dxa"/>
            <w:tcBorders>
              <w:left w:val="nil"/>
              <w:right w:val="nil"/>
            </w:tcBorders>
            <w:shd w:val="clear" w:color="auto" w:fill="auto"/>
            <w:tcMar>
              <w:top w:w="100" w:type="dxa"/>
              <w:left w:w="100" w:type="dxa"/>
              <w:bottom w:w="100" w:type="dxa"/>
              <w:right w:w="100" w:type="dxa"/>
            </w:tcMar>
          </w:tcPr>
          <w:p w14:paraId="6FE4801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2C137157"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00EFCEE1"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AE05107"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5A91315D"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0F1FAE7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D75D092"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3BCF3EB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18A6C05D"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502E723F"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0E1B926"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0E88AD9E" w14:textId="77777777" w:rsidR="00D434FF" w:rsidRPr="007E4DFC" w:rsidRDefault="005D106E">
            <w:pPr>
              <w:widowControl w:val="0"/>
              <w:jc w:val="center"/>
              <w:rPr>
                <w:sz w:val="20"/>
                <w:szCs w:val="20"/>
              </w:rPr>
            </w:pPr>
            <w:r w:rsidRPr="007E4DFC">
              <w:rPr>
                <w:sz w:val="20"/>
                <w:szCs w:val="20"/>
              </w:rPr>
              <w:t>10</w:t>
            </w:r>
          </w:p>
        </w:tc>
      </w:tr>
      <w:tr w:rsidR="00D434FF" w:rsidRPr="007E4DFC" w14:paraId="19B4BD60"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3FAB8F32" w14:textId="77777777" w:rsidR="00D434FF" w:rsidRPr="007E4DFC" w:rsidRDefault="005D106E">
            <w:pPr>
              <w:widowControl w:val="0"/>
              <w:rPr>
                <w:sz w:val="20"/>
                <w:szCs w:val="20"/>
              </w:rPr>
            </w:pPr>
            <w:proofErr w:type="spellStart"/>
            <w:r w:rsidRPr="007E4DFC">
              <w:rPr>
                <w:sz w:val="20"/>
                <w:szCs w:val="20"/>
              </w:rPr>
              <w:t>Sloshower</w:t>
            </w:r>
            <w:proofErr w:type="spellEnd"/>
            <w:r w:rsidRPr="007E4DFC">
              <w:rPr>
                <w:sz w:val="20"/>
                <w:szCs w:val="20"/>
              </w:rPr>
              <w:t xml:space="preserve"> </w:t>
            </w:r>
            <w:r w:rsidRPr="007E4DFC">
              <w:rPr>
                <w:i/>
                <w:sz w:val="20"/>
                <w:szCs w:val="20"/>
              </w:rPr>
              <w:t>et al.,</w:t>
            </w:r>
            <w:r w:rsidRPr="007E4DFC">
              <w:rPr>
                <w:sz w:val="20"/>
                <w:szCs w:val="20"/>
              </w:rPr>
              <w:t xml:space="preserve"> 2023 </w:t>
            </w:r>
          </w:p>
        </w:tc>
        <w:tc>
          <w:tcPr>
            <w:tcW w:w="450" w:type="dxa"/>
            <w:tcBorders>
              <w:left w:val="nil"/>
              <w:right w:val="nil"/>
            </w:tcBorders>
            <w:shd w:val="clear" w:color="auto" w:fill="auto"/>
            <w:tcMar>
              <w:top w:w="100" w:type="dxa"/>
              <w:left w:w="100" w:type="dxa"/>
              <w:bottom w:w="100" w:type="dxa"/>
              <w:right w:w="100" w:type="dxa"/>
            </w:tcMar>
          </w:tcPr>
          <w:p w14:paraId="33A1535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F0648AE"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3F1F1786"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26D64121"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048D537A"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CC8238C"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5087C7C"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119C9DF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0646B9D"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678134EF"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2D898ED"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2A6FAFB7" w14:textId="77777777" w:rsidR="00D434FF" w:rsidRPr="007E4DFC" w:rsidRDefault="005D106E">
            <w:pPr>
              <w:widowControl w:val="0"/>
              <w:jc w:val="center"/>
              <w:rPr>
                <w:sz w:val="20"/>
                <w:szCs w:val="20"/>
              </w:rPr>
            </w:pPr>
            <w:r w:rsidRPr="007E4DFC">
              <w:rPr>
                <w:sz w:val="20"/>
                <w:szCs w:val="20"/>
              </w:rPr>
              <w:t>10</w:t>
            </w:r>
          </w:p>
        </w:tc>
      </w:tr>
      <w:tr w:rsidR="00D434FF" w:rsidRPr="007E4DFC" w14:paraId="7AA110CB"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45D1C0B3" w14:textId="77777777" w:rsidR="00D434FF" w:rsidRPr="007E4DFC" w:rsidRDefault="005D106E">
            <w:pPr>
              <w:widowControl w:val="0"/>
              <w:rPr>
                <w:sz w:val="20"/>
                <w:szCs w:val="20"/>
              </w:rPr>
            </w:pPr>
            <w:proofErr w:type="spellStart"/>
            <w:r w:rsidRPr="007E4DFC">
              <w:rPr>
                <w:sz w:val="20"/>
                <w:szCs w:val="20"/>
              </w:rPr>
              <w:t>Skosnik</w:t>
            </w:r>
            <w:proofErr w:type="spellEnd"/>
            <w:r w:rsidRPr="007E4DFC">
              <w:rPr>
                <w:sz w:val="20"/>
                <w:szCs w:val="20"/>
              </w:rPr>
              <w:t xml:space="preserve"> </w:t>
            </w:r>
            <w:r w:rsidRPr="007E4DFC">
              <w:rPr>
                <w:i/>
                <w:sz w:val="20"/>
                <w:szCs w:val="20"/>
              </w:rPr>
              <w:t>et al.,</w:t>
            </w:r>
            <w:r w:rsidRPr="007E4DFC">
              <w:rPr>
                <w:sz w:val="20"/>
                <w:szCs w:val="20"/>
              </w:rPr>
              <w:t xml:space="preserve"> 2023 (secundário de </w:t>
            </w:r>
            <w:proofErr w:type="spellStart"/>
            <w:r w:rsidRPr="007E4DFC">
              <w:rPr>
                <w:sz w:val="20"/>
                <w:szCs w:val="20"/>
              </w:rPr>
              <w:t>Sloshower</w:t>
            </w:r>
            <w:proofErr w:type="spellEnd"/>
            <w:r w:rsidRPr="007E4DFC">
              <w:rPr>
                <w:sz w:val="20"/>
                <w:szCs w:val="20"/>
              </w:rPr>
              <w:t xml:space="preserve"> </w:t>
            </w:r>
            <w:r w:rsidRPr="007E4DFC">
              <w:rPr>
                <w:i/>
                <w:sz w:val="20"/>
                <w:szCs w:val="20"/>
              </w:rPr>
              <w:t>et al.,</w:t>
            </w:r>
            <w:r w:rsidRPr="007E4DFC">
              <w:rPr>
                <w:sz w:val="20"/>
                <w:szCs w:val="20"/>
              </w:rPr>
              <w:t xml:space="preserve"> 2023)</w:t>
            </w:r>
          </w:p>
        </w:tc>
        <w:tc>
          <w:tcPr>
            <w:tcW w:w="450" w:type="dxa"/>
            <w:tcBorders>
              <w:left w:val="nil"/>
              <w:right w:val="nil"/>
            </w:tcBorders>
            <w:shd w:val="clear" w:color="auto" w:fill="auto"/>
            <w:tcMar>
              <w:top w:w="100" w:type="dxa"/>
              <w:left w:w="100" w:type="dxa"/>
              <w:bottom w:w="100" w:type="dxa"/>
              <w:right w:w="100" w:type="dxa"/>
            </w:tcMar>
          </w:tcPr>
          <w:p w14:paraId="1ADA6F0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8E2AE92"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3B4FEC02"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41DE1D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096CE7A5"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1FF5AD1"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C4BCE68"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733A3462"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1AF8942E"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4D5976DC"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C31C111"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1BC89FA4" w14:textId="77777777" w:rsidR="00D434FF" w:rsidRPr="007E4DFC" w:rsidRDefault="005D106E">
            <w:pPr>
              <w:widowControl w:val="0"/>
              <w:jc w:val="center"/>
              <w:rPr>
                <w:sz w:val="20"/>
                <w:szCs w:val="20"/>
              </w:rPr>
            </w:pPr>
            <w:r w:rsidRPr="007E4DFC">
              <w:rPr>
                <w:sz w:val="20"/>
                <w:szCs w:val="20"/>
              </w:rPr>
              <w:t>10</w:t>
            </w:r>
          </w:p>
        </w:tc>
      </w:tr>
      <w:tr w:rsidR="00D434FF" w:rsidRPr="007E4DFC" w14:paraId="32EDA697" w14:textId="77777777">
        <w:trPr>
          <w:trHeight w:val="585"/>
        </w:trPr>
        <w:tc>
          <w:tcPr>
            <w:tcW w:w="3390" w:type="dxa"/>
            <w:tcBorders>
              <w:left w:val="nil"/>
              <w:right w:val="nil"/>
            </w:tcBorders>
            <w:shd w:val="clear" w:color="auto" w:fill="auto"/>
            <w:tcMar>
              <w:top w:w="100" w:type="dxa"/>
              <w:left w:w="100" w:type="dxa"/>
              <w:bottom w:w="100" w:type="dxa"/>
              <w:right w:w="100" w:type="dxa"/>
            </w:tcMar>
          </w:tcPr>
          <w:p w14:paraId="100E411F" w14:textId="77777777" w:rsidR="00D434FF" w:rsidRPr="00031D66" w:rsidRDefault="005D106E">
            <w:pPr>
              <w:widowControl w:val="0"/>
              <w:rPr>
                <w:sz w:val="20"/>
                <w:szCs w:val="20"/>
                <w:lang w:val="es-AR"/>
              </w:rPr>
            </w:pPr>
            <w:r w:rsidRPr="00031D66">
              <w:rPr>
                <w:sz w:val="20"/>
                <w:szCs w:val="20"/>
                <w:lang w:val="es-AR"/>
              </w:rPr>
              <w:t xml:space="preserve">Goodwin </w:t>
            </w:r>
            <w:r w:rsidRPr="00031D66">
              <w:rPr>
                <w:i/>
                <w:sz w:val="20"/>
                <w:szCs w:val="20"/>
                <w:lang w:val="es-AR"/>
              </w:rPr>
              <w:t>et al.,</w:t>
            </w:r>
            <w:r w:rsidRPr="00031D66">
              <w:rPr>
                <w:sz w:val="20"/>
                <w:szCs w:val="20"/>
                <w:lang w:val="es-AR"/>
              </w:rPr>
              <w:t xml:space="preserve"> 2023 (secundário de Goodwin </w:t>
            </w:r>
            <w:r w:rsidRPr="00031D66">
              <w:rPr>
                <w:i/>
                <w:sz w:val="20"/>
                <w:szCs w:val="20"/>
                <w:lang w:val="es-AR"/>
              </w:rPr>
              <w:t>et al.,</w:t>
            </w:r>
            <w:r w:rsidRPr="00031D66">
              <w:rPr>
                <w:sz w:val="20"/>
                <w:szCs w:val="20"/>
                <w:lang w:val="es-AR"/>
              </w:rPr>
              <w:t xml:space="preserve"> 2022)</w:t>
            </w:r>
          </w:p>
        </w:tc>
        <w:tc>
          <w:tcPr>
            <w:tcW w:w="450" w:type="dxa"/>
            <w:tcBorders>
              <w:left w:val="nil"/>
              <w:right w:val="nil"/>
            </w:tcBorders>
            <w:shd w:val="clear" w:color="auto" w:fill="auto"/>
            <w:tcMar>
              <w:top w:w="100" w:type="dxa"/>
              <w:left w:w="100" w:type="dxa"/>
              <w:bottom w:w="100" w:type="dxa"/>
              <w:right w:w="100" w:type="dxa"/>
            </w:tcMar>
          </w:tcPr>
          <w:p w14:paraId="0DE50207"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258B9020"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7624DD56"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7F4C118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2449F184"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43C31DB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F5790E8"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4D5EDA30"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AE54F55"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5A215F4C"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D51C445"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54E366DA" w14:textId="77777777" w:rsidR="00D434FF" w:rsidRPr="007E4DFC" w:rsidRDefault="005D106E">
            <w:pPr>
              <w:widowControl w:val="0"/>
              <w:jc w:val="center"/>
              <w:rPr>
                <w:sz w:val="20"/>
                <w:szCs w:val="20"/>
              </w:rPr>
            </w:pPr>
            <w:r w:rsidRPr="007E4DFC">
              <w:rPr>
                <w:sz w:val="20"/>
                <w:szCs w:val="20"/>
              </w:rPr>
              <w:t>10</w:t>
            </w:r>
          </w:p>
        </w:tc>
      </w:tr>
      <w:tr w:rsidR="00D434FF" w:rsidRPr="007E4DFC" w14:paraId="51DCEA04"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621CD030" w14:textId="77777777" w:rsidR="00D434FF" w:rsidRPr="007E4DFC" w:rsidRDefault="005D106E">
            <w:pPr>
              <w:widowControl w:val="0"/>
              <w:rPr>
                <w:sz w:val="20"/>
                <w:szCs w:val="20"/>
              </w:rPr>
            </w:pPr>
            <w:proofErr w:type="spellStart"/>
            <w:r w:rsidRPr="007E4DFC">
              <w:rPr>
                <w:sz w:val="20"/>
                <w:szCs w:val="20"/>
              </w:rPr>
              <w:t>Raison</w:t>
            </w:r>
            <w:proofErr w:type="spellEnd"/>
            <w:r w:rsidRPr="007E4DFC">
              <w:rPr>
                <w:i/>
                <w:sz w:val="20"/>
                <w:szCs w:val="20"/>
              </w:rPr>
              <w:t xml:space="preserve"> et al.</w:t>
            </w:r>
            <w:r w:rsidRPr="007E4DFC">
              <w:rPr>
                <w:sz w:val="20"/>
                <w:szCs w:val="20"/>
              </w:rPr>
              <w:t xml:space="preserve">, 2023 </w:t>
            </w:r>
          </w:p>
        </w:tc>
        <w:tc>
          <w:tcPr>
            <w:tcW w:w="450" w:type="dxa"/>
            <w:tcBorders>
              <w:left w:val="nil"/>
              <w:right w:val="nil"/>
            </w:tcBorders>
            <w:shd w:val="clear" w:color="auto" w:fill="auto"/>
            <w:tcMar>
              <w:top w:w="100" w:type="dxa"/>
              <w:left w:w="100" w:type="dxa"/>
              <w:bottom w:w="100" w:type="dxa"/>
              <w:right w:w="100" w:type="dxa"/>
            </w:tcMar>
          </w:tcPr>
          <w:p w14:paraId="066B9968"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68E8E7B2"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A0D8B5A"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4A7E6EC"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38529C70"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54485113"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55B1E51"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43A6F027"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657E334"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24B4365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309518D9"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2E6F89F" w14:textId="77777777" w:rsidR="00D434FF" w:rsidRPr="007E4DFC" w:rsidRDefault="005D106E">
            <w:pPr>
              <w:widowControl w:val="0"/>
              <w:jc w:val="center"/>
              <w:rPr>
                <w:sz w:val="20"/>
                <w:szCs w:val="20"/>
              </w:rPr>
            </w:pPr>
            <w:r w:rsidRPr="007E4DFC">
              <w:rPr>
                <w:sz w:val="20"/>
                <w:szCs w:val="20"/>
              </w:rPr>
              <w:t>10</w:t>
            </w:r>
          </w:p>
        </w:tc>
      </w:tr>
    </w:tbl>
    <w:p w14:paraId="230A77C4" w14:textId="77777777" w:rsidR="00D434FF" w:rsidRPr="007E4DFC" w:rsidRDefault="005D106E">
      <w:pPr>
        <w:widowControl w:val="0"/>
        <w:shd w:val="clear" w:color="auto" w:fill="FFFFFF"/>
        <w:spacing w:after="180" w:line="360" w:lineRule="auto"/>
        <w:jc w:val="both"/>
        <w:rPr>
          <w:sz w:val="20"/>
          <w:szCs w:val="20"/>
        </w:rPr>
      </w:pPr>
      <w:r w:rsidRPr="007E4DFC">
        <w:rPr>
          <w:i/>
          <w:sz w:val="20"/>
          <w:szCs w:val="20"/>
        </w:rPr>
        <w:t xml:space="preserve">Nota: </w:t>
      </w:r>
      <w:r w:rsidRPr="007E4DFC">
        <w:rPr>
          <w:sz w:val="20"/>
          <w:szCs w:val="20"/>
        </w:rPr>
        <w:t xml:space="preserve">1) especificação dos critérios de elegibilidade; 2) randomização; 3) destruição cega; 4) semelhança entre os </w:t>
      </w:r>
      <w:r w:rsidRPr="007E4DFC">
        <w:rPr>
          <w:sz w:val="20"/>
          <w:szCs w:val="20"/>
        </w:rPr>
        <w:lastRenderedPageBreak/>
        <w:t>grupos; 5) sujeitos de forma cega; 6) terapeutas de forma cega; 7) avaliação de forma cega; 8) resultado-chave obtido em mais de 85% dos sujeitos iniciais (destaca-se, aqui, uma perda de, pelo menos, 15% do número total da amostra); 9) intenção de tratamento; 10) comparação estatística intergrupos; 11) medidas de precisão (ex.: desvios-padrão, erros-padrão etc.). O item 1 representa a validade externa, itens 2, 4, 5, 6, 7, 8 e 9 a análise do risco de viés e itens 10 e 11 a descrição estatística.</w:t>
      </w:r>
      <w:r w:rsidRPr="007E4DFC">
        <w:rPr>
          <w:i/>
          <w:sz w:val="20"/>
          <w:szCs w:val="20"/>
        </w:rPr>
        <w:t xml:space="preserve"> </w:t>
      </w:r>
      <w:r w:rsidRPr="007E4DFC">
        <w:rPr>
          <w:sz w:val="20"/>
          <w:szCs w:val="20"/>
        </w:rPr>
        <w:t>*Item 1 não contribui para o total do score.</w:t>
      </w:r>
    </w:p>
    <w:p w14:paraId="63A16BA6" w14:textId="77777777" w:rsidR="00D434FF" w:rsidRPr="007E4DFC" w:rsidRDefault="005D106E">
      <w:pPr>
        <w:widowControl w:val="0"/>
        <w:pBdr>
          <w:top w:val="none" w:sz="0" w:space="7" w:color="auto"/>
        </w:pBdr>
        <w:spacing w:line="360" w:lineRule="auto"/>
        <w:rPr>
          <w:b/>
          <w:i/>
        </w:rPr>
      </w:pPr>
      <w:r w:rsidRPr="007E4DFC">
        <w:rPr>
          <w:b/>
          <w:i/>
        </w:rPr>
        <w:t>Sumário do risco de viés</w:t>
      </w:r>
    </w:p>
    <w:p w14:paraId="42ABAA27" w14:textId="77777777" w:rsidR="00D434FF" w:rsidRPr="007E4DFC" w:rsidRDefault="005D106E">
      <w:pPr>
        <w:widowControl w:val="0"/>
        <w:pBdr>
          <w:top w:val="none" w:sz="0" w:space="7" w:color="auto"/>
        </w:pBdr>
        <w:spacing w:line="360" w:lineRule="auto"/>
        <w:rPr>
          <w:b/>
        </w:rPr>
      </w:pPr>
      <w:r w:rsidRPr="007E4DFC">
        <w:rPr>
          <w:b/>
        </w:rPr>
        <w:t>Figura 3*</w:t>
      </w:r>
    </w:p>
    <w:p w14:paraId="4EAB74C1" w14:textId="77777777" w:rsidR="00D434FF" w:rsidRPr="007E4DFC" w:rsidRDefault="005D106E">
      <w:pPr>
        <w:widowControl w:val="0"/>
        <w:pBdr>
          <w:top w:val="none" w:sz="0" w:space="7" w:color="auto"/>
        </w:pBdr>
        <w:spacing w:after="300" w:line="360" w:lineRule="auto"/>
        <w:jc w:val="center"/>
        <w:rPr>
          <w:sz w:val="20"/>
          <w:szCs w:val="20"/>
        </w:rPr>
      </w:pPr>
      <w:r w:rsidRPr="007E4DFC">
        <w:rPr>
          <w:noProof/>
          <w:sz w:val="20"/>
          <w:szCs w:val="20"/>
        </w:rPr>
        <w:drawing>
          <wp:inline distT="114300" distB="114300" distL="114300" distR="114300" wp14:anchorId="1C4BBEB9" wp14:editId="20E086D7">
            <wp:extent cx="5689763" cy="324703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89763" cy="3247037"/>
                    </a:xfrm>
                    <a:prstGeom prst="rect">
                      <a:avLst/>
                    </a:prstGeom>
                    <a:ln/>
                  </pic:spPr>
                </pic:pic>
              </a:graphicData>
            </a:graphic>
          </wp:inline>
        </w:drawing>
      </w:r>
    </w:p>
    <w:p w14:paraId="22AB011B" w14:textId="77777777" w:rsidR="00D434FF" w:rsidRPr="003C4456" w:rsidRDefault="005D106E">
      <w:pPr>
        <w:widowControl w:val="0"/>
        <w:pBdr>
          <w:top w:val="none" w:sz="0" w:space="7" w:color="auto"/>
        </w:pBdr>
        <w:spacing w:after="300" w:line="360" w:lineRule="auto"/>
        <w:jc w:val="both"/>
        <w:rPr>
          <w:sz w:val="20"/>
          <w:szCs w:val="20"/>
        </w:rPr>
      </w:pPr>
      <w:r w:rsidRPr="003C4456">
        <w:rPr>
          <w:sz w:val="20"/>
          <w:szCs w:val="20"/>
        </w:rPr>
        <w:t xml:space="preserve">*Feita pelos autores, via </w:t>
      </w:r>
      <w:proofErr w:type="spellStart"/>
      <w:r w:rsidRPr="003C4456">
        <w:rPr>
          <w:sz w:val="20"/>
          <w:szCs w:val="20"/>
        </w:rPr>
        <w:t>RevMan</w:t>
      </w:r>
      <w:proofErr w:type="spellEnd"/>
      <w:r w:rsidRPr="003C4456">
        <w:rPr>
          <w:sz w:val="20"/>
          <w:szCs w:val="20"/>
        </w:rPr>
        <w:t xml:space="preserve"> 5.4.1. Tradução: </w:t>
      </w:r>
      <w:proofErr w:type="spellStart"/>
      <w:r w:rsidRPr="003C4456">
        <w:rPr>
          <w:i/>
          <w:sz w:val="20"/>
          <w:szCs w:val="20"/>
        </w:rPr>
        <w:t>Low</w:t>
      </w:r>
      <w:proofErr w:type="spellEnd"/>
      <w:r w:rsidRPr="003C4456">
        <w:rPr>
          <w:i/>
          <w:sz w:val="20"/>
          <w:szCs w:val="20"/>
        </w:rPr>
        <w:t xml:space="preserve"> </w:t>
      </w:r>
      <w:proofErr w:type="spellStart"/>
      <w:r w:rsidRPr="003C4456">
        <w:rPr>
          <w:i/>
          <w:sz w:val="20"/>
          <w:szCs w:val="20"/>
        </w:rPr>
        <w:t>risk</w:t>
      </w:r>
      <w:proofErr w:type="spellEnd"/>
      <w:r w:rsidRPr="003C4456">
        <w:rPr>
          <w:i/>
          <w:sz w:val="20"/>
          <w:szCs w:val="20"/>
        </w:rPr>
        <w:t xml:space="preserve"> </w:t>
      </w:r>
      <w:proofErr w:type="spellStart"/>
      <w:r w:rsidRPr="003C4456">
        <w:rPr>
          <w:i/>
          <w:sz w:val="20"/>
          <w:szCs w:val="20"/>
        </w:rPr>
        <w:t>of</w:t>
      </w:r>
      <w:proofErr w:type="spellEnd"/>
      <w:r w:rsidRPr="003C4456">
        <w:rPr>
          <w:i/>
          <w:sz w:val="20"/>
          <w:szCs w:val="20"/>
        </w:rPr>
        <w:t xml:space="preserve"> bias</w:t>
      </w:r>
      <w:r w:rsidRPr="003C4456">
        <w:rPr>
          <w:sz w:val="20"/>
          <w:szCs w:val="20"/>
        </w:rPr>
        <w:t xml:space="preserve"> (Baixo risco de viés); </w:t>
      </w:r>
      <w:proofErr w:type="spellStart"/>
      <w:r w:rsidRPr="003C4456">
        <w:rPr>
          <w:i/>
          <w:sz w:val="20"/>
          <w:szCs w:val="20"/>
        </w:rPr>
        <w:t>Unclear</w:t>
      </w:r>
      <w:proofErr w:type="spellEnd"/>
      <w:r w:rsidRPr="003C4456">
        <w:rPr>
          <w:i/>
          <w:sz w:val="20"/>
          <w:szCs w:val="20"/>
        </w:rPr>
        <w:t xml:space="preserve"> </w:t>
      </w:r>
      <w:proofErr w:type="spellStart"/>
      <w:r w:rsidRPr="003C4456">
        <w:rPr>
          <w:i/>
          <w:sz w:val="20"/>
          <w:szCs w:val="20"/>
        </w:rPr>
        <w:t>risk</w:t>
      </w:r>
      <w:proofErr w:type="spellEnd"/>
      <w:r w:rsidRPr="003C4456">
        <w:rPr>
          <w:i/>
          <w:sz w:val="20"/>
          <w:szCs w:val="20"/>
        </w:rPr>
        <w:t xml:space="preserve"> </w:t>
      </w:r>
      <w:proofErr w:type="spellStart"/>
      <w:r w:rsidRPr="003C4456">
        <w:rPr>
          <w:i/>
          <w:sz w:val="20"/>
          <w:szCs w:val="20"/>
        </w:rPr>
        <w:t>of</w:t>
      </w:r>
      <w:proofErr w:type="spellEnd"/>
      <w:r w:rsidRPr="003C4456">
        <w:rPr>
          <w:i/>
          <w:sz w:val="20"/>
          <w:szCs w:val="20"/>
        </w:rPr>
        <w:t xml:space="preserve"> bias</w:t>
      </w:r>
      <w:r w:rsidRPr="003C4456">
        <w:rPr>
          <w:sz w:val="20"/>
          <w:szCs w:val="20"/>
        </w:rPr>
        <w:t xml:space="preserve"> (Risco de viés incerto); </w:t>
      </w:r>
      <w:proofErr w:type="gramStart"/>
      <w:r w:rsidRPr="003C4456">
        <w:rPr>
          <w:i/>
          <w:sz w:val="20"/>
          <w:szCs w:val="20"/>
        </w:rPr>
        <w:t>High</w:t>
      </w:r>
      <w:proofErr w:type="gramEnd"/>
      <w:r w:rsidRPr="003C4456">
        <w:rPr>
          <w:i/>
          <w:sz w:val="20"/>
          <w:szCs w:val="20"/>
        </w:rPr>
        <w:t xml:space="preserve"> </w:t>
      </w:r>
      <w:proofErr w:type="spellStart"/>
      <w:r w:rsidRPr="003C4456">
        <w:rPr>
          <w:i/>
          <w:sz w:val="20"/>
          <w:szCs w:val="20"/>
        </w:rPr>
        <w:t>risk</w:t>
      </w:r>
      <w:proofErr w:type="spellEnd"/>
      <w:r w:rsidRPr="003C4456">
        <w:rPr>
          <w:i/>
          <w:sz w:val="20"/>
          <w:szCs w:val="20"/>
        </w:rPr>
        <w:t xml:space="preserve"> </w:t>
      </w:r>
      <w:proofErr w:type="spellStart"/>
      <w:r w:rsidRPr="003C4456">
        <w:rPr>
          <w:i/>
          <w:sz w:val="20"/>
          <w:szCs w:val="20"/>
        </w:rPr>
        <w:t>of</w:t>
      </w:r>
      <w:proofErr w:type="spellEnd"/>
      <w:r w:rsidRPr="003C4456">
        <w:rPr>
          <w:i/>
          <w:sz w:val="20"/>
          <w:szCs w:val="20"/>
        </w:rPr>
        <w:t xml:space="preserve"> bias</w:t>
      </w:r>
      <w:r w:rsidRPr="003C4456">
        <w:rPr>
          <w:sz w:val="20"/>
          <w:szCs w:val="20"/>
        </w:rPr>
        <w:t xml:space="preserve"> (Alto risco de viés) </w:t>
      </w:r>
    </w:p>
    <w:p w14:paraId="15563F5B" w14:textId="77777777" w:rsidR="00D434FF" w:rsidRPr="007E4DFC" w:rsidRDefault="005D106E">
      <w:pPr>
        <w:widowControl w:val="0"/>
        <w:pBdr>
          <w:top w:val="none" w:sz="0" w:space="7" w:color="auto"/>
        </w:pBdr>
        <w:spacing w:line="360" w:lineRule="auto"/>
        <w:rPr>
          <w:b/>
          <w:i/>
        </w:rPr>
      </w:pPr>
      <w:r w:rsidRPr="007E4DFC">
        <w:rPr>
          <w:b/>
          <w:i/>
        </w:rPr>
        <w:t xml:space="preserve">Avaliação da evidência com a Escala </w:t>
      </w:r>
      <w:proofErr w:type="spellStart"/>
      <w:r w:rsidRPr="007E4DFC">
        <w:rPr>
          <w:b/>
          <w:i/>
        </w:rPr>
        <w:t>PEDro</w:t>
      </w:r>
      <w:proofErr w:type="spellEnd"/>
    </w:p>
    <w:p w14:paraId="28C931AB" w14:textId="77777777" w:rsidR="00D434FF" w:rsidRPr="007E4DFC" w:rsidRDefault="005D106E">
      <w:pPr>
        <w:widowControl w:val="0"/>
        <w:pBdr>
          <w:top w:val="none" w:sz="0" w:space="7" w:color="auto"/>
        </w:pBdr>
        <w:spacing w:line="360" w:lineRule="auto"/>
        <w:rPr>
          <w:i/>
        </w:rPr>
      </w:pPr>
      <w:r w:rsidRPr="007E4DFC">
        <w:rPr>
          <w:b/>
        </w:rPr>
        <w:t>Figura 4*</w:t>
      </w:r>
    </w:p>
    <w:p w14:paraId="49833C05" w14:textId="77777777" w:rsidR="00D434FF" w:rsidRPr="007E4DFC" w:rsidRDefault="005D106E">
      <w:pPr>
        <w:widowControl w:val="0"/>
        <w:pBdr>
          <w:top w:val="none" w:sz="0" w:space="7" w:color="auto"/>
        </w:pBdr>
        <w:spacing w:after="300" w:line="360" w:lineRule="auto"/>
        <w:jc w:val="center"/>
        <w:rPr>
          <w:sz w:val="20"/>
          <w:szCs w:val="20"/>
        </w:rPr>
      </w:pPr>
      <w:r w:rsidRPr="007E4DFC">
        <w:rPr>
          <w:noProof/>
          <w:sz w:val="20"/>
          <w:szCs w:val="20"/>
        </w:rPr>
        <w:lastRenderedPageBreak/>
        <w:drawing>
          <wp:inline distT="114300" distB="114300" distL="114300" distR="114300" wp14:anchorId="60A1B275" wp14:editId="36480FDE">
            <wp:extent cx="5416769" cy="72342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16769" cy="7234238"/>
                    </a:xfrm>
                    <a:prstGeom prst="rect">
                      <a:avLst/>
                    </a:prstGeom>
                    <a:ln/>
                  </pic:spPr>
                </pic:pic>
              </a:graphicData>
            </a:graphic>
          </wp:inline>
        </w:drawing>
      </w:r>
    </w:p>
    <w:p w14:paraId="4AA26FEC" w14:textId="77777777" w:rsidR="00D434FF" w:rsidRPr="003C4456" w:rsidRDefault="005D106E">
      <w:pPr>
        <w:widowControl w:val="0"/>
        <w:pBdr>
          <w:top w:val="none" w:sz="0" w:space="7" w:color="auto"/>
        </w:pBdr>
        <w:spacing w:after="300" w:line="360" w:lineRule="auto"/>
        <w:jc w:val="both"/>
        <w:rPr>
          <w:sz w:val="20"/>
          <w:szCs w:val="20"/>
        </w:rPr>
      </w:pPr>
      <w:r w:rsidRPr="003C4456">
        <w:rPr>
          <w:sz w:val="20"/>
          <w:szCs w:val="20"/>
        </w:rPr>
        <w:t xml:space="preserve">*Feita pelos autores, via </w:t>
      </w:r>
      <w:proofErr w:type="spellStart"/>
      <w:r w:rsidRPr="003C4456">
        <w:rPr>
          <w:sz w:val="20"/>
          <w:szCs w:val="20"/>
        </w:rPr>
        <w:t>RevMan</w:t>
      </w:r>
      <w:proofErr w:type="spellEnd"/>
      <w:r w:rsidRPr="003C4456">
        <w:rPr>
          <w:sz w:val="20"/>
          <w:szCs w:val="20"/>
        </w:rPr>
        <w:t xml:space="preserve"> 5.4.1.</w:t>
      </w:r>
    </w:p>
    <w:p w14:paraId="54AC7DFC" w14:textId="77777777" w:rsidR="00D434FF" w:rsidRPr="007E4DFC" w:rsidRDefault="00D434FF">
      <w:pPr>
        <w:widowControl w:val="0"/>
        <w:pBdr>
          <w:top w:val="none" w:sz="0" w:space="7" w:color="auto"/>
        </w:pBdr>
        <w:spacing w:after="300" w:line="360" w:lineRule="auto"/>
        <w:jc w:val="both"/>
      </w:pPr>
    </w:p>
    <w:p w14:paraId="786A10CC" w14:textId="77777777" w:rsidR="00D434FF" w:rsidRPr="007E4DFC" w:rsidRDefault="005D106E">
      <w:r w:rsidRPr="007E4DFC">
        <w:t xml:space="preserve"> </w:t>
      </w:r>
    </w:p>
    <w:p w14:paraId="181363AA" w14:textId="77777777" w:rsidR="00D434FF" w:rsidRPr="007E4DFC" w:rsidRDefault="00D434FF">
      <w:pPr>
        <w:widowControl w:val="0"/>
        <w:jc w:val="both"/>
        <w:rPr>
          <w:b/>
        </w:rPr>
        <w:sectPr w:rsidR="00D434FF" w:rsidRPr="007E4DFC">
          <w:headerReference w:type="even" r:id="rId14"/>
          <w:headerReference w:type="default" r:id="rId15"/>
          <w:footerReference w:type="even" r:id="rId16"/>
          <w:footerReference w:type="default" r:id="rId17"/>
          <w:pgSz w:w="11906" w:h="16838"/>
          <w:pgMar w:top="1440" w:right="1417" w:bottom="1440" w:left="1417" w:header="720" w:footer="720" w:gutter="0"/>
          <w:pgNumType w:start="1"/>
          <w:cols w:space="720"/>
        </w:sectPr>
      </w:pPr>
    </w:p>
    <w:p w14:paraId="3AE3267B" w14:textId="77777777" w:rsidR="00D434FF" w:rsidRPr="007E4DFC" w:rsidRDefault="005D106E">
      <w:pPr>
        <w:widowControl w:val="0"/>
        <w:jc w:val="both"/>
        <w:rPr>
          <w:b/>
        </w:rPr>
      </w:pPr>
      <w:r w:rsidRPr="007E4DFC">
        <w:rPr>
          <w:b/>
        </w:rPr>
        <w:lastRenderedPageBreak/>
        <w:t xml:space="preserve">Tabela 4 </w:t>
      </w:r>
    </w:p>
    <w:p w14:paraId="64F0B4B3" w14:textId="6D52E923" w:rsidR="00D434FF" w:rsidRPr="007E4DFC" w:rsidRDefault="005D106E">
      <w:pPr>
        <w:rPr>
          <w:i/>
        </w:rPr>
      </w:pPr>
      <w:r w:rsidRPr="007E4DFC">
        <w:rPr>
          <w:i/>
        </w:rPr>
        <w:t xml:space="preserve">Resumo das características dos </w:t>
      </w:r>
      <w:proofErr w:type="spellStart"/>
      <w:r w:rsidRPr="007E4DFC">
        <w:rPr>
          <w:i/>
        </w:rPr>
        <w:t>ECRs</w:t>
      </w:r>
      <w:proofErr w:type="spellEnd"/>
      <w:r w:rsidRPr="007E4DFC">
        <w:rPr>
          <w:i/>
        </w:rPr>
        <w:t xml:space="preserve"> selecionados</w:t>
      </w:r>
    </w:p>
    <w:p w14:paraId="0437B592" w14:textId="2680A081" w:rsidR="00CC1D9F" w:rsidRDefault="00352C17">
      <w:pPr>
        <w:rPr>
          <w:i/>
        </w:rPr>
      </w:pPr>
      <w:r w:rsidRPr="00415715">
        <w:rPr>
          <w:noProof/>
        </w:rPr>
        <w:drawing>
          <wp:anchor distT="0" distB="0" distL="114300" distR="114300" simplePos="0" relativeHeight="251660288" behindDoc="0" locked="0" layoutInCell="1" allowOverlap="1" wp14:anchorId="0B42E1A1" wp14:editId="61E53881">
            <wp:simplePos x="0" y="0"/>
            <wp:positionH relativeFrom="column">
              <wp:posOffset>314325</wp:posOffset>
            </wp:positionH>
            <wp:positionV relativeFrom="paragraph">
              <wp:posOffset>138430</wp:posOffset>
            </wp:positionV>
            <wp:extent cx="4971167" cy="8333510"/>
            <wp:effectExtent l="0" t="0" r="127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411"/>
                    <a:stretch/>
                  </pic:blipFill>
                  <pic:spPr bwMode="auto">
                    <a:xfrm>
                      <a:off x="0" y="0"/>
                      <a:ext cx="4971167" cy="8333510"/>
                    </a:xfrm>
                    <a:prstGeom prst="rect">
                      <a:avLst/>
                    </a:prstGeom>
                    <a:noFill/>
                    <a:ln>
                      <a:noFill/>
                    </a:ln>
                    <a:extLst>
                      <a:ext uri="{53640926-AAD7-44D8-BBD7-CCE9431645EC}">
                        <a14:shadowObscured xmlns:a14="http://schemas.microsoft.com/office/drawing/2010/main"/>
                      </a:ext>
                    </a:extLst>
                  </pic:spPr>
                </pic:pic>
              </a:graphicData>
            </a:graphic>
          </wp:anchor>
        </w:drawing>
      </w:r>
    </w:p>
    <w:p w14:paraId="3768123C" w14:textId="60E75A50" w:rsidR="00D434FF" w:rsidRPr="007E4DFC" w:rsidRDefault="00D434FF">
      <w:pPr>
        <w:rPr>
          <w:i/>
        </w:rPr>
      </w:pPr>
    </w:p>
    <w:p w14:paraId="2E9062EA" w14:textId="2C33A6BD" w:rsidR="00D434FF" w:rsidRPr="007E4DFC" w:rsidRDefault="00D434FF">
      <w:pPr>
        <w:jc w:val="center"/>
        <w:rPr>
          <w:sz w:val="20"/>
          <w:szCs w:val="20"/>
        </w:rPr>
      </w:pPr>
    </w:p>
    <w:p w14:paraId="1FE940B6" w14:textId="6E8EACE8" w:rsidR="00C82E16" w:rsidRDefault="00C82E16">
      <w:pPr>
        <w:shd w:val="clear" w:color="auto" w:fill="FFFFFF"/>
        <w:spacing w:line="360" w:lineRule="auto"/>
        <w:jc w:val="both"/>
        <w:rPr>
          <w:i/>
          <w:sz w:val="20"/>
          <w:szCs w:val="20"/>
        </w:rPr>
      </w:pPr>
    </w:p>
    <w:p w14:paraId="0B6399C6" w14:textId="1BAECB41" w:rsidR="00CC1D9F" w:rsidRDefault="00CC1D9F">
      <w:pPr>
        <w:shd w:val="clear" w:color="auto" w:fill="FFFFFF"/>
        <w:spacing w:line="360" w:lineRule="auto"/>
        <w:jc w:val="both"/>
        <w:rPr>
          <w:i/>
          <w:sz w:val="20"/>
          <w:szCs w:val="20"/>
        </w:rPr>
      </w:pPr>
    </w:p>
    <w:p w14:paraId="25A18C2D" w14:textId="3A34389F" w:rsidR="00CC1D9F" w:rsidRDefault="00CC1D9F">
      <w:pPr>
        <w:shd w:val="clear" w:color="auto" w:fill="FFFFFF"/>
        <w:spacing w:line="360" w:lineRule="auto"/>
        <w:jc w:val="both"/>
        <w:rPr>
          <w:i/>
          <w:sz w:val="20"/>
          <w:szCs w:val="20"/>
        </w:rPr>
      </w:pPr>
    </w:p>
    <w:p w14:paraId="1D26306C" w14:textId="73665752" w:rsidR="00CC1D9F" w:rsidRDefault="00CC1D9F">
      <w:pPr>
        <w:shd w:val="clear" w:color="auto" w:fill="FFFFFF"/>
        <w:spacing w:line="360" w:lineRule="auto"/>
        <w:jc w:val="both"/>
        <w:rPr>
          <w:i/>
          <w:sz w:val="20"/>
          <w:szCs w:val="20"/>
        </w:rPr>
      </w:pPr>
    </w:p>
    <w:p w14:paraId="26C571F1" w14:textId="30683C00" w:rsidR="00CC1D9F" w:rsidRDefault="00CC1D9F">
      <w:pPr>
        <w:shd w:val="clear" w:color="auto" w:fill="FFFFFF"/>
        <w:spacing w:line="360" w:lineRule="auto"/>
        <w:jc w:val="both"/>
        <w:rPr>
          <w:i/>
          <w:sz w:val="20"/>
          <w:szCs w:val="20"/>
        </w:rPr>
      </w:pPr>
    </w:p>
    <w:p w14:paraId="40A6F42E" w14:textId="1AFF9675" w:rsidR="00CC1D9F" w:rsidRPr="007E4DFC" w:rsidRDefault="00CC1D9F">
      <w:pPr>
        <w:shd w:val="clear" w:color="auto" w:fill="FFFFFF"/>
        <w:spacing w:line="360" w:lineRule="auto"/>
        <w:jc w:val="both"/>
        <w:rPr>
          <w:i/>
          <w:sz w:val="20"/>
          <w:szCs w:val="20"/>
        </w:rPr>
      </w:pPr>
    </w:p>
    <w:p w14:paraId="6997F2AC" w14:textId="3D93EC28" w:rsidR="00C82E16" w:rsidRPr="007E4DFC" w:rsidRDefault="00C82E16">
      <w:pPr>
        <w:shd w:val="clear" w:color="auto" w:fill="FFFFFF"/>
        <w:spacing w:line="360" w:lineRule="auto"/>
        <w:jc w:val="both"/>
        <w:rPr>
          <w:i/>
          <w:sz w:val="20"/>
          <w:szCs w:val="20"/>
        </w:rPr>
      </w:pPr>
    </w:p>
    <w:p w14:paraId="6ED8A29E" w14:textId="399F39FC" w:rsidR="00CC1D9F" w:rsidRDefault="00CC1D9F">
      <w:pPr>
        <w:shd w:val="clear" w:color="auto" w:fill="FFFFFF"/>
        <w:spacing w:line="360" w:lineRule="auto"/>
        <w:jc w:val="both"/>
        <w:rPr>
          <w:i/>
          <w:sz w:val="20"/>
          <w:szCs w:val="20"/>
          <w:lang w:val="en-US"/>
        </w:rPr>
      </w:pPr>
    </w:p>
    <w:p w14:paraId="3F09AE5D" w14:textId="42B7375F" w:rsidR="00CC1D9F" w:rsidRDefault="00CC1D9F">
      <w:pPr>
        <w:shd w:val="clear" w:color="auto" w:fill="FFFFFF"/>
        <w:spacing w:line="360" w:lineRule="auto"/>
        <w:jc w:val="both"/>
        <w:rPr>
          <w:i/>
          <w:sz w:val="20"/>
          <w:szCs w:val="20"/>
          <w:lang w:val="en-US"/>
        </w:rPr>
      </w:pPr>
    </w:p>
    <w:p w14:paraId="65213F25" w14:textId="00496D88" w:rsidR="00CC1D9F" w:rsidRDefault="00CC1D9F">
      <w:pPr>
        <w:shd w:val="clear" w:color="auto" w:fill="FFFFFF"/>
        <w:spacing w:line="360" w:lineRule="auto"/>
        <w:jc w:val="both"/>
        <w:rPr>
          <w:i/>
          <w:sz w:val="20"/>
          <w:szCs w:val="20"/>
          <w:lang w:val="en-US"/>
        </w:rPr>
      </w:pPr>
    </w:p>
    <w:p w14:paraId="25160222" w14:textId="6E19C26C" w:rsidR="00CC1D9F" w:rsidRDefault="00CC1D9F">
      <w:pPr>
        <w:shd w:val="clear" w:color="auto" w:fill="FFFFFF"/>
        <w:spacing w:line="360" w:lineRule="auto"/>
        <w:jc w:val="both"/>
        <w:rPr>
          <w:i/>
          <w:sz w:val="20"/>
          <w:szCs w:val="20"/>
          <w:lang w:val="en-US"/>
        </w:rPr>
      </w:pPr>
    </w:p>
    <w:p w14:paraId="72EE0C02" w14:textId="00A8DF6E" w:rsidR="00CC1D9F" w:rsidRDefault="00CC1D9F">
      <w:pPr>
        <w:shd w:val="clear" w:color="auto" w:fill="FFFFFF"/>
        <w:spacing w:line="360" w:lineRule="auto"/>
        <w:jc w:val="both"/>
        <w:rPr>
          <w:i/>
          <w:sz w:val="20"/>
          <w:szCs w:val="20"/>
          <w:lang w:val="en-US"/>
        </w:rPr>
      </w:pPr>
    </w:p>
    <w:p w14:paraId="58108435" w14:textId="6CCEC428" w:rsidR="00CC1D9F" w:rsidRDefault="00CC1D9F">
      <w:pPr>
        <w:shd w:val="clear" w:color="auto" w:fill="FFFFFF"/>
        <w:spacing w:line="360" w:lineRule="auto"/>
        <w:jc w:val="both"/>
        <w:rPr>
          <w:i/>
          <w:sz w:val="20"/>
          <w:szCs w:val="20"/>
          <w:lang w:val="en-US"/>
        </w:rPr>
      </w:pPr>
    </w:p>
    <w:p w14:paraId="5B25E223" w14:textId="5B0A3455" w:rsidR="00CC1D9F" w:rsidRDefault="00CC1D9F">
      <w:pPr>
        <w:shd w:val="clear" w:color="auto" w:fill="FFFFFF"/>
        <w:spacing w:line="360" w:lineRule="auto"/>
        <w:jc w:val="both"/>
        <w:rPr>
          <w:i/>
          <w:sz w:val="20"/>
          <w:szCs w:val="20"/>
          <w:lang w:val="en-US"/>
        </w:rPr>
      </w:pPr>
    </w:p>
    <w:p w14:paraId="4A8EF8B6" w14:textId="74A0F322" w:rsidR="00CC1D9F" w:rsidRDefault="00CC1D9F">
      <w:pPr>
        <w:shd w:val="clear" w:color="auto" w:fill="FFFFFF"/>
        <w:spacing w:line="360" w:lineRule="auto"/>
        <w:jc w:val="both"/>
        <w:rPr>
          <w:i/>
          <w:sz w:val="20"/>
          <w:szCs w:val="20"/>
          <w:lang w:val="en-US"/>
        </w:rPr>
      </w:pPr>
    </w:p>
    <w:p w14:paraId="0AAF3B16" w14:textId="209A124B" w:rsidR="00CC1D9F" w:rsidRDefault="00CC1D9F">
      <w:pPr>
        <w:shd w:val="clear" w:color="auto" w:fill="FFFFFF"/>
        <w:spacing w:line="360" w:lineRule="auto"/>
        <w:jc w:val="both"/>
        <w:rPr>
          <w:i/>
          <w:sz w:val="20"/>
          <w:szCs w:val="20"/>
          <w:lang w:val="en-US"/>
        </w:rPr>
      </w:pPr>
    </w:p>
    <w:p w14:paraId="196806B0" w14:textId="7C10854A" w:rsidR="00CC1D9F" w:rsidRDefault="00CC1D9F">
      <w:pPr>
        <w:shd w:val="clear" w:color="auto" w:fill="FFFFFF"/>
        <w:spacing w:line="360" w:lineRule="auto"/>
        <w:jc w:val="both"/>
        <w:rPr>
          <w:i/>
          <w:sz w:val="20"/>
          <w:szCs w:val="20"/>
          <w:lang w:val="en-US"/>
        </w:rPr>
      </w:pPr>
    </w:p>
    <w:p w14:paraId="7FAB409F" w14:textId="2BA77EF4" w:rsidR="00CC1D9F" w:rsidRDefault="00CC1D9F">
      <w:pPr>
        <w:shd w:val="clear" w:color="auto" w:fill="FFFFFF"/>
        <w:spacing w:line="360" w:lineRule="auto"/>
        <w:jc w:val="both"/>
        <w:rPr>
          <w:i/>
          <w:sz w:val="20"/>
          <w:szCs w:val="20"/>
          <w:lang w:val="en-US"/>
        </w:rPr>
      </w:pPr>
    </w:p>
    <w:p w14:paraId="53BE1189" w14:textId="3DB385C4" w:rsidR="00352C17" w:rsidRDefault="00352C17">
      <w:pPr>
        <w:shd w:val="clear" w:color="auto" w:fill="FFFFFF"/>
        <w:spacing w:line="360" w:lineRule="auto"/>
        <w:jc w:val="both"/>
        <w:rPr>
          <w:i/>
          <w:sz w:val="20"/>
          <w:szCs w:val="20"/>
          <w:lang w:val="en-US"/>
        </w:rPr>
      </w:pPr>
    </w:p>
    <w:p w14:paraId="2B1F979B" w14:textId="1505F46E" w:rsidR="00352C17" w:rsidRDefault="00352C17">
      <w:pPr>
        <w:shd w:val="clear" w:color="auto" w:fill="FFFFFF"/>
        <w:spacing w:line="360" w:lineRule="auto"/>
        <w:jc w:val="both"/>
        <w:rPr>
          <w:i/>
          <w:sz w:val="20"/>
          <w:szCs w:val="20"/>
          <w:lang w:val="en-US"/>
        </w:rPr>
      </w:pPr>
    </w:p>
    <w:p w14:paraId="277FECB9" w14:textId="6840C07A" w:rsidR="00352C17" w:rsidRDefault="00352C17">
      <w:pPr>
        <w:shd w:val="clear" w:color="auto" w:fill="FFFFFF"/>
        <w:spacing w:line="360" w:lineRule="auto"/>
        <w:jc w:val="both"/>
        <w:rPr>
          <w:i/>
          <w:sz w:val="20"/>
          <w:szCs w:val="20"/>
          <w:lang w:val="en-US"/>
        </w:rPr>
      </w:pPr>
    </w:p>
    <w:p w14:paraId="043C7436" w14:textId="3BE12827" w:rsidR="00352C17" w:rsidRDefault="00352C17">
      <w:pPr>
        <w:shd w:val="clear" w:color="auto" w:fill="FFFFFF"/>
        <w:spacing w:line="360" w:lineRule="auto"/>
        <w:jc w:val="both"/>
        <w:rPr>
          <w:i/>
          <w:sz w:val="20"/>
          <w:szCs w:val="20"/>
          <w:lang w:val="en-US"/>
        </w:rPr>
      </w:pPr>
    </w:p>
    <w:p w14:paraId="0A11AF6D" w14:textId="080A96FA" w:rsidR="00352C17" w:rsidRDefault="00352C17">
      <w:pPr>
        <w:shd w:val="clear" w:color="auto" w:fill="FFFFFF"/>
        <w:spacing w:line="360" w:lineRule="auto"/>
        <w:jc w:val="both"/>
        <w:rPr>
          <w:i/>
          <w:sz w:val="20"/>
          <w:szCs w:val="20"/>
          <w:lang w:val="en-US"/>
        </w:rPr>
      </w:pPr>
    </w:p>
    <w:p w14:paraId="4D407CF8" w14:textId="4A529AF7" w:rsidR="00352C17" w:rsidRDefault="00352C17">
      <w:pPr>
        <w:shd w:val="clear" w:color="auto" w:fill="FFFFFF"/>
        <w:spacing w:line="360" w:lineRule="auto"/>
        <w:jc w:val="both"/>
        <w:rPr>
          <w:i/>
          <w:sz w:val="20"/>
          <w:szCs w:val="20"/>
          <w:lang w:val="en-US"/>
        </w:rPr>
      </w:pPr>
    </w:p>
    <w:p w14:paraId="2E5D281F" w14:textId="20077409" w:rsidR="00352C17" w:rsidRDefault="00352C17">
      <w:pPr>
        <w:shd w:val="clear" w:color="auto" w:fill="FFFFFF"/>
        <w:spacing w:line="360" w:lineRule="auto"/>
        <w:jc w:val="both"/>
        <w:rPr>
          <w:i/>
          <w:sz w:val="20"/>
          <w:szCs w:val="20"/>
          <w:lang w:val="en-US"/>
        </w:rPr>
      </w:pPr>
    </w:p>
    <w:p w14:paraId="0BD32613" w14:textId="7F076DE1" w:rsidR="00352C17" w:rsidRDefault="00352C17">
      <w:pPr>
        <w:shd w:val="clear" w:color="auto" w:fill="FFFFFF"/>
        <w:spacing w:line="360" w:lineRule="auto"/>
        <w:jc w:val="both"/>
        <w:rPr>
          <w:i/>
          <w:sz w:val="20"/>
          <w:szCs w:val="20"/>
          <w:lang w:val="en-US"/>
        </w:rPr>
      </w:pPr>
    </w:p>
    <w:p w14:paraId="438596BD" w14:textId="76F4B057" w:rsidR="00352C17" w:rsidRDefault="00352C17">
      <w:pPr>
        <w:shd w:val="clear" w:color="auto" w:fill="FFFFFF"/>
        <w:spacing w:line="360" w:lineRule="auto"/>
        <w:jc w:val="both"/>
        <w:rPr>
          <w:i/>
          <w:sz w:val="20"/>
          <w:szCs w:val="20"/>
          <w:lang w:val="en-US"/>
        </w:rPr>
      </w:pPr>
    </w:p>
    <w:p w14:paraId="241DF816" w14:textId="1651F45B" w:rsidR="00352C17" w:rsidRDefault="00352C17">
      <w:pPr>
        <w:shd w:val="clear" w:color="auto" w:fill="FFFFFF"/>
        <w:spacing w:line="360" w:lineRule="auto"/>
        <w:jc w:val="both"/>
        <w:rPr>
          <w:i/>
          <w:sz w:val="20"/>
          <w:szCs w:val="20"/>
          <w:lang w:val="en-US"/>
        </w:rPr>
      </w:pPr>
    </w:p>
    <w:p w14:paraId="56E8FFEA" w14:textId="07A4D7E8" w:rsidR="00352C17" w:rsidRDefault="00352C17">
      <w:pPr>
        <w:shd w:val="clear" w:color="auto" w:fill="FFFFFF"/>
        <w:spacing w:line="360" w:lineRule="auto"/>
        <w:jc w:val="both"/>
        <w:rPr>
          <w:i/>
          <w:sz w:val="20"/>
          <w:szCs w:val="20"/>
          <w:lang w:val="en-US"/>
        </w:rPr>
      </w:pPr>
    </w:p>
    <w:p w14:paraId="1D3C3036" w14:textId="5FDE67F3" w:rsidR="00352C17" w:rsidRDefault="00352C17">
      <w:pPr>
        <w:shd w:val="clear" w:color="auto" w:fill="FFFFFF"/>
        <w:spacing w:line="360" w:lineRule="auto"/>
        <w:jc w:val="both"/>
        <w:rPr>
          <w:i/>
          <w:sz w:val="20"/>
          <w:szCs w:val="20"/>
          <w:lang w:val="en-US"/>
        </w:rPr>
      </w:pPr>
    </w:p>
    <w:p w14:paraId="3B6659E9" w14:textId="60940327" w:rsidR="00352C17" w:rsidRDefault="00352C17">
      <w:pPr>
        <w:shd w:val="clear" w:color="auto" w:fill="FFFFFF"/>
        <w:spacing w:line="360" w:lineRule="auto"/>
        <w:jc w:val="both"/>
        <w:rPr>
          <w:i/>
          <w:sz w:val="20"/>
          <w:szCs w:val="20"/>
          <w:lang w:val="en-US"/>
        </w:rPr>
      </w:pPr>
    </w:p>
    <w:p w14:paraId="2949E242" w14:textId="1279D7D2" w:rsidR="00352C17" w:rsidRDefault="00352C17">
      <w:pPr>
        <w:shd w:val="clear" w:color="auto" w:fill="FFFFFF"/>
        <w:spacing w:line="360" w:lineRule="auto"/>
        <w:jc w:val="both"/>
        <w:rPr>
          <w:i/>
          <w:sz w:val="20"/>
          <w:szCs w:val="20"/>
          <w:lang w:val="en-US"/>
        </w:rPr>
      </w:pPr>
    </w:p>
    <w:p w14:paraId="67593E98" w14:textId="65C34CF8" w:rsidR="00352C17" w:rsidRDefault="00352C17">
      <w:pPr>
        <w:shd w:val="clear" w:color="auto" w:fill="FFFFFF"/>
        <w:spacing w:line="360" w:lineRule="auto"/>
        <w:jc w:val="both"/>
        <w:rPr>
          <w:i/>
          <w:sz w:val="20"/>
          <w:szCs w:val="20"/>
          <w:lang w:val="en-US"/>
        </w:rPr>
      </w:pPr>
    </w:p>
    <w:p w14:paraId="106CBAAF" w14:textId="36429754" w:rsidR="00352C17" w:rsidRDefault="00352C17">
      <w:pPr>
        <w:shd w:val="clear" w:color="auto" w:fill="FFFFFF"/>
        <w:spacing w:line="360" w:lineRule="auto"/>
        <w:jc w:val="both"/>
        <w:rPr>
          <w:i/>
          <w:sz w:val="20"/>
          <w:szCs w:val="20"/>
          <w:lang w:val="en-US"/>
        </w:rPr>
      </w:pPr>
    </w:p>
    <w:p w14:paraId="33B43D7E" w14:textId="24A7EBA8" w:rsidR="00352C17" w:rsidRDefault="00352C17">
      <w:pPr>
        <w:shd w:val="clear" w:color="auto" w:fill="FFFFFF"/>
        <w:spacing w:line="360" w:lineRule="auto"/>
        <w:jc w:val="both"/>
        <w:rPr>
          <w:i/>
          <w:sz w:val="20"/>
          <w:szCs w:val="20"/>
          <w:lang w:val="en-US"/>
        </w:rPr>
      </w:pPr>
    </w:p>
    <w:p w14:paraId="5908608D" w14:textId="316CD6DE" w:rsidR="00352C17" w:rsidRDefault="00352C17">
      <w:pPr>
        <w:shd w:val="clear" w:color="auto" w:fill="FFFFFF"/>
        <w:spacing w:line="360" w:lineRule="auto"/>
        <w:jc w:val="both"/>
        <w:rPr>
          <w:i/>
          <w:sz w:val="20"/>
          <w:szCs w:val="20"/>
          <w:lang w:val="en-US"/>
        </w:rPr>
      </w:pPr>
    </w:p>
    <w:p w14:paraId="377BCDBA" w14:textId="23903290" w:rsidR="00352C17" w:rsidRDefault="00352C17">
      <w:pPr>
        <w:shd w:val="clear" w:color="auto" w:fill="FFFFFF"/>
        <w:spacing w:line="360" w:lineRule="auto"/>
        <w:jc w:val="both"/>
        <w:rPr>
          <w:i/>
          <w:sz w:val="20"/>
          <w:szCs w:val="20"/>
          <w:lang w:val="en-US"/>
        </w:rPr>
      </w:pPr>
    </w:p>
    <w:p w14:paraId="6DF0778E" w14:textId="3D277A19" w:rsidR="00352C17" w:rsidRDefault="00352C17">
      <w:pPr>
        <w:shd w:val="clear" w:color="auto" w:fill="FFFFFF"/>
        <w:spacing w:line="360" w:lineRule="auto"/>
        <w:jc w:val="both"/>
        <w:rPr>
          <w:i/>
          <w:sz w:val="20"/>
          <w:szCs w:val="20"/>
          <w:lang w:val="en-US"/>
        </w:rPr>
      </w:pPr>
    </w:p>
    <w:p w14:paraId="2E83E022" w14:textId="143A4408" w:rsidR="00352C17" w:rsidRDefault="00352C17">
      <w:pPr>
        <w:shd w:val="clear" w:color="auto" w:fill="FFFFFF"/>
        <w:spacing w:line="360" w:lineRule="auto"/>
        <w:jc w:val="both"/>
        <w:rPr>
          <w:i/>
          <w:sz w:val="20"/>
          <w:szCs w:val="20"/>
          <w:lang w:val="en-US"/>
        </w:rPr>
      </w:pPr>
    </w:p>
    <w:p w14:paraId="1A50ABEB" w14:textId="23E01503" w:rsidR="00352C17" w:rsidRDefault="00352C17">
      <w:pPr>
        <w:shd w:val="clear" w:color="auto" w:fill="FFFFFF"/>
        <w:spacing w:line="360" w:lineRule="auto"/>
        <w:jc w:val="both"/>
        <w:rPr>
          <w:i/>
          <w:sz w:val="20"/>
          <w:szCs w:val="20"/>
          <w:lang w:val="en-US"/>
        </w:rPr>
      </w:pPr>
    </w:p>
    <w:p w14:paraId="6692E83B" w14:textId="4ACF5368" w:rsidR="00352C17" w:rsidRDefault="00352C17">
      <w:pPr>
        <w:shd w:val="clear" w:color="auto" w:fill="FFFFFF"/>
        <w:spacing w:line="360" w:lineRule="auto"/>
        <w:jc w:val="both"/>
        <w:rPr>
          <w:i/>
          <w:sz w:val="20"/>
          <w:szCs w:val="20"/>
          <w:lang w:val="en-US"/>
        </w:rPr>
      </w:pPr>
      <w:r w:rsidRPr="00CC1D9F">
        <w:rPr>
          <w:noProof/>
        </w:rPr>
        <w:drawing>
          <wp:anchor distT="0" distB="0" distL="114300" distR="114300" simplePos="0" relativeHeight="251662336" behindDoc="0" locked="0" layoutInCell="1" allowOverlap="1" wp14:anchorId="4DCFE0CE" wp14:editId="0EBF9A5F">
            <wp:simplePos x="0" y="0"/>
            <wp:positionH relativeFrom="margin">
              <wp:align>center</wp:align>
            </wp:positionH>
            <wp:positionV relativeFrom="paragraph">
              <wp:posOffset>109583</wp:posOffset>
            </wp:positionV>
            <wp:extent cx="5214257" cy="2998877"/>
            <wp:effectExtent l="0" t="0" r="571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399" b="-1"/>
                    <a:stretch/>
                  </pic:blipFill>
                  <pic:spPr bwMode="auto">
                    <a:xfrm>
                      <a:off x="0" y="0"/>
                      <a:ext cx="5214257" cy="2998877"/>
                    </a:xfrm>
                    <a:prstGeom prst="rect">
                      <a:avLst/>
                    </a:prstGeom>
                    <a:noFill/>
                    <a:ln>
                      <a:noFill/>
                    </a:ln>
                    <a:extLst>
                      <a:ext uri="{53640926-AAD7-44D8-BBD7-CCE9431645EC}">
                        <a14:shadowObscured xmlns:a14="http://schemas.microsoft.com/office/drawing/2010/main"/>
                      </a:ext>
                    </a:extLst>
                  </pic:spPr>
                </pic:pic>
              </a:graphicData>
            </a:graphic>
          </wp:anchor>
        </w:drawing>
      </w:r>
    </w:p>
    <w:p w14:paraId="4684A30D" w14:textId="4A8E2933" w:rsidR="00352C17" w:rsidRDefault="00352C17">
      <w:pPr>
        <w:shd w:val="clear" w:color="auto" w:fill="FFFFFF"/>
        <w:spacing w:line="360" w:lineRule="auto"/>
        <w:jc w:val="both"/>
        <w:rPr>
          <w:i/>
          <w:sz w:val="20"/>
          <w:szCs w:val="20"/>
          <w:lang w:val="en-US"/>
        </w:rPr>
      </w:pPr>
    </w:p>
    <w:p w14:paraId="09035FF6" w14:textId="61852573" w:rsidR="00352C17" w:rsidRDefault="00352C17">
      <w:pPr>
        <w:shd w:val="clear" w:color="auto" w:fill="FFFFFF"/>
        <w:spacing w:line="360" w:lineRule="auto"/>
        <w:jc w:val="both"/>
        <w:rPr>
          <w:i/>
          <w:sz w:val="20"/>
          <w:szCs w:val="20"/>
          <w:lang w:val="en-US"/>
        </w:rPr>
      </w:pPr>
    </w:p>
    <w:p w14:paraId="4BFA98C0" w14:textId="67C2CDC5" w:rsidR="00352C17" w:rsidRDefault="00352C17">
      <w:pPr>
        <w:shd w:val="clear" w:color="auto" w:fill="FFFFFF"/>
        <w:spacing w:line="360" w:lineRule="auto"/>
        <w:jc w:val="both"/>
        <w:rPr>
          <w:i/>
          <w:sz w:val="20"/>
          <w:szCs w:val="20"/>
          <w:lang w:val="en-US"/>
        </w:rPr>
      </w:pPr>
    </w:p>
    <w:p w14:paraId="375CFE78" w14:textId="77777777" w:rsidR="00352C17" w:rsidRDefault="00352C17">
      <w:pPr>
        <w:shd w:val="clear" w:color="auto" w:fill="FFFFFF"/>
        <w:spacing w:line="360" w:lineRule="auto"/>
        <w:jc w:val="both"/>
        <w:rPr>
          <w:i/>
          <w:sz w:val="20"/>
          <w:szCs w:val="20"/>
          <w:lang w:val="en-US"/>
        </w:rPr>
      </w:pPr>
    </w:p>
    <w:p w14:paraId="5BF86CB3" w14:textId="76666D6E" w:rsidR="00CC1D9F" w:rsidRDefault="00CC1D9F">
      <w:pPr>
        <w:shd w:val="clear" w:color="auto" w:fill="FFFFFF"/>
        <w:spacing w:line="360" w:lineRule="auto"/>
        <w:jc w:val="both"/>
        <w:rPr>
          <w:i/>
          <w:sz w:val="20"/>
          <w:szCs w:val="20"/>
          <w:lang w:val="en-US"/>
        </w:rPr>
      </w:pPr>
    </w:p>
    <w:p w14:paraId="0E473A0E" w14:textId="04278776" w:rsidR="00CC1D9F" w:rsidRDefault="00CC1D9F">
      <w:pPr>
        <w:shd w:val="clear" w:color="auto" w:fill="FFFFFF"/>
        <w:spacing w:line="360" w:lineRule="auto"/>
        <w:jc w:val="both"/>
        <w:rPr>
          <w:i/>
          <w:sz w:val="20"/>
          <w:szCs w:val="20"/>
          <w:lang w:val="en-US"/>
        </w:rPr>
      </w:pPr>
    </w:p>
    <w:p w14:paraId="7B847821" w14:textId="6D75F475" w:rsidR="00352C17" w:rsidRDefault="00352C17">
      <w:pPr>
        <w:shd w:val="clear" w:color="auto" w:fill="FFFFFF"/>
        <w:spacing w:line="360" w:lineRule="auto"/>
        <w:jc w:val="both"/>
        <w:rPr>
          <w:i/>
          <w:sz w:val="20"/>
          <w:szCs w:val="20"/>
          <w:lang w:val="en-US"/>
        </w:rPr>
      </w:pPr>
    </w:p>
    <w:p w14:paraId="61301268" w14:textId="0C3EFAD3" w:rsidR="00352C17" w:rsidRDefault="00352C17">
      <w:pPr>
        <w:shd w:val="clear" w:color="auto" w:fill="FFFFFF"/>
        <w:spacing w:line="360" w:lineRule="auto"/>
        <w:jc w:val="both"/>
        <w:rPr>
          <w:i/>
          <w:sz w:val="20"/>
          <w:szCs w:val="20"/>
          <w:lang w:val="en-US"/>
        </w:rPr>
      </w:pPr>
    </w:p>
    <w:p w14:paraId="6729185D" w14:textId="2E988BF7" w:rsidR="00352C17" w:rsidRDefault="00352C17">
      <w:pPr>
        <w:shd w:val="clear" w:color="auto" w:fill="FFFFFF"/>
        <w:spacing w:line="360" w:lineRule="auto"/>
        <w:jc w:val="both"/>
        <w:rPr>
          <w:i/>
          <w:sz w:val="20"/>
          <w:szCs w:val="20"/>
          <w:lang w:val="en-US"/>
        </w:rPr>
      </w:pPr>
    </w:p>
    <w:p w14:paraId="2D3E56F4" w14:textId="4B9A8869" w:rsidR="00352C17" w:rsidRDefault="00352C17">
      <w:pPr>
        <w:shd w:val="clear" w:color="auto" w:fill="FFFFFF"/>
        <w:spacing w:line="360" w:lineRule="auto"/>
        <w:jc w:val="both"/>
        <w:rPr>
          <w:i/>
          <w:sz w:val="20"/>
          <w:szCs w:val="20"/>
          <w:lang w:val="en-US"/>
        </w:rPr>
      </w:pPr>
    </w:p>
    <w:p w14:paraId="026FFFB6" w14:textId="1DB19B3F" w:rsidR="00352C17" w:rsidRDefault="00352C17">
      <w:pPr>
        <w:shd w:val="clear" w:color="auto" w:fill="FFFFFF"/>
        <w:spacing w:line="360" w:lineRule="auto"/>
        <w:jc w:val="both"/>
        <w:rPr>
          <w:i/>
          <w:sz w:val="20"/>
          <w:szCs w:val="20"/>
          <w:lang w:val="en-US"/>
        </w:rPr>
      </w:pPr>
    </w:p>
    <w:p w14:paraId="419D8739" w14:textId="53595D30" w:rsidR="00352C17" w:rsidRDefault="00352C17">
      <w:pPr>
        <w:shd w:val="clear" w:color="auto" w:fill="FFFFFF"/>
        <w:spacing w:line="360" w:lineRule="auto"/>
        <w:jc w:val="both"/>
        <w:rPr>
          <w:i/>
          <w:sz w:val="20"/>
          <w:szCs w:val="20"/>
          <w:lang w:val="en-US"/>
        </w:rPr>
      </w:pPr>
    </w:p>
    <w:p w14:paraId="2658DF38" w14:textId="3A782695" w:rsidR="00352C17" w:rsidRDefault="00352C17">
      <w:pPr>
        <w:shd w:val="clear" w:color="auto" w:fill="FFFFFF"/>
        <w:spacing w:line="360" w:lineRule="auto"/>
        <w:jc w:val="both"/>
        <w:rPr>
          <w:i/>
          <w:sz w:val="20"/>
          <w:szCs w:val="20"/>
          <w:lang w:val="en-US"/>
        </w:rPr>
      </w:pPr>
    </w:p>
    <w:p w14:paraId="2E6D07A8" w14:textId="77777777" w:rsidR="00352C17" w:rsidRDefault="00352C17">
      <w:pPr>
        <w:shd w:val="clear" w:color="auto" w:fill="FFFFFF"/>
        <w:spacing w:line="360" w:lineRule="auto"/>
        <w:jc w:val="both"/>
        <w:rPr>
          <w:i/>
          <w:sz w:val="20"/>
          <w:szCs w:val="20"/>
          <w:lang w:val="en-US"/>
        </w:rPr>
      </w:pPr>
    </w:p>
    <w:p w14:paraId="0CAC9B25" w14:textId="714B7B75" w:rsidR="00D434FF" w:rsidRPr="002E6E0F" w:rsidRDefault="005D106E">
      <w:pPr>
        <w:shd w:val="clear" w:color="auto" w:fill="FFFFFF"/>
        <w:spacing w:line="360" w:lineRule="auto"/>
        <w:jc w:val="both"/>
        <w:rPr>
          <w:sz w:val="20"/>
          <w:szCs w:val="20"/>
          <w:lang w:val="en-US"/>
        </w:rPr>
        <w:sectPr w:rsidR="00D434FF" w:rsidRPr="002E6E0F" w:rsidSect="00C36F25">
          <w:pgSz w:w="11906" w:h="16838"/>
          <w:pgMar w:top="1417" w:right="1440" w:bottom="1417" w:left="1440" w:header="720" w:footer="720" w:gutter="0"/>
          <w:cols w:space="720"/>
          <w:docGrid w:linePitch="326"/>
        </w:sectPr>
      </w:pPr>
      <w:proofErr w:type="spellStart"/>
      <w:r w:rsidRPr="002E6E0F">
        <w:rPr>
          <w:i/>
          <w:sz w:val="20"/>
          <w:szCs w:val="20"/>
          <w:lang w:val="en-US"/>
        </w:rPr>
        <w:t>Nota</w:t>
      </w:r>
      <w:proofErr w:type="spellEnd"/>
      <w:r w:rsidRPr="002E6E0F">
        <w:rPr>
          <w:i/>
          <w:sz w:val="20"/>
          <w:szCs w:val="20"/>
          <w:lang w:val="en-US"/>
        </w:rPr>
        <w:t>:</w:t>
      </w:r>
      <w:r w:rsidRPr="002E6E0F">
        <w:rPr>
          <w:sz w:val="20"/>
          <w:szCs w:val="20"/>
          <w:lang w:val="en-US"/>
        </w:rPr>
        <w:t xml:space="preserve"> BDI: Beck Depression Inventory; HADS: Hospital Anxiety and Depression Scale, HADS-A (subscale for anxiety), HADS-D (subscale for depression); GRID-HAMD: GRID-Hamilton Depression Rating Scale; QIDS-SR-16: 16-item Quick Inventory of Depressive Symptomatology–Self-Report; MADRS: Montgomery–</w:t>
      </w:r>
      <w:proofErr w:type="spellStart"/>
      <w:r w:rsidRPr="002E6E0F">
        <w:rPr>
          <w:sz w:val="20"/>
          <w:szCs w:val="20"/>
          <w:lang w:val="en-US"/>
        </w:rPr>
        <w:t>Åsberg</w:t>
      </w:r>
      <w:proofErr w:type="spellEnd"/>
      <w:r w:rsidRPr="002E6E0F">
        <w:rPr>
          <w:sz w:val="20"/>
          <w:szCs w:val="20"/>
          <w:lang w:val="en-US"/>
        </w:rPr>
        <w:t xml:space="preserve"> Depression Rating Scale; PANAS: Positive and Negative Affect Schedule; GAD-7: </w:t>
      </w:r>
      <w:proofErr w:type="spellStart"/>
      <w:r w:rsidRPr="002E6E0F">
        <w:rPr>
          <w:sz w:val="20"/>
          <w:szCs w:val="20"/>
          <w:lang w:val="en-US"/>
        </w:rPr>
        <w:t>Generalised</w:t>
      </w:r>
      <w:proofErr w:type="spellEnd"/>
      <w:r w:rsidRPr="002E6E0F">
        <w:rPr>
          <w:sz w:val="20"/>
          <w:szCs w:val="20"/>
          <w:lang w:val="en-US"/>
        </w:rPr>
        <w:t xml:space="preserve"> Anxiety Disorder-7 item; RRS: Ruminate Response Scale; WBSI: White Bear Suppression Inventory; EBI: Emotional Breakthrough Inventory; EEG: </w:t>
      </w:r>
      <w:proofErr w:type="spellStart"/>
      <w:r w:rsidRPr="002E6E0F">
        <w:rPr>
          <w:sz w:val="20"/>
          <w:szCs w:val="20"/>
          <w:lang w:val="en-US"/>
        </w:rPr>
        <w:t>Eletroencefalograma</w:t>
      </w:r>
      <w:proofErr w:type="spellEnd"/>
      <w:r w:rsidRPr="002E6E0F">
        <w:rPr>
          <w:sz w:val="20"/>
          <w:szCs w:val="20"/>
          <w:lang w:val="en-US"/>
        </w:rPr>
        <w:t>.</w:t>
      </w:r>
    </w:p>
    <w:p w14:paraId="2EBF6D9C" w14:textId="1D99E2B0" w:rsidR="00D434FF" w:rsidRPr="00031D66" w:rsidRDefault="00F12906" w:rsidP="00F12906">
      <w:pPr>
        <w:widowControl w:val="0"/>
        <w:shd w:val="clear" w:color="auto" w:fill="FFFFFF"/>
        <w:spacing w:after="180" w:line="360" w:lineRule="auto"/>
        <w:jc w:val="both"/>
        <w:rPr>
          <w:lang w:val="es-AR"/>
        </w:rPr>
      </w:pPr>
      <w:r w:rsidRPr="00031D66">
        <w:rPr>
          <w:lang w:val="en-US"/>
        </w:rPr>
        <w:lastRenderedPageBreak/>
        <w:t xml:space="preserve">      </w:t>
      </w:r>
      <w:r w:rsidR="00012F44" w:rsidRPr="00031D66">
        <w:rPr>
          <w:lang w:val="en-US"/>
        </w:rPr>
        <w:t xml:space="preserve">    </w:t>
      </w:r>
      <w:r w:rsidR="005D106E" w:rsidRPr="007E4DFC">
        <w:t xml:space="preserve">No geral, 848 participantes foram incluídos nos estudos. </w:t>
      </w:r>
      <w:r w:rsidR="005D106E" w:rsidRPr="00031D66">
        <w:rPr>
          <w:lang w:val="es-AR"/>
        </w:rPr>
        <w:t xml:space="preserve">O número de participantes variou de 19 (Sloshower </w:t>
      </w:r>
      <w:r w:rsidR="005D106E" w:rsidRPr="00031D66">
        <w:rPr>
          <w:i/>
          <w:lang w:val="es-AR"/>
        </w:rPr>
        <w:t>et al.,</w:t>
      </w:r>
      <w:r w:rsidR="005D106E" w:rsidRPr="00031D66">
        <w:rPr>
          <w:lang w:val="es-AR"/>
        </w:rPr>
        <w:t xml:space="preserve"> 2023; Skosnik </w:t>
      </w:r>
      <w:r w:rsidR="005D106E" w:rsidRPr="00031D66">
        <w:rPr>
          <w:i/>
          <w:lang w:val="es-AR"/>
        </w:rPr>
        <w:t>et al.,</w:t>
      </w:r>
      <w:r w:rsidR="005D106E" w:rsidRPr="00031D66">
        <w:rPr>
          <w:lang w:val="es-AR"/>
        </w:rPr>
        <w:t xml:space="preserve"> 2023) a 233 (Goodwin </w:t>
      </w:r>
      <w:r w:rsidR="005D106E" w:rsidRPr="00031D66">
        <w:rPr>
          <w:i/>
          <w:lang w:val="es-AR"/>
        </w:rPr>
        <w:t>et al.,</w:t>
      </w:r>
      <w:r w:rsidR="005D106E" w:rsidRPr="00031D66">
        <w:rPr>
          <w:lang w:val="es-AR"/>
        </w:rPr>
        <w:t xml:space="preserve"> 2022; Goodwin </w:t>
      </w:r>
      <w:r w:rsidR="005D106E" w:rsidRPr="00031D66">
        <w:rPr>
          <w:i/>
          <w:lang w:val="es-AR"/>
        </w:rPr>
        <w:t>et al.,</w:t>
      </w:r>
      <w:r w:rsidR="005D106E" w:rsidRPr="00031D66">
        <w:rPr>
          <w:lang w:val="es-AR"/>
        </w:rPr>
        <w:t xml:space="preserve"> 2023). Além disso, seis estudos usaram 1mg de psilocibina como placebo (Griffiths </w:t>
      </w:r>
      <w:r w:rsidR="005D106E" w:rsidRPr="00031D66">
        <w:rPr>
          <w:i/>
          <w:lang w:val="es-AR"/>
        </w:rPr>
        <w:t>et al.</w:t>
      </w:r>
      <w:r w:rsidR="005D106E" w:rsidRPr="00031D66">
        <w:rPr>
          <w:lang w:val="es-AR"/>
        </w:rPr>
        <w:t xml:space="preserve">, 2016; Carhart-Harris </w:t>
      </w:r>
      <w:r w:rsidR="005D106E" w:rsidRPr="00031D66">
        <w:rPr>
          <w:i/>
          <w:lang w:val="es-AR"/>
        </w:rPr>
        <w:t>et al.</w:t>
      </w:r>
      <w:r w:rsidR="005D106E" w:rsidRPr="00031D66">
        <w:rPr>
          <w:lang w:val="es-AR"/>
        </w:rPr>
        <w:t xml:space="preserve">, 2021; Barba </w:t>
      </w:r>
      <w:r w:rsidR="005D106E" w:rsidRPr="00031D66">
        <w:rPr>
          <w:i/>
          <w:lang w:val="es-AR"/>
        </w:rPr>
        <w:t>et al.</w:t>
      </w:r>
      <w:r w:rsidR="005D106E" w:rsidRPr="00031D66">
        <w:rPr>
          <w:lang w:val="es-AR"/>
        </w:rPr>
        <w:t xml:space="preserve">, 2022; von Rotz </w:t>
      </w:r>
      <w:r w:rsidR="005D106E" w:rsidRPr="00031D66">
        <w:rPr>
          <w:i/>
          <w:lang w:val="es-AR"/>
        </w:rPr>
        <w:t>et al.,</w:t>
      </w:r>
      <w:r w:rsidR="005D106E" w:rsidRPr="00031D66">
        <w:rPr>
          <w:lang w:val="es-AR"/>
        </w:rPr>
        <w:t xml:space="preserve"> 2022; Goodwin </w:t>
      </w:r>
      <w:r w:rsidR="005D106E" w:rsidRPr="00031D66">
        <w:rPr>
          <w:i/>
          <w:lang w:val="es-AR"/>
        </w:rPr>
        <w:t>et al.,</w:t>
      </w:r>
      <w:r w:rsidR="005D106E" w:rsidRPr="00031D66">
        <w:rPr>
          <w:lang w:val="es-AR"/>
        </w:rPr>
        <w:t xml:space="preserve"> 2022; Goodwin </w:t>
      </w:r>
      <w:r w:rsidR="005D106E" w:rsidRPr="00031D66">
        <w:rPr>
          <w:i/>
          <w:lang w:val="es-AR"/>
        </w:rPr>
        <w:t>et al.,</w:t>
      </w:r>
      <w:r w:rsidR="005D106E" w:rsidRPr="00031D66">
        <w:rPr>
          <w:lang w:val="es-AR"/>
        </w:rPr>
        <w:t xml:space="preserve"> 2023), enquanto quatro estudos usaram niacina, que causa calor e rubor, como parte da alteração fisiológica (Santos, 2005) e celulose microcristalina como placebo ativo (Ross </w:t>
      </w:r>
      <w:r w:rsidR="005D106E" w:rsidRPr="00031D66">
        <w:rPr>
          <w:i/>
          <w:lang w:val="es-AR"/>
        </w:rPr>
        <w:t>et al</w:t>
      </w:r>
      <w:r w:rsidR="005D106E" w:rsidRPr="00031D66">
        <w:rPr>
          <w:lang w:val="es-AR"/>
        </w:rPr>
        <w:t>., 2016; Raison</w:t>
      </w:r>
      <w:r w:rsidR="005D106E" w:rsidRPr="00031D66">
        <w:rPr>
          <w:i/>
          <w:lang w:val="es-AR"/>
        </w:rPr>
        <w:t xml:space="preserve"> et al.</w:t>
      </w:r>
      <w:r w:rsidR="005D106E" w:rsidRPr="00031D66">
        <w:rPr>
          <w:lang w:val="es-AR"/>
        </w:rPr>
        <w:t xml:space="preserve">, 2023; Skosnik </w:t>
      </w:r>
      <w:r w:rsidR="005D106E" w:rsidRPr="00031D66">
        <w:rPr>
          <w:i/>
          <w:lang w:val="es-AR"/>
        </w:rPr>
        <w:t>et al.,</w:t>
      </w:r>
      <w:r w:rsidR="005D106E" w:rsidRPr="00031D66">
        <w:rPr>
          <w:lang w:val="es-AR"/>
        </w:rPr>
        <w:t xml:space="preserve"> 2023; Sloshower </w:t>
      </w:r>
      <w:r w:rsidR="005D106E" w:rsidRPr="00031D66">
        <w:rPr>
          <w:i/>
          <w:lang w:val="es-AR"/>
        </w:rPr>
        <w:t>et al.,</w:t>
      </w:r>
      <w:r w:rsidR="005D106E" w:rsidRPr="00031D66">
        <w:rPr>
          <w:lang w:val="es-AR"/>
        </w:rPr>
        <w:t xml:space="preserve"> 2023). </w:t>
      </w:r>
    </w:p>
    <w:p w14:paraId="00DCD41D" w14:textId="77777777" w:rsidR="00D434FF" w:rsidRPr="007E4DFC" w:rsidRDefault="005D106E">
      <w:pPr>
        <w:widowControl w:val="0"/>
        <w:shd w:val="clear" w:color="auto" w:fill="FFFFFF"/>
        <w:spacing w:after="180" w:line="360" w:lineRule="auto"/>
        <w:ind w:firstLine="708"/>
        <w:jc w:val="both"/>
      </w:pPr>
      <w:r w:rsidRPr="00031D66">
        <w:rPr>
          <w:lang w:val="es-AR"/>
        </w:rPr>
        <w:t xml:space="preserve">Oito estudos usufruíram apenas da </w:t>
      </w:r>
      <w:r w:rsidRPr="00031D66">
        <w:rPr>
          <w:i/>
          <w:lang w:val="es-AR"/>
        </w:rPr>
        <w:t>single-dose</w:t>
      </w:r>
      <w:r w:rsidRPr="00031D66">
        <w:rPr>
          <w:lang w:val="es-AR"/>
        </w:rPr>
        <w:t xml:space="preserve"> (dose única) da psilocibina (Ross </w:t>
      </w:r>
      <w:r w:rsidRPr="00031D66">
        <w:rPr>
          <w:i/>
          <w:lang w:val="es-AR"/>
        </w:rPr>
        <w:t>et al.</w:t>
      </w:r>
      <w:r w:rsidRPr="00031D66">
        <w:rPr>
          <w:lang w:val="es-AR"/>
        </w:rPr>
        <w:t xml:space="preserve">, 2016; Griffiths </w:t>
      </w:r>
      <w:r w:rsidRPr="00031D66">
        <w:rPr>
          <w:i/>
          <w:lang w:val="es-AR"/>
        </w:rPr>
        <w:t>et al.</w:t>
      </w:r>
      <w:r w:rsidRPr="00031D66">
        <w:rPr>
          <w:lang w:val="es-AR"/>
        </w:rPr>
        <w:t xml:space="preserve">, 2016; Goodwin </w:t>
      </w:r>
      <w:r w:rsidRPr="00031D66">
        <w:rPr>
          <w:i/>
          <w:lang w:val="es-AR"/>
        </w:rPr>
        <w:t>et al</w:t>
      </w:r>
      <w:r w:rsidRPr="00031D66">
        <w:rPr>
          <w:lang w:val="es-AR"/>
        </w:rPr>
        <w:t xml:space="preserve">., 2022; von Rotz </w:t>
      </w:r>
      <w:r w:rsidRPr="00031D66">
        <w:rPr>
          <w:i/>
          <w:lang w:val="es-AR"/>
        </w:rPr>
        <w:t>et al.,</w:t>
      </w:r>
      <w:r w:rsidRPr="00031D66">
        <w:rPr>
          <w:lang w:val="es-AR"/>
        </w:rPr>
        <w:t xml:space="preserve"> 2022; Goodwin </w:t>
      </w:r>
      <w:r w:rsidRPr="00031D66">
        <w:rPr>
          <w:i/>
          <w:lang w:val="es-AR"/>
        </w:rPr>
        <w:t>et al.,</w:t>
      </w:r>
      <w:r w:rsidRPr="00031D66">
        <w:rPr>
          <w:lang w:val="es-AR"/>
        </w:rPr>
        <w:t xml:space="preserve"> 2023; Raison </w:t>
      </w:r>
      <w:r w:rsidRPr="00031D66">
        <w:rPr>
          <w:i/>
          <w:lang w:val="es-AR"/>
        </w:rPr>
        <w:t>et al</w:t>
      </w:r>
      <w:r w:rsidRPr="00031D66">
        <w:rPr>
          <w:lang w:val="es-AR"/>
        </w:rPr>
        <w:t xml:space="preserve">., 2023; Sloshower </w:t>
      </w:r>
      <w:r w:rsidRPr="00031D66">
        <w:rPr>
          <w:i/>
          <w:lang w:val="es-AR"/>
        </w:rPr>
        <w:t>et al.</w:t>
      </w:r>
      <w:r w:rsidRPr="00031D66">
        <w:rPr>
          <w:lang w:val="es-AR"/>
        </w:rPr>
        <w:t xml:space="preserve">, 2023; Skosnik </w:t>
      </w:r>
      <w:r w:rsidRPr="00031D66">
        <w:rPr>
          <w:i/>
          <w:lang w:val="es-AR"/>
        </w:rPr>
        <w:t>et al.,</w:t>
      </w:r>
      <w:r w:rsidRPr="00031D66">
        <w:rPr>
          <w:lang w:val="es-AR"/>
        </w:rPr>
        <w:t xml:space="preserve"> 2023), com exceção o de Carhart-Harris e colaboradores (2021) e Barba </w:t>
      </w:r>
      <w:r w:rsidRPr="00031D66">
        <w:rPr>
          <w:i/>
          <w:lang w:val="es-AR"/>
        </w:rPr>
        <w:t>et al.</w:t>
      </w:r>
      <w:r w:rsidRPr="00031D66">
        <w:rPr>
          <w:lang w:val="es-AR"/>
        </w:rPr>
        <w:t xml:space="preserve"> </w:t>
      </w:r>
      <w:r w:rsidRPr="007E4DFC">
        <w:t xml:space="preserve">(2022), que utilizaram </w:t>
      </w:r>
      <w:proofErr w:type="spellStart"/>
      <w:r w:rsidRPr="007E4DFC">
        <w:rPr>
          <w:i/>
        </w:rPr>
        <w:t>double</w:t>
      </w:r>
      <w:proofErr w:type="spellEnd"/>
      <w:r w:rsidRPr="007E4DFC">
        <w:rPr>
          <w:i/>
        </w:rPr>
        <w:t xml:space="preserve">-dose </w:t>
      </w:r>
      <w:r w:rsidRPr="007E4DFC">
        <w:t xml:space="preserve">(duas doses) de psilocibina e um grupo com comparador ativo, ou seja, um tratamento já pré-estabelecido, estudado e utilizado para depressão, o </w:t>
      </w:r>
      <w:proofErr w:type="spellStart"/>
      <w:r w:rsidRPr="007E4DFC">
        <w:t>escitalopram</w:t>
      </w:r>
      <w:proofErr w:type="spellEnd"/>
      <w:r w:rsidRPr="007E4DFC">
        <w:t>, um Inibidor Seletivo de Recaptação de Serotonina (ISRS).</w:t>
      </w:r>
    </w:p>
    <w:p w14:paraId="32C2193A" w14:textId="3C0A8850" w:rsidR="00D434FF" w:rsidRPr="007E4DFC" w:rsidRDefault="005D106E">
      <w:pPr>
        <w:widowControl w:val="0"/>
        <w:shd w:val="clear" w:color="auto" w:fill="FFFFFF"/>
        <w:spacing w:line="360" w:lineRule="auto"/>
        <w:ind w:firstLine="708"/>
        <w:jc w:val="both"/>
      </w:pPr>
      <w:r w:rsidRPr="007E4DFC">
        <w:t xml:space="preserve">Foi observado que apenas dois estudos incluíram pacientes com depressão e ansiedade relacionadas ao câncer (Ross </w:t>
      </w:r>
      <w:r w:rsidRPr="007E4DFC">
        <w:rPr>
          <w:i/>
        </w:rPr>
        <w:t>et al.</w:t>
      </w:r>
      <w:r w:rsidRPr="007E4DFC">
        <w:t xml:space="preserve">, 2016; Griffiths </w:t>
      </w:r>
      <w:r w:rsidRPr="007E4DFC">
        <w:rPr>
          <w:i/>
        </w:rPr>
        <w:t>et al.</w:t>
      </w:r>
      <w:r w:rsidRPr="007E4DFC">
        <w:t>, 2016) com uma variação de 34% a 65% de indivíduos em fase de metástase. Os aspectos sociodemográficos do</w:t>
      </w:r>
      <w:r w:rsidR="00221A62">
        <w:t>s</w:t>
      </w:r>
      <w:r w:rsidRPr="007E4DFC">
        <w:t xml:space="preserve"> estudos apontam que a maioria das amostras é feminina (Ross </w:t>
      </w:r>
      <w:r w:rsidRPr="007E4DFC">
        <w:rPr>
          <w:i/>
        </w:rPr>
        <w:t>et al</w:t>
      </w:r>
      <w:r w:rsidRPr="007E4DFC">
        <w:t xml:space="preserve">., 2016; Griffiths </w:t>
      </w:r>
      <w:r w:rsidRPr="007E4DFC">
        <w:rPr>
          <w:i/>
        </w:rPr>
        <w:t>et al</w:t>
      </w:r>
      <w:r w:rsidRPr="007E4DFC">
        <w:t xml:space="preserve">., 2016; Goodwin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Goodwin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variando de 49% a 68%. Os estudos de Carhart-Harris </w:t>
      </w:r>
      <w:r w:rsidRPr="007E4DFC">
        <w:rPr>
          <w:i/>
        </w:rPr>
        <w:t>et al.</w:t>
      </w:r>
      <w:r w:rsidRPr="007E4DFC">
        <w:t xml:space="preserve"> (2021) e Barba </w:t>
      </w:r>
      <w:r w:rsidRPr="007E4DFC">
        <w:rPr>
          <w:i/>
        </w:rPr>
        <w:t>et al.</w:t>
      </w:r>
      <w:r w:rsidRPr="007E4DFC">
        <w:t xml:space="preserve"> (2022) foram os que apresentaram a menor porcentagem, sendo 34% da amostra (</w:t>
      </w:r>
      <w:r w:rsidRPr="007E4DFC">
        <w:rPr>
          <w:i/>
        </w:rPr>
        <w:t>n</w:t>
      </w:r>
      <w:r w:rsidRPr="007E4DFC">
        <w:t xml:space="preserve">=59), composta por mulheres. Em relação aos aspectos étnico-raciais, mais de 80% da amostra de todos os estudos apresentam indivíduos </w:t>
      </w:r>
      <w:proofErr w:type="spellStart"/>
      <w:r w:rsidRPr="007E4DFC">
        <w:t>étnicamente</w:t>
      </w:r>
      <w:proofErr w:type="spellEnd"/>
      <w:r w:rsidRPr="007E4DFC">
        <w:t xml:space="preserve"> brancos (Ross </w:t>
      </w:r>
      <w:r w:rsidRPr="007E4DFC">
        <w:rPr>
          <w:i/>
        </w:rPr>
        <w:t>et al.</w:t>
      </w:r>
      <w:r w:rsidRPr="007E4DFC">
        <w:t xml:space="preserve">, 2016; Griffiths </w:t>
      </w:r>
      <w:r w:rsidRPr="007E4DFC">
        <w:rPr>
          <w:i/>
        </w:rPr>
        <w:t>et al.</w:t>
      </w:r>
      <w:r w:rsidRPr="007E4DFC">
        <w:t xml:space="preserve">, 2016; Carhart-Harris </w:t>
      </w:r>
      <w:r w:rsidRPr="007E4DFC">
        <w:rPr>
          <w:i/>
        </w:rPr>
        <w:t>et</w:t>
      </w:r>
      <w:r w:rsidRPr="007E4DFC">
        <w:t xml:space="preserve"> </w:t>
      </w:r>
      <w:r w:rsidRPr="007E4DFC">
        <w:rPr>
          <w:i/>
        </w:rPr>
        <w:t>al</w:t>
      </w:r>
      <w:r w:rsidRPr="007E4DFC">
        <w:t xml:space="preserve">., 2021; Barba </w:t>
      </w:r>
      <w:r w:rsidRPr="007E4DFC">
        <w:rPr>
          <w:i/>
        </w:rPr>
        <w:t xml:space="preserve">et al., </w:t>
      </w:r>
      <w:r w:rsidRPr="007E4DFC">
        <w:t xml:space="preserve">2022; Goodwin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Goodwin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2023). </w:t>
      </w:r>
    </w:p>
    <w:p w14:paraId="5B4EA4DB" w14:textId="77777777" w:rsidR="00D434FF" w:rsidRPr="007E4DFC" w:rsidRDefault="005D106E">
      <w:pPr>
        <w:widowControl w:val="0"/>
        <w:shd w:val="clear" w:color="auto" w:fill="FFFFFF"/>
        <w:spacing w:line="360" w:lineRule="auto"/>
        <w:ind w:firstLine="708"/>
        <w:jc w:val="both"/>
        <w:rPr>
          <w:color w:val="252525"/>
        </w:rPr>
      </w:pPr>
      <w:r w:rsidRPr="007E4DFC">
        <w:rPr>
          <w:color w:val="252525"/>
        </w:rPr>
        <w:t xml:space="preserve">Dos dez </w:t>
      </w:r>
      <w:proofErr w:type="spellStart"/>
      <w:r w:rsidRPr="007E4DFC">
        <w:rPr>
          <w:color w:val="252525"/>
        </w:rPr>
        <w:t>ECRs</w:t>
      </w:r>
      <w:proofErr w:type="spellEnd"/>
      <w:r w:rsidRPr="007E4DFC">
        <w:rPr>
          <w:color w:val="252525"/>
        </w:rPr>
        <w:t xml:space="preserve">, cinco estudos foram conduzidos nos Estados Unidos (Ross et al., 2016; Griffiths </w:t>
      </w:r>
      <w:r w:rsidRPr="007E4DFC">
        <w:rPr>
          <w:i/>
          <w:color w:val="252525"/>
        </w:rPr>
        <w:t>et al</w:t>
      </w:r>
      <w:r w:rsidRPr="007E4DFC">
        <w:rPr>
          <w:color w:val="252525"/>
        </w:rPr>
        <w:t xml:space="preserve">., 2016; </w:t>
      </w:r>
      <w:proofErr w:type="spellStart"/>
      <w:r w:rsidRPr="007E4DFC">
        <w:rPr>
          <w:color w:val="252525"/>
        </w:rPr>
        <w:t>Sloshower</w:t>
      </w:r>
      <w:proofErr w:type="spellEnd"/>
      <w:r w:rsidRPr="007E4DFC">
        <w:rPr>
          <w:color w:val="252525"/>
        </w:rPr>
        <w:t xml:space="preserve"> </w:t>
      </w:r>
      <w:r w:rsidRPr="007E4DFC">
        <w:rPr>
          <w:i/>
          <w:color w:val="252525"/>
        </w:rPr>
        <w:t>et al</w:t>
      </w:r>
      <w:r w:rsidRPr="007E4DFC">
        <w:rPr>
          <w:color w:val="252525"/>
        </w:rPr>
        <w:t xml:space="preserve">., 2023; </w:t>
      </w:r>
      <w:proofErr w:type="spellStart"/>
      <w:r w:rsidRPr="007E4DFC">
        <w:rPr>
          <w:color w:val="252525"/>
        </w:rPr>
        <w:t>Skosnik</w:t>
      </w:r>
      <w:proofErr w:type="spellEnd"/>
      <w:r w:rsidRPr="007E4DFC">
        <w:rPr>
          <w:color w:val="252525"/>
        </w:rPr>
        <w:t xml:space="preserve"> </w:t>
      </w:r>
      <w:r w:rsidRPr="007E4DFC">
        <w:rPr>
          <w:i/>
          <w:color w:val="252525"/>
        </w:rPr>
        <w:t>et al</w:t>
      </w:r>
      <w:r w:rsidRPr="007E4DFC">
        <w:rPr>
          <w:color w:val="252525"/>
        </w:rPr>
        <w:t xml:space="preserve">., 2023; </w:t>
      </w:r>
      <w:proofErr w:type="spellStart"/>
      <w:r w:rsidRPr="007E4DFC">
        <w:rPr>
          <w:color w:val="252525"/>
        </w:rPr>
        <w:t>Raison</w:t>
      </w:r>
      <w:proofErr w:type="spellEnd"/>
      <w:r w:rsidRPr="007E4DFC">
        <w:rPr>
          <w:color w:val="252525"/>
        </w:rPr>
        <w:t xml:space="preserve"> </w:t>
      </w:r>
      <w:r w:rsidRPr="007E4DFC">
        <w:rPr>
          <w:i/>
          <w:color w:val="252525"/>
        </w:rPr>
        <w:t>et al</w:t>
      </w:r>
      <w:r w:rsidRPr="007E4DFC">
        <w:rPr>
          <w:color w:val="252525"/>
        </w:rPr>
        <w:t xml:space="preserve">., 2023), quatro na Inglaterra (Carhart-Harris </w:t>
      </w:r>
      <w:r w:rsidRPr="007E4DFC">
        <w:rPr>
          <w:i/>
          <w:color w:val="252525"/>
        </w:rPr>
        <w:t>et al</w:t>
      </w:r>
      <w:r w:rsidRPr="007E4DFC">
        <w:rPr>
          <w:color w:val="252525"/>
        </w:rPr>
        <w:t xml:space="preserve">., 2021; Goodwin </w:t>
      </w:r>
      <w:r w:rsidRPr="007E4DFC">
        <w:rPr>
          <w:i/>
          <w:color w:val="252525"/>
        </w:rPr>
        <w:t>et al</w:t>
      </w:r>
      <w:r w:rsidRPr="007E4DFC">
        <w:rPr>
          <w:color w:val="252525"/>
        </w:rPr>
        <w:t xml:space="preserve">., 2022; Barba </w:t>
      </w:r>
      <w:r w:rsidRPr="007E4DFC">
        <w:rPr>
          <w:i/>
          <w:color w:val="252525"/>
        </w:rPr>
        <w:t>et al</w:t>
      </w:r>
      <w:r w:rsidRPr="007E4DFC">
        <w:rPr>
          <w:color w:val="252525"/>
        </w:rPr>
        <w:t xml:space="preserve">., 2022; Goodwin </w:t>
      </w:r>
      <w:r w:rsidRPr="007E4DFC">
        <w:rPr>
          <w:i/>
          <w:color w:val="252525"/>
        </w:rPr>
        <w:t>et al</w:t>
      </w:r>
      <w:r w:rsidRPr="007E4DFC">
        <w:rPr>
          <w:color w:val="252525"/>
        </w:rPr>
        <w:t xml:space="preserve">., 2023) e um na </w:t>
      </w:r>
      <w:proofErr w:type="spellStart"/>
      <w:r w:rsidRPr="007E4DFC">
        <w:rPr>
          <w:color w:val="252525"/>
        </w:rPr>
        <w:t>Suiça</w:t>
      </w:r>
      <w:proofErr w:type="spellEnd"/>
      <w:r w:rsidRPr="007E4DFC">
        <w:rPr>
          <w:color w:val="252525"/>
        </w:rPr>
        <w:t xml:space="preserve"> (von </w:t>
      </w:r>
      <w:proofErr w:type="spellStart"/>
      <w:r w:rsidRPr="007E4DFC">
        <w:rPr>
          <w:color w:val="252525"/>
        </w:rPr>
        <w:t>Rotz</w:t>
      </w:r>
      <w:proofErr w:type="spellEnd"/>
      <w:r w:rsidRPr="007E4DFC">
        <w:rPr>
          <w:color w:val="252525"/>
        </w:rPr>
        <w:t xml:space="preserve"> </w:t>
      </w:r>
      <w:r w:rsidRPr="007E4DFC">
        <w:rPr>
          <w:i/>
          <w:color w:val="252525"/>
        </w:rPr>
        <w:t>et al</w:t>
      </w:r>
      <w:r w:rsidRPr="007E4DFC">
        <w:rPr>
          <w:color w:val="252525"/>
        </w:rPr>
        <w:t>., 2022).</w:t>
      </w:r>
    </w:p>
    <w:p w14:paraId="73174248" w14:textId="77777777" w:rsidR="00D434FF" w:rsidRPr="007E4DFC" w:rsidRDefault="00D434FF">
      <w:pPr>
        <w:widowControl w:val="0"/>
        <w:shd w:val="clear" w:color="auto" w:fill="FFFFFF"/>
        <w:spacing w:after="180" w:line="360" w:lineRule="auto"/>
        <w:ind w:firstLine="708"/>
        <w:jc w:val="both"/>
      </w:pPr>
    </w:p>
    <w:p w14:paraId="5E56A8B5" w14:textId="77777777" w:rsidR="00D434FF" w:rsidRPr="007E4DFC" w:rsidRDefault="005D106E">
      <w:pPr>
        <w:widowControl w:val="0"/>
        <w:shd w:val="clear" w:color="auto" w:fill="FFFFFF"/>
        <w:spacing w:after="180" w:line="360" w:lineRule="auto"/>
        <w:ind w:firstLine="708"/>
        <w:jc w:val="both"/>
      </w:pPr>
      <w:r w:rsidRPr="007E4DFC">
        <w:lastRenderedPageBreak/>
        <w:t xml:space="preserve">Os estudos variaram, em questão de tempo, entre 2 semanas (von </w:t>
      </w:r>
      <w:proofErr w:type="spellStart"/>
      <w:r w:rsidRPr="007E4DFC">
        <w:t>Rotz</w:t>
      </w:r>
      <w:proofErr w:type="spellEnd"/>
      <w:r w:rsidRPr="007E4DFC">
        <w:t xml:space="preserve"> </w:t>
      </w:r>
      <w:r w:rsidRPr="007E4DFC">
        <w:rPr>
          <w:i/>
        </w:rPr>
        <w:t>et al.,</w:t>
      </w:r>
      <w:r w:rsidRPr="007E4DFC">
        <w:t xml:space="preserve"> 2022) a 39 semanas (Griffiths </w:t>
      </w:r>
      <w:r w:rsidRPr="007E4DFC">
        <w:rPr>
          <w:i/>
        </w:rPr>
        <w:t>et al.</w:t>
      </w:r>
      <w:r w:rsidRPr="007E4DFC">
        <w:t xml:space="preserve">, 2016). </w:t>
      </w:r>
      <w:r w:rsidRPr="002E6E0F">
        <w:rPr>
          <w:lang w:val="en-US"/>
        </w:rPr>
        <w:t xml:space="preserve">As </w:t>
      </w:r>
      <w:proofErr w:type="spellStart"/>
      <w:r w:rsidRPr="002E6E0F">
        <w:rPr>
          <w:lang w:val="en-US"/>
        </w:rPr>
        <w:t>dosagens</w:t>
      </w:r>
      <w:proofErr w:type="spellEnd"/>
      <w:r w:rsidRPr="002E6E0F">
        <w:rPr>
          <w:lang w:val="en-US"/>
        </w:rPr>
        <w:t xml:space="preserve"> de </w:t>
      </w:r>
      <w:proofErr w:type="spellStart"/>
      <w:r w:rsidRPr="002E6E0F">
        <w:rPr>
          <w:lang w:val="en-US"/>
        </w:rPr>
        <w:t>psilocibina</w:t>
      </w:r>
      <w:proofErr w:type="spellEnd"/>
      <w:r w:rsidRPr="002E6E0F">
        <w:rPr>
          <w:lang w:val="en-US"/>
        </w:rPr>
        <w:t xml:space="preserve"> </w:t>
      </w:r>
      <w:proofErr w:type="spellStart"/>
      <w:r w:rsidRPr="002E6E0F">
        <w:rPr>
          <w:lang w:val="en-US"/>
        </w:rPr>
        <w:t>variaram</w:t>
      </w:r>
      <w:proofErr w:type="spellEnd"/>
      <w:r w:rsidRPr="002E6E0F">
        <w:rPr>
          <w:lang w:val="en-US"/>
        </w:rPr>
        <w:t xml:space="preserve"> entre 10 mg (Carhart-Harris </w:t>
      </w:r>
      <w:r w:rsidRPr="002E6E0F">
        <w:rPr>
          <w:i/>
          <w:lang w:val="en-US"/>
        </w:rPr>
        <w:t>et al</w:t>
      </w:r>
      <w:r w:rsidRPr="002E6E0F">
        <w:rPr>
          <w:lang w:val="en-US"/>
        </w:rPr>
        <w:t xml:space="preserve">., 2021; Barba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2023) e 25mg (Carhart-Harris </w:t>
      </w:r>
      <w:r w:rsidRPr="002E6E0F">
        <w:rPr>
          <w:i/>
          <w:lang w:val="en-US"/>
        </w:rPr>
        <w:t>et al</w:t>
      </w:r>
      <w:r w:rsidRPr="002E6E0F">
        <w:rPr>
          <w:lang w:val="en-US"/>
        </w:rPr>
        <w:t xml:space="preserve">., 2021; Barba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2023; Raison </w:t>
      </w:r>
      <w:r w:rsidRPr="002E6E0F">
        <w:rPr>
          <w:i/>
          <w:lang w:val="en-US"/>
        </w:rPr>
        <w:t>et al.</w:t>
      </w:r>
      <w:r w:rsidRPr="002E6E0F">
        <w:rPr>
          <w:lang w:val="en-US"/>
        </w:rPr>
        <w:t xml:space="preserve">, 2023). </w:t>
      </w:r>
      <w:r w:rsidRPr="007E4DFC">
        <w:t>O estudo de Griffiths e colaboradores (2016) utilizou, como testagem, uma dose de 30 mg, mas a reduziu para 22 mg devido aos efeitos adversos (</w:t>
      </w:r>
      <w:proofErr w:type="spellStart"/>
      <w:r w:rsidRPr="007E4DFC">
        <w:t>EAs</w:t>
      </w:r>
      <w:proofErr w:type="spellEnd"/>
      <w:r w:rsidRPr="007E4DFC">
        <w:t>). Os instrumentos de mensuração do desfecho com maior prevalência de uso foram as escalas QIDS-SR-16 (</w:t>
      </w:r>
      <w:r w:rsidRPr="007E4DFC">
        <w:rPr>
          <w:i/>
        </w:rPr>
        <w:t xml:space="preserve">16-item Quick </w:t>
      </w:r>
      <w:proofErr w:type="spellStart"/>
      <w:r w:rsidRPr="007E4DFC">
        <w:rPr>
          <w:i/>
        </w:rPr>
        <w:t>Inventory</w:t>
      </w:r>
      <w:proofErr w:type="spellEnd"/>
      <w:r w:rsidRPr="007E4DFC">
        <w:rPr>
          <w:i/>
        </w:rPr>
        <w:t xml:space="preserve"> </w:t>
      </w:r>
      <w:proofErr w:type="spellStart"/>
      <w:r w:rsidRPr="007E4DFC">
        <w:rPr>
          <w:i/>
        </w:rPr>
        <w:t>of</w:t>
      </w:r>
      <w:proofErr w:type="spellEnd"/>
      <w:r w:rsidRPr="007E4DFC">
        <w:rPr>
          <w:i/>
        </w:rPr>
        <w:t xml:space="preserve"> </w:t>
      </w:r>
      <w:proofErr w:type="spellStart"/>
      <w:r w:rsidRPr="007E4DFC">
        <w:rPr>
          <w:i/>
        </w:rPr>
        <w:t>Depressive</w:t>
      </w:r>
      <w:proofErr w:type="spellEnd"/>
      <w:r w:rsidRPr="007E4DFC">
        <w:rPr>
          <w:i/>
        </w:rPr>
        <w:t xml:space="preserve"> </w:t>
      </w:r>
      <w:proofErr w:type="spellStart"/>
      <w:r w:rsidRPr="007E4DFC">
        <w:rPr>
          <w:i/>
        </w:rPr>
        <w:t>Symptomatology</w:t>
      </w:r>
      <w:proofErr w:type="spellEnd"/>
      <w:r w:rsidRPr="007E4DFC">
        <w:rPr>
          <w:i/>
        </w:rPr>
        <w:t>–Self-Report</w:t>
      </w:r>
      <w:r w:rsidRPr="007E4DFC">
        <w:t xml:space="preserve">) (Carhart-Harris </w:t>
      </w:r>
      <w:r w:rsidRPr="007E4DFC">
        <w:rPr>
          <w:i/>
        </w:rPr>
        <w:t>et al</w:t>
      </w:r>
      <w:r w:rsidRPr="007E4DFC">
        <w:t xml:space="preserve">., 202; Barba </w:t>
      </w:r>
      <w:r w:rsidRPr="007E4DFC">
        <w:rPr>
          <w:i/>
        </w:rPr>
        <w:t>et al</w:t>
      </w:r>
      <w:r w:rsidRPr="007E4DFC">
        <w:t xml:space="preserve">., 2022; Goodwin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2023) e GRID-HAM-D-17 (</w:t>
      </w:r>
      <w:r w:rsidRPr="007E4DFC">
        <w:rPr>
          <w:i/>
        </w:rPr>
        <w:t xml:space="preserve">GRID-Hamilton </w:t>
      </w:r>
      <w:proofErr w:type="spellStart"/>
      <w:r w:rsidRPr="007E4DFC">
        <w:rPr>
          <w:i/>
        </w:rPr>
        <w:t>Depression</w:t>
      </w:r>
      <w:proofErr w:type="spellEnd"/>
      <w:r w:rsidRPr="007E4DFC">
        <w:rPr>
          <w:i/>
        </w:rPr>
        <w:t xml:space="preserve"> Rating </w:t>
      </w:r>
      <w:proofErr w:type="spellStart"/>
      <w:r w:rsidRPr="007E4DFC">
        <w:rPr>
          <w:i/>
        </w:rPr>
        <w:t>Scale</w:t>
      </w:r>
      <w:proofErr w:type="spellEnd"/>
      <w:r w:rsidRPr="007E4DFC">
        <w:t xml:space="preserve">) (Griffiths </w:t>
      </w:r>
      <w:r w:rsidRPr="007E4DFC">
        <w:rPr>
          <w:i/>
        </w:rPr>
        <w:t>et al</w:t>
      </w:r>
      <w:r w:rsidRPr="007E4DFC">
        <w:t xml:space="preserve">., 2016; Goodwin </w:t>
      </w:r>
      <w:r w:rsidRPr="007E4DFC">
        <w:rPr>
          <w:i/>
        </w:rPr>
        <w:t>et al</w:t>
      </w:r>
      <w:r w:rsidRPr="007E4DFC">
        <w:t xml:space="preserve">., 2022; </w:t>
      </w:r>
      <w:proofErr w:type="spellStart"/>
      <w:r w:rsidRPr="007E4DFC">
        <w:t>Skosnik</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
    <w:p w14:paraId="3D931EF7" w14:textId="77777777" w:rsidR="00D434FF" w:rsidRPr="007E4DFC" w:rsidRDefault="005D106E">
      <w:pPr>
        <w:widowControl w:val="0"/>
        <w:shd w:val="clear" w:color="auto" w:fill="FFFFFF"/>
        <w:spacing w:after="180" w:line="360" w:lineRule="auto"/>
        <w:ind w:firstLine="708"/>
        <w:jc w:val="both"/>
      </w:pPr>
      <w:r w:rsidRPr="007E4DFC">
        <w:t xml:space="preserve">Três estudos usufruíram de instrumentos distintos dos supracitados para mensurar o efeito da psilocibina </w:t>
      </w:r>
      <w:r w:rsidRPr="007E4DFC">
        <w:rPr>
          <w:i/>
        </w:rPr>
        <w:t>versus</w:t>
      </w:r>
      <w:r w:rsidRPr="007E4DFC">
        <w:t xml:space="preserve"> placebo na amostra (Barba </w:t>
      </w:r>
      <w:r w:rsidRPr="007E4DFC">
        <w:rPr>
          <w:i/>
        </w:rPr>
        <w:t>et al.</w:t>
      </w:r>
      <w:r w:rsidRPr="007E4DFC">
        <w:t xml:space="preserve">, 2022; Goodwin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Barba </w:t>
      </w:r>
      <w:r w:rsidRPr="007E4DFC">
        <w:rPr>
          <w:i/>
        </w:rPr>
        <w:t>et al.</w:t>
      </w:r>
      <w:r w:rsidRPr="007E4DFC">
        <w:t xml:space="preserve"> (2022) buscaram avaliar a eficácia da psilocibina em dois aspectos sintomatológicos comuns da depressão, a ruminação e a supressão do pensamento, a partir da </w:t>
      </w:r>
      <w:proofErr w:type="spellStart"/>
      <w:r w:rsidRPr="007E4DFC">
        <w:rPr>
          <w:i/>
        </w:rPr>
        <w:t>Ruminate</w:t>
      </w:r>
      <w:proofErr w:type="spellEnd"/>
      <w:r w:rsidRPr="007E4DFC">
        <w:rPr>
          <w:i/>
        </w:rPr>
        <w:t xml:space="preserve"> Response </w:t>
      </w:r>
      <w:proofErr w:type="spellStart"/>
      <w:r w:rsidRPr="007E4DFC">
        <w:rPr>
          <w:i/>
        </w:rPr>
        <w:t>Scale</w:t>
      </w:r>
      <w:proofErr w:type="spellEnd"/>
      <w:r w:rsidRPr="007E4DFC">
        <w:rPr>
          <w:i/>
        </w:rPr>
        <w:t xml:space="preserve"> </w:t>
      </w:r>
      <w:r w:rsidRPr="007E4DFC">
        <w:t xml:space="preserve">(RRS) e do </w:t>
      </w:r>
      <w:r w:rsidRPr="007E4DFC">
        <w:rPr>
          <w:i/>
        </w:rPr>
        <w:t xml:space="preserve">White </w:t>
      </w:r>
      <w:proofErr w:type="spellStart"/>
      <w:r w:rsidRPr="007E4DFC">
        <w:rPr>
          <w:i/>
        </w:rPr>
        <w:t>Bear</w:t>
      </w:r>
      <w:proofErr w:type="spellEnd"/>
      <w:r w:rsidRPr="007E4DFC">
        <w:rPr>
          <w:i/>
        </w:rPr>
        <w:t xml:space="preserve"> </w:t>
      </w:r>
      <w:proofErr w:type="spellStart"/>
      <w:r w:rsidRPr="007E4DFC">
        <w:rPr>
          <w:i/>
        </w:rPr>
        <w:t>Suppression</w:t>
      </w:r>
      <w:proofErr w:type="spellEnd"/>
      <w:r w:rsidRPr="007E4DFC">
        <w:rPr>
          <w:i/>
        </w:rPr>
        <w:t xml:space="preserve"> </w:t>
      </w:r>
      <w:proofErr w:type="spellStart"/>
      <w:r w:rsidRPr="007E4DFC">
        <w:rPr>
          <w:i/>
        </w:rPr>
        <w:t>Inventory</w:t>
      </w:r>
      <w:proofErr w:type="spellEnd"/>
      <w:r w:rsidRPr="007E4DFC">
        <w:rPr>
          <w:i/>
        </w:rPr>
        <w:t xml:space="preserve"> </w:t>
      </w:r>
      <w:r w:rsidRPr="007E4DFC">
        <w:t xml:space="preserve">(WBSI). A supressão é caracterizada como um esforço de evitar pensamentos negativos/memórias angustiantes, enquanto a ruminação é marcada por pensamentos negativos egocêntricos sobre o "eu" e a situação, bem como sobre as consequências e causas de tais pensamentos (Barba </w:t>
      </w:r>
      <w:r w:rsidRPr="007E4DFC">
        <w:rPr>
          <w:i/>
        </w:rPr>
        <w:t>et al.</w:t>
      </w:r>
      <w:r w:rsidRPr="007E4DFC">
        <w:t xml:space="preserve">, 2022). </w:t>
      </w:r>
      <w:proofErr w:type="spellStart"/>
      <w:r w:rsidRPr="007E4DFC">
        <w:t>Skosnik</w:t>
      </w:r>
      <w:proofErr w:type="spellEnd"/>
      <w:r w:rsidRPr="007E4DFC">
        <w:t xml:space="preserve"> </w:t>
      </w:r>
      <w:r w:rsidRPr="007E4DFC">
        <w:rPr>
          <w:i/>
        </w:rPr>
        <w:t>et al</w:t>
      </w:r>
      <w:r w:rsidRPr="007E4DFC">
        <w:t xml:space="preserve">. (2023), por sua vez, procuraram averiguar se a psilocibina aumentaria os correlatos eletroencefalográficos (EEG) da neuroplasticidade, reduziria os sintomas de depressão e se as alterações no EEG se correlacionariam com melhorias na depressão. Goodwin </w:t>
      </w:r>
      <w:r w:rsidRPr="007E4DFC">
        <w:rPr>
          <w:i/>
        </w:rPr>
        <w:t>et al.</w:t>
      </w:r>
      <w:r w:rsidRPr="007E4DFC">
        <w:t xml:space="preserve"> (2023) complementa os desfechos importantes e exploratórios de Goodwin </w:t>
      </w:r>
      <w:r w:rsidRPr="007E4DFC">
        <w:rPr>
          <w:i/>
        </w:rPr>
        <w:t>et al.</w:t>
      </w:r>
      <w:r w:rsidRPr="007E4DFC">
        <w:t xml:space="preserve"> (2022), avaliando medidas que incluem gravidade da depressão autorrelatada, ansiedade, afeto positivo e negativo, funcionamento, qualidade de vida e função cognitiva.</w:t>
      </w:r>
    </w:p>
    <w:p w14:paraId="5017C332" w14:textId="77777777" w:rsidR="00D434FF" w:rsidRPr="007E4DFC" w:rsidRDefault="005D106E">
      <w:pPr>
        <w:shd w:val="clear" w:color="auto" w:fill="FFFFFF"/>
        <w:spacing w:after="180" w:line="360" w:lineRule="auto"/>
        <w:ind w:firstLine="708"/>
        <w:jc w:val="both"/>
      </w:pPr>
      <w:r w:rsidRPr="007E4DFC">
        <w:t xml:space="preserve">Ross </w:t>
      </w:r>
      <w:r w:rsidRPr="007E4DFC">
        <w:rPr>
          <w:i/>
        </w:rPr>
        <w:t>et al.</w:t>
      </w:r>
      <w:r w:rsidRPr="007E4DFC">
        <w:t xml:space="preserve"> (2016) demonstraram que, nas escalas HAD-D e BDI, do dia 1 (</w:t>
      </w:r>
      <w:r w:rsidRPr="007E4DFC">
        <w:rPr>
          <w:i/>
        </w:rPr>
        <w:t>p</w:t>
      </w:r>
      <w:r w:rsidRPr="007E4DFC">
        <w:rPr>
          <w:rFonts w:eastAsia="Gungsuh"/>
        </w:rPr>
        <w:t xml:space="preserve">≤0.001, </w:t>
      </w:r>
      <w:r w:rsidRPr="007E4DFC">
        <w:rPr>
          <w:i/>
        </w:rPr>
        <w:t>d</w:t>
      </w:r>
      <w:r w:rsidRPr="007E4DFC">
        <w:t xml:space="preserve">=1.23; </w:t>
      </w:r>
      <w:r w:rsidRPr="007E4DFC">
        <w:rPr>
          <w:i/>
        </w:rPr>
        <w:t>p</w:t>
      </w:r>
      <w:r w:rsidRPr="007E4DFC">
        <w:rPr>
          <w:rFonts w:eastAsia="Gungsuh"/>
        </w:rPr>
        <w:t xml:space="preserve">≤0.01; </w:t>
      </w:r>
      <w:r w:rsidRPr="007E4DFC">
        <w:rPr>
          <w:i/>
        </w:rPr>
        <w:t>d</w:t>
      </w:r>
      <w:r w:rsidRPr="007E4DFC">
        <w:t>=1.10) até a semana 7 após a administração da dose 1 (</w:t>
      </w:r>
      <w:r w:rsidRPr="007E4DFC">
        <w:rPr>
          <w:i/>
        </w:rPr>
        <w:t>p</w:t>
      </w:r>
      <w:r w:rsidRPr="007E4DFC">
        <w:rPr>
          <w:rFonts w:eastAsia="Gungsuh"/>
        </w:rPr>
        <w:t xml:space="preserve">≤0.01, </w:t>
      </w:r>
      <w:r w:rsidRPr="007E4DFC">
        <w:rPr>
          <w:i/>
        </w:rPr>
        <w:t>d</w:t>
      </w:r>
      <w:r w:rsidRPr="007E4DFC">
        <w:t xml:space="preserve">=1.29; </w:t>
      </w:r>
      <w:r w:rsidRPr="007E4DFC">
        <w:rPr>
          <w:i/>
        </w:rPr>
        <w:t>p</w:t>
      </w:r>
      <w:r w:rsidRPr="007E4DFC">
        <w:rPr>
          <w:rFonts w:eastAsia="Gungsuh"/>
        </w:rPr>
        <w:t xml:space="preserve">≤0.05, </w:t>
      </w:r>
      <w:r w:rsidRPr="007E4DFC">
        <w:rPr>
          <w:i/>
        </w:rPr>
        <w:t>d</w:t>
      </w:r>
      <w:r w:rsidRPr="007E4DFC">
        <w:t xml:space="preserve">=0.82), respectivamente, mostrou-se que o valor de p indica uma maior significância estatística favorecendo o grupo psilocibina, ou seja, mais eficaz que a niacina para a redução dos escores de depressão. As reduções das medidas mantiveram-se significativas ao final das 26 semanas após a dose 2 de psilocibina em indivíduos que primeiramente tinham recebido placebo, visto que as taxas antidepressivas/ansiolíticas para ambos os grupos que receberam psilocibina foram de 60 a 80% (Ross </w:t>
      </w:r>
      <w:r w:rsidRPr="007E4DFC">
        <w:rPr>
          <w:i/>
        </w:rPr>
        <w:t>et al</w:t>
      </w:r>
      <w:r w:rsidRPr="007E4DFC">
        <w:t xml:space="preserve">., 2016). </w:t>
      </w:r>
    </w:p>
    <w:p w14:paraId="3AA82A5C" w14:textId="77777777" w:rsidR="00D434FF" w:rsidRPr="007E4DFC" w:rsidRDefault="005D106E">
      <w:pPr>
        <w:shd w:val="clear" w:color="auto" w:fill="FFFFFF"/>
        <w:spacing w:after="180" w:line="360" w:lineRule="auto"/>
        <w:ind w:firstLine="708"/>
        <w:jc w:val="both"/>
      </w:pPr>
      <w:r w:rsidRPr="007E4DFC">
        <w:lastRenderedPageBreak/>
        <w:t>Griffiths</w:t>
      </w:r>
      <w:r w:rsidRPr="007E4DFC">
        <w:rPr>
          <w:i/>
        </w:rPr>
        <w:t xml:space="preserve"> et al.</w:t>
      </w:r>
      <w:r w:rsidRPr="007E4DFC">
        <w:rPr>
          <w:rFonts w:eastAsia="Cardo"/>
        </w:rPr>
        <w:t xml:space="preserve"> (2016) observaram que, depois de 5 semanas após a sessão 1 de psilocibina (dose alta primeiro) -6,64 (1,04), 92% dos participantes tiveram uma resposta clinicamente significativa através da escala GRID-HAMD-17. Além disso, houve a redução de </w:t>
      </w:r>
      <w:r w:rsidRPr="007E4DFC">
        <w:rPr>
          <w:rFonts w:ascii="Cambria Math" w:eastAsia="Cardo" w:hAnsi="Cambria Math" w:cs="Cambria Math"/>
        </w:rPr>
        <w:t>⩾</w:t>
      </w:r>
      <w:r w:rsidRPr="007E4DFC">
        <w:rPr>
          <w:rFonts w:eastAsia="Cardo"/>
        </w:rPr>
        <w:t xml:space="preserve">50% em relação à linha de base (22.84 (0.97), quando comparados à taxa de resposta do grupo de baixa dose primeiro (32%). Em 6 meses, 79% dos participantes do grupo de alta dose primeiro continuaram mostrando respostas clinicamente significativas (6.23 (1.30), </w:t>
      </w:r>
      <w:r w:rsidRPr="007E4DFC">
        <w:rPr>
          <w:i/>
        </w:rPr>
        <w:t>d</w:t>
      </w:r>
      <w:r w:rsidRPr="007E4DFC">
        <w:t xml:space="preserve">=2,98). Na escala HAM-A, a porcentagem foi de 76% e 24%, respectivamente, para o grupo 1 de alta dose e grupo 1 de baixa dose, 5 semanas após a primeira sessão e 83% para o grupo 1 de alta dose aos 6 meses (Griffiths </w:t>
      </w:r>
      <w:r w:rsidRPr="007E4DFC">
        <w:rPr>
          <w:i/>
        </w:rPr>
        <w:t>et al</w:t>
      </w:r>
      <w:r w:rsidRPr="007E4DFC">
        <w:t>., 2016). Griffiths e colaboradores observaram que houve uma taxa de remissão dos sintomas de 60% e 52% para depressão e ansiedade, respectivamente, 5 semanas após a alta dose de psilocibina na primeira sessão, e com taxas de 71% e 63%, respectivamente, sustentadas em 6 meses.</w:t>
      </w:r>
    </w:p>
    <w:p w14:paraId="606DD30D" w14:textId="0449877B" w:rsidR="00D434FF" w:rsidRPr="007E4DFC" w:rsidRDefault="005D106E">
      <w:pPr>
        <w:shd w:val="clear" w:color="auto" w:fill="FFFFFF"/>
        <w:spacing w:after="180" w:line="360" w:lineRule="auto"/>
        <w:ind w:firstLine="708"/>
        <w:jc w:val="both"/>
      </w:pPr>
      <w:r w:rsidRPr="007E4DFC">
        <w:t xml:space="preserve">Carhart-Harris e colaboradores (2021) atestaram uma alteração média da linha de base (antes do tratamento) na pontuação do QIDS-SR-16 na semana 6 (-8,0±1,0) no grupo da psilocibina e -6,0±1,0 no grupo do </w:t>
      </w:r>
      <w:proofErr w:type="spellStart"/>
      <w:r w:rsidRPr="007E4DFC">
        <w:t>escitalopram</w:t>
      </w:r>
      <w:proofErr w:type="spellEnd"/>
      <w:r w:rsidRPr="007E4DFC">
        <w:t xml:space="preserve"> (-2,0; [IC] de 95%, -5,0 a 0,9, </w:t>
      </w:r>
      <w:r w:rsidRPr="007E4DFC">
        <w:rPr>
          <w:i/>
        </w:rPr>
        <w:t>p</w:t>
      </w:r>
      <w:r w:rsidRPr="007E4DFC">
        <w:t xml:space="preserve">=0,17), indicando que não houve diferença significativa entre os grupos (Carhart-Harris </w:t>
      </w:r>
      <w:r w:rsidRPr="007E4DFC">
        <w:rPr>
          <w:i/>
        </w:rPr>
        <w:t>et al</w:t>
      </w:r>
      <w:r w:rsidRPr="007E4DFC">
        <w:t xml:space="preserve">., 2021). Além disso, foi possível observar remissão dos sintomas na QIDS-SR-16 em 6 semanas no grupo psilocibina 17 (57%) e 8 (28%) para o grupo </w:t>
      </w:r>
      <w:proofErr w:type="spellStart"/>
      <w:r w:rsidRPr="007E4DFC">
        <w:t>escitalopram</w:t>
      </w:r>
      <w:proofErr w:type="spellEnd"/>
      <w:r w:rsidRPr="007E4DFC">
        <w:t xml:space="preserve"> (28; [IC] de 95%, 2 a 54). Na escala HAM-D-17, </w:t>
      </w:r>
      <w:r w:rsidRPr="007E4DFC">
        <w:rPr>
          <w:rFonts w:eastAsia="Gungsuh"/>
        </w:rPr>
        <w:t xml:space="preserve">em 6 semanas, o grupo de psilocibina obteve uma alteração média de −10,5±1,0, enquanto o de </w:t>
      </w:r>
      <w:proofErr w:type="spellStart"/>
      <w:r w:rsidRPr="007E4DFC">
        <w:rPr>
          <w:rFonts w:eastAsia="Gungsuh"/>
        </w:rPr>
        <w:t>escitalopram</w:t>
      </w:r>
      <w:proofErr w:type="spellEnd"/>
      <w:r w:rsidRPr="007E4DFC">
        <w:rPr>
          <w:rFonts w:eastAsia="Gungsuh"/>
        </w:rPr>
        <w:t xml:space="preserve"> −5,1±1,0 (−5,3; [IC] de 95%, −8,2 a −2,4). </w:t>
      </w:r>
      <w:r w:rsidRPr="007E4DFC">
        <w:t xml:space="preserve">No geral, a resposta QIDS-SR-16, em 6 semanas, ocorreu em 21 pacientes (70%) no grupo psilocibina e em 14 pacientes (48%) no grupo </w:t>
      </w:r>
      <w:proofErr w:type="spellStart"/>
      <w:r w:rsidRPr="007E4DFC">
        <w:t>escitalopram</w:t>
      </w:r>
      <w:proofErr w:type="spellEnd"/>
      <w:r w:rsidRPr="007E4DFC">
        <w:t xml:space="preserve"> (22; IC 95%, -3 a 48), indicando a inexistência </w:t>
      </w:r>
      <w:r w:rsidR="007116E5" w:rsidRPr="007E4DFC">
        <w:t>de diferença</w:t>
      </w:r>
      <w:r w:rsidRPr="007E4DFC">
        <w:t xml:space="preserve"> significativa.</w:t>
      </w:r>
    </w:p>
    <w:p w14:paraId="70468C6F" w14:textId="7594BB63" w:rsidR="00D434FF" w:rsidRPr="007E4DFC" w:rsidRDefault="005D106E">
      <w:pPr>
        <w:shd w:val="clear" w:color="auto" w:fill="FFFFFF"/>
        <w:spacing w:after="180" w:line="360" w:lineRule="auto"/>
        <w:ind w:firstLine="708"/>
        <w:jc w:val="both"/>
      </w:pPr>
      <w:r w:rsidRPr="007E4DFC">
        <w:t xml:space="preserve">Ao comparar </w:t>
      </w:r>
      <w:proofErr w:type="spellStart"/>
      <w:r w:rsidRPr="007E4DFC">
        <w:t>psilocibina</w:t>
      </w:r>
      <w:proofErr w:type="spellEnd"/>
      <w:r w:rsidRPr="007E4DFC">
        <w:t xml:space="preserve"> </w:t>
      </w:r>
      <w:r w:rsidRPr="007E4DFC">
        <w:rPr>
          <w:i/>
        </w:rPr>
        <w:t>versus</w:t>
      </w:r>
      <w:r w:rsidRPr="007E4DFC">
        <w:t xml:space="preserve"> </w:t>
      </w:r>
      <w:proofErr w:type="spellStart"/>
      <w:r w:rsidRPr="007E4DFC">
        <w:t>escitalopram</w:t>
      </w:r>
      <w:proofErr w:type="spellEnd"/>
      <w:r w:rsidRPr="007E4DFC">
        <w:t xml:space="preserve"> para ruminação e supressão do pensamento, Barba </w:t>
      </w:r>
      <w:r w:rsidRPr="007E4DFC">
        <w:rPr>
          <w:i/>
        </w:rPr>
        <w:t>et al.</w:t>
      </w:r>
      <w:r w:rsidRPr="007E4DFC">
        <w:t xml:space="preserve"> (2022) verificaram que não houve diferenças significativas entre os escores de RRS basais e de 6 semanas no grupo </w:t>
      </w:r>
      <w:proofErr w:type="spellStart"/>
      <w:r w:rsidRPr="007E4DFC">
        <w:t>escitalopram</w:t>
      </w:r>
      <w:proofErr w:type="spellEnd"/>
      <w:r w:rsidRPr="007E4DFC">
        <w:t xml:space="preserve"> (-1,00, p=0,16, d=0,1), enquanto no grupo psilocibina, as diferenças entre os escores de RRS basais e de 6 semanas foram significativas (-7,76, p&lt;0,001, d=0,63). Na amostra </w:t>
      </w:r>
      <w:proofErr w:type="spellStart"/>
      <w:r w:rsidRPr="007E4DFC">
        <w:t>escitalopram</w:t>
      </w:r>
      <w:proofErr w:type="spellEnd"/>
      <w:r w:rsidRPr="007E4DFC">
        <w:t xml:space="preserve">, não foram encontradas diferenças significativas entre os escores basais e de 6 semanas da WBSI (-2,85, p=0,162, d=0,32). No grupo psilocibina, as diferenças entre os escores basais e de 6 semanas do WBSI foram significativas (-9,70, p&lt;0,001, d=0,87). </w:t>
      </w:r>
      <w:r w:rsidR="007116E5" w:rsidRPr="007E4DFC">
        <w:t>A redução na ruminação correlacionou-se</w:t>
      </w:r>
      <w:r w:rsidRPr="007E4DFC">
        <w:t xml:space="preserve"> significativamente com a redução nos sintomas depressivos em ambos os grupos, no entanto, </w:t>
      </w:r>
      <w:r w:rsidRPr="007E4DFC">
        <w:lastRenderedPageBreak/>
        <w:t xml:space="preserve">nos participantes da psilocibina, houve um número maior (21 de 30) em comparação com o do </w:t>
      </w:r>
      <w:proofErr w:type="spellStart"/>
      <w:r w:rsidRPr="007E4DFC">
        <w:t>escitalopram</w:t>
      </w:r>
      <w:proofErr w:type="spellEnd"/>
      <w:r w:rsidRPr="007E4DFC">
        <w:t xml:space="preserve"> (14 de 29). </w:t>
      </w:r>
    </w:p>
    <w:p w14:paraId="5D86820C" w14:textId="77777777" w:rsidR="00D434FF" w:rsidRPr="007E4DFC" w:rsidRDefault="005D106E">
      <w:pPr>
        <w:shd w:val="clear" w:color="auto" w:fill="FFFFFF"/>
        <w:spacing w:after="180" w:line="360" w:lineRule="auto"/>
        <w:ind w:firstLine="708"/>
        <w:jc w:val="both"/>
      </w:pPr>
      <w:r w:rsidRPr="007E4DFC">
        <w:t xml:space="preserve">Barba e colaboradores (2022) demonstraram que o </w:t>
      </w:r>
      <w:proofErr w:type="spellStart"/>
      <w:r w:rsidRPr="007E4DFC">
        <w:t>escitalopram</w:t>
      </w:r>
      <w:proofErr w:type="spellEnd"/>
      <w:r w:rsidRPr="007E4DFC">
        <w:t xml:space="preserve"> não foi responsável por reduzir, </w:t>
      </w:r>
      <w:proofErr w:type="spellStart"/>
      <w:r w:rsidRPr="007E4DFC">
        <w:t>significamente</w:t>
      </w:r>
      <w:proofErr w:type="spellEnd"/>
      <w:r w:rsidRPr="007E4DFC">
        <w:t xml:space="preserve">, a supressão do pensamento na semana 6. Os autores sugerem uma possível explicação para a falta de efeito do </w:t>
      </w:r>
      <w:proofErr w:type="spellStart"/>
      <w:r w:rsidRPr="007E4DFC">
        <w:t>escitalopram</w:t>
      </w:r>
      <w:proofErr w:type="spellEnd"/>
      <w:r w:rsidRPr="007E4DFC">
        <w:t xml:space="preserve"> na supressão do pensamento que pode estar relacionada à sua farmacologia diferente em relação à psilocibina, aumentando as concentrações de serotonina sináptica de forma generalizada, em vez de atingir diretamente os 5-HT2A, como a psilocibina (Barba </w:t>
      </w:r>
      <w:r w:rsidRPr="007E4DFC">
        <w:rPr>
          <w:i/>
        </w:rPr>
        <w:t>et al.</w:t>
      </w:r>
      <w:r w:rsidRPr="007E4DFC">
        <w:t>, 2022).</w:t>
      </w:r>
    </w:p>
    <w:p w14:paraId="0C37ECCA" w14:textId="77777777" w:rsidR="00D434FF" w:rsidRPr="007E4DFC" w:rsidRDefault="005D106E">
      <w:pPr>
        <w:shd w:val="clear" w:color="auto" w:fill="FFFFFF"/>
        <w:spacing w:after="180" w:line="360" w:lineRule="auto"/>
        <w:ind w:firstLine="708"/>
        <w:jc w:val="both"/>
      </w:pPr>
      <w:r w:rsidRPr="007E4DFC">
        <w:t>Goodwin</w:t>
      </w:r>
      <w:r w:rsidRPr="007E4DFC">
        <w:rPr>
          <w:i/>
        </w:rPr>
        <w:t xml:space="preserve"> et al.</w:t>
      </w:r>
      <w:r w:rsidRPr="007E4DFC">
        <w:t xml:space="preserve"> (2022) observaram que, do início, até a semana 3, na pontuação total do MADRS, houve uma diminuição de 12 pontos no grupo de 25 mg, -7,9 no grupo de 10 mg e -5,4 no grupo de 1 mg. Comparando a dose 25 mg com a dose placebo (1 mg), é estabelecida uma significância estatística (</w:t>
      </w:r>
      <w:r w:rsidRPr="007E4DFC">
        <w:rPr>
          <w:i/>
        </w:rPr>
        <w:t>p</w:t>
      </w:r>
      <w:r w:rsidRPr="007E4DFC">
        <w:t>&lt;0.001), diferentemente da comparação entre 10mg e 1mg (</w:t>
      </w:r>
      <w:r w:rsidRPr="007E4DFC">
        <w:rPr>
          <w:i/>
        </w:rPr>
        <w:t>p</w:t>
      </w:r>
      <w:r w:rsidRPr="007E4DFC">
        <w:t xml:space="preserve">=0.18). Assim, a dose alta foi estatisticamente significativa em relação ao placebo, enquanto a dose média não havia sido (Goodwin </w:t>
      </w:r>
      <w:r w:rsidRPr="007E4DFC">
        <w:rPr>
          <w:i/>
        </w:rPr>
        <w:t>et al.</w:t>
      </w:r>
      <w:r w:rsidRPr="007E4DFC">
        <w:t xml:space="preserve">, 2022). Quanto à remissão dos sintomas, na semana 3, houve 29% de remissão no grupo de 25 mg, 9% no grupo de 10 mg e 8% no grupo de 1 mg (25 mg vs. grupo de 1 mg, 4,8 [IC 95%, 1,8 a 12,8]; 10 mg vs. 1 mg, 1,2 [IC 95%, 0,4 a 3,9]). E, finalmente, a resposta sustentada na semana 12 foi de 20% no grupo de 25 mg, 5% no grupo de 10 mg e 10% no grupo de 1 mg (25 mg vs. 1 mg, 2,2 [IC 95%, 0,9 a 5,4]; 10 mg vs. 1 mg, 0,7 [IC 95%, 0,2 a 2,0]) (Goodwin </w:t>
      </w:r>
      <w:r w:rsidRPr="007E4DFC">
        <w:rPr>
          <w:i/>
        </w:rPr>
        <w:t>et al.</w:t>
      </w:r>
      <w:r w:rsidRPr="007E4DFC">
        <w:t>, 2022).</w:t>
      </w:r>
    </w:p>
    <w:p w14:paraId="5883C079" w14:textId="77777777" w:rsidR="00D434FF" w:rsidRPr="007E4DFC" w:rsidRDefault="005D106E">
      <w:pPr>
        <w:shd w:val="clear" w:color="auto" w:fill="FFFFFF"/>
        <w:spacing w:after="180" w:line="360" w:lineRule="auto"/>
        <w:ind w:firstLine="708"/>
        <w:jc w:val="both"/>
      </w:pPr>
      <w:r w:rsidRPr="007E4DFC">
        <w:t xml:space="preserve">von </w:t>
      </w:r>
      <w:proofErr w:type="spellStart"/>
      <w:r w:rsidRPr="007E4DFC">
        <w:t>Rotz</w:t>
      </w:r>
      <w:proofErr w:type="spellEnd"/>
      <w:r w:rsidRPr="007E4DFC">
        <w:t xml:space="preserve"> e colaboradores (2022) mostraram que a psilocibina foi responsável por diminuir -13,0 pontos em comparação à linha de base e foi significativamente maior do que o placebo (-15,0 a -1,3; d de </w:t>
      </w:r>
      <w:proofErr w:type="spellStart"/>
      <w:r w:rsidRPr="007E4DFC">
        <w:t>Cohens</w:t>
      </w:r>
      <w:proofErr w:type="spellEnd"/>
      <w:r w:rsidRPr="007E4DFC">
        <w:t xml:space="preserve">=0,97; p=0,0011; MADRS) e -13,2 pontos (-13,4 a -1,3; d de </w:t>
      </w:r>
      <w:proofErr w:type="spellStart"/>
      <w:r w:rsidRPr="007E4DFC">
        <w:t>Cohens</w:t>
      </w:r>
      <w:proofErr w:type="spellEnd"/>
      <w:r w:rsidRPr="007E4DFC">
        <w:t xml:space="preserve">=0,67; p=0,019; BDI) 14 dias após a intervenção. Após os 14 dias, a taxa de resposta resultou em 58% para MADRS (Psilocibina: 15/26 vs. Placebo: 4/26; P = 0,0034) e para BDI em 54% (Psilocibina: 14/26 vs. Placebo: 3/26; P = 0,0025. As taxas de remissão foram relatadas em 54% dos pacientes para MADRS (Psilocibina: 14/26 vs. Placebo: 3/26; P = 0,0023) e avaliadas por BDI em 46% (Psilocibina: 12/26 vs. Placebo: 3/26; P = 0,013) (von </w:t>
      </w:r>
      <w:proofErr w:type="spellStart"/>
      <w:r w:rsidRPr="007E4DFC">
        <w:t>Rotz</w:t>
      </w:r>
      <w:proofErr w:type="spellEnd"/>
      <w:r w:rsidRPr="007E4DFC">
        <w:t xml:space="preserve"> </w:t>
      </w:r>
      <w:r w:rsidRPr="007E4DFC">
        <w:rPr>
          <w:i/>
        </w:rPr>
        <w:t>et al</w:t>
      </w:r>
      <w:r w:rsidRPr="007E4DFC">
        <w:t xml:space="preserve">., 2022). As diferenças médias entre os grupos duas semanas após o tratamento foram de -13,0 pontos na MADRS e -10,5 pontos na BDI. Tanto a escala de gravidade dos sintomas depressivos avaliada pelo clínico, quanto a autorrelatada, detectaram a ação da psilocibina em relação ao placebo: em 14 dias de acompanhamento, 58% (MADRS) e 54% (BDI) dos </w:t>
      </w:r>
      <w:r w:rsidRPr="007E4DFC">
        <w:lastRenderedPageBreak/>
        <w:t>participantes na condição de psilocibina atenderam aos critérios de resposta ao tratamento, em comparação com 16% (MADRS) e 12% (BDI) dos participantes na condição de placebo.</w:t>
      </w:r>
    </w:p>
    <w:p w14:paraId="517BB98C" w14:textId="77777777" w:rsidR="00D434FF" w:rsidRPr="007E4DFC" w:rsidRDefault="005D106E">
      <w:pPr>
        <w:shd w:val="clear" w:color="auto" w:fill="FFFFFF"/>
        <w:spacing w:before="240" w:after="240" w:line="360" w:lineRule="auto"/>
        <w:ind w:firstLine="708"/>
        <w:jc w:val="both"/>
      </w:pPr>
      <w:r w:rsidRPr="007E4DFC">
        <w:t xml:space="preserve">Com o intuito de explorar outros desfechos acerca da </w:t>
      </w:r>
      <w:proofErr w:type="spellStart"/>
      <w:r w:rsidRPr="007E4DFC">
        <w:t>psilocibina</w:t>
      </w:r>
      <w:proofErr w:type="spellEnd"/>
      <w:r w:rsidRPr="007E4DFC">
        <w:t xml:space="preserve">, Goodwin </w:t>
      </w:r>
      <w:r w:rsidRPr="007E4DFC">
        <w:rPr>
          <w:i/>
        </w:rPr>
        <w:t>et al</w:t>
      </w:r>
      <w:r w:rsidRPr="007E4DFC">
        <w:t>. (2023) buscaram avaliar alguns aspectos como a gravidade da depressão autorrelatada, a ansiedade e o afeto positivo e negativo. Os resultados mostraram que a dose de 25 mg foi associada a um aumento no escore de afeto positivo do PANAS e uma diminuição no escore de afeto negativo na semana 3, com diferença entre a linha de base para a semana 3 entre o grupo de 25 mg e o grupo de 1 mg [6,2 (3,5 a 8,8)], e a diferença entre o grupo de 10 mg e o grupo de 1 mg [1,6 (-1,1 a 4,3)]. Na semana 3, 25 mg e 10 mg de psilocibina reduziram os escores totais de depressão no QIDS-SR-16. A diferença desde o início até a semana 3 entre o grupo de 25 mg e o grupo de 1 mg foi de -2,8 (-4,6 a -0,9), e a diferença entre o grupo de 10 mg e o grupo de 1 mg foi de -1,6 (-3,5 a 0,3). Para o GAD-7, uma medida de ansiedade, também demonstrou que a dose de 25 mg produziu maior melhora em comparação com a dose de 1 mg do que a dose de 10 mg na semana 3. A diferença na alteração desde a linha de base até a semana 3 entre o grupo de 25 mg e o grupo de 1 mg foi de -1,8 (-3,4 a -0,2), e a diferença entre o grupo de 10 mg e o grupo de 1 mg foi de -0,5 (-2,1 a 1,0).</w:t>
      </w:r>
    </w:p>
    <w:p w14:paraId="128A16AA" w14:textId="65E5CE02" w:rsidR="00D434FF" w:rsidRPr="007E4DFC" w:rsidRDefault="005D106E">
      <w:pPr>
        <w:shd w:val="clear" w:color="auto" w:fill="FFFFFF"/>
        <w:spacing w:after="180" w:line="360" w:lineRule="auto"/>
        <w:ind w:firstLine="708"/>
        <w:jc w:val="both"/>
      </w:pPr>
      <w:r w:rsidRPr="007E4DFC">
        <w:t xml:space="preserve">Os achados de </w:t>
      </w:r>
      <w:proofErr w:type="spellStart"/>
      <w:r w:rsidRPr="007E4DFC">
        <w:t>Raison</w:t>
      </w:r>
      <w:proofErr w:type="spellEnd"/>
      <w:r w:rsidRPr="007E4DFC">
        <w:t xml:space="preserve"> </w:t>
      </w:r>
      <w:r w:rsidRPr="007E4DFC">
        <w:rPr>
          <w:i/>
        </w:rPr>
        <w:t>et al</w:t>
      </w:r>
      <w:r w:rsidRPr="007E4DFC">
        <w:t xml:space="preserve">. (2023) evidenciam que a psilocibina, em detrimento do placebo (niacina), mostrou-se promissora na alteração dos escores da escala MADRS, avaliada do dia 1 até o dia 43 (diferença média, -12,3 [IC 95%, -17,5 a -7,2]; </w:t>
      </w:r>
      <w:r w:rsidRPr="007E4DFC">
        <w:rPr>
          <w:i/>
        </w:rPr>
        <w:t>p</w:t>
      </w:r>
      <w:r w:rsidRPr="007E4DFC">
        <w:t xml:space="preserve">&lt;001). Além disso, indivíduos que receberam a psilocibina tiveram respostas sustentadas aos sintomas depressivos do que aqueles que receberam niacina (20/48 [42%] </w:t>
      </w:r>
      <w:proofErr w:type="spellStart"/>
      <w:r w:rsidRPr="007E4DFC">
        <w:t>vs</w:t>
      </w:r>
      <w:proofErr w:type="spellEnd"/>
      <w:r w:rsidRPr="007E4DFC">
        <w:t xml:space="preserve"> 5/44 [11%]) (</w:t>
      </w:r>
      <w:proofErr w:type="spellStart"/>
      <w:r w:rsidRPr="007E4DFC">
        <w:t>Raison</w:t>
      </w:r>
      <w:proofErr w:type="spellEnd"/>
      <w:r w:rsidRPr="007E4DFC">
        <w:t xml:space="preserve"> </w:t>
      </w:r>
      <w:r w:rsidRPr="007E4DFC">
        <w:rPr>
          <w:i/>
        </w:rPr>
        <w:t>et al.,</w:t>
      </w:r>
      <w:r w:rsidRPr="007E4DFC">
        <w:t xml:space="preserve"> 2023). No entanto, </w:t>
      </w:r>
      <w:proofErr w:type="spellStart"/>
      <w:r w:rsidRPr="007E4DFC">
        <w:t>Raison</w:t>
      </w:r>
      <w:proofErr w:type="spellEnd"/>
      <w:r w:rsidRPr="007E4DFC">
        <w:t xml:space="preserve"> </w:t>
      </w:r>
      <w:r w:rsidRPr="007E4DFC">
        <w:rPr>
          <w:i/>
        </w:rPr>
        <w:t>et al.</w:t>
      </w:r>
      <w:r w:rsidRPr="007E4DFC">
        <w:t xml:space="preserve">, (2023) também concluíram que a taxa de remissão dos sintomas depressivos sustentados pareceu maior com a psilocibina, mas a diferença não foi estatisticamente significativa (12/48 [25%] para a </w:t>
      </w:r>
      <w:proofErr w:type="spellStart"/>
      <w:r w:rsidRPr="007E4DFC">
        <w:t>psilocibina</w:t>
      </w:r>
      <w:proofErr w:type="spellEnd"/>
      <w:r w:rsidRPr="007E4DFC">
        <w:t xml:space="preserve"> </w:t>
      </w:r>
      <w:proofErr w:type="spellStart"/>
      <w:r w:rsidRPr="007E4DFC">
        <w:rPr>
          <w:i/>
        </w:rPr>
        <w:t>vs</w:t>
      </w:r>
      <w:proofErr w:type="spellEnd"/>
      <w:r w:rsidRPr="007E4DFC">
        <w:t xml:space="preserve"> 4/44 [9,1%] para a niacina, 15,9 [IC 95%, 1,0-30,8]; </w:t>
      </w:r>
      <w:r w:rsidRPr="007E4DFC">
        <w:rPr>
          <w:i/>
        </w:rPr>
        <w:t>p</w:t>
      </w:r>
      <w:r w:rsidRPr="007E4DFC">
        <w:t>= 0,05; OR, 3,4 [IC 95%, 1,0-11,5]).</w:t>
      </w:r>
    </w:p>
    <w:p w14:paraId="56943353" w14:textId="77777777" w:rsidR="00D434FF" w:rsidRPr="007E4DFC" w:rsidRDefault="005D106E">
      <w:pPr>
        <w:shd w:val="clear" w:color="auto" w:fill="FFFFFF"/>
        <w:spacing w:after="180" w:line="360" w:lineRule="auto"/>
        <w:ind w:firstLine="708"/>
        <w:jc w:val="both"/>
      </w:pPr>
      <w:r w:rsidRPr="007E4DFC">
        <w:t xml:space="preserve">Os resultados de </w:t>
      </w:r>
      <w:proofErr w:type="spellStart"/>
      <w:r w:rsidRPr="007E4DFC">
        <w:t>Sloshower</w:t>
      </w:r>
      <w:proofErr w:type="spellEnd"/>
      <w:r w:rsidRPr="007E4DFC">
        <w:t xml:space="preserve"> </w:t>
      </w:r>
      <w:r w:rsidRPr="007E4DFC">
        <w:rPr>
          <w:i/>
        </w:rPr>
        <w:t>et al</w:t>
      </w:r>
      <w:r w:rsidRPr="007E4DFC">
        <w:rPr>
          <w:rFonts w:eastAsia="Caudex"/>
        </w:rPr>
        <w:t>. (2023) sugerem reduções médias nos escores depressão durante o período de 2 semanas após a psilocibina (∆=6,3-8,7) do que após o placebo (∆=4,4-5,8). No entanto, estatisticamente, não houve diferença significativa. Além disso, verificaram que os 15 participantes que completaram ambas as sessões de dosagem alcançaram uma resposta clinicamente significativa (</w:t>
      </w:r>
      <w:r w:rsidRPr="007E4DFC">
        <w:rPr>
          <w:rFonts w:ascii="Cambria Math" w:eastAsia="Caudex" w:hAnsi="Cambria Math" w:cs="Cambria Math"/>
        </w:rPr>
        <w:t>⩾</w:t>
      </w:r>
      <w:r w:rsidRPr="007E4DFC">
        <w:rPr>
          <w:rFonts w:eastAsia="Caudex"/>
        </w:rPr>
        <w:t xml:space="preserve">50% de redução na GRID-HAMD) até o final da semana 6, com 33,3% respondendo após receber placebo, antes da psilocibina, e 66,7% respondendo somente após a dosagem de psilocibina. Pode-se observar que 20% participantes </w:t>
      </w:r>
      <w:r w:rsidRPr="007E4DFC">
        <w:rPr>
          <w:rFonts w:eastAsia="Caudex"/>
        </w:rPr>
        <w:lastRenderedPageBreak/>
        <w:t>obtiveram remissão da depressão (</w:t>
      </w:r>
      <w:r w:rsidRPr="007E4DFC">
        <w:rPr>
          <w:rFonts w:ascii="Cambria Math" w:eastAsia="Caudex" w:hAnsi="Cambria Math" w:cs="Cambria Math"/>
        </w:rPr>
        <w:t>⩽</w:t>
      </w:r>
      <w:r w:rsidRPr="007E4DFC">
        <w:rPr>
          <w:rFonts w:eastAsia="Caudex"/>
        </w:rPr>
        <w:t xml:space="preserve">7 escore GRID-HAMD) após placebo, antes da psilocibina, enquanto 46,7% </w:t>
      </w:r>
      <w:r w:rsidRPr="007E4DFC">
        <w:t>remitiram somente após receber psilocibina. No final da semana 6 verificou-se que 66,7% dos participantes mantiveram sua resposta clínica e 33,3% permaneceram em remissão. Na escala QIDS-SR-16, houve a diminuição dos escores ao longo do tempo (</w:t>
      </w:r>
      <w:proofErr w:type="gramStart"/>
      <w:r w:rsidRPr="007E4DFC">
        <w:rPr>
          <w:i/>
        </w:rPr>
        <w:t>F</w:t>
      </w:r>
      <w:r w:rsidRPr="007E4DFC">
        <w:t>(3.101)=</w:t>
      </w:r>
      <w:proofErr w:type="gramEnd"/>
      <w:r w:rsidRPr="007E4DFC">
        <w:t xml:space="preserve">16,5, </w:t>
      </w:r>
      <w:r w:rsidRPr="007E4DFC">
        <w:rPr>
          <w:i/>
        </w:rPr>
        <w:t>p</w:t>
      </w:r>
      <w:r w:rsidRPr="007E4DFC">
        <w:t>&lt;0,0001) e foram significativamente menores após a administração de psilocibina em comparação com o pós-placebo (</w:t>
      </w:r>
      <w:proofErr w:type="gramStart"/>
      <w:r w:rsidRPr="007E4DFC">
        <w:rPr>
          <w:i/>
        </w:rPr>
        <w:t>F</w:t>
      </w:r>
      <w:r w:rsidRPr="007E4DFC">
        <w:t>(1.101)=</w:t>
      </w:r>
      <w:proofErr w:type="gramEnd"/>
      <w:r w:rsidRPr="007E4DFC">
        <w:t xml:space="preserve">43,3, </w:t>
      </w:r>
      <w:r w:rsidRPr="007E4DFC">
        <w:rPr>
          <w:i/>
        </w:rPr>
        <w:t>p</w:t>
      </w:r>
      <w:r w:rsidRPr="007E4DFC">
        <w:t>&lt;0,0001)), mas nenhuma interação significativa do medicamento por tempo (</w:t>
      </w:r>
      <w:r w:rsidRPr="007E4DFC">
        <w:rPr>
          <w:i/>
        </w:rPr>
        <w:t>F</w:t>
      </w:r>
      <w:r w:rsidRPr="007E4DFC">
        <w:t>(</w:t>
      </w:r>
      <w:proofErr w:type="gramStart"/>
      <w:r w:rsidRPr="007E4DFC">
        <w:t>3.101)=</w:t>
      </w:r>
      <w:proofErr w:type="gramEnd"/>
      <w:r w:rsidRPr="007E4DFC">
        <w:t>1,</w:t>
      </w:r>
      <w:proofErr w:type="gramStart"/>
      <w:r w:rsidRPr="007E4DFC">
        <w:t>3,</w:t>
      </w:r>
      <w:r w:rsidRPr="007E4DFC">
        <w:rPr>
          <w:i/>
        </w:rPr>
        <w:t>p</w:t>
      </w:r>
      <w:proofErr w:type="gramEnd"/>
      <w:r w:rsidRPr="007E4DFC">
        <w:t>=0,29)) até a semana 6 foi observada.</w:t>
      </w:r>
    </w:p>
    <w:p w14:paraId="0E81E081" w14:textId="77777777" w:rsidR="00D434FF" w:rsidRPr="007E4DFC" w:rsidRDefault="005D106E">
      <w:pPr>
        <w:shd w:val="clear" w:color="auto" w:fill="FFFFFF"/>
        <w:spacing w:after="180" w:line="360" w:lineRule="auto"/>
        <w:ind w:firstLine="708"/>
        <w:jc w:val="both"/>
      </w:pPr>
      <w:r w:rsidRPr="007E4DFC">
        <w:t xml:space="preserve">Os desfechos encontrados por </w:t>
      </w:r>
      <w:proofErr w:type="spellStart"/>
      <w:r w:rsidRPr="007E4DFC">
        <w:t>Skosnik</w:t>
      </w:r>
      <w:proofErr w:type="spellEnd"/>
      <w:r w:rsidRPr="007E4DFC">
        <w:t xml:space="preserve"> </w:t>
      </w:r>
      <w:r w:rsidRPr="007E4DFC">
        <w:rPr>
          <w:i/>
        </w:rPr>
        <w:t>et al</w:t>
      </w:r>
      <w:r w:rsidRPr="007E4DFC">
        <w:rPr>
          <w:rFonts w:eastAsia="Gungsuh"/>
        </w:rPr>
        <w:t xml:space="preserve">. (2023), após uma única dose psicodélica de psilocibina, mas não após placebo, evidenciaram que a potência do eletroencefalograma (EEG) dobrou em amplitude em 2 semanas. Além disso, melhorias nos sintomas de depressão 2 semanas após a psilocibina foram correlacionadas com aumentos no poder </w:t>
      </w:r>
      <w:proofErr w:type="spellStart"/>
      <w:r w:rsidRPr="007E4DFC">
        <w:rPr>
          <w:rFonts w:eastAsia="Gungsuh"/>
        </w:rPr>
        <w:t>theta</w:t>
      </w:r>
      <w:proofErr w:type="spellEnd"/>
      <w:r w:rsidRPr="007E4DFC">
        <w:rPr>
          <w:rFonts w:eastAsia="Gungsuh"/>
        </w:rPr>
        <w:t>. Os autores examinaram uma correlação negativa (</w:t>
      </w:r>
      <w:proofErr w:type="spellStart"/>
      <w:r w:rsidRPr="007E4DFC">
        <w:rPr>
          <w:rFonts w:eastAsia="Gungsuh"/>
        </w:rPr>
        <w:t>rho</w:t>
      </w:r>
      <w:proofErr w:type="spellEnd"/>
      <w:r w:rsidRPr="007E4DFC">
        <w:rPr>
          <w:rFonts w:eastAsia="Gungsuh"/>
        </w:rPr>
        <w:t xml:space="preserve"> de </w:t>
      </w:r>
      <w:proofErr w:type="spellStart"/>
      <w:r w:rsidRPr="007E4DFC">
        <w:rPr>
          <w:rFonts w:eastAsia="Gungsuh"/>
        </w:rPr>
        <w:t>Spearman</w:t>
      </w:r>
      <w:proofErr w:type="spellEnd"/>
      <w:r w:rsidRPr="007E4DFC">
        <w:rPr>
          <w:rFonts w:eastAsia="Gungsuh"/>
        </w:rPr>
        <w:t xml:space="preserve"> = −0,57, p &lt; 0,03) entre a mudança nos escores de depressão, a partir da GRID </w:t>
      </w:r>
      <w:r w:rsidRPr="007E4DFC">
        <w:t xml:space="preserve">HAM-D-17, e a mudança no poder </w:t>
      </w:r>
      <w:proofErr w:type="spellStart"/>
      <w:r w:rsidRPr="007E4DFC">
        <w:t>theta</w:t>
      </w:r>
      <w:proofErr w:type="spellEnd"/>
      <w:r w:rsidRPr="007E4DFC">
        <w:t xml:space="preserve"> de 1 dia a 2 semanas após a psilocibina, de modo que as diminuições nos escores de depressão foram correlacionadas com aumentos no poder do EEG. Por exemplo, um aumento geral no poder </w:t>
      </w:r>
      <w:proofErr w:type="spellStart"/>
      <w:r w:rsidRPr="007E4DFC">
        <w:t>theta</w:t>
      </w:r>
      <w:proofErr w:type="spellEnd"/>
      <w:r w:rsidRPr="007E4DFC">
        <w:t xml:space="preserve"> evocado auditivo em um EEG sugere uma resposta cerebral intensificada ou mais sincronizada a estímulos sonoros, ou seja, indica que há uma maior atividade elétrica em resposta a sons. É importante ressaltar que o aumento da potência foi observado apenas 2 semanas após a psilocibina (e não 24h depois) (</w:t>
      </w:r>
      <w:proofErr w:type="spellStart"/>
      <w:r w:rsidRPr="007E4DFC">
        <w:t>Skosnik</w:t>
      </w:r>
      <w:proofErr w:type="spellEnd"/>
      <w:r w:rsidRPr="007E4DFC">
        <w:t xml:space="preserve"> </w:t>
      </w:r>
      <w:r w:rsidRPr="007E4DFC">
        <w:rPr>
          <w:i/>
        </w:rPr>
        <w:t>et al</w:t>
      </w:r>
      <w:r w:rsidRPr="007E4DFC">
        <w:t xml:space="preserve">., 2023). </w:t>
      </w:r>
    </w:p>
    <w:p w14:paraId="278E772D" w14:textId="77777777" w:rsidR="00D434FF" w:rsidRPr="007E4DFC" w:rsidRDefault="00D434FF">
      <w:pPr>
        <w:pBdr>
          <w:top w:val="nil"/>
          <w:left w:val="nil"/>
          <w:bottom w:val="nil"/>
          <w:right w:val="nil"/>
          <w:between w:val="nil"/>
        </w:pBdr>
        <w:jc w:val="center"/>
      </w:pPr>
    </w:p>
    <w:p w14:paraId="1F7EC9AC" w14:textId="77777777" w:rsidR="00D434FF" w:rsidRPr="007E4DFC" w:rsidRDefault="005D106E">
      <w:pPr>
        <w:pBdr>
          <w:top w:val="nil"/>
          <w:left w:val="nil"/>
          <w:bottom w:val="nil"/>
          <w:right w:val="nil"/>
          <w:between w:val="nil"/>
        </w:pBdr>
        <w:jc w:val="center"/>
        <w:rPr>
          <w:b/>
        </w:rPr>
      </w:pPr>
      <w:r w:rsidRPr="007E4DFC">
        <w:rPr>
          <w:b/>
        </w:rPr>
        <w:t xml:space="preserve">Discussão </w:t>
      </w:r>
    </w:p>
    <w:p w14:paraId="5E0B9A88" w14:textId="77777777" w:rsidR="00D434FF" w:rsidRPr="007E4DFC" w:rsidRDefault="00D434FF">
      <w:pPr>
        <w:pBdr>
          <w:top w:val="nil"/>
          <w:left w:val="nil"/>
          <w:bottom w:val="nil"/>
          <w:right w:val="nil"/>
          <w:between w:val="nil"/>
        </w:pBdr>
        <w:jc w:val="center"/>
        <w:rPr>
          <w:b/>
        </w:rPr>
      </w:pPr>
    </w:p>
    <w:p w14:paraId="7E344572" w14:textId="77777777" w:rsidR="00D434FF" w:rsidRPr="007E4DFC" w:rsidRDefault="005D106E">
      <w:pPr>
        <w:shd w:val="clear" w:color="auto" w:fill="FFFFFF"/>
        <w:spacing w:line="360" w:lineRule="auto"/>
        <w:ind w:firstLine="708"/>
        <w:jc w:val="both"/>
      </w:pPr>
      <w:r w:rsidRPr="007E4DFC">
        <w:t xml:space="preserve">Para a discussão, cabe destacar que muitas das limitações são apontadas pelos próprios artigos, o que confere a estes um aspecto ético e científico de qualidade, possibilitando, a posteriori, a replicabilidade de forma mais robusta e com menor risco de vieses. No mais, o tamanho da amostra e a heterogeneidade, os desenhos dos estudos, o </w:t>
      </w:r>
      <w:proofErr w:type="spellStart"/>
      <w:r w:rsidRPr="007E4DFC">
        <w:rPr>
          <w:i/>
        </w:rPr>
        <w:t>blinding</w:t>
      </w:r>
      <w:proofErr w:type="spellEnd"/>
      <w:r w:rsidRPr="007E4DFC">
        <w:t xml:space="preserve">, o placebo ativo e as dosagens, a análise longínquas dos efeitos prolongados da psilocibina, a dificuldade de atribuir eficácia </w:t>
      </w:r>
      <w:r w:rsidRPr="007E4DFC">
        <w:rPr>
          <w:i/>
        </w:rPr>
        <w:t>versus</w:t>
      </w:r>
      <w:r w:rsidRPr="007E4DFC">
        <w:t xml:space="preserve"> eficiência, a indissociação entre a </w:t>
      </w:r>
      <w:proofErr w:type="spellStart"/>
      <w:r w:rsidRPr="007E4DFC">
        <w:t>psilocibina</w:t>
      </w:r>
      <w:proofErr w:type="spellEnd"/>
      <w:r w:rsidRPr="007E4DFC">
        <w:t xml:space="preserve"> e o tratamento psicológico, questões ética, políticas e regulamentares que possam impedir os futuros estudos, a padronização nas medidas de análise, a pouca presença de estudos de neuroimagem, que possibilitam uma visualização mais robusta dos efeitos da psilocibina, e a avaliação de segurança e os efeitos adversos (</w:t>
      </w:r>
      <w:proofErr w:type="spellStart"/>
      <w:r w:rsidRPr="007E4DFC">
        <w:t>EAs</w:t>
      </w:r>
      <w:proofErr w:type="spellEnd"/>
      <w:r w:rsidRPr="007E4DFC">
        <w:t>) são algumas facetas que devem ser analisadas.</w:t>
      </w:r>
    </w:p>
    <w:p w14:paraId="365911CA" w14:textId="77777777" w:rsidR="00D434FF" w:rsidRPr="007E4DFC" w:rsidRDefault="005D106E">
      <w:pPr>
        <w:shd w:val="clear" w:color="auto" w:fill="FFFFFF"/>
        <w:spacing w:line="360" w:lineRule="auto"/>
        <w:ind w:firstLine="708"/>
        <w:jc w:val="both"/>
      </w:pPr>
      <w:r w:rsidRPr="007E4DFC">
        <w:lastRenderedPageBreak/>
        <w:t xml:space="preserve">A Psilocibina, um agonista do receptor 5-HT2A, largamente estudado, não apenas para o Transtorno Depressivo Maior (TDM), como também para </w:t>
      </w:r>
      <w:proofErr w:type="spellStart"/>
      <w:r w:rsidRPr="007E4DFC">
        <w:t>adicções</w:t>
      </w:r>
      <w:proofErr w:type="spellEnd"/>
      <w:r w:rsidRPr="007E4DFC">
        <w:t xml:space="preserve"> (</w:t>
      </w:r>
      <w:proofErr w:type="spellStart"/>
      <w:r w:rsidRPr="007E4DFC">
        <w:t>Bogenschutz</w:t>
      </w:r>
      <w:proofErr w:type="spellEnd"/>
      <w:r w:rsidRPr="007E4DFC">
        <w:t>, 2015) e Transtorno Obsessivo-Compulsivo (TOC) (Moreno, 2006),</w:t>
      </w:r>
      <w:r w:rsidRPr="007E4DFC">
        <w:rPr>
          <w:b/>
        </w:rPr>
        <w:t xml:space="preserve"> </w:t>
      </w:r>
      <w:r w:rsidRPr="007E4DFC">
        <w:t>mostrou-se como um novo tratamento promissor para depressão, diferentemente do tratamento convencional, os psicofármacos da classe Inibidores Seletivos de Recaptação de Serotonina (</w:t>
      </w:r>
      <w:proofErr w:type="spellStart"/>
      <w:r w:rsidRPr="007E4DFC">
        <w:t>ISRSs</w:t>
      </w:r>
      <w:proofErr w:type="spellEnd"/>
      <w:r w:rsidRPr="007E4DFC">
        <w:t>).</w:t>
      </w:r>
    </w:p>
    <w:p w14:paraId="120C311A" w14:textId="77777777" w:rsidR="00D434FF" w:rsidRPr="007E4DFC" w:rsidRDefault="005D106E">
      <w:pPr>
        <w:shd w:val="clear" w:color="auto" w:fill="FFFFFF"/>
        <w:spacing w:line="360" w:lineRule="auto"/>
        <w:ind w:firstLine="708"/>
        <w:jc w:val="both"/>
      </w:pPr>
      <w:r w:rsidRPr="007E4DFC">
        <w:t xml:space="preserve">Os estudos sugerem que, em até 14 dias, o grupo da psilocibina, em comparação ao placebo, preenche critérios para diminuição do escore antidepressivo em relação à linha de base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Skosnki</w:t>
      </w:r>
      <w:proofErr w:type="spellEnd"/>
      <w:r w:rsidRPr="007E4DFC">
        <w:t xml:space="preserve"> </w:t>
      </w:r>
      <w:r w:rsidRPr="007E4DFC">
        <w:rPr>
          <w:i/>
        </w:rPr>
        <w:t>et al.</w:t>
      </w:r>
      <w:r w:rsidRPr="007E4DFC">
        <w:t xml:space="preserve">, 2023), enquanto outros sugerem uma diminuição a partir da semana 3 (Goodwin </w:t>
      </w:r>
      <w:r w:rsidRPr="007E4DFC">
        <w:rPr>
          <w:i/>
        </w:rPr>
        <w:t>et al</w:t>
      </w:r>
      <w:r w:rsidRPr="007E4DFC">
        <w:t xml:space="preserve">., 2022), semana 5 (Griffiths </w:t>
      </w:r>
      <w:r w:rsidRPr="007E4DFC">
        <w:rPr>
          <w:i/>
        </w:rPr>
        <w:t>et al.</w:t>
      </w:r>
      <w:r w:rsidRPr="007E4DFC">
        <w:t xml:space="preserve">, 2016), semana 6 (Carhart-Harris </w:t>
      </w:r>
      <w:r w:rsidRPr="007E4DFC">
        <w:rPr>
          <w:i/>
        </w:rPr>
        <w:t>et al</w:t>
      </w:r>
      <w:r w:rsidRPr="007E4DFC">
        <w:t xml:space="preserve">., 2021; Barba </w:t>
      </w:r>
      <w:r w:rsidRPr="007E4DFC">
        <w:rPr>
          <w:i/>
        </w:rPr>
        <w:t>et al</w:t>
      </w:r>
      <w:r w:rsidRPr="007E4DFC">
        <w:t xml:space="preserve">., 2022; </w:t>
      </w:r>
      <w:proofErr w:type="spellStart"/>
      <w:r w:rsidRPr="007E4DFC">
        <w:t>Raison</w:t>
      </w:r>
      <w:proofErr w:type="spellEnd"/>
      <w:r w:rsidRPr="007E4DFC">
        <w:t xml:space="preserve"> </w:t>
      </w:r>
      <w:r w:rsidRPr="007E4DFC">
        <w:rPr>
          <w:i/>
        </w:rPr>
        <w:t>et al</w:t>
      </w:r>
      <w:r w:rsidRPr="007E4DFC">
        <w:t xml:space="preserve">., 2023) e semana 7 (Ross </w:t>
      </w:r>
      <w:r w:rsidRPr="007E4DFC">
        <w:rPr>
          <w:i/>
        </w:rPr>
        <w:t>et al.</w:t>
      </w:r>
      <w:r w:rsidRPr="007E4DFC">
        <w:t xml:space="preserve">, 2016). </w:t>
      </w:r>
    </w:p>
    <w:p w14:paraId="78C46731" w14:textId="77777777" w:rsidR="00D434FF" w:rsidRPr="007E4DFC" w:rsidRDefault="005D106E">
      <w:pPr>
        <w:shd w:val="clear" w:color="auto" w:fill="FFFFFF"/>
        <w:spacing w:after="180" w:line="360" w:lineRule="auto"/>
        <w:ind w:firstLine="708"/>
        <w:jc w:val="both"/>
      </w:pPr>
      <w:r w:rsidRPr="007E4DFC">
        <w:t xml:space="preserve">Embora os resultados sejam promissores acerca da psilocibina em relação ao grupo placebo, é necessário que os ensaios clínicos padronizem o tempo para aferir as medidas de desfechos primários, visto que há uma discrepância entre o início do potencial terapêutico da psilocibina, em 2 semanas, como apontam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Sloshower</w:t>
      </w:r>
      <w:proofErr w:type="spellEnd"/>
      <w:r w:rsidRPr="007E4DFC">
        <w:t xml:space="preserve"> </w:t>
      </w:r>
      <w:r w:rsidRPr="007E4DFC">
        <w:rPr>
          <w:i/>
        </w:rPr>
        <w:t>et al.</w:t>
      </w:r>
      <w:r w:rsidRPr="007E4DFC">
        <w:t xml:space="preserve"> (2023) e </w:t>
      </w:r>
      <w:proofErr w:type="spellStart"/>
      <w:r w:rsidRPr="007E4DFC">
        <w:t>Skosnki</w:t>
      </w:r>
      <w:proofErr w:type="spellEnd"/>
      <w:r w:rsidRPr="007E4DFC">
        <w:t xml:space="preserve"> </w:t>
      </w:r>
      <w:r w:rsidRPr="007E4DFC">
        <w:rPr>
          <w:i/>
        </w:rPr>
        <w:t>et al.</w:t>
      </w:r>
      <w:r w:rsidRPr="007E4DFC">
        <w:t xml:space="preserve"> (2023) e a semana 7, demonstrada por Ross </w:t>
      </w:r>
      <w:r w:rsidRPr="007E4DFC">
        <w:rPr>
          <w:i/>
        </w:rPr>
        <w:t>et al.</w:t>
      </w:r>
      <w:r w:rsidRPr="007E4DFC">
        <w:t xml:space="preserve"> (2016). </w:t>
      </w:r>
    </w:p>
    <w:p w14:paraId="21B7BE36"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color w:val="000000"/>
          <w:sz w:val="24"/>
          <w:szCs w:val="24"/>
        </w:rPr>
      </w:pPr>
      <w:bookmarkStart w:id="12" w:name="_78gok8km2i4x" w:colFirst="0" w:colLast="0"/>
      <w:bookmarkEnd w:id="12"/>
      <w:r w:rsidRPr="007E4DFC">
        <w:rPr>
          <w:rFonts w:ascii="Times New Roman" w:eastAsia="Times New Roman" w:hAnsi="Times New Roman" w:cs="Times New Roman"/>
          <w:b/>
          <w:i/>
          <w:color w:val="000000"/>
          <w:sz w:val="24"/>
          <w:szCs w:val="24"/>
        </w:rPr>
        <w:t>Tamanho e heterogeneidade amostral</w:t>
      </w:r>
      <w:r w:rsidRPr="007E4DFC">
        <w:rPr>
          <w:rFonts w:ascii="Times New Roman" w:eastAsia="Times New Roman" w:hAnsi="Times New Roman" w:cs="Times New Roman"/>
          <w:color w:val="000000"/>
          <w:sz w:val="24"/>
          <w:szCs w:val="24"/>
        </w:rPr>
        <w:t xml:space="preserve"> </w:t>
      </w:r>
    </w:p>
    <w:p w14:paraId="2108D764" w14:textId="77777777" w:rsidR="00D434FF" w:rsidRPr="007E4DFC" w:rsidRDefault="005D106E">
      <w:pPr>
        <w:shd w:val="clear" w:color="auto" w:fill="FFFFFF"/>
        <w:spacing w:line="360" w:lineRule="auto"/>
        <w:ind w:firstLine="708"/>
        <w:jc w:val="both"/>
      </w:pPr>
      <w:r w:rsidRPr="007E4DFC">
        <w:t xml:space="preserve">No que diz respeito às limitações quanto à amostra dos estudos, tem-se que o número da amostra é, em geral, muito pequeno para aferir efeitos que possam sustentar, de forma significativa, a eficácia da psilocibina </w:t>
      </w:r>
      <w:r w:rsidRPr="007E4DFC">
        <w:rPr>
          <w:i/>
        </w:rPr>
        <w:t>versus</w:t>
      </w:r>
      <w:r w:rsidRPr="007E4DFC">
        <w:t xml:space="preserve"> o placebo e que impossibilite a extrapolação dos resultados (Mourão Júnior, 2009; Brito, 2016). Os estudos variam de 19 participantes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até 233 (Goodwin </w:t>
      </w:r>
      <w:r w:rsidRPr="007E4DFC">
        <w:rPr>
          <w:i/>
        </w:rPr>
        <w:t>et al.,</w:t>
      </w:r>
      <w:r w:rsidRPr="007E4DFC">
        <w:t xml:space="preserve"> 2022; Goodwin </w:t>
      </w:r>
      <w:r w:rsidRPr="007E4DFC">
        <w:rPr>
          <w:i/>
        </w:rPr>
        <w:t>et al</w:t>
      </w:r>
      <w:r w:rsidRPr="007E4DFC">
        <w:t xml:space="preserve">., 2023). Um aspecto positivo acerca do estudo de Goodwin </w:t>
      </w:r>
      <w:r w:rsidRPr="007E4DFC">
        <w:rPr>
          <w:i/>
        </w:rPr>
        <w:t>et al.</w:t>
      </w:r>
      <w:r w:rsidRPr="007E4DFC">
        <w:t xml:space="preserve"> (2023; 2022) é que, muito embora não tenha havido uma padronização entre os grupos, ou seja, apenas um grupo controle e outro grupo de tratamento, os autores se debruçaram da possibilidade de conferir uma dose média (10 mg) e outra dose considerada, na literatura, como dose padrão (terapêutica), 25 mg, comparando ambas as quantidades com o placebo (1 mg). Ainda, é o estudo, atualmente, com o maior número amostral.</w:t>
      </w:r>
    </w:p>
    <w:p w14:paraId="6B3BCC86" w14:textId="77777777" w:rsidR="00D434FF" w:rsidRPr="007E4DFC" w:rsidRDefault="005D106E">
      <w:pPr>
        <w:shd w:val="clear" w:color="auto" w:fill="FFFFFF"/>
        <w:spacing w:before="240" w:after="240" w:line="360" w:lineRule="auto"/>
        <w:ind w:firstLine="566"/>
        <w:jc w:val="both"/>
      </w:pPr>
      <w:r w:rsidRPr="007E4DFC">
        <w:t xml:space="preserve">É fundamental frisar sobre a maioria das amostras ser preenchida por participantes femininos (Ross </w:t>
      </w:r>
      <w:r w:rsidRPr="007E4DFC">
        <w:rPr>
          <w:i/>
        </w:rPr>
        <w:t>et al.</w:t>
      </w:r>
      <w:r w:rsidRPr="007E4DFC">
        <w:t xml:space="preserve">, 2016; Griffiths </w:t>
      </w:r>
      <w:r w:rsidRPr="007E4DFC">
        <w:rPr>
          <w:i/>
        </w:rPr>
        <w:t>et al.</w:t>
      </w:r>
      <w:r w:rsidRPr="007E4DFC">
        <w:t xml:space="preserve">, 2016; Carhart-Harris </w:t>
      </w:r>
      <w:r w:rsidRPr="007E4DFC">
        <w:rPr>
          <w:i/>
        </w:rPr>
        <w:t>et</w:t>
      </w:r>
      <w:r w:rsidRPr="007E4DFC">
        <w:t xml:space="preserve"> </w:t>
      </w:r>
      <w:r w:rsidRPr="007E4DFC">
        <w:rPr>
          <w:i/>
        </w:rPr>
        <w:t>al</w:t>
      </w:r>
      <w:r w:rsidRPr="007E4DFC">
        <w:t xml:space="preserve">., 2021; Barba </w:t>
      </w:r>
      <w:r w:rsidRPr="007E4DFC">
        <w:rPr>
          <w:i/>
        </w:rPr>
        <w:t xml:space="preserve">et al., </w:t>
      </w:r>
      <w:r w:rsidRPr="007E4DFC">
        <w:t xml:space="preserve">2022; Goodwin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Goodwin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2023). A variação de gênero presente nos estudos deve ser considerada, visto que estes serão replicados e os aspectos biológicos, sociais, culturais, </w:t>
      </w:r>
      <w:r w:rsidRPr="007E4DFC">
        <w:lastRenderedPageBreak/>
        <w:t>psicológicos entre ambos os gêneros são fatores que podem impactar no resultado do estudo, ainda mais se tratando de uma alteração multifatorial, como o TDM. Apesar de alguns autores considerarem uma limitação o fato de os estudos terem uma amostra predominantemente feminina, esse é o público mais afetado pelo transtorno (</w:t>
      </w:r>
      <w:proofErr w:type="spellStart"/>
      <w:r w:rsidRPr="007E4DFC">
        <w:t>Arias-de</w:t>
      </w:r>
      <w:proofErr w:type="spellEnd"/>
      <w:r w:rsidRPr="007E4DFC">
        <w:t xml:space="preserve"> </w:t>
      </w:r>
      <w:proofErr w:type="spellStart"/>
      <w:r w:rsidRPr="007E4DFC">
        <w:t>la</w:t>
      </w:r>
      <w:proofErr w:type="spellEnd"/>
      <w:r w:rsidRPr="007E4DFC">
        <w:t xml:space="preserve"> Torre </w:t>
      </w:r>
      <w:r w:rsidRPr="007E4DFC">
        <w:rPr>
          <w:i/>
        </w:rPr>
        <w:t>et al</w:t>
      </w:r>
      <w:r w:rsidRPr="007E4DFC">
        <w:t xml:space="preserve">., 2021). </w:t>
      </w:r>
    </w:p>
    <w:p w14:paraId="70222F88" w14:textId="77777777" w:rsidR="00D434FF" w:rsidRPr="007E4DFC" w:rsidRDefault="005D106E">
      <w:pPr>
        <w:shd w:val="clear" w:color="auto" w:fill="FFFFFF"/>
        <w:spacing w:before="240" w:after="240" w:line="360" w:lineRule="auto"/>
        <w:ind w:firstLine="566"/>
        <w:jc w:val="both"/>
      </w:pPr>
      <w:r w:rsidRPr="007E4DFC">
        <w:t xml:space="preserve">Nesse mesmo viés, as condições étnicos-raciais dos ensaios nos mostram que, assim como a predominância do gênero feminino, há, por sua vez, quase um total de presença de indivíduos brancos nas amostras, chegando a cerca de 95% (Ross </w:t>
      </w:r>
      <w:r w:rsidRPr="007E4DFC">
        <w:rPr>
          <w:i/>
        </w:rPr>
        <w:t>et al.</w:t>
      </w:r>
      <w:r w:rsidRPr="007E4DFC">
        <w:t xml:space="preserve">, 2016; Griffiths </w:t>
      </w:r>
      <w:r w:rsidRPr="007E4DFC">
        <w:rPr>
          <w:i/>
        </w:rPr>
        <w:t>et al.</w:t>
      </w:r>
      <w:r w:rsidRPr="007E4DFC">
        <w:t xml:space="preserve">, 2016; Carhart-Harris </w:t>
      </w:r>
      <w:r w:rsidRPr="007E4DFC">
        <w:rPr>
          <w:i/>
        </w:rPr>
        <w:t>et</w:t>
      </w:r>
      <w:r w:rsidRPr="007E4DFC">
        <w:t xml:space="preserve"> </w:t>
      </w:r>
      <w:r w:rsidRPr="007E4DFC">
        <w:rPr>
          <w:i/>
        </w:rPr>
        <w:t>al</w:t>
      </w:r>
      <w:r w:rsidRPr="007E4DFC">
        <w:t xml:space="preserve">., 2021; Barba </w:t>
      </w:r>
      <w:r w:rsidRPr="007E4DFC">
        <w:rPr>
          <w:i/>
        </w:rPr>
        <w:t xml:space="preserve">et al., </w:t>
      </w:r>
      <w:r w:rsidRPr="007E4DFC">
        <w:t xml:space="preserve">2022; Goodwin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Goodwin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2023). Usufruindo do argumento acerca da etiologia multifacetada da depressão, a representatividade de indivíduos de origens étnico-raciais distintas é primordial para que os estudos possam versar acerca de outras variáveis, a exemplo de fatores sociais, históricos, econômicos que são aspectos diretamente relacionados à subjetividade dos participantes, que será posta no decorrer da intervenção (</w:t>
      </w:r>
      <w:proofErr w:type="spellStart"/>
      <w:r w:rsidRPr="007E4DFC">
        <w:t>Bailey</w:t>
      </w:r>
      <w:proofErr w:type="spellEnd"/>
      <w:r w:rsidRPr="007E4DFC">
        <w:t xml:space="preserve">, </w:t>
      </w:r>
      <w:proofErr w:type="spellStart"/>
      <w:r w:rsidRPr="007E4DFC">
        <w:t>Mokonogho</w:t>
      </w:r>
      <w:proofErr w:type="spellEnd"/>
      <w:r w:rsidRPr="007E4DFC">
        <w:t xml:space="preserve"> e Kumar, 2019). Portanto, produzir uma amostra mais heterogênea possibilita um menor viés de favorecimento a uma determinada população e um entendimento mais detalhado e contextualizado acerca dos aspectos fenomenológicos e subjetivos dos grupos apresentados. </w:t>
      </w:r>
    </w:p>
    <w:p w14:paraId="6A86622D"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3" w:name="_7zuzpcb8gbvq" w:colFirst="0" w:colLast="0"/>
      <w:bookmarkEnd w:id="13"/>
      <w:r w:rsidRPr="007E4DFC">
        <w:rPr>
          <w:rFonts w:ascii="Times New Roman" w:eastAsia="Times New Roman" w:hAnsi="Times New Roman" w:cs="Times New Roman"/>
          <w:b/>
          <w:i/>
          <w:color w:val="000000"/>
          <w:sz w:val="24"/>
          <w:szCs w:val="24"/>
        </w:rPr>
        <w:t xml:space="preserve">Desenho, </w:t>
      </w:r>
      <w:proofErr w:type="spellStart"/>
      <w:r w:rsidRPr="007E4DFC">
        <w:rPr>
          <w:rFonts w:ascii="Times New Roman" w:eastAsia="Times New Roman" w:hAnsi="Times New Roman" w:cs="Times New Roman"/>
          <w:b/>
          <w:i/>
          <w:color w:val="000000"/>
          <w:sz w:val="24"/>
          <w:szCs w:val="24"/>
        </w:rPr>
        <w:t>blinding</w:t>
      </w:r>
      <w:proofErr w:type="spellEnd"/>
      <w:r w:rsidRPr="007E4DFC">
        <w:rPr>
          <w:rFonts w:ascii="Times New Roman" w:eastAsia="Times New Roman" w:hAnsi="Times New Roman" w:cs="Times New Roman"/>
          <w:b/>
          <w:i/>
          <w:color w:val="000000"/>
          <w:sz w:val="24"/>
          <w:szCs w:val="24"/>
        </w:rPr>
        <w:t xml:space="preserve">, placebo ativo e dosagens </w:t>
      </w:r>
    </w:p>
    <w:p w14:paraId="4071363C" w14:textId="77777777" w:rsidR="00D434FF" w:rsidRPr="007E4DFC" w:rsidRDefault="005D106E">
      <w:pPr>
        <w:shd w:val="clear" w:color="auto" w:fill="FFFFFF"/>
        <w:spacing w:line="360" w:lineRule="auto"/>
        <w:ind w:firstLine="708"/>
        <w:jc w:val="both"/>
      </w:pPr>
      <w:r w:rsidRPr="007E4DFC">
        <w:t xml:space="preserve">Quanto ao cegamento, o aspecto positivo acerca dele é o fato de que a cooperação de indivíduos que conduziram os ensaios clínicos contribuiu para a possibilidade de haver o </w:t>
      </w:r>
      <w:r w:rsidRPr="007E4DFC">
        <w:rPr>
          <w:i/>
        </w:rPr>
        <w:t>triple-</w:t>
      </w:r>
      <w:proofErr w:type="spellStart"/>
      <w:r w:rsidRPr="007E4DFC">
        <w:rPr>
          <w:i/>
        </w:rPr>
        <w:t>blind</w:t>
      </w:r>
      <w:proofErr w:type="spellEnd"/>
      <w:r w:rsidRPr="007E4DFC">
        <w:rPr>
          <w:i/>
        </w:rPr>
        <w:t xml:space="preserve">, </w:t>
      </w:r>
      <w:r w:rsidRPr="007E4DFC">
        <w:t xml:space="preserve">ou seja, o cegamento foi por parte dos analistas, pesquisadores e dos participantes. O cegamento é crucial para garantir que o viés seja reduzido, a exemplo das expectativas, para o controle do placebo, confiança e objetividade dos resultados (CE Vasconcelos, 2016). </w:t>
      </w:r>
    </w:p>
    <w:p w14:paraId="523A6620" w14:textId="77777777" w:rsidR="00D434FF" w:rsidRPr="007E4DFC" w:rsidRDefault="005D106E">
      <w:pPr>
        <w:shd w:val="clear" w:color="auto" w:fill="FFFFFF"/>
        <w:spacing w:line="360" w:lineRule="auto"/>
        <w:ind w:firstLine="708"/>
        <w:jc w:val="both"/>
      </w:pPr>
      <w:r w:rsidRPr="007E4DFC">
        <w:t xml:space="preserve">Sobre o placebo, alguns estudos usufruíram de 1 mg de psilocibina como placebo, pois, na literatura, a dose é bem definida como não significativa (Griffiths </w:t>
      </w:r>
      <w:r w:rsidRPr="007E4DFC">
        <w:rPr>
          <w:i/>
        </w:rPr>
        <w:t>et al.</w:t>
      </w:r>
      <w:r w:rsidRPr="007E4DFC">
        <w:t xml:space="preserve">, 2016; Carhart-Harris </w:t>
      </w:r>
      <w:r w:rsidRPr="007E4DFC">
        <w:rPr>
          <w:i/>
        </w:rPr>
        <w:t>et al.</w:t>
      </w:r>
      <w:r w:rsidRPr="007E4DFC">
        <w:t xml:space="preserve">, 2021; Barba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Goodwin </w:t>
      </w:r>
      <w:r w:rsidRPr="007E4DFC">
        <w:rPr>
          <w:i/>
        </w:rPr>
        <w:t>et al</w:t>
      </w:r>
      <w:r w:rsidRPr="007E4DFC">
        <w:t>., 2022; Goodwin</w:t>
      </w:r>
      <w:r w:rsidRPr="007E4DFC">
        <w:rPr>
          <w:i/>
        </w:rPr>
        <w:t xml:space="preserve"> et al.</w:t>
      </w:r>
      <w:r w:rsidRPr="007E4DFC">
        <w:t xml:space="preserve">, 2023), enquanto a niacina e a celulose </w:t>
      </w:r>
      <w:proofErr w:type="spellStart"/>
      <w:r w:rsidRPr="007E4DFC">
        <w:t>microcristalina</w:t>
      </w:r>
      <w:proofErr w:type="spellEnd"/>
      <w:r w:rsidRPr="007E4DFC">
        <w:t xml:space="preserve"> foram usadas por outros (Ross </w:t>
      </w:r>
      <w:r w:rsidRPr="007E4DFC">
        <w:rPr>
          <w:i/>
        </w:rPr>
        <w:t>et al.</w:t>
      </w:r>
      <w:r w:rsidRPr="007E4DFC">
        <w:t xml:space="preserve">, 2016;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Skosnik</w:t>
      </w:r>
      <w:proofErr w:type="spellEnd"/>
      <w:r w:rsidRPr="007E4DFC">
        <w:rPr>
          <w:i/>
        </w:rPr>
        <w:t xml:space="preserve"> 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Como mencionado nos resultados, a niacina é capaz de causar sensação de calor e vermelhidão devido à dilatação dos vasos sanguíneos. A celulose </w:t>
      </w:r>
      <w:proofErr w:type="spellStart"/>
      <w:r w:rsidRPr="007E4DFC">
        <w:t>microcristalina</w:t>
      </w:r>
      <w:proofErr w:type="spellEnd"/>
      <w:r w:rsidRPr="007E4DFC">
        <w:t>, por sua vez, não é responsável por qualquer alteração fisiológica. Em ambos os casos, o paciente lida com as expectativas, o que pode influenciar nos resultados dos estudos.</w:t>
      </w:r>
    </w:p>
    <w:p w14:paraId="256CBAA9" w14:textId="77777777" w:rsidR="00D434FF" w:rsidRPr="007E4DFC" w:rsidRDefault="005D106E">
      <w:pPr>
        <w:shd w:val="clear" w:color="auto" w:fill="FFFFFF"/>
        <w:spacing w:line="360" w:lineRule="auto"/>
        <w:ind w:firstLine="708"/>
        <w:jc w:val="both"/>
      </w:pPr>
      <w:r w:rsidRPr="007E4DFC">
        <w:lastRenderedPageBreak/>
        <w:t xml:space="preserve">A falta de um placebo ativo é recorrente em todos os ensaios clínicos analisados aqui, com exceção o de Carhart-Harris </w:t>
      </w:r>
      <w:r w:rsidRPr="007E4DFC">
        <w:rPr>
          <w:i/>
        </w:rPr>
        <w:t>et al.</w:t>
      </w:r>
      <w:r w:rsidRPr="007E4DFC">
        <w:t xml:space="preserve"> (2021), que comparou a </w:t>
      </w:r>
      <w:proofErr w:type="spellStart"/>
      <w:r w:rsidRPr="007E4DFC">
        <w:t>psilocibina</w:t>
      </w:r>
      <w:proofErr w:type="spellEnd"/>
      <w:r w:rsidRPr="007E4DFC">
        <w:t xml:space="preserve"> e o </w:t>
      </w:r>
      <w:proofErr w:type="spellStart"/>
      <w:r w:rsidRPr="007E4DFC">
        <w:t>escitalopram</w:t>
      </w:r>
      <w:proofErr w:type="spellEnd"/>
      <w:r w:rsidRPr="007E4DFC">
        <w:t xml:space="preserve">, este utilizado para o tratamento de depressão. O marco realizado por Carhart-Harris e colaboradores (2021) perdura até o momento presente, sendo o único ensaio clínico com um comparador ativo. Dessa forma, nota-se que há lacuna de evidências científicas sobre a comparação do tratamento </w:t>
      </w:r>
      <w:r w:rsidRPr="007E4DFC">
        <w:rPr>
          <w:i/>
        </w:rPr>
        <w:t>versus</w:t>
      </w:r>
      <w:r w:rsidRPr="007E4DFC">
        <w:t xml:space="preserve"> um comparador ativo. É válido ressaltar que o estudo de Carhart-Harris </w:t>
      </w:r>
      <w:r w:rsidRPr="007E4DFC">
        <w:rPr>
          <w:i/>
        </w:rPr>
        <w:t xml:space="preserve">et al. </w:t>
      </w:r>
      <w:r w:rsidRPr="007E4DFC">
        <w:t xml:space="preserve">(2021) é o único, em comparação com os outros nove aqui analisados, que utilizou duas doses de psilocibina e, portanto, mais ensaios são necessários para avaliar </w:t>
      </w:r>
      <w:proofErr w:type="spellStart"/>
      <w:r w:rsidRPr="007E4DFC">
        <w:rPr>
          <w:i/>
        </w:rPr>
        <w:t>double</w:t>
      </w:r>
      <w:proofErr w:type="spellEnd"/>
      <w:r w:rsidRPr="007E4DFC">
        <w:rPr>
          <w:i/>
        </w:rPr>
        <w:t>-dose</w:t>
      </w:r>
      <w:r w:rsidRPr="007E4DFC">
        <w:t xml:space="preserve"> de </w:t>
      </w:r>
      <w:proofErr w:type="spellStart"/>
      <w:r w:rsidRPr="007E4DFC">
        <w:t>psilocibina</w:t>
      </w:r>
      <w:proofErr w:type="spellEnd"/>
      <w:r w:rsidRPr="007E4DFC">
        <w:t xml:space="preserve">. </w:t>
      </w:r>
    </w:p>
    <w:p w14:paraId="5741A17C" w14:textId="77777777" w:rsidR="00D434FF" w:rsidRPr="007E4DFC" w:rsidRDefault="00D434FF">
      <w:pPr>
        <w:shd w:val="clear" w:color="auto" w:fill="FFFFFF"/>
        <w:spacing w:line="360" w:lineRule="auto"/>
        <w:ind w:firstLine="708"/>
        <w:jc w:val="both"/>
      </w:pPr>
    </w:p>
    <w:p w14:paraId="0BDD05D1"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4" w:name="_h0bcfntc3fb" w:colFirst="0" w:colLast="0"/>
      <w:bookmarkEnd w:id="14"/>
      <w:r w:rsidRPr="007E4DFC">
        <w:rPr>
          <w:rFonts w:ascii="Times New Roman" w:eastAsia="Times New Roman" w:hAnsi="Times New Roman" w:cs="Times New Roman"/>
          <w:b/>
          <w:i/>
          <w:color w:val="000000"/>
          <w:sz w:val="24"/>
          <w:szCs w:val="24"/>
        </w:rPr>
        <w:t xml:space="preserve">Análise prolongada dos efeitos </w:t>
      </w:r>
    </w:p>
    <w:p w14:paraId="3934C864" w14:textId="77777777" w:rsidR="00D434FF" w:rsidRPr="007E4DFC" w:rsidRDefault="005D106E">
      <w:pPr>
        <w:shd w:val="clear" w:color="auto" w:fill="FFFFFF"/>
        <w:spacing w:line="360" w:lineRule="auto"/>
        <w:ind w:firstLine="708"/>
        <w:jc w:val="both"/>
      </w:pPr>
      <w:r w:rsidRPr="007E4DFC">
        <w:t xml:space="preserve">A análise prolongada sobre o efeito da psilocibina em indivíduos que a usufruíram como tratamento, nos estudos presentes nesta revisão, variou de 2 semanas (von </w:t>
      </w:r>
      <w:proofErr w:type="spellStart"/>
      <w:r w:rsidRPr="007E4DFC">
        <w:t>Rotz</w:t>
      </w:r>
      <w:proofErr w:type="spellEnd"/>
      <w:r w:rsidRPr="007E4DFC">
        <w:t xml:space="preserve"> </w:t>
      </w:r>
      <w:r w:rsidRPr="007E4DFC">
        <w:rPr>
          <w:i/>
        </w:rPr>
        <w:t>et al</w:t>
      </w:r>
      <w:r w:rsidRPr="007E4DFC">
        <w:t xml:space="preserve">., 2022) a 39 semanas (Griffiths </w:t>
      </w:r>
      <w:r w:rsidRPr="007E4DFC">
        <w:rPr>
          <w:i/>
        </w:rPr>
        <w:t>et al</w:t>
      </w:r>
      <w:r w:rsidRPr="007E4DFC">
        <w:t xml:space="preserve">., 2016). O tempo usado por Griffiths e colaboradores (2016) permite uma maior confiabilidade acerca do efeito sustentado e duradouro da psilocibina. É importante mencionar que, na literatura, há um estudo de </w:t>
      </w:r>
      <w:proofErr w:type="spellStart"/>
      <w:r w:rsidRPr="007E4DFC">
        <w:t>Gukasyan</w:t>
      </w:r>
      <w:proofErr w:type="spellEnd"/>
      <w:r w:rsidRPr="007E4DFC">
        <w:t xml:space="preserve"> </w:t>
      </w:r>
      <w:r w:rsidRPr="007E4DFC">
        <w:rPr>
          <w:i/>
        </w:rPr>
        <w:t>et al.</w:t>
      </w:r>
      <w:r w:rsidRPr="007E4DFC">
        <w:t xml:space="preserve"> (2022), de </w:t>
      </w:r>
      <w:r w:rsidRPr="007E4DFC">
        <w:rPr>
          <w:i/>
        </w:rPr>
        <w:t>follow-up</w:t>
      </w:r>
      <w:r w:rsidRPr="007E4DFC">
        <w:rPr>
          <w:rFonts w:eastAsia="Cardo"/>
        </w:rPr>
        <w:t xml:space="preserve"> (ou acompanhamento), por 12 meses, de indivíduos com transtorno depressivo maior, que foram tratados com psilocibina. O ensaio clínico randomizado, controlado por lista de espera, sem placebo, com 27 pacientes, mostrou uma </w:t>
      </w:r>
      <w:proofErr w:type="gramStart"/>
      <w:r w:rsidRPr="007E4DFC">
        <w:rPr>
          <w:rFonts w:eastAsia="Cardo"/>
        </w:rPr>
        <w:t>redução  de</w:t>
      </w:r>
      <w:proofErr w:type="gramEnd"/>
      <w:r w:rsidRPr="007E4DFC">
        <w:rPr>
          <w:rFonts w:eastAsia="Cardo"/>
        </w:rPr>
        <w:t xml:space="preserve"> </w:t>
      </w:r>
      <w:r w:rsidRPr="007E4DFC">
        <w:rPr>
          <w:rFonts w:ascii="Cambria Math" w:eastAsia="Cardo" w:hAnsi="Cambria Math" w:cs="Cambria Math"/>
        </w:rPr>
        <w:t>⩾</w:t>
      </w:r>
      <w:r w:rsidRPr="007E4DFC">
        <w:rPr>
          <w:rFonts w:eastAsia="Cardo"/>
        </w:rPr>
        <w:t>50% no GRID-HAMD em comparação à pontuação da linha de base e remissão de 75% e 58%, respectivamente, em 12 meses (</w:t>
      </w:r>
      <w:proofErr w:type="spellStart"/>
      <w:r w:rsidRPr="007E4DFC">
        <w:t>Gukasyan</w:t>
      </w:r>
      <w:proofErr w:type="spellEnd"/>
      <w:r w:rsidRPr="007E4DFC">
        <w:rPr>
          <w:i/>
        </w:rPr>
        <w:t xml:space="preserve"> et al., </w:t>
      </w:r>
      <w:r w:rsidRPr="007E4DFC">
        <w:t xml:space="preserve">2022). A escassez da avaliação duradoura do efeito sustentado da psilocibina e dos possíveis riscos, como mencionado, pode criar conflitos em relação a diversas variáveis que não são possíveis, a priori, de serem isoladas, a exemplo do suporte psicológico atribuído durante a Psicoterapia-Assistida por Psilocibina (PAP), o percurso da depressão e a expectativa do sujeito.  </w:t>
      </w:r>
    </w:p>
    <w:p w14:paraId="38F87746" w14:textId="77777777" w:rsidR="00D434FF" w:rsidRPr="007E4DFC" w:rsidRDefault="00D434FF">
      <w:pPr>
        <w:shd w:val="clear" w:color="auto" w:fill="FFFFFF"/>
        <w:spacing w:line="360" w:lineRule="auto"/>
        <w:ind w:firstLine="708"/>
        <w:jc w:val="both"/>
      </w:pPr>
    </w:p>
    <w:p w14:paraId="2F049531"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5" w:name="_2odmwibmdls6" w:colFirst="0" w:colLast="0"/>
      <w:bookmarkEnd w:id="15"/>
      <w:r w:rsidRPr="007E4DFC">
        <w:rPr>
          <w:rFonts w:ascii="Times New Roman" w:eastAsia="Times New Roman" w:hAnsi="Times New Roman" w:cs="Times New Roman"/>
          <w:b/>
          <w:i/>
          <w:color w:val="000000"/>
          <w:sz w:val="24"/>
          <w:szCs w:val="24"/>
        </w:rPr>
        <w:t xml:space="preserve">Eficácia versus efetividade </w:t>
      </w:r>
    </w:p>
    <w:p w14:paraId="5DDC4DB1" w14:textId="77777777" w:rsidR="00D434FF" w:rsidRPr="007E4DFC" w:rsidRDefault="005D106E">
      <w:pPr>
        <w:shd w:val="clear" w:color="auto" w:fill="FFFFFF"/>
        <w:spacing w:after="180" w:line="360" w:lineRule="auto"/>
        <w:ind w:firstLine="708"/>
        <w:jc w:val="both"/>
        <w:rPr>
          <w:b/>
        </w:rPr>
      </w:pPr>
      <w:r w:rsidRPr="007E4DFC">
        <w:t xml:space="preserve">O funcionamento da Psicoterapia-Assistida por Psilocibina (PAP) é dado a partir da sujeição do participante a condições ideais, tais como um ambiente relaxado, com música-ambiente presente (ver </w:t>
      </w:r>
      <w:proofErr w:type="spellStart"/>
      <w:r w:rsidRPr="007E4DFC">
        <w:t>Shukuroglou</w:t>
      </w:r>
      <w:proofErr w:type="spellEnd"/>
      <w:r w:rsidRPr="007E4DFC">
        <w:t xml:space="preserve"> </w:t>
      </w:r>
      <w:r w:rsidRPr="007E4DFC">
        <w:rPr>
          <w:i/>
        </w:rPr>
        <w:t>et al.</w:t>
      </w:r>
      <w:r w:rsidRPr="007E4DFC">
        <w:t xml:space="preserve"> (2023) para conferir como a música altera a emoção e contribui para a conectividade funcional após a terapia com psilocibina para depressão) e sem muitos estímulos, o que é chamado de </w:t>
      </w:r>
      <w:r w:rsidRPr="007E4DFC">
        <w:rPr>
          <w:i/>
        </w:rPr>
        <w:t>setting</w:t>
      </w:r>
      <w:r w:rsidRPr="007E4DFC">
        <w:t xml:space="preserve">, como mencionado anteriormente. Logo, essas condições são definidas, em um ensaio clínico, como eficiência, visto que, como defende Marley (2000), esta é uma extensão em que o medicamento atinge o efeito pretendido no </w:t>
      </w:r>
      <w:r w:rsidRPr="007E4DFC">
        <w:lastRenderedPageBreak/>
        <w:t>ambiente usual e controlado. Por sua vez, a eficácia diz respeito ao fato de um tratamento funcionar na vida real, em circunstâncias não ideais, diferentes das circunstâncias oferecidas pelos ensaios clínicos (Marley, 2000).</w:t>
      </w:r>
      <w:r w:rsidRPr="007E4DFC">
        <w:rPr>
          <w:b/>
        </w:rPr>
        <w:t xml:space="preserve"> </w:t>
      </w:r>
    </w:p>
    <w:p w14:paraId="679D77C9"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6" w:name="_b2jkte5yd8li" w:colFirst="0" w:colLast="0"/>
      <w:bookmarkEnd w:id="16"/>
      <w:r w:rsidRPr="007E4DFC">
        <w:rPr>
          <w:rFonts w:ascii="Times New Roman" w:eastAsia="Times New Roman" w:hAnsi="Times New Roman" w:cs="Times New Roman"/>
          <w:b/>
          <w:i/>
          <w:color w:val="000000"/>
          <w:sz w:val="24"/>
          <w:szCs w:val="24"/>
        </w:rPr>
        <w:t xml:space="preserve">Psilocibina versus suporte psicológico </w:t>
      </w:r>
    </w:p>
    <w:p w14:paraId="1F0936DC" w14:textId="3C1D051C" w:rsidR="00D434FF" w:rsidRPr="007E4DFC" w:rsidRDefault="005D106E">
      <w:pPr>
        <w:shd w:val="clear" w:color="auto" w:fill="FFFFFF"/>
        <w:spacing w:line="360" w:lineRule="auto"/>
        <w:ind w:firstLine="708"/>
        <w:jc w:val="both"/>
      </w:pPr>
      <w:r w:rsidRPr="007E4DFC">
        <w:t xml:space="preserve">Os ensaios clínicos mesclam o tratamento da psilocibina com o suporte psicológico durante todo o processo de intervenção (Ross </w:t>
      </w:r>
      <w:r w:rsidRPr="007E4DFC">
        <w:rPr>
          <w:i/>
        </w:rPr>
        <w:t>et al.</w:t>
      </w:r>
      <w:r w:rsidRPr="007E4DFC">
        <w:t xml:space="preserve">, 2016; Griffiths </w:t>
      </w:r>
      <w:r w:rsidRPr="007E4DFC">
        <w:rPr>
          <w:i/>
        </w:rPr>
        <w:t>et al.</w:t>
      </w:r>
      <w:r w:rsidRPr="007E4DFC">
        <w:t xml:space="preserve">, 2016; Carhart-Harris </w:t>
      </w:r>
      <w:r w:rsidRPr="007E4DFC">
        <w:rPr>
          <w:i/>
        </w:rPr>
        <w:t>et al.</w:t>
      </w:r>
      <w:r w:rsidRPr="007E4DFC">
        <w:t xml:space="preserve">, 2021; Barba </w:t>
      </w:r>
      <w:r w:rsidRPr="007E4DFC">
        <w:rPr>
          <w:i/>
        </w:rPr>
        <w:t>et al</w:t>
      </w:r>
      <w:r w:rsidRPr="007E4DFC">
        <w:t xml:space="preserve">., 2022; Goodwin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Goodwin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A Terapia Cognitivo-Comportamental (TCC) e a Terapia de Aceitação e Compromisso (ACT) são as terapias utilizadas pelos pesquisadores nos estudos. A primeira é padrão-ouro para depressão e é amplamente estudada como substituta de medicamentos para depressão leve a moderada (Agostinho, Donadon e </w:t>
      </w:r>
      <w:proofErr w:type="spellStart"/>
      <w:r w:rsidRPr="007E4DFC">
        <w:t>Bullamah</w:t>
      </w:r>
      <w:proofErr w:type="spellEnd"/>
      <w:r w:rsidRPr="007E4DFC">
        <w:t xml:space="preserve">, 2019; Beck, 2013, Cardoso, 2017). A atribuição da melhoria significativa dos sintomas depressivos, medidos através das escalas, pode-se confundir com o processo terapêutico aderido aos participantes e, consequentemente, uma extrapolação no efeito atribuído, restritamente, à psilocibina. No entanto, como defende </w:t>
      </w:r>
      <w:proofErr w:type="spellStart"/>
      <w:r w:rsidRPr="007E4DFC">
        <w:t>Prouzeau</w:t>
      </w:r>
      <w:proofErr w:type="spellEnd"/>
      <w:r w:rsidRPr="007E4DFC">
        <w:t xml:space="preserve"> </w:t>
      </w:r>
      <w:r w:rsidRPr="007E4DFC">
        <w:rPr>
          <w:i/>
        </w:rPr>
        <w:t>et al</w:t>
      </w:r>
      <w:r w:rsidRPr="007E4DFC">
        <w:t xml:space="preserve">. (2022), parece ser antiético submeter o indivíduo, que está psicologicamente vulnerável, à psilocibina, sem uma preparação prévia e adequada para a experiência. É válido ressaltar que fatores como resposta ao placebo, regressão à média e remissão espontânea são contribuintes para a melhoria da depressão sem tratamento (Lacroix </w:t>
      </w:r>
      <w:r w:rsidRPr="007E4DFC">
        <w:rPr>
          <w:i/>
        </w:rPr>
        <w:t>et al</w:t>
      </w:r>
      <w:r w:rsidRPr="007E4DFC">
        <w:t xml:space="preserve">., 2024). No estudo de Carhart-Harris e colaboradores (2021), uma das conclusões que explica o fato de a psilocibina em comparação ao </w:t>
      </w:r>
      <w:proofErr w:type="spellStart"/>
      <w:r w:rsidRPr="007E4DFC">
        <w:t>escitalopram</w:t>
      </w:r>
      <w:proofErr w:type="spellEnd"/>
      <w:r w:rsidRPr="007E4DFC">
        <w:t xml:space="preserve"> não ter tido diferença estatisticamente significativa é a atribuição à psicoterapia, dada aos participantes durante todo o processo de tratamento, que se funde à intervenção farmacológica. </w:t>
      </w:r>
    </w:p>
    <w:p w14:paraId="3F8A4B6C" w14:textId="77777777" w:rsidR="00D434FF" w:rsidRPr="007E4DFC" w:rsidRDefault="00D434FF">
      <w:pPr>
        <w:shd w:val="clear" w:color="auto" w:fill="FFFFFF"/>
        <w:spacing w:line="360" w:lineRule="auto"/>
        <w:ind w:firstLine="708"/>
        <w:jc w:val="both"/>
      </w:pPr>
    </w:p>
    <w:p w14:paraId="377C3C3C"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7" w:name="_cdv0g5xpdfhr" w:colFirst="0" w:colLast="0"/>
      <w:bookmarkEnd w:id="17"/>
      <w:r w:rsidRPr="007E4DFC">
        <w:rPr>
          <w:rFonts w:ascii="Times New Roman" w:eastAsia="Times New Roman" w:hAnsi="Times New Roman" w:cs="Times New Roman"/>
          <w:b/>
          <w:i/>
          <w:color w:val="000000"/>
          <w:sz w:val="24"/>
          <w:szCs w:val="24"/>
        </w:rPr>
        <w:t>Padronização nas medidas (escalas de depressão)</w:t>
      </w:r>
    </w:p>
    <w:p w14:paraId="341FA702" w14:textId="77777777" w:rsidR="00D434FF" w:rsidRPr="007E4DFC" w:rsidRDefault="005D106E">
      <w:pPr>
        <w:shd w:val="clear" w:color="auto" w:fill="FFFFFF"/>
        <w:spacing w:line="360" w:lineRule="auto"/>
        <w:ind w:firstLine="708"/>
        <w:jc w:val="both"/>
      </w:pPr>
      <w:r w:rsidRPr="007E4DFC">
        <w:t xml:space="preserve">Diferentes escalas foram utilizadas como instrumento de mensuração da depressão. </w:t>
      </w:r>
      <w:r w:rsidRPr="002E6E0F">
        <w:rPr>
          <w:lang w:val="en-US"/>
        </w:rPr>
        <w:t xml:space="preserve">Griffiths </w:t>
      </w:r>
      <w:r w:rsidRPr="002E6E0F">
        <w:rPr>
          <w:i/>
          <w:lang w:val="en-US"/>
        </w:rPr>
        <w:t>et al</w:t>
      </w:r>
      <w:r w:rsidRPr="002E6E0F">
        <w:rPr>
          <w:lang w:val="en-US"/>
        </w:rPr>
        <w:t>. (2016), Carhart-Harris</w:t>
      </w:r>
      <w:r w:rsidRPr="002E6E0F">
        <w:rPr>
          <w:i/>
          <w:lang w:val="en-US"/>
        </w:rPr>
        <w:t xml:space="preserve"> et al.</w:t>
      </w:r>
      <w:r w:rsidRPr="002E6E0F">
        <w:rPr>
          <w:lang w:val="en-US"/>
        </w:rPr>
        <w:t xml:space="preserve"> (2021) e </w:t>
      </w:r>
      <w:proofErr w:type="spellStart"/>
      <w:r w:rsidRPr="002E6E0F">
        <w:rPr>
          <w:lang w:val="en-US"/>
        </w:rPr>
        <w:t>Sloshower</w:t>
      </w:r>
      <w:proofErr w:type="spellEnd"/>
      <w:r w:rsidRPr="002E6E0F">
        <w:rPr>
          <w:lang w:val="en-US"/>
        </w:rPr>
        <w:t xml:space="preserve"> </w:t>
      </w:r>
      <w:r w:rsidRPr="002E6E0F">
        <w:rPr>
          <w:i/>
          <w:lang w:val="en-US"/>
        </w:rPr>
        <w:t>et al</w:t>
      </w:r>
      <w:r w:rsidRPr="002E6E0F">
        <w:rPr>
          <w:lang w:val="en-US"/>
        </w:rPr>
        <w:t xml:space="preserve">. </w:t>
      </w:r>
      <w:r w:rsidRPr="007E4DFC">
        <w:t xml:space="preserve">(2023) utilizaram a GRID-HAMD-17 para medir a linha de base e o pós-intervenção, em um período entre 5 e 6 semanas. Os resultados foram similares: redução de 50% em relação à linha de base e -10,5 pontos (Carhart-Harris </w:t>
      </w:r>
      <w:r w:rsidRPr="007E4DFC">
        <w:rPr>
          <w:i/>
        </w:rPr>
        <w:t>et al</w:t>
      </w:r>
      <w:r w:rsidRPr="007E4DFC">
        <w:t xml:space="preserve">., 2021). Ross </w:t>
      </w:r>
      <w:r w:rsidRPr="007E4DFC">
        <w:rPr>
          <w:i/>
        </w:rPr>
        <w:t>et al.</w:t>
      </w:r>
      <w:r w:rsidRPr="007E4DFC">
        <w:t xml:space="preserve"> (2016) e von </w:t>
      </w:r>
      <w:proofErr w:type="spellStart"/>
      <w:r w:rsidRPr="007E4DFC">
        <w:t>Rotz</w:t>
      </w:r>
      <w:proofErr w:type="spellEnd"/>
      <w:r w:rsidRPr="007E4DFC">
        <w:t xml:space="preserve"> </w:t>
      </w:r>
      <w:r w:rsidRPr="007E4DFC">
        <w:rPr>
          <w:i/>
        </w:rPr>
        <w:t>et al.</w:t>
      </w:r>
      <w:r w:rsidRPr="007E4DFC">
        <w:t xml:space="preserve"> (2022) aplicaram a escala BDI e obtiveram como resultado, em um período de análise de 7-26 semanas </w:t>
      </w:r>
      <w:r w:rsidRPr="007E4DFC">
        <w:rPr>
          <w:i/>
        </w:rPr>
        <w:t>versus</w:t>
      </w:r>
      <w:r w:rsidRPr="007E4DFC">
        <w:t xml:space="preserve"> 2 semanas, respectivamente, uma redução de 80% em relação à linha de base (</w:t>
      </w:r>
      <w:proofErr w:type="spellStart"/>
      <w:r w:rsidRPr="007E4DFC">
        <w:t>Rosse</w:t>
      </w:r>
      <w:proofErr w:type="spellEnd"/>
      <w:r w:rsidRPr="007E4DFC">
        <w:t xml:space="preserve"> </w:t>
      </w:r>
      <w:r w:rsidRPr="007E4DFC">
        <w:rPr>
          <w:i/>
        </w:rPr>
        <w:t>et al</w:t>
      </w:r>
      <w:r w:rsidRPr="007E4DFC">
        <w:t xml:space="preserve">., 2016) e -13,2 pontos (von </w:t>
      </w:r>
      <w:proofErr w:type="spellStart"/>
      <w:r w:rsidRPr="007E4DFC">
        <w:t>Rotz</w:t>
      </w:r>
      <w:proofErr w:type="spellEnd"/>
      <w:r w:rsidRPr="007E4DFC">
        <w:t xml:space="preserve"> </w:t>
      </w:r>
      <w:r w:rsidRPr="007E4DFC">
        <w:rPr>
          <w:i/>
        </w:rPr>
        <w:t>et al</w:t>
      </w:r>
      <w:r w:rsidRPr="007E4DFC">
        <w:t>., 2022).</w:t>
      </w:r>
    </w:p>
    <w:p w14:paraId="3D56D011" w14:textId="77777777" w:rsidR="00D434FF" w:rsidRPr="007E4DFC" w:rsidRDefault="005D106E">
      <w:pPr>
        <w:shd w:val="clear" w:color="auto" w:fill="FFFFFF"/>
        <w:spacing w:before="240" w:after="240" w:line="360" w:lineRule="auto"/>
        <w:ind w:firstLine="708"/>
        <w:jc w:val="both"/>
      </w:pPr>
      <w:r w:rsidRPr="002E6E0F">
        <w:rPr>
          <w:lang w:val="en-US"/>
        </w:rPr>
        <w:lastRenderedPageBreak/>
        <w:t xml:space="preserve">Goodwin </w:t>
      </w:r>
      <w:r w:rsidRPr="002E6E0F">
        <w:rPr>
          <w:i/>
          <w:lang w:val="en-US"/>
        </w:rPr>
        <w:t>et al.</w:t>
      </w:r>
      <w:r w:rsidRPr="002E6E0F">
        <w:rPr>
          <w:lang w:val="en-US"/>
        </w:rPr>
        <w:t xml:space="preserve"> (2022), von Rotz </w:t>
      </w:r>
      <w:r w:rsidRPr="002E6E0F">
        <w:rPr>
          <w:i/>
          <w:lang w:val="en-US"/>
        </w:rPr>
        <w:t>et al.</w:t>
      </w:r>
      <w:r w:rsidRPr="002E6E0F">
        <w:rPr>
          <w:lang w:val="en-US"/>
        </w:rPr>
        <w:t xml:space="preserve"> </w:t>
      </w:r>
      <w:r w:rsidRPr="007E4DFC">
        <w:t xml:space="preserve">(2022) e </w:t>
      </w:r>
      <w:proofErr w:type="spellStart"/>
      <w:r w:rsidRPr="007E4DFC">
        <w:t>Raison</w:t>
      </w:r>
      <w:proofErr w:type="spellEnd"/>
      <w:r w:rsidRPr="007E4DFC">
        <w:t xml:space="preserve"> </w:t>
      </w:r>
      <w:r w:rsidRPr="007E4DFC">
        <w:rPr>
          <w:i/>
        </w:rPr>
        <w:t>et al</w:t>
      </w:r>
      <w:r w:rsidRPr="007E4DFC">
        <w:t xml:space="preserve">. (2023) utilizaram </w:t>
      </w:r>
      <w:proofErr w:type="gramStart"/>
      <w:r w:rsidRPr="007E4DFC">
        <w:t>a</w:t>
      </w:r>
      <w:proofErr w:type="gramEnd"/>
      <w:r w:rsidRPr="007E4DFC">
        <w:t xml:space="preserve"> escala MADRS, em um período, respectivamente, de 3, 2 e 6 semanas. Logo, obtiveram uma diminuição de -12, -13 e -12,3 pontos em relação à linha de base. A escala QIDS-SR-16 foi unicamente usada por Carhart-Harris </w:t>
      </w:r>
      <w:r w:rsidRPr="007E4DFC">
        <w:rPr>
          <w:i/>
        </w:rPr>
        <w:t>et al</w:t>
      </w:r>
      <w:r w:rsidRPr="007E4DFC">
        <w:t xml:space="preserve">. (2021) e </w:t>
      </w:r>
      <w:proofErr w:type="spellStart"/>
      <w:r w:rsidRPr="007E4DFC">
        <w:t>Sloshower</w:t>
      </w:r>
      <w:proofErr w:type="spellEnd"/>
      <w:r w:rsidRPr="007E4DFC">
        <w:t xml:space="preserve"> </w:t>
      </w:r>
      <w:r w:rsidRPr="007E4DFC">
        <w:rPr>
          <w:i/>
        </w:rPr>
        <w:t>et al.</w:t>
      </w:r>
      <w:r w:rsidRPr="007E4DFC">
        <w:t xml:space="preserve"> (2023) e, como resultado, em 6 semanas, Carhart-Harris e colaboradores (2021) observaram uma diminuição de 8 pontos. Por sua vez, o segundo estudo, em comparação com o pós-placebo, não observou nenhuma interação significativa. </w:t>
      </w:r>
    </w:p>
    <w:p w14:paraId="4678FBEF" w14:textId="77777777" w:rsidR="00D434FF" w:rsidRPr="007E4DFC" w:rsidRDefault="005D106E">
      <w:pPr>
        <w:shd w:val="clear" w:color="auto" w:fill="FFFFFF"/>
        <w:spacing w:before="240" w:after="240" w:line="360" w:lineRule="auto"/>
        <w:ind w:firstLine="708"/>
        <w:jc w:val="both"/>
        <w:rPr>
          <w:b/>
        </w:rPr>
      </w:pPr>
      <w:r w:rsidRPr="007E4DFC">
        <w:t>É importante ressaltar a necessidade de buscar a padronização entre as escalas, pois são instrumentos para mensurar os escores de depressão antes e depois da intervenção. Embora os resultados sejam semelhantes, há discrepâncias em relação ao tempo e aos escores. Dessa forma, em um mesmo estudo seria possível a administração de duas escalas a fim de comparações posteriores com a literatura.</w:t>
      </w:r>
    </w:p>
    <w:p w14:paraId="2A65DEE9"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8" w:name="_i916qqz8zqgq" w:colFirst="0" w:colLast="0"/>
      <w:bookmarkEnd w:id="18"/>
      <w:r w:rsidRPr="007E4DFC">
        <w:rPr>
          <w:rFonts w:ascii="Times New Roman" w:eastAsia="Times New Roman" w:hAnsi="Times New Roman" w:cs="Times New Roman"/>
          <w:b/>
          <w:i/>
          <w:color w:val="000000"/>
          <w:sz w:val="24"/>
          <w:szCs w:val="24"/>
        </w:rPr>
        <w:t xml:space="preserve">Estudos com neuroimagem </w:t>
      </w:r>
    </w:p>
    <w:p w14:paraId="21255761" w14:textId="77777777" w:rsidR="00D434FF" w:rsidRPr="007E4DFC" w:rsidRDefault="005D106E">
      <w:pPr>
        <w:shd w:val="clear" w:color="auto" w:fill="FFFFFF"/>
        <w:spacing w:line="360" w:lineRule="auto"/>
        <w:ind w:firstLine="708"/>
        <w:jc w:val="both"/>
      </w:pPr>
      <w:r w:rsidRPr="007E4DFC">
        <w:t xml:space="preserve">Dos 10 artigos, apenas um foi responsável por visualizar, a partir da neuroimagem, a integração cerebral dos indivíduos que passaram pelo tratamento da </w:t>
      </w:r>
      <w:proofErr w:type="spellStart"/>
      <w:r w:rsidRPr="007E4DFC">
        <w:t>psilocibina</w:t>
      </w:r>
      <w:proofErr w:type="spellEnd"/>
      <w:r w:rsidRPr="007E4DFC">
        <w:t xml:space="preserve"> (</w:t>
      </w:r>
      <w:proofErr w:type="spellStart"/>
      <w:r w:rsidRPr="007E4DFC">
        <w:t>Skosnik</w:t>
      </w:r>
      <w:proofErr w:type="spellEnd"/>
      <w:r w:rsidRPr="007E4DFC">
        <w:t xml:space="preserve"> </w:t>
      </w:r>
      <w:r w:rsidRPr="007E4DFC">
        <w:rPr>
          <w:i/>
        </w:rPr>
        <w:t>et al</w:t>
      </w:r>
      <w:r w:rsidRPr="007E4DFC">
        <w:t>., 2023). Os autores buscaram visualizar uma correlação entre a diminuição dos sintomas depressivos e o aumento na potência do eletroencefalograma (EEG). Outros estudos na literatura, a partir da ressonância funcional magnética (</w:t>
      </w:r>
      <w:proofErr w:type="spellStart"/>
      <w:r w:rsidRPr="007E4DFC">
        <w:t>fmRI</w:t>
      </w:r>
      <w:proofErr w:type="spellEnd"/>
      <w:r w:rsidRPr="007E4DFC">
        <w:t>), demonstraram que redes funcionais de ordem superior ricas em receptores 5-HT2A, tornaram-se mais funcionalmente interconectadas e flexíveis após o tratamento com a psilocibina em pacientes depressivos (</w:t>
      </w:r>
      <w:proofErr w:type="spellStart"/>
      <w:r w:rsidRPr="007E4DFC">
        <w:t>Daws</w:t>
      </w:r>
      <w:proofErr w:type="spellEnd"/>
      <w:r w:rsidRPr="007E4DFC">
        <w:t xml:space="preserve"> </w:t>
      </w:r>
      <w:r w:rsidRPr="007E4DFC">
        <w:rPr>
          <w:i/>
        </w:rPr>
        <w:t>et al.</w:t>
      </w:r>
      <w:r w:rsidRPr="007E4DFC">
        <w:t>, 2022). Outros estudos debruçam-se de análises de neuroimagem, mas em um público-alvo de indivíduos com dependência a álcool e em indivíduos saudáveis (</w:t>
      </w:r>
      <w:proofErr w:type="spellStart"/>
      <w:r w:rsidRPr="007E4DFC">
        <w:t>Pagni</w:t>
      </w:r>
      <w:proofErr w:type="spellEnd"/>
      <w:r w:rsidRPr="007E4DFC">
        <w:t xml:space="preserve"> </w:t>
      </w:r>
      <w:r w:rsidRPr="007E4DFC">
        <w:rPr>
          <w:i/>
        </w:rPr>
        <w:t>et al</w:t>
      </w:r>
      <w:r w:rsidRPr="007E4DFC">
        <w:t xml:space="preserve">., 2024; </w:t>
      </w:r>
      <w:proofErr w:type="spellStart"/>
      <w:r w:rsidRPr="007E4DFC">
        <w:t>Stoliker</w:t>
      </w:r>
      <w:proofErr w:type="spellEnd"/>
      <w:r w:rsidRPr="007E4DFC">
        <w:t xml:space="preserve"> </w:t>
      </w:r>
      <w:r w:rsidRPr="007E4DFC">
        <w:rPr>
          <w:i/>
        </w:rPr>
        <w:t>et al</w:t>
      </w:r>
      <w:r w:rsidRPr="007E4DFC">
        <w:t>., 2024).</w:t>
      </w:r>
    </w:p>
    <w:p w14:paraId="3095E9B3" w14:textId="77777777" w:rsidR="00D434FF" w:rsidRPr="007E4DFC" w:rsidRDefault="00D434FF">
      <w:pPr>
        <w:shd w:val="clear" w:color="auto" w:fill="FFFFFF"/>
        <w:spacing w:line="360" w:lineRule="auto"/>
        <w:ind w:firstLine="708"/>
        <w:jc w:val="both"/>
      </w:pPr>
    </w:p>
    <w:p w14:paraId="02333A1E" w14:textId="77777777" w:rsidR="00D434FF" w:rsidRPr="007E4DFC" w:rsidRDefault="005D106E">
      <w:pPr>
        <w:pStyle w:val="Ttulo2"/>
        <w:keepNext w:val="0"/>
        <w:keepLines w:val="0"/>
        <w:widowControl w:val="0"/>
        <w:shd w:val="clear" w:color="auto" w:fill="FFFFFF"/>
        <w:spacing w:before="0" w:line="360" w:lineRule="auto"/>
        <w:jc w:val="both"/>
        <w:rPr>
          <w:rFonts w:ascii="Times New Roman" w:eastAsia="Times New Roman" w:hAnsi="Times New Roman" w:cs="Times New Roman"/>
          <w:b/>
          <w:i/>
          <w:color w:val="000000"/>
          <w:sz w:val="24"/>
          <w:szCs w:val="24"/>
        </w:rPr>
      </w:pPr>
      <w:bookmarkStart w:id="19" w:name="_eoolbgsvckme" w:colFirst="0" w:colLast="0"/>
      <w:bookmarkEnd w:id="19"/>
      <w:r w:rsidRPr="007E4DFC">
        <w:rPr>
          <w:rFonts w:ascii="Times New Roman" w:eastAsia="Times New Roman" w:hAnsi="Times New Roman" w:cs="Times New Roman"/>
          <w:b/>
          <w:i/>
          <w:color w:val="000000"/>
          <w:sz w:val="24"/>
          <w:szCs w:val="24"/>
        </w:rPr>
        <w:t>Efeitos adversos (</w:t>
      </w:r>
      <w:proofErr w:type="spellStart"/>
      <w:r w:rsidRPr="007E4DFC">
        <w:rPr>
          <w:rFonts w:ascii="Times New Roman" w:eastAsia="Times New Roman" w:hAnsi="Times New Roman" w:cs="Times New Roman"/>
          <w:b/>
          <w:i/>
          <w:color w:val="000000"/>
          <w:sz w:val="24"/>
          <w:szCs w:val="24"/>
        </w:rPr>
        <w:t>eas</w:t>
      </w:r>
      <w:proofErr w:type="spellEnd"/>
      <w:r w:rsidRPr="007E4DFC">
        <w:rPr>
          <w:rFonts w:ascii="Times New Roman" w:eastAsia="Times New Roman" w:hAnsi="Times New Roman" w:cs="Times New Roman"/>
          <w:b/>
          <w:i/>
          <w:color w:val="000000"/>
          <w:sz w:val="24"/>
          <w:szCs w:val="24"/>
        </w:rPr>
        <w:t>), avaliação de segurança e ética</w:t>
      </w:r>
    </w:p>
    <w:p w14:paraId="02494C52" w14:textId="77777777" w:rsidR="00D434FF" w:rsidRPr="007E4DFC" w:rsidRDefault="005D106E">
      <w:pPr>
        <w:shd w:val="clear" w:color="auto" w:fill="FFFFFF"/>
        <w:spacing w:line="360" w:lineRule="auto"/>
        <w:ind w:firstLine="708"/>
        <w:jc w:val="both"/>
      </w:pPr>
      <w:r w:rsidRPr="007E4DFC">
        <w:t>Como parte dos efeitos adversos (</w:t>
      </w:r>
      <w:proofErr w:type="spellStart"/>
      <w:r w:rsidRPr="007E4DFC">
        <w:t>EAs</w:t>
      </w:r>
      <w:proofErr w:type="spellEnd"/>
      <w:r w:rsidRPr="007E4DFC">
        <w:t xml:space="preserve">), os ensaios clínicos mostraram prevalência de dor de cabeça, náuseas, tontura e fadiga, como </w:t>
      </w:r>
      <w:proofErr w:type="spellStart"/>
      <w:r w:rsidRPr="007E4DFC">
        <w:t>EAs</w:t>
      </w:r>
      <w:proofErr w:type="spellEnd"/>
      <w:r w:rsidRPr="007E4DFC">
        <w:t xml:space="preserve"> leves. Como </w:t>
      </w:r>
      <w:proofErr w:type="spellStart"/>
      <w:r w:rsidRPr="007E4DFC">
        <w:t>EAs</w:t>
      </w:r>
      <w:proofErr w:type="spellEnd"/>
      <w:r w:rsidRPr="007E4DFC">
        <w:t xml:space="preserve"> graves, foram constatados ideação suicida e autolesão intencional. Como avaliação de segurança, os estudos verificaram, predominantemente, medidas cardiovasculares, pressão arterial (PA) sistólica e diastólica e a frequência cardíaca (FC).</w:t>
      </w:r>
    </w:p>
    <w:p w14:paraId="51019AD7" w14:textId="77777777" w:rsidR="00D434FF" w:rsidRPr="007E4DFC" w:rsidRDefault="005D106E">
      <w:pPr>
        <w:shd w:val="clear" w:color="auto" w:fill="FFFFFF"/>
        <w:spacing w:before="240" w:line="360" w:lineRule="auto"/>
        <w:ind w:firstLine="708"/>
        <w:jc w:val="both"/>
      </w:pPr>
      <w:r w:rsidRPr="007E4DFC">
        <w:t xml:space="preserve">Observar os efeitos adversos é importante para, como citado anteriormente, garantir aos participantes a máxima explicação acerca do tratamento e a avaliação de segurança permite </w:t>
      </w:r>
      <w:r w:rsidRPr="007E4DFC">
        <w:lastRenderedPageBreak/>
        <w:t>mapear as alterações que o tratamento está realizando, a fim de intervir em possíveis complicações. O princípio ético por trás do tratamento, em geral, com psicodélicos e, em particular, com a psilocibina, é a necessidade de informar, de forma máxima e explícita, sobre os possíveis riscos e benefícios acerca da intervenção. É uma tarefa que, em termos de delineamento metodológico, pode influenciar o tratamento em decorrência das expectativas do sujeito submetido ao experimento. Há uma extensa cobertura midiática acerca da positiva eficácia dos psicodélicos, o que pode criar um viés e influenciar os participantes (</w:t>
      </w:r>
      <w:proofErr w:type="spellStart"/>
      <w:r w:rsidRPr="007E4DFC">
        <w:t>Hovmand</w:t>
      </w:r>
      <w:proofErr w:type="spellEnd"/>
      <w:r w:rsidRPr="007E4DFC">
        <w:t xml:space="preserve"> </w:t>
      </w:r>
      <w:r w:rsidRPr="007E4DFC">
        <w:rPr>
          <w:i/>
        </w:rPr>
        <w:t>et al.</w:t>
      </w:r>
      <w:r w:rsidRPr="007E4DFC">
        <w:t>, 2023).</w:t>
      </w:r>
    </w:p>
    <w:p w14:paraId="459E0BA8" w14:textId="77777777" w:rsidR="00D434FF" w:rsidRPr="007E4DFC" w:rsidRDefault="005D106E">
      <w:pPr>
        <w:shd w:val="clear" w:color="auto" w:fill="FFFFFF"/>
        <w:spacing w:line="360" w:lineRule="auto"/>
        <w:ind w:firstLine="708"/>
        <w:jc w:val="both"/>
      </w:pPr>
      <w:r w:rsidRPr="007E4DFC">
        <w:t xml:space="preserve">Este estudo permite visualizar um panorama geral acerca do andamento das pesquisas clínicas com a Psilocibina e possibilita trazer à luz um novo debate sobre tratamentos alternativos para o Transtorno Depressivo Maior, como a Psicoterapia Assistida por Psilocibina. Além disso, o presente estudo buscou demonstrar evidências e limitações a respeito do uso do </w:t>
      </w:r>
      <w:proofErr w:type="spellStart"/>
      <w:r w:rsidRPr="007E4DFC">
        <w:t>psicoplastógeno</w:t>
      </w:r>
      <w:proofErr w:type="spellEnd"/>
      <w:r w:rsidRPr="007E4DFC">
        <w:t xml:space="preserve">, a </w:t>
      </w:r>
      <w:proofErr w:type="spellStart"/>
      <w:r w:rsidRPr="007E4DFC">
        <w:t>psilocibina</w:t>
      </w:r>
      <w:proofErr w:type="spellEnd"/>
      <w:r w:rsidRPr="007E4DFC">
        <w:t xml:space="preserve">. Mais estudos serão necessários para averiguar a eficácia clínica e futuras revisões sistemáticas serão necessárias para a avaliação de novos ensaios clínicos. </w:t>
      </w:r>
    </w:p>
    <w:p w14:paraId="5B321142" w14:textId="77777777" w:rsidR="00D434FF" w:rsidRPr="007E4DFC" w:rsidRDefault="00D434FF">
      <w:pPr>
        <w:shd w:val="clear" w:color="auto" w:fill="FFFFFF"/>
        <w:spacing w:before="240" w:after="240" w:line="360" w:lineRule="auto"/>
        <w:ind w:firstLine="708"/>
        <w:jc w:val="both"/>
      </w:pPr>
    </w:p>
    <w:p w14:paraId="2ACCFA07" w14:textId="77777777" w:rsidR="00D434FF" w:rsidRPr="007E4DFC" w:rsidRDefault="00D434FF">
      <w:pPr>
        <w:pBdr>
          <w:top w:val="nil"/>
          <w:left w:val="nil"/>
          <w:bottom w:val="nil"/>
          <w:right w:val="nil"/>
          <w:between w:val="nil"/>
        </w:pBdr>
        <w:jc w:val="center"/>
      </w:pPr>
    </w:p>
    <w:p w14:paraId="14A0AB59" w14:textId="77777777" w:rsidR="00D434FF" w:rsidRPr="007E4DFC" w:rsidRDefault="00D434FF">
      <w:pPr>
        <w:pBdr>
          <w:top w:val="nil"/>
          <w:left w:val="nil"/>
          <w:bottom w:val="nil"/>
          <w:right w:val="nil"/>
          <w:between w:val="nil"/>
        </w:pBdr>
        <w:jc w:val="center"/>
      </w:pPr>
    </w:p>
    <w:p w14:paraId="72DA2FC6" w14:textId="77777777" w:rsidR="00D434FF" w:rsidRPr="007E4DFC" w:rsidRDefault="00D434FF">
      <w:pPr>
        <w:pBdr>
          <w:top w:val="nil"/>
          <w:left w:val="nil"/>
          <w:bottom w:val="nil"/>
          <w:right w:val="nil"/>
          <w:between w:val="nil"/>
        </w:pBdr>
        <w:jc w:val="center"/>
      </w:pPr>
    </w:p>
    <w:p w14:paraId="3767B2D8" w14:textId="77777777" w:rsidR="00D434FF" w:rsidRPr="007E4DFC" w:rsidRDefault="00D434FF">
      <w:pPr>
        <w:pBdr>
          <w:top w:val="nil"/>
          <w:left w:val="nil"/>
          <w:bottom w:val="nil"/>
          <w:right w:val="nil"/>
          <w:between w:val="nil"/>
        </w:pBdr>
        <w:jc w:val="center"/>
      </w:pPr>
    </w:p>
    <w:p w14:paraId="2044E24F" w14:textId="77777777" w:rsidR="00D434FF" w:rsidRPr="007E4DFC" w:rsidRDefault="00D434FF">
      <w:pPr>
        <w:pBdr>
          <w:top w:val="nil"/>
          <w:left w:val="nil"/>
          <w:bottom w:val="nil"/>
          <w:right w:val="nil"/>
          <w:between w:val="nil"/>
        </w:pBdr>
        <w:jc w:val="center"/>
      </w:pPr>
    </w:p>
    <w:p w14:paraId="0DAAC260" w14:textId="77777777" w:rsidR="00D434FF" w:rsidRPr="007E4DFC" w:rsidRDefault="00D434FF">
      <w:pPr>
        <w:pBdr>
          <w:top w:val="nil"/>
          <w:left w:val="nil"/>
          <w:bottom w:val="nil"/>
          <w:right w:val="nil"/>
          <w:between w:val="nil"/>
        </w:pBdr>
        <w:jc w:val="center"/>
      </w:pPr>
    </w:p>
    <w:p w14:paraId="6AEF8FE6" w14:textId="77777777" w:rsidR="00D434FF" w:rsidRPr="007E4DFC" w:rsidRDefault="00D434FF">
      <w:pPr>
        <w:pBdr>
          <w:top w:val="nil"/>
          <w:left w:val="nil"/>
          <w:bottom w:val="nil"/>
          <w:right w:val="nil"/>
          <w:between w:val="nil"/>
        </w:pBdr>
        <w:jc w:val="center"/>
      </w:pPr>
    </w:p>
    <w:p w14:paraId="03705F26" w14:textId="77777777" w:rsidR="00D434FF" w:rsidRPr="007E4DFC" w:rsidRDefault="00D434FF">
      <w:pPr>
        <w:pBdr>
          <w:top w:val="nil"/>
          <w:left w:val="nil"/>
          <w:bottom w:val="nil"/>
          <w:right w:val="nil"/>
          <w:between w:val="nil"/>
        </w:pBdr>
        <w:jc w:val="center"/>
      </w:pPr>
    </w:p>
    <w:p w14:paraId="08FEDA33" w14:textId="77777777" w:rsidR="00D434FF" w:rsidRPr="007E4DFC" w:rsidRDefault="00D434FF">
      <w:pPr>
        <w:pBdr>
          <w:top w:val="nil"/>
          <w:left w:val="nil"/>
          <w:bottom w:val="nil"/>
          <w:right w:val="nil"/>
          <w:between w:val="nil"/>
        </w:pBdr>
        <w:jc w:val="center"/>
      </w:pPr>
    </w:p>
    <w:p w14:paraId="34057C24" w14:textId="77777777" w:rsidR="00D434FF" w:rsidRPr="007E4DFC" w:rsidRDefault="00D434FF">
      <w:pPr>
        <w:pBdr>
          <w:top w:val="nil"/>
          <w:left w:val="nil"/>
          <w:bottom w:val="nil"/>
          <w:right w:val="nil"/>
          <w:between w:val="nil"/>
        </w:pBdr>
        <w:jc w:val="center"/>
      </w:pPr>
    </w:p>
    <w:p w14:paraId="517851F6" w14:textId="77777777" w:rsidR="00D434FF" w:rsidRPr="007E4DFC" w:rsidRDefault="00D434FF">
      <w:pPr>
        <w:pBdr>
          <w:top w:val="nil"/>
          <w:left w:val="nil"/>
          <w:bottom w:val="nil"/>
          <w:right w:val="nil"/>
          <w:between w:val="nil"/>
        </w:pBdr>
        <w:jc w:val="center"/>
      </w:pPr>
    </w:p>
    <w:p w14:paraId="0FED1EE4" w14:textId="77777777" w:rsidR="00D434FF" w:rsidRPr="007E4DFC" w:rsidRDefault="00D434FF">
      <w:pPr>
        <w:pBdr>
          <w:top w:val="nil"/>
          <w:left w:val="nil"/>
          <w:bottom w:val="nil"/>
          <w:right w:val="nil"/>
          <w:between w:val="nil"/>
        </w:pBdr>
        <w:jc w:val="center"/>
      </w:pPr>
    </w:p>
    <w:p w14:paraId="16C6C01C" w14:textId="00A4BA36" w:rsidR="00D434FF" w:rsidRDefault="00D434FF">
      <w:pPr>
        <w:pBdr>
          <w:top w:val="nil"/>
          <w:left w:val="nil"/>
          <w:bottom w:val="nil"/>
          <w:right w:val="nil"/>
          <w:between w:val="nil"/>
        </w:pBdr>
        <w:jc w:val="center"/>
      </w:pPr>
    </w:p>
    <w:p w14:paraId="4A884DF5" w14:textId="6A238D83" w:rsidR="00C46EF5" w:rsidRDefault="00C46EF5">
      <w:pPr>
        <w:pBdr>
          <w:top w:val="nil"/>
          <w:left w:val="nil"/>
          <w:bottom w:val="nil"/>
          <w:right w:val="nil"/>
          <w:between w:val="nil"/>
        </w:pBdr>
        <w:jc w:val="center"/>
      </w:pPr>
    </w:p>
    <w:p w14:paraId="70F8DA44" w14:textId="15DA5053" w:rsidR="00C46EF5" w:rsidRDefault="00C46EF5">
      <w:pPr>
        <w:pBdr>
          <w:top w:val="nil"/>
          <w:left w:val="nil"/>
          <w:bottom w:val="nil"/>
          <w:right w:val="nil"/>
          <w:between w:val="nil"/>
        </w:pBdr>
        <w:jc w:val="center"/>
      </w:pPr>
    </w:p>
    <w:p w14:paraId="73485019" w14:textId="3835C804" w:rsidR="00C46EF5" w:rsidRDefault="00C46EF5">
      <w:pPr>
        <w:pBdr>
          <w:top w:val="nil"/>
          <w:left w:val="nil"/>
          <w:bottom w:val="nil"/>
          <w:right w:val="nil"/>
          <w:between w:val="nil"/>
        </w:pBdr>
        <w:jc w:val="center"/>
      </w:pPr>
    </w:p>
    <w:p w14:paraId="024721E4" w14:textId="7DEBD289" w:rsidR="00C46EF5" w:rsidRDefault="00C46EF5">
      <w:pPr>
        <w:pBdr>
          <w:top w:val="nil"/>
          <w:left w:val="nil"/>
          <w:bottom w:val="nil"/>
          <w:right w:val="nil"/>
          <w:between w:val="nil"/>
        </w:pBdr>
        <w:jc w:val="center"/>
      </w:pPr>
    </w:p>
    <w:p w14:paraId="5AF8C024" w14:textId="77777777" w:rsidR="00C46EF5" w:rsidRPr="007E4DFC" w:rsidRDefault="00C46EF5">
      <w:pPr>
        <w:pBdr>
          <w:top w:val="nil"/>
          <w:left w:val="nil"/>
          <w:bottom w:val="nil"/>
          <w:right w:val="nil"/>
          <w:between w:val="nil"/>
        </w:pBdr>
        <w:jc w:val="center"/>
      </w:pPr>
    </w:p>
    <w:p w14:paraId="61C4BD40" w14:textId="77777777" w:rsidR="00D434FF" w:rsidRPr="007E4DFC" w:rsidRDefault="00D434FF">
      <w:pPr>
        <w:pBdr>
          <w:top w:val="nil"/>
          <w:left w:val="nil"/>
          <w:bottom w:val="nil"/>
          <w:right w:val="nil"/>
          <w:between w:val="nil"/>
        </w:pBdr>
        <w:jc w:val="center"/>
      </w:pPr>
    </w:p>
    <w:p w14:paraId="539D1A3D" w14:textId="77777777" w:rsidR="00D434FF" w:rsidRPr="007E4DFC" w:rsidRDefault="00D434FF">
      <w:pPr>
        <w:pBdr>
          <w:top w:val="nil"/>
          <w:left w:val="nil"/>
          <w:bottom w:val="nil"/>
          <w:right w:val="nil"/>
          <w:between w:val="nil"/>
        </w:pBdr>
        <w:jc w:val="center"/>
      </w:pPr>
    </w:p>
    <w:p w14:paraId="4D0475C5" w14:textId="77777777" w:rsidR="00D434FF" w:rsidRPr="007E4DFC" w:rsidRDefault="00D434FF">
      <w:pPr>
        <w:pBdr>
          <w:top w:val="nil"/>
          <w:left w:val="nil"/>
          <w:bottom w:val="nil"/>
          <w:right w:val="nil"/>
          <w:between w:val="nil"/>
        </w:pBdr>
        <w:jc w:val="center"/>
      </w:pPr>
    </w:p>
    <w:p w14:paraId="3F26D7B7" w14:textId="77777777" w:rsidR="00D434FF" w:rsidRPr="007E4DFC" w:rsidRDefault="00D434FF">
      <w:pPr>
        <w:pBdr>
          <w:top w:val="nil"/>
          <w:left w:val="nil"/>
          <w:bottom w:val="nil"/>
          <w:right w:val="nil"/>
          <w:between w:val="nil"/>
        </w:pBdr>
        <w:jc w:val="center"/>
      </w:pPr>
    </w:p>
    <w:p w14:paraId="502E5674" w14:textId="77777777" w:rsidR="00D434FF" w:rsidRPr="007E4DFC" w:rsidRDefault="00D434FF">
      <w:pPr>
        <w:pBdr>
          <w:top w:val="nil"/>
          <w:left w:val="nil"/>
          <w:bottom w:val="nil"/>
          <w:right w:val="nil"/>
          <w:between w:val="nil"/>
        </w:pBdr>
        <w:jc w:val="center"/>
      </w:pPr>
    </w:p>
    <w:p w14:paraId="1CB78B37" w14:textId="77777777" w:rsidR="00D434FF" w:rsidRPr="007E4DFC" w:rsidRDefault="00D434FF">
      <w:pPr>
        <w:pBdr>
          <w:top w:val="nil"/>
          <w:left w:val="nil"/>
          <w:bottom w:val="nil"/>
          <w:right w:val="nil"/>
          <w:between w:val="nil"/>
        </w:pBdr>
        <w:jc w:val="center"/>
      </w:pPr>
    </w:p>
    <w:p w14:paraId="4864861C" w14:textId="77777777" w:rsidR="00D434FF" w:rsidRPr="007E4DFC" w:rsidRDefault="00D434FF">
      <w:pPr>
        <w:pBdr>
          <w:top w:val="nil"/>
          <w:left w:val="nil"/>
          <w:bottom w:val="nil"/>
          <w:right w:val="nil"/>
          <w:between w:val="nil"/>
        </w:pBdr>
      </w:pPr>
    </w:p>
    <w:p w14:paraId="5379C4CD" w14:textId="77777777" w:rsidR="00D434FF" w:rsidRPr="007E4DFC" w:rsidRDefault="00D434FF">
      <w:pPr>
        <w:pBdr>
          <w:top w:val="nil"/>
          <w:left w:val="nil"/>
          <w:bottom w:val="nil"/>
          <w:right w:val="nil"/>
          <w:between w:val="nil"/>
        </w:pBdr>
      </w:pPr>
    </w:p>
    <w:p w14:paraId="017FC425" w14:textId="77777777" w:rsidR="00D434FF" w:rsidRPr="007E4DFC" w:rsidRDefault="005D106E">
      <w:pPr>
        <w:pBdr>
          <w:top w:val="nil"/>
          <w:left w:val="nil"/>
          <w:bottom w:val="nil"/>
          <w:right w:val="nil"/>
          <w:between w:val="nil"/>
        </w:pBdr>
        <w:jc w:val="center"/>
        <w:rPr>
          <w:b/>
        </w:rPr>
      </w:pPr>
      <w:r w:rsidRPr="007E4DFC">
        <w:rPr>
          <w:b/>
        </w:rPr>
        <w:lastRenderedPageBreak/>
        <w:t>Referências</w:t>
      </w:r>
    </w:p>
    <w:p w14:paraId="1D94607D" w14:textId="77777777" w:rsidR="00D434FF" w:rsidRPr="007E4DFC" w:rsidRDefault="00D434FF">
      <w:pPr>
        <w:pBdr>
          <w:top w:val="none" w:sz="0" w:space="2" w:color="auto"/>
          <w:bottom w:val="none" w:sz="0" w:space="2" w:color="auto"/>
          <w:between w:val="none" w:sz="0" w:space="2" w:color="auto"/>
        </w:pBdr>
        <w:shd w:val="clear" w:color="auto" w:fill="FFFFFF"/>
        <w:jc w:val="both"/>
        <w:rPr>
          <w:color w:val="212121"/>
        </w:rPr>
      </w:pPr>
    </w:p>
    <w:p w14:paraId="604652DB" w14:textId="77777777" w:rsidR="00D434FF" w:rsidRPr="002E6E0F" w:rsidRDefault="005D106E">
      <w:pPr>
        <w:jc w:val="both"/>
        <w:rPr>
          <w:color w:val="212121"/>
          <w:lang w:val="en-US"/>
        </w:rPr>
      </w:pPr>
      <w:r w:rsidRPr="007E4DFC">
        <w:rPr>
          <w:color w:val="212121"/>
        </w:rPr>
        <w:t xml:space="preserve">Abreu, P. R., &amp; Santos, C. E. (2008). </w:t>
      </w:r>
      <w:r w:rsidRPr="002E6E0F">
        <w:rPr>
          <w:color w:val="212121"/>
          <w:lang w:val="en-US"/>
        </w:rPr>
        <w:t>Behavioral models of depression: A critique of the</w:t>
      </w:r>
    </w:p>
    <w:p w14:paraId="04E590CA" w14:textId="77777777" w:rsidR="00D434FF" w:rsidRPr="002E6E0F" w:rsidRDefault="005D106E">
      <w:pPr>
        <w:ind w:left="850"/>
        <w:jc w:val="both"/>
        <w:rPr>
          <w:color w:val="212121"/>
          <w:lang w:val="en-US"/>
        </w:rPr>
      </w:pPr>
      <w:r w:rsidRPr="002E6E0F">
        <w:rPr>
          <w:color w:val="212121"/>
          <w:lang w:val="en-US"/>
        </w:rPr>
        <w:t xml:space="preserve">emphasis on positive reinforcement. </w:t>
      </w:r>
      <w:r w:rsidRPr="002E6E0F">
        <w:rPr>
          <w:i/>
          <w:color w:val="212121"/>
          <w:lang w:val="en-US"/>
        </w:rPr>
        <w:t>International Journal of Behavioral Consultation and Therapy</w:t>
      </w:r>
      <w:r w:rsidRPr="002E6E0F">
        <w:rPr>
          <w:color w:val="212121"/>
          <w:lang w:val="en-US"/>
        </w:rPr>
        <w:t xml:space="preserve">, 4(2), 130–145. </w:t>
      </w:r>
      <w:r>
        <w:fldChar w:fldCharType="begin"/>
      </w:r>
      <w:r w:rsidRPr="00031D66">
        <w:rPr>
          <w:lang w:val="es-AR"/>
        </w:rPr>
        <w:instrText>HYPERLINK "https://doi.org/10.1037/H0100838" \h</w:instrText>
      </w:r>
      <w:r>
        <w:fldChar w:fldCharType="separate"/>
      </w:r>
      <w:r w:rsidRPr="002E6E0F">
        <w:rPr>
          <w:color w:val="212121"/>
          <w:u w:val="single"/>
          <w:lang w:val="en-US"/>
        </w:rPr>
        <w:t>https://doi.org/10.1037/H0100838</w:t>
      </w:r>
      <w:r>
        <w:fldChar w:fldCharType="end"/>
      </w:r>
    </w:p>
    <w:p w14:paraId="75F03C7E" w14:textId="77777777" w:rsidR="00D434FF" w:rsidRPr="007E4DFC" w:rsidRDefault="005D106E">
      <w:pPr>
        <w:shd w:val="clear" w:color="auto" w:fill="FFFFFF"/>
        <w:ind w:left="850" w:hanging="850"/>
        <w:jc w:val="both"/>
        <w:rPr>
          <w:color w:val="212121"/>
        </w:rPr>
      </w:pPr>
      <w:r w:rsidRPr="002E6E0F">
        <w:rPr>
          <w:color w:val="212121"/>
          <w:lang w:val="en-US"/>
        </w:rPr>
        <w:t xml:space="preserve">Agostinho, T. F., </w:t>
      </w:r>
      <w:proofErr w:type="spellStart"/>
      <w:r w:rsidRPr="002E6E0F">
        <w:rPr>
          <w:color w:val="212121"/>
          <w:lang w:val="en-US"/>
        </w:rPr>
        <w:t>Donadon</w:t>
      </w:r>
      <w:proofErr w:type="spellEnd"/>
      <w:r w:rsidRPr="002E6E0F">
        <w:rPr>
          <w:color w:val="212121"/>
          <w:lang w:val="en-US"/>
        </w:rPr>
        <w:t xml:space="preserve">, M. F., &amp; </w:t>
      </w:r>
      <w:proofErr w:type="spellStart"/>
      <w:r w:rsidRPr="002E6E0F">
        <w:rPr>
          <w:color w:val="212121"/>
          <w:lang w:val="en-US"/>
        </w:rPr>
        <w:t>Bullamah</w:t>
      </w:r>
      <w:proofErr w:type="spellEnd"/>
      <w:r w:rsidRPr="002E6E0F">
        <w:rPr>
          <w:color w:val="212121"/>
          <w:lang w:val="en-US"/>
        </w:rPr>
        <w:t xml:space="preserve">, S. K. (2019). </w:t>
      </w:r>
      <w:r w:rsidRPr="007E4DFC">
        <w:rPr>
          <w:color w:val="212121"/>
        </w:rPr>
        <w:t xml:space="preserve">Terapia cognitivo-comportamental e depressão: intervenções no ciclo de manutenção. </w:t>
      </w:r>
      <w:r w:rsidRPr="007E4DFC">
        <w:rPr>
          <w:i/>
          <w:color w:val="212121"/>
        </w:rPr>
        <w:t>Revista Brasileira de Terapias Cognitivas</w:t>
      </w:r>
      <w:r w:rsidRPr="007E4DFC">
        <w:rPr>
          <w:color w:val="212121"/>
        </w:rPr>
        <w:t xml:space="preserve">, 15(1), 59–65. </w:t>
      </w:r>
      <w:hyperlink r:id="rId20">
        <w:r w:rsidRPr="007E4DFC">
          <w:rPr>
            <w:color w:val="212121"/>
            <w:u w:val="single"/>
          </w:rPr>
          <w:t>https://doi.org/10.5935/1808-5687.20190009</w:t>
        </w:r>
      </w:hyperlink>
    </w:p>
    <w:p w14:paraId="1C4DA6EF" w14:textId="77777777" w:rsidR="00D434FF" w:rsidRPr="002E6E0F" w:rsidRDefault="005D106E">
      <w:pPr>
        <w:jc w:val="both"/>
        <w:rPr>
          <w:color w:val="212121"/>
          <w:lang w:val="en-US"/>
        </w:rPr>
      </w:pPr>
      <w:r w:rsidRPr="007E4DFC">
        <w:rPr>
          <w:color w:val="212121"/>
        </w:rPr>
        <w:t xml:space="preserve">Alves, K. I., &amp; </w:t>
      </w:r>
      <w:proofErr w:type="spellStart"/>
      <w:r w:rsidRPr="007E4DFC">
        <w:rPr>
          <w:color w:val="212121"/>
        </w:rPr>
        <w:t>Bonvicini</w:t>
      </w:r>
      <w:proofErr w:type="spellEnd"/>
      <w:r w:rsidRPr="007E4DFC">
        <w:rPr>
          <w:color w:val="212121"/>
        </w:rPr>
        <w:t xml:space="preserve">, C. </w:t>
      </w:r>
      <w:proofErr w:type="gramStart"/>
      <w:r w:rsidRPr="007E4DFC">
        <w:rPr>
          <w:color w:val="212121"/>
        </w:rPr>
        <w:t>R..</w:t>
      </w:r>
      <w:proofErr w:type="gramEnd"/>
      <w:r w:rsidRPr="007E4DFC">
        <w:rPr>
          <w:color w:val="212121"/>
        </w:rPr>
        <w:t xml:space="preserve"> </w:t>
      </w:r>
      <w:r w:rsidRPr="002E6E0F">
        <w:rPr>
          <w:color w:val="212121"/>
          <w:lang w:val="en-US"/>
        </w:rPr>
        <w:t>(2022). The role of behavioral activation in the</w:t>
      </w:r>
    </w:p>
    <w:p w14:paraId="6A09EDB9" w14:textId="77777777" w:rsidR="00D434FF" w:rsidRPr="002E6E0F" w:rsidRDefault="005D106E">
      <w:pPr>
        <w:ind w:left="850"/>
        <w:jc w:val="both"/>
        <w:rPr>
          <w:color w:val="212121"/>
          <w:lang w:val="en-US"/>
        </w:rPr>
      </w:pPr>
      <w:r w:rsidRPr="002E6E0F">
        <w:rPr>
          <w:color w:val="212121"/>
          <w:lang w:val="en-US"/>
        </w:rPr>
        <w:t xml:space="preserve">management of depressive </w:t>
      </w:r>
      <w:proofErr w:type="gramStart"/>
      <w:r w:rsidRPr="002E6E0F">
        <w:rPr>
          <w:color w:val="212121"/>
          <w:lang w:val="en-US"/>
        </w:rPr>
        <w:t>symptoms .</w:t>
      </w:r>
      <w:proofErr w:type="gramEnd"/>
      <w:r w:rsidRPr="002E6E0F">
        <w:rPr>
          <w:color w:val="212121"/>
          <w:lang w:val="en-US"/>
        </w:rPr>
        <w:t xml:space="preserve"> </w:t>
      </w:r>
      <w:r w:rsidRPr="002E6E0F">
        <w:rPr>
          <w:i/>
          <w:color w:val="212121"/>
          <w:lang w:val="en-US"/>
        </w:rPr>
        <w:t>Research, Society and Development</w:t>
      </w:r>
      <w:r w:rsidRPr="002E6E0F">
        <w:rPr>
          <w:color w:val="212121"/>
          <w:lang w:val="en-US"/>
        </w:rPr>
        <w:t xml:space="preserve">, </w:t>
      </w:r>
      <w:r w:rsidRPr="002E6E0F">
        <w:rPr>
          <w:i/>
          <w:color w:val="212121"/>
          <w:lang w:val="en-US"/>
        </w:rPr>
        <w:t>11</w:t>
      </w:r>
      <w:r w:rsidRPr="002E6E0F">
        <w:rPr>
          <w:color w:val="212121"/>
          <w:lang w:val="en-US"/>
        </w:rPr>
        <w:t>(1), e15311123711. https://doi.org/10.33448/rsd-v11i1.23711</w:t>
      </w:r>
    </w:p>
    <w:p w14:paraId="19F1B650" w14:textId="77777777" w:rsidR="00D434FF" w:rsidRPr="002E6E0F" w:rsidRDefault="005D106E">
      <w:pPr>
        <w:widowControl w:val="0"/>
        <w:jc w:val="both"/>
        <w:rPr>
          <w:i/>
          <w:color w:val="212121"/>
          <w:lang w:val="en-US"/>
        </w:rPr>
      </w:pPr>
      <w:r w:rsidRPr="002E6E0F">
        <w:rPr>
          <w:color w:val="212121"/>
          <w:lang w:val="en-US"/>
        </w:rPr>
        <w:t xml:space="preserve">American Psychiatric Association. (2022). Depressive disorders. In </w:t>
      </w:r>
      <w:r w:rsidRPr="002E6E0F">
        <w:rPr>
          <w:i/>
          <w:color w:val="212121"/>
          <w:lang w:val="en-US"/>
        </w:rPr>
        <w:t>Diagnostic and statistical</w:t>
      </w:r>
    </w:p>
    <w:p w14:paraId="68EBE850" w14:textId="77777777" w:rsidR="00D434FF" w:rsidRPr="00031D66" w:rsidRDefault="005D106E">
      <w:pPr>
        <w:widowControl w:val="0"/>
        <w:ind w:left="850"/>
        <w:jc w:val="both"/>
        <w:rPr>
          <w:color w:val="212121"/>
          <w:lang w:val="en-US"/>
        </w:rPr>
      </w:pPr>
      <w:r w:rsidRPr="002E6E0F">
        <w:rPr>
          <w:i/>
          <w:color w:val="212121"/>
          <w:lang w:val="en-US"/>
        </w:rPr>
        <w:t>manual of mental disorders</w:t>
      </w:r>
      <w:r w:rsidRPr="002E6E0F">
        <w:rPr>
          <w:color w:val="212121"/>
          <w:lang w:val="en-US"/>
        </w:rPr>
        <w:t xml:space="preserve"> (5th ed., text rev.). </w:t>
      </w:r>
      <w:r>
        <w:fldChar w:fldCharType="begin"/>
      </w:r>
      <w:r w:rsidRPr="00031D66">
        <w:rPr>
          <w:lang w:val="en-US"/>
        </w:rPr>
        <w:instrText>HYPERLINK "https://psychiatryonline.org/doi/full/10.1176/appi.books.9780890425787.x04_Depressive_Disorders" \h</w:instrText>
      </w:r>
      <w:r>
        <w:fldChar w:fldCharType="separate"/>
      </w:r>
      <w:r w:rsidRPr="00031D66">
        <w:rPr>
          <w:color w:val="212121"/>
          <w:u w:val="single"/>
          <w:lang w:val="en-US"/>
        </w:rPr>
        <w:t>https://psychiatryonline.org/doi/full/10.1176/appi.books.9780890425787.x04_Depressi</w:t>
      </w:r>
      <w:r>
        <w:fldChar w:fldCharType="end"/>
      </w:r>
      <w:r>
        <w:fldChar w:fldCharType="begin"/>
      </w:r>
      <w:r w:rsidRPr="00031D66">
        <w:rPr>
          <w:lang w:val="en-US"/>
        </w:rPr>
        <w:instrText>HYPERLINK "https://psychiatryonline.org/doi/full/10.1176/appi.books.9780890425787.x04_Depressive_Disorders" \h</w:instrText>
      </w:r>
      <w:r>
        <w:fldChar w:fldCharType="separate"/>
      </w:r>
      <w:r w:rsidRPr="00031D66">
        <w:rPr>
          <w:color w:val="212121"/>
          <w:lang w:val="en-US"/>
        </w:rPr>
        <w:t>v</w:t>
      </w:r>
      <w:r>
        <w:fldChar w:fldCharType="end"/>
      </w:r>
      <w:r>
        <w:fldChar w:fldCharType="begin"/>
      </w:r>
      <w:r w:rsidRPr="00031D66">
        <w:rPr>
          <w:lang w:val="en-US"/>
        </w:rPr>
        <w:instrText>HYPERLINK "https://psychiatryonline.org/doi/full/10.1176/appi.books.9780890425787.x04_Depressive_Disorders" \h</w:instrText>
      </w:r>
      <w:r>
        <w:fldChar w:fldCharType="separate"/>
      </w:r>
      <w:r w:rsidRPr="00031D66">
        <w:rPr>
          <w:color w:val="212121"/>
          <w:u w:val="single"/>
          <w:lang w:val="en-US"/>
        </w:rPr>
        <w:t>e_Disorders</w:t>
      </w:r>
      <w:r>
        <w:fldChar w:fldCharType="end"/>
      </w:r>
    </w:p>
    <w:p w14:paraId="3D3C2951" w14:textId="77777777" w:rsidR="00D434FF" w:rsidRPr="002E6E0F" w:rsidRDefault="005D106E">
      <w:pPr>
        <w:jc w:val="both"/>
        <w:rPr>
          <w:lang w:val="en-US"/>
        </w:rPr>
      </w:pPr>
      <w:r w:rsidRPr="00031D66">
        <w:rPr>
          <w:lang w:val="es-AR"/>
        </w:rPr>
        <w:t xml:space="preserve">Arias-de la Torre </w:t>
      </w:r>
      <w:r w:rsidRPr="00031D66">
        <w:rPr>
          <w:i/>
          <w:lang w:val="es-AR"/>
        </w:rPr>
        <w:t>et al</w:t>
      </w:r>
      <w:r w:rsidRPr="00031D66">
        <w:rPr>
          <w:lang w:val="es-AR"/>
        </w:rPr>
        <w:t xml:space="preserve">. </w:t>
      </w:r>
      <w:r w:rsidRPr="002E6E0F">
        <w:rPr>
          <w:lang w:val="en-US"/>
        </w:rPr>
        <w:t>(2021). Prevalence and variability of current depressive disorder in 27</w:t>
      </w:r>
    </w:p>
    <w:p w14:paraId="4809E39D" w14:textId="77777777" w:rsidR="00D434FF" w:rsidRPr="007E4DFC" w:rsidRDefault="005D106E">
      <w:pPr>
        <w:ind w:left="850"/>
        <w:jc w:val="both"/>
        <w:rPr>
          <w:color w:val="212121"/>
        </w:rPr>
      </w:pPr>
      <w:r w:rsidRPr="002E6E0F">
        <w:rPr>
          <w:lang w:val="en-US"/>
        </w:rPr>
        <w:t xml:space="preserve">European countries: a population-based study. </w:t>
      </w:r>
      <w:r w:rsidRPr="002E6E0F">
        <w:rPr>
          <w:i/>
          <w:lang w:val="en-US"/>
        </w:rPr>
        <w:t>The Lancet. Public health</w:t>
      </w:r>
      <w:r w:rsidRPr="002E6E0F">
        <w:rPr>
          <w:lang w:val="en-US"/>
        </w:rPr>
        <w:t xml:space="preserve">, </w:t>
      </w:r>
      <w:r w:rsidRPr="002E6E0F">
        <w:rPr>
          <w:i/>
          <w:lang w:val="en-US"/>
        </w:rPr>
        <w:t>6</w:t>
      </w:r>
      <w:r w:rsidRPr="002E6E0F">
        <w:rPr>
          <w:lang w:val="en-US"/>
        </w:rPr>
        <w:t xml:space="preserve">(10), e729–e738. </w:t>
      </w:r>
      <w:hyperlink r:id="rId21">
        <w:r w:rsidRPr="007E4DFC">
          <w:rPr>
            <w:color w:val="1155CC"/>
            <w:u w:val="single"/>
          </w:rPr>
          <w:t>https://doi.org/10.1016/S2468-2667(21)00047-5</w:t>
        </w:r>
      </w:hyperlink>
    </w:p>
    <w:p w14:paraId="3E6DDA0C" w14:textId="77777777" w:rsidR="00D434FF" w:rsidRPr="002E6E0F" w:rsidRDefault="005D106E" w:rsidP="00F80773">
      <w:pPr>
        <w:ind w:left="851" w:hanging="851"/>
        <w:jc w:val="both"/>
        <w:rPr>
          <w:color w:val="212121"/>
          <w:lang w:val="en-US"/>
        </w:rPr>
      </w:pPr>
      <w:r w:rsidRPr="00031D66">
        <w:rPr>
          <w:lang w:val="es-AR"/>
        </w:rPr>
        <w:t xml:space="preserve">Bailey, R. K., Mokonogho, J., &amp; Kumar, A. (2019). </w:t>
      </w:r>
      <w:r w:rsidRPr="002E6E0F">
        <w:rPr>
          <w:lang w:val="en-US"/>
        </w:rPr>
        <w:t xml:space="preserve">Racial and ethnic differences in depression: current perspectives. </w:t>
      </w:r>
      <w:r w:rsidRPr="002E6E0F">
        <w:rPr>
          <w:i/>
          <w:lang w:val="en-US"/>
        </w:rPr>
        <w:t>Neuropsychiatric disease and treatment</w:t>
      </w:r>
      <w:r w:rsidRPr="002E6E0F">
        <w:rPr>
          <w:lang w:val="en-US"/>
        </w:rPr>
        <w:t xml:space="preserve">, </w:t>
      </w:r>
      <w:r w:rsidRPr="002E6E0F">
        <w:rPr>
          <w:i/>
          <w:lang w:val="en-US"/>
        </w:rPr>
        <w:t>15</w:t>
      </w:r>
      <w:r w:rsidRPr="002E6E0F">
        <w:rPr>
          <w:lang w:val="en-US"/>
        </w:rPr>
        <w:t xml:space="preserve">, 603–609. </w:t>
      </w:r>
      <w:r>
        <w:fldChar w:fldCharType="begin"/>
      </w:r>
      <w:r w:rsidRPr="00031D66">
        <w:rPr>
          <w:lang w:val="es-AR"/>
        </w:rPr>
        <w:instrText>HYPERLINK "https://doi.org/10.2147/NDT.S128584" \h</w:instrText>
      </w:r>
      <w:r>
        <w:fldChar w:fldCharType="separate"/>
      </w:r>
      <w:r w:rsidRPr="002E6E0F">
        <w:rPr>
          <w:color w:val="1155CC"/>
          <w:u w:val="single"/>
          <w:lang w:val="en-US"/>
        </w:rPr>
        <w:t>https://doi.org/10.2147/NDT.S128584</w:t>
      </w:r>
      <w:r>
        <w:fldChar w:fldCharType="end"/>
      </w:r>
    </w:p>
    <w:p w14:paraId="1752DA4D" w14:textId="77777777" w:rsidR="00D434FF" w:rsidRPr="002E6E0F" w:rsidRDefault="005D106E">
      <w:pPr>
        <w:jc w:val="both"/>
        <w:rPr>
          <w:color w:val="212121"/>
          <w:lang w:val="en-US"/>
        </w:rPr>
      </w:pPr>
      <w:r w:rsidRPr="002E6E0F">
        <w:rPr>
          <w:color w:val="212121"/>
          <w:lang w:val="en-US"/>
        </w:rPr>
        <w:t xml:space="preserve">Barba </w:t>
      </w:r>
      <w:r w:rsidRPr="002E6E0F">
        <w:rPr>
          <w:i/>
          <w:color w:val="212121"/>
          <w:lang w:val="en-US"/>
        </w:rPr>
        <w:t>et al</w:t>
      </w:r>
      <w:r w:rsidRPr="002E6E0F">
        <w:rPr>
          <w:color w:val="212121"/>
          <w:lang w:val="en-US"/>
        </w:rPr>
        <w:t>. (2022). Effects of psilocybin versus escitalopram on rumination and thought</w:t>
      </w:r>
    </w:p>
    <w:p w14:paraId="608D6A94" w14:textId="77777777" w:rsidR="00D434FF" w:rsidRPr="007E4DFC" w:rsidRDefault="005D106E">
      <w:pPr>
        <w:ind w:left="850"/>
        <w:jc w:val="both"/>
        <w:rPr>
          <w:color w:val="212121"/>
        </w:rPr>
      </w:pPr>
      <w:r w:rsidRPr="002E6E0F">
        <w:rPr>
          <w:color w:val="212121"/>
          <w:lang w:val="en-US"/>
        </w:rPr>
        <w:t xml:space="preserve">suppression in depression. </w:t>
      </w:r>
      <w:proofErr w:type="spellStart"/>
      <w:r w:rsidRPr="002E6E0F">
        <w:rPr>
          <w:i/>
          <w:color w:val="212121"/>
          <w:lang w:val="en-US"/>
        </w:rPr>
        <w:t>BJPsych</w:t>
      </w:r>
      <w:proofErr w:type="spellEnd"/>
      <w:r w:rsidRPr="002E6E0F">
        <w:rPr>
          <w:i/>
          <w:color w:val="212121"/>
          <w:lang w:val="en-US"/>
        </w:rPr>
        <w:t xml:space="preserve"> Open</w:t>
      </w:r>
      <w:r w:rsidRPr="002E6E0F">
        <w:rPr>
          <w:color w:val="212121"/>
          <w:lang w:val="en-US"/>
        </w:rPr>
        <w:t xml:space="preserve">, 8(5), e163. </w:t>
      </w:r>
      <w:hyperlink r:id="rId22">
        <w:r w:rsidRPr="007E4DFC">
          <w:rPr>
            <w:color w:val="212121"/>
            <w:u w:val="single"/>
          </w:rPr>
          <w:t>https://doi.org/10.1192/BJO.2022.565</w:t>
        </w:r>
      </w:hyperlink>
    </w:p>
    <w:p w14:paraId="2C3E88DB" w14:textId="77777777" w:rsidR="00D434FF" w:rsidRPr="002E6E0F" w:rsidRDefault="005D106E">
      <w:pPr>
        <w:widowControl w:val="0"/>
        <w:jc w:val="both"/>
        <w:rPr>
          <w:color w:val="212121"/>
          <w:lang w:val="en-US"/>
        </w:rPr>
      </w:pPr>
      <w:r w:rsidRPr="007E4DFC">
        <w:rPr>
          <w:color w:val="212121"/>
        </w:rPr>
        <w:t xml:space="preserve">Beck, J. S. (2013). </w:t>
      </w:r>
      <w:r w:rsidRPr="007E4DFC">
        <w:rPr>
          <w:i/>
          <w:color w:val="212121"/>
        </w:rPr>
        <w:t>Terapia Cognitiva-Comportamental: teoria e prática.</w:t>
      </w:r>
      <w:r w:rsidRPr="007E4DFC">
        <w:rPr>
          <w:color w:val="212121"/>
        </w:rPr>
        <w:t xml:space="preserve"> </w:t>
      </w:r>
      <w:r w:rsidRPr="002E6E0F">
        <w:rPr>
          <w:color w:val="212121"/>
          <w:lang w:val="en-US"/>
        </w:rPr>
        <w:t>2ª Ed. Porto Alegre.</w:t>
      </w:r>
    </w:p>
    <w:p w14:paraId="76151245" w14:textId="77777777" w:rsidR="00D434FF" w:rsidRPr="002E6E0F" w:rsidRDefault="005D106E">
      <w:pPr>
        <w:widowControl w:val="0"/>
        <w:ind w:firstLine="850"/>
        <w:jc w:val="both"/>
        <w:rPr>
          <w:color w:val="212121"/>
          <w:lang w:val="en-US"/>
        </w:rPr>
      </w:pPr>
      <w:proofErr w:type="spellStart"/>
      <w:r w:rsidRPr="002E6E0F">
        <w:rPr>
          <w:color w:val="212121"/>
          <w:lang w:val="en-US"/>
        </w:rPr>
        <w:t>Artmed</w:t>
      </w:r>
      <w:proofErr w:type="spellEnd"/>
      <w:r w:rsidRPr="002E6E0F">
        <w:rPr>
          <w:color w:val="212121"/>
          <w:lang w:val="en-US"/>
        </w:rPr>
        <w:t>. 413 p.</w:t>
      </w:r>
    </w:p>
    <w:p w14:paraId="216AE3AB" w14:textId="77777777" w:rsidR="00D434FF" w:rsidRPr="002E6E0F" w:rsidRDefault="005D106E">
      <w:pPr>
        <w:jc w:val="both"/>
        <w:rPr>
          <w:color w:val="212121"/>
          <w:lang w:val="en-US"/>
        </w:rPr>
      </w:pPr>
      <w:r w:rsidRPr="002E6E0F">
        <w:rPr>
          <w:color w:val="212121"/>
          <w:lang w:val="en-US"/>
        </w:rPr>
        <w:t xml:space="preserve">Bockting </w:t>
      </w:r>
      <w:r w:rsidRPr="002E6E0F">
        <w:rPr>
          <w:i/>
          <w:color w:val="212121"/>
          <w:lang w:val="en-US"/>
        </w:rPr>
        <w:t>et al.</w:t>
      </w:r>
      <w:r w:rsidRPr="002E6E0F">
        <w:rPr>
          <w:color w:val="212121"/>
          <w:lang w:val="en-US"/>
        </w:rPr>
        <w:t xml:space="preserve"> (2008). Continuation and Maintenance Use of Antidepressants in Recurrent</w:t>
      </w:r>
    </w:p>
    <w:p w14:paraId="1CACE1AD" w14:textId="77777777" w:rsidR="00D434FF" w:rsidRPr="002E6E0F" w:rsidRDefault="005D106E">
      <w:pPr>
        <w:ind w:left="850"/>
        <w:jc w:val="both"/>
        <w:rPr>
          <w:color w:val="212121"/>
          <w:lang w:val="en-US"/>
        </w:rPr>
      </w:pPr>
      <w:r w:rsidRPr="002E6E0F">
        <w:rPr>
          <w:color w:val="212121"/>
          <w:lang w:val="en-US"/>
        </w:rPr>
        <w:t xml:space="preserve">Depression. </w:t>
      </w:r>
      <w:r w:rsidRPr="002E6E0F">
        <w:rPr>
          <w:i/>
          <w:color w:val="212121"/>
          <w:lang w:val="en-US"/>
        </w:rPr>
        <w:t>Psychotherapy and Psychosomatics</w:t>
      </w:r>
      <w:r w:rsidRPr="002E6E0F">
        <w:rPr>
          <w:color w:val="212121"/>
          <w:lang w:val="en-US"/>
        </w:rPr>
        <w:t xml:space="preserve">, 77(1), 17–26. </w:t>
      </w:r>
      <w:hyperlink r:id="rId23">
        <w:r w:rsidRPr="002E6E0F">
          <w:rPr>
            <w:color w:val="212121"/>
            <w:u w:val="single"/>
            <w:lang w:val="en-US"/>
          </w:rPr>
          <w:t>https://doi.org/10.1159/000110056</w:t>
        </w:r>
      </w:hyperlink>
    </w:p>
    <w:p w14:paraId="2F5A796C" w14:textId="77777777" w:rsidR="00D434FF" w:rsidRPr="002E6E0F" w:rsidRDefault="005D106E">
      <w:pPr>
        <w:widowControl w:val="0"/>
        <w:ind w:left="850" w:hanging="850"/>
        <w:jc w:val="both"/>
        <w:rPr>
          <w:color w:val="212121"/>
          <w:lang w:val="en-US"/>
        </w:rPr>
      </w:pPr>
      <w:r w:rsidRPr="002E6E0F">
        <w:rPr>
          <w:color w:val="212121"/>
          <w:lang w:val="en-US"/>
        </w:rPr>
        <w:t xml:space="preserve">Bogenschutz </w:t>
      </w:r>
      <w:r w:rsidRPr="002E6E0F">
        <w:rPr>
          <w:i/>
          <w:color w:val="212121"/>
          <w:lang w:val="en-US"/>
        </w:rPr>
        <w:t>et al.</w:t>
      </w:r>
      <w:r w:rsidRPr="002E6E0F">
        <w:rPr>
          <w:color w:val="212121"/>
          <w:lang w:val="en-US"/>
        </w:rPr>
        <w:t xml:space="preserve"> (2015). Psilocybin-assisted treatment for alcohol dependence: A proof-of-concept study. </w:t>
      </w:r>
      <w:r w:rsidRPr="002E6E0F">
        <w:rPr>
          <w:i/>
          <w:color w:val="212121"/>
          <w:lang w:val="en-US"/>
        </w:rPr>
        <w:t>Http://Dx.Doi.Org/10.1177/0269881114565144</w:t>
      </w:r>
      <w:r w:rsidRPr="002E6E0F">
        <w:rPr>
          <w:color w:val="212121"/>
          <w:lang w:val="en-US"/>
        </w:rPr>
        <w:t xml:space="preserve">, 29(3), 289–299. </w:t>
      </w:r>
      <w:hyperlink r:id="rId24">
        <w:r w:rsidRPr="002E6E0F">
          <w:rPr>
            <w:color w:val="212121"/>
            <w:u w:val="single"/>
            <w:lang w:val="en-US"/>
          </w:rPr>
          <w:t>https://doi.org/10.1177/0269881114565144</w:t>
        </w:r>
      </w:hyperlink>
    </w:p>
    <w:p w14:paraId="3CF0FA54" w14:textId="77777777" w:rsidR="00D434FF" w:rsidRPr="007E4DFC" w:rsidRDefault="005D106E">
      <w:pPr>
        <w:ind w:left="850" w:hanging="850"/>
        <w:jc w:val="both"/>
        <w:rPr>
          <w:color w:val="212121"/>
        </w:rPr>
      </w:pPr>
      <w:r w:rsidRPr="002E6E0F">
        <w:rPr>
          <w:color w:val="212121"/>
          <w:lang w:val="en-US"/>
        </w:rPr>
        <w:t xml:space="preserve">Brito </w:t>
      </w:r>
      <w:r w:rsidRPr="002E6E0F">
        <w:rPr>
          <w:i/>
          <w:color w:val="212121"/>
          <w:lang w:val="en-US"/>
        </w:rPr>
        <w:t>et al</w:t>
      </w:r>
      <w:r w:rsidRPr="002E6E0F">
        <w:rPr>
          <w:color w:val="212121"/>
          <w:lang w:val="en-US"/>
        </w:rPr>
        <w:t xml:space="preserve">. </w:t>
      </w:r>
      <w:r w:rsidRPr="007E4DFC">
        <w:rPr>
          <w:color w:val="212121"/>
        </w:rPr>
        <w:t xml:space="preserve">(2016). Dimensionamento de amostras e o mito dos números mágicos: ponto de vista. </w:t>
      </w:r>
      <w:r w:rsidRPr="007E4DFC">
        <w:rPr>
          <w:i/>
          <w:color w:val="212121"/>
        </w:rPr>
        <w:t>Revista Andaluza de Medicina Del Deporte</w:t>
      </w:r>
      <w:r w:rsidRPr="007E4DFC">
        <w:rPr>
          <w:color w:val="212121"/>
        </w:rPr>
        <w:t xml:space="preserve">, 9(1), 29–31. </w:t>
      </w:r>
      <w:hyperlink r:id="rId25">
        <w:r w:rsidRPr="007E4DFC">
          <w:rPr>
            <w:color w:val="212121"/>
            <w:u w:val="single"/>
          </w:rPr>
          <w:t>https://doi.org/10.1016/J.RAMD.2015.02.007</w:t>
        </w:r>
      </w:hyperlink>
    </w:p>
    <w:p w14:paraId="03C0370B" w14:textId="77777777" w:rsidR="00D434FF" w:rsidRPr="007E4DFC" w:rsidRDefault="005D106E">
      <w:pPr>
        <w:ind w:left="850" w:hanging="850"/>
        <w:jc w:val="both"/>
        <w:rPr>
          <w:color w:val="212121"/>
        </w:rPr>
      </w:pPr>
      <w:r w:rsidRPr="007E4DFC">
        <w:rPr>
          <w:color w:val="212121"/>
        </w:rPr>
        <w:t xml:space="preserve">C. E. Vasconcelos, B. (2016). O cegamento na pesquisa científica. </w:t>
      </w:r>
      <w:r w:rsidRPr="007E4DFC">
        <w:rPr>
          <w:i/>
          <w:color w:val="212121"/>
        </w:rPr>
        <w:t>Revista de Cirurgia e Traumatologia Buco-Maxilo-Facial</w:t>
      </w:r>
      <w:r w:rsidRPr="007E4DFC">
        <w:rPr>
          <w:color w:val="212121"/>
        </w:rPr>
        <w:t xml:space="preserve">, 16(1), 5–5.  </w:t>
      </w:r>
      <w:hyperlink r:id="rId26">
        <w:r w:rsidRPr="007E4DFC">
          <w:rPr>
            <w:color w:val="212121"/>
            <w:u w:val="single"/>
          </w:rPr>
          <w:t>http://revodonto.bvsalud.org/scielo.php?script=sci_arttext&amp;pid=S1808-52102016000100001&amp;lng=pt&amp;nrm=iso&amp;tlng=pt</w:t>
        </w:r>
      </w:hyperlink>
    </w:p>
    <w:p w14:paraId="000C6243" w14:textId="77777777" w:rsidR="00D434FF" w:rsidRPr="007E4DFC" w:rsidRDefault="005D106E">
      <w:pPr>
        <w:ind w:left="850" w:hanging="850"/>
        <w:jc w:val="both"/>
        <w:rPr>
          <w:color w:val="212121"/>
        </w:rPr>
      </w:pPr>
      <w:r w:rsidRPr="007E4DFC">
        <w:t xml:space="preserve">Cardoso, L. R. D. (2017). Psicoterapias comportamentais no tratamento da depressão. </w:t>
      </w:r>
      <w:r w:rsidRPr="007E4DFC">
        <w:rPr>
          <w:i/>
        </w:rPr>
        <w:t>Psicologia Argumento</w:t>
      </w:r>
      <w:r w:rsidRPr="007E4DFC">
        <w:t xml:space="preserve">, </w:t>
      </w:r>
      <w:r w:rsidRPr="007E4DFC">
        <w:rPr>
          <w:i/>
        </w:rPr>
        <w:t>29</w:t>
      </w:r>
      <w:r w:rsidRPr="007E4DFC">
        <w:t>(67). Recuperado de https://periodicos.pucpr.br/psicologiaargumento/article/view/20359</w:t>
      </w:r>
    </w:p>
    <w:p w14:paraId="76225FD4" w14:textId="77777777" w:rsidR="00D434FF" w:rsidRPr="002E6E0F" w:rsidRDefault="005D106E">
      <w:pPr>
        <w:ind w:left="850" w:hanging="850"/>
        <w:jc w:val="both"/>
        <w:rPr>
          <w:color w:val="212121"/>
          <w:lang w:val="en-US"/>
        </w:rPr>
      </w:pPr>
      <w:r w:rsidRPr="002E6E0F">
        <w:rPr>
          <w:color w:val="212121"/>
          <w:lang w:val="en-US"/>
        </w:rPr>
        <w:t xml:space="preserve">Carek, P. J., </w:t>
      </w:r>
      <w:proofErr w:type="spellStart"/>
      <w:r w:rsidRPr="002E6E0F">
        <w:rPr>
          <w:color w:val="212121"/>
          <w:lang w:val="en-US"/>
        </w:rPr>
        <w:t>Laibstain</w:t>
      </w:r>
      <w:proofErr w:type="spellEnd"/>
      <w:r w:rsidRPr="002E6E0F">
        <w:rPr>
          <w:color w:val="212121"/>
          <w:lang w:val="en-US"/>
        </w:rPr>
        <w:t xml:space="preserve">, S. E., &amp; Carek, S. M. (2011). Exercise for the Treatment of Depression and Anxiety. </w:t>
      </w:r>
      <w:r w:rsidRPr="002E6E0F">
        <w:rPr>
          <w:i/>
          <w:color w:val="212121"/>
          <w:lang w:val="en-US"/>
        </w:rPr>
        <w:t>Https://Doi.Org/10.2190/PM.41.1.c</w:t>
      </w:r>
      <w:r w:rsidRPr="002E6E0F">
        <w:rPr>
          <w:color w:val="212121"/>
          <w:lang w:val="en-US"/>
        </w:rPr>
        <w:t xml:space="preserve">, 41(1), 15–28. </w:t>
      </w:r>
      <w:r>
        <w:fldChar w:fldCharType="begin"/>
      </w:r>
      <w:r w:rsidRPr="00031D66">
        <w:rPr>
          <w:lang w:val="en-US"/>
        </w:rPr>
        <w:instrText>HYPERLINK "https://doi.org/10.2190/PM.41.1.C" \h</w:instrText>
      </w:r>
      <w:r>
        <w:fldChar w:fldCharType="separate"/>
      </w:r>
      <w:r w:rsidRPr="002E6E0F">
        <w:rPr>
          <w:color w:val="212121"/>
          <w:u w:val="single"/>
          <w:lang w:val="en-US"/>
        </w:rPr>
        <w:t>https://doi.org/10.2190/PM.41.1.C</w:t>
      </w:r>
      <w:r>
        <w:fldChar w:fldCharType="end"/>
      </w:r>
    </w:p>
    <w:p w14:paraId="1FC350C3" w14:textId="77777777" w:rsidR="00D434FF" w:rsidRPr="008C3A18" w:rsidRDefault="005D106E">
      <w:pPr>
        <w:widowControl w:val="0"/>
        <w:jc w:val="both"/>
        <w:rPr>
          <w:color w:val="212121"/>
          <w:lang w:val="en-US"/>
        </w:rPr>
      </w:pPr>
      <w:r w:rsidRPr="002E6E0F">
        <w:rPr>
          <w:color w:val="212121"/>
          <w:lang w:val="en-US"/>
        </w:rPr>
        <w:t xml:space="preserve">Carhart-Harris, R. L., &amp; Goodwin, G. M. (2017). </w:t>
      </w:r>
      <w:r w:rsidRPr="008C3A18">
        <w:rPr>
          <w:color w:val="212121"/>
          <w:lang w:val="en-US"/>
        </w:rPr>
        <w:t>The Therapeutic Potential of Psychedelic</w:t>
      </w:r>
    </w:p>
    <w:p w14:paraId="22FE1CFD" w14:textId="77777777" w:rsidR="00D434FF" w:rsidRPr="002E6E0F" w:rsidRDefault="005D106E">
      <w:pPr>
        <w:widowControl w:val="0"/>
        <w:ind w:left="850"/>
        <w:jc w:val="both"/>
        <w:rPr>
          <w:color w:val="212121"/>
          <w:lang w:val="en-US"/>
        </w:rPr>
      </w:pPr>
      <w:r w:rsidRPr="002E6E0F">
        <w:rPr>
          <w:color w:val="212121"/>
          <w:lang w:val="en-US"/>
        </w:rPr>
        <w:t xml:space="preserve">Drugs: Past, Present, and Future. </w:t>
      </w:r>
      <w:r w:rsidRPr="002E6E0F">
        <w:rPr>
          <w:i/>
          <w:color w:val="212121"/>
          <w:lang w:val="en-US"/>
        </w:rPr>
        <w:t>Neuropsychopharmacology 2017 42:11</w:t>
      </w:r>
      <w:r w:rsidRPr="002E6E0F">
        <w:rPr>
          <w:color w:val="212121"/>
          <w:lang w:val="en-US"/>
        </w:rPr>
        <w:t>, 42(11), 2105–2113.</w:t>
      </w:r>
      <w:hyperlink r:id="rId27">
        <w:r w:rsidRPr="002E6E0F">
          <w:rPr>
            <w:color w:val="212121"/>
            <w:u w:val="single"/>
            <w:lang w:val="en-US"/>
          </w:rPr>
          <w:t>https://doi.org/10.1038/npp.2017.84</w:t>
        </w:r>
      </w:hyperlink>
    </w:p>
    <w:p w14:paraId="09AAC8B7" w14:textId="77777777" w:rsidR="00D434FF" w:rsidRPr="002E6E0F" w:rsidRDefault="005D106E">
      <w:pPr>
        <w:jc w:val="both"/>
        <w:rPr>
          <w:color w:val="212121"/>
          <w:lang w:val="en-US"/>
        </w:rPr>
      </w:pPr>
      <w:r w:rsidRPr="002E6E0F">
        <w:rPr>
          <w:color w:val="212121"/>
          <w:lang w:val="en-US"/>
        </w:rPr>
        <w:t>Carhart-</w:t>
      </w:r>
      <w:proofErr w:type="gramStart"/>
      <w:r w:rsidRPr="002E6E0F">
        <w:rPr>
          <w:color w:val="212121"/>
          <w:lang w:val="en-US"/>
        </w:rPr>
        <w:t xml:space="preserve">Harris  </w:t>
      </w:r>
      <w:r w:rsidRPr="002E6E0F">
        <w:rPr>
          <w:i/>
          <w:color w:val="212121"/>
          <w:lang w:val="en-US"/>
        </w:rPr>
        <w:t>et al.</w:t>
      </w:r>
      <w:proofErr w:type="gramEnd"/>
      <w:r w:rsidRPr="002E6E0F">
        <w:rPr>
          <w:color w:val="212121"/>
          <w:lang w:val="en-US"/>
        </w:rPr>
        <w:t xml:space="preserve"> (2018). Psilocybin with psychological support for treatment-resistant</w:t>
      </w:r>
    </w:p>
    <w:p w14:paraId="77E2CDCC" w14:textId="77777777" w:rsidR="00D434FF" w:rsidRPr="002E6E0F" w:rsidRDefault="005D106E">
      <w:pPr>
        <w:ind w:left="850"/>
        <w:jc w:val="both"/>
        <w:rPr>
          <w:color w:val="212121"/>
          <w:lang w:val="en-US"/>
        </w:rPr>
      </w:pPr>
      <w:r w:rsidRPr="002E6E0F">
        <w:rPr>
          <w:color w:val="212121"/>
          <w:lang w:val="en-US"/>
        </w:rPr>
        <w:t xml:space="preserve">depression: six-month follow-up. </w:t>
      </w:r>
      <w:r w:rsidRPr="002E6E0F">
        <w:rPr>
          <w:i/>
          <w:color w:val="212121"/>
          <w:lang w:val="en-US"/>
        </w:rPr>
        <w:t>Psychopharmacology</w:t>
      </w:r>
      <w:r w:rsidRPr="002E6E0F">
        <w:rPr>
          <w:color w:val="212121"/>
          <w:lang w:val="en-US"/>
        </w:rPr>
        <w:t>, 235(2), 399–408.</w:t>
      </w:r>
    </w:p>
    <w:p w14:paraId="52FE0996" w14:textId="77777777" w:rsidR="00D434FF" w:rsidRPr="002E6E0F" w:rsidRDefault="005D106E">
      <w:pPr>
        <w:ind w:left="850"/>
        <w:jc w:val="both"/>
        <w:rPr>
          <w:color w:val="212121"/>
          <w:lang w:val="en-US"/>
        </w:rPr>
      </w:pPr>
      <w:hyperlink r:id="rId28">
        <w:r w:rsidRPr="002E6E0F">
          <w:rPr>
            <w:color w:val="1155CC"/>
            <w:u w:val="single"/>
            <w:lang w:val="en-US"/>
          </w:rPr>
          <w:t>https://doi.org/10.1007/s00213-017-4771-x</w:t>
        </w:r>
      </w:hyperlink>
    </w:p>
    <w:p w14:paraId="76C2B0B5" w14:textId="77777777" w:rsidR="00D434FF" w:rsidRPr="002E6E0F" w:rsidRDefault="005D106E">
      <w:pPr>
        <w:jc w:val="both"/>
        <w:rPr>
          <w:i/>
          <w:color w:val="212121"/>
          <w:lang w:val="en-US"/>
        </w:rPr>
      </w:pPr>
      <w:r w:rsidRPr="002E6E0F">
        <w:rPr>
          <w:color w:val="212121"/>
          <w:lang w:val="en-US"/>
        </w:rPr>
        <w:t xml:space="preserve">Carhart-Harris </w:t>
      </w:r>
      <w:r w:rsidRPr="002E6E0F">
        <w:rPr>
          <w:i/>
          <w:color w:val="212121"/>
          <w:lang w:val="en-US"/>
        </w:rPr>
        <w:t>et al.</w:t>
      </w:r>
      <w:r w:rsidRPr="002E6E0F">
        <w:rPr>
          <w:color w:val="212121"/>
          <w:lang w:val="en-US"/>
        </w:rPr>
        <w:t xml:space="preserve"> (2021). Trial of Psilocybin versus Escitalopram for Depression. </w:t>
      </w:r>
      <w:r w:rsidRPr="002E6E0F">
        <w:rPr>
          <w:i/>
          <w:color w:val="212121"/>
          <w:lang w:val="en-US"/>
        </w:rPr>
        <w:t>New</w:t>
      </w:r>
    </w:p>
    <w:p w14:paraId="2601FB34" w14:textId="77777777" w:rsidR="00D434FF" w:rsidRPr="002E6E0F" w:rsidRDefault="005D106E">
      <w:pPr>
        <w:ind w:left="850"/>
        <w:jc w:val="both"/>
        <w:rPr>
          <w:color w:val="212121"/>
          <w:lang w:val="en-US"/>
        </w:rPr>
      </w:pPr>
      <w:r w:rsidRPr="002E6E0F">
        <w:rPr>
          <w:i/>
          <w:color w:val="212121"/>
          <w:lang w:val="en-US"/>
        </w:rPr>
        <w:t>England Journal of Medicine</w:t>
      </w:r>
      <w:r w:rsidRPr="002E6E0F">
        <w:rPr>
          <w:color w:val="212121"/>
          <w:lang w:val="en-US"/>
        </w:rPr>
        <w:t xml:space="preserve">, 384(15), 1402–1411. </w:t>
      </w:r>
      <w:hyperlink r:id="rId29">
        <w:r w:rsidRPr="002E6E0F">
          <w:rPr>
            <w:color w:val="1155CC"/>
            <w:u w:val="single"/>
            <w:lang w:val="en-US"/>
          </w:rPr>
          <w:t>https://doi.org/10.1056/nejmoa2032994</w:t>
        </w:r>
      </w:hyperlink>
    </w:p>
    <w:p w14:paraId="350EBFA6" w14:textId="77777777" w:rsidR="00D434FF" w:rsidRPr="002E6E0F" w:rsidRDefault="005D106E">
      <w:pPr>
        <w:widowControl w:val="0"/>
        <w:ind w:left="850" w:hanging="850"/>
        <w:jc w:val="both"/>
        <w:rPr>
          <w:color w:val="212121"/>
          <w:lang w:val="en-US"/>
        </w:rPr>
      </w:pPr>
      <w:r w:rsidRPr="002E6E0F">
        <w:rPr>
          <w:color w:val="212121"/>
          <w:lang w:val="en-US"/>
        </w:rPr>
        <w:t xml:space="preserve">Castro Santos, H., &amp; Gama Marques, J. (2021). What is the clinical evidence on psilocybin for the treatment of psychiatric disorders? A systematic review. </w:t>
      </w:r>
      <w:r w:rsidRPr="002E6E0F">
        <w:rPr>
          <w:i/>
          <w:color w:val="212121"/>
          <w:lang w:val="en-US"/>
        </w:rPr>
        <w:t>Porto Biomedical Journal</w:t>
      </w:r>
      <w:r w:rsidRPr="002E6E0F">
        <w:rPr>
          <w:color w:val="212121"/>
          <w:lang w:val="en-US"/>
        </w:rPr>
        <w:t xml:space="preserve">, 6(1), e128. </w:t>
      </w:r>
      <w:hyperlink r:id="rId30">
        <w:r w:rsidRPr="002E6E0F">
          <w:rPr>
            <w:color w:val="212121"/>
            <w:u w:val="single"/>
            <w:lang w:val="en-US"/>
          </w:rPr>
          <w:t>https://doi.org/10.1097/J.PBJ.0000000000000128</w:t>
        </w:r>
      </w:hyperlink>
    </w:p>
    <w:p w14:paraId="11DB2145" w14:textId="77777777" w:rsidR="00D434FF" w:rsidRPr="002E6E0F" w:rsidRDefault="005D106E">
      <w:pPr>
        <w:jc w:val="both"/>
        <w:rPr>
          <w:lang w:val="en-US"/>
        </w:rPr>
      </w:pPr>
      <w:r w:rsidRPr="002E6E0F">
        <w:rPr>
          <w:lang w:val="en-US"/>
        </w:rPr>
        <w:t xml:space="preserve">Chisamore </w:t>
      </w:r>
      <w:r w:rsidRPr="002E6E0F">
        <w:rPr>
          <w:i/>
          <w:lang w:val="en-US"/>
        </w:rPr>
        <w:t>et al</w:t>
      </w:r>
      <w:r w:rsidRPr="002E6E0F">
        <w:rPr>
          <w:lang w:val="en-US"/>
        </w:rPr>
        <w:t xml:space="preserve">. (2024). Protocols and practices in psilocybin assisted psychotherapy for </w:t>
      </w:r>
    </w:p>
    <w:p w14:paraId="1E97FF01" w14:textId="77777777" w:rsidR="00D434FF" w:rsidRPr="002E6E0F" w:rsidRDefault="005D106E">
      <w:pPr>
        <w:ind w:left="850"/>
        <w:jc w:val="both"/>
        <w:rPr>
          <w:color w:val="212121"/>
          <w:lang w:val="en-US"/>
        </w:rPr>
      </w:pPr>
      <w:r w:rsidRPr="002E6E0F">
        <w:rPr>
          <w:lang w:val="en-US"/>
        </w:rPr>
        <w:t xml:space="preserve">depression: A systematic review. </w:t>
      </w:r>
      <w:r w:rsidRPr="002E6E0F">
        <w:rPr>
          <w:i/>
          <w:lang w:val="en-US"/>
        </w:rPr>
        <w:t>Journal of Psychiatric Research</w:t>
      </w:r>
      <w:r w:rsidRPr="002E6E0F">
        <w:rPr>
          <w:lang w:val="en-US"/>
        </w:rPr>
        <w:t xml:space="preserve">, </w:t>
      </w:r>
      <w:r w:rsidRPr="002E6E0F">
        <w:rPr>
          <w:i/>
          <w:lang w:val="en-US"/>
        </w:rPr>
        <w:t>176</w:t>
      </w:r>
      <w:r w:rsidRPr="002E6E0F">
        <w:rPr>
          <w:lang w:val="en-US"/>
        </w:rPr>
        <w:t xml:space="preserve">, 77–84. </w:t>
      </w:r>
      <w:r>
        <w:fldChar w:fldCharType="begin"/>
      </w:r>
      <w:r w:rsidRPr="00031D66">
        <w:rPr>
          <w:lang w:val="en-US"/>
        </w:rPr>
        <w:instrText>HYPERLINK "https://doi.org/10.1016/J.JPSYCHIRES.2024.05.051" \h</w:instrText>
      </w:r>
      <w:r>
        <w:fldChar w:fldCharType="separate"/>
      </w:r>
      <w:r w:rsidRPr="002E6E0F">
        <w:rPr>
          <w:color w:val="1155CC"/>
          <w:u w:val="single"/>
          <w:lang w:val="en-US"/>
        </w:rPr>
        <w:t>https://doi.org/10.1016/J.JPSYCHIRES.2024.05.051</w:t>
      </w:r>
      <w:r>
        <w:fldChar w:fldCharType="end"/>
      </w:r>
    </w:p>
    <w:p w14:paraId="481E7FE9" w14:textId="77777777" w:rsidR="00D434FF" w:rsidRPr="002E6E0F" w:rsidRDefault="005D106E">
      <w:pPr>
        <w:widowControl w:val="0"/>
        <w:jc w:val="both"/>
        <w:rPr>
          <w:color w:val="212121"/>
          <w:lang w:val="en-US"/>
        </w:rPr>
      </w:pPr>
      <w:r w:rsidRPr="002E6E0F">
        <w:rPr>
          <w:color w:val="212121"/>
          <w:lang w:val="en-US"/>
        </w:rPr>
        <w:t xml:space="preserve">Davis </w:t>
      </w:r>
      <w:r w:rsidRPr="002E6E0F">
        <w:rPr>
          <w:i/>
          <w:color w:val="212121"/>
          <w:lang w:val="en-US"/>
        </w:rPr>
        <w:t>et al.</w:t>
      </w:r>
      <w:r w:rsidRPr="002E6E0F">
        <w:rPr>
          <w:color w:val="212121"/>
          <w:lang w:val="en-US"/>
        </w:rPr>
        <w:t xml:space="preserve"> (2021). Effects of Psilocybin-Assisted Therapy on Major Depressive Disorder: A</w:t>
      </w:r>
    </w:p>
    <w:p w14:paraId="551DF079" w14:textId="77777777" w:rsidR="00D434FF" w:rsidRPr="002E6E0F" w:rsidRDefault="005D106E">
      <w:pPr>
        <w:widowControl w:val="0"/>
        <w:ind w:firstLine="850"/>
        <w:jc w:val="both"/>
        <w:rPr>
          <w:color w:val="212121"/>
          <w:lang w:val="en-US"/>
        </w:rPr>
      </w:pPr>
      <w:r w:rsidRPr="002E6E0F">
        <w:rPr>
          <w:color w:val="212121"/>
          <w:lang w:val="en-US"/>
        </w:rPr>
        <w:t xml:space="preserve">Randomized Clinical Trial. </w:t>
      </w:r>
      <w:r w:rsidRPr="002E6E0F">
        <w:rPr>
          <w:i/>
          <w:color w:val="212121"/>
          <w:lang w:val="en-US"/>
        </w:rPr>
        <w:t>JAMA Psychiatry</w:t>
      </w:r>
      <w:r w:rsidRPr="002E6E0F">
        <w:rPr>
          <w:color w:val="212121"/>
          <w:lang w:val="en-US"/>
        </w:rPr>
        <w:t>, 78(5), 481–489.</w:t>
      </w:r>
    </w:p>
    <w:p w14:paraId="789F4232" w14:textId="77777777" w:rsidR="00D434FF" w:rsidRPr="002E6E0F" w:rsidRDefault="005D106E">
      <w:pPr>
        <w:widowControl w:val="0"/>
        <w:ind w:firstLine="850"/>
        <w:jc w:val="both"/>
        <w:rPr>
          <w:color w:val="212121"/>
          <w:lang w:val="en-US"/>
        </w:rPr>
      </w:pPr>
      <w:r>
        <w:fldChar w:fldCharType="begin"/>
      </w:r>
      <w:r w:rsidRPr="00031D66">
        <w:rPr>
          <w:lang w:val="en-US"/>
        </w:rPr>
        <w:instrText>HYPERLINK "https://doi.org/10.1001/JAMAPSYCHIATRY.2020.3285" \h</w:instrText>
      </w:r>
      <w:r>
        <w:fldChar w:fldCharType="separate"/>
      </w:r>
      <w:r w:rsidRPr="002E6E0F">
        <w:rPr>
          <w:color w:val="212121"/>
          <w:u w:val="single"/>
          <w:lang w:val="en-US"/>
        </w:rPr>
        <w:t>https://doi.org/10.1001/JAMAPSYCHIATRY.2020.3285</w:t>
      </w:r>
      <w:r>
        <w:fldChar w:fldCharType="end"/>
      </w:r>
    </w:p>
    <w:p w14:paraId="10BB7C1E" w14:textId="77777777" w:rsidR="00D434FF" w:rsidRPr="002E6E0F" w:rsidRDefault="005D106E">
      <w:pPr>
        <w:jc w:val="both"/>
        <w:rPr>
          <w:color w:val="212121"/>
          <w:lang w:val="en-US"/>
        </w:rPr>
      </w:pPr>
      <w:r w:rsidRPr="002E6E0F">
        <w:rPr>
          <w:color w:val="212121"/>
          <w:lang w:val="en-US"/>
        </w:rPr>
        <w:t xml:space="preserve">Daws </w:t>
      </w:r>
      <w:r w:rsidRPr="002E6E0F">
        <w:rPr>
          <w:i/>
          <w:color w:val="212121"/>
          <w:lang w:val="en-US"/>
        </w:rPr>
        <w:t xml:space="preserve">et al. </w:t>
      </w:r>
      <w:r w:rsidRPr="002E6E0F">
        <w:rPr>
          <w:color w:val="212121"/>
          <w:lang w:val="en-US"/>
        </w:rPr>
        <w:t>(2022). Increased global integration in the brain after psilocybin therapy for</w:t>
      </w:r>
    </w:p>
    <w:p w14:paraId="0395396F" w14:textId="77777777" w:rsidR="00D434FF" w:rsidRPr="002E6E0F" w:rsidRDefault="005D106E">
      <w:pPr>
        <w:ind w:left="850"/>
        <w:jc w:val="both"/>
        <w:rPr>
          <w:color w:val="212121"/>
          <w:lang w:val="en-US"/>
        </w:rPr>
      </w:pPr>
      <w:r w:rsidRPr="002E6E0F">
        <w:rPr>
          <w:color w:val="212121"/>
          <w:lang w:val="en-US"/>
        </w:rPr>
        <w:t xml:space="preserve">depression. </w:t>
      </w:r>
      <w:r w:rsidRPr="002E6E0F">
        <w:rPr>
          <w:i/>
          <w:color w:val="212121"/>
          <w:lang w:val="en-US"/>
        </w:rPr>
        <w:t>Nat Med</w:t>
      </w:r>
      <w:r w:rsidRPr="002E6E0F">
        <w:rPr>
          <w:color w:val="212121"/>
          <w:lang w:val="en-US"/>
        </w:rPr>
        <w:t xml:space="preserve"> 28, 844–851. </w:t>
      </w:r>
      <w:r>
        <w:fldChar w:fldCharType="begin"/>
      </w:r>
      <w:r w:rsidRPr="00031D66">
        <w:rPr>
          <w:lang w:val="es-AR"/>
        </w:rPr>
        <w:instrText>HYPERLINK "https://doi.org/10.1038/s41591-022-01744-z" \h</w:instrText>
      </w:r>
      <w:r>
        <w:fldChar w:fldCharType="separate"/>
      </w:r>
      <w:r w:rsidRPr="002E6E0F">
        <w:rPr>
          <w:color w:val="1155CC"/>
          <w:u w:val="single"/>
          <w:lang w:val="en-US"/>
        </w:rPr>
        <w:t>https://doi.org/10.1038/s41591-022-01744-z</w:t>
      </w:r>
      <w:r>
        <w:fldChar w:fldCharType="end"/>
      </w:r>
      <w:r w:rsidRPr="002E6E0F">
        <w:rPr>
          <w:color w:val="212121"/>
          <w:lang w:val="en-US"/>
        </w:rPr>
        <w:t xml:space="preserve"> </w:t>
      </w:r>
    </w:p>
    <w:p w14:paraId="0EC90316" w14:textId="77777777" w:rsidR="00D434FF" w:rsidRPr="002E6E0F" w:rsidRDefault="005D106E">
      <w:pPr>
        <w:jc w:val="both"/>
        <w:rPr>
          <w:lang w:val="en-US"/>
        </w:rPr>
      </w:pPr>
      <w:r w:rsidRPr="002E6E0F">
        <w:rPr>
          <w:lang w:val="en-US"/>
        </w:rPr>
        <w:t>Duman, R. S., &amp; Aghajanian, G. K. (2012). Synaptic Dysfunction in Depression: Potential</w:t>
      </w:r>
    </w:p>
    <w:p w14:paraId="50881977" w14:textId="77777777" w:rsidR="00D434FF" w:rsidRPr="002E6E0F" w:rsidRDefault="005D106E">
      <w:pPr>
        <w:ind w:firstLine="850"/>
        <w:jc w:val="both"/>
        <w:rPr>
          <w:lang w:val="en-US"/>
        </w:rPr>
      </w:pPr>
      <w:r w:rsidRPr="002E6E0F">
        <w:rPr>
          <w:lang w:val="en-US"/>
        </w:rPr>
        <w:t xml:space="preserve">Therapeutic Targets. </w:t>
      </w:r>
      <w:r w:rsidRPr="002E6E0F">
        <w:rPr>
          <w:i/>
          <w:lang w:val="en-US"/>
        </w:rPr>
        <w:t>Science</w:t>
      </w:r>
      <w:r w:rsidRPr="002E6E0F">
        <w:rPr>
          <w:lang w:val="en-US"/>
        </w:rPr>
        <w:t xml:space="preserve">, </w:t>
      </w:r>
      <w:r w:rsidRPr="002E6E0F">
        <w:rPr>
          <w:i/>
          <w:lang w:val="en-US"/>
        </w:rPr>
        <w:t>338</w:t>
      </w:r>
      <w:r w:rsidRPr="002E6E0F">
        <w:rPr>
          <w:lang w:val="en-US"/>
        </w:rPr>
        <w:t>(6103), 68–72.</w:t>
      </w:r>
    </w:p>
    <w:p w14:paraId="1045C619" w14:textId="77777777" w:rsidR="00D434FF" w:rsidRPr="002E6E0F" w:rsidRDefault="005D106E">
      <w:pPr>
        <w:ind w:firstLine="850"/>
        <w:jc w:val="both"/>
        <w:rPr>
          <w:color w:val="212121"/>
          <w:lang w:val="en-US"/>
        </w:rPr>
      </w:pPr>
      <w:r>
        <w:fldChar w:fldCharType="begin"/>
      </w:r>
      <w:r w:rsidRPr="00031D66">
        <w:rPr>
          <w:lang w:val="es-AR"/>
        </w:rPr>
        <w:instrText>HYPERLINK "https://doi.org/10.1126/SCIENCE.1222939" \h</w:instrText>
      </w:r>
      <w:r>
        <w:fldChar w:fldCharType="separate"/>
      </w:r>
      <w:r w:rsidRPr="002E6E0F">
        <w:rPr>
          <w:color w:val="1155CC"/>
          <w:u w:val="single"/>
          <w:lang w:val="en-US"/>
        </w:rPr>
        <w:t>https://doi.org/10.1126/SCIENCE.1222939</w:t>
      </w:r>
      <w:r>
        <w:fldChar w:fldCharType="end"/>
      </w:r>
    </w:p>
    <w:p w14:paraId="5FCD54B8" w14:textId="77777777" w:rsidR="00D434FF" w:rsidRPr="002E6E0F" w:rsidRDefault="005D106E">
      <w:pPr>
        <w:jc w:val="both"/>
        <w:rPr>
          <w:i/>
          <w:color w:val="212121"/>
          <w:lang w:val="en-US"/>
        </w:rPr>
      </w:pPr>
      <w:r w:rsidRPr="002E6E0F">
        <w:rPr>
          <w:color w:val="212121"/>
          <w:lang w:val="en-US"/>
        </w:rPr>
        <w:t xml:space="preserve">Dunn </w:t>
      </w:r>
      <w:r w:rsidRPr="002E6E0F">
        <w:rPr>
          <w:i/>
          <w:color w:val="212121"/>
          <w:lang w:val="en-US"/>
        </w:rPr>
        <w:t>et al.</w:t>
      </w:r>
      <w:r w:rsidRPr="002E6E0F">
        <w:rPr>
          <w:color w:val="212121"/>
          <w:lang w:val="en-US"/>
        </w:rPr>
        <w:t xml:space="preserve"> (2005). Exercise treatment for depression: efficacy and dose response. </w:t>
      </w:r>
      <w:r w:rsidRPr="002E6E0F">
        <w:rPr>
          <w:i/>
          <w:color w:val="212121"/>
          <w:lang w:val="en-US"/>
        </w:rPr>
        <w:t>American</w:t>
      </w:r>
    </w:p>
    <w:p w14:paraId="6337F40D" w14:textId="77777777" w:rsidR="00D434FF" w:rsidRPr="002E6E0F" w:rsidRDefault="005D106E">
      <w:pPr>
        <w:ind w:firstLine="850"/>
        <w:jc w:val="both"/>
        <w:rPr>
          <w:color w:val="212121"/>
          <w:lang w:val="en-US"/>
        </w:rPr>
      </w:pPr>
      <w:r w:rsidRPr="002E6E0F">
        <w:rPr>
          <w:i/>
          <w:color w:val="212121"/>
          <w:lang w:val="en-US"/>
        </w:rPr>
        <w:t>Journal of Preventive Medicine</w:t>
      </w:r>
      <w:r w:rsidRPr="002E6E0F">
        <w:rPr>
          <w:color w:val="212121"/>
          <w:lang w:val="en-US"/>
        </w:rPr>
        <w:t>, 28(1), 1–8.</w:t>
      </w:r>
    </w:p>
    <w:p w14:paraId="749A956C" w14:textId="77777777" w:rsidR="00D434FF" w:rsidRPr="002E6E0F" w:rsidRDefault="005D106E">
      <w:pPr>
        <w:ind w:firstLine="850"/>
        <w:jc w:val="both"/>
        <w:rPr>
          <w:color w:val="212121"/>
          <w:lang w:val="en-US"/>
        </w:rPr>
      </w:pPr>
      <w:r>
        <w:fldChar w:fldCharType="begin"/>
      </w:r>
      <w:r w:rsidRPr="00031D66">
        <w:rPr>
          <w:lang w:val="en-US"/>
        </w:rPr>
        <w:instrText>HYPERLINK "https://doi.org/10.1016/J.AMEPRE.2004.09.003" \h</w:instrText>
      </w:r>
      <w:r>
        <w:fldChar w:fldCharType="separate"/>
      </w:r>
      <w:r w:rsidRPr="002E6E0F">
        <w:rPr>
          <w:color w:val="212121"/>
          <w:u w:val="single"/>
          <w:lang w:val="en-US"/>
        </w:rPr>
        <w:t>https://doi.org/10.1016/J.AMEPRE.2004.09.003</w:t>
      </w:r>
      <w:r>
        <w:fldChar w:fldCharType="end"/>
      </w:r>
    </w:p>
    <w:p w14:paraId="6963565B" w14:textId="77777777" w:rsidR="00D434FF" w:rsidRPr="002E6E0F" w:rsidRDefault="005D106E">
      <w:pPr>
        <w:jc w:val="both"/>
        <w:rPr>
          <w:color w:val="212121"/>
          <w:lang w:val="en-US"/>
        </w:rPr>
      </w:pPr>
      <w:r w:rsidRPr="002E6E0F">
        <w:rPr>
          <w:color w:val="212121"/>
          <w:lang w:val="en-US"/>
        </w:rPr>
        <w:t xml:space="preserve">Fournier </w:t>
      </w:r>
      <w:r w:rsidRPr="002E6E0F">
        <w:rPr>
          <w:i/>
          <w:color w:val="212121"/>
          <w:lang w:val="en-US"/>
        </w:rPr>
        <w:t>et al</w:t>
      </w:r>
      <w:r w:rsidRPr="002E6E0F">
        <w:rPr>
          <w:color w:val="212121"/>
          <w:lang w:val="en-US"/>
        </w:rPr>
        <w:t>. (2010). Antidepressant Drug Effects and Depression Severity: A Patient-Level</w:t>
      </w:r>
    </w:p>
    <w:p w14:paraId="22F4C04B" w14:textId="77777777" w:rsidR="00D434FF" w:rsidRPr="002E6E0F" w:rsidRDefault="005D106E">
      <w:pPr>
        <w:ind w:firstLine="850"/>
        <w:jc w:val="both"/>
        <w:rPr>
          <w:color w:val="212121"/>
          <w:highlight w:val="yellow"/>
          <w:lang w:val="en-US"/>
        </w:rPr>
      </w:pPr>
      <w:r w:rsidRPr="002E6E0F">
        <w:rPr>
          <w:color w:val="212121"/>
          <w:lang w:val="en-US"/>
        </w:rPr>
        <w:t xml:space="preserve">Meta-analysis. </w:t>
      </w:r>
      <w:r w:rsidRPr="002E6E0F">
        <w:rPr>
          <w:i/>
          <w:color w:val="212121"/>
          <w:lang w:val="en-US"/>
        </w:rPr>
        <w:t>JAMA</w:t>
      </w:r>
      <w:r w:rsidRPr="002E6E0F">
        <w:rPr>
          <w:color w:val="212121"/>
          <w:lang w:val="en-US"/>
        </w:rPr>
        <w:t xml:space="preserve">, 303(1), 47–53. </w:t>
      </w:r>
      <w:r>
        <w:fldChar w:fldCharType="begin"/>
      </w:r>
      <w:r w:rsidRPr="00031D66">
        <w:rPr>
          <w:lang w:val="es-AR"/>
        </w:rPr>
        <w:instrText>HYPERLINK "https://doi.org/10.1001/JAMA.2009.1943" \h</w:instrText>
      </w:r>
      <w:r>
        <w:fldChar w:fldCharType="separate"/>
      </w:r>
      <w:r w:rsidRPr="002E6E0F">
        <w:rPr>
          <w:color w:val="212121"/>
          <w:u w:val="single"/>
          <w:lang w:val="en-US"/>
        </w:rPr>
        <w:t>https://doi.org/10.1001/JAMA.2009.1943</w:t>
      </w:r>
      <w:r>
        <w:fldChar w:fldCharType="end"/>
      </w:r>
    </w:p>
    <w:p w14:paraId="2281D1EB" w14:textId="77777777" w:rsidR="00D434FF" w:rsidRPr="002E6E0F" w:rsidRDefault="005D106E">
      <w:pPr>
        <w:jc w:val="both"/>
        <w:rPr>
          <w:color w:val="212121"/>
          <w:lang w:val="en-US"/>
        </w:rPr>
      </w:pPr>
      <w:r w:rsidRPr="002E6E0F">
        <w:rPr>
          <w:color w:val="212121"/>
          <w:lang w:val="en-US"/>
        </w:rPr>
        <w:t xml:space="preserve">Goodwin </w:t>
      </w:r>
      <w:r w:rsidRPr="002E6E0F">
        <w:rPr>
          <w:i/>
          <w:color w:val="212121"/>
          <w:lang w:val="en-US"/>
        </w:rPr>
        <w:t>et al</w:t>
      </w:r>
      <w:r w:rsidRPr="002E6E0F">
        <w:rPr>
          <w:color w:val="212121"/>
          <w:lang w:val="en-US"/>
        </w:rPr>
        <w:t>. (2022). Single-Dose Psilocybin for a Treatment-Resistant Episode of Major</w:t>
      </w:r>
    </w:p>
    <w:p w14:paraId="695EE196" w14:textId="77777777" w:rsidR="00D434FF" w:rsidRPr="002E6E0F" w:rsidRDefault="005D106E">
      <w:pPr>
        <w:ind w:firstLine="850"/>
        <w:jc w:val="both"/>
        <w:rPr>
          <w:color w:val="212121"/>
          <w:lang w:val="en-US"/>
        </w:rPr>
      </w:pPr>
      <w:r w:rsidRPr="002E6E0F">
        <w:rPr>
          <w:color w:val="212121"/>
          <w:lang w:val="en-US"/>
        </w:rPr>
        <w:t xml:space="preserve">Depression. </w:t>
      </w:r>
      <w:r w:rsidRPr="002E6E0F">
        <w:rPr>
          <w:i/>
          <w:color w:val="212121"/>
          <w:lang w:val="en-US"/>
        </w:rPr>
        <w:t>New England Journal of Medicine</w:t>
      </w:r>
      <w:r w:rsidRPr="002E6E0F">
        <w:rPr>
          <w:color w:val="212121"/>
          <w:lang w:val="en-US"/>
        </w:rPr>
        <w:t>, 387(18), 1637–1648.</w:t>
      </w:r>
    </w:p>
    <w:p w14:paraId="780120B0" w14:textId="77777777" w:rsidR="00D434FF" w:rsidRPr="002E6E0F" w:rsidRDefault="005D106E">
      <w:pPr>
        <w:ind w:firstLine="850"/>
        <w:jc w:val="both"/>
        <w:rPr>
          <w:color w:val="212121"/>
          <w:lang w:val="en-US"/>
        </w:rPr>
      </w:pPr>
      <w:r>
        <w:fldChar w:fldCharType="begin"/>
      </w:r>
      <w:r w:rsidRPr="00031D66">
        <w:rPr>
          <w:lang w:val="en-US"/>
        </w:rPr>
        <w:instrText>HYPERLINK "https://doi.org/10.1056/nejmoa2206443" \h</w:instrText>
      </w:r>
      <w:r>
        <w:fldChar w:fldCharType="separate"/>
      </w:r>
      <w:r w:rsidRPr="002E6E0F">
        <w:rPr>
          <w:color w:val="1155CC"/>
          <w:u w:val="single"/>
          <w:lang w:val="en-US"/>
        </w:rPr>
        <w:t>https://doi.org/10.1056/nejmoa2206443</w:t>
      </w:r>
      <w:r>
        <w:fldChar w:fldCharType="end"/>
      </w:r>
      <w:r w:rsidRPr="002E6E0F">
        <w:rPr>
          <w:color w:val="212121"/>
          <w:lang w:val="en-US"/>
        </w:rPr>
        <w:t xml:space="preserve"> </w:t>
      </w:r>
    </w:p>
    <w:p w14:paraId="5E50010A" w14:textId="77777777" w:rsidR="00D434FF" w:rsidRPr="002E6E0F" w:rsidRDefault="005D106E">
      <w:pPr>
        <w:jc w:val="both"/>
        <w:rPr>
          <w:color w:val="212121"/>
          <w:lang w:val="en-US"/>
        </w:rPr>
      </w:pPr>
      <w:r w:rsidRPr="002E6E0F">
        <w:rPr>
          <w:color w:val="212121"/>
          <w:lang w:val="en-US"/>
        </w:rPr>
        <w:t xml:space="preserve">Goodwin </w:t>
      </w:r>
      <w:r w:rsidRPr="002E6E0F">
        <w:rPr>
          <w:i/>
          <w:color w:val="212121"/>
          <w:lang w:val="en-US"/>
        </w:rPr>
        <w:t>et al</w:t>
      </w:r>
      <w:r w:rsidRPr="002E6E0F">
        <w:rPr>
          <w:color w:val="212121"/>
          <w:lang w:val="en-US"/>
        </w:rPr>
        <w:t>. (2023). Single-dose psilocybin for a treatment-resistant episode of major</w:t>
      </w:r>
    </w:p>
    <w:p w14:paraId="3E44B546" w14:textId="77777777" w:rsidR="00D434FF" w:rsidRPr="002E6E0F" w:rsidRDefault="005D106E">
      <w:pPr>
        <w:ind w:firstLine="850"/>
        <w:jc w:val="both"/>
        <w:rPr>
          <w:color w:val="212121"/>
          <w:lang w:val="en-US"/>
        </w:rPr>
      </w:pPr>
      <w:r w:rsidRPr="002E6E0F">
        <w:rPr>
          <w:color w:val="212121"/>
          <w:lang w:val="en-US"/>
        </w:rPr>
        <w:t>depression: Impact on patient-reported depression severity, anxiety, function, and</w:t>
      </w:r>
    </w:p>
    <w:p w14:paraId="6CEB13B2" w14:textId="77777777" w:rsidR="00D434FF" w:rsidRPr="002E6E0F" w:rsidRDefault="005D106E">
      <w:pPr>
        <w:ind w:firstLine="850"/>
        <w:jc w:val="both"/>
        <w:rPr>
          <w:color w:val="212121"/>
          <w:lang w:val="en-US"/>
        </w:rPr>
      </w:pPr>
      <w:r w:rsidRPr="002E6E0F">
        <w:rPr>
          <w:color w:val="212121"/>
          <w:lang w:val="en-US"/>
        </w:rPr>
        <w:t xml:space="preserve">quality of life. </w:t>
      </w:r>
      <w:r w:rsidRPr="002E6E0F">
        <w:rPr>
          <w:i/>
          <w:color w:val="212121"/>
          <w:lang w:val="en-US"/>
        </w:rPr>
        <w:t>Journal of Affective Disorders</w:t>
      </w:r>
      <w:r w:rsidRPr="002E6E0F">
        <w:rPr>
          <w:color w:val="212121"/>
          <w:lang w:val="en-US"/>
        </w:rPr>
        <w:t>, 327, 120–127.</w:t>
      </w:r>
    </w:p>
    <w:p w14:paraId="115F88A1" w14:textId="77777777" w:rsidR="00D434FF" w:rsidRPr="002E6E0F" w:rsidRDefault="005D106E">
      <w:pPr>
        <w:ind w:firstLine="850"/>
        <w:jc w:val="both"/>
        <w:rPr>
          <w:color w:val="212121"/>
          <w:lang w:val="en-US"/>
        </w:rPr>
      </w:pPr>
      <w:r>
        <w:fldChar w:fldCharType="begin"/>
      </w:r>
      <w:r w:rsidRPr="00031D66">
        <w:rPr>
          <w:lang w:val="en-US"/>
        </w:rPr>
        <w:instrText>HYPERLINK "https://doi.org/10.1016/J.JAD.2023.01.108" \h</w:instrText>
      </w:r>
      <w:r>
        <w:fldChar w:fldCharType="separate"/>
      </w:r>
      <w:r w:rsidRPr="002E6E0F">
        <w:rPr>
          <w:color w:val="212121"/>
          <w:u w:val="single"/>
          <w:lang w:val="en-US"/>
        </w:rPr>
        <w:t>https://doi.org/10.1016/J.JAD.2023.01.108</w:t>
      </w:r>
      <w:r>
        <w:fldChar w:fldCharType="end"/>
      </w:r>
    </w:p>
    <w:p w14:paraId="190950CC" w14:textId="77777777" w:rsidR="00D434FF" w:rsidRPr="002E6E0F" w:rsidRDefault="005D106E" w:rsidP="004D75B9">
      <w:pPr>
        <w:ind w:left="851" w:hanging="851"/>
        <w:jc w:val="both"/>
        <w:rPr>
          <w:lang w:val="en-US"/>
        </w:rPr>
      </w:pPr>
      <w:r w:rsidRPr="007E4DFC">
        <w:t>Grieco</w:t>
      </w:r>
      <w:r w:rsidRPr="007E4DFC">
        <w:rPr>
          <w:i/>
        </w:rPr>
        <w:t xml:space="preserve"> et al</w:t>
      </w:r>
      <w:r w:rsidRPr="007E4DFC">
        <w:t xml:space="preserve">. (2022). </w:t>
      </w:r>
      <w:r w:rsidRPr="002E6E0F">
        <w:rPr>
          <w:lang w:val="en-US"/>
        </w:rPr>
        <w:t xml:space="preserve">Psychedelics and Neural Plasticity: Therapeutic Implications. The </w:t>
      </w:r>
      <w:r w:rsidRPr="002E6E0F">
        <w:rPr>
          <w:i/>
          <w:lang w:val="en-US"/>
        </w:rPr>
        <w:t xml:space="preserve">Journal of </w:t>
      </w:r>
      <w:proofErr w:type="gramStart"/>
      <w:r w:rsidRPr="002E6E0F">
        <w:rPr>
          <w:i/>
          <w:lang w:val="en-US"/>
        </w:rPr>
        <w:t>neuroscience :</w:t>
      </w:r>
      <w:proofErr w:type="gramEnd"/>
      <w:r w:rsidRPr="002E6E0F">
        <w:rPr>
          <w:i/>
          <w:lang w:val="en-US"/>
        </w:rPr>
        <w:t xml:space="preserve"> the official journal of the Society for Neuroscience</w:t>
      </w:r>
      <w:r w:rsidRPr="002E6E0F">
        <w:rPr>
          <w:lang w:val="en-US"/>
        </w:rPr>
        <w:t>, 42(45),</w:t>
      </w:r>
    </w:p>
    <w:p w14:paraId="156D6074" w14:textId="77777777" w:rsidR="00D434FF" w:rsidRPr="002E6E0F" w:rsidRDefault="005D106E">
      <w:pPr>
        <w:ind w:firstLine="850"/>
        <w:jc w:val="both"/>
        <w:rPr>
          <w:lang w:val="en-US"/>
        </w:rPr>
      </w:pPr>
      <w:r w:rsidRPr="002E6E0F">
        <w:rPr>
          <w:lang w:val="en-US"/>
        </w:rPr>
        <w:t xml:space="preserve">8439–8449. </w:t>
      </w:r>
      <w:r>
        <w:fldChar w:fldCharType="begin"/>
      </w:r>
      <w:r w:rsidRPr="00031D66">
        <w:rPr>
          <w:lang w:val="es-AR"/>
        </w:rPr>
        <w:instrText>HYPERLINK "https://doi.org/10.1523/JNEUROSCI.1121-22.2022" \h</w:instrText>
      </w:r>
      <w:r>
        <w:fldChar w:fldCharType="separate"/>
      </w:r>
      <w:r w:rsidRPr="002E6E0F">
        <w:rPr>
          <w:lang w:val="en-US"/>
        </w:rPr>
        <w:t>https://doi.org/10.1523/JNEUROSCI.1121-22.2022</w:t>
      </w:r>
      <w:r>
        <w:fldChar w:fldCharType="end"/>
      </w:r>
    </w:p>
    <w:p w14:paraId="2019FA6A" w14:textId="77777777" w:rsidR="00D434FF" w:rsidRPr="002E6E0F" w:rsidRDefault="005D106E">
      <w:pPr>
        <w:ind w:left="850" w:hanging="850"/>
        <w:jc w:val="both"/>
        <w:rPr>
          <w:lang w:val="en-US"/>
        </w:rPr>
      </w:pPr>
      <w:r w:rsidRPr="002E6E0F">
        <w:rPr>
          <w:lang w:val="en-US"/>
        </w:rPr>
        <w:t xml:space="preserve">Griffiths </w:t>
      </w:r>
      <w:r w:rsidRPr="002E6E0F">
        <w:rPr>
          <w:i/>
          <w:lang w:val="en-US"/>
        </w:rPr>
        <w:t>et al.</w:t>
      </w:r>
      <w:r w:rsidRPr="002E6E0F">
        <w:rPr>
          <w:lang w:val="en-US"/>
        </w:rPr>
        <w:t xml:space="preserve"> (2016). Psilocybin produces substantial and sustained decreases in depression and anxiety in patients with life-threatening cancer: A randomized double-blind trial.</w:t>
      </w:r>
    </w:p>
    <w:p w14:paraId="1FA877CC" w14:textId="77777777" w:rsidR="00D434FF" w:rsidRPr="002E6E0F" w:rsidRDefault="005D106E">
      <w:pPr>
        <w:ind w:left="850"/>
        <w:jc w:val="both"/>
        <w:rPr>
          <w:color w:val="212121"/>
          <w:lang w:val="en-US"/>
        </w:rPr>
      </w:pPr>
      <w:r w:rsidRPr="002E6E0F">
        <w:rPr>
          <w:i/>
          <w:lang w:val="en-US"/>
        </w:rPr>
        <w:t>Journal of Psychopharmacology</w:t>
      </w:r>
      <w:r w:rsidRPr="002E6E0F">
        <w:rPr>
          <w:lang w:val="en-US"/>
        </w:rPr>
        <w:t xml:space="preserve">, 30(12), 1181–1197.  </w:t>
      </w:r>
      <w:hyperlink r:id="rId31">
        <w:r w:rsidRPr="002E6E0F">
          <w:rPr>
            <w:u w:val="single"/>
            <w:lang w:val="en-US"/>
          </w:rPr>
          <w:t>https://doi.org/10.1177/0269881116675513</w:t>
        </w:r>
      </w:hyperlink>
    </w:p>
    <w:p w14:paraId="1D0884EF" w14:textId="77777777" w:rsidR="00D434FF" w:rsidRPr="002E6E0F" w:rsidRDefault="005D106E" w:rsidP="00F80773">
      <w:pPr>
        <w:ind w:left="851" w:hanging="851"/>
        <w:jc w:val="both"/>
        <w:rPr>
          <w:color w:val="212121"/>
          <w:lang w:val="en-US"/>
        </w:rPr>
      </w:pPr>
      <w:r w:rsidRPr="002E6E0F">
        <w:rPr>
          <w:lang w:val="en-US"/>
        </w:rPr>
        <w:t xml:space="preserve">Grimm </w:t>
      </w:r>
      <w:r w:rsidRPr="002E6E0F">
        <w:rPr>
          <w:i/>
          <w:lang w:val="en-US"/>
        </w:rPr>
        <w:t>et al</w:t>
      </w:r>
      <w:r w:rsidRPr="002E6E0F">
        <w:rPr>
          <w:lang w:val="en-US"/>
        </w:rPr>
        <w:t xml:space="preserve">. (2018). Psilocybin modulates the functional connectivity of the amygdala during emotional face discrimination. European </w:t>
      </w:r>
      <w:proofErr w:type="spellStart"/>
      <w:r w:rsidRPr="002E6E0F">
        <w:rPr>
          <w:lang w:val="en-US"/>
        </w:rPr>
        <w:t>Neuropsychopharmagolocy</w:t>
      </w:r>
      <w:proofErr w:type="spellEnd"/>
      <w:r w:rsidRPr="002E6E0F">
        <w:rPr>
          <w:lang w:val="en-US"/>
        </w:rPr>
        <w:t xml:space="preserve">, 28(6), 691-700. </w:t>
      </w:r>
      <w:r>
        <w:fldChar w:fldCharType="begin"/>
      </w:r>
      <w:r w:rsidRPr="00031D66">
        <w:rPr>
          <w:lang w:val="en-US"/>
        </w:rPr>
        <w:instrText>HYPERLINK "https://doi.org/10.1016/j.euroneuro.2018.03.016" \h</w:instrText>
      </w:r>
      <w:r>
        <w:fldChar w:fldCharType="separate"/>
      </w:r>
      <w:r w:rsidRPr="002E6E0F">
        <w:rPr>
          <w:color w:val="1155CC"/>
          <w:u w:val="single"/>
          <w:lang w:val="en-US"/>
        </w:rPr>
        <w:t>https://doi.org/10.1016/j.euroneuro.2018.03.016</w:t>
      </w:r>
      <w:r>
        <w:fldChar w:fldCharType="end"/>
      </w:r>
    </w:p>
    <w:p w14:paraId="6AE084A9" w14:textId="77777777" w:rsidR="00D434FF" w:rsidRPr="002E6E0F" w:rsidRDefault="005D106E">
      <w:pPr>
        <w:widowControl w:val="0"/>
        <w:ind w:left="850" w:hanging="850"/>
        <w:jc w:val="both"/>
        <w:rPr>
          <w:color w:val="212121"/>
          <w:lang w:val="en-US"/>
        </w:rPr>
      </w:pPr>
      <w:r w:rsidRPr="002E6E0F">
        <w:rPr>
          <w:color w:val="212121"/>
          <w:lang w:val="en-US"/>
        </w:rPr>
        <w:t xml:space="preserve">Gukasyan </w:t>
      </w:r>
      <w:r w:rsidRPr="002E6E0F">
        <w:rPr>
          <w:i/>
          <w:color w:val="212121"/>
          <w:lang w:val="en-US"/>
        </w:rPr>
        <w:t>et al</w:t>
      </w:r>
      <w:r w:rsidRPr="002E6E0F">
        <w:rPr>
          <w:color w:val="212121"/>
          <w:lang w:val="en-US"/>
        </w:rPr>
        <w:t xml:space="preserve">. (2022). Efficacy and safety of psilocybin-assisted treatment for major depressive disorder: Prospective 12-month follow-up. </w:t>
      </w:r>
      <w:r w:rsidRPr="002E6E0F">
        <w:rPr>
          <w:i/>
          <w:color w:val="212121"/>
          <w:lang w:val="en-US"/>
        </w:rPr>
        <w:t>Journal of Psychopharmacology (Oxford, England)</w:t>
      </w:r>
      <w:r w:rsidRPr="002E6E0F">
        <w:rPr>
          <w:color w:val="212121"/>
          <w:lang w:val="en-US"/>
        </w:rPr>
        <w:t xml:space="preserve">, 36(2), 151. </w:t>
      </w:r>
      <w:r>
        <w:fldChar w:fldCharType="begin"/>
      </w:r>
      <w:r w:rsidRPr="00031D66">
        <w:rPr>
          <w:lang w:val="en-US"/>
        </w:rPr>
        <w:instrText>HYPERLINK "https://doi.org/10.1177/02698811211073759" \h</w:instrText>
      </w:r>
      <w:r>
        <w:fldChar w:fldCharType="separate"/>
      </w:r>
      <w:r w:rsidRPr="002E6E0F">
        <w:rPr>
          <w:color w:val="212121"/>
          <w:u w:val="single"/>
          <w:lang w:val="en-US"/>
        </w:rPr>
        <w:t>https://doi.org/10.1177/02698811211073759</w:t>
      </w:r>
      <w:r>
        <w:fldChar w:fldCharType="end"/>
      </w:r>
    </w:p>
    <w:p w14:paraId="424E3E4E" w14:textId="77777777" w:rsidR="00D434FF" w:rsidRPr="002E6E0F" w:rsidRDefault="005D106E">
      <w:pPr>
        <w:jc w:val="both"/>
        <w:rPr>
          <w:i/>
          <w:lang w:val="en-US"/>
        </w:rPr>
      </w:pPr>
      <w:r w:rsidRPr="002E6E0F">
        <w:rPr>
          <w:lang w:val="en-US"/>
        </w:rPr>
        <w:t xml:space="preserve">Hartogsohn, I. (2017). Constructing drug effects: A history of set and setting. </w:t>
      </w:r>
      <w:r w:rsidRPr="002E6E0F">
        <w:rPr>
          <w:i/>
          <w:lang w:val="en-US"/>
        </w:rPr>
        <w:t>Drug Science,</w:t>
      </w:r>
    </w:p>
    <w:p w14:paraId="4EB91A5D" w14:textId="77777777" w:rsidR="00D434FF" w:rsidRPr="002E6E0F" w:rsidRDefault="005D106E">
      <w:pPr>
        <w:ind w:left="850"/>
        <w:jc w:val="both"/>
        <w:rPr>
          <w:color w:val="212121"/>
          <w:lang w:val="en-US"/>
        </w:rPr>
      </w:pPr>
      <w:r w:rsidRPr="002E6E0F">
        <w:rPr>
          <w:i/>
          <w:lang w:val="en-US"/>
        </w:rPr>
        <w:t>Policy and Law</w:t>
      </w:r>
      <w:r w:rsidRPr="002E6E0F">
        <w:rPr>
          <w:lang w:val="en-US"/>
        </w:rPr>
        <w:t xml:space="preserve">, </w:t>
      </w:r>
      <w:r w:rsidRPr="002E6E0F">
        <w:rPr>
          <w:i/>
          <w:lang w:val="en-US"/>
        </w:rPr>
        <w:t>3</w:t>
      </w:r>
      <w:r w:rsidRPr="002E6E0F">
        <w:rPr>
          <w:lang w:val="en-US"/>
        </w:rPr>
        <w:t xml:space="preserve">, 205032451668332. </w:t>
      </w:r>
      <w:hyperlink r:id="rId32">
        <w:r w:rsidRPr="002E6E0F">
          <w:rPr>
            <w:color w:val="1155CC"/>
            <w:u w:val="single"/>
            <w:lang w:val="en-US"/>
          </w:rPr>
          <w:t>https://doi.org/10.1177/2050324516683325</w:t>
        </w:r>
      </w:hyperlink>
    </w:p>
    <w:p w14:paraId="2E354E6F" w14:textId="77777777" w:rsidR="00D434FF" w:rsidRPr="002E6E0F" w:rsidRDefault="005D106E" w:rsidP="004D75B9">
      <w:pPr>
        <w:pBdr>
          <w:top w:val="none" w:sz="0" w:space="2" w:color="auto"/>
          <w:bottom w:val="none" w:sz="0" w:space="2" w:color="auto"/>
          <w:between w:val="none" w:sz="0" w:space="2" w:color="auto"/>
        </w:pBdr>
        <w:shd w:val="clear" w:color="auto" w:fill="FFFFFF"/>
        <w:ind w:left="851" w:hanging="851"/>
        <w:jc w:val="both"/>
        <w:rPr>
          <w:color w:val="212121"/>
          <w:lang w:val="en-US"/>
        </w:rPr>
      </w:pPr>
      <w:r w:rsidRPr="002E6E0F">
        <w:rPr>
          <w:color w:val="212121"/>
          <w:lang w:val="en-US"/>
        </w:rPr>
        <w:t xml:space="preserve">Higgins JPT, Thomas J, Chandler J, Cumpston M, Li T, Page MJ, Welch VA (editors). </w:t>
      </w:r>
      <w:r w:rsidRPr="002E6E0F">
        <w:rPr>
          <w:i/>
          <w:color w:val="212121"/>
          <w:lang w:val="en-US"/>
        </w:rPr>
        <w:t>Cochrane Handbook for Systematic Reviews of Interventions</w:t>
      </w:r>
      <w:r w:rsidRPr="002E6E0F">
        <w:rPr>
          <w:color w:val="212121"/>
          <w:lang w:val="en-US"/>
        </w:rPr>
        <w:t xml:space="preserve"> version 6.5 (updated August 2024). Cochrane, 2024. Available from </w:t>
      </w:r>
      <w:r>
        <w:fldChar w:fldCharType="begin"/>
      </w:r>
      <w:r w:rsidRPr="00031D66">
        <w:rPr>
          <w:lang w:val="en-US"/>
        </w:rPr>
        <w:instrText>HYPERLINK "http://www.training.cochrane.org/handbook" \h</w:instrText>
      </w:r>
      <w:r>
        <w:fldChar w:fldCharType="separate"/>
      </w:r>
      <w:r w:rsidRPr="002E6E0F">
        <w:rPr>
          <w:color w:val="1155CC"/>
          <w:u w:val="single"/>
          <w:lang w:val="en-US"/>
        </w:rPr>
        <w:t>www.training.cochrane.org/handbook</w:t>
      </w:r>
      <w:r>
        <w:fldChar w:fldCharType="end"/>
      </w:r>
    </w:p>
    <w:p w14:paraId="4E0EBA56" w14:textId="77777777" w:rsidR="00D434FF" w:rsidRPr="002E6E0F" w:rsidRDefault="005D106E">
      <w:pPr>
        <w:widowControl w:val="0"/>
        <w:ind w:left="850" w:hanging="850"/>
        <w:jc w:val="both"/>
        <w:rPr>
          <w:color w:val="212121"/>
          <w:lang w:val="en-US"/>
        </w:rPr>
      </w:pPr>
      <w:r w:rsidRPr="002E6E0F">
        <w:rPr>
          <w:color w:val="212121"/>
          <w:lang w:val="en-US"/>
        </w:rPr>
        <w:t xml:space="preserve">Hofmann </w:t>
      </w:r>
      <w:r w:rsidRPr="002E6E0F">
        <w:rPr>
          <w:i/>
          <w:color w:val="212121"/>
          <w:lang w:val="en-US"/>
        </w:rPr>
        <w:t>et al</w:t>
      </w:r>
      <w:r w:rsidRPr="002E6E0F">
        <w:rPr>
          <w:color w:val="212121"/>
          <w:lang w:val="en-US"/>
        </w:rPr>
        <w:t xml:space="preserve">. (1958). Psilocybin, </w:t>
      </w:r>
      <w:proofErr w:type="spellStart"/>
      <w:r w:rsidRPr="002E6E0F">
        <w:rPr>
          <w:color w:val="212121"/>
          <w:lang w:val="en-US"/>
        </w:rPr>
        <w:t>ein</w:t>
      </w:r>
      <w:proofErr w:type="spellEnd"/>
      <w:r w:rsidRPr="002E6E0F">
        <w:rPr>
          <w:color w:val="212121"/>
          <w:lang w:val="en-US"/>
        </w:rPr>
        <w:t xml:space="preserve"> </w:t>
      </w:r>
      <w:proofErr w:type="spellStart"/>
      <w:r w:rsidRPr="002E6E0F">
        <w:rPr>
          <w:color w:val="212121"/>
          <w:lang w:val="en-US"/>
        </w:rPr>
        <w:t>psychotroper</w:t>
      </w:r>
      <w:proofErr w:type="spellEnd"/>
      <w:r w:rsidRPr="002E6E0F">
        <w:rPr>
          <w:color w:val="212121"/>
          <w:lang w:val="en-US"/>
        </w:rPr>
        <w:t xml:space="preserve"> </w:t>
      </w:r>
      <w:proofErr w:type="spellStart"/>
      <w:r w:rsidRPr="002E6E0F">
        <w:rPr>
          <w:color w:val="212121"/>
          <w:lang w:val="en-US"/>
        </w:rPr>
        <w:t>Wirkstoff</w:t>
      </w:r>
      <w:proofErr w:type="spellEnd"/>
      <w:r w:rsidRPr="002E6E0F">
        <w:rPr>
          <w:color w:val="212121"/>
          <w:lang w:val="en-US"/>
        </w:rPr>
        <w:t xml:space="preserve"> </w:t>
      </w:r>
      <w:proofErr w:type="spellStart"/>
      <w:r w:rsidRPr="002E6E0F">
        <w:rPr>
          <w:color w:val="212121"/>
          <w:lang w:val="en-US"/>
        </w:rPr>
        <w:t>aus</w:t>
      </w:r>
      <w:proofErr w:type="spellEnd"/>
      <w:r w:rsidRPr="002E6E0F">
        <w:rPr>
          <w:color w:val="212121"/>
          <w:lang w:val="en-US"/>
        </w:rPr>
        <w:t xml:space="preserve"> dem </w:t>
      </w:r>
      <w:proofErr w:type="spellStart"/>
      <w:r w:rsidRPr="002E6E0F">
        <w:rPr>
          <w:color w:val="212121"/>
          <w:lang w:val="en-US"/>
        </w:rPr>
        <w:t>mexikanischen</w:t>
      </w:r>
      <w:proofErr w:type="spellEnd"/>
      <w:r w:rsidRPr="002E6E0F">
        <w:rPr>
          <w:color w:val="212121"/>
          <w:lang w:val="en-US"/>
        </w:rPr>
        <w:t xml:space="preserve"> </w:t>
      </w:r>
      <w:proofErr w:type="spellStart"/>
      <w:r w:rsidRPr="002E6E0F">
        <w:rPr>
          <w:color w:val="212121"/>
          <w:lang w:val="en-US"/>
        </w:rPr>
        <w:lastRenderedPageBreak/>
        <w:t>Rauschpilz</w:t>
      </w:r>
      <w:proofErr w:type="spellEnd"/>
      <w:r w:rsidRPr="002E6E0F">
        <w:rPr>
          <w:color w:val="212121"/>
          <w:lang w:val="en-US"/>
        </w:rPr>
        <w:t xml:space="preserve"> </w:t>
      </w:r>
      <w:proofErr w:type="spellStart"/>
      <w:r w:rsidRPr="002E6E0F">
        <w:rPr>
          <w:color w:val="212121"/>
          <w:lang w:val="en-US"/>
        </w:rPr>
        <w:t>Psilocybe</w:t>
      </w:r>
      <w:proofErr w:type="spellEnd"/>
      <w:r w:rsidRPr="002E6E0F">
        <w:rPr>
          <w:color w:val="212121"/>
          <w:lang w:val="en-US"/>
        </w:rPr>
        <w:t xml:space="preserve"> </w:t>
      </w:r>
      <w:proofErr w:type="spellStart"/>
      <w:r w:rsidRPr="002E6E0F">
        <w:rPr>
          <w:color w:val="212121"/>
          <w:lang w:val="en-US"/>
        </w:rPr>
        <w:t>mexicana</w:t>
      </w:r>
      <w:proofErr w:type="spellEnd"/>
      <w:r w:rsidRPr="002E6E0F">
        <w:rPr>
          <w:color w:val="212121"/>
          <w:lang w:val="en-US"/>
        </w:rPr>
        <w:t xml:space="preserve"> Heim. </w:t>
      </w:r>
      <w:proofErr w:type="spellStart"/>
      <w:r w:rsidRPr="002E6E0F">
        <w:rPr>
          <w:i/>
          <w:color w:val="212121"/>
          <w:lang w:val="en-US"/>
        </w:rPr>
        <w:t>Experientia</w:t>
      </w:r>
      <w:proofErr w:type="spellEnd"/>
      <w:r w:rsidRPr="002E6E0F">
        <w:rPr>
          <w:color w:val="212121"/>
          <w:lang w:val="en-US"/>
        </w:rPr>
        <w:t>, 14(3), 107–109. https://doi.org/10.1002/hlca.19590420518</w:t>
      </w:r>
    </w:p>
    <w:p w14:paraId="260F500F" w14:textId="77777777" w:rsidR="00D434FF" w:rsidRPr="002E6E0F" w:rsidRDefault="005D106E">
      <w:pPr>
        <w:widowControl w:val="0"/>
        <w:jc w:val="both"/>
        <w:rPr>
          <w:color w:val="212121"/>
          <w:lang w:val="en-US"/>
        </w:rPr>
      </w:pPr>
      <w:proofErr w:type="gramStart"/>
      <w:r w:rsidRPr="002E6E0F">
        <w:rPr>
          <w:color w:val="212121"/>
          <w:lang w:val="en-US"/>
        </w:rPr>
        <w:t xml:space="preserve">Hovmand  </w:t>
      </w:r>
      <w:r w:rsidRPr="002E6E0F">
        <w:rPr>
          <w:i/>
          <w:color w:val="212121"/>
          <w:lang w:val="en-US"/>
        </w:rPr>
        <w:t>et al</w:t>
      </w:r>
      <w:r w:rsidRPr="002E6E0F">
        <w:rPr>
          <w:color w:val="212121"/>
          <w:lang w:val="en-US"/>
        </w:rPr>
        <w:t>.</w:t>
      </w:r>
      <w:proofErr w:type="gramEnd"/>
      <w:r w:rsidRPr="002E6E0F">
        <w:rPr>
          <w:color w:val="212121"/>
          <w:lang w:val="en-US"/>
        </w:rPr>
        <w:t xml:space="preserve"> Risk of bias in randomized clinical trials on psychedelic medicine: A</w:t>
      </w:r>
    </w:p>
    <w:p w14:paraId="347F089F" w14:textId="77777777" w:rsidR="00D434FF" w:rsidRPr="002E6E0F" w:rsidRDefault="005D106E">
      <w:pPr>
        <w:widowControl w:val="0"/>
        <w:ind w:left="850"/>
        <w:jc w:val="both"/>
        <w:rPr>
          <w:color w:val="212121"/>
          <w:lang w:val="en-US"/>
        </w:rPr>
      </w:pPr>
      <w:r w:rsidRPr="002E6E0F">
        <w:rPr>
          <w:color w:val="212121"/>
          <w:lang w:val="en-US"/>
        </w:rPr>
        <w:t xml:space="preserve">systematic review. </w:t>
      </w:r>
      <w:r w:rsidRPr="002E6E0F">
        <w:rPr>
          <w:i/>
          <w:color w:val="212121"/>
          <w:lang w:val="en-US"/>
        </w:rPr>
        <w:t>Journal of Psychopharmacology</w:t>
      </w:r>
      <w:r w:rsidRPr="002E6E0F">
        <w:rPr>
          <w:color w:val="212121"/>
          <w:lang w:val="en-US"/>
        </w:rPr>
        <w:t xml:space="preserve">. 2023; 37(7):649-659. </w:t>
      </w:r>
      <w:hyperlink r:id="rId33">
        <w:r w:rsidRPr="002E6E0F">
          <w:rPr>
            <w:color w:val="1155CC"/>
            <w:u w:val="single"/>
            <w:lang w:val="en-US"/>
          </w:rPr>
          <w:t>https://doi.org/10.1177/02698811231180276</w:t>
        </w:r>
      </w:hyperlink>
    </w:p>
    <w:p w14:paraId="087A85F2" w14:textId="77777777" w:rsidR="00D434FF" w:rsidRPr="002E6E0F" w:rsidRDefault="005D106E">
      <w:pPr>
        <w:jc w:val="both"/>
        <w:rPr>
          <w:color w:val="212121"/>
          <w:lang w:val="en-US"/>
        </w:rPr>
      </w:pPr>
      <w:r w:rsidRPr="002E6E0F">
        <w:rPr>
          <w:color w:val="212121"/>
          <w:lang w:val="en-US"/>
        </w:rPr>
        <w:t>Ijaz</w:t>
      </w:r>
      <w:r w:rsidRPr="002E6E0F">
        <w:rPr>
          <w:i/>
          <w:color w:val="212121"/>
          <w:lang w:val="en-US"/>
        </w:rPr>
        <w:t xml:space="preserve"> et al</w:t>
      </w:r>
      <w:r w:rsidRPr="002E6E0F">
        <w:rPr>
          <w:color w:val="212121"/>
          <w:lang w:val="en-US"/>
        </w:rPr>
        <w:t>. (2018). Psychological therapies for treatment-resistant depression in adults.</w:t>
      </w:r>
    </w:p>
    <w:p w14:paraId="5F7141A5" w14:textId="77777777" w:rsidR="00D434FF" w:rsidRPr="002E6E0F" w:rsidRDefault="005D106E">
      <w:pPr>
        <w:ind w:firstLine="850"/>
        <w:jc w:val="both"/>
        <w:rPr>
          <w:color w:val="212121"/>
          <w:lang w:val="en-US"/>
        </w:rPr>
      </w:pPr>
      <w:r w:rsidRPr="002E6E0F">
        <w:rPr>
          <w:i/>
          <w:color w:val="212121"/>
          <w:lang w:val="en-US"/>
        </w:rPr>
        <w:t>Cochrane Database of Systematic Reviews</w:t>
      </w:r>
      <w:r w:rsidRPr="002E6E0F">
        <w:rPr>
          <w:color w:val="212121"/>
          <w:lang w:val="en-US"/>
        </w:rPr>
        <w:t xml:space="preserve">, </w:t>
      </w:r>
      <w:r w:rsidRPr="002E6E0F">
        <w:rPr>
          <w:i/>
          <w:color w:val="212121"/>
          <w:lang w:val="en-US"/>
        </w:rPr>
        <w:t>2018</w:t>
      </w:r>
      <w:r w:rsidRPr="002E6E0F">
        <w:rPr>
          <w:color w:val="212121"/>
          <w:lang w:val="en-US"/>
        </w:rPr>
        <w:t>(5).</w:t>
      </w:r>
    </w:p>
    <w:p w14:paraId="1A12FD3B" w14:textId="52F5EA0C" w:rsidR="00D434FF" w:rsidRPr="004D75B9" w:rsidRDefault="005D106E" w:rsidP="004D75B9">
      <w:pPr>
        <w:ind w:firstLine="850"/>
        <w:jc w:val="both"/>
        <w:rPr>
          <w:lang w:val="en-US"/>
        </w:rPr>
      </w:pPr>
      <w:r>
        <w:fldChar w:fldCharType="begin"/>
      </w:r>
      <w:r w:rsidRPr="00031D66">
        <w:rPr>
          <w:lang w:val="en-US"/>
        </w:rPr>
        <w:instrText>HYPERLINK "https://doi.org/10.1002/14651858.CD010558.pub2" \h</w:instrText>
      </w:r>
      <w:r>
        <w:fldChar w:fldCharType="separate"/>
      </w:r>
      <w:r w:rsidRPr="002E6E0F">
        <w:rPr>
          <w:color w:val="1155CC"/>
          <w:u w:val="single"/>
          <w:lang w:val="en-US"/>
        </w:rPr>
        <w:t>https://doi.org/10.1002/14651858.CD010558.pub2</w:t>
      </w:r>
      <w:r>
        <w:fldChar w:fldCharType="end"/>
      </w:r>
    </w:p>
    <w:p w14:paraId="6589934D" w14:textId="77777777" w:rsidR="00D434FF" w:rsidRPr="002E6E0F" w:rsidRDefault="005D106E">
      <w:pPr>
        <w:ind w:left="850" w:hanging="850"/>
        <w:jc w:val="both"/>
        <w:rPr>
          <w:color w:val="212121"/>
          <w:lang w:val="en-US"/>
        </w:rPr>
      </w:pPr>
      <w:r w:rsidRPr="002E6E0F">
        <w:rPr>
          <w:color w:val="212121"/>
          <w:lang w:val="en-US"/>
        </w:rPr>
        <w:t xml:space="preserve">James </w:t>
      </w:r>
      <w:r w:rsidRPr="002E6E0F">
        <w:rPr>
          <w:i/>
          <w:color w:val="212121"/>
          <w:lang w:val="en-US"/>
        </w:rPr>
        <w:t>et al</w:t>
      </w:r>
      <w:r w:rsidRPr="002E6E0F">
        <w:rPr>
          <w:color w:val="212121"/>
          <w:lang w:val="en-US"/>
        </w:rPr>
        <w:t xml:space="preserve">. (2018). Global, regional, and national incidence, prevalence, and years lived with disability for 354 Diseases and Injuries for 195 countries and territories, 1990-2017: A systematic analysis for the Global Burden of Disease Study 2017. </w:t>
      </w:r>
      <w:r w:rsidRPr="002E6E0F">
        <w:rPr>
          <w:i/>
          <w:color w:val="212121"/>
          <w:lang w:val="en-US"/>
        </w:rPr>
        <w:t>The Lancet</w:t>
      </w:r>
      <w:r w:rsidRPr="002E6E0F">
        <w:rPr>
          <w:color w:val="212121"/>
          <w:lang w:val="en-US"/>
        </w:rPr>
        <w:t xml:space="preserve">, </w:t>
      </w:r>
      <w:r w:rsidRPr="002E6E0F">
        <w:rPr>
          <w:i/>
          <w:color w:val="212121"/>
          <w:lang w:val="en-US"/>
        </w:rPr>
        <w:t>392</w:t>
      </w:r>
      <w:r w:rsidRPr="002E6E0F">
        <w:rPr>
          <w:color w:val="212121"/>
          <w:lang w:val="en-US"/>
        </w:rPr>
        <w:t xml:space="preserve">(10159), 1789–1858. </w:t>
      </w:r>
      <w:r>
        <w:fldChar w:fldCharType="begin"/>
      </w:r>
      <w:r w:rsidRPr="00031D66">
        <w:rPr>
          <w:lang w:val="es-AR"/>
        </w:rPr>
        <w:instrText>HYPERLINK "https://doi.org/10.1016/s0140-6736(18)32279-7" \h</w:instrText>
      </w:r>
      <w:r>
        <w:fldChar w:fldCharType="separate"/>
      </w:r>
      <w:r w:rsidRPr="002E6E0F">
        <w:rPr>
          <w:color w:val="1155CC"/>
          <w:u w:val="single"/>
          <w:lang w:val="en-US"/>
        </w:rPr>
        <w:t>https://doi.org/10.1016/s0140-6736(18)32279-7</w:t>
      </w:r>
      <w:r>
        <w:fldChar w:fldCharType="end"/>
      </w:r>
    </w:p>
    <w:p w14:paraId="69E4ED20" w14:textId="77777777" w:rsidR="00D434FF" w:rsidRPr="002E6E0F" w:rsidRDefault="005D106E">
      <w:pPr>
        <w:widowControl w:val="0"/>
        <w:jc w:val="both"/>
        <w:rPr>
          <w:color w:val="212121"/>
          <w:lang w:val="en-US"/>
        </w:rPr>
      </w:pPr>
      <w:r w:rsidRPr="002E6E0F">
        <w:rPr>
          <w:color w:val="212121"/>
          <w:lang w:val="en-US"/>
        </w:rPr>
        <w:t>Johnson, M. W., &amp; Griffiths, R. R. (2017). Potential Therapeutic Effects of Psilocybin.</w:t>
      </w:r>
    </w:p>
    <w:p w14:paraId="0E69E402" w14:textId="77777777" w:rsidR="00D434FF" w:rsidRPr="002E6E0F" w:rsidRDefault="005D106E">
      <w:pPr>
        <w:widowControl w:val="0"/>
        <w:ind w:left="850"/>
        <w:jc w:val="both"/>
        <w:rPr>
          <w:color w:val="212121"/>
          <w:lang w:val="en-US"/>
        </w:rPr>
      </w:pPr>
      <w:proofErr w:type="gramStart"/>
      <w:r w:rsidRPr="002E6E0F">
        <w:rPr>
          <w:i/>
          <w:color w:val="212121"/>
          <w:lang w:val="en-US"/>
        </w:rPr>
        <w:t>Neurotherapeutics :</w:t>
      </w:r>
      <w:proofErr w:type="gramEnd"/>
      <w:r w:rsidRPr="002E6E0F">
        <w:rPr>
          <w:i/>
          <w:color w:val="212121"/>
          <w:lang w:val="en-US"/>
        </w:rPr>
        <w:t xml:space="preserve"> The Journal of the American Society for Experimental </w:t>
      </w:r>
      <w:proofErr w:type="spellStart"/>
      <w:r w:rsidRPr="002E6E0F">
        <w:rPr>
          <w:i/>
          <w:color w:val="212121"/>
          <w:lang w:val="en-US"/>
        </w:rPr>
        <w:t>NeuroTherapeutics</w:t>
      </w:r>
      <w:proofErr w:type="spellEnd"/>
      <w:r w:rsidRPr="002E6E0F">
        <w:rPr>
          <w:color w:val="212121"/>
          <w:lang w:val="en-US"/>
        </w:rPr>
        <w:t xml:space="preserve">, 14(3), 734–740. </w:t>
      </w:r>
      <w:hyperlink r:id="rId34">
        <w:r w:rsidRPr="002E6E0F">
          <w:rPr>
            <w:color w:val="212121"/>
            <w:u w:val="single"/>
            <w:lang w:val="en-US"/>
          </w:rPr>
          <w:t>https://doi.org/10.1007/S13311-017-0542-Y</w:t>
        </w:r>
      </w:hyperlink>
    </w:p>
    <w:p w14:paraId="0F5CCC1D" w14:textId="77777777" w:rsidR="00D434FF" w:rsidRPr="002E6E0F" w:rsidRDefault="005D106E">
      <w:pPr>
        <w:jc w:val="both"/>
        <w:rPr>
          <w:color w:val="212121"/>
          <w:lang w:val="en-US"/>
        </w:rPr>
      </w:pPr>
      <w:r w:rsidRPr="002E6E0F">
        <w:rPr>
          <w:color w:val="212121"/>
          <w:lang w:val="en-US"/>
        </w:rPr>
        <w:t xml:space="preserve">Kirsch </w:t>
      </w:r>
      <w:r w:rsidRPr="002E6E0F">
        <w:rPr>
          <w:i/>
          <w:color w:val="212121"/>
          <w:lang w:val="en-US"/>
        </w:rPr>
        <w:t>et al.</w:t>
      </w:r>
      <w:r w:rsidRPr="002E6E0F">
        <w:rPr>
          <w:color w:val="212121"/>
          <w:lang w:val="en-US"/>
        </w:rPr>
        <w:t xml:space="preserve"> (2008). Initial Severity and Antidepressant Benefits: A Meta-Analysis of Data</w:t>
      </w:r>
    </w:p>
    <w:p w14:paraId="760F2E87" w14:textId="77777777" w:rsidR="00D434FF" w:rsidRPr="00031D66" w:rsidRDefault="005D106E">
      <w:pPr>
        <w:ind w:firstLine="850"/>
        <w:jc w:val="both"/>
        <w:rPr>
          <w:color w:val="212121"/>
          <w:lang w:val="es-AR"/>
        </w:rPr>
      </w:pPr>
      <w:r w:rsidRPr="002E6E0F">
        <w:rPr>
          <w:color w:val="212121"/>
          <w:lang w:val="en-US"/>
        </w:rPr>
        <w:t xml:space="preserve">Submitted to the Food and Drug Administration. </w:t>
      </w:r>
      <w:r w:rsidRPr="00031D66">
        <w:rPr>
          <w:i/>
          <w:color w:val="212121"/>
          <w:lang w:val="es-AR"/>
        </w:rPr>
        <w:t>PLOS Medicine</w:t>
      </w:r>
      <w:r w:rsidRPr="00031D66">
        <w:rPr>
          <w:color w:val="212121"/>
          <w:lang w:val="es-AR"/>
        </w:rPr>
        <w:t>, 5(2), e45.</w:t>
      </w:r>
    </w:p>
    <w:p w14:paraId="3F78E183" w14:textId="77777777" w:rsidR="00D434FF" w:rsidRPr="00031D66" w:rsidRDefault="005D106E">
      <w:pPr>
        <w:ind w:firstLine="850"/>
        <w:jc w:val="both"/>
        <w:rPr>
          <w:color w:val="212121"/>
          <w:lang w:val="es-AR"/>
        </w:rPr>
      </w:pPr>
      <w:r>
        <w:fldChar w:fldCharType="begin"/>
      </w:r>
      <w:r w:rsidRPr="00031D66">
        <w:rPr>
          <w:lang w:val="es-AR"/>
        </w:rPr>
        <w:instrText>HYPERLINK "https://doi.org/10.1371/JOURNAL.PMED.0050045" \h</w:instrText>
      </w:r>
      <w:r>
        <w:fldChar w:fldCharType="separate"/>
      </w:r>
      <w:r w:rsidRPr="00031D66">
        <w:rPr>
          <w:color w:val="212121"/>
          <w:u w:val="single"/>
          <w:lang w:val="es-AR"/>
        </w:rPr>
        <w:t>https://doi.org/10.1371/JOURNAL.PMED.0050045</w:t>
      </w:r>
      <w:r>
        <w:fldChar w:fldCharType="end"/>
      </w:r>
    </w:p>
    <w:p w14:paraId="1B702ACB" w14:textId="77777777" w:rsidR="00D434FF" w:rsidRPr="007E4DFC" w:rsidRDefault="005D106E">
      <w:pPr>
        <w:widowControl w:val="0"/>
        <w:jc w:val="both"/>
      </w:pPr>
      <w:proofErr w:type="spellStart"/>
      <w:proofErr w:type="gramStart"/>
      <w:r w:rsidRPr="007E4DFC">
        <w:t>Kostic</w:t>
      </w:r>
      <w:proofErr w:type="spellEnd"/>
      <w:r w:rsidRPr="007E4DFC">
        <w:t xml:space="preserve"> ,</w:t>
      </w:r>
      <w:proofErr w:type="gramEnd"/>
      <w:r w:rsidRPr="007E4DFC">
        <w:t xml:space="preserve"> V., &amp; </w:t>
      </w:r>
      <w:proofErr w:type="spellStart"/>
      <w:r w:rsidRPr="007E4DFC">
        <w:t>Agrela</w:t>
      </w:r>
      <w:proofErr w:type="spellEnd"/>
      <w:r w:rsidRPr="007E4DFC">
        <w:t xml:space="preserve"> Rodrigues, F. de A. (2023). Neurotransmissores Relacionados A</w:t>
      </w:r>
    </w:p>
    <w:p w14:paraId="39267D2C" w14:textId="77777777" w:rsidR="00D434FF" w:rsidRPr="007E4DFC" w:rsidRDefault="005D106E">
      <w:pPr>
        <w:widowControl w:val="0"/>
        <w:ind w:left="850"/>
        <w:jc w:val="both"/>
      </w:pPr>
      <w:r w:rsidRPr="007E4DFC">
        <w:t xml:space="preserve">Doenças E Transtornos Mentais. </w:t>
      </w:r>
      <w:proofErr w:type="spellStart"/>
      <w:r w:rsidRPr="007E4DFC">
        <w:rPr>
          <w:i/>
        </w:rPr>
        <w:t>Ciencia</w:t>
      </w:r>
      <w:proofErr w:type="spellEnd"/>
      <w:r w:rsidRPr="007E4DFC">
        <w:rPr>
          <w:i/>
        </w:rPr>
        <w:t xml:space="preserve"> Latina Revista Científica Multidisciplinar</w:t>
      </w:r>
      <w:r w:rsidRPr="007E4DFC">
        <w:t xml:space="preserve">, </w:t>
      </w:r>
    </w:p>
    <w:p w14:paraId="149CC925" w14:textId="77777777" w:rsidR="00D434FF" w:rsidRPr="007E4DFC" w:rsidRDefault="005D106E">
      <w:pPr>
        <w:widowControl w:val="0"/>
        <w:ind w:firstLine="850"/>
        <w:jc w:val="both"/>
        <w:rPr>
          <w:color w:val="212121"/>
        </w:rPr>
      </w:pPr>
      <w:r w:rsidRPr="007E4DFC">
        <w:rPr>
          <w:i/>
        </w:rPr>
        <w:t>7</w:t>
      </w:r>
      <w:r w:rsidRPr="007E4DFC">
        <w:t>(5), 2872-2885. https://doi.org/10.37811/cl_rcm.v7i5.7924</w:t>
      </w:r>
    </w:p>
    <w:p w14:paraId="5DDD40D8" w14:textId="77777777" w:rsidR="00D434FF" w:rsidRPr="002E6E0F" w:rsidRDefault="005D106E">
      <w:pPr>
        <w:widowControl w:val="0"/>
        <w:jc w:val="both"/>
        <w:rPr>
          <w:i/>
          <w:color w:val="212121"/>
          <w:lang w:val="en-US"/>
        </w:rPr>
      </w:pPr>
      <w:r w:rsidRPr="002E6E0F">
        <w:rPr>
          <w:color w:val="212121"/>
          <w:lang w:val="en-US"/>
        </w:rPr>
        <w:t xml:space="preserve">Kuehner C. (2017). Why is depression more common among women than among </w:t>
      </w:r>
      <w:proofErr w:type="gramStart"/>
      <w:r w:rsidRPr="002E6E0F">
        <w:rPr>
          <w:color w:val="212121"/>
          <w:lang w:val="en-US"/>
        </w:rPr>
        <w:t>men?.</w:t>
      </w:r>
      <w:proofErr w:type="gramEnd"/>
      <w:r w:rsidRPr="002E6E0F">
        <w:rPr>
          <w:color w:val="212121"/>
          <w:lang w:val="en-US"/>
        </w:rPr>
        <w:t xml:space="preserve"> </w:t>
      </w:r>
      <w:r w:rsidRPr="002E6E0F">
        <w:rPr>
          <w:i/>
          <w:color w:val="212121"/>
          <w:lang w:val="en-US"/>
        </w:rPr>
        <w:t>The</w:t>
      </w:r>
    </w:p>
    <w:p w14:paraId="0C0D8559" w14:textId="77777777" w:rsidR="00D434FF" w:rsidRPr="002E6E0F" w:rsidRDefault="005D106E">
      <w:pPr>
        <w:widowControl w:val="0"/>
        <w:ind w:left="850"/>
        <w:jc w:val="both"/>
        <w:rPr>
          <w:color w:val="212121"/>
          <w:lang w:val="en-US"/>
        </w:rPr>
      </w:pPr>
      <w:r w:rsidRPr="002E6E0F">
        <w:rPr>
          <w:i/>
          <w:color w:val="212121"/>
          <w:lang w:val="en-US"/>
        </w:rPr>
        <w:t>lancet. Psychiatry</w:t>
      </w:r>
      <w:r w:rsidRPr="002E6E0F">
        <w:rPr>
          <w:color w:val="212121"/>
          <w:lang w:val="en-US"/>
        </w:rPr>
        <w:t xml:space="preserve">, 4(2), 146–158. </w:t>
      </w:r>
      <w:r>
        <w:fldChar w:fldCharType="begin"/>
      </w:r>
      <w:r w:rsidRPr="00031D66">
        <w:rPr>
          <w:lang w:val="es-AR"/>
        </w:rPr>
        <w:instrText>HYPERLINK "https://doi.org/10.1016/S2215-0366(16)30263-2" \h</w:instrText>
      </w:r>
      <w:r>
        <w:fldChar w:fldCharType="separate"/>
      </w:r>
      <w:r w:rsidRPr="002E6E0F">
        <w:rPr>
          <w:color w:val="1155CC"/>
          <w:u w:val="single"/>
          <w:lang w:val="en-US"/>
        </w:rPr>
        <w:t>https://doi.org/10.1016/S2215-0366(16)30263-2</w:t>
      </w:r>
      <w:r>
        <w:fldChar w:fldCharType="end"/>
      </w:r>
    </w:p>
    <w:p w14:paraId="7DC169DD" w14:textId="77777777" w:rsidR="00D434FF" w:rsidRPr="002E6E0F" w:rsidRDefault="005D106E">
      <w:pPr>
        <w:widowControl w:val="0"/>
        <w:jc w:val="both"/>
        <w:rPr>
          <w:color w:val="212121"/>
          <w:lang w:val="en-US"/>
        </w:rPr>
      </w:pPr>
      <w:r w:rsidRPr="002E6E0F">
        <w:rPr>
          <w:color w:val="212121"/>
          <w:lang w:val="en-US"/>
        </w:rPr>
        <w:t xml:space="preserve">Lacroix </w:t>
      </w:r>
      <w:r w:rsidRPr="002E6E0F">
        <w:rPr>
          <w:i/>
          <w:color w:val="212121"/>
          <w:lang w:val="en-US"/>
        </w:rPr>
        <w:t xml:space="preserve">et al. </w:t>
      </w:r>
      <w:r w:rsidRPr="002E6E0F">
        <w:rPr>
          <w:color w:val="212121"/>
          <w:lang w:val="en-US"/>
        </w:rPr>
        <w:t>(2024). Psychedelics and the treatment of eating disorders: considerations for</w:t>
      </w:r>
    </w:p>
    <w:p w14:paraId="00074EE1" w14:textId="77777777" w:rsidR="00D434FF" w:rsidRPr="007E4DFC" w:rsidRDefault="005D106E">
      <w:pPr>
        <w:widowControl w:val="0"/>
        <w:ind w:left="850"/>
        <w:jc w:val="both"/>
        <w:rPr>
          <w:color w:val="212121"/>
        </w:rPr>
      </w:pPr>
      <w:r w:rsidRPr="002E6E0F">
        <w:rPr>
          <w:color w:val="212121"/>
          <w:lang w:val="en-US"/>
        </w:rPr>
        <w:t xml:space="preserve">future research and practice. </w:t>
      </w:r>
      <w:r w:rsidRPr="002E6E0F">
        <w:rPr>
          <w:i/>
          <w:color w:val="212121"/>
          <w:lang w:val="en-US"/>
        </w:rPr>
        <w:t>Journal of Eating Disorders 2024 12:1</w:t>
      </w:r>
      <w:r w:rsidRPr="002E6E0F">
        <w:rPr>
          <w:color w:val="212121"/>
          <w:lang w:val="en-US"/>
        </w:rPr>
        <w:t xml:space="preserve">, </w:t>
      </w:r>
      <w:r w:rsidRPr="002E6E0F">
        <w:rPr>
          <w:i/>
          <w:color w:val="212121"/>
          <w:lang w:val="en-US"/>
        </w:rPr>
        <w:t>12</w:t>
      </w:r>
      <w:r w:rsidRPr="002E6E0F">
        <w:rPr>
          <w:color w:val="212121"/>
          <w:lang w:val="en-US"/>
        </w:rPr>
        <w:t xml:space="preserve">(1), 1–12. </w:t>
      </w:r>
      <w:hyperlink r:id="rId35">
        <w:r w:rsidRPr="007E4DFC">
          <w:rPr>
            <w:color w:val="1155CC"/>
            <w:u w:val="single"/>
          </w:rPr>
          <w:t>https://doi.org/10.1186/S40337-024-01125-6</w:t>
        </w:r>
      </w:hyperlink>
    </w:p>
    <w:p w14:paraId="3369D080" w14:textId="77777777" w:rsidR="00D434FF" w:rsidRPr="007E4DFC" w:rsidRDefault="005D106E">
      <w:pPr>
        <w:ind w:left="850" w:hanging="850"/>
        <w:jc w:val="both"/>
        <w:rPr>
          <w:color w:val="212121"/>
        </w:rPr>
      </w:pPr>
      <w:r w:rsidRPr="007E4DFC">
        <w:rPr>
          <w:color w:val="212121"/>
        </w:rPr>
        <w:t xml:space="preserve">Lafer, B., &amp; Filho, H. P. V. (1999). Genética e fisiopatologia dos transtornos depressivos. </w:t>
      </w:r>
      <w:r w:rsidRPr="007E4DFC">
        <w:rPr>
          <w:i/>
          <w:color w:val="212121"/>
        </w:rPr>
        <w:t>Revista Brasileira de Psiquiatria</w:t>
      </w:r>
      <w:r w:rsidRPr="007E4DFC">
        <w:rPr>
          <w:color w:val="212121"/>
        </w:rPr>
        <w:t xml:space="preserve">, </w:t>
      </w:r>
      <w:r w:rsidRPr="007E4DFC">
        <w:rPr>
          <w:i/>
          <w:color w:val="212121"/>
        </w:rPr>
        <w:t>21</w:t>
      </w:r>
      <w:r w:rsidRPr="007E4DFC">
        <w:rPr>
          <w:color w:val="212121"/>
        </w:rPr>
        <w:t>(</w:t>
      </w:r>
      <w:proofErr w:type="spellStart"/>
      <w:r w:rsidRPr="007E4DFC">
        <w:rPr>
          <w:color w:val="212121"/>
        </w:rPr>
        <w:t>suppl</w:t>
      </w:r>
      <w:proofErr w:type="spellEnd"/>
      <w:r w:rsidRPr="007E4DFC">
        <w:rPr>
          <w:color w:val="212121"/>
        </w:rPr>
        <w:t xml:space="preserve"> 1), 12–17. </w:t>
      </w:r>
      <w:hyperlink r:id="rId36">
        <w:r w:rsidRPr="007E4DFC">
          <w:rPr>
            <w:color w:val="212121"/>
            <w:u w:val="single"/>
          </w:rPr>
          <w:t>https://doi.org/10.1590/S1516-44461999000500004</w:t>
        </w:r>
      </w:hyperlink>
    </w:p>
    <w:p w14:paraId="7D709245" w14:textId="3624BF61" w:rsidR="00D434FF" w:rsidRPr="002E6E0F" w:rsidRDefault="005D106E">
      <w:pPr>
        <w:widowControl w:val="0"/>
        <w:ind w:left="850" w:hanging="850"/>
        <w:jc w:val="both"/>
        <w:rPr>
          <w:lang w:val="en-US"/>
        </w:rPr>
      </w:pPr>
      <w:proofErr w:type="spellStart"/>
      <w:r w:rsidRPr="007E4DFC">
        <w:t>Linartevichi</w:t>
      </w:r>
      <w:proofErr w:type="spellEnd"/>
      <w:r w:rsidR="00177832">
        <w:t xml:space="preserve"> </w:t>
      </w:r>
      <w:r w:rsidR="00177832" w:rsidRPr="00177832">
        <w:rPr>
          <w:i/>
          <w:iCs/>
        </w:rPr>
        <w:t>et al</w:t>
      </w:r>
      <w:r w:rsidRPr="007E4DFC">
        <w:t>. (2021). Potencial uso da psilocibina no tratamento da depressão: uma revisão /</w:t>
      </w:r>
      <w:proofErr w:type="spellStart"/>
      <w:r w:rsidRPr="007E4DFC">
        <w:t>Potential</w:t>
      </w:r>
      <w:proofErr w:type="spellEnd"/>
      <w:r w:rsidRPr="007E4DFC">
        <w:t xml:space="preserve"> use </w:t>
      </w:r>
      <w:proofErr w:type="spellStart"/>
      <w:r w:rsidRPr="007E4DFC">
        <w:t>of</w:t>
      </w:r>
      <w:proofErr w:type="spellEnd"/>
      <w:r w:rsidRPr="007E4DFC">
        <w:t xml:space="preserve"> </w:t>
      </w:r>
      <w:proofErr w:type="spellStart"/>
      <w:r w:rsidRPr="007E4DFC">
        <w:t>psilocybin</w:t>
      </w:r>
      <w:proofErr w:type="spellEnd"/>
      <w:r w:rsidRPr="007E4DFC">
        <w:t xml:space="preserve"> in </w:t>
      </w:r>
      <w:proofErr w:type="spellStart"/>
      <w:r w:rsidRPr="007E4DFC">
        <w:t>the</w:t>
      </w:r>
      <w:proofErr w:type="spellEnd"/>
      <w:r w:rsidRPr="007E4DFC">
        <w:t xml:space="preserve"> </w:t>
      </w:r>
      <w:proofErr w:type="spellStart"/>
      <w:r w:rsidRPr="007E4DFC">
        <w:t>depression</w:t>
      </w:r>
      <w:proofErr w:type="spellEnd"/>
      <w:r w:rsidRPr="007E4DFC">
        <w:t xml:space="preserve"> </w:t>
      </w:r>
      <w:proofErr w:type="spellStart"/>
      <w:r w:rsidRPr="007E4DFC">
        <w:t>treatment</w:t>
      </w:r>
      <w:proofErr w:type="spellEnd"/>
      <w:r w:rsidRPr="007E4DFC">
        <w:t xml:space="preserve">: a review. </w:t>
      </w:r>
      <w:r w:rsidRPr="002E6E0F">
        <w:rPr>
          <w:i/>
          <w:lang w:val="en-US"/>
        </w:rPr>
        <w:t>Brazilian Journal of Development</w:t>
      </w:r>
      <w:r w:rsidRPr="002E6E0F">
        <w:rPr>
          <w:lang w:val="en-US"/>
        </w:rPr>
        <w:t xml:space="preserve">, </w:t>
      </w:r>
      <w:r w:rsidRPr="002E6E0F">
        <w:rPr>
          <w:i/>
          <w:lang w:val="en-US"/>
        </w:rPr>
        <w:t>7</w:t>
      </w:r>
      <w:r w:rsidRPr="002E6E0F">
        <w:rPr>
          <w:lang w:val="en-US"/>
        </w:rPr>
        <w:t xml:space="preserve">(3), 32270–32288. </w:t>
      </w:r>
      <w:r>
        <w:fldChar w:fldCharType="begin"/>
      </w:r>
      <w:r w:rsidRPr="00031D66">
        <w:rPr>
          <w:lang w:val="es-AR"/>
        </w:rPr>
        <w:instrText>HYPERLINK "https://doi.org/10.34117/bjdv7n3-783" \h</w:instrText>
      </w:r>
      <w:r>
        <w:fldChar w:fldCharType="separate"/>
      </w:r>
      <w:r w:rsidRPr="002E6E0F">
        <w:rPr>
          <w:color w:val="1155CC"/>
          <w:u w:val="single"/>
          <w:lang w:val="en-US"/>
        </w:rPr>
        <w:t>https://doi.org/10.34117/bjdv7n3-783</w:t>
      </w:r>
      <w:r>
        <w:fldChar w:fldCharType="end"/>
      </w:r>
    </w:p>
    <w:p w14:paraId="62A84B63" w14:textId="77777777" w:rsidR="00D434FF" w:rsidRPr="002E6E0F" w:rsidRDefault="005D106E">
      <w:pPr>
        <w:widowControl w:val="0"/>
        <w:jc w:val="both"/>
        <w:rPr>
          <w:color w:val="212121"/>
          <w:lang w:val="en-US"/>
        </w:rPr>
      </w:pPr>
      <w:r w:rsidRPr="002E6E0F">
        <w:rPr>
          <w:color w:val="212121"/>
          <w:lang w:val="en-US"/>
        </w:rPr>
        <w:t>Lowe</w:t>
      </w:r>
      <w:r w:rsidRPr="002E6E0F">
        <w:rPr>
          <w:i/>
          <w:color w:val="212121"/>
          <w:lang w:val="en-US"/>
        </w:rPr>
        <w:t xml:space="preserve"> et al.</w:t>
      </w:r>
      <w:r w:rsidRPr="002E6E0F">
        <w:rPr>
          <w:color w:val="212121"/>
          <w:lang w:val="en-US"/>
        </w:rPr>
        <w:t xml:space="preserve"> (2021). The Therapeutic Potential of Psilocybin. </w:t>
      </w:r>
      <w:r w:rsidRPr="002E6E0F">
        <w:rPr>
          <w:i/>
          <w:color w:val="212121"/>
          <w:lang w:val="en-US"/>
        </w:rPr>
        <w:t>Molecules (Basel, Switzerland)</w:t>
      </w:r>
      <w:r w:rsidRPr="002E6E0F">
        <w:rPr>
          <w:color w:val="212121"/>
          <w:lang w:val="en-US"/>
        </w:rPr>
        <w:t>,</w:t>
      </w:r>
    </w:p>
    <w:p w14:paraId="6D610B93" w14:textId="77777777" w:rsidR="00D434FF" w:rsidRPr="002E6E0F" w:rsidRDefault="005D106E">
      <w:pPr>
        <w:widowControl w:val="0"/>
        <w:ind w:firstLine="850"/>
        <w:jc w:val="both"/>
        <w:rPr>
          <w:color w:val="212121"/>
          <w:lang w:val="en-US"/>
        </w:rPr>
      </w:pPr>
      <w:r w:rsidRPr="002E6E0F">
        <w:rPr>
          <w:i/>
          <w:color w:val="212121"/>
          <w:lang w:val="en-US"/>
        </w:rPr>
        <w:t>26</w:t>
      </w:r>
      <w:r w:rsidRPr="002E6E0F">
        <w:rPr>
          <w:color w:val="212121"/>
          <w:lang w:val="en-US"/>
        </w:rPr>
        <w:t xml:space="preserve">(10). </w:t>
      </w:r>
      <w:r>
        <w:fldChar w:fldCharType="begin"/>
      </w:r>
      <w:r w:rsidRPr="00031D66">
        <w:rPr>
          <w:lang w:val="es-AR"/>
        </w:rPr>
        <w:instrText>HYPERLINK "https://doi.org/10.3390/MOLECULES26102948" \h</w:instrText>
      </w:r>
      <w:r>
        <w:fldChar w:fldCharType="separate"/>
      </w:r>
      <w:r w:rsidRPr="002E6E0F">
        <w:rPr>
          <w:color w:val="212121"/>
          <w:u w:val="single"/>
          <w:lang w:val="en-US"/>
        </w:rPr>
        <w:t>https://doi.org/10.3390/MOLECULES26102948</w:t>
      </w:r>
      <w:r>
        <w:fldChar w:fldCharType="end"/>
      </w:r>
    </w:p>
    <w:p w14:paraId="3F05F4D9" w14:textId="77777777" w:rsidR="00D434FF" w:rsidRPr="002E6E0F" w:rsidRDefault="005D106E">
      <w:pPr>
        <w:jc w:val="both"/>
        <w:rPr>
          <w:i/>
          <w:lang w:val="en-US"/>
        </w:rPr>
      </w:pPr>
      <w:r w:rsidRPr="002E6E0F">
        <w:rPr>
          <w:lang w:val="en-US"/>
        </w:rPr>
        <w:t xml:space="preserve">Ly </w:t>
      </w:r>
      <w:r w:rsidRPr="002E6E0F">
        <w:rPr>
          <w:i/>
          <w:lang w:val="en-US"/>
        </w:rPr>
        <w:t>et al</w:t>
      </w:r>
      <w:r w:rsidRPr="002E6E0F">
        <w:rPr>
          <w:lang w:val="en-US"/>
        </w:rPr>
        <w:t xml:space="preserve">. (2018). Psychedelics Promote Structural and Functional Neural Plasticity. </w:t>
      </w:r>
      <w:r w:rsidRPr="002E6E0F">
        <w:rPr>
          <w:i/>
          <w:lang w:val="en-US"/>
        </w:rPr>
        <w:t>Cell</w:t>
      </w:r>
    </w:p>
    <w:p w14:paraId="628EF8C7" w14:textId="77777777" w:rsidR="00D434FF" w:rsidRPr="002E6E0F" w:rsidRDefault="005D106E">
      <w:pPr>
        <w:ind w:left="850"/>
        <w:jc w:val="both"/>
        <w:rPr>
          <w:color w:val="212121"/>
          <w:lang w:val="en-US"/>
        </w:rPr>
      </w:pPr>
      <w:r w:rsidRPr="002E6E0F">
        <w:rPr>
          <w:i/>
          <w:lang w:val="en-US"/>
        </w:rPr>
        <w:t>reports</w:t>
      </w:r>
      <w:r w:rsidRPr="002E6E0F">
        <w:rPr>
          <w:lang w:val="en-US"/>
        </w:rPr>
        <w:t xml:space="preserve">, </w:t>
      </w:r>
      <w:r w:rsidRPr="002E6E0F">
        <w:rPr>
          <w:i/>
          <w:lang w:val="en-US"/>
        </w:rPr>
        <w:t>23</w:t>
      </w:r>
      <w:r w:rsidRPr="002E6E0F">
        <w:rPr>
          <w:lang w:val="en-US"/>
        </w:rPr>
        <w:t xml:space="preserve">(11), 3170–3182. </w:t>
      </w:r>
      <w:r>
        <w:fldChar w:fldCharType="begin"/>
      </w:r>
      <w:r w:rsidRPr="00031D66">
        <w:rPr>
          <w:lang w:val="es-AR"/>
        </w:rPr>
        <w:instrText>HYPERLINK "https://doi.org/10.1016/j.celrep.2018.05.022" \h</w:instrText>
      </w:r>
      <w:r>
        <w:fldChar w:fldCharType="separate"/>
      </w:r>
      <w:r w:rsidRPr="002E6E0F">
        <w:rPr>
          <w:color w:val="1155CC"/>
          <w:u w:val="single"/>
          <w:lang w:val="en-US"/>
        </w:rPr>
        <w:t>https://doi.org/10.1016/j.celrep.2018.05.022</w:t>
      </w:r>
      <w:r>
        <w:fldChar w:fldCharType="end"/>
      </w:r>
    </w:p>
    <w:p w14:paraId="21EAE33B" w14:textId="77777777" w:rsidR="00D434FF" w:rsidRPr="00031D66" w:rsidRDefault="005D106E" w:rsidP="00D350A5">
      <w:pPr>
        <w:ind w:left="851" w:hanging="851"/>
        <w:jc w:val="both"/>
        <w:rPr>
          <w:color w:val="212121"/>
          <w:lang w:val="es-AR"/>
        </w:rPr>
      </w:pPr>
      <w:proofErr w:type="spellStart"/>
      <w:r w:rsidRPr="002E6E0F">
        <w:rPr>
          <w:lang w:val="en-US"/>
        </w:rPr>
        <w:t>Mocaiber</w:t>
      </w:r>
      <w:proofErr w:type="spellEnd"/>
      <w:r w:rsidRPr="002E6E0F">
        <w:rPr>
          <w:lang w:val="en-US"/>
        </w:rPr>
        <w:t xml:space="preserve"> </w:t>
      </w:r>
      <w:r w:rsidRPr="002E6E0F">
        <w:rPr>
          <w:i/>
          <w:lang w:val="en-US"/>
        </w:rPr>
        <w:t>et al</w:t>
      </w:r>
      <w:r w:rsidRPr="002E6E0F">
        <w:rPr>
          <w:lang w:val="en-US"/>
        </w:rPr>
        <w:t xml:space="preserve">. (2008). Neurobiology of emotion regulation: implications for cognitive-behavioral therapy. </w:t>
      </w:r>
      <w:r w:rsidRPr="007E4DFC">
        <w:rPr>
          <w:i/>
        </w:rPr>
        <w:t>Psicologia Em Estudo, 13</w:t>
      </w:r>
      <w:r w:rsidRPr="007E4DFC">
        <w:t xml:space="preserve">, 531-538. </w:t>
      </w:r>
      <w:hyperlink r:id="rId37">
        <w:r w:rsidRPr="00031D66">
          <w:rPr>
            <w:u w:val="single"/>
            <w:lang w:val="es-AR"/>
          </w:rPr>
          <w:t>http://dx.doi.org/10.1590/S1413-73722008000300014</w:t>
        </w:r>
      </w:hyperlink>
      <w:r w:rsidRPr="00031D66">
        <w:rPr>
          <w:lang w:val="es-AR"/>
        </w:rPr>
        <w:t xml:space="preserve">. </w:t>
      </w:r>
    </w:p>
    <w:p w14:paraId="4B1C085A" w14:textId="77777777" w:rsidR="00D434FF" w:rsidRPr="002E6E0F" w:rsidRDefault="005D106E">
      <w:pPr>
        <w:widowControl w:val="0"/>
        <w:jc w:val="both"/>
        <w:rPr>
          <w:color w:val="212121"/>
          <w:lang w:val="en-US"/>
        </w:rPr>
      </w:pPr>
      <w:r w:rsidRPr="00031D66">
        <w:rPr>
          <w:color w:val="212121"/>
          <w:lang w:val="es-AR"/>
        </w:rPr>
        <w:t xml:space="preserve">Marley, J.E. (2000). </w:t>
      </w:r>
      <w:r w:rsidRPr="002E6E0F">
        <w:rPr>
          <w:color w:val="212121"/>
          <w:lang w:val="en-US"/>
        </w:rPr>
        <w:t xml:space="preserve">Efficacy, effectiveness, efficiency. </w:t>
      </w:r>
      <w:r w:rsidRPr="002E6E0F">
        <w:rPr>
          <w:i/>
          <w:color w:val="212121"/>
          <w:lang w:val="en-US"/>
        </w:rPr>
        <w:t xml:space="preserve">Australian Prescriber, </w:t>
      </w:r>
      <w:r w:rsidRPr="002E6E0F">
        <w:rPr>
          <w:color w:val="212121"/>
          <w:lang w:val="en-US"/>
        </w:rPr>
        <w:t>23, 114-115.</w:t>
      </w:r>
    </w:p>
    <w:p w14:paraId="0D794E33" w14:textId="77777777" w:rsidR="00D434FF" w:rsidRPr="002E6E0F" w:rsidRDefault="005D106E">
      <w:pPr>
        <w:widowControl w:val="0"/>
        <w:ind w:left="850" w:hanging="850"/>
        <w:jc w:val="both"/>
        <w:rPr>
          <w:color w:val="212121"/>
          <w:lang w:val="en-US"/>
        </w:rPr>
      </w:pPr>
      <w:r w:rsidRPr="002E6E0F">
        <w:rPr>
          <w:color w:val="212121"/>
          <w:lang w:val="en-US"/>
        </w:rPr>
        <w:t xml:space="preserve">Moreno </w:t>
      </w:r>
      <w:r w:rsidRPr="002E6E0F">
        <w:rPr>
          <w:i/>
          <w:color w:val="212121"/>
          <w:lang w:val="en-US"/>
        </w:rPr>
        <w:t>et al.</w:t>
      </w:r>
      <w:r w:rsidRPr="002E6E0F">
        <w:rPr>
          <w:color w:val="212121"/>
          <w:lang w:val="en-US"/>
        </w:rPr>
        <w:t xml:space="preserve"> (2006). Safety, Tolerability, and Efficacy of Psilocybin in 9 Patients </w:t>
      </w:r>
      <w:proofErr w:type="gramStart"/>
      <w:r w:rsidRPr="002E6E0F">
        <w:rPr>
          <w:color w:val="212121"/>
          <w:lang w:val="en-US"/>
        </w:rPr>
        <w:t>With</w:t>
      </w:r>
      <w:proofErr w:type="gramEnd"/>
      <w:r w:rsidRPr="002E6E0F">
        <w:rPr>
          <w:color w:val="212121"/>
          <w:lang w:val="en-US"/>
        </w:rPr>
        <w:t xml:space="preserve"> Obsessive-Compulsive Disorder. </w:t>
      </w:r>
      <w:r w:rsidRPr="002E6E0F">
        <w:rPr>
          <w:i/>
          <w:color w:val="212121"/>
          <w:lang w:val="en-US"/>
        </w:rPr>
        <w:t>The Journal of Clinical Psychiatry</w:t>
      </w:r>
      <w:r w:rsidRPr="002E6E0F">
        <w:rPr>
          <w:color w:val="212121"/>
          <w:lang w:val="en-US"/>
        </w:rPr>
        <w:t xml:space="preserve">, 67(11), 18864. </w:t>
      </w:r>
      <w:hyperlink r:id="rId38">
        <w:r w:rsidRPr="002E6E0F">
          <w:rPr>
            <w:color w:val="1155CC"/>
            <w:u w:val="single"/>
            <w:lang w:val="en-US"/>
          </w:rPr>
          <w:t>https://doi.org/10.4088/jcp.v67n1110</w:t>
        </w:r>
      </w:hyperlink>
    </w:p>
    <w:p w14:paraId="01B9A46B" w14:textId="77777777" w:rsidR="00D434FF" w:rsidRPr="007E4DFC" w:rsidRDefault="005D106E">
      <w:pPr>
        <w:widowControl w:val="0"/>
        <w:jc w:val="both"/>
        <w:rPr>
          <w:color w:val="212121"/>
        </w:rPr>
      </w:pPr>
      <w:r w:rsidRPr="002E6E0F">
        <w:rPr>
          <w:color w:val="212121"/>
          <w:lang w:val="en-US"/>
        </w:rPr>
        <w:t xml:space="preserve">Moreno </w:t>
      </w:r>
      <w:r w:rsidRPr="002E6E0F">
        <w:rPr>
          <w:i/>
          <w:color w:val="212121"/>
          <w:lang w:val="en-US"/>
        </w:rPr>
        <w:t>et al.</w:t>
      </w:r>
      <w:r w:rsidRPr="002E6E0F">
        <w:rPr>
          <w:color w:val="212121"/>
          <w:lang w:val="en-US"/>
        </w:rPr>
        <w:t xml:space="preserve"> </w:t>
      </w:r>
      <w:r w:rsidRPr="007E4DFC">
        <w:rPr>
          <w:color w:val="212121"/>
        </w:rPr>
        <w:t xml:space="preserve">(1999). Psicofarmacologia de antidepressivos. </w:t>
      </w:r>
      <w:proofErr w:type="spellStart"/>
      <w:r w:rsidRPr="007E4DFC">
        <w:rPr>
          <w:i/>
          <w:color w:val="212121"/>
        </w:rPr>
        <w:t>Brazilian</w:t>
      </w:r>
      <w:proofErr w:type="spellEnd"/>
      <w:r w:rsidRPr="007E4DFC">
        <w:rPr>
          <w:i/>
          <w:color w:val="212121"/>
        </w:rPr>
        <w:t xml:space="preserve"> </w:t>
      </w:r>
      <w:proofErr w:type="spellStart"/>
      <w:r w:rsidRPr="007E4DFC">
        <w:rPr>
          <w:i/>
          <w:color w:val="212121"/>
        </w:rPr>
        <w:t>Journal</w:t>
      </w:r>
      <w:proofErr w:type="spellEnd"/>
      <w:r w:rsidRPr="007E4DFC">
        <w:rPr>
          <w:i/>
          <w:color w:val="212121"/>
        </w:rPr>
        <w:t xml:space="preserve"> </w:t>
      </w:r>
      <w:proofErr w:type="spellStart"/>
      <w:r w:rsidRPr="007E4DFC">
        <w:rPr>
          <w:i/>
          <w:color w:val="212121"/>
        </w:rPr>
        <w:t>of</w:t>
      </w:r>
      <w:proofErr w:type="spellEnd"/>
      <w:r w:rsidRPr="007E4DFC">
        <w:rPr>
          <w:i/>
          <w:color w:val="212121"/>
        </w:rPr>
        <w:t xml:space="preserve"> </w:t>
      </w:r>
      <w:proofErr w:type="spellStart"/>
      <w:r w:rsidRPr="007E4DFC">
        <w:rPr>
          <w:i/>
          <w:color w:val="212121"/>
        </w:rPr>
        <w:t>Psychiatry</w:t>
      </w:r>
      <w:proofErr w:type="spellEnd"/>
      <w:r w:rsidRPr="007E4DFC">
        <w:rPr>
          <w:color w:val="212121"/>
        </w:rPr>
        <w:t>,</w:t>
      </w:r>
    </w:p>
    <w:p w14:paraId="49E53E97" w14:textId="77777777" w:rsidR="00D434FF" w:rsidRPr="007E4DFC" w:rsidRDefault="005D106E">
      <w:pPr>
        <w:widowControl w:val="0"/>
        <w:ind w:firstLine="850"/>
        <w:jc w:val="both"/>
        <w:rPr>
          <w:color w:val="212121"/>
        </w:rPr>
      </w:pPr>
      <w:r w:rsidRPr="007E4DFC">
        <w:rPr>
          <w:i/>
          <w:color w:val="212121"/>
        </w:rPr>
        <w:t>21</w:t>
      </w:r>
      <w:r w:rsidRPr="007E4DFC">
        <w:rPr>
          <w:color w:val="212121"/>
        </w:rPr>
        <w:t xml:space="preserve">(SUPPL. 1), 24–40. </w:t>
      </w:r>
      <w:hyperlink r:id="rId39">
        <w:r w:rsidRPr="007E4DFC">
          <w:rPr>
            <w:color w:val="212121"/>
            <w:u w:val="single"/>
          </w:rPr>
          <w:t>https://doi.org/10.1590/S1516-44461999000500006</w:t>
        </w:r>
      </w:hyperlink>
    </w:p>
    <w:p w14:paraId="7A9EF6A7" w14:textId="77777777" w:rsidR="00D434FF" w:rsidRPr="007E4DFC" w:rsidRDefault="005D106E">
      <w:pPr>
        <w:jc w:val="both"/>
        <w:rPr>
          <w:color w:val="212121"/>
        </w:rPr>
      </w:pPr>
      <w:r w:rsidRPr="007E4DFC">
        <w:rPr>
          <w:color w:val="212121"/>
        </w:rPr>
        <w:t>Mourão Júnior, C. A. (2009). Questões em bioestatística: o tamanho da amostra.</w:t>
      </w:r>
    </w:p>
    <w:p w14:paraId="3F6966AB" w14:textId="77777777" w:rsidR="00D434FF" w:rsidRPr="002E6E0F" w:rsidRDefault="005D106E">
      <w:pPr>
        <w:ind w:firstLine="850"/>
        <w:jc w:val="both"/>
        <w:rPr>
          <w:color w:val="212121"/>
          <w:lang w:val="en-US"/>
        </w:rPr>
      </w:pPr>
      <w:r w:rsidRPr="00031D66">
        <w:rPr>
          <w:i/>
          <w:color w:val="212121"/>
          <w:lang w:val="es-AR"/>
        </w:rPr>
        <w:t xml:space="preserve">Rev.Interdisciplin. Estud. Exp. Anim. Hum. </w:t>
      </w:r>
      <w:r w:rsidRPr="002E6E0F">
        <w:rPr>
          <w:i/>
          <w:color w:val="212121"/>
          <w:lang w:val="en-US"/>
        </w:rPr>
        <w:t>(</w:t>
      </w:r>
      <w:proofErr w:type="spellStart"/>
      <w:r w:rsidRPr="002E6E0F">
        <w:rPr>
          <w:i/>
          <w:color w:val="212121"/>
          <w:lang w:val="en-US"/>
        </w:rPr>
        <w:t>Impr</w:t>
      </w:r>
      <w:proofErr w:type="spellEnd"/>
      <w:r w:rsidRPr="002E6E0F">
        <w:rPr>
          <w:i/>
          <w:color w:val="212121"/>
          <w:lang w:val="en-US"/>
        </w:rPr>
        <w:t>.)</w:t>
      </w:r>
      <w:r w:rsidRPr="002E6E0F">
        <w:rPr>
          <w:color w:val="212121"/>
          <w:lang w:val="en-US"/>
        </w:rPr>
        <w:t xml:space="preserve">, 26–28. </w:t>
      </w:r>
    </w:p>
    <w:p w14:paraId="49948DA8" w14:textId="77777777" w:rsidR="00D434FF" w:rsidRPr="002E6E0F" w:rsidRDefault="005D106E">
      <w:pPr>
        <w:jc w:val="both"/>
        <w:rPr>
          <w:lang w:val="en-US"/>
        </w:rPr>
      </w:pPr>
      <w:r w:rsidRPr="002E6E0F">
        <w:rPr>
          <w:lang w:val="en-US"/>
        </w:rPr>
        <w:t xml:space="preserve">Nichols, D. E. (2016). Psychedelics. </w:t>
      </w:r>
      <w:r w:rsidRPr="002E6E0F">
        <w:rPr>
          <w:i/>
          <w:lang w:val="en-US"/>
        </w:rPr>
        <w:t>Pharmacological Reviews</w:t>
      </w:r>
      <w:r w:rsidRPr="002E6E0F">
        <w:rPr>
          <w:lang w:val="en-US"/>
        </w:rPr>
        <w:t xml:space="preserve">, </w:t>
      </w:r>
      <w:r w:rsidRPr="002E6E0F">
        <w:rPr>
          <w:i/>
          <w:lang w:val="en-US"/>
        </w:rPr>
        <w:t>68</w:t>
      </w:r>
      <w:r w:rsidRPr="002E6E0F">
        <w:rPr>
          <w:lang w:val="en-US"/>
        </w:rPr>
        <w:t>(2), 264–355.</w:t>
      </w:r>
    </w:p>
    <w:p w14:paraId="630B3035" w14:textId="77777777" w:rsidR="00D434FF" w:rsidRPr="002E6E0F" w:rsidRDefault="005D106E">
      <w:pPr>
        <w:ind w:left="850"/>
        <w:jc w:val="both"/>
        <w:rPr>
          <w:color w:val="212121"/>
          <w:lang w:val="en-US"/>
        </w:rPr>
      </w:pPr>
      <w:hyperlink r:id="rId40">
        <w:r w:rsidRPr="002E6E0F">
          <w:rPr>
            <w:color w:val="1155CC"/>
            <w:u w:val="single"/>
            <w:lang w:val="en-US"/>
          </w:rPr>
          <w:t>https://doi.org/10.1124/PR.115.011478</w:t>
        </w:r>
      </w:hyperlink>
    </w:p>
    <w:p w14:paraId="3F455AB7" w14:textId="77777777" w:rsidR="00D434FF" w:rsidRPr="002E6E0F" w:rsidRDefault="005D106E">
      <w:pPr>
        <w:widowControl w:val="0"/>
        <w:ind w:left="850" w:hanging="850"/>
        <w:jc w:val="both"/>
        <w:rPr>
          <w:color w:val="212121"/>
          <w:lang w:val="en-US"/>
        </w:rPr>
      </w:pPr>
      <w:r w:rsidRPr="007E4DFC">
        <w:rPr>
          <w:color w:val="212121"/>
        </w:rPr>
        <w:t xml:space="preserve">Organização Mundial de Saúde. (1993). Classificação de transtornos mentais e de </w:t>
      </w:r>
      <w:r w:rsidRPr="007E4DFC">
        <w:rPr>
          <w:color w:val="212121"/>
        </w:rPr>
        <w:lastRenderedPageBreak/>
        <w:t xml:space="preserve">comportamento da CID-10: descrições clínicas e diretrizes diagnósticas. </w:t>
      </w:r>
      <w:proofErr w:type="spellStart"/>
      <w:r w:rsidRPr="002E6E0F">
        <w:rPr>
          <w:i/>
          <w:color w:val="212121"/>
          <w:lang w:val="en-US"/>
        </w:rPr>
        <w:t>Artmed</w:t>
      </w:r>
      <w:proofErr w:type="spellEnd"/>
      <w:r w:rsidRPr="002E6E0F">
        <w:rPr>
          <w:color w:val="212121"/>
          <w:lang w:val="en-US"/>
        </w:rPr>
        <w:t>.</w:t>
      </w:r>
    </w:p>
    <w:p w14:paraId="62B5E2D0" w14:textId="77777777" w:rsidR="00D434FF" w:rsidRPr="002E6E0F" w:rsidRDefault="005D106E">
      <w:pPr>
        <w:widowControl w:val="0"/>
        <w:ind w:left="850" w:hanging="850"/>
        <w:jc w:val="both"/>
        <w:rPr>
          <w:color w:val="212121"/>
          <w:lang w:val="en-US"/>
        </w:rPr>
      </w:pPr>
      <w:r w:rsidRPr="002E6E0F">
        <w:rPr>
          <w:color w:val="212121"/>
          <w:lang w:val="en-US"/>
        </w:rPr>
        <w:t xml:space="preserve">Page </w:t>
      </w:r>
      <w:r w:rsidRPr="002E6E0F">
        <w:rPr>
          <w:i/>
          <w:color w:val="212121"/>
          <w:lang w:val="en-US"/>
        </w:rPr>
        <w:t>et al</w:t>
      </w:r>
      <w:r w:rsidRPr="002E6E0F">
        <w:rPr>
          <w:color w:val="212121"/>
          <w:lang w:val="en-US"/>
        </w:rPr>
        <w:t xml:space="preserve">. (2021). The PRISMA 2020 statement: an updated guideline for reporting systematic reviews. </w:t>
      </w:r>
      <w:r w:rsidRPr="002E6E0F">
        <w:rPr>
          <w:i/>
          <w:color w:val="212121"/>
          <w:lang w:val="en-US"/>
        </w:rPr>
        <w:t>BMJ</w:t>
      </w:r>
      <w:r w:rsidRPr="002E6E0F">
        <w:rPr>
          <w:color w:val="212121"/>
          <w:lang w:val="en-US"/>
        </w:rPr>
        <w:t xml:space="preserve">, </w:t>
      </w:r>
      <w:r w:rsidRPr="002E6E0F">
        <w:rPr>
          <w:i/>
          <w:color w:val="212121"/>
          <w:lang w:val="en-US"/>
        </w:rPr>
        <w:t>372</w:t>
      </w:r>
      <w:r w:rsidRPr="002E6E0F">
        <w:rPr>
          <w:color w:val="212121"/>
          <w:lang w:val="en-US"/>
        </w:rPr>
        <w:t xml:space="preserve">. </w:t>
      </w:r>
      <w:hyperlink r:id="rId41">
        <w:r w:rsidRPr="002E6E0F">
          <w:rPr>
            <w:color w:val="1155CC"/>
            <w:u w:val="single"/>
            <w:lang w:val="en-US"/>
          </w:rPr>
          <w:t>https://doi.org/10.1136/BMJ.N71</w:t>
        </w:r>
      </w:hyperlink>
    </w:p>
    <w:p w14:paraId="76CB3893" w14:textId="77777777" w:rsidR="00D434FF" w:rsidRPr="002E6E0F" w:rsidRDefault="005D106E">
      <w:pPr>
        <w:widowControl w:val="0"/>
        <w:jc w:val="both"/>
        <w:rPr>
          <w:color w:val="212121"/>
          <w:lang w:val="en-US"/>
        </w:rPr>
      </w:pPr>
      <w:r w:rsidRPr="002E6E0F">
        <w:rPr>
          <w:color w:val="212121"/>
          <w:lang w:val="en-US"/>
        </w:rPr>
        <w:t xml:space="preserve">Pagni </w:t>
      </w:r>
      <w:r w:rsidRPr="002E6E0F">
        <w:rPr>
          <w:i/>
          <w:color w:val="212121"/>
          <w:lang w:val="en-US"/>
        </w:rPr>
        <w:t>et al.</w:t>
      </w:r>
      <w:r w:rsidRPr="002E6E0F">
        <w:rPr>
          <w:color w:val="212121"/>
          <w:lang w:val="en-US"/>
        </w:rPr>
        <w:t xml:space="preserve"> (2024). Psilocybin-induced changes in neural reactivity to alcohol and emotional</w:t>
      </w:r>
    </w:p>
    <w:p w14:paraId="6D4658A2" w14:textId="77777777" w:rsidR="00D434FF" w:rsidRPr="002E6E0F" w:rsidRDefault="005D106E">
      <w:pPr>
        <w:widowControl w:val="0"/>
        <w:ind w:firstLine="850"/>
        <w:jc w:val="both"/>
        <w:rPr>
          <w:i/>
          <w:color w:val="212121"/>
          <w:lang w:val="en-US"/>
        </w:rPr>
      </w:pPr>
      <w:r w:rsidRPr="002E6E0F">
        <w:rPr>
          <w:color w:val="212121"/>
          <w:lang w:val="en-US"/>
        </w:rPr>
        <w:t xml:space="preserve">cues in patients with alcohol use disorder: an fMRI pilot study. </w:t>
      </w:r>
      <w:r w:rsidRPr="002E6E0F">
        <w:rPr>
          <w:i/>
          <w:color w:val="212121"/>
          <w:lang w:val="en-US"/>
        </w:rPr>
        <w:t>Scientific Reports</w:t>
      </w:r>
    </w:p>
    <w:p w14:paraId="3EC33B28" w14:textId="77777777" w:rsidR="00D434FF" w:rsidRPr="002E6E0F" w:rsidRDefault="005D106E">
      <w:pPr>
        <w:widowControl w:val="0"/>
        <w:ind w:firstLine="850"/>
        <w:jc w:val="both"/>
        <w:rPr>
          <w:color w:val="212121"/>
          <w:lang w:val="en-US"/>
        </w:rPr>
      </w:pPr>
      <w:r w:rsidRPr="002E6E0F">
        <w:rPr>
          <w:i/>
          <w:color w:val="212121"/>
          <w:lang w:val="en-US"/>
        </w:rPr>
        <w:t>2024 14:1</w:t>
      </w:r>
      <w:r w:rsidRPr="002E6E0F">
        <w:rPr>
          <w:color w:val="212121"/>
          <w:lang w:val="en-US"/>
        </w:rPr>
        <w:t xml:space="preserve">, 14(1), 1–13. </w:t>
      </w:r>
      <w:r>
        <w:fldChar w:fldCharType="begin"/>
      </w:r>
      <w:r w:rsidRPr="00031D66">
        <w:rPr>
          <w:lang w:val="es-AR"/>
        </w:rPr>
        <w:instrText>HYPERLINK "https://doi.org/10.1038/s41598-024-52967-8" \h</w:instrText>
      </w:r>
      <w:r>
        <w:fldChar w:fldCharType="separate"/>
      </w:r>
      <w:r w:rsidRPr="002E6E0F">
        <w:rPr>
          <w:color w:val="212121"/>
          <w:u w:val="single"/>
          <w:lang w:val="en-US"/>
        </w:rPr>
        <w:t>https://doi.org/10.1038/s41598-024-52967-8</w:t>
      </w:r>
      <w:r>
        <w:fldChar w:fldCharType="end"/>
      </w:r>
    </w:p>
    <w:p w14:paraId="62C1548E" w14:textId="77777777" w:rsidR="00D434FF" w:rsidRPr="002E6E0F" w:rsidRDefault="005D106E" w:rsidP="00D2165D">
      <w:pPr>
        <w:pBdr>
          <w:top w:val="none" w:sz="0" w:space="2" w:color="auto"/>
          <w:bottom w:val="none" w:sz="0" w:space="2" w:color="auto"/>
          <w:between w:val="none" w:sz="0" w:space="2" w:color="auto"/>
        </w:pBdr>
        <w:shd w:val="clear" w:color="auto" w:fill="FFFFFF"/>
        <w:ind w:left="851" w:hanging="851"/>
        <w:jc w:val="both"/>
        <w:rPr>
          <w:color w:val="212121"/>
          <w:lang w:val="en-US"/>
        </w:rPr>
      </w:pPr>
      <w:proofErr w:type="spellStart"/>
      <w:r w:rsidRPr="002E6E0F">
        <w:rPr>
          <w:color w:val="222222"/>
          <w:lang w:val="en-US"/>
        </w:rPr>
        <w:t>Passie</w:t>
      </w:r>
      <w:proofErr w:type="spellEnd"/>
      <w:r w:rsidRPr="002E6E0F">
        <w:rPr>
          <w:color w:val="222222"/>
          <w:lang w:val="en-US"/>
        </w:rPr>
        <w:t xml:space="preserve"> </w:t>
      </w:r>
      <w:r w:rsidRPr="002E6E0F">
        <w:rPr>
          <w:i/>
          <w:color w:val="212121"/>
          <w:lang w:val="en-US"/>
        </w:rPr>
        <w:t>et al</w:t>
      </w:r>
      <w:r w:rsidRPr="002E6E0F">
        <w:rPr>
          <w:color w:val="222222"/>
          <w:lang w:val="en-US"/>
        </w:rPr>
        <w:t xml:space="preserve">. (2002). The pharmacology of psilocybin. </w:t>
      </w:r>
      <w:r w:rsidRPr="002E6E0F">
        <w:rPr>
          <w:i/>
          <w:color w:val="222222"/>
          <w:lang w:val="en-US"/>
        </w:rPr>
        <w:t>Addiction Biology</w:t>
      </w:r>
      <w:r w:rsidRPr="002E6E0F">
        <w:rPr>
          <w:color w:val="222222"/>
          <w:lang w:val="en-US"/>
        </w:rPr>
        <w:t xml:space="preserve">, </w:t>
      </w:r>
      <w:r w:rsidRPr="002E6E0F">
        <w:rPr>
          <w:i/>
          <w:color w:val="222222"/>
          <w:lang w:val="en-US"/>
        </w:rPr>
        <w:t>7</w:t>
      </w:r>
      <w:r w:rsidRPr="002E6E0F">
        <w:rPr>
          <w:color w:val="222222"/>
          <w:lang w:val="en-US"/>
        </w:rPr>
        <w:t xml:space="preserve">(4), 357–364. </w:t>
      </w:r>
      <w:r>
        <w:fldChar w:fldCharType="begin"/>
      </w:r>
      <w:r w:rsidRPr="00031D66">
        <w:rPr>
          <w:lang w:val="es-AR"/>
        </w:rPr>
        <w:instrText>HYPERLINK "https://doi.org/10.1080/1355621021000005937" \h</w:instrText>
      </w:r>
      <w:r>
        <w:fldChar w:fldCharType="separate"/>
      </w:r>
      <w:r w:rsidRPr="002E6E0F">
        <w:rPr>
          <w:color w:val="1155CC"/>
          <w:u w:val="single"/>
          <w:lang w:val="en-US"/>
        </w:rPr>
        <w:t>https://doi.org/10.1080/1355621021000005937</w:t>
      </w:r>
      <w:r>
        <w:fldChar w:fldCharType="end"/>
      </w:r>
    </w:p>
    <w:p w14:paraId="7B1FF278" w14:textId="40993683" w:rsidR="00F44E53" w:rsidRDefault="005D106E" w:rsidP="00F44E53">
      <w:pPr>
        <w:jc w:val="both"/>
        <w:rPr>
          <w:i/>
          <w:lang w:val="en-US"/>
        </w:rPr>
      </w:pPr>
      <w:r w:rsidRPr="002E6E0F">
        <w:rPr>
          <w:lang w:val="en-US"/>
        </w:rPr>
        <w:t xml:space="preserve">Petri </w:t>
      </w:r>
      <w:r w:rsidRPr="002E6E0F">
        <w:rPr>
          <w:i/>
          <w:lang w:val="en-US"/>
        </w:rPr>
        <w:t>et al</w:t>
      </w:r>
      <w:r w:rsidRPr="002E6E0F">
        <w:rPr>
          <w:lang w:val="en-US"/>
        </w:rPr>
        <w:t xml:space="preserve">. (2014). Homological scaffolds of brain functional networks. </w:t>
      </w:r>
      <w:r w:rsidRPr="002E6E0F">
        <w:rPr>
          <w:i/>
          <w:lang w:val="en-US"/>
        </w:rPr>
        <w:t>Journal of the Royal</w:t>
      </w:r>
    </w:p>
    <w:p w14:paraId="2DD5C26C" w14:textId="4D5CC5E0" w:rsidR="00D434FF" w:rsidRPr="007F0E1C" w:rsidRDefault="005D106E" w:rsidP="00F44E53">
      <w:pPr>
        <w:ind w:left="851"/>
        <w:jc w:val="both"/>
        <w:rPr>
          <w:i/>
          <w:lang w:val="en-US"/>
        </w:rPr>
      </w:pPr>
      <w:r w:rsidRPr="002E6E0F">
        <w:rPr>
          <w:i/>
          <w:lang w:val="en-US"/>
        </w:rPr>
        <w:t>Society, Interface</w:t>
      </w:r>
      <w:r w:rsidRPr="002E6E0F">
        <w:rPr>
          <w:lang w:val="en-US"/>
        </w:rPr>
        <w:t xml:space="preserve">, </w:t>
      </w:r>
      <w:r w:rsidRPr="002E6E0F">
        <w:rPr>
          <w:i/>
          <w:lang w:val="en-US"/>
        </w:rPr>
        <w:t>11</w:t>
      </w:r>
      <w:r w:rsidRPr="002E6E0F">
        <w:rPr>
          <w:lang w:val="en-US"/>
        </w:rPr>
        <w:t xml:space="preserve">(101), 20140873. </w:t>
      </w:r>
      <w:r>
        <w:fldChar w:fldCharType="begin"/>
      </w:r>
      <w:r w:rsidRPr="00031D66">
        <w:rPr>
          <w:lang w:val="en-US"/>
        </w:rPr>
        <w:instrText>HYPERLINK "https://doi.org/10.1098/rsif.2014.0873" \h</w:instrText>
      </w:r>
      <w:r>
        <w:fldChar w:fldCharType="separate"/>
      </w:r>
      <w:r w:rsidRPr="002E6E0F">
        <w:rPr>
          <w:color w:val="1155CC"/>
          <w:u w:val="single"/>
          <w:lang w:val="en-US"/>
        </w:rPr>
        <w:t>https://doi.org/10.1098/rsif.2014.0873</w:t>
      </w:r>
      <w:r>
        <w:fldChar w:fldCharType="end"/>
      </w:r>
    </w:p>
    <w:p w14:paraId="7C908638" w14:textId="77777777" w:rsidR="00D434FF" w:rsidRPr="002E6E0F" w:rsidRDefault="005D106E">
      <w:pPr>
        <w:ind w:left="850" w:hanging="850"/>
        <w:jc w:val="both"/>
        <w:rPr>
          <w:color w:val="212121"/>
          <w:lang w:val="en-US"/>
        </w:rPr>
      </w:pPr>
      <w:r w:rsidRPr="002E6E0F">
        <w:rPr>
          <w:color w:val="212121"/>
          <w:lang w:val="en-US"/>
        </w:rPr>
        <w:t xml:space="preserve">Patel, P. (2021). Efficacy, Effectiveness, and Efficiency. </w:t>
      </w:r>
      <w:r w:rsidRPr="002E6E0F">
        <w:rPr>
          <w:i/>
          <w:color w:val="212121"/>
          <w:lang w:val="en-US"/>
        </w:rPr>
        <w:t>National Journal of Community Medicine</w:t>
      </w:r>
      <w:r w:rsidRPr="002E6E0F">
        <w:rPr>
          <w:color w:val="212121"/>
          <w:lang w:val="en-US"/>
        </w:rPr>
        <w:t xml:space="preserve">, 12(02), 33–39. Retrieved from </w:t>
      </w:r>
      <w:hyperlink r:id="rId42">
        <w:r w:rsidRPr="002E6E0F">
          <w:rPr>
            <w:color w:val="212121"/>
            <w:u w:val="single"/>
            <w:lang w:val="en-US"/>
          </w:rPr>
          <w:t>https://njcmindia.com/index.php/file/article/view/290</w:t>
        </w:r>
      </w:hyperlink>
    </w:p>
    <w:p w14:paraId="4F79FC24" w14:textId="77777777" w:rsidR="00D434FF" w:rsidRPr="002E6E0F" w:rsidRDefault="005D106E">
      <w:pPr>
        <w:widowControl w:val="0"/>
        <w:jc w:val="both"/>
        <w:rPr>
          <w:color w:val="212121"/>
          <w:lang w:val="en-US"/>
        </w:rPr>
      </w:pPr>
      <w:r w:rsidRPr="002E6E0F">
        <w:rPr>
          <w:color w:val="212121"/>
          <w:lang w:val="en-US"/>
        </w:rPr>
        <w:t xml:space="preserve">Pepe </w:t>
      </w:r>
      <w:r w:rsidRPr="002E6E0F">
        <w:rPr>
          <w:i/>
          <w:color w:val="212121"/>
          <w:lang w:val="en-US"/>
        </w:rPr>
        <w:t xml:space="preserve">et al. </w:t>
      </w:r>
      <w:r w:rsidRPr="002E6E0F">
        <w:rPr>
          <w:color w:val="212121"/>
          <w:lang w:val="en-US"/>
        </w:rPr>
        <w:t>(2023). A journey with psychedelic mushrooms: From historical relevance to</w:t>
      </w:r>
    </w:p>
    <w:p w14:paraId="15CADD34" w14:textId="77777777" w:rsidR="00D434FF" w:rsidRPr="002E6E0F" w:rsidRDefault="005D106E">
      <w:pPr>
        <w:widowControl w:val="0"/>
        <w:ind w:firstLine="850"/>
        <w:jc w:val="both"/>
        <w:rPr>
          <w:i/>
          <w:color w:val="212121"/>
          <w:lang w:val="en-US"/>
        </w:rPr>
      </w:pPr>
      <w:r w:rsidRPr="002E6E0F">
        <w:rPr>
          <w:color w:val="212121"/>
          <w:lang w:val="en-US"/>
        </w:rPr>
        <w:t xml:space="preserve">biology, cultivation, medicinal uses, biotechnology, and beyond. </w:t>
      </w:r>
      <w:r w:rsidRPr="002E6E0F">
        <w:rPr>
          <w:i/>
          <w:color w:val="212121"/>
          <w:lang w:val="en-US"/>
        </w:rPr>
        <w:t>Biotechnology</w:t>
      </w:r>
    </w:p>
    <w:p w14:paraId="414F4BB5" w14:textId="7090CEAF" w:rsidR="00D434FF" w:rsidRPr="002E6E0F" w:rsidRDefault="005D106E" w:rsidP="007F0E1C">
      <w:pPr>
        <w:widowControl w:val="0"/>
        <w:ind w:firstLine="850"/>
        <w:jc w:val="both"/>
        <w:rPr>
          <w:color w:val="212121"/>
          <w:lang w:val="en-US"/>
        </w:rPr>
      </w:pPr>
      <w:r w:rsidRPr="002E6E0F">
        <w:rPr>
          <w:i/>
          <w:color w:val="212121"/>
          <w:lang w:val="en-US"/>
        </w:rPr>
        <w:t>Advances</w:t>
      </w:r>
      <w:r w:rsidRPr="002E6E0F">
        <w:rPr>
          <w:color w:val="212121"/>
          <w:lang w:val="en-US"/>
        </w:rPr>
        <w:t xml:space="preserve">, 69, 108247. </w:t>
      </w:r>
      <w:r>
        <w:fldChar w:fldCharType="begin"/>
      </w:r>
      <w:r w:rsidRPr="00031D66">
        <w:rPr>
          <w:lang w:val="en-US"/>
        </w:rPr>
        <w:instrText>HYPERLINK "https://doi.org/10.1016/J.BIOTECHADV.2023.108247" \h</w:instrText>
      </w:r>
      <w:r>
        <w:fldChar w:fldCharType="separate"/>
      </w:r>
      <w:r w:rsidRPr="002E6E0F">
        <w:rPr>
          <w:color w:val="212121"/>
          <w:u w:val="single"/>
          <w:lang w:val="en-US"/>
        </w:rPr>
        <w:t>https://doi.org/10.1016/J.BIOTECHADV.2023.108247</w:t>
      </w:r>
      <w:r>
        <w:fldChar w:fldCharType="end"/>
      </w:r>
    </w:p>
    <w:p w14:paraId="1A183BAB" w14:textId="77777777" w:rsidR="00D434FF" w:rsidRPr="002E6E0F" w:rsidRDefault="005D106E">
      <w:pPr>
        <w:widowControl w:val="0"/>
        <w:ind w:left="850" w:hanging="850"/>
        <w:jc w:val="both"/>
        <w:rPr>
          <w:color w:val="212121"/>
          <w:lang w:val="en-US"/>
        </w:rPr>
      </w:pPr>
      <w:proofErr w:type="spellStart"/>
      <w:r w:rsidRPr="002E6E0F">
        <w:rPr>
          <w:color w:val="212121"/>
          <w:lang w:val="en-US"/>
        </w:rPr>
        <w:t>Prouzeau</w:t>
      </w:r>
      <w:proofErr w:type="spellEnd"/>
      <w:r w:rsidRPr="002E6E0F">
        <w:rPr>
          <w:color w:val="212121"/>
          <w:lang w:val="en-US"/>
        </w:rPr>
        <w:t xml:space="preserve"> </w:t>
      </w:r>
      <w:r w:rsidRPr="002E6E0F">
        <w:rPr>
          <w:i/>
          <w:color w:val="212121"/>
          <w:lang w:val="en-US"/>
        </w:rPr>
        <w:t>et al.</w:t>
      </w:r>
      <w:r w:rsidRPr="002E6E0F">
        <w:rPr>
          <w:color w:val="212121"/>
          <w:lang w:val="en-US"/>
        </w:rPr>
        <w:t xml:space="preserve"> (2022). Psilocybin Efficacy and Mechanisms of Action in Major Depressive Disorder: a Review. </w:t>
      </w:r>
      <w:r w:rsidRPr="002E6E0F">
        <w:rPr>
          <w:i/>
          <w:color w:val="212121"/>
          <w:lang w:val="en-US"/>
        </w:rPr>
        <w:t>Current Psychiatry Reports</w:t>
      </w:r>
      <w:r w:rsidRPr="002E6E0F">
        <w:rPr>
          <w:color w:val="212121"/>
          <w:lang w:val="en-US"/>
        </w:rPr>
        <w:t xml:space="preserve">, 24(10), 573–581. </w:t>
      </w:r>
      <w:r>
        <w:fldChar w:fldCharType="begin"/>
      </w:r>
      <w:r w:rsidRPr="00031D66">
        <w:rPr>
          <w:lang w:val="es-AR"/>
        </w:rPr>
        <w:instrText>HYPERLINK "https://doi.org/10.1007/s11920-022-01361-0" \h</w:instrText>
      </w:r>
      <w:r>
        <w:fldChar w:fldCharType="separate"/>
      </w:r>
      <w:r w:rsidRPr="002E6E0F">
        <w:rPr>
          <w:color w:val="1155CC"/>
          <w:u w:val="single"/>
          <w:lang w:val="en-US"/>
        </w:rPr>
        <w:t>https://doi.org/10.1007/s11920-022-01361-0</w:t>
      </w:r>
      <w:r>
        <w:fldChar w:fldCharType="end"/>
      </w:r>
    </w:p>
    <w:p w14:paraId="2EB5CB97" w14:textId="77777777" w:rsidR="00D434FF" w:rsidRPr="002E6E0F" w:rsidRDefault="005D106E">
      <w:pPr>
        <w:jc w:val="both"/>
        <w:rPr>
          <w:color w:val="212121"/>
          <w:lang w:val="en-US"/>
        </w:rPr>
      </w:pPr>
      <w:r w:rsidRPr="002E6E0F">
        <w:rPr>
          <w:color w:val="212121"/>
          <w:lang w:val="en-US"/>
        </w:rPr>
        <w:t xml:space="preserve">Raison </w:t>
      </w:r>
      <w:r w:rsidRPr="002E6E0F">
        <w:rPr>
          <w:i/>
          <w:color w:val="212121"/>
          <w:lang w:val="en-US"/>
        </w:rPr>
        <w:t>et al.</w:t>
      </w:r>
      <w:r w:rsidRPr="002E6E0F">
        <w:rPr>
          <w:color w:val="212121"/>
          <w:lang w:val="en-US"/>
        </w:rPr>
        <w:t xml:space="preserve"> (2023). Single-Dose Psilocybin Treatment for Major Depressive Disorder: A</w:t>
      </w:r>
    </w:p>
    <w:p w14:paraId="0F5029BD" w14:textId="77777777" w:rsidR="00D434FF" w:rsidRPr="002E6E0F" w:rsidRDefault="005D106E">
      <w:pPr>
        <w:ind w:firstLine="850"/>
        <w:jc w:val="both"/>
        <w:rPr>
          <w:color w:val="212121"/>
          <w:lang w:val="en-US"/>
        </w:rPr>
      </w:pPr>
      <w:r w:rsidRPr="002E6E0F">
        <w:rPr>
          <w:color w:val="212121"/>
          <w:lang w:val="en-US"/>
        </w:rPr>
        <w:t xml:space="preserve">Randomized Clinical Trial. </w:t>
      </w:r>
      <w:r w:rsidRPr="002E6E0F">
        <w:rPr>
          <w:i/>
          <w:color w:val="212121"/>
          <w:lang w:val="en-US"/>
        </w:rPr>
        <w:t>JAMA</w:t>
      </w:r>
      <w:r w:rsidRPr="002E6E0F">
        <w:rPr>
          <w:color w:val="212121"/>
          <w:lang w:val="en-US"/>
        </w:rPr>
        <w:t>, 330(9), 843–853.</w:t>
      </w:r>
    </w:p>
    <w:p w14:paraId="115DEEE3" w14:textId="77777777" w:rsidR="00D434FF" w:rsidRPr="002E6E0F" w:rsidRDefault="005D106E">
      <w:pPr>
        <w:ind w:firstLine="850"/>
        <w:jc w:val="both"/>
        <w:rPr>
          <w:color w:val="212121"/>
          <w:lang w:val="en-US"/>
        </w:rPr>
      </w:pPr>
      <w:r>
        <w:fldChar w:fldCharType="begin"/>
      </w:r>
      <w:r w:rsidRPr="00031D66">
        <w:rPr>
          <w:lang w:val="en-US"/>
        </w:rPr>
        <w:instrText>HYPERLINK "https://doi.org/10.1001/JAMA.2023.14530" \h</w:instrText>
      </w:r>
      <w:r>
        <w:fldChar w:fldCharType="separate"/>
      </w:r>
      <w:r w:rsidRPr="002E6E0F">
        <w:rPr>
          <w:color w:val="212121"/>
          <w:u w:val="single"/>
          <w:lang w:val="en-US"/>
        </w:rPr>
        <w:t>https://doi.org/10.1001/JAMA.2023.14530</w:t>
      </w:r>
      <w:r>
        <w:fldChar w:fldCharType="end"/>
      </w:r>
    </w:p>
    <w:p w14:paraId="5BA228EB" w14:textId="77777777" w:rsidR="00D434FF" w:rsidRPr="002E6E0F" w:rsidRDefault="005D106E">
      <w:pPr>
        <w:widowControl w:val="0"/>
        <w:jc w:val="both"/>
        <w:rPr>
          <w:color w:val="212121"/>
          <w:lang w:val="en-US"/>
        </w:rPr>
      </w:pPr>
      <w:r w:rsidRPr="002E6E0F">
        <w:rPr>
          <w:color w:val="212121"/>
          <w:lang w:val="en-US"/>
        </w:rPr>
        <w:t>Rodríguez Arce, J. M., &amp; Winkelman, M. J. (2021). Psychedelics, Sociality, and Human</w:t>
      </w:r>
    </w:p>
    <w:p w14:paraId="7708B0E2" w14:textId="77777777" w:rsidR="00D434FF" w:rsidRPr="002E6E0F" w:rsidRDefault="005D106E">
      <w:pPr>
        <w:widowControl w:val="0"/>
        <w:ind w:left="850"/>
        <w:jc w:val="both"/>
        <w:rPr>
          <w:color w:val="212121"/>
          <w:lang w:val="en-US"/>
        </w:rPr>
      </w:pPr>
      <w:r w:rsidRPr="002E6E0F">
        <w:rPr>
          <w:color w:val="212121"/>
          <w:lang w:val="en-US"/>
        </w:rPr>
        <w:t xml:space="preserve">Evolution. </w:t>
      </w:r>
      <w:r w:rsidRPr="002E6E0F">
        <w:rPr>
          <w:i/>
          <w:color w:val="212121"/>
          <w:lang w:val="en-US"/>
        </w:rPr>
        <w:t>Frontiers in Psychology</w:t>
      </w:r>
      <w:r w:rsidRPr="002E6E0F">
        <w:rPr>
          <w:color w:val="212121"/>
          <w:lang w:val="en-US"/>
        </w:rPr>
        <w:t xml:space="preserve">, 12, 729425. </w:t>
      </w:r>
      <w:r>
        <w:fldChar w:fldCharType="begin"/>
      </w:r>
      <w:r w:rsidRPr="00031D66">
        <w:rPr>
          <w:lang w:val="es-AR"/>
        </w:rPr>
        <w:instrText>HYPERLINK "https://doi.org/10.3389/fpsyg.2021.729425" \h</w:instrText>
      </w:r>
      <w:r>
        <w:fldChar w:fldCharType="separate"/>
      </w:r>
      <w:r w:rsidRPr="002E6E0F">
        <w:rPr>
          <w:u w:val="single"/>
          <w:lang w:val="en-US"/>
        </w:rPr>
        <w:t>https://doi.org/10.3389/fpsyg.2021.729425</w:t>
      </w:r>
      <w:r>
        <w:fldChar w:fldCharType="end"/>
      </w:r>
    </w:p>
    <w:p w14:paraId="2376D56D" w14:textId="77777777" w:rsidR="00D434FF" w:rsidRPr="002E6E0F" w:rsidRDefault="005D106E">
      <w:pPr>
        <w:jc w:val="both"/>
        <w:rPr>
          <w:color w:val="212121"/>
          <w:lang w:val="en-US"/>
        </w:rPr>
      </w:pPr>
      <w:r w:rsidRPr="002E6E0F">
        <w:rPr>
          <w:color w:val="212121"/>
          <w:lang w:val="en-US"/>
        </w:rPr>
        <w:t xml:space="preserve">Rosenblat </w:t>
      </w:r>
      <w:r w:rsidRPr="002E6E0F">
        <w:rPr>
          <w:i/>
          <w:color w:val="212121"/>
          <w:lang w:val="en-US"/>
        </w:rPr>
        <w:t>et al</w:t>
      </w:r>
      <w:r w:rsidRPr="002E6E0F">
        <w:rPr>
          <w:color w:val="212121"/>
          <w:lang w:val="en-US"/>
        </w:rPr>
        <w:t>. (2024). Psilocybin-assisted psychotherapy for treatment resistant depression:</w:t>
      </w:r>
    </w:p>
    <w:p w14:paraId="20E66BE0" w14:textId="77777777" w:rsidR="00D434FF" w:rsidRPr="002E6E0F" w:rsidRDefault="005D106E">
      <w:pPr>
        <w:ind w:left="850"/>
        <w:jc w:val="both"/>
        <w:rPr>
          <w:color w:val="212121"/>
          <w:lang w:val="en-US"/>
        </w:rPr>
      </w:pPr>
      <w:r w:rsidRPr="002E6E0F">
        <w:rPr>
          <w:color w:val="212121"/>
          <w:lang w:val="en-US"/>
        </w:rPr>
        <w:t xml:space="preserve">A randomized clinical trial evaluating repeated doses of psilocybin. </w:t>
      </w:r>
      <w:r w:rsidRPr="002E6E0F">
        <w:rPr>
          <w:i/>
          <w:color w:val="212121"/>
          <w:lang w:val="en-US"/>
        </w:rPr>
        <w:t>Med</w:t>
      </w:r>
      <w:r w:rsidRPr="002E6E0F">
        <w:rPr>
          <w:color w:val="212121"/>
          <w:lang w:val="en-US"/>
        </w:rPr>
        <w:t>, 5(3),</w:t>
      </w:r>
    </w:p>
    <w:p w14:paraId="42C52978" w14:textId="77777777" w:rsidR="00D434FF" w:rsidRPr="002E6E0F" w:rsidRDefault="005D106E">
      <w:pPr>
        <w:ind w:firstLine="850"/>
        <w:jc w:val="both"/>
        <w:rPr>
          <w:color w:val="212121"/>
          <w:lang w:val="en-US"/>
        </w:rPr>
      </w:pPr>
      <w:r w:rsidRPr="002E6E0F">
        <w:rPr>
          <w:color w:val="212121"/>
          <w:lang w:val="en-US"/>
        </w:rPr>
        <w:t xml:space="preserve">190-200.e5. </w:t>
      </w:r>
      <w:hyperlink r:id="rId43">
        <w:r w:rsidRPr="002E6E0F">
          <w:rPr>
            <w:color w:val="212121"/>
            <w:u w:val="single"/>
            <w:lang w:val="en-US"/>
          </w:rPr>
          <w:t>https://doi.org/10.1016/j.medj.2024.01.005</w:t>
        </w:r>
      </w:hyperlink>
    </w:p>
    <w:p w14:paraId="20D4CA2C" w14:textId="77777777" w:rsidR="00D434FF" w:rsidRPr="002E6E0F" w:rsidRDefault="005D106E">
      <w:pPr>
        <w:jc w:val="both"/>
        <w:rPr>
          <w:color w:val="212121"/>
          <w:lang w:val="en-US"/>
        </w:rPr>
      </w:pPr>
      <w:r w:rsidRPr="002E6E0F">
        <w:rPr>
          <w:color w:val="212121"/>
          <w:lang w:val="en-US"/>
        </w:rPr>
        <w:t xml:space="preserve">Ross </w:t>
      </w:r>
      <w:r w:rsidRPr="002E6E0F">
        <w:rPr>
          <w:i/>
          <w:color w:val="212121"/>
          <w:lang w:val="en-US"/>
        </w:rPr>
        <w:t>et al</w:t>
      </w:r>
      <w:r w:rsidRPr="002E6E0F">
        <w:rPr>
          <w:color w:val="212121"/>
          <w:lang w:val="en-US"/>
        </w:rPr>
        <w:t>. (2016). Rapid and sustained symptom reduction following psilocybin treatment for</w:t>
      </w:r>
    </w:p>
    <w:p w14:paraId="1E5CAAD7" w14:textId="77777777" w:rsidR="00D434FF" w:rsidRPr="002E6E0F" w:rsidRDefault="005D106E">
      <w:pPr>
        <w:ind w:firstLine="850"/>
        <w:jc w:val="both"/>
        <w:rPr>
          <w:color w:val="212121"/>
          <w:lang w:val="en-US"/>
        </w:rPr>
      </w:pPr>
      <w:r w:rsidRPr="002E6E0F">
        <w:rPr>
          <w:color w:val="212121"/>
          <w:lang w:val="en-US"/>
        </w:rPr>
        <w:t>anxiety and depression in patients with life-threatening cancer: A randomized</w:t>
      </w:r>
    </w:p>
    <w:p w14:paraId="6412BE10" w14:textId="77777777" w:rsidR="00D434FF" w:rsidRPr="002E6E0F" w:rsidRDefault="005D106E">
      <w:pPr>
        <w:ind w:firstLine="850"/>
        <w:jc w:val="both"/>
        <w:rPr>
          <w:color w:val="212121"/>
          <w:lang w:val="en-US"/>
        </w:rPr>
      </w:pPr>
      <w:r w:rsidRPr="002E6E0F">
        <w:rPr>
          <w:color w:val="212121"/>
          <w:lang w:val="en-US"/>
        </w:rPr>
        <w:t xml:space="preserve">controlled trial. </w:t>
      </w:r>
      <w:r w:rsidRPr="002E6E0F">
        <w:rPr>
          <w:i/>
          <w:color w:val="212121"/>
          <w:lang w:val="en-US"/>
        </w:rPr>
        <w:t>Journal of Psychopharmacology</w:t>
      </w:r>
      <w:r w:rsidRPr="002E6E0F">
        <w:rPr>
          <w:color w:val="212121"/>
          <w:lang w:val="en-US"/>
        </w:rPr>
        <w:t xml:space="preserve">, </w:t>
      </w:r>
      <w:r w:rsidRPr="002E6E0F">
        <w:rPr>
          <w:i/>
          <w:color w:val="212121"/>
          <w:lang w:val="en-US"/>
        </w:rPr>
        <w:t>30</w:t>
      </w:r>
      <w:r w:rsidRPr="002E6E0F">
        <w:rPr>
          <w:color w:val="212121"/>
          <w:lang w:val="en-US"/>
        </w:rPr>
        <w:t>(12), 1165–1180.</w:t>
      </w:r>
    </w:p>
    <w:p w14:paraId="3E126259" w14:textId="77777777" w:rsidR="00D434FF" w:rsidRPr="002E6E0F" w:rsidRDefault="005D106E">
      <w:pPr>
        <w:ind w:firstLine="850"/>
        <w:jc w:val="both"/>
        <w:rPr>
          <w:color w:val="212121"/>
          <w:lang w:val="en-US"/>
        </w:rPr>
      </w:pPr>
      <w:r>
        <w:fldChar w:fldCharType="begin"/>
      </w:r>
      <w:r w:rsidRPr="00031D66">
        <w:rPr>
          <w:lang w:val="en-US"/>
        </w:rPr>
        <w:instrText>HYPERLINK "https://doi.org/10.1177/0269881116675512" \h</w:instrText>
      </w:r>
      <w:r>
        <w:fldChar w:fldCharType="separate"/>
      </w:r>
      <w:r w:rsidRPr="002E6E0F">
        <w:rPr>
          <w:lang w:val="en-US"/>
        </w:rPr>
        <w:t>https://doi.org/10.1177/0269881116675512</w:t>
      </w:r>
      <w:r>
        <w:fldChar w:fldCharType="end"/>
      </w:r>
    </w:p>
    <w:p w14:paraId="6253D7CE" w14:textId="77777777" w:rsidR="00D434FF" w:rsidRPr="002E6E0F" w:rsidRDefault="005D106E">
      <w:pPr>
        <w:jc w:val="both"/>
        <w:rPr>
          <w:color w:val="212121"/>
          <w:lang w:val="en-US"/>
        </w:rPr>
      </w:pPr>
      <w:r w:rsidRPr="002E6E0F">
        <w:rPr>
          <w:color w:val="212121"/>
          <w:lang w:val="en-US"/>
        </w:rPr>
        <w:t>Rucker, J. J. H., Iliff, J., &amp; Nutt, D. J. (2018). Psychiatry &amp; the psychedelic drugs. Past,</w:t>
      </w:r>
    </w:p>
    <w:p w14:paraId="458AF41E" w14:textId="77777777" w:rsidR="00D434FF" w:rsidRPr="002E6E0F" w:rsidRDefault="005D106E">
      <w:pPr>
        <w:ind w:firstLine="850"/>
        <w:jc w:val="both"/>
        <w:rPr>
          <w:color w:val="212121"/>
          <w:lang w:val="en-US"/>
        </w:rPr>
      </w:pPr>
      <w:r w:rsidRPr="002E6E0F">
        <w:rPr>
          <w:color w:val="212121"/>
          <w:lang w:val="en-US"/>
        </w:rPr>
        <w:t xml:space="preserve">present &amp; future. </w:t>
      </w:r>
      <w:r w:rsidRPr="002E6E0F">
        <w:rPr>
          <w:i/>
          <w:color w:val="212121"/>
          <w:lang w:val="en-US"/>
        </w:rPr>
        <w:t>Neuropharmacology</w:t>
      </w:r>
      <w:r w:rsidRPr="002E6E0F">
        <w:rPr>
          <w:color w:val="212121"/>
          <w:lang w:val="en-US"/>
        </w:rPr>
        <w:t>, 142, 200–218.</w:t>
      </w:r>
    </w:p>
    <w:p w14:paraId="7EC40D85" w14:textId="77777777" w:rsidR="00D434FF" w:rsidRPr="002E6E0F" w:rsidRDefault="005D106E">
      <w:pPr>
        <w:ind w:firstLine="850"/>
        <w:jc w:val="both"/>
        <w:rPr>
          <w:color w:val="212121"/>
          <w:lang w:val="en-US"/>
        </w:rPr>
      </w:pPr>
      <w:hyperlink r:id="rId44">
        <w:r w:rsidRPr="002E6E0F">
          <w:rPr>
            <w:color w:val="212121"/>
            <w:u w:val="single"/>
            <w:lang w:val="en-US"/>
          </w:rPr>
          <w:t>https://doi.org/10.1016/J.NEUROPHARM.2017.12.040</w:t>
        </w:r>
      </w:hyperlink>
    </w:p>
    <w:p w14:paraId="4247935D" w14:textId="77777777" w:rsidR="00D434FF" w:rsidRPr="002E6E0F" w:rsidRDefault="005D106E">
      <w:pPr>
        <w:widowControl w:val="0"/>
        <w:jc w:val="both"/>
        <w:rPr>
          <w:color w:val="212121"/>
          <w:lang w:val="en-US"/>
        </w:rPr>
      </w:pPr>
      <w:r w:rsidRPr="007E4DFC">
        <w:rPr>
          <w:color w:val="212121"/>
        </w:rPr>
        <w:t xml:space="preserve">Santos, H. da C., &amp; Medeiros, C. I. S. (2021). </w:t>
      </w:r>
      <w:r w:rsidRPr="002E6E0F">
        <w:rPr>
          <w:color w:val="212121"/>
          <w:lang w:val="en-US"/>
        </w:rPr>
        <w:t>The rebirth of psychedelic therapy: An</w:t>
      </w:r>
    </w:p>
    <w:p w14:paraId="4EED2DED" w14:textId="77777777" w:rsidR="00D434FF" w:rsidRPr="002E6E0F" w:rsidRDefault="005D106E">
      <w:pPr>
        <w:widowControl w:val="0"/>
        <w:ind w:firstLine="850"/>
        <w:jc w:val="both"/>
        <w:rPr>
          <w:color w:val="212121"/>
          <w:lang w:val="en-US"/>
        </w:rPr>
      </w:pPr>
      <w:r w:rsidRPr="002E6E0F">
        <w:rPr>
          <w:color w:val="212121"/>
          <w:lang w:val="en-US"/>
        </w:rPr>
        <w:t xml:space="preserve">integrative literature review. </w:t>
      </w:r>
      <w:r w:rsidRPr="002E6E0F">
        <w:rPr>
          <w:i/>
          <w:color w:val="212121"/>
          <w:lang w:val="en-US"/>
        </w:rPr>
        <w:t>Research, Society and Development</w:t>
      </w:r>
      <w:r w:rsidRPr="002E6E0F">
        <w:rPr>
          <w:color w:val="212121"/>
          <w:lang w:val="en-US"/>
        </w:rPr>
        <w:t>, 10(9),</w:t>
      </w:r>
    </w:p>
    <w:p w14:paraId="7C07C073" w14:textId="77777777" w:rsidR="00D434FF" w:rsidRPr="007E4DFC" w:rsidRDefault="005D106E">
      <w:pPr>
        <w:widowControl w:val="0"/>
        <w:ind w:firstLine="850"/>
        <w:jc w:val="both"/>
        <w:rPr>
          <w:color w:val="212121"/>
        </w:rPr>
      </w:pPr>
      <w:r w:rsidRPr="007E4DFC">
        <w:rPr>
          <w:color w:val="212121"/>
        </w:rPr>
        <w:t xml:space="preserve">e48510918122–e48510918122. </w:t>
      </w:r>
      <w:hyperlink r:id="rId45">
        <w:r w:rsidRPr="007E4DFC">
          <w:rPr>
            <w:color w:val="212121"/>
            <w:u w:val="single"/>
          </w:rPr>
          <w:t>https://doi.org/10.33448/RSD-V10I9.18122</w:t>
        </w:r>
      </w:hyperlink>
    </w:p>
    <w:p w14:paraId="506EF66F" w14:textId="77777777" w:rsidR="00D434FF" w:rsidRPr="007E4DFC" w:rsidRDefault="005D106E">
      <w:pPr>
        <w:widowControl w:val="0"/>
        <w:jc w:val="both"/>
        <w:rPr>
          <w:i/>
        </w:rPr>
      </w:pPr>
      <w:r w:rsidRPr="007E4DFC">
        <w:t xml:space="preserve">Santos, R. </w:t>
      </w:r>
      <w:proofErr w:type="gramStart"/>
      <w:r w:rsidRPr="007E4DFC">
        <w:t>D..</w:t>
      </w:r>
      <w:proofErr w:type="gramEnd"/>
      <w:r w:rsidRPr="007E4DFC">
        <w:t xml:space="preserve"> (2005). Farmacologia da niacina ou ácido nicotínico. </w:t>
      </w:r>
      <w:r w:rsidRPr="007E4DFC">
        <w:rPr>
          <w:i/>
        </w:rPr>
        <w:t>Arquivos Brasileiros De</w:t>
      </w:r>
    </w:p>
    <w:p w14:paraId="4BF0E780" w14:textId="77777777" w:rsidR="00D434FF" w:rsidRPr="007E4DFC" w:rsidRDefault="005D106E">
      <w:pPr>
        <w:widowControl w:val="0"/>
        <w:ind w:left="850"/>
        <w:jc w:val="both"/>
        <w:rPr>
          <w:color w:val="212121"/>
        </w:rPr>
      </w:pPr>
      <w:r w:rsidRPr="007E4DFC">
        <w:rPr>
          <w:i/>
        </w:rPr>
        <w:t>Cardiologia</w:t>
      </w:r>
      <w:r w:rsidRPr="007E4DFC">
        <w:t xml:space="preserve">, </w:t>
      </w:r>
      <w:r w:rsidRPr="007E4DFC">
        <w:rPr>
          <w:i/>
        </w:rPr>
        <w:t>85</w:t>
      </w:r>
      <w:r w:rsidRPr="007E4DFC">
        <w:t xml:space="preserve">, 17–19. </w:t>
      </w:r>
      <w:hyperlink r:id="rId46">
        <w:r w:rsidRPr="007E4DFC">
          <w:rPr>
            <w:color w:val="1155CC"/>
            <w:u w:val="single"/>
          </w:rPr>
          <w:t>https://doi.org/10.1590/S0066-782X2005002400005</w:t>
        </w:r>
      </w:hyperlink>
    </w:p>
    <w:p w14:paraId="73EDF7E8" w14:textId="77777777" w:rsidR="00D434FF" w:rsidRPr="002E6E0F" w:rsidRDefault="005D106E">
      <w:pPr>
        <w:jc w:val="both"/>
        <w:rPr>
          <w:lang w:val="en-US"/>
        </w:rPr>
      </w:pPr>
      <w:proofErr w:type="spellStart"/>
      <w:r w:rsidRPr="007E4DFC">
        <w:t>Shao</w:t>
      </w:r>
      <w:proofErr w:type="spellEnd"/>
      <w:r w:rsidRPr="007E4DFC">
        <w:t xml:space="preserve"> </w:t>
      </w:r>
      <w:r w:rsidRPr="007E4DFC">
        <w:rPr>
          <w:i/>
        </w:rPr>
        <w:t>et al</w:t>
      </w:r>
      <w:r w:rsidRPr="007E4DFC">
        <w:t xml:space="preserve">. </w:t>
      </w:r>
      <w:r w:rsidRPr="002E6E0F">
        <w:rPr>
          <w:lang w:val="en-US"/>
        </w:rPr>
        <w:t>(2024). Pyramidal cell types and 5-HT2A receptors are essential for psilocybin’s</w:t>
      </w:r>
    </w:p>
    <w:p w14:paraId="0B4C7A64" w14:textId="77777777" w:rsidR="00D434FF" w:rsidRPr="002E6E0F" w:rsidRDefault="005D106E">
      <w:pPr>
        <w:ind w:firstLine="850"/>
        <w:jc w:val="both"/>
        <w:rPr>
          <w:lang w:val="en-US"/>
        </w:rPr>
      </w:pPr>
      <w:r w:rsidRPr="002E6E0F">
        <w:rPr>
          <w:lang w:val="en-US"/>
        </w:rPr>
        <w:t xml:space="preserve">lasting drug action. </w:t>
      </w:r>
      <w:proofErr w:type="spellStart"/>
      <w:r w:rsidRPr="002E6E0F">
        <w:rPr>
          <w:i/>
          <w:lang w:val="en-US"/>
        </w:rPr>
        <w:t>BioRxiv</w:t>
      </w:r>
      <w:proofErr w:type="spellEnd"/>
      <w:r w:rsidRPr="002E6E0F">
        <w:rPr>
          <w:lang w:val="en-US"/>
        </w:rPr>
        <w:t xml:space="preserve">, 2024.11.02.621692. </w:t>
      </w:r>
    </w:p>
    <w:p w14:paraId="10001297" w14:textId="77777777" w:rsidR="00D434FF" w:rsidRPr="002E6E0F" w:rsidRDefault="005D106E">
      <w:pPr>
        <w:ind w:firstLine="850"/>
        <w:jc w:val="both"/>
        <w:rPr>
          <w:color w:val="212121"/>
          <w:lang w:val="en-US"/>
        </w:rPr>
      </w:pPr>
      <w:r>
        <w:fldChar w:fldCharType="begin"/>
      </w:r>
      <w:r w:rsidRPr="00031D66">
        <w:rPr>
          <w:lang w:val="es-AR"/>
        </w:rPr>
        <w:instrText>HYPERLINK "https://doi.org/10.1101/2024.11.02.621692" \h</w:instrText>
      </w:r>
      <w:r>
        <w:fldChar w:fldCharType="separate"/>
      </w:r>
      <w:r w:rsidRPr="002E6E0F">
        <w:rPr>
          <w:color w:val="1155CC"/>
          <w:u w:val="single"/>
          <w:lang w:val="en-US"/>
        </w:rPr>
        <w:t>https://doi.org/10.1101/2024.11.02.621692</w:t>
      </w:r>
      <w:r>
        <w:fldChar w:fldCharType="end"/>
      </w:r>
    </w:p>
    <w:p w14:paraId="6DD5F089" w14:textId="77777777" w:rsidR="00D434FF" w:rsidRPr="008C3A18" w:rsidRDefault="005D106E" w:rsidP="007F0E1C">
      <w:pPr>
        <w:ind w:left="851" w:hanging="851"/>
        <w:jc w:val="both"/>
        <w:rPr>
          <w:color w:val="212121"/>
        </w:rPr>
      </w:pPr>
      <w:proofErr w:type="spellStart"/>
      <w:r w:rsidRPr="007E4DFC">
        <w:t>Shiwa</w:t>
      </w:r>
      <w:proofErr w:type="spellEnd"/>
      <w:r w:rsidRPr="007E4DFC">
        <w:t xml:space="preserve"> </w:t>
      </w:r>
      <w:r w:rsidRPr="007E4DFC">
        <w:rPr>
          <w:i/>
        </w:rPr>
        <w:t>et al</w:t>
      </w:r>
      <w:r w:rsidRPr="007E4DFC">
        <w:t xml:space="preserve">. (2011). </w:t>
      </w:r>
      <w:proofErr w:type="spellStart"/>
      <w:r w:rsidRPr="007E4DFC">
        <w:t>PEDro</w:t>
      </w:r>
      <w:proofErr w:type="spellEnd"/>
      <w:r w:rsidRPr="007E4DFC">
        <w:t xml:space="preserve">: a base de dados de evidências em fisioterapia. </w:t>
      </w:r>
      <w:r w:rsidRPr="008C3A18">
        <w:rPr>
          <w:i/>
        </w:rPr>
        <w:t>Fisioterapia Em Movimento</w:t>
      </w:r>
      <w:r w:rsidRPr="008C3A18">
        <w:t xml:space="preserve">, </w:t>
      </w:r>
      <w:r w:rsidRPr="008C3A18">
        <w:rPr>
          <w:i/>
        </w:rPr>
        <w:t>24</w:t>
      </w:r>
      <w:r w:rsidRPr="008C3A18">
        <w:t xml:space="preserve">(3),523–533. </w:t>
      </w:r>
      <w:hyperlink r:id="rId47">
        <w:r w:rsidRPr="008C3A18">
          <w:rPr>
            <w:color w:val="1155CC"/>
            <w:u w:val="single"/>
          </w:rPr>
          <w:t>https://doi.org/10.1590/S0103-51502011000300017</w:t>
        </w:r>
      </w:hyperlink>
    </w:p>
    <w:p w14:paraId="4379B520" w14:textId="77777777" w:rsidR="00D434FF" w:rsidRPr="002E6E0F" w:rsidRDefault="005D106E">
      <w:pPr>
        <w:widowControl w:val="0"/>
        <w:jc w:val="both"/>
        <w:rPr>
          <w:color w:val="212121"/>
          <w:lang w:val="en-US"/>
        </w:rPr>
      </w:pPr>
      <w:proofErr w:type="spellStart"/>
      <w:proofErr w:type="gramStart"/>
      <w:r w:rsidRPr="008C3A18">
        <w:rPr>
          <w:color w:val="212121"/>
        </w:rPr>
        <w:t>Shukuroglou</w:t>
      </w:r>
      <w:proofErr w:type="spellEnd"/>
      <w:r w:rsidRPr="008C3A18">
        <w:rPr>
          <w:color w:val="212121"/>
        </w:rPr>
        <w:t xml:space="preserve">  </w:t>
      </w:r>
      <w:r w:rsidRPr="008C3A18">
        <w:rPr>
          <w:i/>
          <w:color w:val="212121"/>
        </w:rPr>
        <w:t>et</w:t>
      </w:r>
      <w:proofErr w:type="gramEnd"/>
      <w:r w:rsidRPr="008C3A18">
        <w:rPr>
          <w:i/>
          <w:color w:val="212121"/>
        </w:rPr>
        <w:t xml:space="preserve"> al</w:t>
      </w:r>
      <w:r w:rsidRPr="008C3A18">
        <w:rPr>
          <w:color w:val="212121"/>
        </w:rPr>
        <w:t xml:space="preserve">. </w:t>
      </w:r>
      <w:r w:rsidRPr="002E6E0F">
        <w:rPr>
          <w:color w:val="212121"/>
          <w:lang w:val="en-US"/>
        </w:rPr>
        <w:t>(2023) Changes in music-evoked emotion and ventral striatal functional</w:t>
      </w:r>
    </w:p>
    <w:p w14:paraId="2F26621F" w14:textId="77777777" w:rsidR="00D434FF" w:rsidRPr="002E6E0F" w:rsidRDefault="005D106E">
      <w:pPr>
        <w:widowControl w:val="0"/>
        <w:ind w:firstLine="850"/>
        <w:jc w:val="both"/>
        <w:rPr>
          <w:color w:val="212121"/>
          <w:lang w:val="en-US"/>
        </w:rPr>
      </w:pPr>
      <w:r w:rsidRPr="002E6E0F">
        <w:rPr>
          <w:color w:val="212121"/>
          <w:lang w:val="en-US"/>
        </w:rPr>
        <w:t>connectivity after psilocybin therapy for depression. Journal of Psychopharmacology.</w:t>
      </w:r>
    </w:p>
    <w:p w14:paraId="6E8EFC67" w14:textId="77777777" w:rsidR="00D434FF" w:rsidRPr="002E6E0F" w:rsidRDefault="005D106E">
      <w:pPr>
        <w:widowControl w:val="0"/>
        <w:ind w:firstLine="850"/>
        <w:jc w:val="both"/>
        <w:rPr>
          <w:color w:val="212121"/>
          <w:lang w:val="en-US"/>
        </w:rPr>
      </w:pPr>
      <w:r w:rsidRPr="002E6E0F">
        <w:rPr>
          <w:color w:val="212121"/>
          <w:lang w:val="en-US"/>
        </w:rPr>
        <w:t xml:space="preserve">37(1):70-79. </w:t>
      </w:r>
      <w:hyperlink r:id="rId48">
        <w:r w:rsidRPr="002E6E0F">
          <w:rPr>
            <w:color w:val="1155CC"/>
            <w:u w:val="single"/>
            <w:lang w:val="en-US"/>
          </w:rPr>
          <w:t>https://doi.org/10.1177/02698811221125354</w:t>
        </w:r>
      </w:hyperlink>
    </w:p>
    <w:p w14:paraId="7E75DDA5" w14:textId="77777777" w:rsidR="00D434FF" w:rsidRPr="007E4DFC" w:rsidRDefault="005D106E">
      <w:pPr>
        <w:jc w:val="both"/>
      </w:pPr>
      <w:r w:rsidRPr="007E4DFC">
        <w:t>Silva, J.G., Costa, S.R., &amp; Silva, D.P. (2021). Uso da psilocibina como ferramenta</w:t>
      </w:r>
    </w:p>
    <w:p w14:paraId="0AC5083E" w14:textId="77777777" w:rsidR="00D434FF" w:rsidRPr="002E6E0F" w:rsidRDefault="005D106E">
      <w:pPr>
        <w:ind w:firstLine="850"/>
        <w:jc w:val="both"/>
        <w:rPr>
          <w:lang w:val="en-US"/>
        </w:rPr>
      </w:pPr>
      <w:r w:rsidRPr="007E4DFC">
        <w:t xml:space="preserve">psicoterapêutica no tratamento da depressão: uma revisão. </w:t>
      </w:r>
      <w:r w:rsidRPr="002E6E0F">
        <w:rPr>
          <w:i/>
          <w:lang w:val="en-US"/>
        </w:rPr>
        <w:t xml:space="preserve">Scire </w:t>
      </w:r>
      <w:proofErr w:type="spellStart"/>
      <w:r w:rsidRPr="002E6E0F">
        <w:rPr>
          <w:i/>
          <w:lang w:val="en-US"/>
        </w:rPr>
        <w:t>Salutis</w:t>
      </w:r>
      <w:proofErr w:type="spellEnd"/>
      <w:r w:rsidRPr="002E6E0F">
        <w:rPr>
          <w:lang w:val="en-US"/>
        </w:rPr>
        <w:t>.</w:t>
      </w:r>
    </w:p>
    <w:p w14:paraId="43D9EB65" w14:textId="77777777" w:rsidR="00D434FF" w:rsidRPr="002E6E0F" w:rsidRDefault="005D106E">
      <w:pPr>
        <w:ind w:firstLine="850"/>
        <w:jc w:val="both"/>
        <w:rPr>
          <w:color w:val="212121"/>
          <w:lang w:val="en-US"/>
        </w:rPr>
      </w:pPr>
      <w:r>
        <w:lastRenderedPageBreak/>
        <w:fldChar w:fldCharType="begin"/>
      </w:r>
      <w:r w:rsidRPr="00031D66">
        <w:rPr>
          <w:lang w:val="es-AR"/>
        </w:rPr>
        <w:instrText>HYPERLINK "https://doi.org/10.6008/cbpc2236-9600.2022.001.0035" \h</w:instrText>
      </w:r>
      <w:r>
        <w:fldChar w:fldCharType="separate"/>
      </w:r>
      <w:r w:rsidRPr="002E6E0F">
        <w:rPr>
          <w:color w:val="1155CC"/>
          <w:u w:val="single"/>
          <w:lang w:val="en-US"/>
        </w:rPr>
        <w:t>https://doi.org/10.6008/cbpc2236-9600.2022.001.0035</w:t>
      </w:r>
      <w:r>
        <w:fldChar w:fldCharType="end"/>
      </w:r>
    </w:p>
    <w:p w14:paraId="1A28565D" w14:textId="77777777" w:rsidR="00D434FF" w:rsidRPr="002E6E0F" w:rsidRDefault="005D106E">
      <w:pPr>
        <w:jc w:val="both"/>
        <w:rPr>
          <w:color w:val="212121"/>
          <w:lang w:val="en-US"/>
        </w:rPr>
      </w:pPr>
      <w:proofErr w:type="spellStart"/>
      <w:r w:rsidRPr="002E6E0F">
        <w:rPr>
          <w:color w:val="212121"/>
          <w:lang w:val="en-US"/>
        </w:rPr>
        <w:t>Skosnik</w:t>
      </w:r>
      <w:proofErr w:type="spellEnd"/>
      <w:r w:rsidRPr="002E6E0F">
        <w:rPr>
          <w:color w:val="212121"/>
          <w:lang w:val="en-US"/>
        </w:rPr>
        <w:t xml:space="preserve"> </w:t>
      </w:r>
      <w:r w:rsidRPr="002E6E0F">
        <w:rPr>
          <w:i/>
          <w:color w:val="212121"/>
          <w:lang w:val="en-US"/>
        </w:rPr>
        <w:t xml:space="preserve">et al. </w:t>
      </w:r>
      <w:r w:rsidRPr="002E6E0F">
        <w:rPr>
          <w:color w:val="212121"/>
          <w:lang w:val="en-US"/>
        </w:rPr>
        <w:t>(2023). Sub-acute effects of psilocybin on EEG correlates of neural plasticity in</w:t>
      </w:r>
    </w:p>
    <w:p w14:paraId="1885EB01" w14:textId="77777777" w:rsidR="00D434FF" w:rsidRPr="002E6E0F" w:rsidRDefault="005D106E">
      <w:pPr>
        <w:ind w:left="850"/>
        <w:jc w:val="both"/>
        <w:rPr>
          <w:color w:val="212121"/>
          <w:lang w:val="en-US"/>
        </w:rPr>
      </w:pPr>
      <w:r w:rsidRPr="002E6E0F">
        <w:rPr>
          <w:color w:val="212121"/>
          <w:lang w:val="en-US"/>
        </w:rPr>
        <w:t xml:space="preserve">major depression: Relationship to symptoms. </w:t>
      </w:r>
      <w:r w:rsidRPr="002E6E0F">
        <w:rPr>
          <w:i/>
          <w:color w:val="212121"/>
          <w:lang w:val="en-US"/>
        </w:rPr>
        <w:t>Journal of Psychopharmacology</w:t>
      </w:r>
      <w:r w:rsidRPr="002E6E0F">
        <w:rPr>
          <w:color w:val="212121"/>
          <w:lang w:val="en-US"/>
        </w:rPr>
        <w:t xml:space="preserve">, 37(7), 687–697. </w:t>
      </w:r>
      <w:hyperlink r:id="rId49">
        <w:r w:rsidRPr="002E6E0F">
          <w:rPr>
            <w:color w:val="212121"/>
            <w:u w:val="single"/>
            <w:lang w:val="en-US"/>
          </w:rPr>
          <w:t>https://doi.org/10.1177/02698811231179800</w:t>
        </w:r>
      </w:hyperlink>
    </w:p>
    <w:p w14:paraId="627A00A3" w14:textId="0DE24D81" w:rsidR="00FF4859" w:rsidRPr="00FF4859" w:rsidRDefault="00FF4859" w:rsidP="00FF4859">
      <w:pPr>
        <w:ind w:left="851" w:hanging="851"/>
        <w:jc w:val="both"/>
        <w:rPr>
          <w:color w:val="212121"/>
          <w:shd w:val="clear" w:color="auto" w:fill="FFFFFF"/>
          <w:lang w:val="en-US"/>
        </w:rPr>
      </w:pPr>
      <w:proofErr w:type="spellStart"/>
      <w:r w:rsidRPr="00FF4859">
        <w:rPr>
          <w:color w:val="212121"/>
          <w:shd w:val="clear" w:color="auto" w:fill="FFFFFF"/>
          <w:lang w:val="en-US"/>
        </w:rPr>
        <w:t>Sloshower</w:t>
      </w:r>
      <w:proofErr w:type="spellEnd"/>
      <w:r>
        <w:rPr>
          <w:color w:val="212121"/>
          <w:shd w:val="clear" w:color="auto" w:fill="FFFFFF"/>
          <w:lang w:val="en-US"/>
        </w:rPr>
        <w:t xml:space="preserve"> </w:t>
      </w:r>
      <w:r w:rsidRPr="00FF4859">
        <w:rPr>
          <w:i/>
          <w:iCs/>
          <w:color w:val="212121"/>
          <w:shd w:val="clear" w:color="auto" w:fill="FFFFFF"/>
          <w:lang w:val="en-US"/>
        </w:rPr>
        <w:t>et al.</w:t>
      </w:r>
      <w:r>
        <w:rPr>
          <w:color w:val="212121"/>
          <w:shd w:val="clear" w:color="auto" w:fill="FFFFFF"/>
          <w:lang w:val="en-US"/>
        </w:rPr>
        <w:t xml:space="preserve"> </w:t>
      </w:r>
      <w:r w:rsidRPr="00FF4859">
        <w:rPr>
          <w:color w:val="212121"/>
          <w:shd w:val="clear" w:color="auto" w:fill="FFFFFF"/>
          <w:lang w:val="en-US"/>
        </w:rPr>
        <w:t>(2023). Psilocybin-assisted therapy for major depressive disorder: An</w:t>
      </w:r>
      <w:r>
        <w:rPr>
          <w:color w:val="212121"/>
          <w:shd w:val="clear" w:color="auto" w:fill="FFFFFF"/>
          <w:lang w:val="en-US"/>
        </w:rPr>
        <w:t xml:space="preserve"> </w:t>
      </w:r>
      <w:r w:rsidRPr="00FF4859">
        <w:rPr>
          <w:color w:val="212121"/>
          <w:shd w:val="clear" w:color="auto" w:fill="FFFFFF"/>
          <w:lang w:val="en-US"/>
        </w:rPr>
        <w:t>exploratory placebo-controlled, fixed-order trial. </w:t>
      </w:r>
      <w:r w:rsidRPr="00FF4859">
        <w:rPr>
          <w:i/>
          <w:iCs/>
          <w:color w:val="212121"/>
          <w:shd w:val="clear" w:color="auto" w:fill="FFFFFF"/>
          <w:lang w:val="en-US"/>
        </w:rPr>
        <w:t>Journal of psychopharmacology (Oxford, England)</w:t>
      </w:r>
      <w:r w:rsidRPr="00FF4859">
        <w:rPr>
          <w:color w:val="212121"/>
          <w:shd w:val="clear" w:color="auto" w:fill="FFFFFF"/>
          <w:lang w:val="en-US"/>
        </w:rPr>
        <w:t>, </w:t>
      </w:r>
      <w:r w:rsidRPr="00FF4859">
        <w:rPr>
          <w:i/>
          <w:iCs/>
          <w:color w:val="212121"/>
          <w:shd w:val="clear" w:color="auto" w:fill="FFFFFF"/>
          <w:lang w:val="en-US"/>
        </w:rPr>
        <w:t>37</w:t>
      </w:r>
      <w:r w:rsidRPr="00FF4859">
        <w:rPr>
          <w:color w:val="212121"/>
          <w:shd w:val="clear" w:color="auto" w:fill="FFFFFF"/>
          <w:lang w:val="en-US"/>
        </w:rPr>
        <w:t xml:space="preserve">(7), 698–706. </w:t>
      </w:r>
      <w:r>
        <w:fldChar w:fldCharType="begin"/>
      </w:r>
      <w:r w:rsidRPr="00031D66">
        <w:rPr>
          <w:lang w:val="en-US"/>
        </w:rPr>
        <w:instrText>HYPERLINK "https://doi.org/10.1177/02698811231154852"</w:instrText>
      </w:r>
      <w:r>
        <w:fldChar w:fldCharType="separate"/>
      </w:r>
      <w:r w:rsidRPr="00FF4859">
        <w:rPr>
          <w:rStyle w:val="Hipervnculo"/>
          <w:shd w:val="clear" w:color="auto" w:fill="FFFFFF"/>
          <w:lang w:val="en-US"/>
        </w:rPr>
        <w:t>https://doi.org/10.1177/02698811231154852</w:t>
      </w:r>
      <w:r>
        <w:fldChar w:fldCharType="end"/>
      </w:r>
    </w:p>
    <w:p w14:paraId="4DFFA744" w14:textId="2F8A2A00" w:rsidR="00D434FF" w:rsidRPr="002E6E0F" w:rsidRDefault="005D106E">
      <w:pPr>
        <w:jc w:val="both"/>
        <w:rPr>
          <w:color w:val="212121"/>
          <w:lang w:val="en-US"/>
        </w:rPr>
      </w:pPr>
      <w:proofErr w:type="spellStart"/>
      <w:r w:rsidRPr="002E6E0F">
        <w:rPr>
          <w:color w:val="212121"/>
          <w:lang w:val="en-US"/>
        </w:rPr>
        <w:t>Strumila</w:t>
      </w:r>
      <w:proofErr w:type="spellEnd"/>
      <w:r w:rsidRPr="002E6E0F">
        <w:rPr>
          <w:color w:val="212121"/>
          <w:lang w:val="en-US"/>
        </w:rPr>
        <w:t xml:space="preserve"> </w:t>
      </w:r>
      <w:r w:rsidRPr="002E6E0F">
        <w:rPr>
          <w:i/>
          <w:color w:val="212121"/>
          <w:lang w:val="en-US"/>
        </w:rPr>
        <w:t>et al</w:t>
      </w:r>
      <w:r w:rsidRPr="002E6E0F">
        <w:rPr>
          <w:color w:val="212121"/>
          <w:lang w:val="en-US"/>
        </w:rPr>
        <w:t>. (2021). Psilocybin, a Naturally Occurring Indoleamine Compound, Could Be</w:t>
      </w:r>
    </w:p>
    <w:p w14:paraId="63C0B444" w14:textId="77777777" w:rsidR="00D434FF" w:rsidRPr="002E6E0F" w:rsidRDefault="005D106E">
      <w:pPr>
        <w:ind w:left="850"/>
        <w:jc w:val="both"/>
        <w:rPr>
          <w:color w:val="212121"/>
          <w:lang w:val="en-US"/>
        </w:rPr>
      </w:pPr>
      <w:r w:rsidRPr="002E6E0F">
        <w:rPr>
          <w:color w:val="212121"/>
          <w:lang w:val="en-US"/>
        </w:rPr>
        <w:t xml:space="preserve">Useful to Prevent Suicidal Behaviors. </w:t>
      </w:r>
      <w:r w:rsidRPr="002E6E0F">
        <w:rPr>
          <w:i/>
          <w:color w:val="212121"/>
          <w:lang w:val="en-US"/>
        </w:rPr>
        <w:t>Pharmaceuticals (Basel, Switzerland)</w:t>
      </w:r>
      <w:r w:rsidRPr="002E6E0F">
        <w:rPr>
          <w:color w:val="212121"/>
          <w:lang w:val="en-US"/>
        </w:rPr>
        <w:t xml:space="preserve">, </w:t>
      </w:r>
      <w:r w:rsidRPr="002E6E0F">
        <w:rPr>
          <w:i/>
          <w:color w:val="212121"/>
          <w:lang w:val="en-US"/>
        </w:rPr>
        <w:t>14</w:t>
      </w:r>
      <w:r w:rsidRPr="002E6E0F">
        <w:rPr>
          <w:color w:val="212121"/>
          <w:lang w:val="en-US"/>
        </w:rPr>
        <w:t xml:space="preserve">(12), 1213. </w:t>
      </w:r>
      <w:r>
        <w:fldChar w:fldCharType="begin"/>
      </w:r>
      <w:r w:rsidRPr="00031D66">
        <w:rPr>
          <w:lang w:val="en-US"/>
        </w:rPr>
        <w:instrText>HYPERLINK "https://doi.org/10.3390/ph14121213" \h</w:instrText>
      </w:r>
      <w:r>
        <w:fldChar w:fldCharType="separate"/>
      </w:r>
      <w:r w:rsidRPr="002E6E0F">
        <w:rPr>
          <w:color w:val="1155CC"/>
          <w:u w:val="single"/>
          <w:lang w:val="en-US"/>
        </w:rPr>
        <w:t>https://doi.org/10.3390/ph14121213</w:t>
      </w:r>
      <w:r>
        <w:fldChar w:fldCharType="end"/>
      </w:r>
    </w:p>
    <w:p w14:paraId="72D0895D" w14:textId="77777777" w:rsidR="00D434FF" w:rsidRPr="002E6E0F" w:rsidRDefault="005D106E">
      <w:pPr>
        <w:widowControl w:val="0"/>
        <w:jc w:val="both"/>
        <w:rPr>
          <w:color w:val="212121"/>
          <w:lang w:val="en-US"/>
        </w:rPr>
      </w:pPr>
      <w:r w:rsidRPr="002E6E0F">
        <w:rPr>
          <w:color w:val="212121"/>
          <w:lang w:val="en-US"/>
        </w:rPr>
        <w:t xml:space="preserve">Stoliker </w:t>
      </w:r>
      <w:r w:rsidRPr="002E6E0F">
        <w:rPr>
          <w:i/>
          <w:color w:val="212121"/>
          <w:lang w:val="en-US"/>
        </w:rPr>
        <w:t>et al</w:t>
      </w:r>
      <w:r w:rsidRPr="002E6E0F">
        <w:rPr>
          <w:color w:val="212121"/>
          <w:lang w:val="en-US"/>
        </w:rPr>
        <w:t>. (2024). Neural Mechanisms of Resting-State Networks and the Amygdala</w:t>
      </w:r>
    </w:p>
    <w:p w14:paraId="4532ADDF" w14:textId="77777777" w:rsidR="00D434FF" w:rsidRPr="002E6E0F" w:rsidRDefault="005D106E">
      <w:pPr>
        <w:widowControl w:val="0"/>
        <w:ind w:left="850"/>
        <w:jc w:val="both"/>
        <w:rPr>
          <w:color w:val="212121"/>
          <w:lang w:val="en-US"/>
        </w:rPr>
      </w:pPr>
      <w:r w:rsidRPr="002E6E0F">
        <w:rPr>
          <w:color w:val="212121"/>
          <w:lang w:val="en-US"/>
        </w:rPr>
        <w:t xml:space="preserve">Underlying the Cognitive and Emotional Effects of Psilocybin. </w:t>
      </w:r>
      <w:r w:rsidRPr="002E6E0F">
        <w:rPr>
          <w:i/>
          <w:color w:val="212121"/>
          <w:lang w:val="en-US"/>
        </w:rPr>
        <w:t>Biological Psychiatry</w:t>
      </w:r>
      <w:r w:rsidRPr="002E6E0F">
        <w:rPr>
          <w:color w:val="212121"/>
          <w:lang w:val="en-US"/>
        </w:rPr>
        <w:t xml:space="preserve">, 96(1), 57–66. </w:t>
      </w:r>
      <w:r>
        <w:fldChar w:fldCharType="begin"/>
      </w:r>
      <w:r w:rsidRPr="00031D66">
        <w:rPr>
          <w:lang w:val="en-US"/>
        </w:rPr>
        <w:instrText>HYPERLINK "https://doi.org/10.1016/J.BIOPSYCH.2024.01.002" \h</w:instrText>
      </w:r>
      <w:r>
        <w:fldChar w:fldCharType="separate"/>
      </w:r>
      <w:r w:rsidRPr="002E6E0F">
        <w:rPr>
          <w:color w:val="212121"/>
          <w:u w:val="single"/>
          <w:lang w:val="en-US"/>
        </w:rPr>
        <w:t>https://doi.org/10.1016/J.BIOPSYCH.2024.01.002</w:t>
      </w:r>
      <w:r>
        <w:fldChar w:fldCharType="end"/>
      </w:r>
    </w:p>
    <w:p w14:paraId="44450BDE" w14:textId="77777777" w:rsidR="00D434FF" w:rsidRPr="002E6E0F" w:rsidRDefault="005D106E">
      <w:pPr>
        <w:ind w:left="850" w:hanging="850"/>
        <w:jc w:val="both"/>
        <w:rPr>
          <w:color w:val="212121"/>
          <w:lang w:val="en-US"/>
        </w:rPr>
      </w:pPr>
      <w:r w:rsidRPr="002E6E0F">
        <w:rPr>
          <w:color w:val="212121"/>
          <w:lang w:val="en-US"/>
        </w:rPr>
        <w:t xml:space="preserve">ten </w:t>
      </w:r>
      <w:proofErr w:type="spellStart"/>
      <w:r w:rsidRPr="002E6E0F">
        <w:rPr>
          <w:color w:val="212121"/>
          <w:lang w:val="en-US"/>
        </w:rPr>
        <w:t>Doesschate</w:t>
      </w:r>
      <w:proofErr w:type="spellEnd"/>
      <w:r w:rsidRPr="002E6E0F">
        <w:rPr>
          <w:color w:val="212121"/>
          <w:lang w:val="en-US"/>
        </w:rPr>
        <w:t xml:space="preserve">, M. C., Bockting, C. L. H., &amp; Schene, A. H. (2009). Adherence to continuation and maintenance antidepressant use in recurrent depression. </w:t>
      </w:r>
      <w:r w:rsidRPr="002E6E0F">
        <w:rPr>
          <w:i/>
          <w:color w:val="212121"/>
          <w:lang w:val="en-US"/>
        </w:rPr>
        <w:t>Journal of Affective Disorders</w:t>
      </w:r>
      <w:r w:rsidRPr="002E6E0F">
        <w:rPr>
          <w:color w:val="212121"/>
          <w:lang w:val="en-US"/>
        </w:rPr>
        <w:t xml:space="preserve">, 115(1–2), 167–170. </w:t>
      </w:r>
      <w:r>
        <w:fldChar w:fldCharType="begin"/>
      </w:r>
      <w:r w:rsidRPr="00031D66">
        <w:rPr>
          <w:lang w:val="en-US"/>
        </w:rPr>
        <w:instrText>HYPERLINK "https://doi.org/10.1016/j.jad.2008.07.011" \h</w:instrText>
      </w:r>
      <w:r>
        <w:fldChar w:fldCharType="separate"/>
      </w:r>
      <w:r w:rsidRPr="002E6E0F">
        <w:rPr>
          <w:color w:val="212121"/>
          <w:u w:val="single"/>
          <w:lang w:val="en-US"/>
        </w:rPr>
        <w:t>https://doi.org/10.1016/j.jad.2008.07.011</w:t>
      </w:r>
      <w:r>
        <w:fldChar w:fldCharType="end"/>
      </w:r>
    </w:p>
    <w:p w14:paraId="27E524E8" w14:textId="77777777" w:rsidR="00D434FF" w:rsidRPr="002E6E0F" w:rsidRDefault="005D106E">
      <w:pPr>
        <w:jc w:val="both"/>
        <w:rPr>
          <w:lang w:val="en-US"/>
        </w:rPr>
      </w:pPr>
      <w:r w:rsidRPr="002E6E0F">
        <w:rPr>
          <w:lang w:val="en-US"/>
        </w:rPr>
        <w:t>Tolentino, J. C., &amp; Schmidt, S. L. (2018). DSM-5 Criteria and Depression Severity:</w:t>
      </w:r>
    </w:p>
    <w:p w14:paraId="1CC5A948" w14:textId="77777777" w:rsidR="00D434FF" w:rsidRPr="002E6E0F" w:rsidRDefault="005D106E">
      <w:pPr>
        <w:ind w:left="850"/>
        <w:jc w:val="both"/>
        <w:rPr>
          <w:lang w:val="en-US"/>
        </w:rPr>
      </w:pPr>
      <w:r w:rsidRPr="002E6E0F">
        <w:rPr>
          <w:lang w:val="en-US"/>
        </w:rPr>
        <w:t xml:space="preserve">Implications for Clinical Practice. </w:t>
      </w:r>
      <w:r w:rsidRPr="002E6E0F">
        <w:rPr>
          <w:i/>
          <w:lang w:val="en-US"/>
        </w:rPr>
        <w:t>Frontiers in psychiatry</w:t>
      </w:r>
      <w:r w:rsidRPr="002E6E0F">
        <w:rPr>
          <w:lang w:val="en-US"/>
        </w:rPr>
        <w:t xml:space="preserve">, </w:t>
      </w:r>
      <w:r w:rsidRPr="002E6E0F">
        <w:rPr>
          <w:i/>
          <w:lang w:val="en-US"/>
        </w:rPr>
        <w:t>9</w:t>
      </w:r>
      <w:r w:rsidRPr="002E6E0F">
        <w:rPr>
          <w:lang w:val="en-US"/>
        </w:rPr>
        <w:t xml:space="preserve">, 450. </w:t>
      </w:r>
      <w:r>
        <w:fldChar w:fldCharType="begin"/>
      </w:r>
      <w:r w:rsidRPr="00031D66">
        <w:rPr>
          <w:lang w:val="es-AR"/>
        </w:rPr>
        <w:instrText>HYPERLINK "https://doi.org/10.3389/fpsyt.2018.00450" \h</w:instrText>
      </w:r>
      <w:r>
        <w:fldChar w:fldCharType="separate"/>
      </w:r>
      <w:r w:rsidRPr="002E6E0F">
        <w:rPr>
          <w:color w:val="1155CC"/>
          <w:u w:val="single"/>
          <w:lang w:val="en-US"/>
        </w:rPr>
        <w:t>https://doi.org/10.3389/fpsyt.2018.00450</w:t>
      </w:r>
      <w:r>
        <w:fldChar w:fldCharType="end"/>
      </w:r>
    </w:p>
    <w:p w14:paraId="65FBF031" w14:textId="77777777" w:rsidR="00D434FF" w:rsidRPr="002E6E0F" w:rsidRDefault="005D106E">
      <w:pPr>
        <w:ind w:left="850" w:hanging="850"/>
        <w:jc w:val="both"/>
        <w:rPr>
          <w:color w:val="212121"/>
          <w:lang w:val="en-US"/>
        </w:rPr>
      </w:pPr>
      <w:r w:rsidRPr="002E6E0F">
        <w:rPr>
          <w:color w:val="212121"/>
          <w:lang w:val="en-US"/>
        </w:rPr>
        <w:t xml:space="preserve">Verhoeven </w:t>
      </w:r>
      <w:r w:rsidRPr="002E6E0F">
        <w:rPr>
          <w:i/>
          <w:color w:val="212121"/>
          <w:lang w:val="en-US"/>
        </w:rPr>
        <w:t>et al</w:t>
      </w:r>
      <w:r w:rsidRPr="002E6E0F">
        <w:rPr>
          <w:color w:val="212121"/>
          <w:lang w:val="en-US"/>
        </w:rPr>
        <w:t xml:space="preserve">. (2023). Antidepressants or running therapy: Comparing effects on mental and physical health in patients with depression and anxiety disorders. </w:t>
      </w:r>
      <w:r w:rsidRPr="002E6E0F">
        <w:rPr>
          <w:i/>
          <w:color w:val="212121"/>
          <w:lang w:val="en-US"/>
        </w:rPr>
        <w:t>Journal of Affective Disorders</w:t>
      </w:r>
      <w:r w:rsidRPr="002E6E0F">
        <w:rPr>
          <w:color w:val="212121"/>
          <w:lang w:val="en-US"/>
        </w:rPr>
        <w:t xml:space="preserve">, 329, 19–29. </w:t>
      </w:r>
      <w:hyperlink r:id="rId50">
        <w:r w:rsidRPr="002E6E0F">
          <w:rPr>
            <w:color w:val="212121"/>
            <w:u w:val="single"/>
            <w:lang w:val="en-US"/>
          </w:rPr>
          <w:t>https://doi.org/10.1016/J.JAD.2023.02.064</w:t>
        </w:r>
      </w:hyperlink>
    </w:p>
    <w:p w14:paraId="0D3A7B1E" w14:textId="77777777" w:rsidR="00D434FF" w:rsidRPr="002E6E0F" w:rsidRDefault="005D106E">
      <w:pPr>
        <w:jc w:val="both"/>
        <w:rPr>
          <w:lang w:val="en-US"/>
        </w:rPr>
      </w:pPr>
      <w:r w:rsidRPr="002E6E0F">
        <w:rPr>
          <w:lang w:val="en-US"/>
        </w:rPr>
        <w:t xml:space="preserve">Vollenweider, F. X., &amp; </w:t>
      </w:r>
      <w:proofErr w:type="spellStart"/>
      <w:r w:rsidRPr="002E6E0F">
        <w:rPr>
          <w:lang w:val="en-US"/>
        </w:rPr>
        <w:t>Kometer</w:t>
      </w:r>
      <w:proofErr w:type="spellEnd"/>
      <w:r w:rsidRPr="002E6E0F">
        <w:rPr>
          <w:lang w:val="en-US"/>
        </w:rPr>
        <w:t>, M. (2010). The neurobiology of psychedelic drugs:</w:t>
      </w:r>
    </w:p>
    <w:p w14:paraId="1791F648" w14:textId="015CAE02" w:rsidR="00D434FF" w:rsidRPr="002E6E0F" w:rsidRDefault="005D106E">
      <w:pPr>
        <w:ind w:left="850"/>
        <w:jc w:val="both"/>
        <w:rPr>
          <w:color w:val="212121"/>
          <w:lang w:val="en-US"/>
        </w:rPr>
      </w:pPr>
      <w:r w:rsidRPr="002E6E0F">
        <w:rPr>
          <w:lang w:val="en-US"/>
        </w:rPr>
        <w:t xml:space="preserve">implications for the treatment of mood disorders. </w:t>
      </w:r>
      <w:r w:rsidRPr="002E6E0F">
        <w:rPr>
          <w:i/>
          <w:lang w:val="en-US"/>
        </w:rPr>
        <w:t>Nature Reviews Neuroscience 2010 11:9</w:t>
      </w:r>
      <w:r w:rsidRPr="002E6E0F">
        <w:rPr>
          <w:lang w:val="en-US"/>
        </w:rPr>
        <w:t xml:space="preserve">, </w:t>
      </w:r>
      <w:r w:rsidRPr="002E6E0F">
        <w:rPr>
          <w:i/>
          <w:lang w:val="en-US"/>
        </w:rPr>
        <w:t>11</w:t>
      </w:r>
      <w:r w:rsidRPr="002E6E0F">
        <w:rPr>
          <w:lang w:val="en-US"/>
        </w:rPr>
        <w:t>(9</w:t>
      </w:r>
      <w:proofErr w:type="gramStart"/>
      <w:r w:rsidRPr="002E6E0F">
        <w:rPr>
          <w:lang w:val="en-US"/>
        </w:rPr>
        <w:t>),b</w:t>
      </w:r>
      <w:proofErr w:type="gramEnd"/>
      <w:r w:rsidRPr="002E6E0F">
        <w:rPr>
          <w:lang w:val="en-US"/>
        </w:rPr>
        <w:t>642–651.</w:t>
      </w:r>
      <w:hyperlink r:id="rId51">
        <w:r w:rsidRPr="002E6E0F">
          <w:rPr>
            <w:color w:val="1155CC"/>
            <w:u w:val="single"/>
            <w:lang w:val="en-US"/>
          </w:rPr>
          <w:t>https://doi.org/10.1038/nrn2884</w:t>
        </w:r>
      </w:hyperlink>
    </w:p>
    <w:p w14:paraId="55A1ED77" w14:textId="77777777" w:rsidR="00D434FF" w:rsidRPr="002E6E0F" w:rsidRDefault="005D106E">
      <w:pPr>
        <w:ind w:left="850" w:hanging="850"/>
        <w:jc w:val="both"/>
        <w:rPr>
          <w:color w:val="212121"/>
          <w:lang w:val="en-US"/>
        </w:rPr>
      </w:pPr>
      <w:r w:rsidRPr="002E6E0F">
        <w:rPr>
          <w:color w:val="212121"/>
          <w:lang w:val="en-US"/>
        </w:rPr>
        <w:t xml:space="preserve">von Rotz </w:t>
      </w:r>
      <w:r w:rsidRPr="002E6E0F">
        <w:rPr>
          <w:i/>
          <w:color w:val="212121"/>
          <w:lang w:val="en-US"/>
        </w:rPr>
        <w:t>et al.</w:t>
      </w:r>
      <w:r w:rsidRPr="002E6E0F">
        <w:rPr>
          <w:color w:val="212121"/>
          <w:lang w:val="en-US"/>
        </w:rPr>
        <w:t xml:space="preserve"> (2023). Single-dose psilocybin-assisted therapy in major depressive disorder: A placebo-controlled, double-blind, </w:t>
      </w:r>
      <w:proofErr w:type="spellStart"/>
      <w:r w:rsidRPr="002E6E0F">
        <w:rPr>
          <w:color w:val="212121"/>
          <w:lang w:val="en-US"/>
        </w:rPr>
        <w:t>randomised</w:t>
      </w:r>
      <w:proofErr w:type="spellEnd"/>
      <w:r w:rsidRPr="002E6E0F">
        <w:rPr>
          <w:color w:val="212121"/>
          <w:lang w:val="en-US"/>
        </w:rPr>
        <w:t xml:space="preserve"> clinical trial. </w:t>
      </w:r>
      <w:proofErr w:type="spellStart"/>
      <w:r w:rsidRPr="002E6E0F">
        <w:rPr>
          <w:i/>
          <w:color w:val="212121"/>
          <w:lang w:val="en-US"/>
        </w:rPr>
        <w:t>EClinicalMedicine</w:t>
      </w:r>
      <w:proofErr w:type="spellEnd"/>
      <w:r w:rsidRPr="002E6E0F">
        <w:rPr>
          <w:color w:val="212121"/>
          <w:lang w:val="en-US"/>
        </w:rPr>
        <w:t xml:space="preserve">, </w:t>
      </w:r>
      <w:r w:rsidRPr="002E6E0F">
        <w:rPr>
          <w:i/>
          <w:color w:val="212121"/>
          <w:lang w:val="en-US"/>
        </w:rPr>
        <w:t>56</w:t>
      </w:r>
      <w:r w:rsidRPr="002E6E0F">
        <w:rPr>
          <w:color w:val="212121"/>
          <w:lang w:val="en-US"/>
        </w:rPr>
        <w:t>.</w:t>
      </w:r>
    </w:p>
    <w:p w14:paraId="401FC8BF" w14:textId="77777777" w:rsidR="00D434FF" w:rsidRPr="002E6E0F" w:rsidRDefault="005D106E">
      <w:pPr>
        <w:ind w:firstLine="850"/>
        <w:jc w:val="both"/>
        <w:rPr>
          <w:color w:val="212121"/>
          <w:lang w:val="en-US"/>
        </w:rPr>
      </w:pPr>
      <w:r>
        <w:fldChar w:fldCharType="begin"/>
      </w:r>
      <w:r w:rsidRPr="00031D66">
        <w:rPr>
          <w:lang w:val="en-US"/>
        </w:rPr>
        <w:instrText>HYPERLINK "https://doi.org/10.1016/j.eclinm.2022.101809" \h</w:instrText>
      </w:r>
      <w:r>
        <w:fldChar w:fldCharType="separate"/>
      </w:r>
      <w:r w:rsidRPr="002E6E0F">
        <w:rPr>
          <w:color w:val="212121"/>
          <w:u w:val="single"/>
          <w:lang w:val="en-US"/>
        </w:rPr>
        <w:t>https://doi.org/10.1016/j.eclinm.2022.101809</w:t>
      </w:r>
      <w:r>
        <w:fldChar w:fldCharType="end"/>
      </w:r>
    </w:p>
    <w:p w14:paraId="1E650B0D" w14:textId="77777777" w:rsidR="00D434FF" w:rsidRPr="002E6E0F" w:rsidRDefault="005D106E">
      <w:pPr>
        <w:widowControl w:val="0"/>
        <w:jc w:val="both"/>
        <w:rPr>
          <w:color w:val="212121"/>
          <w:lang w:val="en-US"/>
        </w:rPr>
      </w:pPr>
      <w:r w:rsidRPr="002E6E0F">
        <w:rPr>
          <w:color w:val="212121"/>
          <w:lang w:val="en-US"/>
        </w:rPr>
        <w:t>World Health Organization. (2017). Depression and other common mental disorders: global</w:t>
      </w:r>
    </w:p>
    <w:p w14:paraId="2565A606" w14:textId="77777777" w:rsidR="00D434FF" w:rsidRPr="002E6E0F" w:rsidRDefault="005D106E">
      <w:pPr>
        <w:widowControl w:val="0"/>
        <w:ind w:firstLine="850"/>
        <w:jc w:val="both"/>
        <w:rPr>
          <w:color w:val="212121"/>
          <w:lang w:val="en-US"/>
        </w:rPr>
      </w:pPr>
      <w:r w:rsidRPr="002E6E0F">
        <w:rPr>
          <w:color w:val="212121"/>
          <w:lang w:val="en-US"/>
        </w:rPr>
        <w:t>health estimates.</w:t>
      </w:r>
    </w:p>
    <w:p w14:paraId="479F05C7" w14:textId="77777777" w:rsidR="00D434FF" w:rsidRPr="002E6E0F" w:rsidRDefault="005D106E" w:rsidP="00F44E53">
      <w:pPr>
        <w:ind w:left="851" w:hanging="851"/>
        <w:jc w:val="both"/>
        <w:rPr>
          <w:color w:val="212121"/>
          <w:lang w:val="en-US"/>
        </w:rPr>
      </w:pPr>
      <w:r w:rsidRPr="002E6E0F">
        <w:rPr>
          <w:lang w:val="en-US"/>
        </w:rPr>
        <w:t xml:space="preserve">Ziff </w:t>
      </w:r>
      <w:r w:rsidRPr="002E6E0F">
        <w:rPr>
          <w:i/>
          <w:lang w:val="en-US"/>
        </w:rPr>
        <w:t>et al</w:t>
      </w:r>
      <w:r w:rsidRPr="002E6E0F">
        <w:rPr>
          <w:lang w:val="en-US"/>
        </w:rPr>
        <w:t xml:space="preserve">. (2022). Analysis of Psilocybin-Assisted Therapy in Medicine: A Narrative Review. </w:t>
      </w:r>
      <w:r w:rsidRPr="002E6E0F">
        <w:rPr>
          <w:i/>
          <w:lang w:val="en-US"/>
        </w:rPr>
        <w:t>Cureus</w:t>
      </w:r>
      <w:r w:rsidRPr="002E6E0F">
        <w:rPr>
          <w:lang w:val="en-US"/>
        </w:rPr>
        <w:t xml:space="preserve">, </w:t>
      </w:r>
      <w:r w:rsidRPr="002E6E0F">
        <w:rPr>
          <w:i/>
          <w:lang w:val="en-US"/>
        </w:rPr>
        <w:t>14</w:t>
      </w:r>
      <w:r w:rsidRPr="002E6E0F">
        <w:rPr>
          <w:lang w:val="en-US"/>
        </w:rPr>
        <w:t xml:space="preserve">(2), e21944. </w:t>
      </w:r>
      <w:r>
        <w:fldChar w:fldCharType="begin"/>
      </w:r>
      <w:r w:rsidRPr="00031D66">
        <w:rPr>
          <w:lang w:val="en-US"/>
        </w:rPr>
        <w:instrText>HYPERLINK "https://doi.org/10.7759/cureus.21944" \h</w:instrText>
      </w:r>
      <w:r>
        <w:fldChar w:fldCharType="separate"/>
      </w:r>
      <w:r w:rsidRPr="002E6E0F">
        <w:rPr>
          <w:color w:val="1155CC"/>
          <w:u w:val="single"/>
          <w:lang w:val="en-US"/>
        </w:rPr>
        <w:t>https://doi.org/10.7759/cureus.21944</w:t>
      </w:r>
      <w:r>
        <w:fldChar w:fldCharType="end"/>
      </w:r>
    </w:p>
    <w:p w14:paraId="3AAD75B7" w14:textId="77777777" w:rsidR="00D434FF" w:rsidRPr="002E6E0F" w:rsidRDefault="005D106E">
      <w:pPr>
        <w:jc w:val="both"/>
        <w:rPr>
          <w:color w:val="212121"/>
          <w:lang w:val="en-US"/>
        </w:rPr>
      </w:pPr>
      <w:r w:rsidRPr="002E6E0F">
        <w:rPr>
          <w:color w:val="212121"/>
          <w:lang w:val="en-US"/>
        </w:rPr>
        <w:t xml:space="preserve">Zhang </w:t>
      </w:r>
      <w:r w:rsidRPr="002E6E0F">
        <w:rPr>
          <w:i/>
          <w:color w:val="212121"/>
          <w:lang w:val="en-US"/>
        </w:rPr>
        <w:t>et al</w:t>
      </w:r>
      <w:r w:rsidRPr="002E6E0F">
        <w:rPr>
          <w:color w:val="212121"/>
          <w:lang w:val="en-US"/>
        </w:rPr>
        <w:t>. (2019). Cognitive behavioral therapy for primary care depression and anxiety: a</w:t>
      </w:r>
    </w:p>
    <w:p w14:paraId="2B89BFD4" w14:textId="77777777" w:rsidR="00D434FF" w:rsidRPr="002E6E0F" w:rsidRDefault="005D106E">
      <w:pPr>
        <w:ind w:firstLine="850"/>
        <w:jc w:val="both"/>
        <w:rPr>
          <w:color w:val="212121"/>
          <w:lang w:val="en-US"/>
        </w:rPr>
      </w:pPr>
      <w:r w:rsidRPr="002E6E0F">
        <w:rPr>
          <w:color w:val="212121"/>
          <w:lang w:val="en-US"/>
        </w:rPr>
        <w:t>secondary meta-analytic review using robust variance estimation in meta-regression.</w:t>
      </w:r>
    </w:p>
    <w:p w14:paraId="5E90F364" w14:textId="77777777" w:rsidR="00D434FF" w:rsidRPr="002E6E0F" w:rsidRDefault="005D106E">
      <w:pPr>
        <w:ind w:firstLine="850"/>
        <w:jc w:val="both"/>
        <w:rPr>
          <w:color w:val="212121"/>
          <w:lang w:val="en-US"/>
        </w:rPr>
      </w:pPr>
      <w:r w:rsidRPr="002E6E0F">
        <w:rPr>
          <w:i/>
          <w:color w:val="212121"/>
          <w:lang w:val="en-US"/>
        </w:rPr>
        <w:t>Journal of Behavioral Medicine</w:t>
      </w:r>
      <w:r w:rsidRPr="002E6E0F">
        <w:rPr>
          <w:color w:val="212121"/>
          <w:lang w:val="en-US"/>
        </w:rPr>
        <w:t>, 42(6), 1117–1141.</w:t>
      </w:r>
    </w:p>
    <w:p w14:paraId="79D63930" w14:textId="77777777" w:rsidR="00D434FF" w:rsidRPr="002E6E0F" w:rsidRDefault="005D106E">
      <w:pPr>
        <w:ind w:firstLine="850"/>
        <w:jc w:val="both"/>
        <w:rPr>
          <w:color w:val="212121"/>
          <w:lang w:val="en-US"/>
        </w:rPr>
      </w:pPr>
      <w:r>
        <w:fldChar w:fldCharType="begin"/>
      </w:r>
      <w:r w:rsidRPr="00031D66">
        <w:rPr>
          <w:lang w:val="en-US"/>
        </w:rPr>
        <w:instrText>HYPERLINK "https://doi.org/10.1007/s10865-019-00046-z" \h</w:instrText>
      </w:r>
      <w:r>
        <w:fldChar w:fldCharType="separate"/>
      </w:r>
      <w:r w:rsidRPr="002E6E0F">
        <w:rPr>
          <w:color w:val="1155CC"/>
          <w:u w:val="single"/>
          <w:lang w:val="en-US"/>
        </w:rPr>
        <w:t>https://doi.org/10.1007/s10865-019-00046-z</w:t>
      </w:r>
      <w:r>
        <w:fldChar w:fldCharType="end"/>
      </w:r>
      <w:r w:rsidRPr="002E6E0F">
        <w:rPr>
          <w:color w:val="212121"/>
          <w:lang w:val="en-US"/>
        </w:rPr>
        <w:t xml:space="preserve"> </w:t>
      </w:r>
    </w:p>
    <w:p w14:paraId="2A5CDBED" w14:textId="77777777" w:rsidR="00D434FF" w:rsidRPr="002E6E0F" w:rsidRDefault="00D434FF">
      <w:pPr>
        <w:ind w:firstLine="850"/>
        <w:jc w:val="both"/>
        <w:rPr>
          <w:lang w:val="en-US"/>
        </w:rPr>
      </w:pPr>
    </w:p>
    <w:p w14:paraId="476DE5BE" w14:textId="77777777" w:rsidR="00D434FF" w:rsidRPr="002E6E0F" w:rsidRDefault="00D434FF">
      <w:pPr>
        <w:ind w:firstLine="850"/>
        <w:jc w:val="both"/>
        <w:rPr>
          <w:lang w:val="en-US"/>
        </w:rPr>
      </w:pPr>
    </w:p>
    <w:p w14:paraId="5E139146" w14:textId="77777777" w:rsidR="00D434FF" w:rsidRPr="002E6E0F" w:rsidRDefault="00D434FF">
      <w:pPr>
        <w:ind w:left="850"/>
        <w:jc w:val="both"/>
        <w:rPr>
          <w:lang w:val="en-US"/>
        </w:rPr>
      </w:pPr>
    </w:p>
    <w:p w14:paraId="2FB90FCF" w14:textId="77777777" w:rsidR="00D434FF" w:rsidRPr="002E6E0F" w:rsidRDefault="00D434FF">
      <w:pPr>
        <w:ind w:firstLine="850"/>
        <w:jc w:val="both"/>
        <w:rPr>
          <w:lang w:val="en-US"/>
        </w:rPr>
      </w:pPr>
    </w:p>
    <w:p w14:paraId="69A048D2" w14:textId="77777777" w:rsidR="00D434FF" w:rsidRPr="002E6E0F" w:rsidRDefault="00D434FF">
      <w:pPr>
        <w:ind w:left="850"/>
        <w:jc w:val="both"/>
        <w:rPr>
          <w:lang w:val="en-US"/>
        </w:rPr>
      </w:pPr>
    </w:p>
    <w:p w14:paraId="45168B36" w14:textId="77777777" w:rsidR="00D434FF" w:rsidRPr="002E6E0F" w:rsidRDefault="00D434FF">
      <w:pPr>
        <w:jc w:val="both"/>
        <w:rPr>
          <w:color w:val="212121"/>
          <w:highlight w:val="white"/>
          <w:lang w:val="en-US"/>
        </w:rPr>
      </w:pPr>
    </w:p>
    <w:p w14:paraId="0CE7782D" w14:textId="77777777" w:rsidR="00D434FF" w:rsidRPr="002E6E0F" w:rsidRDefault="00D434FF">
      <w:pPr>
        <w:ind w:left="850" w:hanging="850"/>
        <w:jc w:val="both"/>
        <w:rPr>
          <w:color w:val="212121"/>
          <w:highlight w:val="white"/>
          <w:lang w:val="en-US"/>
        </w:rPr>
      </w:pPr>
    </w:p>
    <w:p w14:paraId="26FA1CDB" w14:textId="77777777" w:rsidR="00D434FF" w:rsidRPr="00031D66" w:rsidRDefault="005D106E">
      <w:pPr>
        <w:shd w:val="clear" w:color="auto" w:fill="FFFFFF"/>
        <w:jc w:val="right"/>
        <w:rPr>
          <w:i/>
          <w:sz w:val="20"/>
          <w:szCs w:val="20"/>
          <w:lang w:val="en-US"/>
        </w:rPr>
      </w:pPr>
      <w:r w:rsidRPr="00031D66">
        <w:rPr>
          <w:i/>
          <w:sz w:val="20"/>
          <w:szCs w:val="20"/>
          <w:lang w:val="en-US"/>
        </w:rPr>
        <w:t xml:space="preserve">Received: </w:t>
      </w:r>
    </w:p>
    <w:p w14:paraId="6431D479" w14:textId="77777777" w:rsidR="00D434FF" w:rsidRDefault="005D106E">
      <w:pPr>
        <w:shd w:val="clear" w:color="auto" w:fill="FFFFFF"/>
        <w:jc w:val="right"/>
        <w:rPr>
          <w:rFonts w:ascii="Roboto" w:eastAsia="Roboto" w:hAnsi="Roboto" w:cs="Roboto"/>
          <w:color w:val="212121"/>
          <w:highlight w:val="white"/>
        </w:rPr>
      </w:pPr>
      <w:proofErr w:type="spellStart"/>
      <w:r>
        <w:rPr>
          <w:i/>
          <w:sz w:val="20"/>
          <w:szCs w:val="20"/>
        </w:rPr>
        <w:t>Accepted</w:t>
      </w:r>
      <w:proofErr w:type="spellEnd"/>
      <w:r>
        <w:rPr>
          <w:i/>
          <w:sz w:val="20"/>
          <w:szCs w:val="20"/>
        </w:rPr>
        <w:t>:</w:t>
      </w:r>
    </w:p>
    <w:sectPr w:rsidR="00D434FF">
      <w:pgSz w:w="11906" w:h="16838"/>
      <w:pgMar w:top="1440" w:right="1417"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17686" w14:textId="77777777" w:rsidR="008A390F" w:rsidRDefault="008A390F">
      <w:r>
        <w:separator/>
      </w:r>
    </w:p>
  </w:endnote>
  <w:endnote w:type="continuationSeparator" w:id="0">
    <w:p w14:paraId="04D1A70F" w14:textId="77777777" w:rsidR="008A390F" w:rsidRDefault="008A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Cardo">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Caudex">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FD0B6" w14:textId="4754AA26" w:rsidR="003C4456" w:rsidRDefault="003C4456">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4776A88A" w14:textId="77777777" w:rsidR="003C4456" w:rsidRDefault="003C445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A20F" w14:textId="77777777" w:rsidR="003C4456" w:rsidRDefault="003C4456">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31620F50" w14:textId="77777777" w:rsidR="003C4456" w:rsidRDefault="003C445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C6CEB" w14:textId="77777777" w:rsidR="008A390F" w:rsidRDefault="008A390F">
      <w:r>
        <w:separator/>
      </w:r>
    </w:p>
  </w:footnote>
  <w:footnote w:type="continuationSeparator" w:id="0">
    <w:p w14:paraId="10231B41" w14:textId="77777777" w:rsidR="008A390F" w:rsidRDefault="008A3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0207" w14:textId="77777777" w:rsidR="003C4456" w:rsidRDefault="003C4456">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4621" w14:textId="77777777" w:rsidR="003C4456" w:rsidRDefault="003C4456">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 xml:space="preserve">Revista Interamericana de </w:t>
    </w:r>
    <w:proofErr w:type="spellStart"/>
    <w:r>
      <w:rPr>
        <w:rFonts w:ascii="Times" w:eastAsia="Times" w:hAnsi="Times" w:cs="Times"/>
        <w:b/>
        <w:i/>
        <w:color w:val="000000"/>
        <w:sz w:val="18"/>
        <w:szCs w:val="18"/>
      </w:rPr>
      <w:t>Psicología</w:t>
    </w:r>
    <w:proofErr w:type="spellEnd"/>
    <w:r>
      <w:rPr>
        <w:rFonts w:ascii="Times" w:eastAsia="Times" w:hAnsi="Times" w:cs="Times"/>
        <w:b/>
        <w:i/>
        <w:color w:val="000000"/>
        <w:sz w:val="18"/>
        <w:szCs w:val="18"/>
      </w:rPr>
      <w:t>/</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10EA61C6" wp14:editId="0AB5A866">
          <wp:simplePos x="0" y="0"/>
          <wp:positionH relativeFrom="column">
            <wp:posOffset>64657</wp:posOffset>
          </wp:positionH>
          <wp:positionV relativeFrom="paragraph">
            <wp:posOffset>-253535</wp:posOffset>
          </wp:positionV>
          <wp:extent cx="681164" cy="628073"/>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21FF4A04" w14:textId="77777777" w:rsidR="003C4456" w:rsidRDefault="003C4456">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model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removePersonalInformation/>
  <w:removeDateAndTime/>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4FF"/>
    <w:rsid w:val="00012F44"/>
    <w:rsid w:val="00015983"/>
    <w:rsid w:val="00031D66"/>
    <w:rsid w:val="00177832"/>
    <w:rsid w:val="00180634"/>
    <w:rsid w:val="001A5D34"/>
    <w:rsid w:val="00220B94"/>
    <w:rsid w:val="00221A62"/>
    <w:rsid w:val="0029132C"/>
    <w:rsid w:val="002D0485"/>
    <w:rsid w:val="002E6E0F"/>
    <w:rsid w:val="00352C17"/>
    <w:rsid w:val="00370411"/>
    <w:rsid w:val="003C4456"/>
    <w:rsid w:val="003E6C5C"/>
    <w:rsid w:val="00415715"/>
    <w:rsid w:val="00440EE9"/>
    <w:rsid w:val="0049492B"/>
    <w:rsid w:val="004D75B9"/>
    <w:rsid w:val="00542686"/>
    <w:rsid w:val="00595244"/>
    <w:rsid w:val="005B1213"/>
    <w:rsid w:val="005D106E"/>
    <w:rsid w:val="006E36F1"/>
    <w:rsid w:val="007116E5"/>
    <w:rsid w:val="007520D5"/>
    <w:rsid w:val="007E4DFC"/>
    <w:rsid w:val="007F0E1C"/>
    <w:rsid w:val="00826227"/>
    <w:rsid w:val="008A390F"/>
    <w:rsid w:val="008C3A18"/>
    <w:rsid w:val="008D43DC"/>
    <w:rsid w:val="008F4616"/>
    <w:rsid w:val="00B529B7"/>
    <w:rsid w:val="00B721C0"/>
    <w:rsid w:val="00BC6826"/>
    <w:rsid w:val="00C34F25"/>
    <w:rsid w:val="00C36F25"/>
    <w:rsid w:val="00C46EF5"/>
    <w:rsid w:val="00C82E16"/>
    <w:rsid w:val="00CC1D9F"/>
    <w:rsid w:val="00CC608E"/>
    <w:rsid w:val="00D1592C"/>
    <w:rsid w:val="00D2165D"/>
    <w:rsid w:val="00D350A5"/>
    <w:rsid w:val="00D434FF"/>
    <w:rsid w:val="00D670E9"/>
    <w:rsid w:val="00E257AA"/>
    <w:rsid w:val="00EC12D3"/>
    <w:rsid w:val="00F12906"/>
    <w:rsid w:val="00F44E53"/>
    <w:rsid w:val="00F46719"/>
    <w:rsid w:val="00F80773"/>
    <w:rsid w:val="00FF48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5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F4859"/>
    <w:rPr>
      <w:color w:val="0000FF" w:themeColor="hyperlink"/>
      <w:u w:val="single"/>
    </w:rPr>
  </w:style>
  <w:style w:type="character" w:styleId="Mencinsinresolver">
    <w:name w:val="Unresolved Mention"/>
    <w:basedOn w:val="Fuentedeprrafopredeter"/>
    <w:uiPriority w:val="99"/>
    <w:semiHidden/>
    <w:unhideWhenUsed/>
    <w:rsid w:val="00FF4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166032">
      <w:bodyDiv w:val="1"/>
      <w:marLeft w:val="0"/>
      <w:marRight w:val="0"/>
      <w:marTop w:val="0"/>
      <w:marBottom w:val="0"/>
      <w:divBdr>
        <w:top w:val="none" w:sz="0" w:space="0" w:color="auto"/>
        <w:left w:val="none" w:sz="0" w:space="0" w:color="auto"/>
        <w:bottom w:val="none" w:sz="0" w:space="0" w:color="auto"/>
        <w:right w:val="none" w:sz="0" w:space="0" w:color="auto"/>
      </w:divBdr>
      <w:divsChild>
        <w:div w:id="20554963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hyperlink" Target="http://revodonto.bvsalud.org/scielo.php?script=sci_arttext&amp;pid=S1808-52102016000100001&amp;lng=pt&amp;nrm=iso&amp;tlng=pt" TargetMode="External"/><Relationship Id="rId39" Type="http://schemas.openxmlformats.org/officeDocument/2006/relationships/hyperlink" Target="https://doi.org/10.1590/S1516-44461999000500006" TargetMode="External"/><Relationship Id="rId21" Type="http://schemas.openxmlformats.org/officeDocument/2006/relationships/hyperlink" Target="https://doi.org/10.1016/S2468-2667(21)00047-5" TargetMode="External"/><Relationship Id="rId34" Type="http://schemas.openxmlformats.org/officeDocument/2006/relationships/hyperlink" Target="https://doi.org/10.1007/S13311-017-0542-Y" TargetMode="External"/><Relationship Id="rId42" Type="http://schemas.openxmlformats.org/officeDocument/2006/relationships/hyperlink" Target="https://njcmindia.com/index.php/file/article/view/290" TargetMode="External"/><Relationship Id="rId47" Type="http://schemas.openxmlformats.org/officeDocument/2006/relationships/hyperlink" Target="https://doi.org/10.1590/S0103-51502011000300017" TargetMode="External"/><Relationship Id="rId50" Type="http://schemas.openxmlformats.org/officeDocument/2006/relationships/hyperlink" Target="https://doi.org/10.1016/J.JAD.2023.02.064"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footer" Target="footer1.xml"/><Relationship Id="rId29" Type="http://schemas.openxmlformats.org/officeDocument/2006/relationships/hyperlink" Target="https://doi.org/10.1056/nejmoa2032994" TargetMode="External"/><Relationship Id="rId11" Type="http://schemas.openxmlformats.org/officeDocument/2006/relationships/image" Target="media/image4.png"/><Relationship Id="rId24" Type="http://schemas.openxmlformats.org/officeDocument/2006/relationships/hyperlink" Target="https://doi.org/10.1177/0269881114565144" TargetMode="External"/><Relationship Id="rId32" Type="http://schemas.openxmlformats.org/officeDocument/2006/relationships/hyperlink" Target="https://doi.org/10.1177/2050324516683325" TargetMode="External"/><Relationship Id="rId37" Type="http://schemas.openxmlformats.org/officeDocument/2006/relationships/hyperlink" Target="http://dx.doi.org/10.1590/S1413-73722008000300014" TargetMode="External"/><Relationship Id="rId40" Type="http://schemas.openxmlformats.org/officeDocument/2006/relationships/hyperlink" Target="https://doi.org/10.1124/PR.115.011478" TargetMode="External"/><Relationship Id="rId45" Type="http://schemas.openxmlformats.org/officeDocument/2006/relationships/hyperlink" Target="https://doi.org/10.33448/RSD-V10I9.18122"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yperlink" Target="https://doi.org/10.3390/molecules26102948" TargetMode="External"/><Relationship Id="rId19" Type="http://schemas.openxmlformats.org/officeDocument/2006/relationships/image" Target="media/image9.emf"/><Relationship Id="rId31" Type="http://schemas.openxmlformats.org/officeDocument/2006/relationships/hyperlink" Target="https://doi.org/10.1177/0269881116675513" TargetMode="External"/><Relationship Id="rId44" Type="http://schemas.openxmlformats.org/officeDocument/2006/relationships/hyperlink" Target="https://doi.org/10.1016/J.NEUROPHARM.2017.12.040"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doi.org/10.1192/BJO.2022.565" TargetMode="External"/><Relationship Id="rId27" Type="http://schemas.openxmlformats.org/officeDocument/2006/relationships/hyperlink" Target="https://doi.org/10.1038/npp.2017.84" TargetMode="External"/><Relationship Id="rId30" Type="http://schemas.openxmlformats.org/officeDocument/2006/relationships/hyperlink" Target="https://doi.org/10.1097/J.PBJ.0000000000000128" TargetMode="External"/><Relationship Id="rId35" Type="http://schemas.openxmlformats.org/officeDocument/2006/relationships/hyperlink" Target="https://doi.org/10.1186/S40337-024-01125-6" TargetMode="External"/><Relationship Id="rId43" Type="http://schemas.openxmlformats.org/officeDocument/2006/relationships/hyperlink" Target="https://doi.org/10.1016/j.medj.2024.01.005" TargetMode="External"/><Relationship Id="rId48" Type="http://schemas.openxmlformats.org/officeDocument/2006/relationships/hyperlink" Target="https://doi.org/10.1177/02698811221125354" TargetMode="External"/><Relationship Id="rId8" Type="http://schemas.openxmlformats.org/officeDocument/2006/relationships/hyperlink" Target="https://doi.org/10.1098/rsif.2014.0873" TargetMode="External"/><Relationship Id="rId51" Type="http://schemas.openxmlformats.org/officeDocument/2006/relationships/hyperlink" Target="https://doi.org/10.1038/nrn2884"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doi.org/10.1016/J.RAMD.2015.02.007" TargetMode="External"/><Relationship Id="rId33" Type="http://schemas.openxmlformats.org/officeDocument/2006/relationships/hyperlink" Target="https://doi.org/10.1177/02698811231180276" TargetMode="External"/><Relationship Id="rId38" Type="http://schemas.openxmlformats.org/officeDocument/2006/relationships/hyperlink" Target="https://doi.org/10.4088/jcp.v67n1110" TargetMode="External"/><Relationship Id="rId46" Type="http://schemas.openxmlformats.org/officeDocument/2006/relationships/hyperlink" Target="https://doi.org/10.1590/S0066-782X2005002400005" TargetMode="External"/><Relationship Id="rId20" Type="http://schemas.openxmlformats.org/officeDocument/2006/relationships/hyperlink" Target="https://doi.org/10.5935/1808-5687.20190009" TargetMode="External"/><Relationship Id="rId41" Type="http://schemas.openxmlformats.org/officeDocument/2006/relationships/hyperlink" Target="https://doi.org/10.1136/BMJ.N71"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2.xml"/><Relationship Id="rId23" Type="http://schemas.openxmlformats.org/officeDocument/2006/relationships/hyperlink" Target="https://doi.org/10.1159/000110056" TargetMode="External"/><Relationship Id="rId28" Type="http://schemas.openxmlformats.org/officeDocument/2006/relationships/hyperlink" Target="https://doi.org/10.1007/s00213-017-4771-x" TargetMode="External"/><Relationship Id="rId36" Type="http://schemas.openxmlformats.org/officeDocument/2006/relationships/hyperlink" Target="https://doi.org/10.1590/S1516-44461999000500004" TargetMode="External"/><Relationship Id="rId49" Type="http://schemas.openxmlformats.org/officeDocument/2006/relationships/hyperlink" Target="https://doi.org/10.1177/026988112311798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10865</Words>
  <Characters>63782</Characters>
  <Application>Microsoft Office Word</Application>
  <DocSecurity>0</DocSecurity>
  <Lines>1357</Lines>
  <Paragraphs>578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2025-01-30T20:58:00Z</dcterms:created>
  <dcterms:modified xsi:type="dcterms:W3CDTF">2025-07-15T20:03:00Z</dcterms:modified>
</cp:coreProperties>
</file>