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do Perfil de Pessoas em Situação de Rua na Cidade de Fortaleza (CE)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of the Profile of Homeless People in the City of Fortaleza (CE)</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Pessoas em situação de rua enfrentam extrema pobreza, exclusão, violência, invisibilidade e discriminação. Para mulheres, essas vivências são ainda mais intensas e graves. Este artigo caracteriza o perfil sociodemográfico da população em situação de rua de Fortaleza-CE, utilizando metodologia quantitativa e dados secundários provenientes do II Censo e Pesquisa Municipal sobre População em Situação de Rua (2019) e do relatório "Pobreza e Estigmatização da PSR" (2021). Os resultados indicam que a maioria dos participantes pertence à Fortaleza, com idade média de 40 anos, predominando o sexo masculino. Os principais motivos para viverem nas ruas incluem uso de álcool/drogas e conflitos familiares, com diferenças de gênero na motivação para estar em situação de rua. A análise revela um aumento exponencial dessa população, agravado pela pandemia de COVID-19. A permanência nas ruas emerge como um dado crucial, evidenciando os desafios enfrentados por essas pessoas para superar essa condição.</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Pessoas em situação de rua; Pobreza; Censos.</w:t>
      </w:r>
    </w:p>
    <w:p w:rsidR="00000000" w:rsidDel="00000000" w:rsidP="00000000" w:rsidRDefault="00000000" w:rsidRPr="00000000" w14:paraId="00000008">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experiencing homelessness live in extreme poverty, facing exclusion, violence, invisibility, and discrimination, with women experiencing heightened severity. This study aims to characterize the sociodemographic profile of the homeless population in Fortaleza, Brazil. A quantitative methodology was employed, analyzing secondary data from two surveys conducted in 2019 and 2021, including the Second Municipal Census and the report on poverty and stigmatization of the homeless. Results indicate that most participants report being from Fortaleza, with an average age of 40 years and predominantly male. Primary reasons for homelessness include alcohol/drug use and family conflicts, with gender differences in the causes identified. The study also highlights a significant increase in homelessness, partly driven by the COVID-19 pandemic. Persistent homelessness emerges as a critical issue, revealing the challenges individuals face in overcoming their condition.</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Homeless people; Poverty; Censuses.</w:t>
      </w: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E">
      <w:pPr>
        <w:spacing w:after="0" w:line="360" w:lineRule="auto"/>
        <w:ind w:left="0" w:firstLine="850.393700787401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população em situação de rua (PSR) constitui-se de um grupo populacional heterogêneo que compartilham em comum a condição de extrema pobreza, a fragilização ou rompimento de vínculos familiares, ausência de moradia </w:t>
      </w:r>
      <w:r w:rsidDel="00000000" w:rsidR="00000000" w:rsidRPr="00000000">
        <w:rPr>
          <w:rFonts w:ascii="Times New Roman" w:cs="Times New Roman" w:eastAsia="Times New Roman" w:hAnsi="Times New Roman"/>
          <w:sz w:val="24"/>
          <w:szCs w:val="24"/>
          <w:rtl w:val="0"/>
        </w:rPr>
        <w:t xml:space="preserve">convencional regular, utilizando os logradouros públicos e as áreas degradadas como espaço de moradia bem como de sustento, de modo temporária ou permanente, como também unidades de acolhimento para pernoite temporário ou provisória </w:t>
      </w:r>
      <w:r w:rsidDel="00000000" w:rsidR="00000000" w:rsidRPr="00000000">
        <w:rPr>
          <w:rFonts w:ascii="Times New Roman" w:cs="Times New Roman" w:eastAsia="Times New Roman" w:hAnsi="Times New Roman"/>
          <w:sz w:val="24"/>
          <w:szCs w:val="24"/>
          <w:highlight w:val="white"/>
          <w:rtl w:val="0"/>
        </w:rPr>
        <w:t xml:space="preserve">(Brasil, 2009a). Esta definição proposta no Artigo 1º da  Política Nacional para População em Situação de Rua contrasta com a proposta pelo Movimento Nacional da População de Rua (MNPR), que acena para as potencialidades e não apenas pela lente das privações desse grupo. O MNPR indica que são formados por homens e mulheres em situação ou trajetória de rua, comprometidos com a luta por uma sociedade mais justa que garanta direitos e a dignidade humana para todos. Que ocupam lugar de protagonistas de suas histórias e se unem na solidariedade, se organizando e mobilizando para construção de políticas públicas e transformação social  (</w:t>
      </w:r>
      <w:r w:rsidDel="00000000" w:rsidR="00000000" w:rsidRPr="00000000">
        <w:rPr>
          <w:rFonts w:ascii="Times New Roman" w:cs="Times New Roman" w:eastAsia="Times New Roman" w:hAnsi="Times New Roman"/>
          <w:sz w:val="24"/>
          <w:szCs w:val="24"/>
          <w:rtl w:val="0"/>
        </w:rPr>
        <w:t xml:space="preserve">Schuch, 2018;  Sicari &amp; Zanella, 2020)</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autodefinição dada pelo movimento produz uma visão mais ampliada e ambígua da própria rua como espaço de criação de identidades e novos relacionamentos, não marcados apenas por falta e perda. A rua aparece, então, não só como um espaço da precariedade, mas de inventividade e luta. </w:t>
      </w:r>
      <w:r w:rsidDel="00000000" w:rsidR="00000000" w:rsidRPr="00000000">
        <w:rPr>
          <w:rFonts w:ascii="Times New Roman" w:cs="Times New Roman" w:eastAsia="Times New Roman" w:hAnsi="Times New Roman"/>
          <w:sz w:val="24"/>
          <w:szCs w:val="24"/>
          <w:rtl w:val="0"/>
        </w:rPr>
        <w:t xml:space="preserve">Schuch (2018) argumenta que uma visão essencialista que subentende as pessoas em situação de rua como sujeitos de falta, revela a necessidade de um olhar para a complexidade da multicausalidade do viver nas ruas, que enxerguem as potencialidades da agência políticas e da produção de relações sociais e simbólicas desses sujeitos. </w:t>
      </w:r>
    </w:p>
    <w:p w:rsidR="00000000" w:rsidDel="00000000" w:rsidP="00000000" w:rsidRDefault="00000000" w:rsidRPr="00000000" w14:paraId="00000010">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os termos frequentemente utilizados para definir a PSR, como ambulantes ou andarilhos, Santana e Castelar (2014) colocam que o uso desses termos refere-se a um nomadismo associado a essa população, mas que representa uma pequena parcela desses indivíduos, tendo em vista que essa mobilidade constante reflete uma realidade de exclusão característica dos grande centros urbanos e a negação do uso de logradouros públicos como espaço de moradia.</w:t>
      </w:r>
    </w:p>
    <w:p w:rsidR="00000000" w:rsidDel="00000000" w:rsidP="00000000" w:rsidRDefault="00000000" w:rsidRPr="00000000" w14:paraId="00000011">
      <w:pPr>
        <w:spacing w:after="0" w:line="360" w:lineRule="auto"/>
        <w:ind w:firstLine="850.393700787401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Seja observando as faltas, seja vislumbrando as potencialidades das PSR, a realização de estudos no campo apresenta a necessidade da identificação das circunstâncias da ida às ruas e o espaço temporal de permanência nelas, compreendendo o perfil das pessoas que se encontram nessa condição, de maneira que os cenários que conduzem às rua e modos de vida para que contribuam na construção e fortalecimento de políticas públicas. </w:t>
      </w:r>
    </w:p>
    <w:p w:rsidR="00000000" w:rsidDel="00000000" w:rsidP="00000000" w:rsidRDefault="00000000" w:rsidRPr="00000000" w14:paraId="00000012">
      <w:pPr>
        <w:spacing w:after="0" w:line="360" w:lineRule="auto"/>
        <w:ind w:left="0" w:firstLine="850.3937007874017"/>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rtl w:val="0"/>
        </w:rPr>
        <w:t xml:space="preserve"> Pesquisa Nacional sobre a População em Situação de Rua, realizado pelo Ministério do Desenvolvimento Social e Combate à Fome (Brasil, 2009b), compreendendo o I Censo Nacional da População em Situação de Rua no Brasil, mostrou que as principais razões para a situação de rua são: questões relacionadas ao uso de substâncias (35,5%), o desemprego (29,8%) e a desavenças familiares (29,1%). Em muitos casos esses fatores são correlacionados entre si. É importante pontuar que o fenômeno não se limita a questões econômicas, sendo mais amplo e complexo, e o viés monetário de perceber a ida das pessoas para as ruas, como assinalaram Sicari e Zanella (2018), se apresenta como uma leitura limitada da realidade. </w:t>
      </w:r>
      <w:r w:rsidDel="00000000" w:rsidR="00000000" w:rsidRPr="00000000">
        <w:rPr>
          <w:rtl w:val="0"/>
        </w:rPr>
      </w:r>
    </w:p>
    <w:p w:rsidR="00000000" w:rsidDel="00000000" w:rsidP="00000000" w:rsidRDefault="00000000" w:rsidRPr="00000000" w14:paraId="00000013">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necessário avançar no entendimento das múltiplas determinações envolvidas na dinâmica de ida, permanência e sobrevivência das pessoas nas ruas, que, além da renda, abrangem as condições de educação, trabalho, moradia, saúde e aspectos subjetivos vivenciados por essa população, bem como a consideração dos direitos humanos na análise do modo de vida das PSR, especialmente no que diz respeito às violações referentes à privação e a diversas manifestações de violência (Esmeraldo Fil</w:t>
      </w:r>
      <w:r w:rsidDel="00000000" w:rsidR="00000000" w:rsidRPr="00000000">
        <w:rPr>
          <w:rFonts w:ascii="Times New Roman" w:cs="Times New Roman" w:eastAsia="Times New Roman" w:hAnsi="Times New Roman"/>
          <w:sz w:val="24"/>
          <w:szCs w:val="24"/>
          <w:highlight w:val="white"/>
          <w:rtl w:val="0"/>
        </w:rPr>
        <w:t xml:space="preserve">ho, 2021).</w:t>
      </w:r>
      <w:r w:rsidDel="00000000" w:rsidR="00000000" w:rsidRPr="00000000">
        <w:rPr>
          <w:rFonts w:ascii="Times New Roman" w:cs="Times New Roman" w:eastAsia="Times New Roman" w:hAnsi="Times New Roman"/>
          <w:sz w:val="24"/>
          <w:szCs w:val="24"/>
          <w:rtl w:val="0"/>
        </w:rPr>
        <w:t xml:space="preserve"> Esses fatores implicam efeitos subjetivos como processos de autoculpabilização e inferiorização. Nesse sentido, Esmeraldo Filho (2021) aponta que a ida às ruas é marcada pela precarização das condições de existência em múltiplas áreas da vida.</w:t>
      </w:r>
    </w:p>
    <w:p w:rsidR="00000000" w:rsidDel="00000000" w:rsidP="00000000" w:rsidRDefault="00000000" w:rsidRPr="00000000" w14:paraId="00000014">
      <w:pPr>
        <w:spacing w:after="0" w:line="360" w:lineRule="auto"/>
        <w:ind w:left="0" w:firstLine="850.3937007874017"/>
        <w:jc w:val="both"/>
        <w:rPr>
          <w:rFonts w:ascii="Times New Roman" w:cs="Times New Roman" w:eastAsia="Times New Roman" w:hAnsi="Times New Roman"/>
          <w:sz w:val="24"/>
          <w:szCs w:val="24"/>
          <w:shd w:fill="b6d7a8" w:val="clear"/>
        </w:rPr>
      </w:pPr>
      <w:r w:rsidDel="00000000" w:rsidR="00000000" w:rsidRPr="00000000">
        <w:rPr>
          <w:rFonts w:ascii="Times New Roman" w:cs="Times New Roman" w:eastAsia="Times New Roman" w:hAnsi="Times New Roman"/>
          <w:sz w:val="24"/>
          <w:szCs w:val="24"/>
          <w:rtl w:val="0"/>
        </w:rPr>
        <w:t xml:space="preserve">A Pesquisa Nacional sobre a PSR (Brasil, 2009b) aponta ainda a propensão da situação de rua adquirir um aspecto de cronicidade, uma vez que quase metade dos participantes da pesquisa estavam há um tempo considerável nessas condições, com aproximadamente 18,8%  vivendo nas ruas entre 2 a 5 anos e 29,6% a mais de 5 an</w:t>
      </w:r>
      <w:r w:rsidDel="00000000" w:rsidR="00000000" w:rsidRPr="00000000">
        <w:rPr>
          <w:rFonts w:ascii="Times New Roman" w:cs="Times New Roman" w:eastAsia="Times New Roman" w:hAnsi="Times New Roman"/>
          <w:sz w:val="24"/>
          <w:szCs w:val="24"/>
          <w:highlight w:val="white"/>
          <w:rtl w:val="0"/>
        </w:rPr>
        <w:t xml:space="preserve">os. </w:t>
      </w:r>
      <w:r w:rsidDel="00000000" w:rsidR="00000000" w:rsidRPr="00000000">
        <w:rPr>
          <w:rFonts w:ascii="Times New Roman" w:cs="Times New Roman" w:eastAsia="Times New Roman" w:hAnsi="Times New Roman"/>
          <w:sz w:val="24"/>
          <w:szCs w:val="24"/>
          <w:rtl w:val="0"/>
        </w:rPr>
        <w:t xml:space="preserve">Nesse sentido, os aspectos presentes na realidade desta população como a pobreza, a baixa escolaridade, os problemas em relação à saúde, a vivência de discriminações e o desemprego, favorecem o aspecto de cronicidade da situação de rua (Brasil, 2009</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há uma difícil reversão nos fatores estruturais da situação de rua, tornando complexo e árduo o processo de superação desse cenário. </w:t>
      </w:r>
      <w:r w:rsidDel="00000000" w:rsidR="00000000" w:rsidRPr="00000000">
        <w:rPr>
          <w:rFonts w:ascii="Times New Roman" w:cs="Times New Roman" w:eastAsia="Times New Roman" w:hAnsi="Times New Roman"/>
          <w:sz w:val="24"/>
          <w:szCs w:val="24"/>
          <w:highlight w:val="white"/>
          <w:rtl w:val="0"/>
        </w:rPr>
        <w:t xml:space="preserve">Panadero-Herrero e Muñoz-Lopez</w:t>
      </w:r>
      <w:r w:rsidDel="00000000" w:rsidR="00000000" w:rsidRPr="00000000">
        <w:rPr>
          <w:rFonts w:ascii="Verdana" w:cs="Verdana" w:eastAsia="Verdana" w:hAnsi="Verdana"/>
          <w:highlight w:val="white"/>
          <w:rtl w:val="0"/>
        </w:rPr>
        <w:t xml:space="preserve"> </w:t>
      </w:r>
      <w:r w:rsidDel="00000000" w:rsidR="00000000" w:rsidRPr="00000000">
        <w:rPr>
          <w:rFonts w:ascii="Times New Roman" w:cs="Times New Roman" w:eastAsia="Times New Roman" w:hAnsi="Times New Roman"/>
          <w:sz w:val="24"/>
          <w:szCs w:val="24"/>
          <w:rtl w:val="0"/>
        </w:rPr>
        <w:t xml:space="preserve">(2014) apontam o aprofundamento dos problemas na saúde física e mental e da fragilidade dos vínculos sociais com o prolongamento da situação de rua. Logo, observa-se que a precarização das condições de vida apresenta-se como motor tanto para ida como para permanência nas ruas.</w:t>
      </w:r>
      <w:r w:rsidDel="00000000" w:rsidR="00000000" w:rsidRPr="00000000">
        <w:rPr>
          <w:rtl w:val="0"/>
        </w:rPr>
      </w:r>
    </w:p>
    <w:p w:rsidR="00000000" w:rsidDel="00000000" w:rsidP="00000000" w:rsidRDefault="00000000" w:rsidRPr="00000000" w14:paraId="00000015">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indicado, apesar das dimensões de vulnerabilização em comum, as pessoas em situação de rua compõem um segmento populacional heterogêneo, formado por indivíduos e/ou famílias com histórias de vida diversas, com diferentes motivos de inserção nas ruas, múltiplas relações afetivas e de colaboração, com modos próprios de enfrentamento aos desafios que compõe a experiência de viver nas ruas. Contudo, possuem como fio condutor em comum a extrema pobreza, alta vulnerabilidade social, muitas privações e exposição à violência. Esse cenário se intensifica ao incluir as mulheres nesta equação.</w:t>
      </w:r>
    </w:p>
    <w:p w:rsidR="00000000" w:rsidDel="00000000" w:rsidP="00000000" w:rsidRDefault="00000000" w:rsidRPr="00000000" w14:paraId="00000016">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 Censo Nacional da PSR (Brasil, 2009b) revelou que, à época da coleta de dados, a grande maioria da população que vive nas ruas é formada por homens e apenas 18% são mulheres. Tal diferença numérica impõe ao segmento feminino a condição de minoria em um grupo já marcado pela invisibilidade e opressão, ao serem vistos socialmente como ameaça e não como em condição de risco (Nobre et al., 2018). Viver nas ruas, para elas, perpassa pelo imperativo de construírem relações capazes de assegurar a viabilidade de sua existência cotidiana e sobrevivência por figurarem em menor número, uma vez que sozinhas estão mais vulneráveis às violências, as quais refletem a condição de subalternidade (Câmara, 2019; Rosa &amp; Brêtas, 2015) que se constitui em função do gênero, que se intersecciona com marcadores de classe e étnico-raciais (Richwin &amp; Zanello, 2023).</w:t>
      </w:r>
    </w:p>
    <w:p w:rsidR="00000000" w:rsidDel="00000000" w:rsidP="00000000" w:rsidRDefault="00000000" w:rsidRPr="00000000" w14:paraId="00000017">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importância de se considerar o recorte de gênero se deve às diferenças que existem entre homens e mulheres que vivem nas ruas, de modo que, enquanto a ida para as ruas para os homens pode representar uma ruptura social, para as mulheres significa uma solução ou fuga das situações de violências no âmbito doméstico (Rosa &amp; Bretas, 2015). Nas trajetórias pregressas à situação de rua, os estudos nacionais apontam a alta incidência de abusos e maus-tratos na infância, violência intrafamiliar, violência sexual e violência por parte dos companheiros conjugais (Biscotto et al., 2016; Câmara, 2019; Rosa &amp; Bretas, 2015</w:t>
      </w:r>
      <w:r w:rsidDel="00000000" w:rsidR="00000000" w:rsidRPr="00000000">
        <w:rPr>
          <w:rFonts w:ascii="Times New Roman" w:cs="Times New Roman" w:eastAsia="Times New Roman" w:hAnsi="Times New Roman"/>
          <w:sz w:val="24"/>
          <w:szCs w:val="24"/>
          <w:rtl w:val="0"/>
        </w:rPr>
        <w:t xml:space="preserve">). Richwin e Zanello (2023) discutem que a ida às ruas para as mulheres é atravessada, especialmente, por relações de poder assimetricamente distribuídas entre homens e mulheres e cometidas por masculinidades agressoras, e estar no espaço público é uma forma de refúgio e uma forma de sobreviver, física e psiquicamente. </w:t>
      </w:r>
    </w:p>
    <w:p w:rsidR="00000000" w:rsidDel="00000000" w:rsidP="00000000" w:rsidRDefault="00000000" w:rsidRPr="00000000" w14:paraId="00000018">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 rua que é lugar de abrigo para quem precisa se desvencilhar de uma situação de violência familiar, se constitui como meio no qual a aridez das relações sociais e pessoais pode se configurar como fecundo para outras formas de violências que atingem a população feminina, de modo que para as mulheres a relação com a rua é transversalizada pela violência. Nas vidas já assentadas nas ruas, elas sofrem as mesmas violências sofridas pelos homens, praticadas por grupos intolerantes, por outras Pessoas em Situação de Rua, pelas forças de segurança pública e relacionada ao tráfico de drogas. Porém, também sofrem violência sexual, por parte tanto de homens em situação de rua, por parceiros íntimos,  como por outros (Rosa &amp; Bretas, 2015; Richwin &amp; Zanello, 2023).  Assim, o gênero e pobreza são acionados como autorização para a violência sobre os corpos e subjetividades dessas mulheres.</w:t>
      </w:r>
    </w:p>
    <w:p w:rsidR="00000000" w:rsidDel="00000000" w:rsidP="00000000" w:rsidRDefault="00000000" w:rsidRPr="00000000" w14:paraId="00000019">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das discussões apresentadas, este artigo é caracterizar  o perfil sociodemográfico das Pessoas em Situação de Rua da cidade de Fortaleza-CE. Nele partiremos de duas pesquisas realizadas entre os anos de 2019 e 2021, dando ênfase aos dados sobre local de origem, tempo de permanência na rua, motivos para ida às ruas, aspectos ligados à gênero, perfil etário e etnico-racial. </w:t>
      </w:r>
    </w:p>
    <w:p w:rsidR="00000000" w:rsidDel="00000000" w:rsidP="00000000" w:rsidRDefault="00000000" w:rsidRPr="00000000" w14:paraId="0000001A">
      <w:pPr>
        <w:spacing w:after="0"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1C">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 estudo quantitativo a partir de dados oriundos do II Censo da População de Rua e da pesquisa intitulada “Pessoas em Situação de Rua: processos psicossociais relacionados à pobreza e à estigmatização”, ambos realizados com Pessoas em Situação de Rua na cidade de Fortaleza, entre os anos de 2019 e 2021. Nesse sentido, este estudo utilizará de dados secundários para a realização de suas análises. </w:t>
      </w:r>
    </w:p>
    <w:p w:rsidR="00000000" w:rsidDel="00000000" w:rsidP="00000000" w:rsidRDefault="00000000" w:rsidRPr="00000000" w14:paraId="0000001D">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Entende-se que utilizar dados secundários pode possibilitar a realização de cruzamentos, novas intersecções e possíveis análises que ampliem a viabilidade de interpretar a realidade vivida pelas Pessoas em Situação de Rua em Fortaleza. Ademais, ainda é possível considerar o recorte temporal, pois a pesquisa censitária ocorreu antes da pandemia da COVID-19, e a outra, logo em seguida à crise pandêmica. Assim, é possível considerar se houveram mudanças no perfil da população. Neste sentido, apresentam-se dados sociodemográficos sobre ambas as pesquisas.</w:t>
      </w:r>
    </w:p>
    <w:p w:rsidR="00000000" w:rsidDel="00000000" w:rsidP="00000000" w:rsidRDefault="00000000" w:rsidRPr="00000000" w14:paraId="0000001E">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os dados advindos do censo, a população contabilizada foi de 2.653 pessoas (Fortaleza, 2021). Em relação ao sexo, 17,2% das Pessoas em Situação de Rua responderam corresponder ao sexo feminino e 82,8% ao sexo masculino. Em relação à raça/cor/etnia, mais que a metade da população se declararam pardos, 55,2%, ou pretos, 16,3%, e 15,3% brancos, 4,2% indígenas e 2,7% amarelos. A média de idade das Pessoas em Situação de Rua na capital cearense se mostrou em 40,86 anos, a mediana 40 anos e a idade máxima da amostra em 85 anos.</w:t>
      </w:r>
    </w:p>
    <w:p w:rsidR="00000000" w:rsidDel="00000000" w:rsidP="00000000" w:rsidRDefault="00000000" w:rsidRPr="00000000" w14:paraId="0000001F">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à renda, 80,1% dos participantes da pesquisa recebiam à época até um salário-mínimo, sendo que o valor de referência do salário-mínimo no momento da pesquisa era de R$1.100,00. Cabe salientar que as pessoas entrevistadas estavam nas ruas de Fortaleza, em serviços de acolhimento especializado, hospitalizadas ou privadas de liberdade. Observa-se que a pesquisa censitária ocorreu entre os dias 19 e 23 de julho de 2021.</w:t>
      </w:r>
    </w:p>
    <w:p w:rsidR="00000000" w:rsidDel="00000000" w:rsidP="00000000" w:rsidRDefault="00000000" w:rsidRPr="00000000" w14:paraId="00000020">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considerando os dados advindos da pesquisa “Pessoas em Situação de Rua: processos psicossociais relacionados à pobreza e à estigmatização”, participaram 236 pessoas. Destas, 87% se declaram identificados com o sexo masculino e 11% com o sexo feminino, sendo que 2% responderam a opção outros. No que refere à raça/cor/etnia, menos da metade da população se declararam pardos, 21,9%, ou pretos, 21,1%, e 51,9% brancos, 1,7% indígenas e 2,5% amarelos. Quanto à idade, a média é de 38,8 anos e a mediana é 37 anos, sendo que a idade máxima foi de 66 anos. Em relação à renda, 80,3% dos participantes da pesquisa recebiam à época até um salário-mínimo, sendo que o valor de referência do salário-mínimo no momento da pesquisa era de R$ 998,00. Cabe salientar que a pesquisa foi aplicada entre setembro e novembro de 2019, em dispositivos da Assistência Social e não-governamentais da cidade de Fortaleza, sendo estes: dois Centros Pop, Centro de Convivência, Casa do Povo de Rua e Corre pra Vida.</w:t>
      </w:r>
    </w:p>
    <w:p w:rsidR="00000000" w:rsidDel="00000000" w:rsidP="00000000" w:rsidRDefault="00000000" w:rsidRPr="00000000" w14:paraId="00000021">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fins didáticos, ao mencionar a pesquisa “Pessoas em Situação de Rua: processos psicossociais relacionados à pobreza e à estigmatização” neste estudo, será utilizado o termo “Pesq. pop rua psicossocial”, e quando mencionados os dados do Censo, utilizaremos o termo “II Censo pop rua”. Em relação às análises propostas, utilizamos o </w:t>
      </w:r>
      <w:r w:rsidDel="00000000" w:rsidR="00000000" w:rsidRPr="00000000">
        <w:rPr>
          <w:rFonts w:ascii="Times New Roman" w:cs="Times New Roman" w:eastAsia="Times New Roman" w:hAnsi="Times New Roman"/>
          <w:i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SPSS (</w:t>
      </w:r>
      <w:r w:rsidDel="00000000" w:rsidR="00000000" w:rsidRPr="00000000">
        <w:rPr>
          <w:rFonts w:ascii="Times New Roman" w:cs="Times New Roman" w:eastAsia="Times New Roman" w:hAnsi="Times New Roman"/>
          <w:i w:val="1"/>
          <w:sz w:val="24"/>
          <w:szCs w:val="24"/>
          <w:rtl w:val="0"/>
        </w:rPr>
        <w:t xml:space="preserve">Statistical Product and Service Solutions</w:t>
      </w:r>
      <w:r w:rsidDel="00000000" w:rsidR="00000000" w:rsidRPr="00000000">
        <w:rPr>
          <w:rFonts w:ascii="Times New Roman" w:cs="Times New Roman" w:eastAsia="Times New Roman" w:hAnsi="Times New Roman"/>
          <w:sz w:val="24"/>
          <w:szCs w:val="24"/>
          <w:rtl w:val="0"/>
        </w:rPr>
        <w:t xml:space="preserve">) versão 21, onde realizaram-se análises descritivas, de frequência e comparativas (teste-t de amostras independentes e qui-quadrado de independência).</w:t>
      </w:r>
    </w:p>
    <w:p w:rsidR="00000000" w:rsidDel="00000000" w:rsidP="00000000" w:rsidRDefault="00000000" w:rsidRPr="00000000" w14:paraId="00000022">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w:t>
      </w:r>
    </w:p>
    <w:p w:rsidR="00000000" w:rsidDel="00000000" w:rsidP="00000000" w:rsidRDefault="00000000" w:rsidRPr="00000000" w14:paraId="00000024">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as análises produzidas a partir dos dados, inicia-se a exposição pelo local de origem desta amostra de Pessoas em Situação de Rua. Pensando que é relevante considerar a</w:t>
      </w:r>
      <w:r w:rsidDel="00000000" w:rsidR="00000000" w:rsidRPr="00000000">
        <w:rPr>
          <w:rFonts w:ascii="Times New Roman" w:cs="Times New Roman" w:eastAsia="Times New Roman" w:hAnsi="Times New Roman"/>
          <w:sz w:val="24"/>
          <w:szCs w:val="24"/>
          <w:highlight w:val="white"/>
          <w:rtl w:val="0"/>
        </w:rPr>
        <w:t xml:space="preserve"> origem dessa população, s</w:t>
      </w:r>
      <w:r w:rsidDel="00000000" w:rsidR="00000000" w:rsidRPr="00000000">
        <w:rPr>
          <w:rFonts w:ascii="Times New Roman" w:cs="Times New Roman" w:eastAsia="Times New Roman" w:hAnsi="Times New Roman"/>
          <w:sz w:val="24"/>
          <w:szCs w:val="24"/>
          <w:rtl w:val="0"/>
        </w:rPr>
        <w:t xml:space="preserve">e ela advém efetivamente de Fortaleza ou se são oriundas de fluxos intermunicipais, interestaduais, ou até mesmo de fora do país. Ademais, Fortaleza é um dos grandes centros urbanos no país, onde, segundo dados do IBGE - Instituto Brasileiro de Geografia e Estatística (2023), a cidade possui 2.428.678 pessoas, sendo a segunda maior cidade do Nordeste em população, e a população em situação de rua, segundo o II Censo da População em Situação de Rua, é composta por 2.653 pessoas. </w:t>
      </w:r>
    </w:p>
    <w:p w:rsidR="00000000" w:rsidDel="00000000" w:rsidP="00000000" w:rsidRDefault="00000000" w:rsidRPr="00000000" w14:paraId="00000025">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termos de porcentagem, ao compararmos o tamanho da população com o número levantado pelo censo, observamos que cerca de menos de 1% da população vive em situação de rua. Contudo, quando apontamos a relevância da problemática, consideramos, inicialmente, que esta população é maior, a experiência obtida a partir da articulação com movimentos sociais têm demonstrado isso. Além disso, considerando um estado de bem-estar social, se apenas 1 pessoa estiver em situação de rua, ainda assim, estaríamos falando de violação de direitos. </w:t>
      </w:r>
    </w:p>
    <w:p w:rsidR="00000000" w:rsidDel="00000000" w:rsidP="00000000" w:rsidRDefault="00000000" w:rsidRPr="00000000" w14:paraId="00000026">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apontamos que as reflexões propostas aqui não buscam generalizações sobre quem são as pessoas que estão na rua, mas reflexões analíticas sobre este perfil, que propõem a visibilização da problemática e guias de análises para o fomento de estratégias mais resolutivas para a superação desta grave condição social. Ainda considerando o perfil da cidade de Fortaleza, pode-se inferir que seja possível que o fluxo migratório de Pessoas em Situação de Rua para Fortaleza tenha crescido ao longo dos anos. Ou que as próprias condições socioeconômicas da cidade estejam forjando o aumento e manutenção das pessoas em situação de rua. Os dados do último censo realizado na cidade sobre as PSR, apontam que houve um aumento de 53,1% desta população entre os anos de 2014 e 2021</w:t>
      </w:r>
      <w:r w:rsidDel="00000000" w:rsidR="00000000" w:rsidRPr="00000000">
        <w:rPr>
          <w:rFonts w:ascii="Times New Roman" w:cs="Times New Roman" w:eastAsia="Times New Roman" w:hAnsi="Times New Roman"/>
          <w:sz w:val="24"/>
          <w:szCs w:val="24"/>
          <w:highlight w:val="white"/>
          <w:rtl w:val="0"/>
        </w:rPr>
        <w:t xml:space="preserve"> (Fortaleza, 2021). </w:t>
      </w:r>
      <w:r w:rsidDel="00000000" w:rsidR="00000000" w:rsidRPr="00000000">
        <w:rPr>
          <w:rFonts w:ascii="Times New Roman" w:cs="Times New Roman" w:eastAsia="Times New Roman" w:hAnsi="Times New Roman"/>
          <w:sz w:val="24"/>
          <w:szCs w:val="24"/>
          <w:rtl w:val="0"/>
        </w:rPr>
        <w:t xml:space="preserve">Portanto, no Gráfico 01 é possível observar que, em ambas as amostras, mais da metade da população que se encontrava em situação de rua era oriunda da própria capital. </w:t>
      </w:r>
    </w:p>
    <w:p w:rsidR="00000000" w:rsidDel="00000000" w:rsidP="00000000" w:rsidRDefault="00000000" w:rsidRPr="00000000" w14:paraId="0000002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Gráfico 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200" w:line="240" w:lineRule="auto"/>
        <w:jc w:val="both"/>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Estado/cidade de nascimento dos participantes</w:t>
      </w:r>
      <w:r w:rsidDel="00000000" w:rsidR="00000000" w:rsidRPr="00000000">
        <w:rPr>
          <w:rtl w:val="0"/>
        </w:rPr>
      </w:r>
    </w:p>
    <w:p w:rsidR="00000000" w:rsidDel="00000000" w:rsidP="00000000" w:rsidRDefault="00000000" w:rsidRPr="00000000" w14:paraId="00000029">
      <w:pPr>
        <w:keepLines w:val="1"/>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2451100"/>
            <wp:effectExtent b="12700" l="12700" r="12700" t="12700"/>
            <wp:docPr id="3" name="image1.png"/>
            <a:graphic>
              <a:graphicData uri="http://schemas.openxmlformats.org/drawingml/2006/picture">
                <pic:pic>
                  <pic:nvPicPr>
                    <pic:cNvPr id="0" name="image1.png"/>
                    <pic:cNvPicPr preferRelativeResize="0"/>
                  </pic:nvPicPr>
                  <pic:blipFill>
                    <a:blip r:embed="rId7"/>
                    <a:srcRect b="6386" l="4785" r="3464" t="23813"/>
                    <a:stretch>
                      <a:fillRect/>
                    </a:stretch>
                  </pic:blipFill>
                  <pic:spPr>
                    <a:xfrm>
                      <a:off x="0" y="0"/>
                      <a:ext cx="5731200" cy="2451100"/>
                    </a:xfrm>
                    <a:prstGeom prst="rect"/>
                    <a:ln w="12700">
                      <a:solidFill>
                        <a:srgbClr val="0000FF"/>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keepLines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Elaborado pelas autoras a partir dos dados secundários em análise no estudo</w:t>
      </w:r>
      <w:r w:rsidDel="00000000" w:rsidR="00000000" w:rsidRPr="00000000">
        <w:rPr>
          <w:rtl w:val="0"/>
        </w:rPr>
      </w:r>
    </w:p>
    <w:p w:rsidR="00000000" w:rsidDel="00000000" w:rsidP="00000000" w:rsidRDefault="00000000" w:rsidRPr="00000000" w14:paraId="0000002B">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é possível observar o quanto, em relação à origem, a maioria relata pertencer a Fortaleza em ambas as pesquisas, podendo-se inferir que as condições de vida da cidade podem estar operando desigualdades que têm afetado em suma sua própria população, que constitui a maioria das Pessoas em Situação de Rua, mesmo que caiba apontar que não seja uma maioria absoluta. Além disso, é possível apontar que mais de 70% da PSR é advinda do Ceará, dado afirmado pelas duas pesquisas. </w:t>
      </w:r>
    </w:p>
    <w:p w:rsidR="00000000" w:rsidDel="00000000" w:rsidP="00000000" w:rsidRDefault="00000000" w:rsidRPr="00000000" w14:paraId="0000002C">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informação que o censo apresenta é relativ</w:t>
      </w:r>
      <w:r w:rsidDel="00000000" w:rsidR="00000000" w:rsidRPr="00000000">
        <w:rPr>
          <w:rFonts w:ascii="Times New Roman" w:cs="Times New Roman" w:eastAsia="Times New Roman" w:hAnsi="Times New Roman"/>
          <w:sz w:val="24"/>
          <w:szCs w:val="24"/>
          <w:highlight w:val="white"/>
          <w:rtl w:val="0"/>
        </w:rPr>
        <w:t xml:space="preserve">a ao tempo de moradia na rua. </w:t>
      </w:r>
      <w:r w:rsidDel="00000000" w:rsidR="00000000" w:rsidRPr="00000000">
        <w:rPr>
          <w:rFonts w:ascii="Times New Roman" w:cs="Times New Roman" w:eastAsia="Times New Roman" w:hAnsi="Times New Roman"/>
          <w:sz w:val="24"/>
          <w:szCs w:val="24"/>
          <w:rtl w:val="0"/>
        </w:rPr>
        <w:t xml:space="preserve">Sobre isso, cerca de 25% desta população aponta viver nas ruas de Fortaleza há menos de 1 ano, considerando o ano de 2021 (ano da coleta dos dados do II Censo PSR). A Tabela 1 considera o tempo médio de situação de rua considerando ambas as pesquisas:</w:t>
      </w:r>
    </w:p>
    <w:p w:rsidR="00000000" w:rsidDel="00000000" w:rsidP="00000000" w:rsidRDefault="00000000" w:rsidRPr="00000000" w14:paraId="0000002D">
      <w:pPr>
        <w:spacing w:after="0" w:line="360" w:lineRule="auto"/>
        <w:ind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Tabela 1</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Tempo de permanência em situação de rua</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1245"/>
        <w:gridCol w:w="1560"/>
        <w:gridCol w:w="1095"/>
        <w:gridCol w:w="1545"/>
        <w:tblGridChange w:id="0">
          <w:tblGrid>
            <w:gridCol w:w="3345"/>
            <w:gridCol w:w="1245"/>
            <w:gridCol w:w="1560"/>
            <w:gridCol w:w="1095"/>
            <w:gridCol w:w="1545"/>
          </w:tblGrid>
        </w:tblGridChange>
      </w:tblGrid>
      <w:tr>
        <w:trPr>
          <w:cantSplit w:val="0"/>
          <w:trHeight w:val="285" w:hRule="atLeast"/>
          <w:tblHeader w:val="0"/>
        </w:trPr>
        <w:tc>
          <w:tcPr>
            <w:vMerge w:val="restart"/>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E">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Tempo que se encontra em situação de rua</w:t>
            </w:r>
          </w:p>
        </w:tc>
        <w:tc>
          <w:tcPr>
            <w:gridSpan w:val="2"/>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F">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Frequência</w:t>
            </w:r>
          </w:p>
        </w:tc>
        <w:tc>
          <w:tcPr>
            <w:gridSpan w:val="2"/>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válida</w:t>
            </w:r>
          </w:p>
        </w:tc>
      </w:tr>
      <w:tr>
        <w:trPr>
          <w:cantSplit w:val="0"/>
          <w:trHeight w:val="555" w:hRule="atLeast"/>
          <w:tblHeader w:val="0"/>
        </w:trPr>
        <w:tc>
          <w:tcPr>
            <w:vMerge w:val="continue"/>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Censo pop rua</w:t>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Pesq. pop ru</w:t>
            </w:r>
            <w:r w:rsidDel="00000000" w:rsidR="00000000" w:rsidRPr="00000000">
              <w:rPr>
                <w:rFonts w:ascii="Times New Roman" w:cs="Times New Roman" w:eastAsia="Times New Roman" w:hAnsi="Times New Roman"/>
                <w:sz w:val="24"/>
                <w:szCs w:val="24"/>
                <w:rtl w:val="0"/>
              </w:rPr>
              <w:t xml:space="preserve">a psicossocial</w:t>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Censo pop rua</w:t>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w:t>
            </w:r>
            <w:r w:rsidDel="00000000" w:rsidR="00000000" w:rsidRPr="00000000">
              <w:rPr>
                <w:rFonts w:ascii="Times New Roman" w:cs="Times New Roman" w:eastAsia="Times New Roman" w:hAnsi="Times New Roman"/>
                <w:sz w:val="24"/>
                <w:szCs w:val="24"/>
                <w:rtl w:val="0"/>
              </w:rPr>
              <w:t xml:space="preserve">sq. pop rua psicossocial</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Há menos de 1 ano</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B">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C">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r>
      <w:tr>
        <w:trPr>
          <w:cantSplit w:val="0"/>
          <w:trHeight w:val="345"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D">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1 ano e 2 anos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3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2">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2 anos e 3 anos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r>
      <w:tr>
        <w:trPr>
          <w:cantSplit w:val="0"/>
          <w:trHeight w:val="345"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3 anos e 5 anos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B">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r>
      <w:tr>
        <w:trPr>
          <w:cantSplit w:val="0"/>
          <w:trHeight w:val="34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C">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5 anos e 10 anos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r>
      <w:tr>
        <w:trPr>
          <w:cantSplit w:val="0"/>
          <w:trHeight w:val="345"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1">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Há mais de 10 anos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5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tc>
      </w:tr>
    </w:tbl>
    <w:p w:rsidR="00000000" w:rsidDel="00000000" w:rsidP="00000000" w:rsidRDefault="00000000" w:rsidRPr="00000000" w14:paraId="00000056">
      <w:pPr>
        <w:keepLines w:val="1"/>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Elaborado pelas autoras a partir dos dados secundários em análise no estudo</w:t>
      </w:r>
    </w:p>
    <w:p w:rsidR="00000000" w:rsidDel="00000000" w:rsidP="00000000" w:rsidRDefault="00000000" w:rsidRPr="00000000" w14:paraId="00000057">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Analisar o tempo de permanência/moradia em situação de rua é relevante para perceber as condições estruturais que forjam a entrada e manutenção das pessoas em tal situação. Nesse sentido, é possível perceber a partir da</w:t>
      </w:r>
      <w:r w:rsidDel="00000000" w:rsidR="00000000" w:rsidRPr="00000000">
        <w:rPr>
          <w:rFonts w:ascii="Times New Roman" w:cs="Times New Roman" w:eastAsia="Times New Roman" w:hAnsi="Times New Roman"/>
          <w:sz w:val="24"/>
          <w:szCs w:val="24"/>
          <w:highlight w:val="white"/>
          <w:rtl w:val="0"/>
        </w:rPr>
        <w:t xml:space="preserve"> T</w:t>
      </w:r>
      <w:r w:rsidDel="00000000" w:rsidR="00000000" w:rsidRPr="00000000">
        <w:rPr>
          <w:rFonts w:ascii="Times New Roman" w:cs="Times New Roman" w:eastAsia="Times New Roman" w:hAnsi="Times New Roman"/>
          <w:sz w:val="24"/>
          <w:szCs w:val="24"/>
          <w:rtl w:val="0"/>
        </w:rPr>
        <w:t xml:space="preserve">abela 1 que existe uma quantidade  significativa de pessoas tanto há menos de 1 ano na rua, como há mais de 10 anos na rua. Isso aponta que há um aumento de pessoas que estão adentrando a condição de rua. Como também existe um processo de permanência destas pessoas, que a médio e longo prazo não conseguem superar esta condição. Considerando que o II Censo da População de Rua foi realizado logo em seguida ao período pandêmico, é possível também apontar que a própria pandemia pode ter sido um fator para o aumento das PSR.</w:t>
      </w:r>
    </w:p>
    <w:p w:rsidR="00000000" w:rsidDel="00000000" w:rsidP="00000000" w:rsidRDefault="00000000" w:rsidRPr="00000000" w14:paraId="00000058">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considerar os</w:t>
      </w:r>
      <w:r w:rsidDel="00000000" w:rsidR="00000000" w:rsidRPr="00000000">
        <w:rPr>
          <w:rFonts w:ascii="Times New Roman" w:cs="Times New Roman" w:eastAsia="Times New Roman" w:hAnsi="Times New Roman"/>
          <w:sz w:val="24"/>
          <w:szCs w:val="24"/>
          <w:highlight w:val="white"/>
          <w:rtl w:val="0"/>
        </w:rPr>
        <w:t xml:space="preserve"> motivos pelos quais as pessoas estão em situação de rua. </w:t>
      </w:r>
      <w:r w:rsidDel="00000000" w:rsidR="00000000" w:rsidRPr="00000000">
        <w:rPr>
          <w:rFonts w:ascii="Times New Roman" w:cs="Times New Roman" w:eastAsia="Times New Roman" w:hAnsi="Times New Roman"/>
          <w:sz w:val="24"/>
          <w:szCs w:val="24"/>
          <w:rtl w:val="0"/>
        </w:rPr>
        <w:t xml:space="preserve">Quando observados os dados do II Censo Pop Rua, os entrevistados apontaram ao serem questionados pela indagação: “Porque você começou a dormir na rua e/ou em acolhimento institucional/pousada social?”, que o principal motivo pelo qual estariam em situação de rua são conflitos familiares (53,7%), seguidos de dependência de drogas ilícitas (11,8%) e da perda de trabalho/renda (10,3%). Vale ressaltar também que no I Censo Pop Rua de Fortaleza, realizado em 2014 (Fortaleza, 2021), os motivos mais relevantes da ida às ruas também eram os conflitos familiares e o uso de drogas, o que aponta uma permanência das questões ao longo do tempo. A seguir, a </w:t>
      </w:r>
      <w:r w:rsidDel="00000000" w:rsidR="00000000" w:rsidRPr="00000000">
        <w:rPr>
          <w:rFonts w:ascii="Times New Roman" w:cs="Times New Roman" w:eastAsia="Times New Roman" w:hAnsi="Times New Roman"/>
          <w:sz w:val="24"/>
          <w:szCs w:val="24"/>
          <w:highlight w:val="white"/>
          <w:rtl w:val="0"/>
        </w:rPr>
        <w:t xml:space="preserve">Ta</w:t>
      </w:r>
      <w:r w:rsidDel="00000000" w:rsidR="00000000" w:rsidRPr="00000000">
        <w:rPr>
          <w:rFonts w:ascii="Times New Roman" w:cs="Times New Roman" w:eastAsia="Times New Roman" w:hAnsi="Times New Roman"/>
          <w:sz w:val="24"/>
          <w:szCs w:val="24"/>
          <w:rtl w:val="0"/>
        </w:rPr>
        <w:t xml:space="preserve">bela 2 apresenta os dados do II Censo Pop Rua em detalhe:</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Tabela 2</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highlight w:val="white"/>
          <w:rtl w:val="0"/>
        </w:rPr>
        <w:t xml:space="preserve">II Censo pop rua: </w:t>
      </w:r>
      <w:r w:rsidDel="00000000" w:rsidR="00000000" w:rsidRPr="00000000">
        <w:rPr>
          <w:rFonts w:ascii="Times New Roman" w:cs="Times New Roman" w:eastAsia="Times New Roman" w:hAnsi="Times New Roman"/>
          <w:i w:val="1"/>
          <w:sz w:val="24"/>
          <w:szCs w:val="24"/>
          <w:rtl w:val="0"/>
        </w:rPr>
        <w:t xml:space="preserve">motivos de estarem em situação de rua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2"/>
        <w:tblW w:w="8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1575"/>
        <w:gridCol w:w="1755"/>
        <w:tblGridChange w:id="0">
          <w:tblGrid>
            <w:gridCol w:w="4725"/>
            <w:gridCol w:w="1575"/>
            <w:gridCol w:w="1755"/>
          </w:tblGrid>
        </w:tblGridChange>
      </w:tblGrid>
      <w:tr>
        <w:trPr>
          <w:cantSplit w:val="0"/>
          <w:trHeight w:val="611.953125" w:hRule="atLeast"/>
          <w:tblHeader w:val="0"/>
        </w:trPr>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05A">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Motivos para estar na rua</w:t>
            </w:r>
          </w:p>
        </w:tc>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5B">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Frequência</w:t>
            </w:r>
          </w:p>
        </w:tc>
        <w:tc>
          <w:tcPr>
            <w:tcBorders>
              <w:top w:color="000000"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C">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Porcentagem (%)</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5D">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Conflitos familiares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5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p>
        </w:tc>
        <w:tc>
          <w:tcPr>
            <w:tcBorders>
              <w:top w:color="000000" w:space="0" w:sz="0" w:val="nil"/>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5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53,7%</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0">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Dependência de álcool</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3">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Dependência de drogas ilícitas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11,85</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6">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Deslocados Urbanos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8">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9">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Egresso do sistema prisional</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B">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C">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Imigração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6F">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Migração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2">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soube responder</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5">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8">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Pandemia pela Covid-19</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B">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Perda de moradia</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C">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E">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Perda de trabalho/Renda</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7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r>
      <w:tr>
        <w:trPr>
          <w:cantSplit w:val="0"/>
          <w:trHeight w:val="555" w:hRule="atLeast"/>
          <w:tblHeader w:val="0"/>
        </w:trPr>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1">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Problemas de saúde (depressão, vinda para Fortaleza/CE para tratamento de saúde, etc.)</w:t>
            </w:r>
          </w:p>
        </w:tc>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7f7f7f" w:space="0" w:sz="6" w:val="single"/>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5" w:hRule="atLeast"/>
          <w:tblHeader w:val="0"/>
        </w:trPr>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87">
      <w:pPr>
        <w:keepLines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Elaborado pelas autoras a partir dos dados secundários em análise no estudo</w:t>
      </w:r>
      <w:r w:rsidDel="00000000" w:rsidR="00000000" w:rsidRPr="00000000">
        <w:rPr>
          <w:rtl w:val="0"/>
        </w:rPr>
      </w:r>
    </w:p>
    <w:p w:rsidR="00000000" w:rsidDel="00000000" w:rsidP="00000000" w:rsidRDefault="00000000" w:rsidRPr="00000000" w14:paraId="00000088">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perda de moradia, o que mais caracteriza esta população, é o 4º motivo pelo qual os entrevistados relatam que estejam na rua. Apresentaremos os resultados da pesquisa pop rua psicossocial para encontrar as dissonâncias e as similaridades dos estudos. Abaixo, a Tabela 3 apresenta o que responderam os entrevistados ao questionamento “Qual o principal motivo que te fez ir morar na rua?”:</w:t>
      </w:r>
    </w:p>
    <w:p w:rsidR="00000000" w:rsidDel="00000000" w:rsidP="00000000" w:rsidRDefault="00000000" w:rsidRPr="00000000" w14:paraId="00000089">
      <w:pPr>
        <w:spacing w:after="0" w:line="360" w:lineRule="auto"/>
        <w:ind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Tabela 3</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Pesq. pop rua psicossocial: motivos de estarem em situação de rua</w:t>
      </w:r>
    </w:p>
    <w:tbl>
      <w:tblPr>
        <w:tblStyle w:val="Table3"/>
        <w:tblW w:w="8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1575"/>
        <w:gridCol w:w="1755"/>
        <w:tblGridChange w:id="0">
          <w:tblGrid>
            <w:gridCol w:w="4725"/>
            <w:gridCol w:w="1575"/>
            <w:gridCol w:w="1755"/>
          </w:tblGrid>
        </w:tblGridChange>
      </w:tblGrid>
      <w:tr>
        <w:trPr>
          <w:cantSplit w:val="0"/>
          <w:trHeight w:val="555" w:hRule="atLeast"/>
          <w:tblHeader w:val="0"/>
        </w:trPr>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Motivos para estar na rua</w:t>
            </w:r>
          </w:p>
        </w:tc>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B">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Frequência</w:t>
            </w:r>
          </w:p>
        </w:tc>
        <w:tc>
          <w:tcPr>
            <w:tcBorders>
              <w:top w:color="000000"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C">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Porcentagem (%)</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D">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 de álcool e/ou outras drogas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8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Borders>
              <w:top w:color="000000" w:space="0" w:sz="0" w:val="nil"/>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0">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Conflitos Familiares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26,6%</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3">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Morte de algum familiar</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6">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Separação da mulher/marido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8">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9">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Falta de dinheiro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B">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C">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Violência Doméstica</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Expulso do Bairro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2">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Desemprego</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5">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devido a orientação sexual</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8">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Pessoas que não responderam</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rHeight w:val="285" w:hRule="atLeast"/>
          <w:tblHeader w:val="0"/>
        </w:trPr>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B">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de respondentes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0AC">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AE">
      <w:pPr>
        <w:keepLines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Elaborado pelas autoras a partir dos dados secundários em análise no estudo</w:t>
      </w:r>
      <w:r w:rsidDel="00000000" w:rsidR="00000000" w:rsidRPr="00000000">
        <w:rPr>
          <w:rtl w:val="0"/>
        </w:rPr>
      </w:r>
    </w:p>
    <w:p w:rsidR="00000000" w:rsidDel="00000000" w:rsidP="00000000" w:rsidRDefault="00000000" w:rsidRPr="00000000" w14:paraId="000000AF">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amostra, os valores foram um pouco divergentes do </w:t>
      </w:r>
      <w:r w:rsidDel="00000000" w:rsidR="00000000" w:rsidRPr="00000000">
        <w:rPr>
          <w:rFonts w:ascii="Times New Roman" w:cs="Times New Roman" w:eastAsia="Times New Roman" w:hAnsi="Times New Roman"/>
          <w:sz w:val="24"/>
          <w:szCs w:val="24"/>
          <w:highlight w:val="white"/>
          <w:rtl w:val="0"/>
        </w:rPr>
        <w:t xml:space="preserve">II Censo pop rua, em relação à ordem de importância. Mantém-se os conflitos familiares (26,6%) entre os principais motivos, e a dependência de álcool e/ou outras drogas como o mais preponderante, que não reflete a mesma ordem do resultado do censo. Ainda que no II Censo pop rua a</w:t>
      </w:r>
      <w:r w:rsidDel="00000000" w:rsidR="00000000" w:rsidRPr="00000000">
        <w:rPr>
          <w:rFonts w:ascii="Times New Roman" w:cs="Times New Roman" w:eastAsia="Times New Roman" w:hAnsi="Times New Roman"/>
          <w:sz w:val="24"/>
          <w:szCs w:val="24"/>
          <w:rtl w:val="0"/>
        </w:rPr>
        <w:t xml:space="preserve">pareça o uso de drogas ilícitas, mesmo somadas ao uso de álcool, não teria maior relevância em níveis de frequência. O terceiro motivo é o desemprego. Assim, é possível analisar que os principais motivos seguem relativamente os mesmos, contudo, em uma pesquisa os conflitos familiares se apresentam como motivo mais relevante, enquanto a outra apresenta o uso de drogas. </w:t>
      </w:r>
    </w:p>
    <w:p w:rsidR="00000000" w:rsidDel="00000000" w:rsidP="00000000" w:rsidRDefault="00000000" w:rsidRPr="00000000" w14:paraId="000000B0">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realizado um teste de qui-quadrado de independência (2x11) na amostra oriunda do</w:t>
      </w:r>
      <w:r w:rsidDel="00000000" w:rsidR="00000000" w:rsidRPr="00000000">
        <w:rPr>
          <w:rFonts w:ascii="Times New Roman" w:cs="Times New Roman" w:eastAsia="Times New Roman" w:hAnsi="Times New Roman"/>
          <w:sz w:val="24"/>
          <w:szCs w:val="24"/>
          <w:highlight w:val="white"/>
          <w:rtl w:val="0"/>
        </w:rPr>
        <w:t xml:space="preserve"> II Censo pop rua </w:t>
      </w:r>
      <w:r w:rsidDel="00000000" w:rsidR="00000000" w:rsidRPr="00000000">
        <w:rPr>
          <w:rFonts w:ascii="Times New Roman" w:cs="Times New Roman" w:eastAsia="Times New Roman" w:hAnsi="Times New Roman"/>
          <w:sz w:val="24"/>
          <w:szCs w:val="24"/>
          <w:rtl w:val="0"/>
        </w:rPr>
        <w:t xml:space="preserve">com o objetivo de investigar se havia</w:t>
      </w:r>
      <w:r w:rsidDel="00000000" w:rsidR="00000000" w:rsidRPr="00000000">
        <w:rPr>
          <w:rFonts w:ascii="Times New Roman" w:cs="Times New Roman" w:eastAsia="Times New Roman" w:hAnsi="Times New Roman"/>
          <w:sz w:val="24"/>
          <w:szCs w:val="24"/>
          <w:highlight w:val="white"/>
          <w:rtl w:val="0"/>
        </w:rPr>
        <w:t xml:space="preserve"> associação entre o sexo (masculino e feminino) e o motivo de estar em situação de rua (conflit</w:t>
      </w:r>
      <w:r w:rsidDel="00000000" w:rsidR="00000000" w:rsidRPr="00000000">
        <w:rPr>
          <w:rFonts w:ascii="Times New Roman" w:cs="Times New Roman" w:eastAsia="Times New Roman" w:hAnsi="Times New Roman"/>
          <w:sz w:val="24"/>
          <w:szCs w:val="24"/>
          <w:rtl w:val="0"/>
        </w:rPr>
        <w:t xml:space="preserve">os familiares; dependência de álcool; dependência de drogas ilícitas; deslocados urbanos; egresso do sistema prisional; imigração; migração; pandemia pela COVID-19; perda de moradia; trabalho e renda; e problemas de saúde). Foi encontrada uma associação significativa entre o sexo e a motivo de estar em situação de rua (c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(10) = 26,734,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0,05; </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 0,211). Isto é, ser mulher é um diferencial em relação aos motivos de estar em situação de rua. Contudo, as análises dos resíduos ajustados demonstraram que esta associação só se presentifica entre as categorias “conflitos familiares”, “migração” e “perda de moradia”. Ademais, as análises de razão de chance demonstram que pessoas que estão na rua por conflito familiar têm 3,05 vezes mais chance de serem mulheres se comparadas com as pessoas que estão em situação de rua por perda de moradia.  Assim, aponta-se que para mulheres os conflitos familiares podem levá-las mais facilmente à condição de rua do que homens. Nesse sentido, podemos refletir que mulheres passam a conviver com as ruas como recurso de afastamento dos conflitos que não podem mais habitar o ambiente doméstico, o lugar que carrega socialmente o imaginário de local protetivo e destinado às mulheres. A tabela 4 apresenta detalhadamente os resultados apresentados.</w:t>
      </w:r>
    </w:p>
    <w:p w:rsidR="00000000" w:rsidDel="00000000" w:rsidP="00000000" w:rsidRDefault="00000000" w:rsidRPr="00000000" w14:paraId="000000B1">
      <w:pPr>
        <w:spacing w:after="0" w:line="360" w:lineRule="auto"/>
        <w:ind w:firstLine="0"/>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Tabela 4 - </w:t>
      </w:r>
      <w:r w:rsidDel="00000000" w:rsidR="00000000" w:rsidRPr="00000000">
        <w:rPr>
          <w:rFonts w:ascii="Times New Roman" w:cs="Times New Roman" w:eastAsia="Times New Roman" w:hAnsi="Times New Roman"/>
          <w:i w:val="1"/>
          <w:sz w:val="24"/>
          <w:szCs w:val="24"/>
          <w:rtl w:val="0"/>
        </w:rPr>
        <w:t xml:space="preserve">Sexo x Motivo de estar em situação de rua do </w:t>
      </w:r>
      <w:r w:rsidDel="00000000" w:rsidR="00000000" w:rsidRPr="00000000">
        <w:rPr>
          <w:rFonts w:ascii="Times New Roman" w:cs="Times New Roman" w:eastAsia="Times New Roman" w:hAnsi="Times New Roman"/>
          <w:i w:val="1"/>
          <w:sz w:val="24"/>
          <w:szCs w:val="24"/>
          <w:highlight w:val="white"/>
          <w:rtl w:val="0"/>
        </w:rPr>
        <w:t xml:space="preserve"> II Censo pop rua</w:t>
      </w:r>
    </w:p>
    <w:tbl>
      <w:tblPr>
        <w:tblStyle w:val="Table4"/>
        <w:tblW w:w="64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1440"/>
        <w:gridCol w:w="1575"/>
        <w:tblGridChange w:id="0">
          <w:tblGrid>
            <w:gridCol w:w="3450"/>
            <w:gridCol w:w="1440"/>
            <w:gridCol w:w="1575"/>
          </w:tblGrid>
        </w:tblGridChange>
      </w:tblGrid>
      <w:tr>
        <w:trPr>
          <w:cantSplit w:val="0"/>
          <w:trHeight w:val="420" w:hRule="atLeast"/>
          <w:tblHeader w:val="0"/>
        </w:trPr>
        <w:tc>
          <w:tcPr>
            <w:vMerge w:val="restart"/>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2">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Motivo para estar em situação de rua</w:t>
            </w:r>
          </w:p>
        </w:tc>
        <w:tc>
          <w:tcPr>
            <w:gridSpan w:val="2"/>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3">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Sexo</w:t>
            </w:r>
          </w:p>
        </w:tc>
      </w:tr>
      <w:tr>
        <w:trPr>
          <w:cantSplit w:val="0"/>
          <w:trHeight w:val="420" w:hRule="atLeast"/>
          <w:tblHeader w:val="0"/>
        </w:trPr>
        <w:tc>
          <w:tcPr>
            <w:vMerge w:val="continue"/>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Masculino</w:t>
            </w:r>
          </w:p>
        </w:tc>
        <w:tc>
          <w:tcPr>
            <w:tcBorders>
              <w:top w:color="000000" w:space="0" w:sz="0" w:val="nil"/>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Feminino</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Conflitos Familiares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2,9**</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-2,9**</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Dependência do Álcool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0,5</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-0,5</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Dependência de drogas ilícitas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7">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8">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0,7</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-0,7</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Deslocados Urbanos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E">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w:t>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Egressos do Sistema Prisional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6">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Imigração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7">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0,9</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-0,9</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C">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Migração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DF">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0">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1">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2">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Pandemia pela Covid- 19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4">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5">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6">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-0,8</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7">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0,8</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8">
            <w:pPr>
              <w:spacing w:before="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Perda de Moradia </w:t>
            </w:r>
            <w:r w:rsidDel="00000000" w:rsidR="00000000" w:rsidRPr="00000000">
              <w:rPr>
                <w:rFonts w:ascii="Times New Roman" w:cs="Times New Roman" w:eastAsia="Times New Roman" w:hAnsi="Times New Roman"/>
                <w:b w:val="1"/>
                <w:i w:val="1"/>
                <w:sz w:val="24"/>
                <w:szCs w:val="24"/>
                <w:rtl w:val="0"/>
              </w:rPr>
              <w:t xml:space="preserve">(n)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B">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C">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-3,0**</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D">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3,0**</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E">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Perda de Trabalho/renda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EF">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1">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2">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-1,5</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3">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1,5</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4">
            <w:pPr>
              <w:spacing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Problemas de Saúde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420" w:hRule="atLeast"/>
          <w:tblHeader w:val="0"/>
        </w:trPr>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7">
            <w:pPr>
              <w:spacing w:before="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Resíduos Ajustados</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-0,2</w:t>
            </w:r>
          </w:p>
        </w:tc>
        <w:tc>
          <w:tcPr>
            <w:tcBorders>
              <w:top w:color="7f7f7f" w:space="0" w:sz="6" w:val="single"/>
              <w:left w:color="000000" w:space="0" w:sz="0" w:val="nil"/>
              <w:bottom w:color="7f7f7f" w:space="0" w:sz="6"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before="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0,2</w:t>
            </w:r>
          </w:p>
        </w:tc>
      </w:tr>
    </w:tbl>
    <w:p w:rsidR="00000000" w:rsidDel="00000000" w:rsidP="00000000" w:rsidRDefault="00000000" w:rsidRPr="00000000" w14:paraId="000000FA">
      <w:pPr>
        <w:spacing w:after="200" w:before="240" w:line="240" w:lineRule="auto"/>
        <w:ind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Nota: </w:t>
      </w:r>
      <w:r w:rsidDel="00000000" w:rsidR="00000000" w:rsidRPr="00000000">
        <w:rPr>
          <w:rFonts w:ascii="Times New Roman" w:cs="Times New Roman" w:eastAsia="Times New Roman" w:hAnsi="Times New Roman"/>
          <w:i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número de casos; </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0,001</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B">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fim de aprofundar os achados, foi realizado teste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de Student para amostras independentes com o objetivo de investigar se existem diferenças estatisticamente significativas entre as médias de mulheres e homens em relação ao motivo de estar na rua reportando “conflitos familiares”. Os resultados demonstraram que mulheres tiveram </w:t>
      </w:r>
      <w:r w:rsidDel="00000000" w:rsidR="00000000" w:rsidRPr="00000000">
        <w:rPr>
          <w:rFonts w:ascii="Times New Roman" w:cs="Times New Roman" w:eastAsia="Times New Roman" w:hAnsi="Times New Roman"/>
          <w:i w:val="1"/>
          <w:sz w:val="24"/>
          <w:szCs w:val="24"/>
          <w:rtl w:val="0"/>
        </w:rPr>
        <w:t xml:space="preserve">escore </w:t>
      </w:r>
      <w:r w:rsidDel="00000000" w:rsidR="00000000" w:rsidRPr="00000000">
        <w:rPr>
          <w:rFonts w:ascii="Times New Roman" w:cs="Times New Roman" w:eastAsia="Times New Roman" w:hAnsi="Times New Roman"/>
          <w:sz w:val="24"/>
          <w:szCs w:val="24"/>
          <w:rtl w:val="0"/>
        </w:rPr>
        <w:t xml:space="preserve">estatisticamente maior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 1,59; </w:t>
      </w:r>
      <w:r w:rsidDel="00000000" w:rsidR="00000000" w:rsidRPr="00000000">
        <w:rPr>
          <w:rFonts w:ascii="Times New Roman" w:cs="Times New Roman" w:eastAsia="Times New Roman" w:hAnsi="Times New Roman"/>
          <w:i w:val="1"/>
          <w:sz w:val="24"/>
          <w:szCs w:val="24"/>
          <w:rtl w:val="0"/>
        </w:rPr>
        <w:t xml:space="preserve">DP</w:t>
      </w:r>
      <w:r w:rsidDel="00000000" w:rsidR="00000000" w:rsidRPr="00000000">
        <w:rPr>
          <w:rFonts w:ascii="Times New Roman" w:cs="Times New Roman" w:eastAsia="Times New Roman" w:hAnsi="Times New Roman"/>
          <w:sz w:val="24"/>
          <w:szCs w:val="24"/>
          <w:rtl w:val="0"/>
        </w:rPr>
        <w:t xml:space="preserve"> = 0,49) do que homens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 1,44;</w:t>
      </w:r>
      <w:r w:rsidDel="00000000" w:rsidR="00000000" w:rsidRPr="00000000">
        <w:rPr>
          <w:rFonts w:ascii="Times New Roman" w:cs="Times New Roman" w:eastAsia="Times New Roman" w:hAnsi="Times New Roman"/>
          <w:i w:val="1"/>
          <w:sz w:val="24"/>
          <w:szCs w:val="24"/>
          <w:rtl w:val="0"/>
        </w:rPr>
        <w:t xml:space="preserve">DP</w:t>
      </w:r>
      <w:r w:rsidDel="00000000" w:rsidR="00000000" w:rsidRPr="00000000">
        <w:rPr>
          <w:rFonts w:ascii="Times New Roman" w:cs="Times New Roman" w:eastAsia="Times New Roman" w:hAnsi="Times New Roman"/>
          <w:sz w:val="24"/>
          <w:szCs w:val="24"/>
          <w:rtl w:val="0"/>
        </w:rPr>
        <w:t xml:space="preserve"> = 0,49)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(598) = -2,908,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0,004). Entretanto, o tamanho do efeito da diferença foi baixo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de Cohen = 0,31). E deste ponto, aponta-se que mulheres estão mais vulneráveis em relação ao motivo de estar na rua ser conflitos familiares, mas, devido a presença de homens ser muito maior do que mulheres, essa diferença precisa ser analisada com cautela. Para tanto, a análise mais profunda da origem e das múltiplas formas destes conflitos familiares podem demonstrar aspectos vinculados às variadas violências, que não incomumente possuem como atravessadores questões vinculadas ao gênero (</w:t>
      </w:r>
      <w:r w:rsidDel="00000000" w:rsidR="00000000" w:rsidRPr="00000000">
        <w:rPr>
          <w:rFonts w:ascii="Times New Roman" w:cs="Times New Roman" w:eastAsia="Times New Roman" w:hAnsi="Times New Roman"/>
          <w:sz w:val="24"/>
          <w:szCs w:val="24"/>
          <w:highlight w:val="white"/>
          <w:rtl w:val="0"/>
        </w:rPr>
        <w:t xml:space="preserve">Okabayashi et al., 2020).</w:t>
      </w:r>
      <w:r w:rsidDel="00000000" w:rsidR="00000000" w:rsidRPr="00000000">
        <w:rPr>
          <w:rtl w:val="0"/>
        </w:rPr>
      </w:r>
    </w:p>
    <w:p w:rsidR="00000000" w:rsidDel="00000000" w:rsidP="00000000" w:rsidRDefault="00000000" w:rsidRPr="00000000" w14:paraId="000000FC">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mesma análise (teste de qui-quadrado de independência 2x8</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foi proposta com os dados do advindos da Pesq. pop rua psicossocial e os resultados apontam que para esta amostra não há associação entre o sexo e o motivo para estar em situação de rua (c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(16) = 16,437,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0,423). Da mesma forma, não há uma associação significativa entre a raça e a motivo de estar em situação de rua (c</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(7) = 11,630,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0,113). O que não significa que não haja diferenças entre estes grupos. Contudo, o tamanho da amostra dificulta comparações mais diretas entre estas categorias. </w:t>
      </w:r>
    </w:p>
    <w:p w:rsidR="00000000" w:rsidDel="00000000" w:rsidP="00000000" w:rsidRDefault="00000000" w:rsidRPr="00000000" w14:paraId="000000FD">
      <w:pPr>
        <w:spacing w:after="0" w:line="360"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 termos comparativos entre os resultados de ambas as pesquisas no que se refere ao perfil etário, étnico/racial e de gênero foi observado uma diferença expressiva na dimensão racial. Enquanto a o II Censo Pop Rua apresenta uma quantitativo populacional formado por pessoas pardas, na Pesq. pop rua psicossocial a maioria da amostra se autodeclarou branca (Ver tabela 5). </w:t>
      </w:r>
      <w:r w:rsidDel="00000000" w:rsidR="00000000" w:rsidRPr="00000000">
        <w:rPr>
          <w:rtl w:val="0"/>
        </w:rPr>
      </w:r>
    </w:p>
    <w:p w:rsidR="00000000" w:rsidDel="00000000" w:rsidP="00000000" w:rsidRDefault="00000000" w:rsidRPr="00000000" w14:paraId="000000FE">
      <w:pPr>
        <w:spacing w:after="0" w:before="0" w:line="360" w:lineRule="auto"/>
        <w:ind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Tabela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Sexo, raça/cor/etnia e idade</w:t>
      </w:r>
    </w:p>
    <w:tbl>
      <w:tblPr>
        <w:tblStyle w:val="Table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3225"/>
        <w:gridCol w:w="2265"/>
        <w:gridCol w:w="2235"/>
        <w:tblGridChange w:id="0">
          <w:tblGrid>
            <w:gridCol w:w="1305"/>
            <w:gridCol w:w="3225"/>
            <w:gridCol w:w="2265"/>
            <w:gridCol w:w="2235"/>
          </w:tblGrid>
        </w:tblGridChange>
      </w:tblGrid>
      <w:tr>
        <w:trPr>
          <w:cantSplit w:val="0"/>
          <w:trHeight w:val="739.74609375" w:hRule="atLeast"/>
          <w:tblHeader w:val="0"/>
        </w:trPr>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0FF">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Marcador</w:t>
            </w:r>
          </w:p>
        </w:tc>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0">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Categorias</w:t>
            </w:r>
          </w:p>
        </w:tc>
        <w:tc>
          <w:tcPr>
            <w:tcBorders>
              <w:top w:color="000000" w:space="0" w:sz="6" w:val="single"/>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1">
            <w:pPr>
              <w:spacing w:before="0"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II Censo</w:t>
            </w:r>
            <w:r w:rsidDel="00000000" w:rsidR="00000000" w:rsidRPr="00000000">
              <w:rPr>
                <w:rFonts w:ascii="Times New Roman" w:cs="Times New Roman" w:eastAsia="Times New Roman" w:hAnsi="Times New Roman"/>
                <w:b w:val="1"/>
                <w:sz w:val="24"/>
                <w:szCs w:val="24"/>
                <w:highlight w:val="white"/>
                <w:rtl w:val="0"/>
              </w:rPr>
              <w:t xml:space="preserve"> pop rua</w:t>
            </w:r>
          </w:p>
        </w:tc>
        <w:tc>
          <w:tcPr>
            <w:tcBorders>
              <w:top w:color="000000" w:space="0" w:sz="6" w:val="single"/>
              <w:left w:color="000000" w:space="0" w:sz="0" w:val="nil"/>
              <w:bottom w:color="7f7f7f" w:space="0" w:sz="6" w:val="single"/>
              <w:right w:color="000000" w:space="0" w:sz="0" w:val="nil"/>
            </w:tcBorders>
            <w:tcMar>
              <w:top w:w="0.0" w:type="dxa"/>
              <w:left w:w="100.0" w:type="dxa"/>
              <w:bottom w:w="0.0" w:type="dxa"/>
              <w:right w:w="100.0" w:type="dxa"/>
            </w:tcMar>
            <w:vAlign w:val="center"/>
          </w:tcPr>
          <w:p w:rsidR="00000000" w:rsidDel="00000000" w:rsidP="00000000" w:rsidRDefault="00000000" w:rsidRPr="00000000" w14:paraId="00000102">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Pesq. pop rua psicossocial</w:t>
            </w:r>
          </w:p>
        </w:tc>
      </w:tr>
      <w:tr>
        <w:trPr>
          <w:cantSplit w:val="0"/>
          <w:trHeight w:val="392.373046875" w:hRule="atLeast"/>
          <w:tblHeader w:val="0"/>
        </w:trPr>
        <w:tc>
          <w:tcPr>
            <w:vMerge w:val="restart"/>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3">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Sexo</w:t>
            </w: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4">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Homens</w:t>
            </w:r>
          </w:p>
        </w:tc>
        <w:tc>
          <w:tcPr>
            <w:tcBorders>
              <w:top w:color="000000" w:space="0" w:sz="0" w:val="nil"/>
              <w:left w:color="000000" w:space="0" w:sz="0" w:val="nil"/>
              <w:bottom w:color="7f7f7f" w:space="0" w:sz="6" w:val="single"/>
              <w:right w:color="bfbfbf" w:space="0" w:sz="6" w:val="single"/>
            </w:tcBorders>
            <w:tcMar>
              <w:top w:w="0.0" w:type="dxa"/>
              <w:left w:w="0.0" w:type="dxa"/>
              <w:bottom w:w="0.0" w:type="dxa"/>
              <w:right w:w="0.0" w:type="dxa"/>
            </w:tcMar>
            <w:vAlign w:val="bottom"/>
          </w:tcPr>
          <w:p w:rsidR="00000000" w:rsidDel="00000000" w:rsidP="00000000" w:rsidRDefault="00000000" w:rsidRPr="00000000" w14:paraId="0000010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82,8%</w:t>
            </w:r>
          </w:p>
        </w:tc>
        <w:tc>
          <w:tcPr>
            <w:tcBorders>
              <w:top w:color="000000" w:space="0" w:sz="0" w:val="nil"/>
              <w:left w:color="000000" w:space="0" w:sz="0" w:val="nil"/>
              <w:bottom w:color="7f7f7f"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06">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8">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Mulheres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0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0A">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C">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0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0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85" w:hRule="atLeast"/>
          <w:tblHeader w:val="0"/>
        </w:trPr>
        <w:tc>
          <w:tcPr>
            <w:vMerge w:val="restart"/>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0F">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Raça/ cor/etnia</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0">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11">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12">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4">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15">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16">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8">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Brancos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19">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15,3%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1A">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51,9%</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C">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Indígenas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1D">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4,2%</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1E">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0">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Amarelos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21">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center"/>
          </w:tcPr>
          <w:p w:rsidR="00000000" w:rsidDel="00000000" w:rsidP="00000000" w:rsidRDefault="00000000" w:rsidRPr="00000000" w14:paraId="00000122">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85" w:hRule="atLeast"/>
          <w:tblHeader w:val="0"/>
        </w:trPr>
        <w:tc>
          <w:tcPr>
            <w:vMerge w:val="restart"/>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23">
            <w:pPr>
              <w:spacing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Faixa etária</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4">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 30 anos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5">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6">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8">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 49 anos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9">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A">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C">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a 59 anos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2D">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7f7f7f" w:space="0" w:sz="6" w:val="single"/>
              <w:left w:color="000000" w:space="0" w:sz="0" w:val="nil"/>
              <w:bottom w:color="7f7f7f"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E">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0"/>
          <w:trHeight w:val="28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30">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anos ou mais</w:t>
            </w:r>
          </w:p>
        </w:tc>
        <w:tc>
          <w:tcPr>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31">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32">
            <w:pPr>
              <w:spacing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r>
      <w:tr>
        <w:trPr>
          <w:cantSplit w:val="0"/>
          <w:trHeight w:val="555" w:hRule="atLeast"/>
          <w:tblHeader w:val="0"/>
        </w:trPr>
        <w:tc>
          <w:tcPr>
            <w:vMerge w:val="continue"/>
            <w:tcBorders>
              <w:top w:color="000000" w:space="0" w:sz="0" w:val="nil"/>
              <w:left w:color="000000" w:space="0" w:sz="0" w:val="nil"/>
              <w:bottom w:color="7f7f7f" w:space="0" w:sz="6" w:val="single"/>
              <w:right w:color="bfbfbf" w:space="0" w:sz="6" w:val="single"/>
            </w:tcBorders>
            <w:tcMar>
              <w:top w:w="0.0" w:type="dxa"/>
              <w:left w:w="100.0" w:type="dxa"/>
              <w:bottom w:w="0.0" w:type="dxa"/>
              <w:right w:w="100.0" w:type="dxa"/>
            </w:tcM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top"/>
          </w:tcPr>
          <w:p w:rsidR="00000000" w:rsidDel="00000000" w:rsidP="00000000" w:rsidRDefault="00000000" w:rsidRPr="00000000" w14:paraId="00000134">
            <w:pPr>
              <w:spacing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Idade média</w:t>
            </w:r>
          </w:p>
        </w:tc>
        <w:tc>
          <w:tcPr>
            <w:tcBorders>
              <w:top w:color="000000" w:space="0" w:sz="0" w:val="nil"/>
              <w:left w:color="000000" w:space="0" w:sz="0" w:val="nil"/>
              <w:bottom w:color="000000" w:space="0" w:sz="6" w:val="single"/>
              <w:right w:color="bfbfbf" w:space="0" w:sz="6" w:val="single"/>
            </w:tcBorders>
            <w:tcMar>
              <w:top w:w="0.0" w:type="dxa"/>
              <w:left w:w="100.0" w:type="dxa"/>
              <w:bottom w:w="0.0" w:type="dxa"/>
              <w:right w:w="100.0" w:type="dxa"/>
            </w:tcMar>
            <w:vAlign w:val="bottom"/>
          </w:tcPr>
          <w:p w:rsidR="00000000" w:rsidDel="00000000" w:rsidP="00000000" w:rsidRDefault="00000000" w:rsidRPr="00000000" w14:paraId="00000135">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40,86 anos</w:t>
            </w:r>
          </w:p>
        </w:tc>
        <w:tc>
          <w:tcPr>
            <w:tcBorders>
              <w:top w:color="7f7f7f" w:space="0" w:sz="6" w:val="single"/>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136">
            <w:pPr>
              <w:spacing w:before="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 anos</w:t>
            </w:r>
          </w:p>
        </w:tc>
      </w:tr>
    </w:tbl>
    <w:p w:rsidR="00000000" w:rsidDel="00000000" w:rsidP="00000000" w:rsidRDefault="00000000" w:rsidRPr="00000000" w14:paraId="00000137">
      <w:pPr>
        <w:keepLines w:val="1"/>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Fonte:</w:t>
      </w:r>
      <w:r w:rsidDel="00000000" w:rsidR="00000000" w:rsidRPr="00000000">
        <w:rPr>
          <w:rFonts w:ascii="Times New Roman" w:cs="Times New Roman" w:eastAsia="Times New Roman" w:hAnsi="Times New Roman"/>
          <w:sz w:val="20"/>
          <w:szCs w:val="20"/>
          <w:rtl w:val="0"/>
        </w:rPr>
        <w:t xml:space="preserve"> Elaborado pelos autores a partir dos dados secundários em análise no estudo</w:t>
      </w:r>
      <w:r w:rsidDel="00000000" w:rsidR="00000000" w:rsidRPr="00000000">
        <w:rPr>
          <w:rtl w:val="0"/>
        </w:rPr>
      </w:r>
    </w:p>
    <w:p w:rsidR="00000000" w:rsidDel="00000000" w:rsidP="00000000" w:rsidRDefault="00000000" w:rsidRPr="00000000" w14:paraId="00000138">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destaca-se que na pesquisa censo a porcentagem de mulheres é 6,2% maior que na Pesquisa pop rua psicossocial Tais dissonâncias entre os estudos podem ser relacionadas ao período de coleta de dados, pré e pós pandêmico, associados à diferença do tamanho da amostra entre as pesquisas, sendo o censo composto pelas respostas de 2.653 participantes e a pesquisa pop. rua com 236 respondentes. </w:t>
      </w:r>
    </w:p>
    <w:p w:rsidR="00000000" w:rsidDel="00000000" w:rsidP="00000000" w:rsidRDefault="00000000" w:rsidRPr="00000000" w14:paraId="00000139">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dimensão da faixa-etária, ambas as pesquisas se aproximam em seus resultados, apresentando diferença apenas na proporção de pessoas com 60 anos ou mais. Destaca-se que o grupo populacional em situação de rua em sua maioria são de pessoas com idade de 31 a 49 anos. </w:t>
      </w:r>
    </w:p>
    <w:p w:rsidR="00000000" w:rsidDel="00000000" w:rsidP="00000000" w:rsidRDefault="00000000" w:rsidRPr="00000000" w14:paraId="0000013A">
      <w:pPr>
        <w:spacing w:after="0" w:line="36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360" w:lineRule="auto"/>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Discussão</w:t>
      </w:r>
    </w:p>
    <w:p w:rsidR="00000000" w:rsidDel="00000000" w:rsidP="00000000" w:rsidRDefault="00000000" w:rsidRPr="00000000" w14:paraId="0000013C">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perfil migratório da população em situação de rua na cidade de Fortaleza se assemelha ao de outras capitais do país, como Recife e Belo Horizonte no que se refere aos deslocamentos dentro do próprio Estado. Ambas as cidades realizaram censos específicos para população em situação de rua em período próximo às pesquisas que fundamentam o presente artigo. Segundo</w:t>
      </w:r>
      <w:r w:rsidDel="00000000" w:rsidR="00000000" w:rsidRPr="00000000">
        <w:rPr>
          <w:rFonts w:ascii="Times New Roman" w:cs="Times New Roman" w:eastAsia="Times New Roman" w:hAnsi="Times New Roman"/>
          <w:sz w:val="24"/>
          <w:szCs w:val="24"/>
          <w:highlight w:val="white"/>
          <w:rtl w:val="0"/>
        </w:rPr>
        <w:t xml:space="preserve"> Miranda et al. (2023),</w:t>
      </w:r>
      <w:r w:rsidDel="00000000" w:rsidR="00000000" w:rsidRPr="00000000">
        <w:rPr>
          <w:rFonts w:ascii="Times New Roman" w:cs="Times New Roman" w:eastAsia="Times New Roman" w:hAnsi="Times New Roman"/>
          <w:sz w:val="24"/>
          <w:szCs w:val="24"/>
          <w:rtl w:val="0"/>
        </w:rPr>
        <w:t xml:space="preserve"> em pesquisa realizada no Recife, assim como Fortaleza é localizada na região nordeste, 52,4% sempre residiram na cidade. O relatório final da pesquisa censitária, descreve uma movimentação predominante das cidades do interior do estado para a capital,  apontando para uma migração de caráter regional, mas sem revelar o quantitativo de pernambucanos que se deslocaram para Recife. Já em Belo Horizonte, localizado no sudeste brasileiro, em resultado preliminar no 4º Censo realizado em 2022 revela que 76% das pessoas que vivem nas ruas da cidade são naturais de Minas Gerais e destes 41,5% da capital e 34,5% oriundos de outros municípios</w:t>
      </w:r>
      <w:r w:rsidDel="00000000" w:rsidR="00000000" w:rsidRPr="00000000">
        <w:rPr>
          <w:rFonts w:ascii="Times New Roman" w:cs="Times New Roman" w:eastAsia="Times New Roman" w:hAnsi="Times New Roman"/>
          <w:sz w:val="24"/>
          <w:szCs w:val="24"/>
          <w:highlight w:val="white"/>
          <w:rtl w:val="0"/>
        </w:rPr>
        <w:t xml:space="preserve"> (Belo Horizonte, 2023). Est</w:t>
      </w:r>
      <w:r w:rsidDel="00000000" w:rsidR="00000000" w:rsidRPr="00000000">
        <w:rPr>
          <w:rFonts w:ascii="Times New Roman" w:cs="Times New Roman" w:eastAsia="Times New Roman" w:hAnsi="Times New Roman"/>
          <w:sz w:val="24"/>
          <w:szCs w:val="24"/>
          <w:rtl w:val="0"/>
        </w:rPr>
        <w:t xml:space="preserve">e aspecto é importante para contrapor a ideia que essa população nos centros urbanos são formados quase que exclusivamente por pessoas que se deslocaram do campo para a cidade, ignorando a desigualdade que opera nas capitais brasileiras. </w:t>
      </w:r>
    </w:p>
    <w:p w:rsidR="00000000" w:rsidDel="00000000" w:rsidP="00000000" w:rsidRDefault="00000000" w:rsidRPr="00000000" w14:paraId="0000013D">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do Boletim Desigualdades nas Metrópoles publicados pelo Observatório das </w:t>
      </w:r>
      <w:r w:rsidDel="00000000" w:rsidR="00000000" w:rsidRPr="00000000">
        <w:rPr>
          <w:rFonts w:ascii="Times New Roman" w:cs="Times New Roman" w:eastAsia="Times New Roman" w:hAnsi="Times New Roman"/>
          <w:sz w:val="24"/>
          <w:szCs w:val="24"/>
          <w:highlight w:val="white"/>
          <w:rtl w:val="0"/>
        </w:rPr>
        <w:t xml:space="preserve">Metrópoles (Salata &amp; Ribeiro, 2022) a</w:t>
      </w:r>
      <w:r w:rsidDel="00000000" w:rsidR="00000000" w:rsidRPr="00000000">
        <w:rPr>
          <w:rFonts w:ascii="Times New Roman" w:cs="Times New Roman" w:eastAsia="Times New Roman" w:hAnsi="Times New Roman"/>
          <w:sz w:val="24"/>
          <w:szCs w:val="24"/>
          <w:rtl w:val="0"/>
        </w:rPr>
        <w:t xml:space="preserve"> respeito da renda domiciliar per capita evidenciou que Fortaleza permanece estática, a qual expõe que 38,2% da população geral subsiste na faixa da pobreza e 6,30% na extrema pobreza. Esses dados ainda indicam a acentuada distância entre classes, onde os 10% mais ricos ganham, em média, por volta de 16,6% vezes mais do que os 40% mais pobres. Os efeitos da má distribuição de renda escapam da dimensão monetária, traduzindo um cenário de acesso que produz uma deterioração de seu nível de bem-estar, em consequência de sua exposição a diferentes tipos de riscos, como de saúde e na seguridade social</w:t>
      </w:r>
      <w:r w:rsidDel="00000000" w:rsidR="00000000" w:rsidRPr="00000000">
        <w:rPr>
          <w:rFonts w:ascii="Times New Roman" w:cs="Times New Roman" w:eastAsia="Times New Roman" w:hAnsi="Times New Roman"/>
          <w:sz w:val="24"/>
          <w:szCs w:val="24"/>
          <w:highlight w:val="white"/>
          <w:rtl w:val="0"/>
        </w:rPr>
        <w:t xml:space="preserve">. Costa (2022) </w:t>
      </w:r>
      <w:r w:rsidDel="00000000" w:rsidR="00000000" w:rsidRPr="00000000">
        <w:rPr>
          <w:rFonts w:ascii="Times New Roman" w:cs="Times New Roman" w:eastAsia="Times New Roman" w:hAnsi="Times New Roman"/>
          <w:sz w:val="24"/>
          <w:szCs w:val="24"/>
          <w:rtl w:val="0"/>
        </w:rPr>
        <w:t xml:space="preserve">discute que o desemprego, a informalidade, a inflação e a diminuição de investimento nas políticas públicas de assistência social iniciadas em 2016, reverberou no número de pessoas em situação de extrema pobreza, e o consequente aumento do número de pessoas em situação de rua, de moradores de casas de estrutura precária em aglomerados subnormais, em loteamentos irregulares ou bairros sem infraestrutura e serviços urbanos na periferia de Fortaleza e na Região Metropolitana. </w:t>
      </w:r>
    </w:p>
    <w:p w:rsidR="00000000" w:rsidDel="00000000" w:rsidP="00000000" w:rsidRDefault="00000000" w:rsidRPr="00000000" w14:paraId="0000013E">
      <w:pPr>
        <w:spacing w:after="0" w:line="360" w:lineRule="auto"/>
        <w:ind w:firstLine="850.393700787401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Outro reflexo da desigualdade diz sobre os próprios deslocamentos da população em situação de rua de outras cidades do Ceará para a capital. Tais deslocamentos </w:t>
      </w:r>
      <w:r w:rsidDel="00000000" w:rsidR="00000000" w:rsidRPr="00000000">
        <w:rPr>
          <w:rFonts w:ascii="Times New Roman" w:cs="Times New Roman" w:eastAsia="Times New Roman" w:hAnsi="Times New Roman"/>
          <w:sz w:val="24"/>
          <w:szCs w:val="24"/>
          <w:highlight w:val="white"/>
          <w:rtl w:val="0"/>
        </w:rPr>
        <w:t xml:space="preserve">são possibilidades de tecer redes de suporte e de buscar modos de dar conta das necessidades que surgem no cotidiano (Câmara, 2019). De tal maneira que se torna mais viável encontrar meios de acolhimento, abrigo e de políticas públicas através desses percursos. No entanto, a necessidade de grandes e pequenos deslocamentos de territórios denuncia, em muitos casos, a pouca disponibilidade de políticas de assistência à população em situação de rua e que, por isso, se veem na condição de buscar ativamente meios de garantir seus direitos básicos para além do espaço que compreende sua localidade.</w:t>
      </w:r>
    </w:p>
    <w:p w:rsidR="00000000" w:rsidDel="00000000" w:rsidP="00000000" w:rsidRDefault="00000000" w:rsidRPr="00000000" w14:paraId="0000013F">
      <w:pPr>
        <w:spacing w:after="0" w:line="360" w:lineRule="auto"/>
        <w:ind w:firstLine="850.393700787401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necessidade de oferta de políticas destinadas ao segmento populacional que vive nas ruas deve considerar o tempo de vivência nessa condição. O prolongamento de permanência nas ruas tem efeitos de cronificação de doenças como o consumo de substâncias lícitas e ilícitas, efeitos na saúde mental (Panadero-Herrero; Muñoz-Lópes, 2014) e na recorrência de doenças como pneumonia,  tuberculose, problemas dermatológicos e lesões físicas consequências de brigas e outras violências (Brasil, 2009a). Além dos efeitos à saúde, há agravamento de dimensões que auxiliam no enfrentamento da extrema pobreza, como indica Esmeraldo Filho (2021), tais como possibilidade empregatícias, suporte social e familiar, além da auto culpabilização pela sua condição de vida. As implicações subjetivas incluem a dificuldade de se acostumar com a moradia fixa numa casa, preferindo a liberdade das ruas, a privacidade e a proteção da casa. Uma vez incorporadas às experiências de privação de direitos e experiências de violações diversas, a saída das ruas só é possível se a pessoa “tirar a rua do corpo” e isto não é meramente uma questão de escolha (Andrade et al., 2014). Tais fatores dialogam com os resultados das pesquisas utilizadas como base desse trabalho, em que ambas indicam uma parcela considerável de pessoas com mais de 5 anos vivendo nessas condições, o II Censo pop rua aponta 45,2% e a Pesq. pop rua psicossocial 33,5%. </w:t>
      </w:r>
    </w:p>
    <w:p w:rsidR="00000000" w:rsidDel="00000000" w:rsidP="00000000" w:rsidRDefault="00000000" w:rsidRPr="00000000" w14:paraId="00000140">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É possível inferir que quanto maior o tempo de permanência, mais se agrava as condições que contribuíram para a ida às ruas indicadas pelas pesquisas analisadas no presente trabalho, bem como na </w:t>
      </w:r>
      <w:r w:rsidDel="00000000" w:rsidR="00000000" w:rsidRPr="00000000">
        <w:rPr>
          <w:rFonts w:ascii="Times New Roman" w:cs="Times New Roman" w:eastAsia="Times New Roman" w:hAnsi="Times New Roman"/>
          <w:sz w:val="24"/>
          <w:szCs w:val="24"/>
          <w:rtl w:val="0"/>
        </w:rPr>
        <w:t xml:space="preserve">Pesquisa Nacional sobre a População em Situação de Rua (Brasil, 2009)</w:t>
      </w:r>
      <w:r w:rsidDel="00000000" w:rsidR="00000000" w:rsidRPr="00000000">
        <w:rPr>
          <w:rFonts w:ascii="Times New Roman" w:cs="Times New Roman" w:eastAsia="Times New Roman" w:hAnsi="Times New Roman"/>
          <w:sz w:val="24"/>
          <w:szCs w:val="24"/>
          <w:highlight w:val="white"/>
          <w:rtl w:val="0"/>
        </w:rPr>
        <w:t xml:space="preserve"> que são: conflitos familiares, uso de álcool e outras drogas e desemprego/perda de renda. Apesar dos respondentes dos referidos estudos indicarem o que identificam um principal motivador, não significa que o processo de passagem a vivência de rua se dê por um único fator. É necessário pensar em uma multicausalidade e na correlação entre os diferentes motivos. </w:t>
      </w:r>
      <w:r w:rsidDel="00000000" w:rsidR="00000000" w:rsidRPr="00000000">
        <w:rPr>
          <w:rtl w:val="0"/>
        </w:rPr>
      </w:r>
    </w:p>
    <w:p w:rsidR="00000000" w:rsidDel="00000000" w:rsidP="00000000" w:rsidRDefault="00000000" w:rsidRPr="00000000" w14:paraId="00000141">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uso abusivo das drogas é muitas vezes apresentado como anterior à situação de rua e também como causador da ida às ruas e de perdas significativas na vida das pessoas,  principalmente de oportunidades de emprego e de relações familiares, bem como responsável pela aproximação progressiva com o viver nas ruas. Segundo </w:t>
      </w:r>
      <w:r w:rsidDel="00000000" w:rsidR="00000000" w:rsidRPr="00000000">
        <w:rPr>
          <w:rFonts w:ascii="Times New Roman" w:cs="Times New Roman" w:eastAsia="Times New Roman" w:hAnsi="Times New Roman"/>
          <w:sz w:val="24"/>
          <w:szCs w:val="24"/>
          <w:highlight w:val="white"/>
          <w:rtl w:val="0"/>
        </w:rPr>
        <w:t xml:space="preserve">Mendes et al. (2019),</w:t>
      </w:r>
      <w:r w:rsidDel="00000000" w:rsidR="00000000" w:rsidRPr="00000000">
        <w:rPr>
          <w:rFonts w:ascii="Times New Roman" w:cs="Times New Roman" w:eastAsia="Times New Roman" w:hAnsi="Times New Roman"/>
          <w:sz w:val="24"/>
          <w:szCs w:val="24"/>
          <w:rtl w:val="0"/>
        </w:rPr>
        <w:t xml:space="preserve"> os usos e abusos de momentos de “recaídas” costumam estar associados também a um conjunto de faltas e vulnerabilidades, como a falta de emprego, as dificuldades de acessar serviços públicos, a incapacidade de resolução de problemas e as vulnerabilidades de classe, étnico raciais e de gênero. Já a ruptura com o mundo formal de trabalho corrobora com a fragilização dos laços familiares e com a fragilização da própria identidade dos sujeitos, tamanho é valor social dado ao trabal</w:t>
      </w:r>
      <w:r w:rsidDel="00000000" w:rsidR="00000000" w:rsidRPr="00000000">
        <w:rPr>
          <w:rFonts w:ascii="Times New Roman" w:cs="Times New Roman" w:eastAsia="Times New Roman" w:hAnsi="Times New Roman"/>
          <w:sz w:val="24"/>
          <w:szCs w:val="24"/>
          <w:highlight w:val="white"/>
          <w:rtl w:val="0"/>
        </w:rPr>
        <w:t xml:space="preserve">ho (Mendes et al., 2019). Ademais, os conflitos familiares, como apontam Barata et al. (2015) s</w:t>
      </w:r>
      <w:r w:rsidDel="00000000" w:rsidR="00000000" w:rsidRPr="00000000">
        <w:rPr>
          <w:rFonts w:ascii="Times New Roman" w:cs="Times New Roman" w:eastAsia="Times New Roman" w:hAnsi="Times New Roman"/>
          <w:sz w:val="24"/>
          <w:szCs w:val="24"/>
          <w:rtl w:val="0"/>
        </w:rPr>
        <w:t xml:space="preserve">ão caracterizados pela ausência de família ou os problemas relacionados a desavenças, violência, desemprego, consumo de drogas e as condições financeiras. </w:t>
      </w:r>
    </w:p>
    <w:p w:rsidR="00000000" w:rsidDel="00000000" w:rsidP="00000000" w:rsidRDefault="00000000" w:rsidRPr="00000000" w14:paraId="00000142">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do cálculo perverso da desigualdade, a partir dos resultados encontrados nas análises realizadas pelas autoras neste trabalho, há uma maior vulnerabilidade de mulheres frente aos conflitos familiares e, por consequência, aos fatores associados. Uma possível análise é a vulnerabilidade d</w:t>
      </w:r>
      <w:r w:rsidDel="00000000" w:rsidR="00000000" w:rsidRPr="00000000">
        <w:rPr>
          <w:rFonts w:ascii="Times New Roman" w:cs="Times New Roman" w:eastAsia="Times New Roman" w:hAnsi="Times New Roman"/>
          <w:sz w:val="24"/>
          <w:szCs w:val="24"/>
          <w:highlight w:val="white"/>
          <w:rtl w:val="0"/>
        </w:rPr>
        <w:t xml:space="preserve">e mulheres frente à pobreza.</w:t>
      </w:r>
      <w:r w:rsidDel="00000000" w:rsidR="00000000" w:rsidRPr="00000000">
        <w:rPr>
          <w:rFonts w:ascii="Times New Roman" w:cs="Times New Roman" w:eastAsia="Times New Roman" w:hAnsi="Times New Roman"/>
          <w:sz w:val="24"/>
          <w:szCs w:val="24"/>
          <w:rtl w:val="0"/>
        </w:rPr>
        <w:t xml:space="preserve"> Muitas destas ao vivenciarem mudanças na dinâmica familiar, viuvez, separações, se encontram vulneráveis financeiramente, pois dependiam de seus parceiros para seu sustento (Macedo, 2008). Mesmo vivendo com condições semelhantes de sobrevivência, o somatório do trabalho doméstico, cuidado com os filhos, e às vezes de idosos, que  não é remunerado, por vezes interferindo nas oportunidades formativas, de trabalho e renda de mulheres, afeta suas possibilidades de enfrentamento à pobreza (Biroli, 2018).</w:t>
      </w:r>
    </w:p>
    <w:p w:rsidR="00000000" w:rsidDel="00000000" w:rsidP="00000000" w:rsidRDefault="00000000" w:rsidRPr="00000000" w14:paraId="00000143">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caminho, podemos considerar as questões acerca da</w:t>
      </w:r>
      <w:r w:rsidDel="00000000" w:rsidR="00000000" w:rsidRPr="00000000">
        <w:rPr>
          <w:rFonts w:ascii="Times New Roman" w:cs="Times New Roman" w:eastAsia="Times New Roman" w:hAnsi="Times New Roman"/>
          <w:sz w:val="24"/>
          <w:szCs w:val="24"/>
          <w:highlight w:val="white"/>
          <w:rtl w:val="0"/>
        </w:rPr>
        <w:t xml:space="preserve"> desigualdade de gênero </w:t>
      </w:r>
      <w:r w:rsidDel="00000000" w:rsidR="00000000" w:rsidRPr="00000000">
        <w:rPr>
          <w:rFonts w:ascii="Times New Roman" w:cs="Times New Roman" w:eastAsia="Times New Roman" w:hAnsi="Times New Roman"/>
          <w:sz w:val="24"/>
          <w:szCs w:val="24"/>
          <w:rtl w:val="0"/>
        </w:rPr>
        <w:t xml:space="preserve">existentes nas PSR, mesmo apontando que elas não são profundamente expressivas, muito em função da maioria de homens nas ruas em relação à quantidade de mulheres. Contudo, podemos indicar que esta desigualdade opera nos meios de entrada na rua distinta aos diferentes sujeit</w:t>
      </w:r>
      <w:r w:rsidDel="00000000" w:rsidR="00000000" w:rsidRPr="00000000">
        <w:rPr>
          <w:rFonts w:ascii="Times New Roman" w:cs="Times New Roman" w:eastAsia="Times New Roman" w:hAnsi="Times New Roman"/>
          <w:sz w:val="24"/>
          <w:szCs w:val="24"/>
          <w:highlight w:val="white"/>
          <w:rtl w:val="0"/>
        </w:rPr>
        <w:t xml:space="preserve">os, e na possibilidade de sobrevivência e superação dessa condição. Estudos como o de Rosa e Brêtas (2015), Câmara (2019) e Richwin e Zanello (2023) a</w:t>
      </w:r>
      <w:r w:rsidDel="00000000" w:rsidR="00000000" w:rsidRPr="00000000">
        <w:rPr>
          <w:rFonts w:ascii="Times New Roman" w:cs="Times New Roman" w:eastAsia="Times New Roman" w:hAnsi="Times New Roman"/>
          <w:sz w:val="24"/>
          <w:szCs w:val="24"/>
          <w:rtl w:val="0"/>
        </w:rPr>
        <w:t xml:space="preserve">pontam poucos estudos em níveis locais e nacionais sobre mulheres que vivem nas ruas e a escassez de políticas públicas voltadas ao público feminino; além de demonstrar as múltiplas violências anteriores à ida para as ruas vivenciadas por mulheres e que se perpetuam no espaço público. A violência surge desde a infância com a precocidade com que a divisão sexual do trabalho e do cuidado, a experiência de viver em ambiente atravessado pela violência doméstica (Richwin &amp; Zanello, 2023), passando por se tornar alvo de agressões diversas perpetradas por figuras essencialmente masculinas, como pai, irmão e companheiro (Câmara, 2019). Segundo Rosa e Brêtas (2015), a violência foi responsável por motivar a ruptura de relações sociais e favorecer o processo de ida para as ruas, visto que para algumas das mulheres a única forma de manter-se distante das violências sofridas no universo doméstico foi encontrada no ambiente das ruas.</w:t>
      </w:r>
    </w:p>
    <w:p w:rsidR="00000000" w:rsidDel="00000000" w:rsidP="00000000" w:rsidRDefault="00000000" w:rsidRPr="00000000" w14:paraId="00000144">
      <w:pPr>
        <w:spacing w:after="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fuga do ambiente doméstico não interrompe o ciclo de agressões, uma vez que o cotidiano das ruas mostra-se corroído por violências explícitas. Segundo os dados apontados pel</w:t>
      </w:r>
      <w:r w:rsidDel="00000000" w:rsidR="00000000" w:rsidRPr="00000000">
        <w:rPr>
          <w:rFonts w:ascii="Times New Roman" w:cs="Times New Roman" w:eastAsia="Times New Roman" w:hAnsi="Times New Roman"/>
          <w:sz w:val="24"/>
          <w:szCs w:val="24"/>
          <w:highlight w:val="white"/>
          <w:rtl w:val="0"/>
        </w:rPr>
        <w:t xml:space="preserve">o II Censo pop rua </w:t>
      </w:r>
      <w:r w:rsidDel="00000000" w:rsidR="00000000" w:rsidRPr="00000000">
        <w:rPr>
          <w:rFonts w:ascii="Times New Roman" w:cs="Times New Roman" w:eastAsia="Times New Roman" w:hAnsi="Times New Roman"/>
          <w:sz w:val="24"/>
          <w:szCs w:val="24"/>
          <w:rtl w:val="0"/>
        </w:rPr>
        <w:t xml:space="preserve">(Fortaleza, 2021), as violências mais recorrentes dirigidas à população feminina são: humilhações (46,6%), espancamentos (44,7%), insultos e xingamentos (40,8%), ameaças (38,8%) e abuso sexual (20,4%). O percentual da população do sexo feminino se aproxima à média geral, sendo ligeiramente melhor, com exceção do abuso sexual, que é quatro vezes superior em relação aos valores para o sexo masculino (5,4%).</w:t>
      </w:r>
    </w:p>
    <w:p w:rsidR="00000000" w:rsidDel="00000000" w:rsidP="00000000" w:rsidRDefault="00000000" w:rsidRPr="00000000" w14:paraId="00000145">
      <w:pPr>
        <w:spacing w:after="0" w:line="360" w:lineRule="auto"/>
        <w:ind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maior vitimização sexual atravessa o cotidiano de muitas mulheres que estão em situação de rua, como relatam Richwin e Zanello (2023) e Câmara (2019) em seus respectivos estudos. Em busca de proteção, mulheres se vinculam a um parceiro para que não sejam importunadas, por vezes permutando sexo por proteção. Portanto, no contexto da vida em situação de rua, muitas mulheres precisam submeter-se a situações de violência como estratégia de sobrevivência. Além do paradoxo da violência-proteção, também ocorrem situações de exploração e trabalho sexual, em que muitas mulheres são enredadas precocemente. Dessa forma,  a violência é elemento intrínseco, transversal e determinante nas vidas das mulheres em situação de rua.</w:t>
      </w:r>
      <w:r w:rsidDel="00000000" w:rsidR="00000000" w:rsidRPr="00000000">
        <w:rPr>
          <w:rtl w:val="0"/>
        </w:rPr>
      </w:r>
    </w:p>
    <w:p w:rsidR="00000000" w:rsidDel="00000000" w:rsidP="00000000" w:rsidRDefault="00000000" w:rsidRPr="00000000" w14:paraId="00000146">
      <w:pPr>
        <w:spacing w:after="0"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148">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apontam que os perfis identificados no II Censo pop rua e na  Pesq. pop rua psicossocial, embora possuam um intervalo de tempo significativo, tendo em vista que um ocorreu antes e o outro após o período pandêmico, apresentam questões comuns, especialmente nos motivos que levam as pessoas às condições em situação de rua. Isso nos parece representar uma chave de análise, que revela que em meio ao contexto da pobreza extrema, os determinantes psicossociais que fomentam esse cenário são estáveis ao longo do tempo e das crises emergenciais vividas. Dessa forma, é possível considerar que a superação ou enfrentamento destes determinantes é peça chave para a mitigação da pobreza extrema e da própria situação de rua. </w:t>
      </w:r>
    </w:p>
    <w:p w:rsidR="00000000" w:rsidDel="00000000" w:rsidP="00000000" w:rsidRDefault="00000000" w:rsidRPr="00000000" w14:paraId="00000149">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questão considerada nos nossos achados é a pluralidade das Pessoas em Situação de Rua. Comumente o senso comum carrega estereótipos que buscam generalizar esta população, os colocando como seres à margem e justificando sua posição na rua, como uma escolha e/ou falta de mobilização para uma vida fora das ruas. Contudo, o que observamos é que existe uma complexidade de motivos ou razões para que os sujeitos se encontrem em situação de rua. Assim, como muitas barreiras que têm dificultado a superação de tal condição. A pandemia é uma destas barreiras, que acirrou profundamente as desigualdades sociais, tornando àqueles e àquelas que já se encontravam em vulnerabilidade ainda mais vulneráveis. De tal forma, as estratégias de resistência à vida nas ruas são complexas e exigem mobilização, criatividade, apoio social e atuação veemente de políticas públicas que possam dar suporte a estes sujeitos que necessitam não apenas de um teto, mas de condições justas de sobrevida. Isso envolve a adoção de uma sequência de medidas, dentre elas o acesso à moradia, à seguridade social, ao trabalho e renda, à educação, dentre outros que possibilitem a estes sujeitos uma mudança social. </w:t>
      </w:r>
    </w:p>
    <w:p w:rsidR="00000000" w:rsidDel="00000000" w:rsidP="00000000" w:rsidRDefault="00000000" w:rsidRPr="00000000" w14:paraId="0000014A">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também se apontou como importante buscar outras amostras que possuam mais mulheres em situação de rua para uma análise mais aprofundada dos atravessamentos de gênero imbuídos da condição de rua. É notório que a situação de rua se torna ainda mais agravada às mulheres. Embora, que estas sejam numericamente minoria no contexto de rua. Assim, fortalecer políticas de enfrentamento e/ou mitigação das condições de vulnerabilidades que podem levar a situação de rua é um ponto relevante, além de reconhecer nessas políticas ou estratégias a perspectiva de gênero como balizadora para estas medidas. </w:t>
      </w:r>
    </w:p>
    <w:p w:rsidR="00000000" w:rsidDel="00000000" w:rsidP="00000000" w:rsidRDefault="00000000" w:rsidRPr="00000000" w14:paraId="0000014B">
      <w:pPr>
        <w:spacing w:after="0" w:line="360" w:lineRule="auto"/>
        <w:ind w:lef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limitações do estudo apontamos algumas divergências entre os dados, que impossibilitam comparações mais diretas entre as duas amostras. Como também, a ausência de dados que discutam o perfil de famílias e de crianças em situação de rua. Embora, que saibamos, pelas experiências práticas e pelas discussões que vêm se levantando nos espaços políticos e institucionais, do aumento de famílias em situação de rua, os dados quantitativos não deixam em evidência essa questão, porque por mais que famílias tenham sido entrevistadas, as perguntas foram feitas individualmente, considerando cada sujeito em questão. E tiveram como recorte sujeitos com 18 anos ou mais. Portanto, novos estudos podem explorar mais profundamente tais recortes. </w:t>
      </w:r>
    </w:p>
    <w:p w:rsidR="00000000" w:rsidDel="00000000" w:rsidP="00000000" w:rsidRDefault="00000000" w:rsidRPr="00000000" w14:paraId="0000014C">
      <w:pPr>
        <w:spacing w:after="0"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after="0"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Agradecimentos</w:t>
      </w:r>
    </w:p>
    <w:p w:rsidR="00000000" w:rsidDel="00000000" w:rsidP="00000000" w:rsidRDefault="00000000" w:rsidRPr="00000000" w14:paraId="0000014E">
      <w:pPr>
        <w:spacing w:after="0" w:line="360" w:lineRule="auto"/>
        <w:ind w:left="0"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Agradecemos aos membros do Núcleo de Psicologia Comunitária que tem atuado veemente em defesa dos direitos do Povo de Rua em articulação com os movimentos sociais, o que possibilitou a construção das reflexões apresentadas no artigo. Como também, agradecemos ao Conselho Nacional de Desenvolvimento Científico e Tecnológico (CNPq) que financiou a realização desta pesquisa. </w:t>
      </w:r>
      <w:r w:rsidDel="00000000" w:rsidR="00000000" w:rsidRPr="00000000">
        <w:rPr>
          <w:rtl w:val="0"/>
        </w:rPr>
      </w:r>
    </w:p>
    <w:p w:rsidR="00000000" w:rsidDel="00000000" w:rsidP="00000000" w:rsidRDefault="00000000" w:rsidRPr="00000000" w14:paraId="0000014F">
      <w:pPr>
        <w:spacing w:after="200" w:line="240" w:lineRule="auto"/>
        <w:ind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5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Andrade, L. P., Costa, S. L., &amp; Marquetti, F. C. (2014). A rua tem um ímã, acho que é a liberdade: potência, sofrimento e estratégias de vida entre moradores de rua na cidade de Santos, no litoral do Estado de São Paulo. </w:t>
      </w:r>
      <w:r w:rsidDel="00000000" w:rsidR="00000000" w:rsidRPr="00000000">
        <w:rPr>
          <w:rFonts w:ascii="Times New Roman" w:cs="Times New Roman" w:eastAsia="Times New Roman" w:hAnsi="Times New Roman"/>
          <w:i w:val="1"/>
          <w:sz w:val="24"/>
          <w:szCs w:val="24"/>
          <w:highlight w:val="white"/>
          <w:rtl w:val="0"/>
        </w:rPr>
        <w:t xml:space="preserve">Saúde E Sociedade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23</w:t>
      </w:r>
      <w:r w:rsidDel="00000000" w:rsidR="00000000" w:rsidRPr="00000000">
        <w:rPr>
          <w:rFonts w:ascii="Times New Roman" w:cs="Times New Roman" w:eastAsia="Times New Roman" w:hAnsi="Times New Roman"/>
          <w:sz w:val="24"/>
          <w:szCs w:val="24"/>
          <w:highlight w:val="white"/>
          <w:rtl w:val="0"/>
        </w:rPr>
        <w:t xml:space="preserve">(4), 1248–1261.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https://doi.org/10.1590/S0104-12902014000400011</w:t>
        </w:r>
      </w:hyperlink>
      <w:r w:rsidDel="00000000" w:rsidR="00000000" w:rsidRPr="00000000">
        <w:rPr>
          <w:rtl w:val="0"/>
        </w:rPr>
      </w:r>
    </w:p>
    <w:p w:rsidR="00000000" w:rsidDel="00000000" w:rsidP="00000000" w:rsidRDefault="00000000" w:rsidRPr="00000000" w14:paraId="00000153">
      <w:pPr>
        <w:spacing w:after="160" w:line="360" w:lineRule="auto"/>
        <w:ind w:left="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Barata, R. B., Carneiro Junior, N., Ribeiro, M. C. S. de A., Silveira, C., &amp; .. (2015). Desigualdade social em saúde na população em situação de rua na cidade de São Paulo. </w:t>
      </w:r>
      <w:r w:rsidDel="00000000" w:rsidR="00000000" w:rsidRPr="00000000">
        <w:rPr>
          <w:rFonts w:ascii="Times New Roman" w:cs="Times New Roman" w:eastAsia="Times New Roman" w:hAnsi="Times New Roman"/>
          <w:i w:val="1"/>
          <w:sz w:val="24"/>
          <w:szCs w:val="24"/>
          <w:highlight w:val="white"/>
          <w:rtl w:val="0"/>
        </w:rPr>
        <w:t xml:space="preserve">Saúde E Sociedade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24</w:t>
      </w:r>
      <w:r w:rsidDel="00000000" w:rsidR="00000000" w:rsidRPr="00000000">
        <w:rPr>
          <w:rFonts w:ascii="Times New Roman" w:cs="Times New Roman" w:eastAsia="Times New Roman" w:hAnsi="Times New Roman"/>
          <w:sz w:val="24"/>
          <w:szCs w:val="24"/>
          <w:highlight w:val="white"/>
          <w:rtl w:val="0"/>
        </w:rPr>
        <w:t xml:space="preserve">, 219–232.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https://doi.org/10.1590/S0104-12902015S01019</w:t>
        </w:r>
      </w:hyperlink>
      <w:r w:rsidDel="00000000" w:rsidR="00000000" w:rsidRPr="00000000">
        <w:rPr>
          <w:rFonts w:ascii="Times New Roman" w:cs="Times New Roman" w:eastAsia="Times New Roman" w:hAnsi="Times New Roman"/>
          <w:color w:val="1c4587"/>
          <w:sz w:val="24"/>
          <w:szCs w:val="24"/>
          <w:highlight w:val="white"/>
          <w:rtl w:val="0"/>
        </w:rPr>
        <w:t xml:space="preserve">.</w:t>
      </w:r>
      <w:r w:rsidDel="00000000" w:rsidR="00000000" w:rsidRPr="00000000">
        <w:rPr>
          <w:rtl w:val="0"/>
        </w:rPr>
      </w:r>
    </w:p>
    <w:p w:rsidR="00000000" w:rsidDel="00000000" w:rsidP="00000000" w:rsidRDefault="00000000" w:rsidRPr="00000000" w14:paraId="00000154">
      <w:pPr>
        <w:spacing w:after="0" w:line="360" w:lineRule="auto"/>
        <w:ind w:left="708.6614173228347" w:hanging="708.6614173228347"/>
        <w:rPr>
          <w:rFonts w:ascii="Times New Roman" w:cs="Times New Roman" w:eastAsia="Times New Roman" w:hAnsi="Times New Roman"/>
          <w:sz w:val="24"/>
          <w:szCs w:val="24"/>
          <w:highlight w:val="white"/>
        </w:rPr>
      </w:pPr>
      <w:hyperlink r:id="rId10">
        <w:r w:rsidDel="00000000" w:rsidR="00000000" w:rsidRPr="00000000">
          <w:rPr>
            <w:rFonts w:ascii="Times New Roman" w:cs="Times New Roman" w:eastAsia="Times New Roman" w:hAnsi="Times New Roman"/>
            <w:sz w:val="24"/>
            <w:szCs w:val="24"/>
            <w:rtl w:val="0"/>
          </w:rPr>
          <w:t xml:space="preserve">Barbosa, V. N.M</w:t>
        </w:r>
      </w:hyperlink>
      <w:r w:rsidDel="00000000" w:rsidR="00000000" w:rsidRPr="00000000">
        <w:rPr>
          <w:rFonts w:ascii="Times New Roman" w:cs="Times New Roman" w:eastAsia="Times New Roman" w:hAnsi="Times New Roman"/>
          <w:sz w:val="24"/>
          <w:szCs w:val="24"/>
          <w:rtl w:val="0"/>
        </w:rPr>
        <w:t xml:space="preserve">.; Moura Júnior, J. F., &amp; Sousa, R.S. (2023). Análises sobre a percepção das causas da pobreza a partir das pessoas que vivem a pobreza e da elite local. </w:t>
      </w:r>
      <w:r w:rsidDel="00000000" w:rsidR="00000000" w:rsidRPr="00000000">
        <w:rPr>
          <w:rFonts w:ascii="Times New Roman" w:cs="Times New Roman" w:eastAsia="Times New Roman" w:hAnsi="Times New Roman"/>
          <w:i w:val="1"/>
          <w:sz w:val="24"/>
          <w:szCs w:val="24"/>
          <w:rtl w:val="0"/>
        </w:rPr>
        <w:t xml:space="preserve">Revista Interdisciplinar Encontro das Ciências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RIEC</w:t>
      </w:r>
      <w:r w:rsidDel="00000000" w:rsidR="00000000" w:rsidRPr="00000000">
        <w:rPr>
          <w:rFonts w:ascii="Times New Roman" w:cs="Times New Roman" w:eastAsia="Times New Roman" w:hAnsi="Times New Roman"/>
          <w:sz w:val="24"/>
          <w:szCs w:val="24"/>
          <w:rtl w:val="0"/>
        </w:rPr>
        <w:t xml:space="preserve">, v. 6(1) 135-152. </w:t>
      </w:r>
      <w:hyperlink r:id="rId11">
        <w:r w:rsidDel="00000000" w:rsidR="00000000" w:rsidRPr="00000000">
          <w:rPr>
            <w:rFonts w:ascii="Times New Roman" w:cs="Times New Roman" w:eastAsia="Times New Roman" w:hAnsi="Times New Roman"/>
            <w:color w:val="006798"/>
            <w:sz w:val="24"/>
            <w:szCs w:val="24"/>
            <w:highlight w:val="white"/>
            <w:u w:val="single"/>
            <w:rtl w:val="0"/>
          </w:rPr>
          <w:t xml:space="preserve">https://doi.org/10.1000/riec.v6i2.318</w:t>
        </w:r>
      </w:hyperlink>
      <w:r w:rsidDel="00000000" w:rsidR="00000000" w:rsidRPr="00000000">
        <w:rPr>
          <w:rtl w:val="0"/>
        </w:rPr>
      </w:r>
    </w:p>
    <w:p w:rsidR="00000000" w:rsidDel="00000000" w:rsidP="00000000" w:rsidRDefault="00000000" w:rsidRPr="00000000" w14:paraId="00000155">
      <w:pPr>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Biscotto, P.  R., Jesus, M. C. P., Silva, M. H., Oliveira, D. M., &amp; Merighi, M. A. B. (2016). Compreensão da vivência de mulheres em situação de rua. </w:t>
      </w:r>
      <w:r w:rsidDel="00000000" w:rsidR="00000000" w:rsidRPr="00000000">
        <w:rPr>
          <w:rFonts w:ascii="Times New Roman" w:cs="Times New Roman" w:eastAsia="Times New Roman" w:hAnsi="Times New Roman"/>
          <w:i w:val="1"/>
          <w:sz w:val="24"/>
          <w:szCs w:val="24"/>
          <w:highlight w:val="white"/>
          <w:rtl w:val="0"/>
        </w:rPr>
        <w:t xml:space="preserve">Revista da Escola de Enfermagem da USP</w:t>
      </w:r>
      <w:r w:rsidDel="00000000" w:rsidR="00000000" w:rsidRPr="00000000">
        <w:rPr>
          <w:rFonts w:ascii="Times New Roman" w:cs="Times New Roman" w:eastAsia="Times New Roman" w:hAnsi="Times New Roman"/>
          <w:sz w:val="24"/>
          <w:szCs w:val="24"/>
          <w:highlight w:val="white"/>
          <w:rtl w:val="0"/>
        </w:rPr>
        <w:t xml:space="preserve">, 50 (5), 750-756.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https://doi.org/10.1590/s0080-623420160000600006</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56">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Belo Horizonte. (2023). </w:t>
      </w:r>
      <w:r w:rsidDel="00000000" w:rsidR="00000000" w:rsidRPr="00000000">
        <w:rPr>
          <w:rFonts w:ascii="Times New Roman" w:cs="Times New Roman" w:eastAsia="Times New Roman" w:hAnsi="Times New Roman"/>
          <w:i w:val="1"/>
          <w:sz w:val="24"/>
          <w:szCs w:val="24"/>
          <w:highlight w:val="white"/>
          <w:rtl w:val="0"/>
        </w:rPr>
        <w:t xml:space="preserve">Prefeitura de Belo Horizonte e UFMG apresentam resultados preliminares do Censo da população de rua de BH.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Recuperado em 20 de maio de 2024, de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https://prefeitura.pbh.gov.br/noticias/pbh-e-ufmg-apresentam-resultados-preliminares-do-censo-da-populacao-de-rua-de-bh</w:t>
        </w:r>
      </w:hyperlink>
      <w:r w:rsidDel="00000000" w:rsidR="00000000" w:rsidRPr="00000000">
        <w:rPr>
          <w:rtl w:val="0"/>
        </w:rPr>
      </w:r>
    </w:p>
    <w:p w:rsidR="00000000" w:rsidDel="00000000" w:rsidP="00000000" w:rsidRDefault="00000000" w:rsidRPr="00000000" w14:paraId="00000157">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Biroli, F.(2018). </w:t>
      </w:r>
      <w:r w:rsidDel="00000000" w:rsidR="00000000" w:rsidRPr="00000000">
        <w:rPr>
          <w:rFonts w:ascii="Times New Roman" w:cs="Times New Roman" w:eastAsia="Times New Roman" w:hAnsi="Times New Roman"/>
          <w:i w:val="1"/>
          <w:sz w:val="24"/>
          <w:szCs w:val="24"/>
          <w:highlight w:val="white"/>
          <w:rtl w:val="0"/>
        </w:rPr>
        <w:t xml:space="preserve">Gênero e desigualdades: limites da democracia no Brasil </w:t>
      </w:r>
      <w:r w:rsidDel="00000000" w:rsidR="00000000" w:rsidRPr="00000000">
        <w:rPr>
          <w:rFonts w:ascii="Times New Roman" w:cs="Times New Roman" w:eastAsia="Times New Roman" w:hAnsi="Times New Roman"/>
          <w:sz w:val="24"/>
          <w:szCs w:val="24"/>
          <w:highlight w:val="white"/>
          <w:rtl w:val="0"/>
        </w:rPr>
        <w:t xml:space="preserve">(1a ed.)</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São Paulo: Boitempo Editorial.</w:t>
      </w:r>
    </w:p>
    <w:p w:rsidR="00000000" w:rsidDel="00000000" w:rsidP="00000000" w:rsidRDefault="00000000" w:rsidRPr="00000000" w14:paraId="00000158">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shd w:fill="ead1dc" w:val="clear"/>
        </w:rPr>
      </w:pPr>
      <w:r w:rsidDel="00000000" w:rsidR="00000000" w:rsidRPr="00000000">
        <w:rPr>
          <w:rFonts w:ascii="Times New Roman" w:cs="Times New Roman" w:eastAsia="Times New Roman" w:hAnsi="Times New Roman"/>
          <w:sz w:val="24"/>
          <w:szCs w:val="24"/>
          <w:highlight w:val="white"/>
          <w:rtl w:val="0"/>
        </w:rPr>
        <w:t xml:space="preserve">Brasil (2009a). </w:t>
      </w:r>
      <w:r w:rsidDel="00000000" w:rsidR="00000000" w:rsidRPr="00000000">
        <w:rPr>
          <w:rFonts w:ascii="Times New Roman" w:cs="Times New Roman" w:eastAsia="Times New Roman" w:hAnsi="Times New Roman"/>
          <w:i w:val="1"/>
          <w:sz w:val="24"/>
          <w:szCs w:val="24"/>
          <w:highlight w:val="white"/>
          <w:rtl w:val="0"/>
        </w:rPr>
        <w:t xml:space="preserve">Decreto nº 7.053 de 23 de dezembro de 2009</w:t>
      </w:r>
      <w:r w:rsidDel="00000000" w:rsidR="00000000" w:rsidRPr="00000000">
        <w:rPr>
          <w:rFonts w:ascii="Times New Roman" w:cs="Times New Roman" w:eastAsia="Times New Roman" w:hAnsi="Times New Roman"/>
          <w:sz w:val="24"/>
          <w:szCs w:val="24"/>
          <w:highlight w:val="white"/>
          <w:rtl w:val="0"/>
        </w:rPr>
        <w:t xml:space="preserve">. Institui a Política Nacional para a População em Situação de Rua e seu Comitê Intersetorial de Acompanhamento e Monitoramento, e dá outras providências</w:t>
      </w:r>
      <w:r w:rsidDel="00000000" w:rsidR="00000000" w:rsidRPr="00000000">
        <w:rPr>
          <w:rFonts w:ascii="Times New Roman" w:cs="Times New Roman" w:eastAsia="Times New Roman" w:hAnsi="Times New Roman"/>
          <w:i w:val="1"/>
          <w:sz w:val="24"/>
          <w:szCs w:val="24"/>
          <w:highlight w:val="white"/>
          <w:rtl w:val="0"/>
        </w:rPr>
        <w:t xml:space="preserve">.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https://www.planalto.gov.br/ccivil_03/_ato2007-2010/2009/decreto/d7053.htm</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59">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Brasil (2009b).</w:t>
      </w:r>
      <w:r w:rsidDel="00000000" w:rsidR="00000000" w:rsidRPr="00000000">
        <w:rPr>
          <w:rFonts w:ascii="Times New Roman" w:cs="Times New Roman" w:eastAsia="Times New Roman" w:hAnsi="Times New Roman"/>
          <w:i w:val="1"/>
          <w:sz w:val="24"/>
          <w:szCs w:val="24"/>
          <w:highlight w:val="white"/>
          <w:rtl w:val="0"/>
        </w:rPr>
        <w:t xml:space="preserve"> Rua: aprendendo a contar. Pesquisa Nacional sobre a População em Situação de Rua</w:t>
      </w:r>
      <w:r w:rsidDel="00000000" w:rsidR="00000000" w:rsidRPr="00000000">
        <w:rPr>
          <w:rFonts w:ascii="Times New Roman" w:cs="Times New Roman" w:eastAsia="Times New Roman" w:hAnsi="Times New Roman"/>
          <w:sz w:val="24"/>
          <w:szCs w:val="24"/>
          <w:highlight w:val="white"/>
          <w:rtl w:val="0"/>
        </w:rPr>
        <w:t xml:space="preserve">. Brasília: Secretaria de Avaliação e Gestão de Informações, Secretaria Nacional de Assistência Social.</w:t>
      </w:r>
    </w:p>
    <w:p w:rsidR="00000000" w:rsidDel="00000000" w:rsidP="00000000" w:rsidRDefault="00000000" w:rsidRPr="00000000" w14:paraId="0000015A">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Câmara, A. E. (2019). </w:t>
      </w:r>
      <w:r w:rsidDel="00000000" w:rsidR="00000000" w:rsidRPr="00000000">
        <w:rPr>
          <w:rFonts w:ascii="Times New Roman" w:cs="Times New Roman" w:eastAsia="Times New Roman" w:hAnsi="Times New Roman"/>
          <w:i w:val="1"/>
          <w:sz w:val="24"/>
          <w:szCs w:val="24"/>
          <w:highlight w:val="white"/>
          <w:rtl w:val="0"/>
        </w:rPr>
        <w:t xml:space="preserve">Os modos de vida de mulheres em situação de rua em Maracanaú</w:t>
      </w:r>
      <w:r w:rsidDel="00000000" w:rsidR="00000000" w:rsidRPr="00000000">
        <w:rPr>
          <w:rFonts w:ascii="Times New Roman" w:cs="Times New Roman" w:eastAsia="Times New Roman" w:hAnsi="Times New Roman"/>
          <w:sz w:val="24"/>
          <w:szCs w:val="24"/>
          <w:highlight w:val="white"/>
          <w:rtl w:val="0"/>
        </w:rPr>
        <w:t xml:space="preserve"> (Dissertação de Mestrado), Programa de Pós-Graduação em Psicologia, Universidade Federal do Ceará, Fortaleza.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http://repositorio.ufc.br/handle/riufc/43238</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B">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8"/>
          <w:szCs w:val="28"/>
          <w:shd w:fill="f9cb9c" w:val="clear"/>
        </w:rPr>
      </w:pP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sz w:val="24"/>
          <w:szCs w:val="24"/>
          <w:rtl w:val="0"/>
        </w:rPr>
        <w:t xml:space="preserve">osta, M. C. L. (2022). Desigualdades socioeconômicas, vulnerabilidade e negação ao direito à cidade. Em A. Q. Pereira &amp; M. C. L Costa (Orgs.), </w:t>
      </w:r>
      <w:r w:rsidDel="00000000" w:rsidR="00000000" w:rsidRPr="00000000">
        <w:rPr>
          <w:rFonts w:ascii="Times New Roman" w:cs="Times New Roman" w:eastAsia="Times New Roman" w:hAnsi="Times New Roman"/>
          <w:i w:val="1"/>
          <w:sz w:val="24"/>
          <w:szCs w:val="24"/>
          <w:rtl w:val="0"/>
        </w:rPr>
        <w:t xml:space="preserve">Reforma urbana e direito à cidade</w:t>
      </w:r>
      <w:r w:rsidDel="00000000" w:rsidR="00000000" w:rsidRPr="00000000">
        <w:rPr>
          <w:rFonts w:ascii="Times New Roman" w:cs="Times New Roman" w:eastAsia="Times New Roman" w:hAnsi="Times New Roman"/>
          <w:sz w:val="24"/>
          <w:szCs w:val="24"/>
          <w:rtl w:val="0"/>
        </w:rPr>
        <w:t xml:space="preserve"> (pp. 38-58). Rio de Janeiro: Letra Capital.</w:t>
      </w:r>
      <w:r w:rsidDel="00000000" w:rsidR="00000000" w:rsidRPr="00000000">
        <w:rPr>
          <w:rtl w:val="0"/>
        </w:rPr>
      </w:r>
    </w:p>
    <w:p w:rsidR="00000000" w:rsidDel="00000000" w:rsidP="00000000" w:rsidRDefault="00000000" w:rsidRPr="00000000" w14:paraId="0000015C">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Esmeraldo Filho, C. E. (2021). </w:t>
      </w:r>
      <w:r w:rsidDel="00000000" w:rsidR="00000000" w:rsidRPr="00000000">
        <w:rPr>
          <w:rFonts w:ascii="Times New Roman" w:cs="Times New Roman" w:eastAsia="Times New Roman" w:hAnsi="Times New Roman"/>
          <w:i w:val="1"/>
          <w:sz w:val="24"/>
          <w:szCs w:val="24"/>
          <w:highlight w:val="white"/>
          <w:rtl w:val="0"/>
        </w:rPr>
        <w:t xml:space="preserve">Pessoas em situação de rua de Fortaleza: a expressão da pobreza e modos de enfrentamento </w:t>
      </w:r>
      <w:r w:rsidDel="00000000" w:rsidR="00000000" w:rsidRPr="00000000">
        <w:rPr>
          <w:rFonts w:ascii="Times New Roman" w:cs="Times New Roman" w:eastAsia="Times New Roman" w:hAnsi="Times New Roman"/>
          <w:sz w:val="24"/>
          <w:szCs w:val="24"/>
          <w:highlight w:val="white"/>
          <w:rtl w:val="0"/>
        </w:rPr>
        <w:t xml:space="preserve">(Tese de Doutorado) Programa de Pós-Graduação em Psicologia, Universidade Federal do Ceará, Fortaleza. </w:t>
      </w:r>
      <w:hyperlink r:id="rId16">
        <w:r w:rsidDel="00000000" w:rsidR="00000000" w:rsidRPr="00000000">
          <w:rPr>
            <w:rFonts w:ascii="Times New Roman" w:cs="Times New Roman" w:eastAsia="Times New Roman" w:hAnsi="Times New Roman"/>
            <w:color w:val="008cba"/>
            <w:sz w:val="24"/>
            <w:szCs w:val="24"/>
            <w:highlight w:val="white"/>
            <w:u w:val="single"/>
            <w:rtl w:val="0"/>
          </w:rPr>
          <w:t xml:space="preserve">http://www.repositorio.ufc.br/handle/riufc/62595</w:t>
        </w:r>
      </w:hyperlink>
      <w:r w:rsidDel="00000000" w:rsidR="00000000" w:rsidRPr="00000000">
        <w:rPr>
          <w:rtl w:val="0"/>
        </w:rPr>
      </w:r>
    </w:p>
    <w:p w:rsidR="00000000" w:rsidDel="00000000" w:rsidP="00000000" w:rsidRDefault="00000000" w:rsidRPr="00000000" w14:paraId="0000015D">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(2021). </w:t>
      </w:r>
      <w:r w:rsidDel="00000000" w:rsidR="00000000" w:rsidRPr="00000000">
        <w:rPr>
          <w:rFonts w:ascii="Times New Roman" w:cs="Times New Roman" w:eastAsia="Times New Roman" w:hAnsi="Times New Roman"/>
          <w:i w:val="1"/>
          <w:sz w:val="24"/>
          <w:szCs w:val="24"/>
          <w:rtl w:val="0"/>
        </w:rPr>
        <w:t xml:space="preserve">Relatório do censo geral da população em situação de rua da cidade de Fortaleza/CE</w:t>
      </w:r>
      <w:r w:rsidDel="00000000" w:rsidR="00000000" w:rsidRPr="00000000">
        <w:rPr>
          <w:rFonts w:ascii="Times New Roman" w:cs="Times New Roman" w:eastAsia="Times New Roman" w:hAnsi="Times New Roman"/>
          <w:sz w:val="24"/>
          <w:szCs w:val="24"/>
          <w:rtl w:val="0"/>
        </w:rPr>
        <w:t xml:space="preserve">. Fortaleza:Secretaria dos Direitos Humanos e Defesa Social.</w:t>
      </w:r>
    </w:p>
    <w:p w:rsidR="00000000" w:rsidDel="00000000" w:rsidP="00000000" w:rsidRDefault="00000000" w:rsidRPr="00000000" w14:paraId="0000015E">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Instituto Brasileiro de Geografia e Estatística [IBGE] (2023). </w:t>
      </w:r>
      <w:r w:rsidDel="00000000" w:rsidR="00000000" w:rsidRPr="00000000">
        <w:rPr>
          <w:rFonts w:ascii="Times New Roman" w:cs="Times New Roman" w:eastAsia="Times New Roman" w:hAnsi="Times New Roman"/>
          <w:i w:val="1"/>
          <w:sz w:val="24"/>
          <w:szCs w:val="24"/>
          <w:highlight w:val="white"/>
          <w:rtl w:val="0"/>
        </w:rPr>
        <w:t xml:space="preserve">IBGE | Cidades | Ceará | Fortaleza</w:t>
      </w:r>
      <w:r w:rsidDel="00000000" w:rsidR="00000000" w:rsidRPr="00000000">
        <w:rPr>
          <w:rFonts w:ascii="Times New Roman" w:cs="Times New Roman" w:eastAsia="Times New Roman" w:hAnsi="Times New Roman"/>
          <w:sz w:val="24"/>
          <w:szCs w:val="24"/>
          <w:highlight w:val="white"/>
          <w:rtl w:val="0"/>
        </w:rPr>
        <w:t xml:space="preserve"> | </w:t>
      </w:r>
      <w:r w:rsidDel="00000000" w:rsidR="00000000" w:rsidRPr="00000000">
        <w:rPr>
          <w:rFonts w:ascii="Times New Roman" w:cs="Times New Roman" w:eastAsia="Times New Roman" w:hAnsi="Times New Roman"/>
          <w:i w:val="1"/>
          <w:sz w:val="24"/>
          <w:szCs w:val="24"/>
          <w:highlight w:val="white"/>
          <w:rtl w:val="0"/>
        </w:rPr>
        <w:t xml:space="preserve">Panorama. </w:t>
      </w:r>
      <w:r w:rsidDel="00000000" w:rsidR="00000000" w:rsidRPr="00000000">
        <w:rPr>
          <w:rFonts w:ascii="Times New Roman" w:cs="Times New Roman" w:eastAsia="Times New Roman" w:hAnsi="Times New Roman"/>
          <w:sz w:val="24"/>
          <w:szCs w:val="24"/>
          <w:highlight w:val="white"/>
          <w:rtl w:val="0"/>
        </w:rPr>
        <w:t xml:space="preserve">R</w:t>
      </w:r>
      <w:r w:rsidDel="00000000" w:rsidR="00000000" w:rsidRPr="00000000">
        <w:rPr>
          <w:rFonts w:ascii="Times New Roman" w:cs="Times New Roman" w:eastAsia="Times New Roman" w:hAnsi="Times New Roman"/>
          <w:sz w:val="24"/>
          <w:szCs w:val="24"/>
          <w:rtl w:val="0"/>
        </w:rPr>
        <w:t xml:space="preserve">ecuperado em 5 de março de 2024, de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https://cidades.ibge.gov.br/brasil/ce/fortaleza/panorama</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F">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Macedo, M. dos S. (2008). Mulheres chefes de família e a perspectiva de gênero: trajetória de um tema e a crítica sobre a feminização da pobreza. </w:t>
      </w:r>
      <w:r w:rsidDel="00000000" w:rsidR="00000000" w:rsidRPr="00000000">
        <w:rPr>
          <w:rFonts w:ascii="Times New Roman" w:cs="Times New Roman" w:eastAsia="Times New Roman" w:hAnsi="Times New Roman"/>
          <w:i w:val="1"/>
          <w:sz w:val="24"/>
          <w:szCs w:val="24"/>
          <w:highlight w:val="white"/>
          <w:rtl w:val="0"/>
        </w:rPr>
        <w:t xml:space="preserve">Caderno CRH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21</w:t>
      </w:r>
      <w:r w:rsidDel="00000000" w:rsidR="00000000" w:rsidRPr="00000000">
        <w:rPr>
          <w:rFonts w:ascii="Times New Roman" w:cs="Times New Roman" w:eastAsia="Times New Roman" w:hAnsi="Times New Roman"/>
          <w:sz w:val="24"/>
          <w:szCs w:val="24"/>
          <w:highlight w:val="white"/>
          <w:rtl w:val="0"/>
        </w:rPr>
        <w:t xml:space="preserve">(53), 385–399.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https://doi.org/10.1590/S0103-49792008000200013</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60">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Mendes, K.T., Ronzani, T. M., &amp; Paiva, F. S. (2019). </w:t>
      </w:r>
      <w:r w:rsidDel="00000000" w:rsidR="00000000" w:rsidRPr="00000000">
        <w:rPr>
          <w:rFonts w:ascii="Times New Roman" w:cs="Times New Roman" w:eastAsia="Times New Roman" w:hAnsi="Times New Roman"/>
          <w:i w:val="1"/>
          <w:sz w:val="24"/>
          <w:szCs w:val="24"/>
          <w:rtl w:val="0"/>
        </w:rPr>
        <w:t xml:space="preserve">Se essa rua falasse: uma análise sobre estigma, pobreza e uso de drogas nas trajetórias de sujeitos em situação de rua</w:t>
      </w:r>
      <w:r w:rsidDel="00000000" w:rsidR="00000000" w:rsidRPr="00000000">
        <w:rPr>
          <w:rFonts w:ascii="Times New Roman" w:cs="Times New Roman" w:eastAsia="Times New Roman" w:hAnsi="Times New Roman"/>
          <w:sz w:val="24"/>
          <w:szCs w:val="24"/>
          <w:rtl w:val="0"/>
        </w:rPr>
        <w:t xml:space="preserve">. Juiz de Fora: UFJF Editora.</w:t>
      </w:r>
    </w:p>
    <w:p w:rsidR="00000000" w:rsidDel="00000000" w:rsidP="00000000" w:rsidRDefault="00000000" w:rsidRPr="00000000" w14:paraId="00000161">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Miranda, H. S., Andrade, J. A., Fernandes, R. A. U., &amp; Santos, O. A. A. (2023). </w:t>
      </w:r>
      <w:r w:rsidDel="00000000" w:rsidR="00000000" w:rsidRPr="00000000">
        <w:rPr>
          <w:rFonts w:ascii="Times New Roman" w:cs="Times New Roman" w:eastAsia="Times New Roman" w:hAnsi="Times New Roman"/>
          <w:i w:val="1"/>
          <w:sz w:val="24"/>
          <w:szCs w:val="24"/>
          <w:rtl w:val="0"/>
        </w:rPr>
        <w:t xml:space="preserve">Relatório final: Censo da população em situação de rua da cidade do Recife.</w:t>
      </w:r>
      <w:r w:rsidDel="00000000" w:rsidR="00000000" w:rsidRPr="00000000">
        <w:rPr>
          <w:rFonts w:ascii="Times New Roman" w:cs="Times New Roman" w:eastAsia="Times New Roman" w:hAnsi="Times New Roman"/>
          <w:sz w:val="24"/>
          <w:szCs w:val="24"/>
          <w:rtl w:val="0"/>
        </w:rPr>
        <w:t xml:space="preserve"> Recife: EDUFRPE. </w:t>
      </w:r>
    </w:p>
    <w:p w:rsidR="00000000" w:rsidDel="00000000" w:rsidP="00000000" w:rsidRDefault="00000000" w:rsidRPr="00000000" w14:paraId="00000162">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Nobre, M. T., Moreno, N. S., Amorim, A. K. M. A., &amp; Souza, E. C. de. (2018). Narrativas de modos de vida na rua: histórias e percursos. </w:t>
      </w:r>
      <w:r w:rsidDel="00000000" w:rsidR="00000000" w:rsidRPr="00000000">
        <w:rPr>
          <w:rFonts w:ascii="Times New Roman" w:cs="Times New Roman" w:eastAsia="Times New Roman" w:hAnsi="Times New Roman"/>
          <w:i w:val="1"/>
          <w:sz w:val="24"/>
          <w:szCs w:val="24"/>
          <w:highlight w:val="white"/>
          <w:rtl w:val="0"/>
        </w:rPr>
        <w:t xml:space="preserve">Psicologia &amp; Sociedade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30</w:t>
      </w:r>
      <w:r w:rsidDel="00000000" w:rsidR="00000000" w:rsidRPr="00000000">
        <w:rPr>
          <w:rFonts w:ascii="Times New Roman" w:cs="Times New Roman" w:eastAsia="Times New Roman" w:hAnsi="Times New Roman"/>
          <w:sz w:val="24"/>
          <w:szCs w:val="24"/>
          <w:highlight w:val="white"/>
          <w:rtl w:val="0"/>
        </w:rPr>
        <w:t xml:space="preserve">, e175636.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https://doi.org/10.1590/1807-0310/2018v30175636</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63">
      <w:pPr>
        <w:spacing w:after="0" w:line="360" w:lineRule="auto"/>
        <w:ind w:left="709"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Okabayashi, N. Y. T., Tassara, I. G., Casaca, M. C. G., Falcão, A. A., &amp; Bellini, M. Z. (2020). Violência contra a mulher e feminicídio no Brasil-impacto do isolamento social pela COVID-19. </w:t>
      </w:r>
      <w:r w:rsidDel="00000000" w:rsidR="00000000" w:rsidRPr="00000000">
        <w:rPr>
          <w:rFonts w:ascii="Times New Roman" w:cs="Times New Roman" w:eastAsia="Times New Roman" w:hAnsi="Times New Roman"/>
          <w:i w:val="1"/>
          <w:sz w:val="24"/>
          <w:szCs w:val="24"/>
          <w:highlight w:val="white"/>
          <w:rtl w:val="0"/>
        </w:rPr>
        <w:t xml:space="preserve">Brazilian Journal of Health Review</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w:t>
      </w:r>
      <w:r w:rsidDel="00000000" w:rsidR="00000000" w:rsidRPr="00000000">
        <w:rPr>
          <w:rFonts w:ascii="Times New Roman" w:cs="Times New Roman" w:eastAsia="Times New Roman" w:hAnsi="Times New Roman"/>
          <w:sz w:val="24"/>
          <w:szCs w:val="24"/>
          <w:highlight w:val="white"/>
          <w:rtl w:val="0"/>
        </w:rPr>
        <w:t xml:space="preserve">(3), 4511-4531.</w:t>
      </w:r>
    </w:p>
    <w:p w:rsidR="00000000" w:rsidDel="00000000" w:rsidP="00000000" w:rsidRDefault="00000000" w:rsidRPr="00000000" w14:paraId="00000164">
      <w:pPr>
        <w:spacing w:after="0" w:line="360" w:lineRule="auto"/>
        <w:ind w:left="709"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Panadero-Herrero, S. &amp; Muñoz-López, M. (2014). Salud, calidad de vida y consumo de sustancias en función del tiempo en situación sin hogar. </w:t>
      </w:r>
      <w:r w:rsidDel="00000000" w:rsidR="00000000" w:rsidRPr="00000000">
        <w:rPr>
          <w:rFonts w:ascii="Times New Roman" w:cs="Times New Roman" w:eastAsia="Times New Roman" w:hAnsi="Times New Roman"/>
          <w:i w:val="1"/>
          <w:sz w:val="24"/>
          <w:szCs w:val="24"/>
          <w:highlight w:val="white"/>
          <w:rtl w:val="0"/>
        </w:rPr>
        <w:t xml:space="preserve">Anales de Psicología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30</w:t>
      </w:r>
      <w:r w:rsidDel="00000000" w:rsidR="00000000" w:rsidRPr="00000000">
        <w:rPr>
          <w:rFonts w:ascii="Times New Roman" w:cs="Times New Roman" w:eastAsia="Times New Roman" w:hAnsi="Times New Roman"/>
          <w:sz w:val="24"/>
          <w:szCs w:val="24"/>
          <w:highlight w:val="white"/>
          <w:rtl w:val="0"/>
        </w:rPr>
        <w:t xml:space="preserve">(1), 70-77.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https://dx.doi.org/10.6018/analesps.30.1.137911</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65">
      <w:pPr>
        <w:spacing w:after="0" w:line="360" w:lineRule="auto"/>
        <w:ind w:left="709"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Prates, J. C., Prates, F. C., &amp; Machado, S. (2012). Populações em situação de rua: Os processos de exclusão e inclusão precária vivenciados por esse segmento. </w:t>
      </w:r>
      <w:r w:rsidDel="00000000" w:rsidR="00000000" w:rsidRPr="00000000">
        <w:rPr>
          <w:rFonts w:ascii="Times New Roman" w:cs="Times New Roman" w:eastAsia="Times New Roman" w:hAnsi="Times New Roman"/>
          <w:i w:val="1"/>
          <w:sz w:val="24"/>
          <w:szCs w:val="24"/>
          <w:highlight w:val="white"/>
          <w:rtl w:val="0"/>
        </w:rPr>
        <w:t xml:space="preserve">Temporalis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(22), 191–216.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https://doi.org/10.22422/2238-1856.2011v11n22p191-216</w:t>
        </w:r>
      </w:hyperlink>
      <w:r w:rsidDel="00000000" w:rsidR="00000000" w:rsidRPr="00000000">
        <w:rPr>
          <w:rtl w:val="0"/>
        </w:rPr>
      </w:r>
    </w:p>
    <w:p w:rsidR="00000000" w:rsidDel="00000000" w:rsidP="00000000" w:rsidRDefault="00000000" w:rsidRPr="00000000" w14:paraId="00000166">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highlight w:val="white"/>
          <w:rtl w:val="0"/>
        </w:rPr>
        <w:t xml:space="preserve">Richwin, </w:t>
      </w:r>
      <w:r w:rsidDel="00000000" w:rsidR="00000000" w:rsidRPr="00000000">
        <w:rPr>
          <w:rFonts w:ascii="Times New Roman" w:cs="Times New Roman" w:eastAsia="Times New Roman" w:hAnsi="Times New Roman"/>
          <w:sz w:val="24"/>
          <w:szCs w:val="24"/>
          <w:rtl w:val="0"/>
        </w:rPr>
        <w:t xml:space="preserve">I. F., &amp; Zanello, V. (2023)“Desde casa, desde berço, desde sempre”: violência e mulheres em situação de rua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Estudos Feministas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(1), 1-15. </w:t>
      </w:r>
      <w:hyperlink r:id="rId22">
        <w:r w:rsidDel="00000000" w:rsidR="00000000" w:rsidRPr="00000000">
          <w:rPr>
            <w:rFonts w:ascii="Times New Roman" w:cs="Times New Roman" w:eastAsia="Times New Roman" w:hAnsi="Times New Roman"/>
            <w:color w:val="0563c1"/>
            <w:sz w:val="24"/>
            <w:szCs w:val="24"/>
            <w:u w:val="single"/>
            <w:rtl w:val="0"/>
          </w:rPr>
          <w:t xml:space="preserve">https://doi.org/10.1590/1806-9584-2023v31n177926</w:t>
        </w:r>
      </w:hyperlink>
      <w:r w:rsidDel="00000000" w:rsidR="00000000" w:rsidRPr="00000000">
        <w:rPr>
          <w:rtl w:val="0"/>
        </w:rPr>
      </w:r>
    </w:p>
    <w:p w:rsidR="00000000" w:rsidDel="00000000" w:rsidP="00000000" w:rsidRDefault="00000000" w:rsidRPr="00000000" w14:paraId="00000167">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Rosa, A. S. &amp; Brêtas, A. C. P. (2015). A violência na vida de mulheres em situação de rua na cidade de São Paulo, Brasil. </w:t>
      </w:r>
      <w:r w:rsidDel="00000000" w:rsidR="00000000" w:rsidRPr="00000000">
        <w:rPr>
          <w:rFonts w:ascii="Times New Roman" w:cs="Times New Roman" w:eastAsia="Times New Roman" w:hAnsi="Times New Roman"/>
          <w:i w:val="1"/>
          <w:sz w:val="24"/>
          <w:szCs w:val="24"/>
          <w:highlight w:val="white"/>
          <w:rtl w:val="0"/>
        </w:rPr>
        <w:t xml:space="preserve">Interface - Comunicação, Saúde, Educação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19</w:t>
      </w:r>
      <w:r w:rsidDel="00000000" w:rsidR="00000000" w:rsidRPr="00000000">
        <w:rPr>
          <w:rFonts w:ascii="Times New Roman" w:cs="Times New Roman" w:eastAsia="Times New Roman" w:hAnsi="Times New Roman"/>
          <w:sz w:val="24"/>
          <w:szCs w:val="24"/>
          <w:highlight w:val="white"/>
          <w:rtl w:val="0"/>
        </w:rPr>
        <w:t xml:space="preserve">(53), 275–285.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https://doi.org/10.1590/1807-57622014.0221</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68">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Salata, A.R. &amp; Ribeiro, M. G. (2022). </w:t>
      </w:r>
      <w:r w:rsidDel="00000000" w:rsidR="00000000" w:rsidRPr="00000000">
        <w:rPr>
          <w:rFonts w:ascii="Times New Roman" w:cs="Times New Roman" w:eastAsia="Times New Roman" w:hAnsi="Times New Roman"/>
          <w:i w:val="1"/>
          <w:sz w:val="24"/>
          <w:szCs w:val="24"/>
          <w:highlight w:val="white"/>
          <w:rtl w:val="0"/>
        </w:rPr>
        <w:t xml:space="preserve">Boletim Desigualdade nas Metrópoles.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Edição especial: dados anuais (2012-2021). </w:t>
      </w:r>
      <w:r w:rsidDel="00000000" w:rsidR="00000000" w:rsidRPr="00000000">
        <w:rPr>
          <w:rFonts w:ascii="Times New Roman" w:cs="Times New Roman" w:eastAsia="Times New Roman" w:hAnsi="Times New Roman"/>
          <w:sz w:val="24"/>
          <w:szCs w:val="24"/>
          <w:highlight w:val="white"/>
          <w:rtl w:val="0"/>
        </w:rPr>
        <w:t xml:space="preserve">Porto Alegre: Observatório das Metrópoles, Instituto Nacional de Ciência e Tecnologia.</w:t>
      </w:r>
    </w:p>
    <w:p w:rsidR="00000000" w:rsidDel="00000000" w:rsidP="00000000" w:rsidRDefault="00000000" w:rsidRPr="00000000" w14:paraId="00000169">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Santana, V. &amp; Castelar, M. (2014). A população em situação de rua e a luta pela cidadania. </w:t>
      </w:r>
      <w:r w:rsidDel="00000000" w:rsidR="00000000" w:rsidRPr="00000000">
        <w:rPr>
          <w:rFonts w:ascii="Times New Roman" w:cs="Times New Roman" w:eastAsia="Times New Roman" w:hAnsi="Times New Roman"/>
          <w:i w:val="1"/>
          <w:sz w:val="24"/>
          <w:szCs w:val="24"/>
          <w:highlight w:val="white"/>
          <w:rtl w:val="0"/>
        </w:rPr>
        <w:t xml:space="preserve">Revista Baiana de Saúde Pública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38</w:t>
      </w:r>
      <w:r w:rsidDel="00000000" w:rsidR="00000000" w:rsidRPr="00000000">
        <w:rPr>
          <w:rFonts w:ascii="Times New Roman" w:cs="Times New Roman" w:eastAsia="Times New Roman" w:hAnsi="Times New Roman"/>
          <w:sz w:val="24"/>
          <w:szCs w:val="24"/>
          <w:highlight w:val="white"/>
          <w:rtl w:val="0"/>
        </w:rPr>
        <w:t xml:space="preserve">(2), 357-369.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https://doi.org/10.22278/2318-2660.2014.v38.n2.a678</w:t>
        </w:r>
      </w:hyperlink>
      <w:r w:rsidDel="00000000" w:rsidR="00000000" w:rsidRPr="00000000">
        <w:rPr>
          <w:rtl w:val="0"/>
        </w:rPr>
      </w:r>
    </w:p>
    <w:p w:rsidR="00000000" w:rsidDel="00000000" w:rsidP="00000000" w:rsidRDefault="00000000" w:rsidRPr="00000000" w14:paraId="0000016A">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Schuch, P</w:t>
      </w:r>
      <w:r w:rsidDel="00000000" w:rsidR="00000000" w:rsidRPr="00000000">
        <w:rPr>
          <w:rFonts w:ascii="Times New Roman" w:cs="Times New Roman" w:eastAsia="Times New Roman" w:hAnsi="Times New Roman"/>
          <w:sz w:val="24"/>
          <w:szCs w:val="24"/>
          <w:rtl w:val="0"/>
        </w:rPr>
        <w:t xml:space="preserve">. (2018). Direitos humanos e as pessoas em situação de rua no Brasil: discutindo a legibilidade. Em A. S. S. Lima, J. F. Beltrão, A. Lobo, S. Castilho, P. Lacerda &amp; P. Osório (Orgs.), </w:t>
      </w:r>
      <w:r w:rsidDel="00000000" w:rsidR="00000000" w:rsidRPr="00000000">
        <w:rPr>
          <w:rFonts w:ascii="Times New Roman" w:cs="Times New Roman" w:eastAsia="Times New Roman" w:hAnsi="Times New Roman"/>
          <w:i w:val="1"/>
          <w:sz w:val="24"/>
          <w:szCs w:val="24"/>
          <w:rtl w:val="0"/>
        </w:rPr>
        <w:t xml:space="preserve">A antropologia e a esfera pública no Brasil Perspectivas e Prospectivas sobre a Associação Brasileira de Antropologia no seu 60º Aniversário</w:t>
      </w:r>
      <w:r w:rsidDel="00000000" w:rsidR="00000000" w:rsidRPr="00000000">
        <w:rPr>
          <w:rFonts w:ascii="Times New Roman" w:cs="Times New Roman" w:eastAsia="Times New Roman" w:hAnsi="Times New Roman"/>
          <w:sz w:val="24"/>
          <w:szCs w:val="24"/>
          <w:rtl w:val="0"/>
        </w:rPr>
        <w:t xml:space="preserve"> (pp. 303-327). Rio de Janeiro: Editora E-papers. </w:t>
      </w:r>
    </w:p>
    <w:p w:rsidR="00000000" w:rsidDel="00000000" w:rsidP="00000000" w:rsidRDefault="00000000" w:rsidRPr="00000000" w14:paraId="0000016B">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w:t>
      </w:r>
      <w:r w:rsidDel="00000000" w:rsidR="00000000" w:rsidRPr="00000000">
        <w:rPr>
          <w:rFonts w:ascii="Times New Roman" w:cs="Times New Roman" w:eastAsia="Times New Roman" w:hAnsi="Times New Roman"/>
          <w:sz w:val="24"/>
          <w:szCs w:val="24"/>
          <w:rtl w:val="0"/>
        </w:rPr>
        <w:t xml:space="preserve">osta, M. C. L. (2022). Desigualdades socioeconômicas, vulnerabilidade e negação ao direito à cidade. Em Alexandre Q. Pereira &amp; Maria C. L Costa (Orgs.), </w:t>
      </w:r>
      <w:r w:rsidDel="00000000" w:rsidR="00000000" w:rsidRPr="00000000">
        <w:rPr>
          <w:rFonts w:ascii="Times New Roman" w:cs="Times New Roman" w:eastAsia="Times New Roman" w:hAnsi="Times New Roman"/>
          <w:i w:val="1"/>
          <w:sz w:val="24"/>
          <w:szCs w:val="24"/>
          <w:rtl w:val="0"/>
        </w:rPr>
        <w:t xml:space="preserve">Reforma urbana e direito à cidade</w:t>
      </w:r>
      <w:r w:rsidDel="00000000" w:rsidR="00000000" w:rsidRPr="00000000">
        <w:rPr>
          <w:rFonts w:ascii="Times New Roman" w:cs="Times New Roman" w:eastAsia="Times New Roman" w:hAnsi="Times New Roman"/>
          <w:sz w:val="24"/>
          <w:szCs w:val="24"/>
          <w:rtl w:val="0"/>
        </w:rPr>
        <w:t xml:space="preserve"> (pp. 38-58). Rio de Janeiro: Letra Capital.</w:t>
      </w:r>
    </w:p>
    <w:p w:rsidR="00000000" w:rsidDel="00000000" w:rsidP="00000000" w:rsidRDefault="00000000" w:rsidRPr="00000000" w14:paraId="0000016C">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Sicari, A. A. &amp; Zanella, A. V. (2018). Pessoas em Situação de Rua no Brasil: Revisão Sistemática. </w:t>
      </w:r>
      <w:r w:rsidDel="00000000" w:rsidR="00000000" w:rsidRPr="00000000">
        <w:rPr>
          <w:rFonts w:ascii="Times New Roman" w:cs="Times New Roman" w:eastAsia="Times New Roman" w:hAnsi="Times New Roman"/>
          <w:i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662-679. </w:t>
      </w:r>
      <w:hyperlink r:id="rId25">
        <w:r w:rsidDel="00000000" w:rsidR="00000000" w:rsidRPr="00000000">
          <w:rPr>
            <w:rFonts w:ascii="Times New Roman" w:cs="Times New Roman" w:eastAsia="Times New Roman" w:hAnsi="Times New Roman"/>
            <w:color w:val="1155cc"/>
            <w:sz w:val="24"/>
            <w:szCs w:val="24"/>
            <w:u w:val="single"/>
            <w:rtl w:val="0"/>
          </w:rPr>
          <w:t xml:space="preserve">https://doi.org/10.1590/1982-3703003292017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D">
      <w:pPr>
        <w:tabs>
          <w:tab w:val="left" w:leader="none" w:pos="1760"/>
          <w:tab w:val="left" w:leader="none" w:pos="6013"/>
        </w:tabs>
        <w:spacing w:after="0" w:line="360" w:lineRule="auto"/>
        <w:ind w:left="708.6614173228347" w:hanging="708.6614173228347"/>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Sicari, A. A. &amp; Zanella, A.V.</w:t>
      </w:r>
      <w:r w:rsidDel="00000000" w:rsidR="00000000" w:rsidRPr="00000000">
        <w:rPr>
          <w:rFonts w:ascii="Times New Roman" w:cs="Times New Roman" w:eastAsia="Times New Roman" w:hAnsi="Times New Roman"/>
          <w:sz w:val="24"/>
          <w:szCs w:val="24"/>
          <w:highlight w:val="white"/>
          <w:rtl w:val="0"/>
        </w:rPr>
        <w:t xml:space="preserve"> (2020). Movimento nacional de população de rua: a complexa luta por direitos. </w:t>
      </w:r>
      <w:r w:rsidDel="00000000" w:rsidR="00000000" w:rsidRPr="00000000">
        <w:rPr>
          <w:rFonts w:ascii="Times New Roman" w:cs="Times New Roman" w:eastAsia="Times New Roman" w:hAnsi="Times New Roman"/>
          <w:i w:val="1"/>
          <w:sz w:val="24"/>
          <w:szCs w:val="24"/>
          <w:highlight w:val="white"/>
          <w:rtl w:val="0"/>
        </w:rPr>
        <w:t xml:space="preserve">Psicologia em Revista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26</w:t>
      </w:r>
      <w:r w:rsidDel="00000000" w:rsidR="00000000" w:rsidRPr="00000000">
        <w:rPr>
          <w:rFonts w:ascii="Times New Roman" w:cs="Times New Roman" w:eastAsia="Times New Roman" w:hAnsi="Times New Roman"/>
          <w:sz w:val="24"/>
          <w:szCs w:val="24"/>
          <w:highlight w:val="white"/>
          <w:rtl w:val="0"/>
        </w:rPr>
        <w:t xml:space="preserve">(3), 1058-1079.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https://dx.doi.org/10.5752/P.1678-9563.2020v26n3p1058-1079</w:t>
        </w:r>
      </w:hyperlink>
      <w:r w:rsidDel="00000000" w:rsidR="00000000" w:rsidRPr="00000000">
        <w:rPr>
          <w:rFonts w:ascii="Times New Roman" w:cs="Times New Roman" w:eastAsia="Times New Roman" w:hAnsi="Times New Roman"/>
          <w:color w:val="1155cc"/>
          <w:sz w:val="24"/>
          <w:szCs w:val="24"/>
          <w:highlight w:val="white"/>
          <w:u w:val="single"/>
          <w:rtl w:val="0"/>
        </w:rPr>
        <w:t xml:space="preserve">.</w:t>
      </w:r>
      <w:r w:rsidDel="00000000" w:rsidR="00000000" w:rsidRPr="00000000">
        <w:rPr>
          <w:rtl w:val="0"/>
        </w:rPr>
      </w:r>
    </w:p>
    <w:p w:rsidR="00000000" w:rsidDel="00000000" w:rsidP="00000000" w:rsidRDefault="00000000" w:rsidRPr="00000000" w14:paraId="0000016E">
      <w:pPr>
        <w:tabs>
          <w:tab w:val="left" w:leader="none" w:pos="1760"/>
          <w:tab w:val="left" w:leader="none" w:pos="6013"/>
        </w:tabs>
        <w:spacing w:after="20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sectPr>
      <w:headerReference r:id="rId27" w:type="default"/>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x.doi.org/10.6018/analesps.30.1.137911" TargetMode="External"/><Relationship Id="rId22" Type="http://schemas.openxmlformats.org/officeDocument/2006/relationships/hyperlink" Target="https://doi.org/10.1590/1806-9584-2023v31n177926" TargetMode="External"/><Relationship Id="rId21" Type="http://schemas.openxmlformats.org/officeDocument/2006/relationships/hyperlink" Target="https://doi.org/10.22422/2238-1856.2011v11n22p191-216" TargetMode="External"/><Relationship Id="rId24" Type="http://schemas.openxmlformats.org/officeDocument/2006/relationships/hyperlink" Target="https://doi.org/10.22278/2318-2660.2014.v38.n2.a678" TargetMode="External"/><Relationship Id="rId23" Type="http://schemas.openxmlformats.org/officeDocument/2006/relationships/hyperlink" Target="https://doi.org/10.1590/1807-57622014.02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590/S0104-12902015S01019" TargetMode="External"/><Relationship Id="rId26" Type="http://schemas.openxmlformats.org/officeDocument/2006/relationships/hyperlink" Target="https://dx.doi.org/10.5752/P.1678-9563.2020v26n3p1058-1079" TargetMode="External"/><Relationship Id="rId25" Type="http://schemas.openxmlformats.org/officeDocument/2006/relationships/hyperlink" Target="https://doi.org/10.1590/1982-3703003292017"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590/S0104-12902014000400011" TargetMode="External"/><Relationship Id="rId11" Type="http://schemas.openxmlformats.org/officeDocument/2006/relationships/hyperlink" Target="https://doi.org/10.1000/riec.v6i2.318" TargetMode="External"/><Relationship Id="rId10" Type="http://schemas.openxmlformats.org/officeDocument/2006/relationships/hyperlink" Target="http://lattes.cnpq.br/8536917714608230" TargetMode="External"/><Relationship Id="rId13" Type="http://schemas.openxmlformats.org/officeDocument/2006/relationships/hyperlink" Target="https://prefeitura.pbh.gov.br/noticias/pbh-e-ufmg-apresentam-resultados-preliminares-do-censo-da-populacao-de-rua-de-bh" TargetMode="External"/><Relationship Id="rId12" Type="http://schemas.openxmlformats.org/officeDocument/2006/relationships/hyperlink" Target="https://doi.org/10.1590/s0080-623420160000600006" TargetMode="External"/><Relationship Id="rId15" Type="http://schemas.openxmlformats.org/officeDocument/2006/relationships/hyperlink" Target="http://repositorio.ufc.br/handle/riufc/43238" TargetMode="External"/><Relationship Id="rId14" Type="http://schemas.openxmlformats.org/officeDocument/2006/relationships/hyperlink" Target="https://www.planalto.gov.br/ccivil_03/_ato2007-2010/2009/decreto/d7053.htm" TargetMode="External"/><Relationship Id="rId17" Type="http://schemas.openxmlformats.org/officeDocument/2006/relationships/hyperlink" Target="https://cidades.ibge.gov.br/brasil/ce/fortaleza/panorama" TargetMode="External"/><Relationship Id="rId16" Type="http://schemas.openxmlformats.org/officeDocument/2006/relationships/hyperlink" Target="http://www.repositorio.ufc.br/handle/riufc/62595" TargetMode="External"/><Relationship Id="rId19" Type="http://schemas.openxmlformats.org/officeDocument/2006/relationships/hyperlink" Target="https://doi.org/10.1590/1807-0310/2018v30175636" TargetMode="External"/><Relationship Id="rId18" Type="http://schemas.openxmlformats.org/officeDocument/2006/relationships/hyperlink" Target="https://doi.org/10.1590/S0103-49792008000200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Gj4V7j/lGNZQerd2tXyxn9gag==">CgMxLjA4AHIhMUFFNVpvU203QmRwczhod25BX0lGZmc4WWhnV1ctc0dO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