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F763" w14:textId="77777777" w:rsidR="00E6202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POSTOPERATIVE COGNITIVE OUTCOMES IN PATIENTS WITH LEFT TEMPORAL LOBE EPILEPSY</w:t>
      </w:r>
    </w:p>
    <w:p w14:paraId="7F4E482F" w14:textId="77777777" w:rsidR="00E62026" w:rsidRDefault="00E620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42E41" w14:textId="77777777" w:rsidR="00E62026" w:rsidRDefault="00000000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DESENLACES COGNITIVOS POSTQUIRÚRGICOS EN PACIENTES CON EPILEPSIA DEL LÓBULO TEMPORAL IZQUIERDO</w:t>
      </w:r>
    </w:p>
    <w:p w14:paraId="61DF6521" w14:textId="77777777" w:rsidR="00E62026" w:rsidRDefault="00E62026">
      <w:pPr>
        <w:spacing w:line="360" w:lineRule="auto"/>
        <w:ind w:left="180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378405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09646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 (250 palabras) </w:t>
      </w:r>
    </w:p>
    <w:p w14:paraId="7B21C8D4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(TLE)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therapeutic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alternative;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decline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commentRangeStart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commentRangeEnd w:id="0"/>
      <w:r w:rsidR="008D5861">
        <w:rPr>
          <w:rStyle w:val="Refdecomentario"/>
        </w:rPr>
        <w:commentReference w:id="0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retrospective, and longitudinal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underwent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2014-2024.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Sociodemographic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quotient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(IQ),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(VCI), Perceptual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(PRI), Boston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(BNT), and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and 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(WMS-I and WMS-III).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t-test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Wilcoxon 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compare test scores.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IQ (pre: 74.2±13.3, post: 74.7±13.2, p=0.165), VI (pre: 75 [IQR 67-83.5], post: 78 [IQR 66.3-84.8], p=0.126),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 (pre: 75.5±11.3, post: 75.4±14.32, p=0.169).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post-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scores (pre: 36.9±8.3, post: 34.5±9.9, p=0.019).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51.9%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60.5% (p=0.073).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preserves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determine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25F3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AB473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WORDS (MESH) </w:t>
      </w:r>
    </w:p>
    <w:p w14:paraId="0CD74C4B" w14:textId="77777777" w:rsidR="00E62026" w:rsidRDefault="00000000">
      <w:pPr>
        <w:numPr>
          <w:ilvl w:val="0"/>
          <w:numId w:val="1"/>
        </w:numPr>
        <w:spacing w:before="2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Temporal Lobe</w:t>
      </w:r>
    </w:p>
    <w:p w14:paraId="3A9687C7" w14:textId="77777777" w:rsidR="00E62026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Drug-resistant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</w:p>
    <w:p w14:paraId="3BE3AF6A" w14:textId="77777777" w:rsidR="00E62026" w:rsidRDefault="00000000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Boston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</w:t>
      </w:r>
    </w:p>
    <w:p w14:paraId="28CD5259" w14:textId="77777777" w:rsidR="00E62026" w:rsidRDefault="00000000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</w:p>
    <w:p w14:paraId="67DCD5D4" w14:textId="77777777" w:rsidR="00E62026" w:rsidRDefault="00000000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41A62" w14:textId="77777777" w:rsidR="00E62026" w:rsidRDefault="00000000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Long-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74D87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RESUMEN</w:t>
      </w:r>
    </w:p>
    <w:p w14:paraId="03A08C1F" w14:textId="77777777" w:rsidR="00E6202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C3AA8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Introducción: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epilepsia del lóbulo temporal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ELT)  representa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una de las formas más comunes de epilepsia focal. La lobectomía temporal es una alternativa terapéutica efectiva, sin embargo, existe riesgo de deterioro cognitivo postquirúrgico debido a la dominancia hemisférica izquierda para funciones como lenguaje y memoria verbal.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>Evaluar los cambios en las funciones cognitivas de lenguaje, memoria y capacidad intelectual en pacientes con ELT izquierda sometidos a lobectomía temporal</w:t>
      </w:r>
      <w:commentRangeEnd w:id="1"/>
      <w:r w:rsidR="008D5861">
        <w:rPr>
          <w:rStyle w:val="Refdecomentario"/>
        </w:rPr>
        <w:comment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Métodos: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Estudio observacional, retrospectivo y longitudinal. Se incluyeron 38 pacientes adultos con ELT unilateral izquierda sometidos a lobectomía temporal entre 2014-2024. Se evaluaron variables sociodemográficas, clínicas y neuropsicológicas que incluyeron coeficiente intelectual (CI), índice verbal (IV), índice de razonamiento (IR), Test de Vocabulario de Boston (BNT) y pruebas de memoria mediante la Escala de Memoria Wechsler I (WMS-I) y Escala de Memoria Wechsler III (WMS-III) pre 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postquirúrgicos.</w:t>
      </w: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ara</w:t>
      </w:r>
      <w:commentRangeEnd w:id="2"/>
      <w:proofErr w:type="spellEnd"/>
      <w:proofErr w:type="gramEnd"/>
      <w:r w:rsidR="00FF02D9">
        <w:rPr>
          <w:rStyle w:val="Refdecomentario"/>
        </w:rPr>
        <w:commentReference w:id="2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comparar los puntajes de las pruebas se utilizó la prueba 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muestras pareadas o Wilcoxon.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se observaron cambios significativos en CI (pre: 74.2±13.3, post: 74.7±13.2, p=0.165), IV (pre: 75[RIQ 67-83.5], post: 78[RIQ 66.3-84.8], p=0.126) ni IR (pre: 75.5±11.3, post: 75.4±14.32, p=0.169). Se encontró una disminución significativa en el puntaje BNT postquirúrgico (pre: 36.9±8.3, post: 34.5±9.9, p=0.019). La proporción de anomia aumentó de 51.9% a 60.5% (p=0.073). En las pruebas de memoria, aunque se observó una tendencia a la disminución en los puntajes de memoria verbal, estas no fueron significativas.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La lobectomía temporal izquierda preserva la capacidad intelectual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pero puede impactar negativamente en la denominación. Se requieren estudios con mayor tamaño muestral para determinar el impacto sobre la memoria verbal.</w:t>
      </w:r>
    </w:p>
    <w:p w14:paraId="58D31E1D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72BA2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1AB4F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5DE26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83996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60AE7" w14:textId="77777777" w:rsidR="00E62026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CLAVES</w:t>
      </w:r>
    </w:p>
    <w:p w14:paraId="242D30D6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Epilepsia del lóbulo temporal </w:t>
      </w:r>
    </w:p>
    <w:p w14:paraId="74B75163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Epilepsia resistente a los medicamentos </w:t>
      </w:r>
    </w:p>
    <w:p w14:paraId="37BA4664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Prueba de denominación de Boston</w:t>
      </w:r>
    </w:p>
    <w:p w14:paraId="002B34BC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Lenguaje</w:t>
      </w:r>
    </w:p>
    <w:p w14:paraId="1492D1F0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Escala de memoria de Wechsler</w:t>
      </w:r>
    </w:p>
    <w:p w14:paraId="5F8C9C29" w14:textId="77777777" w:rsidR="00E62026" w:rsidRDefault="00000000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Memoria a largo plazo </w:t>
      </w:r>
    </w:p>
    <w:p w14:paraId="304FAD0A" w14:textId="77777777" w:rsidR="00E6202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AE240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A85696" w14:textId="77777777" w:rsidR="00E62026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POSTOPERATIVE COGNITIVE OUTCOMES IN PATIENTS WITH LEFT TEMPORAL LOBE EPILEPSY</w:t>
      </w:r>
    </w:p>
    <w:p w14:paraId="6F0EAE0D" w14:textId="77777777" w:rsidR="00E62026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3828B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</w:t>
      </w:r>
    </w:p>
    <w:p w14:paraId="027E3E2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236A49" w14:textId="44F8AE18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(TLE)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accounts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approximately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two-thirds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cases (Nascimento et al., 2023). Focal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drug-resistant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idiopathic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(Chen et al., 2018),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excellent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candidates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remarkable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employment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attendance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2001).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can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standard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(STL), selective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amygdalohippocampectomy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(SAH) and anterior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(ATL) (Nascimento et al., 2016).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3"/>
      <w:r>
        <w:rPr>
          <w:rFonts w:ascii="Times New Roman" w:eastAsia="Times New Roman" w:hAnsi="Times New Roman" w:cs="Times New Roman"/>
          <w:sz w:val="24"/>
          <w:szCs w:val="24"/>
        </w:rPr>
        <w:t xml:space="preserve">81,9% </w:t>
      </w:r>
      <w:commentRangeEnd w:id="3"/>
      <w:r w:rsidR="009E6CD6">
        <w:rPr>
          <w:rStyle w:val="Refdecomentario"/>
        </w:rPr>
        <w:commentReference w:id="3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Chengxiong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2018;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2001;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Hsieh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2023).</w:t>
      </w:r>
    </w:p>
    <w:p w14:paraId="29B13FA0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E2A416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sz w:val="24"/>
          <w:szCs w:val="24"/>
        </w:rPr>
        <w:t xml:space="preserve">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Bialek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2014). </w:t>
      </w:r>
      <w:commentRangeEnd w:id="4"/>
      <w:r w:rsidR="009E6CD6">
        <w:rPr>
          <w:rStyle w:val="Refdecomentario"/>
        </w:rPr>
        <w:commentReference w:id="4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cognitive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Quotient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(IQ), verbal and non-verbal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impairment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Atehortua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Chengxiong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2018; Espinosa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don´t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5"/>
      <w:r w:rsidR="009E6CD6">
        <w:rPr>
          <w:rStyle w:val="Refdecomentario"/>
        </w:rPr>
        <w:commentReference w:id="5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aphasia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commentRangeStart w:id="6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functioning</w:t>
      </w:r>
      <w:commentRangeEnd w:id="6"/>
      <w:proofErr w:type="spellEnd"/>
      <w:r w:rsidR="008D5861">
        <w:rPr>
          <w:rStyle w:val="Refdecomentario"/>
        </w:rPr>
        <w:comment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(Sherman et al., 2011).</w:t>
      </w:r>
    </w:p>
    <w:p w14:paraId="04BD93FF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3535B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7"/>
      <w:r w:rsidR="009E6CD6">
        <w:rPr>
          <w:rStyle w:val="Refdecomentario"/>
        </w:rPr>
        <w:commentReference w:id="7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contralateral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(Gutiérrez-Álvarez et al., 2021),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impairment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Nevertheless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show a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Ljunggren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2019),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preoperative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lateralization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1D353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150E5D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alternative,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impairment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(Bell et al., 2011).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notably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(Gutiérrez-Álvarez et al., 2021). </w:t>
      </w:r>
      <w:commentRangeStart w:id="8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imperative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8"/>
      <w:r w:rsidR="009E6CD6">
        <w:rPr>
          <w:rStyle w:val="Refdecomentario"/>
        </w:rPr>
        <w:commentReference w:id="8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preoperatively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predicting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4DF3F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7856F7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METHODS </w:t>
      </w:r>
    </w:p>
    <w:p w14:paraId="4511300C" w14:textId="77777777" w:rsidR="00E62026" w:rsidRDefault="00000000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Design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descriptive, retrospective, and longitudinal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pharmacoresistant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(TLE)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underwent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Anonymized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in Medellín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2014, and June 30,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magnetic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(MRI),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underwent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incomplete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Start w:id="9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convenience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eligibility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commentRangeEnd w:id="9"/>
      <w:r w:rsidR="00832797">
        <w:rPr>
          <w:rStyle w:val="Refdecomentario"/>
        </w:rPr>
        <w:commentReference w:id="9"/>
      </w:r>
    </w:p>
    <w:p w14:paraId="3F6D08B6" w14:textId="77777777" w:rsidR="00E62026" w:rsidRDefault="00000000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Ethical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Considerations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commentRangeEnd w:id="10"/>
      <w:r w:rsidR="0063068B">
        <w:rPr>
          <w:rStyle w:val="Refdecomentario"/>
        </w:rPr>
        <w:comment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retrospective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ethical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confidentiality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anonymity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' data.</w:t>
      </w:r>
    </w:p>
    <w:p w14:paraId="54F40B7A" w14:textId="77777777" w:rsidR="00E62026" w:rsidRDefault="00000000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Collection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Variables</w:t>
      </w:r>
      <w:commentRangeEnd w:id="11"/>
      <w:r w:rsidR="00832797">
        <w:rPr>
          <w:rStyle w:val="Refdecomentario"/>
        </w:rPr>
        <w:commentReference w:id="11"/>
      </w:r>
    </w:p>
    <w:p w14:paraId="31692D99" w14:textId="77777777" w:rsidR="00E62026" w:rsidRDefault="00000000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Sociodemographic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lateralization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Engel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(VCI), Perceptual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(PRI), Boston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(BNT) score,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anomia.</w:t>
      </w:r>
    </w:p>
    <w:p w14:paraId="2B071E1A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12"/>
      <w:r w:rsidR="00832797">
        <w:rPr>
          <w:rStyle w:val="Refdecomentario"/>
        </w:rPr>
        <w:commentReference w:id="12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WMS-I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 (WMS-III),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A+B),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A+B+B’),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and raw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A84EA" w14:textId="77777777" w:rsidR="00E62026" w:rsidRDefault="00000000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3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Analysis</w:t>
      </w:r>
      <w:commentRangeEnd w:id="13"/>
      <w:proofErr w:type="spellEnd"/>
      <w:r w:rsidR="00832797">
        <w:rPr>
          <w:rStyle w:val="Refdecomentario"/>
        </w:rPr>
        <w:commentReference w:id="13"/>
      </w:r>
    </w:p>
    <w:p w14:paraId="5369EB0F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descriptive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absolute and relative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quantitative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tendency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dispersion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t-test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Wilcoxon test,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McNemar’s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proportions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VCI, and PRI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RStudio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software,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4.3.3.</w:t>
      </w:r>
    </w:p>
    <w:p w14:paraId="216B876D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RESULTS </w:t>
      </w:r>
      <w:commentRangeEnd w:id="14"/>
      <w:r w:rsidR="0065183A">
        <w:rPr>
          <w:rStyle w:val="Refdecomentario"/>
        </w:rPr>
        <w:commentReference w:id="14"/>
      </w:r>
    </w:p>
    <w:p w14:paraId="3537266F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CA2EE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Characteristics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sample</w:t>
      </w:r>
      <w:proofErr w:type="spellEnd"/>
    </w:p>
    <w:p w14:paraId="2A75AE0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Thirty-eight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(57.9%, n=22),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median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(IQR 4–23).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(68.4% Engel I and 21.05% Engel II)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(Table 1).</w:t>
      </w:r>
    </w:p>
    <w:p w14:paraId="7FA139A5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2D749D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</w:p>
    <w:p w14:paraId="55DF86AC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56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1320"/>
      </w:tblGrid>
      <w:tr w:rsidR="00E62026" w14:paraId="772158EA" w14:textId="77777777">
        <w:trPr>
          <w:jc w:val="center"/>
        </w:trPr>
        <w:tc>
          <w:tcPr>
            <w:tcW w:w="4320" w:type="dxa"/>
            <w:tcBorders>
              <w:top w:val="single" w:sz="12" w:space="0" w:color="808080"/>
              <w:bottom w:val="single" w:sz="12" w:space="0" w:color="808080"/>
            </w:tcBorders>
          </w:tcPr>
          <w:p w14:paraId="7B3E53F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320" w:type="dxa"/>
            <w:tcBorders>
              <w:top w:val="single" w:sz="12" w:space="0" w:color="808080"/>
              <w:bottom w:val="single" w:sz="12" w:space="0" w:color="808080"/>
            </w:tcBorders>
          </w:tcPr>
          <w:p w14:paraId="21272E21" w14:textId="77777777" w:rsidR="00E62026" w:rsidRDefault="00000000">
            <w:pPr>
              <w:tabs>
                <w:tab w:val="left" w:pos="503"/>
                <w:tab w:val="center" w:pos="116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=38 (%)</w:t>
            </w:r>
          </w:p>
        </w:tc>
      </w:tr>
      <w:tr w:rsidR="00E62026" w14:paraId="403B5608" w14:textId="77777777">
        <w:trPr>
          <w:jc w:val="center"/>
        </w:trPr>
        <w:tc>
          <w:tcPr>
            <w:tcW w:w="4320" w:type="dxa"/>
            <w:tcBorders>
              <w:top w:val="single" w:sz="12" w:space="0" w:color="808080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CFA4C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feminine</w:t>
            </w:r>
            <w:proofErr w:type="spellEnd"/>
          </w:p>
        </w:tc>
        <w:tc>
          <w:tcPr>
            <w:tcW w:w="1320" w:type="dxa"/>
            <w:tcBorders>
              <w:top w:val="single" w:sz="12" w:space="0" w:color="808080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FB2806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(57.9)</w:t>
            </w:r>
          </w:p>
        </w:tc>
      </w:tr>
      <w:tr w:rsidR="00E62026" w14:paraId="6877219D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60414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(±SD)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B6235A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39.2 ±12.7</w:t>
            </w:r>
          </w:p>
        </w:tc>
      </w:tr>
      <w:tr w:rsidR="00E62026" w14:paraId="6AE27D9D" w14:textId="77777777">
        <w:trPr>
          <w:trHeight w:val="364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516FC8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(IQR):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3A2D23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(4-23)</w:t>
            </w:r>
          </w:p>
        </w:tc>
      </w:tr>
      <w:tr w:rsidR="00E62026" w14:paraId="48B023D6" w14:textId="77777777">
        <w:trPr>
          <w:jc w:val="center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F9F17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Lateralization</w:t>
            </w:r>
            <w:proofErr w:type="spellEnd"/>
          </w:p>
        </w:tc>
      </w:tr>
      <w:tr w:rsidR="00E62026" w14:paraId="6483C19A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5BB3E4" w14:textId="77777777" w:rsidR="00E62026" w:rsidRDefault="00000000">
            <w:pPr>
              <w:spacing w:line="360" w:lineRule="auto"/>
              <w:ind w:lef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Right-handed</w:t>
            </w:r>
            <w:proofErr w:type="spellEnd"/>
          </w:p>
        </w:tc>
        <w:tc>
          <w:tcPr>
            <w:tcW w:w="1320" w:type="dxa"/>
          </w:tcPr>
          <w:p w14:paraId="611101ED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(94.7)</w:t>
            </w:r>
          </w:p>
        </w:tc>
      </w:tr>
      <w:tr w:rsidR="00E62026" w14:paraId="30234456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A72F5A" w14:textId="77777777" w:rsidR="00E62026" w:rsidRDefault="00000000">
            <w:pPr>
              <w:spacing w:line="360" w:lineRule="auto"/>
              <w:ind w:lef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Left-handed</w:t>
            </w:r>
            <w:proofErr w:type="spellEnd"/>
          </w:p>
        </w:tc>
        <w:tc>
          <w:tcPr>
            <w:tcW w:w="1320" w:type="dxa"/>
          </w:tcPr>
          <w:p w14:paraId="01D05396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(5.3)</w:t>
            </w:r>
          </w:p>
        </w:tc>
      </w:tr>
      <w:tr w:rsidR="00E62026" w14:paraId="30EC8FBA" w14:textId="77777777">
        <w:trPr>
          <w:trHeight w:val="394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015C7A" w14:textId="77777777" w:rsidR="00E62026" w:rsidRDefault="00000000">
            <w:pPr>
              <w:spacing w:line="360" w:lineRule="auto"/>
              <w:ind w:lef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Ambidextrous</w:t>
            </w:r>
            <w:proofErr w:type="spellEnd"/>
          </w:p>
        </w:tc>
        <w:tc>
          <w:tcPr>
            <w:tcW w:w="1320" w:type="dxa"/>
          </w:tcPr>
          <w:p w14:paraId="53459ED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2026" w14:paraId="100B7889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52ADA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Approach</w:t>
            </w:r>
            <w:proofErr w:type="spellEnd"/>
          </w:p>
        </w:tc>
        <w:tc>
          <w:tcPr>
            <w:tcW w:w="1320" w:type="dxa"/>
          </w:tcPr>
          <w:p w14:paraId="44DDE79E" w14:textId="77777777" w:rsidR="00E62026" w:rsidRDefault="00E6202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26" w14:paraId="30F76FD3" w14:textId="77777777">
        <w:trPr>
          <w:trHeight w:val="189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1BD4F9" w14:textId="77777777" w:rsidR="00E62026" w:rsidRDefault="00000000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Anterior temporal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lobectomy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320" w:type="dxa"/>
          </w:tcPr>
          <w:p w14:paraId="7DC60695" w14:textId="77777777" w:rsidR="00E62026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15(39.5)</w:t>
            </w:r>
          </w:p>
        </w:tc>
      </w:tr>
      <w:tr w:rsidR="00E62026" w14:paraId="6242CD2D" w14:textId="77777777">
        <w:trPr>
          <w:trHeight w:val="225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89C87F" w14:textId="77777777" w:rsidR="00E62026" w:rsidRDefault="00000000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 Temporal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Lobectomy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14:paraId="03DD779F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(31.6)</w:t>
            </w:r>
          </w:p>
        </w:tc>
      </w:tr>
      <w:tr w:rsidR="00E62026" w14:paraId="1AD64160" w14:textId="77777777">
        <w:trPr>
          <w:trHeight w:val="269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C61CF4" w14:textId="77777777" w:rsidR="00E62026" w:rsidRDefault="00000000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Amygdalohippocampectomy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</w:tcPr>
          <w:p w14:paraId="46517BC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(28.9)</w:t>
            </w:r>
          </w:p>
          <w:p w14:paraId="3F076C65" w14:textId="77777777" w:rsidR="00E62026" w:rsidRDefault="00E6202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26" w14:paraId="39B026C1" w14:textId="77777777">
        <w:trPr>
          <w:jc w:val="center"/>
        </w:trPr>
        <w:tc>
          <w:tcPr>
            <w:tcW w:w="5640" w:type="dxa"/>
            <w:gridSpan w:val="2"/>
          </w:tcPr>
          <w:p w14:paraId="2896BBD2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</w:t>
            </w:r>
            <w:proofErr w:type="spellEnd"/>
          </w:p>
        </w:tc>
      </w:tr>
      <w:tr w:rsidR="00E62026" w14:paraId="5AC501DF" w14:textId="77777777">
        <w:trPr>
          <w:jc w:val="center"/>
        </w:trPr>
        <w:tc>
          <w:tcPr>
            <w:tcW w:w="4320" w:type="dxa"/>
          </w:tcPr>
          <w:p w14:paraId="35CB8E2F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20" w:type="dxa"/>
          </w:tcPr>
          <w:p w14:paraId="5D1A7345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(68.4)</w:t>
            </w:r>
          </w:p>
        </w:tc>
      </w:tr>
      <w:tr w:rsidR="00E62026" w14:paraId="6890FE19" w14:textId="77777777">
        <w:trPr>
          <w:jc w:val="center"/>
        </w:trPr>
        <w:tc>
          <w:tcPr>
            <w:tcW w:w="4320" w:type="dxa"/>
          </w:tcPr>
          <w:p w14:paraId="52E59FC0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20" w:type="dxa"/>
          </w:tcPr>
          <w:p w14:paraId="4E2E7D7D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(21.05)</w:t>
            </w:r>
          </w:p>
        </w:tc>
      </w:tr>
      <w:tr w:rsidR="00E62026" w14:paraId="2FCB9272" w14:textId="77777777">
        <w:trPr>
          <w:jc w:val="center"/>
        </w:trPr>
        <w:tc>
          <w:tcPr>
            <w:tcW w:w="4320" w:type="dxa"/>
          </w:tcPr>
          <w:p w14:paraId="1D70EF2F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20" w:type="dxa"/>
          </w:tcPr>
          <w:p w14:paraId="10949959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(7.9)</w:t>
            </w:r>
          </w:p>
        </w:tc>
      </w:tr>
      <w:tr w:rsidR="00E62026" w14:paraId="51A65C30" w14:textId="77777777">
        <w:trPr>
          <w:jc w:val="center"/>
        </w:trPr>
        <w:tc>
          <w:tcPr>
            <w:tcW w:w="4320" w:type="dxa"/>
          </w:tcPr>
          <w:p w14:paraId="2FBDF236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20" w:type="dxa"/>
          </w:tcPr>
          <w:p w14:paraId="2501D072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(2.63)</w:t>
            </w:r>
          </w:p>
        </w:tc>
      </w:tr>
      <w:tr w:rsidR="00E62026" w14:paraId="7B46DF13" w14:textId="77777777">
        <w:trPr>
          <w:trHeight w:val="200"/>
          <w:jc w:val="center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2B6ECF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Preoperative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Neuropsychological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Protocol</w:t>
            </w:r>
            <w:proofErr w:type="spellEnd"/>
          </w:p>
        </w:tc>
      </w:tr>
      <w:tr w:rsidR="00E62026" w14:paraId="4C7879BA" w14:textId="77777777">
        <w:trPr>
          <w:trHeight w:val="265"/>
          <w:jc w:val="center"/>
        </w:trPr>
        <w:tc>
          <w:tcPr>
            <w:tcW w:w="4320" w:type="dxa"/>
          </w:tcPr>
          <w:p w14:paraId="68E8E10C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WMS-I</w:t>
            </w:r>
          </w:p>
        </w:tc>
        <w:tc>
          <w:tcPr>
            <w:tcW w:w="1320" w:type="dxa"/>
          </w:tcPr>
          <w:p w14:paraId="490E8105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(77.8)</w:t>
            </w:r>
          </w:p>
        </w:tc>
      </w:tr>
      <w:tr w:rsidR="00E62026" w14:paraId="24EBA532" w14:textId="77777777">
        <w:trPr>
          <w:jc w:val="center"/>
        </w:trPr>
        <w:tc>
          <w:tcPr>
            <w:tcW w:w="4320" w:type="dxa"/>
          </w:tcPr>
          <w:p w14:paraId="44E2B767" w14:textId="77777777" w:rsidR="00E62026" w:rsidRDefault="00000000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WMS-III </w:t>
            </w:r>
          </w:p>
        </w:tc>
        <w:tc>
          <w:tcPr>
            <w:tcW w:w="1320" w:type="dxa"/>
          </w:tcPr>
          <w:p w14:paraId="48A2B44C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(22.22)</w:t>
            </w:r>
          </w:p>
        </w:tc>
      </w:tr>
      <w:tr w:rsidR="00E62026" w14:paraId="0695E5B4" w14:textId="77777777">
        <w:trPr>
          <w:trHeight w:val="200"/>
          <w:jc w:val="center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2D43FB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Postoperative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Neuropsychological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Protocol</w:t>
            </w:r>
            <w:proofErr w:type="spellEnd"/>
          </w:p>
        </w:tc>
      </w:tr>
      <w:tr w:rsidR="00E62026" w14:paraId="177A5BAF" w14:textId="77777777">
        <w:trPr>
          <w:jc w:val="center"/>
        </w:trPr>
        <w:tc>
          <w:tcPr>
            <w:tcW w:w="4320" w:type="dxa"/>
          </w:tcPr>
          <w:p w14:paraId="3F99E50F" w14:textId="77777777" w:rsidR="00E62026" w:rsidRDefault="00000000">
            <w:pPr>
              <w:spacing w:line="36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WMS-I</w:t>
            </w:r>
          </w:p>
        </w:tc>
        <w:tc>
          <w:tcPr>
            <w:tcW w:w="1320" w:type="dxa"/>
          </w:tcPr>
          <w:p w14:paraId="0DF552E9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(59.3)</w:t>
            </w:r>
          </w:p>
        </w:tc>
      </w:tr>
      <w:tr w:rsidR="00E62026" w14:paraId="0EFA7A8D" w14:textId="77777777">
        <w:trPr>
          <w:jc w:val="center"/>
        </w:trPr>
        <w:tc>
          <w:tcPr>
            <w:tcW w:w="4320" w:type="dxa"/>
          </w:tcPr>
          <w:p w14:paraId="4C1C1467" w14:textId="77777777" w:rsidR="00E62026" w:rsidRDefault="00000000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WMS-III </w:t>
            </w:r>
          </w:p>
        </w:tc>
        <w:tc>
          <w:tcPr>
            <w:tcW w:w="1320" w:type="dxa"/>
            <w:tcBorders>
              <w:bottom w:val="single" w:sz="12" w:space="0" w:color="808080"/>
            </w:tcBorders>
          </w:tcPr>
          <w:p w14:paraId="6C47865C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(40.7)</w:t>
            </w:r>
          </w:p>
        </w:tc>
      </w:tr>
    </w:tbl>
    <w:p w14:paraId="3A3C21C1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7BB3C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SD: Standard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IQR: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Interquartile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WMS-I: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I, WMS-III: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14:paraId="6806C9A2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227B6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A657C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IQ (pre: 74.2±13.3, post: 74.7±13.2, p=0.165), VI (pre: 75 [IQR 67–83.5], post: 78 [IQR 66.3–84.8], p=0.126),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 (pre: 75.5±11.3, post: 75.4±14.32, p=0.169). Beck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(pre: 15.5 [IQR 11.5–23.2], post: 9 [IQR 6–28], p=1). </w:t>
      </w:r>
      <w:commentRangeStart w:id="1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scores (pre: 36.9±8.3, post: 34.5±9.9, p=0.019)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(Table 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15"/>
      <w:r w:rsidR="0065183A">
        <w:rPr>
          <w:rStyle w:val="Refdecomentario"/>
        </w:rPr>
        <w:commentReference w:id="15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51.9% (n=14)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60.5% (n=23)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(p=0.073).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VCI, PRI,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commentRangeStart w:id="1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Figure </w:t>
      </w:r>
      <w:commentRangeEnd w:id="16"/>
      <w:r w:rsidR="006C27B8">
        <w:rPr>
          <w:rStyle w:val="Refdecomentario"/>
        </w:rPr>
        <w:commentReference w:id="16"/>
      </w:r>
      <w:r>
        <w:rPr>
          <w:rFonts w:ascii="Times New Roman" w:eastAsia="Times New Roman" w:hAnsi="Times New Roman" w:cs="Times New Roman"/>
          <w:b/>
          <w:sz w:val="24"/>
          <w:szCs w:val="24"/>
        </w:rPr>
        <w:t>1).</w:t>
      </w:r>
    </w:p>
    <w:p w14:paraId="09C3FCE6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9B588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6022A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N=38</w:t>
      </w:r>
      <w:commentRangeEnd w:id="17"/>
      <w:r w:rsidR="006C27B8">
        <w:rPr>
          <w:rStyle w:val="Refdecomentario"/>
        </w:rPr>
        <w:commentReference w:id="17"/>
      </w:r>
    </w:p>
    <w:p w14:paraId="27CDE458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0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1545"/>
        <w:gridCol w:w="2265"/>
        <w:gridCol w:w="1140"/>
      </w:tblGrid>
      <w:tr w:rsidR="00E62026" w14:paraId="2EBE269A" w14:textId="77777777">
        <w:trPr>
          <w:jc w:val="center"/>
        </w:trPr>
        <w:tc>
          <w:tcPr>
            <w:tcW w:w="3090" w:type="dxa"/>
            <w:tcBorders>
              <w:top w:val="single" w:sz="12" w:space="0" w:color="808080"/>
              <w:bottom w:val="single" w:sz="12" w:space="0" w:color="808080"/>
            </w:tcBorders>
          </w:tcPr>
          <w:p w14:paraId="20BDCAB4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545" w:type="dxa"/>
            <w:tcBorders>
              <w:top w:val="single" w:sz="12" w:space="0" w:color="808080"/>
              <w:bottom w:val="single" w:sz="12" w:space="0" w:color="808080"/>
            </w:tcBorders>
          </w:tcPr>
          <w:p w14:paraId="2C1620DA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Preoperative</w:t>
            </w:r>
          </w:p>
        </w:tc>
        <w:tc>
          <w:tcPr>
            <w:tcW w:w="2265" w:type="dxa"/>
            <w:tcBorders>
              <w:top w:val="single" w:sz="12" w:space="0" w:color="808080"/>
              <w:bottom w:val="single" w:sz="12" w:space="0" w:color="808080"/>
            </w:tcBorders>
          </w:tcPr>
          <w:p w14:paraId="67F70D48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Postoperative</w:t>
            </w:r>
            <w:proofErr w:type="spellEnd"/>
          </w:p>
        </w:tc>
        <w:tc>
          <w:tcPr>
            <w:tcW w:w="1140" w:type="dxa"/>
            <w:tcBorders>
              <w:top w:val="single" w:sz="12" w:space="0" w:color="808080"/>
              <w:bottom w:val="single" w:sz="12" w:space="0" w:color="808080"/>
            </w:tcBorders>
          </w:tcPr>
          <w:p w14:paraId="0BC564F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proofErr w:type="spellEnd"/>
          </w:p>
        </w:tc>
      </w:tr>
      <w:tr w:rsidR="00E62026" w14:paraId="28BADD86" w14:textId="77777777">
        <w:trPr>
          <w:jc w:val="center"/>
        </w:trPr>
        <w:tc>
          <w:tcPr>
            <w:tcW w:w="3090" w:type="dxa"/>
            <w:tcBorders>
              <w:top w:val="single" w:sz="12" w:space="0" w:color="808080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DBAC80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IQ±SD</w:t>
            </w:r>
          </w:p>
        </w:tc>
        <w:tc>
          <w:tcPr>
            <w:tcW w:w="1545" w:type="dxa"/>
            <w:tcBorders>
              <w:top w:val="single" w:sz="12" w:space="0" w:color="808080"/>
            </w:tcBorders>
          </w:tcPr>
          <w:p w14:paraId="39757A13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74.2±13.3</w:t>
            </w:r>
          </w:p>
        </w:tc>
        <w:tc>
          <w:tcPr>
            <w:tcW w:w="2265" w:type="dxa"/>
            <w:tcBorders>
              <w:top w:val="single" w:sz="12" w:space="0" w:color="808080"/>
            </w:tcBorders>
          </w:tcPr>
          <w:p w14:paraId="6AD900F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74.7±13.2</w:t>
            </w:r>
          </w:p>
        </w:tc>
        <w:tc>
          <w:tcPr>
            <w:tcW w:w="1140" w:type="dxa"/>
            <w:tcBorders>
              <w:top w:val="single" w:sz="12" w:space="0" w:color="808080"/>
            </w:tcBorders>
          </w:tcPr>
          <w:p w14:paraId="2208052A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0.165</w:t>
            </w:r>
          </w:p>
        </w:tc>
      </w:tr>
      <w:tr w:rsidR="00E62026" w14:paraId="3A246CEA" w14:textId="77777777">
        <w:trPr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D1192D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VCI (IQR)</w:t>
            </w:r>
          </w:p>
        </w:tc>
        <w:tc>
          <w:tcPr>
            <w:tcW w:w="1545" w:type="dxa"/>
          </w:tcPr>
          <w:p w14:paraId="27BF8F5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(67-83.5)</w:t>
            </w:r>
          </w:p>
        </w:tc>
        <w:tc>
          <w:tcPr>
            <w:tcW w:w="2265" w:type="dxa"/>
          </w:tcPr>
          <w:p w14:paraId="7AEBCF94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(66.3-84.8)</w:t>
            </w:r>
          </w:p>
        </w:tc>
        <w:tc>
          <w:tcPr>
            <w:tcW w:w="1140" w:type="dxa"/>
          </w:tcPr>
          <w:p w14:paraId="43875714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0.126</w:t>
            </w:r>
          </w:p>
        </w:tc>
      </w:tr>
      <w:tr w:rsidR="00E62026" w14:paraId="15602EFC" w14:textId="77777777">
        <w:trPr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730DE6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PRI±SD</w:t>
            </w:r>
          </w:p>
        </w:tc>
        <w:tc>
          <w:tcPr>
            <w:tcW w:w="1545" w:type="dxa"/>
          </w:tcPr>
          <w:p w14:paraId="32E8EF92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75.5 ±11.3</w:t>
            </w:r>
          </w:p>
        </w:tc>
        <w:tc>
          <w:tcPr>
            <w:tcW w:w="2265" w:type="dxa"/>
          </w:tcPr>
          <w:p w14:paraId="2D3B84AA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75.4 ±14.32</w:t>
            </w:r>
          </w:p>
        </w:tc>
        <w:tc>
          <w:tcPr>
            <w:tcW w:w="1140" w:type="dxa"/>
          </w:tcPr>
          <w:p w14:paraId="5F5D325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0.169</w:t>
            </w:r>
          </w:p>
        </w:tc>
      </w:tr>
      <w:tr w:rsidR="00E62026" w14:paraId="59932A52" w14:textId="77777777">
        <w:trPr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F7400E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score ±SD</w:t>
            </w:r>
          </w:p>
        </w:tc>
        <w:tc>
          <w:tcPr>
            <w:tcW w:w="1545" w:type="dxa"/>
          </w:tcPr>
          <w:p w14:paraId="1961300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36.9±8.3</w:t>
            </w:r>
          </w:p>
        </w:tc>
        <w:tc>
          <w:tcPr>
            <w:tcW w:w="2265" w:type="dxa"/>
          </w:tcPr>
          <w:p w14:paraId="407B64D0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34.5±9.9</w:t>
            </w:r>
          </w:p>
        </w:tc>
        <w:tc>
          <w:tcPr>
            <w:tcW w:w="1140" w:type="dxa"/>
          </w:tcPr>
          <w:p w14:paraId="58D76038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0.019</w:t>
            </w:r>
          </w:p>
        </w:tc>
      </w:tr>
      <w:tr w:rsidR="00E62026" w14:paraId="06A839A4" w14:textId="77777777">
        <w:trPr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CB6DCB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Anomia (%)</w:t>
            </w:r>
          </w:p>
        </w:tc>
        <w:tc>
          <w:tcPr>
            <w:tcW w:w="1545" w:type="dxa"/>
          </w:tcPr>
          <w:p w14:paraId="003FF51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(51.9)</w:t>
            </w:r>
          </w:p>
        </w:tc>
        <w:tc>
          <w:tcPr>
            <w:tcW w:w="2265" w:type="dxa"/>
          </w:tcPr>
          <w:p w14:paraId="30A94B71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(60.5)</w:t>
            </w:r>
          </w:p>
        </w:tc>
        <w:tc>
          <w:tcPr>
            <w:tcW w:w="1140" w:type="dxa"/>
          </w:tcPr>
          <w:p w14:paraId="69C005B7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0.073</w:t>
            </w:r>
          </w:p>
        </w:tc>
      </w:tr>
      <w:tr w:rsidR="00E62026" w14:paraId="1912C0D5" w14:textId="77777777">
        <w:trPr>
          <w:jc w:val="center"/>
        </w:trPr>
        <w:tc>
          <w:tcPr>
            <w:tcW w:w="3090" w:type="dxa"/>
            <w:tcBorders>
              <w:top w:val="nil"/>
              <w:left w:val="nil"/>
              <w:bottom w:val="single" w:sz="12" w:space="0" w:color="80808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B7FB3A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Beck score (IQR)</w:t>
            </w:r>
          </w:p>
        </w:tc>
        <w:tc>
          <w:tcPr>
            <w:tcW w:w="1545" w:type="dxa"/>
            <w:tcBorders>
              <w:bottom w:val="single" w:sz="12" w:space="0" w:color="808080"/>
            </w:tcBorders>
          </w:tcPr>
          <w:p w14:paraId="732DD82D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 (11.5-23.2)</w:t>
            </w:r>
          </w:p>
        </w:tc>
        <w:tc>
          <w:tcPr>
            <w:tcW w:w="2265" w:type="dxa"/>
            <w:tcBorders>
              <w:bottom w:val="single" w:sz="12" w:space="0" w:color="808080"/>
            </w:tcBorders>
          </w:tcPr>
          <w:p w14:paraId="40CB3D25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(6-28)</w:t>
            </w:r>
          </w:p>
        </w:tc>
        <w:tc>
          <w:tcPr>
            <w:tcW w:w="1140" w:type="dxa"/>
            <w:tcBorders>
              <w:bottom w:val="single" w:sz="12" w:space="0" w:color="808080"/>
            </w:tcBorders>
          </w:tcPr>
          <w:p w14:paraId="4FF58597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F7C7016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IQ: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quotient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(VCI), Perceptual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(PRI), SD: Standard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IQR: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Interquartile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</w:p>
    <w:p w14:paraId="63E4EB7C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AD8AD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Protocols</w:t>
      </w:r>
      <w:proofErr w:type="spellEnd"/>
    </w:p>
    <w:p w14:paraId="66C73C83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Fifteen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underwent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WMS-I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IQ, VCI, PRI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scores.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53.3% (n=8)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73.3% (n=11),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(p=0.248).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Similarly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(Table 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695B5D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E2B63B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5DF2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8"/>
      <w:r w:rsidRPr="0065183A">
        <w:rPr>
          <w:rFonts w:ascii="Times New Roman" w:eastAsia="Times New Roman" w:hAnsi="Times New Roman" w:cs="Times New Roman"/>
          <w:sz w:val="24"/>
          <w:szCs w:val="24"/>
          <w:highlight w:val="yellow"/>
        </w:rPr>
        <w:t>WMS I N=15</w:t>
      </w:r>
      <w:commentRangeEnd w:id="18"/>
      <w:r w:rsidR="006C27B8">
        <w:rPr>
          <w:rStyle w:val="Refdecomentario"/>
        </w:rPr>
        <w:commentReference w:id="18"/>
      </w:r>
    </w:p>
    <w:p w14:paraId="20FEE6B0" w14:textId="77777777" w:rsidR="00E62026" w:rsidRDefault="00E620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2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85"/>
        <w:gridCol w:w="1695"/>
        <w:gridCol w:w="1845"/>
        <w:gridCol w:w="1110"/>
      </w:tblGrid>
      <w:tr w:rsidR="00E62026" w14:paraId="004D26B4" w14:textId="77777777">
        <w:trPr>
          <w:tblHeader/>
          <w:jc w:val="center"/>
        </w:trPr>
        <w:tc>
          <w:tcPr>
            <w:tcW w:w="358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A9A7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69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62F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Preoperative</w:t>
            </w:r>
          </w:p>
        </w:tc>
        <w:tc>
          <w:tcPr>
            <w:tcW w:w="184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0B1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Postoperative</w:t>
            </w:r>
            <w:proofErr w:type="spellEnd"/>
          </w:p>
        </w:tc>
        <w:tc>
          <w:tcPr>
            <w:tcW w:w="111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A90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proofErr w:type="spellEnd"/>
          </w:p>
        </w:tc>
      </w:tr>
      <w:tr w:rsidR="00E62026" w14:paraId="47FC1CE4" w14:textId="77777777">
        <w:trPr>
          <w:jc w:val="center"/>
        </w:trPr>
        <w:tc>
          <w:tcPr>
            <w:tcW w:w="358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65BD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IQ ±SD</w:t>
            </w:r>
          </w:p>
        </w:tc>
        <w:tc>
          <w:tcPr>
            <w:tcW w:w="169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CCC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79.7± 14.5</w:t>
            </w:r>
          </w:p>
        </w:tc>
        <w:tc>
          <w:tcPr>
            <w:tcW w:w="184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5465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72.5± 13.05</w:t>
            </w:r>
          </w:p>
        </w:tc>
        <w:tc>
          <w:tcPr>
            <w:tcW w:w="111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9FED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0.185</w:t>
            </w:r>
          </w:p>
        </w:tc>
      </w:tr>
      <w:tr w:rsidR="00E62026" w14:paraId="37849652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2FD8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VCI ±SD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433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82± 19.8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755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81± 11.5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54B7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0.147</w:t>
            </w:r>
          </w:p>
        </w:tc>
      </w:tr>
      <w:tr w:rsidR="00E62026" w14:paraId="46A883BD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973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 ±SD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E12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78.5 ± 12.5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D28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76.33 ± 14.7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7F6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0.338</w:t>
            </w:r>
          </w:p>
        </w:tc>
      </w:tr>
      <w:tr w:rsidR="00E62026" w14:paraId="72B27F21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CF4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score ±DE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22D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37.60 ± 8.0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7D35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34.60 ± 9.4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3CF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0.324</w:t>
            </w:r>
          </w:p>
        </w:tc>
      </w:tr>
      <w:tr w:rsidR="00E62026" w14:paraId="65B48104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FAD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Anomia (%)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F81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(53.3)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A3B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(73.3)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101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0.248</w:t>
            </w:r>
          </w:p>
        </w:tc>
      </w:tr>
      <w:tr w:rsidR="00E62026" w14:paraId="2F70840E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67AB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(IQR)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F69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8.50 (8-10.5)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04A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7.60 (7.5-8)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245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0.101</w:t>
            </w:r>
          </w:p>
        </w:tc>
      </w:tr>
      <w:tr w:rsidR="00E62026" w14:paraId="58FA45B3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E94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(±SD)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FFC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12.13 ± 3.9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A89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9.95 ± 3.03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9C8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0.101</w:t>
            </w:r>
          </w:p>
        </w:tc>
      </w:tr>
      <w:tr w:rsidR="00E62026" w14:paraId="6E0CD40A" w14:textId="77777777">
        <w:trPr>
          <w:trHeight w:val="414"/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C46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(IQR)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D41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 (4-5)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82A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 (4-4.5)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A29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0.757</w:t>
            </w:r>
          </w:p>
        </w:tc>
      </w:tr>
      <w:tr w:rsidR="00E62026" w14:paraId="28961188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06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(IQR)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407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(8.5-10)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E6D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(7-9.5)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DF3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0.110</w:t>
            </w:r>
          </w:p>
        </w:tc>
      </w:tr>
      <w:tr w:rsidR="00E62026" w14:paraId="2DD97064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4C1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Delayed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at 3 minutes (IQR)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3B3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 (6-7.5)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627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 (5-7)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B097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0.477</w:t>
            </w:r>
          </w:p>
        </w:tc>
      </w:tr>
      <w:tr w:rsidR="00E62026" w14:paraId="2F5650AF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768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Delayed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at 20 minutes (IQR)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2C5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 (5-6.5)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307C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 (3.5-5)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F80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0.598</w:t>
            </w:r>
          </w:p>
        </w:tc>
      </w:tr>
      <w:tr w:rsidR="00E62026" w14:paraId="46057050" w14:textId="77777777">
        <w:trPr>
          <w:jc w:val="center"/>
        </w:trPr>
        <w:tc>
          <w:tcPr>
            <w:tcW w:w="35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1F5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(IQR)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3229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(9-10)</w:t>
            </w:r>
          </w:p>
        </w:tc>
        <w:tc>
          <w:tcPr>
            <w:tcW w:w="184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470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10(8-10)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D1B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0.141</w:t>
            </w:r>
          </w:p>
        </w:tc>
      </w:tr>
      <w:tr w:rsidR="00E62026" w14:paraId="199CA8FC" w14:textId="77777777">
        <w:trPr>
          <w:trHeight w:val="609"/>
          <w:jc w:val="center"/>
        </w:trPr>
        <w:tc>
          <w:tcPr>
            <w:tcW w:w="3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7930" w14:textId="77777777" w:rsidR="00E62026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Visual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(IQR)</w:t>
            </w:r>
          </w:p>
          <w:p w14:paraId="2EE01542" w14:textId="77777777" w:rsidR="00E62026" w:rsidRDefault="00E620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514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(7.2-9)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010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(6.5-9)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6DC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0.203</w:t>
            </w:r>
          </w:p>
        </w:tc>
      </w:tr>
      <w:tr w:rsidR="00E62026" w14:paraId="515D4488" w14:textId="77777777">
        <w:trPr>
          <w:jc w:val="center"/>
        </w:trPr>
        <w:tc>
          <w:tcPr>
            <w:tcW w:w="358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888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Immediate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Figure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(±SD)</w:t>
            </w:r>
          </w:p>
        </w:tc>
        <w:tc>
          <w:tcPr>
            <w:tcW w:w="169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EA6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13.03± 4.41</w:t>
            </w:r>
          </w:p>
        </w:tc>
        <w:tc>
          <w:tcPr>
            <w:tcW w:w="184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3EB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13.80 ± 6.94</w:t>
            </w:r>
          </w:p>
        </w:tc>
        <w:tc>
          <w:tcPr>
            <w:tcW w:w="1110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3078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0.566</w:t>
            </w:r>
          </w:p>
        </w:tc>
      </w:tr>
    </w:tbl>
    <w:p w14:paraId="021B068D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IQ: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quotient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(VCI), Perceptual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(PRI), SD: Standard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IQR: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Interquartile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WMS-I: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I, WMS-III: Wechsler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14:paraId="61D70D56" w14:textId="77777777" w:rsidR="00E62026" w:rsidRDefault="00E620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78C57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WMS-III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IQ, VCI, PRI,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scores.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40% (n=2)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60% (n=3),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(p=1).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(Table 4)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FA5E6" w14:textId="77777777" w:rsidR="00E62026" w:rsidRDefault="0000000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5" w:color="000000"/>
        </w:pBdr>
        <w:spacing w:before="60" w:after="60" w:line="36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4: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Pre-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9"/>
      <w:r>
        <w:rPr>
          <w:rFonts w:ascii="Times New Roman" w:eastAsia="Times New Roman" w:hAnsi="Times New Roman" w:cs="Times New Roman"/>
          <w:sz w:val="24"/>
          <w:szCs w:val="24"/>
        </w:rPr>
        <w:t>WMS-III N= 5</w:t>
      </w:r>
      <w:commentRangeEnd w:id="19"/>
      <w:r w:rsidR="0065183A">
        <w:rPr>
          <w:rStyle w:val="Refdecomentario"/>
        </w:rPr>
        <w:commentReference w:id="19"/>
      </w:r>
    </w:p>
    <w:p w14:paraId="2ECC1630" w14:textId="77777777" w:rsidR="00E62026" w:rsidRDefault="00E6202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5" w:color="000000"/>
        </w:pBdr>
        <w:spacing w:before="60" w:after="60" w:line="360" w:lineRule="auto"/>
        <w:ind w:left="60" w:right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2"/>
        <w:tblW w:w="85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45"/>
        <w:gridCol w:w="2130"/>
        <w:gridCol w:w="1995"/>
        <w:gridCol w:w="1110"/>
      </w:tblGrid>
      <w:tr w:rsidR="00E62026" w14:paraId="1B2F65B6" w14:textId="77777777">
        <w:trPr>
          <w:tblHeader/>
          <w:jc w:val="center"/>
        </w:trPr>
        <w:tc>
          <w:tcPr>
            <w:tcW w:w="334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FAA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3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33A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Pre-quirúrgico</w:t>
            </w:r>
          </w:p>
        </w:tc>
        <w:tc>
          <w:tcPr>
            <w:tcW w:w="199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97F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Post-quirúrgico</w:t>
            </w:r>
          </w:p>
        </w:tc>
        <w:tc>
          <w:tcPr>
            <w:tcW w:w="111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A7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p</w:t>
            </w:r>
          </w:p>
        </w:tc>
      </w:tr>
      <w:tr w:rsidR="00E62026" w14:paraId="381143A4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B8FC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IQ ±SD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421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68.20 ± 5.5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2139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65.80 ± 8.3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778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0.451</w:t>
            </w:r>
          </w:p>
        </w:tc>
      </w:tr>
      <w:tr w:rsidR="00E62026" w14:paraId="70863C2C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B1C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VCI ±SD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4EB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70.40 ± 4.4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C51D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68.00 ± 10.5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A73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0.479</w:t>
            </w:r>
          </w:p>
        </w:tc>
      </w:tr>
      <w:tr w:rsidR="00E62026" w14:paraId="0B6532C0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4C5B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 ±SD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405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73.60 ± 9.5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FD3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69.80 ± 7.3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79F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0.534</w:t>
            </w:r>
          </w:p>
        </w:tc>
      </w:tr>
      <w:tr w:rsidR="00E62026" w14:paraId="2673A6BC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B09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score ±DE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62B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 ± 3.7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27F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29.40 ± 5.7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7FD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0.106</w:t>
            </w:r>
          </w:p>
        </w:tc>
      </w:tr>
      <w:tr w:rsidR="00E62026" w14:paraId="7CC65BDB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2F1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Anomia (%)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9445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(40)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1D5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(60)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743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026" w14:paraId="5DC9AF45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DB8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Attempt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33A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(9.00 - 10.00)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E882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 (5.00 - 7.00)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731B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</w:tr>
      <w:tr w:rsidR="00E62026" w14:paraId="30ACB848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C97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236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 (6.00 - 6.00)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41F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 (3.00 - 3.00)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7E3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E62026" w14:paraId="46E9782A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73C0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Long-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8588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 (7.00 - 8.00)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AB1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 (3.00 - 5.00)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695A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0.104</w:t>
            </w:r>
          </w:p>
        </w:tc>
      </w:tr>
      <w:tr w:rsidR="00E62026" w14:paraId="00602C0D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AE4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(±SD)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135C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 ± 2.5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9427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6.40 ± 4.4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6CF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0.101</w:t>
            </w:r>
          </w:p>
        </w:tc>
      </w:tr>
      <w:tr w:rsidR="00E62026" w14:paraId="171ED4DA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A1A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A+B (±SD)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311B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4.60 ± 2.5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B70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3.40 ± 3.05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6A68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0.305</w:t>
            </w:r>
          </w:p>
        </w:tc>
      </w:tr>
      <w:tr w:rsidR="00E62026" w14:paraId="7E200D21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6419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A+B+B’ (±SD)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CFB3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5.00 ± 3.7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DDD8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3.60 ± 3.2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7CCF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0.515</w:t>
            </w:r>
          </w:p>
        </w:tc>
      </w:tr>
      <w:tr w:rsidR="00E62026" w14:paraId="0D5D1FE6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9576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(±SD)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AE0C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5.60 ± 3.8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0EED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 ± 2.8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6AA4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E62026" w14:paraId="5C654787" w14:textId="77777777">
        <w:trPr>
          <w:jc w:val="center"/>
        </w:trPr>
        <w:tc>
          <w:tcPr>
            <w:tcW w:w="334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79DE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 score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Immediate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Figure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(±SD)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2625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± 3.5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33E1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 ± 4.4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21CB" w14:textId="77777777" w:rsidR="00E6202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0.490</w:t>
            </w:r>
          </w:p>
        </w:tc>
      </w:tr>
    </w:tbl>
    <w:p w14:paraId="3475FDA1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IQ: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quotient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(VCI), Perceptual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(PRI), SD: Standard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IQR: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Interquartile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</w:p>
    <w:p w14:paraId="2D8FDF6F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7B65EB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2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</w:t>
      </w:r>
      <w:commentRangeEnd w:id="20"/>
      <w:r w:rsidR="006C27B8">
        <w:rPr>
          <w:rStyle w:val="Refdecomentario"/>
        </w:rPr>
        <w:commentReference w:id="20"/>
      </w:r>
    </w:p>
    <w:p w14:paraId="30018B8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5201B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fundamental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Atehortua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total score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 (Kaplan et al., 1983),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worsening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confrontation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17F316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D582A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Previous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Atehortua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Chengxiong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revealed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IQ, VCI, PRI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apparent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attributed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cerebral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-frontal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(P-FIT),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uninterrupted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interconnected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cerebral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fibers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dorsolateral prefrontal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parietal lobe,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cingulate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and occipital </w:t>
      </w:r>
      <w:commentRangeStart w:id="2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cortices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21"/>
      <w:r w:rsidR="006C27B8">
        <w:rPr>
          <w:rStyle w:val="Refdecomentario"/>
        </w:rPr>
        <w:commentReference w:id="21"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2010; Jung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2007; Page et al., 2024).</w:t>
      </w:r>
    </w:p>
    <w:p w14:paraId="1201736C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59F4B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(6.50%).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(Espinosa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2023; Sabadell et al., 2024; Sherman et al., 2011).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Sabdell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(2024),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involving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underwent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57.14%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</w:t>
      </w:r>
      <w:commentRangeStart w:id="22"/>
      <w:r>
        <w:rPr>
          <w:rFonts w:ascii="Times New Roman" w:eastAsia="Times New Roman" w:hAnsi="Times New Roman" w:cs="Times New Roman"/>
          <w:sz w:val="24"/>
          <w:szCs w:val="24"/>
        </w:rPr>
        <w:t>,</w:t>
      </w:r>
      <w:commentRangeEnd w:id="22"/>
      <w:r w:rsidR="002E14FF">
        <w:rPr>
          <w:rStyle w:val="Refdecomentario"/>
        </w:rPr>
        <w:commentReference w:id="2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04%),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BNT.</w:t>
      </w:r>
    </w:p>
    <w:p w14:paraId="3EACEEC4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50ABF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(MWS-I and MWS-III),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tendency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(44%) (Espinosa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hemisphere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(Espinosa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2023; Gutiérrez-Álvarez et al., 2021; Heaney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Baxendale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Krámská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Ljunggren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2019). </w:t>
      </w:r>
    </w:p>
    <w:p w14:paraId="30E22FF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5725FE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2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23"/>
      <w:r w:rsidR="002E14FF">
        <w:rPr>
          <w:rStyle w:val="Refdecomentario"/>
        </w:rPr>
        <w:commentReference w:id="23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convenience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carefully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potentially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updates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and non-verbal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596680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BE25A0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declines in cognitive performance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promptly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positive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cerebral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magnetic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 Vasconcelos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2017; Joplin et al., 2018; Mosca et al., 2014).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Similarly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3.4 times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Helmstaedter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2018). 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(Sabadell et al., </w:t>
      </w:r>
      <w:commentRangeStart w:id="24"/>
      <w:r>
        <w:rPr>
          <w:rFonts w:ascii="Times New Roman" w:eastAsia="Times New Roman" w:hAnsi="Times New Roman" w:cs="Times New Roman"/>
          <w:sz w:val="24"/>
          <w:szCs w:val="24"/>
        </w:rPr>
        <w:t>2024</w:t>
      </w:r>
      <w:commentRangeEnd w:id="24"/>
      <w:r w:rsidR="002E14FF">
        <w:rPr>
          <w:rStyle w:val="Refdecomentario"/>
        </w:rPr>
        <w:commentReference w:id="24"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3B63EE5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97B3E1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73DC8CA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D2BFF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pharmacoresistant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TLE preserves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confrontation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possibly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decline in scores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commentRangeEnd w:id="25"/>
      <w:r w:rsidR="002E14FF">
        <w:rPr>
          <w:rStyle w:val="Refdecomentario"/>
        </w:rPr>
        <w:commentReference w:id="25"/>
      </w:r>
    </w:p>
    <w:p w14:paraId="675DD889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heterogeneity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(WMS-I and WMS-III)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accurately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determine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Start w:id="26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commentRangeEnd w:id="26"/>
      <w:r w:rsidR="002E14FF">
        <w:rPr>
          <w:rStyle w:val="Refdecomentario"/>
        </w:rPr>
        <w:commentReference w:id="26"/>
      </w:r>
    </w:p>
    <w:p w14:paraId="1648E633" w14:textId="04F22135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commentRangeStart w:id="2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commentRangeEnd w:id="27"/>
      <w:proofErr w:type="spellEnd"/>
      <w:r w:rsidR="002E14FF">
        <w:rPr>
          <w:rStyle w:val="Refdecomentario"/>
        </w:rPr>
        <w:commentReference w:id="2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3F19F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ACKNOWLEDGMENTS</w:t>
      </w:r>
    </w:p>
    <w:p w14:paraId="634911FD" w14:textId="77777777" w:rsidR="00E62026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gratitude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Anonymized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43FDB7" w14:textId="77777777" w:rsidR="00E62026" w:rsidRDefault="00000000">
      <w:pPr>
        <w:shd w:val="clear" w:color="auto" w:fill="FFFFFF"/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DISCLOSURE OF INTEREST</w:t>
      </w:r>
    </w:p>
    <w:p w14:paraId="1C69110D" w14:textId="77777777" w:rsidR="00E62026" w:rsidRDefault="00000000">
      <w:pPr>
        <w:shd w:val="clear" w:color="auto" w:fill="FFFFFF"/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conﬂict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FE2B6" w14:textId="77777777" w:rsidR="00E62026" w:rsidRDefault="00000000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FUNDING</w:t>
      </w:r>
    </w:p>
    <w:p w14:paraId="2D69226E" w14:textId="77777777" w:rsidR="00E62026" w:rsidRDefault="00000000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agencies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not-for-profit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5AA649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AA0D91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28"/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commentRangeEnd w:id="28"/>
      <w:r w:rsidR="00281DFE">
        <w:rPr>
          <w:rStyle w:val="Refdecomentario"/>
        </w:rPr>
        <w:commentReference w:id="28"/>
      </w:r>
    </w:p>
    <w:p w14:paraId="23D765B8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6608DB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Atehortua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Llano, D., &amp; Camilo Suárez-Escudero, J. (2012). Caracterización clínica y perfil cognitivo pre y post cirugía de epilepsia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farmaco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-resistente.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Acta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Neurologica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Colombiana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29"/>
      <w:r>
        <w:rPr>
          <w:rFonts w:ascii="Times New Roman" w:eastAsia="Times New Roman" w:hAnsi="Times New Roman" w:cs="Times New Roman"/>
          <w:sz w:val="24"/>
          <w:szCs w:val="24"/>
        </w:rPr>
        <w:t xml:space="preserve">(Vol. 28,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  <w:commentRangeEnd w:id="29"/>
      <w:r w:rsidR="00281DFE">
        <w:rPr>
          <w:rStyle w:val="Refdecomentario"/>
        </w:rPr>
        <w:commentReference w:id="29"/>
      </w:r>
    </w:p>
    <w:p w14:paraId="7A6E7832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Bell, B., Lin, J.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Seidenberg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Hermann, B. (2011).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neurobiology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Reviews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(Vol. 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3, pp. 154–164). https://doi.org/10.1038/nrneurol.2011.3</w:t>
      </w:r>
    </w:p>
    <w:p w14:paraId="7B0610AB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Bialek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Rydenhag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Malmgren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 (2014).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1990-2009 - A prospective longitudinal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(8), 641–645.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https://doi.org/10.1016/j.seizure.2014.05.003</w:t>
        </w:r>
      </w:hyperlink>
    </w:p>
    <w:p w14:paraId="32BA6FBA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Chen, Z., Brodie, M.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D., &amp; Kwan, P. (2018).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diagnosed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antiepileptic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30-year longitudinal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cohort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JAMA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z w:val="24"/>
          <w:szCs w:val="24"/>
        </w:rPr>
        <w:t>(3), 279–286. https://doi.org/10.1001/jamaneurol.2017.3949</w:t>
      </w:r>
    </w:p>
    <w:p w14:paraId="355CF2EF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Chengxiong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Dingyang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Zhiquani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Y. (2018).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medial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Anterior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versus selective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amygdalohippocampectomy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South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095C9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N., Behrens,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Kannemann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Merkel, N., Schuster,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Freiman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Strzelczyk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 (2020).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Cognitive Change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Reliable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Regression-Based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Change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Battery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German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Frontiers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 https://doi.org/10.3389/fpsyg.2020.582836</w:t>
      </w:r>
    </w:p>
    <w:p w14:paraId="47DF2D7D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Vasconcelos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Geraldi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Escorsi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-Rosset, S., Thompson, P., Silva, A. C. G.,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Sakamoto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 (2017).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Arquivos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Neuro-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Psiquiatria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z w:val="24"/>
          <w:szCs w:val="24"/>
        </w:rPr>
        <w:t>(6), 359–365. https://doi.org/10.1590/0004-282x20170050</w:t>
      </w:r>
    </w:p>
    <w:p w14:paraId="57E0FCB6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&amp; Johnson, W. (2010).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Reviews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(Vol. 11,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3, pp. 201–211). https://doi.org/10.1038/nrn2793</w:t>
      </w:r>
    </w:p>
    <w:p w14:paraId="6D4BA5F6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Espinosa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Agudelo Valencia, P., &amp; Torres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Urazán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 (2023). Riesgo neuropsicológico en epilepsia del lóbulo temporal.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Acta Neurológica Colombiana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(3). https://doi.org/10.22379/anc.v39i3.728</w:t>
      </w:r>
    </w:p>
    <w:p w14:paraId="0A2AB207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Gutiérrez-Álvarez, C., Zapata-Berruecos, J. F., Aguirre-Acevedo, D. C., Carvajal, J. S., &amp; Arboleda, A. (2021). Memoria episódica posterior a cirugía de epilepsia del lóbulo temporal.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Acta Neurológica Colombiana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(3), 110–118. https://doi.org/10.22379/24224022376</w:t>
      </w:r>
    </w:p>
    <w:p w14:paraId="22FC59FC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Heaney, D.,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Baxendale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(2011).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cognition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hippocampal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sclerosis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4614EF2A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Helmstaedter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E., &amp; Vogt, V. L. (2018). Cognitive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Remarkable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recovery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controlled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>, 116–123.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https://doi.org/10.1016/j.seizure.2018.09.023</w:t>
        </w:r>
      </w:hyperlink>
    </w:p>
    <w:p w14:paraId="2C27F733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Hsieh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K., Pucci, F. G.,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Kondylis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E., Sharma,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Sheikh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N., Gupta,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Bingaman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(2023).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Beyond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Dissecting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seizure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drug-resistant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Epilepsia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z w:val="24"/>
          <w:szCs w:val="24"/>
        </w:rPr>
        <w:t>(1), 103–113. https://doi.org/10.1111/epi.17445</w:t>
      </w:r>
    </w:p>
    <w:p w14:paraId="14432A4F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Joplin, S., Stewart,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Gascoigne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(2018).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Neuropsychology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(Vol. 28,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pp. 88–110). Springer New York LLC. https://doi.org/10.1007/s11065-018-9367-7</w:t>
      </w:r>
    </w:p>
    <w:p w14:paraId="6FBAD6D0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Jung, R. E.,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J. (2007).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-Frontal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(P-FIT)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Converging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neuroimaging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Behavioral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Brain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(Vol. 30,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 pp. 135–154). https://doi.org/10.1017/S0140525X07001185</w:t>
      </w:r>
    </w:p>
    <w:p w14:paraId="6DCFD9A7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0"/>
      <w:r>
        <w:rPr>
          <w:rFonts w:ascii="Times New Roman" w:eastAsia="Times New Roman" w:hAnsi="Times New Roman" w:cs="Times New Roman"/>
          <w:sz w:val="24"/>
          <w:szCs w:val="24"/>
        </w:rPr>
        <w:t xml:space="preserve">Kaplan,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Goodglass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Weintraub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(1983). Boston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Test.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PsycTESTS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Dataset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https://doi.org/10.1037/t27208-000</w:t>
      </w:r>
      <w:commentRangeEnd w:id="30"/>
      <w:r w:rsidR="00281DFE">
        <w:rPr>
          <w:rStyle w:val="Refdecomentario"/>
        </w:rPr>
        <w:commentReference w:id="30"/>
      </w:r>
    </w:p>
    <w:p w14:paraId="59DDD1AE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Krámská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Šroubek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Česák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Vojtěch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Z. (2022).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One-year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Surgical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International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 https://doi.org/10.25259/SNI_335_2022</w:t>
      </w:r>
    </w:p>
    <w:p w14:paraId="2DC1DD59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 Chang, J.,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Gomez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Viquez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E. (2017).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Epilepsia del lóbulo temporal.</w:t>
      </w:r>
    </w:p>
    <w:p w14:paraId="015570B5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Ljunggren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S., Andersson-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Roswall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Samuelsson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Malmgren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 (2019).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Predicting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Acta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Neurologica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Scandinavica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140</w:t>
      </w:r>
      <w:r>
        <w:rPr>
          <w:rFonts w:ascii="Times New Roman" w:eastAsia="Times New Roman" w:hAnsi="Times New Roman" w:cs="Times New Roman"/>
          <w:sz w:val="24"/>
          <w:szCs w:val="24"/>
        </w:rPr>
        <w:t>(5), 312–319. https://doi.org/10.1111/ane.13146</w:t>
      </w:r>
    </w:p>
    <w:p w14:paraId="45D18D45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Mohanraj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&amp; Brodie, M. J. (2006).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Diagnosing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refractory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Response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sequential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schedules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(3), 277–282. https://doi.org/10.1111/j.1468-1331.2006.01215.x</w:t>
      </w:r>
    </w:p>
    <w:p w14:paraId="13256EC8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Mosca,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Zoubrinetzy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Aguilar,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L., Kahane, P., &amp; Perrone-Bertolotti, M. (2014).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nonverbal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Reports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167–173. https://doi.org/10.1016/j.ebcr.2014.09.002</w:t>
      </w:r>
    </w:p>
    <w:p w14:paraId="1E179E03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Nascimento, F.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A.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Silvado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Mäder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-Joaquim, M. J., Moro, M. S., &amp; Araujo, J. C. (2016). Anterior temporal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versus selective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amygdalohippocampectomy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mesial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Arquivos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Neuro-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Psiquiatria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>(1), 35–43. https://doi.org/10.1590/0004-282X20150188</w:t>
      </w:r>
    </w:p>
    <w:p w14:paraId="0B15AB24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Page, D., Buchanan, C.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Moodie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E., Harris, M. A., Taylor, A., Valdés Hernández, M., Muñoz Maniega,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Wardlaw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J., &amp; Cox, S. R. (2024).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neurostructural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Lothian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Cohort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1936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Cortex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178</w:t>
      </w:r>
      <w:r>
        <w:rPr>
          <w:rFonts w:ascii="Times New Roman" w:eastAsia="Times New Roman" w:hAnsi="Times New Roman" w:cs="Times New Roman"/>
          <w:sz w:val="24"/>
          <w:szCs w:val="24"/>
        </w:rPr>
        <w:t>, 269–286. https://doi.org/10.1016/j.cortex.2024.06.007</w:t>
      </w:r>
    </w:p>
    <w:p w14:paraId="59533395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Sabadell, V.,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Trébuchon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 X. (2024).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anomia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drug-resistant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Reports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 https://doi.org/10.1016/j.ebr.2024.100681</w:t>
      </w:r>
    </w:p>
    <w:p w14:paraId="67EEBB1C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Sherman, E. M.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S., Fay-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Mcclymont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-Zenteno, J., Metcalfe,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Hernandez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-Ronquillo,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W. J.,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 (2011).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estimates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Epilepsia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z w:val="24"/>
          <w:szCs w:val="24"/>
        </w:rPr>
        <w:t>(5), 857–869.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https://doi.org/10.1111/j.1528-1167.2011.03022.x</w:t>
        </w:r>
      </w:hyperlink>
    </w:p>
    <w:p w14:paraId="4C8D1529" w14:textId="77777777" w:rsidR="00E62026" w:rsidRDefault="00000000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color w:val="2C72B7"/>
          <w:sz w:val="24"/>
          <w:szCs w:val="24"/>
          <w:highlight w:val="white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Blume, W. 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Girvin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P.,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Eliasziw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(2001).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randomized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controlled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surgery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temporal lobe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New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England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Medicine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(Vol. 345,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6">
        <w:r>
          <w:rPr>
            <w:rFonts w:ascii="Times New Roman" w:eastAsia="Times New Roman" w:hAnsi="Times New Roman" w:cs="Times New Roman"/>
            <w:color w:val="2C72B7"/>
            <w:sz w:val="24"/>
            <w:szCs w:val="24"/>
            <w:highlight w:val="white"/>
            <w:u w:val="single"/>
          </w:rPr>
          <w:t>https://doi.org/10.1056/NEJM200108023450501</w:t>
        </w:r>
      </w:hyperlink>
    </w:p>
    <w:p w14:paraId="5B71A6A0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2123512" w14:textId="77777777" w:rsidR="00E6202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AD16C" w14:textId="77777777" w:rsidR="00E62026" w:rsidRDefault="00E62026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10CEE" w14:textId="77777777" w:rsidR="00E62026" w:rsidRDefault="00E6202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202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 Ortega" w:date="2025-07-22T13:20:00Z" w:initials="CO">
    <w:p w14:paraId="5526EFD1" w14:textId="77777777" w:rsidR="008D5861" w:rsidRDefault="008D5861" w:rsidP="008D5861">
      <w:r>
        <w:rPr>
          <w:rStyle w:val="Refdecomentario"/>
        </w:rPr>
        <w:annotationRef/>
      </w:r>
      <w:r>
        <w:rPr>
          <w:sz w:val="20"/>
          <w:szCs w:val="20"/>
        </w:rPr>
        <w:t xml:space="preserve">Aún cuando el objetivo está claro, sugiero precisarlo aun más, por ejemplo: The present study aims to evaluate postoperative changes in language, memory, and intellectual capacity in patients with left TLE undergoing temporal lobectomy. </w:t>
      </w:r>
    </w:p>
  </w:comment>
  <w:comment w:id="1" w:author="Cristian Ortega" w:date="2025-07-22T13:21:00Z" w:initials="CO">
    <w:p w14:paraId="0EC140D7" w14:textId="77777777" w:rsidR="008D5861" w:rsidRDefault="008D5861" w:rsidP="008D5861">
      <w:r>
        <w:rPr>
          <w:rStyle w:val="Refdecomentario"/>
        </w:rPr>
        <w:annotationRef/>
      </w:r>
      <w:r>
        <w:rPr>
          <w:sz w:val="20"/>
          <w:szCs w:val="20"/>
        </w:rPr>
        <w:t xml:space="preserve">Lo mismo señalado anteriormente, en inglés. </w:t>
      </w:r>
    </w:p>
  </w:comment>
  <w:comment w:id="2" w:author="Cristian Ortega" w:date="2025-07-22T12:58:00Z" w:initials="CO">
    <w:p w14:paraId="2D80BEDD" w14:textId="7A939AB9" w:rsidR="00FF02D9" w:rsidRDefault="00FF02D9" w:rsidP="00FF02D9">
      <w:r>
        <w:rPr>
          <w:rStyle w:val="Refdecomentario"/>
        </w:rPr>
        <w:annotationRef/>
      </w:r>
      <w:r>
        <w:rPr>
          <w:sz w:val="20"/>
          <w:szCs w:val="20"/>
        </w:rPr>
        <w:t>Separar punto</w:t>
      </w:r>
    </w:p>
  </w:comment>
  <w:comment w:id="3" w:author="Cristian Ortega" w:date="2025-07-22T13:08:00Z" w:initials="CO">
    <w:p w14:paraId="4383597F" w14:textId="77777777" w:rsidR="009E6CD6" w:rsidRDefault="009E6CD6" w:rsidP="009E6CD6">
      <w:r>
        <w:rPr>
          <w:rStyle w:val="Refdecomentario"/>
        </w:rPr>
        <w:annotationRef/>
      </w:r>
      <w:r>
        <w:rPr>
          <w:sz w:val="20"/>
          <w:szCs w:val="20"/>
        </w:rPr>
        <w:t>Incluir punto "." en vez de coma ","</w:t>
      </w:r>
    </w:p>
  </w:comment>
  <w:comment w:id="4" w:author="Cristian Ortega" w:date="2025-07-22T13:08:00Z" w:initials="CO">
    <w:p w14:paraId="265F4AC5" w14:textId="1055CE0C" w:rsidR="009E6CD6" w:rsidRDefault="009E6CD6" w:rsidP="009E6CD6">
      <w:r>
        <w:rPr>
          <w:rStyle w:val="Refdecomentario"/>
        </w:rPr>
        <w:annotationRef/>
      </w:r>
      <w:r>
        <w:rPr>
          <w:sz w:val="20"/>
          <w:szCs w:val="20"/>
        </w:rPr>
        <w:t>Ya se mencionó antes la efectividad quirúrgica. Podría integrarse en el primer párrafo.</w:t>
      </w:r>
    </w:p>
  </w:comment>
  <w:comment w:id="5" w:author="Cristian Ortega" w:date="2025-07-22T13:12:00Z" w:initials="CO">
    <w:p w14:paraId="3F741CC7" w14:textId="77777777" w:rsidR="009E6CD6" w:rsidRDefault="009E6CD6" w:rsidP="009E6CD6">
      <w:r>
        <w:rPr>
          <w:rStyle w:val="Refdecomentario"/>
        </w:rPr>
        <w:annotationRef/>
      </w:r>
      <w:r>
        <w:rPr>
          <w:sz w:val="20"/>
          <w:szCs w:val="20"/>
        </w:rPr>
        <w:t xml:space="preserve">"do not", sugiero evitar contracciones del idioma para publicaciones académicas. </w:t>
      </w:r>
    </w:p>
  </w:comment>
  <w:comment w:id="6" w:author="Cristian Ortega" w:date="2025-07-22T13:18:00Z" w:initials="CO">
    <w:p w14:paraId="52C50931" w14:textId="77777777" w:rsidR="008D5861" w:rsidRDefault="008D5861" w:rsidP="008D5861">
      <w:r>
        <w:rPr>
          <w:rStyle w:val="Refdecomentario"/>
        </w:rPr>
        <w:annotationRef/>
      </w:r>
      <w:r>
        <w:rPr>
          <w:sz w:val="20"/>
          <w:szCs w:val="20"/>
        </w:rPr>
        <w:t>Propongo usar esta expresión: "which may negatively impact social functioning and self-confidence"</w:t>
      </w:r>
    </w:p>
  </w:comment>
  <w:comment w:id="7" w:author="Cristian Ortega" w:date="2025-07-22T13:10:00Z" w:initials="CO">
    <w:p w14:paraId="688E5923" w14:textId="3285BA03" w:rsidR="009E6CD6" w:rsidRDefault="009E6CD6" w:rsidP="009E6CD6">
      <w:r>
        <w:rPr>
          <w:rStyle w:val="Refdecomentario"/>
        </w:rPr>
        <w:annotationRef/>
      </w:r>
      <w:r>
        <w:rPr>
          <w:sz w:val="20"/>
          <w:szCs w:val="20"/>
        </w:rPr>
        <w:t>Sugiero: Moreover, memory outcomes vary depending on whether…</w:t>
      </w:r>
    </w:p>
  </w:comment>
  <w:comment w:id="8" w:author="Cristian Ortega" w:date="2025-07-22T13:11:00Z" w:initials="CO">
    <w:p w14:paraId="04AC76C8" w14:textId="77777777" w:rsidR="009E6CD6" w:rsidRDefault="009E6CD6" w:rsidP="009E6CD6">
      <w:r>
        <w:rPr>
          <w:rStyle w:val="Refdecomentario"/>
        </w:rPr>
        <w:annotationRef/>
      </w:r>
      <w:r>
        <w:rPr>
          <w:sz w:val="20"/>
          <w:szCs w:val="20"/>
        </w:rPr>
        <w:t>Sugiero: Therefore, a thorough cognitive evaluation is imperative...</w:t>
      </w:r>
    </w:p>
  </w:comment>
  <w:comment w:id="9" w:author="Cristian Ortega" w:date="2025-07-22T13:29:00Z" w:initials="CO">
    <w:p w14:paraId="4DDF368A" w14:textId="77777777" w:rsidR="00832797" w:rsidRDefault="00832797" w:rsidP="00832797">
      <w:r>
        <w:rPr>
          <w:rStyle w:val="Refdecomentario"/>
        </w:rPr>
        <w:annotationRef/>
      </w:r>
      <w:r>
        <w:rPr>
          <w:sz w:val="20"/>
          <w:szCs w:val="20"/>
        </w:rPr>
        <w:t>convenience sampling, lógicamente limita la generalización de los resultados.</w:t>
      </w:r>
    </w:p>
    <w:p w14:paraId="10D50BB5" w14:textId="77777777" w:rsidR="00832797" w:rsidRDefault="00832797" w:rsidP="00832797">
      <w:r>
        <w:rPr>
          <w:sz w:val="20"/>
          <w:szCs w:val="20"/>
        </w:rPr>
        <w:t>Sugiero indicarlo explícitamente en la discusión.</w:t>
      </w:r>
    </w:p>
  </w:comment>
  <w:comment w:id="10" w:author="Cristian Ortega" w:date="2025-07-22T13:25:00Z" w:initials="CO">
    <w:p w14:paraId="452C9B19" w14:textId="77777777" w:rsidR="0065183A" w:rsidRDefault="0063068B" w:rsidP="0065183A">
      <w:r>
        <w:rPr>
          <w:rStyle w:val="Refdecomentario"/>
        </w:rPr>
        <w:annotationRef/>
      </w:r>
      <w:r w:rsidR="0065183A">
        <w:rPr>
          <w:sz w:val="20"/>
          <w:szCs w:val="20"/>
        </w:rPr>
        <w:t xml:space="preserve">No menciona si esta estudio fué aprobado por un comité de ética. Debe mencionarse explicitamente. </w:t>
      </w:r>
    </w:p>
  </w:comment>
  <w:comment w:id="11" w:author="Cristian Ortega" w:date="2025-07-22T13:31:00Z" w:initials="CO">
    <w:p w14:paraId="78C2AA95" w14:textId="77777777" w:rsidR="0065183A" w:rsidRDefault="00832797" w:rsidP="0065183A">
      <w:r>
        <w:rPr>
          <w:rStyle w:val="Refdecomentario"/>
        </w:rPr>
        <w:annotationRef/>
      </w:r>
      <w:r w:rsidR="0065183A">
        <w:rPr>
          <w:sz w:val="20"/>
          <w:szCs w:val="20"/>
        </w:rPr>
        <w:t>No queda claro y es necesario especificar: a) ¿En qué momento postoperatorio se hicieron las evaluaciones neuropsicológicas (semanas o meses después de la cirugía)? b) ¿Hubo estandarización en la aplicación de las pruebas?</w:t>
      </w:r>
    </w:p>
  </w:comment>
  <w:comment w:id="12" w:author="Cristian Ortega" w:date="2025-07-22T13:33:00Z" w:initials="CO">
    <w:p w14:paraId="6E553ED3" w14:textId="77777777" w:rsidR="0065183A" w:rsidRDefault="00832797" w:rsidP="0065183A">
      <w:r>
        <w:rPr>
          <w:rStyle w:val="Refdecomentario"/>
        </w:rPr>
        <w:annotationRef/>
      </w:r>
      <w:r w:rsidR="0065183A">
        <w:rPr>
          <w:sz w:val="20"/>
          <w:szCs w:val="20"/>
        </w:rPr>
        <w:t>Es necesario indicar: ¿quién aplicó los test (¿psicólogas/os con fomación en neuropsicología, enfermeros/as, etc?) ¿hubo algún control de sesgos interevaluador?</w:t>
      </w:r>
    </w:p>
  </w:comment>
  <w:comment w:id="13" w:author="Cristian Ortega" w:date="2025-07-22T13:38:00Z" w:initials="CO">
    <w:p w14:paraId="1705538F" w14:textId="06D9A129" w:rsidR="00832797" w:rsidRDefault="00832797" w:rsidP="00832797">
      <w:r>
        <w:rPr>
          <w:rStyle w:val="Refdecomentario"/>
        </w:rPr>
        <w:annotationRef/>
      </w:r>
      <w:r>
        <w:rPr>
          <w:sz w:val="20"/>
          <w:szCs w:val="20"/>
        </w:rPr>
        <w:t>No se menciona si se realizó ajuste por comparaciones múltiples (importante si se evalúan muchos test).</w:t>
      </w:r>
    </w:p>
    <w:p w14:paraId="426348BA" w14:textId="77777777" w:rsidR="00832797" w:rsidRDefault="00832797" w:rsidP="00832797"/>
    <w:p w14:paraId="6BA81CB1" w14:textId="77777777" w:rsidR="00832797" w:rsidRDefault="00832797" w:rsidP="00832797">
      <w:r>
        <w:rPr>
          <w:sz w:val="20"/>
          <w:szCs w:val="20"/>
        </w:rPr>
        <w:t>No se aclara el nivel de significancia (p &lt; .05 o ajustado) ni si se reportaron intervalos de confianza.</w:t>
      </w:r>
    </w:p>
  </w:comment>
  <w:comment w:id="14" w:author="Cristian Ortega" w:date="2025-07-22T13:45:00Z" w:initials="CO">
    <w:p w14:paraId="21C50191" w14:textId="77777777" w:rsidR="0065183A" w:rsidRDefault="0065183A" w:rsidP="0065183A">
      <w:r>
        <w:rPr>
          <w:rStyle w:val="Refdecomentario"/>
        </w:rPr>
        <w:annotationRef/>
      </w:r>
      <w:r>
        <w:rPr>
          <w:sz w:val="20"/>
          <w:szCs w:val="20"/>
        </w:rPr>
        <w:t>Se observa una excesiva carga de datos crudos en el texto (p. ej., repetir todos los valores ya presentes en tablas).</w:t>
      </w:r>
    </w:p>
    <w:p w14:paraId="2B00DF98" w14:textId="77777777" w:rsidR="0065183A" w:rsidRDefault="0065183A" w:rsidP="0065183A">
      <w:r>
        <w:rPr>
          <w:sz w:val="20"/>
          <w:szCs w:val="20"/>
        </w:rPr>
        <w:t>Se sugiere: resumir en el texto solo los hallazgos relevantes y dejar los valores exactos para las tablas. Además, se sugiere poder añadir una breve interpretación narrativa para contextualizar los hallazgos (por ejemplo: “No se observaron cambios significativos en la mayoría de las variables cognitivas, excepto un leve pero significativo descenso en el BNT, lo que sugiere…”)</w:t>
      </w:r>
    </w:p>
  </w:comment>
  <w:comment w:id="15" w:author="Cristian Ortega" w:date="2025-07-22T13:46:00Z" w:initials="CO">
    <w:p w14:paraId="2B3286D4" w14:textId="77777777" w:rsidR="0065183A" w:rsidRDefault="0065183A" w:rsidP="0065183A">
      <w:r>
        <w:rPr>
          <w:rStyle w:val="Refdecomentario"/>
        </w:rPr>
        <w:annotationRef/>
      </w:r>
      <w:r>
        <w:rPr>
          <w:sz w:val="20"/>
          <w:szCs w:val="20"/>
        </w:rPr>
        <w:t>Aunque se reporta significancia estadística en el BNT (p=0.019), no se discute si este cambio es clínicamente relevante.</w:t>
      </w:r>
    </w:p>
    <w:p w14:paraId="4D92F91E" w14:textId="77777777" w:rsidR="0065183A" w:rsidRDefault="0065183A" w:rsidP="0065183A">
      <w:r>
        <w:rPr>
          <w:sz w:val="20"/>
          <w:szCs w:val="20"/>
        </w:rPr>
        <w:t>Sugerencia: considerar el tamaño del efecto (Cohen) o al menos comentar su posible relevancia clínica.</w:t>
      </w:r>
    </w:p>
  </w:comment>
  <w:comment w:id="16" w:author="Cristian Ortega" w:date="2025-07-22T13:53:00Z" w:initials="CO">
    <w:p w14:paraId="17EE8CFA" w14:textId="77777777" w:rsidR="006C27B8" w:rsidRDefault="006C27B8" w:rsidP="006C27B8">
      <w:r>
        <w:rPr>
          <w:rStyle w:val="Refdecomentario"/>
        </w:rPr>
        <w:annotationRef/>
      </w:r>
      <w:r>
        <w:rPr>
          <w:sz w:val="20"/>
          <w:szCs w:val="20"/>
        </w:rPr>
        <w:t>La Figura 1 mencionada no se describe en el texto; debería incluirse al menos un comentario sobre lo que aporta visualmente.</w:t>
      </w:r>
    </w:p>
  </w:comment>
  <w:comment w:id="17" w:author="Cristian Ortega" w:date="2025-07-22T13:51:00Z" w:initials="CO">
    <w:p w14:paraId="154E9CE5" w14:textId="242A8173" w:rsidR="006C27B8" w:rsidRDefault="006C27B8" w:rsidP="006C27B8">
      <w:r>
        <w:rPr>
          <w:rStyle w:val="Refdecomentario"/>
        </w:rPr>
        <w:annotationRef/>
      </w:r>
      <w:r>
        <w:rPr>
          <w:sz w:val="20"/>
          <w:szCs w:val="20"/>
        </w:rPr>
        <w:t>El título de las tablas podría ser más descriptivo (por ejemplo, “Comparison of Pre- and Postoperative Neuropsychological Scores in the Total Sample”).</w:t>
      </w:r>
    </w:p>
    <w:p w14:paraId="03E5BF35" w14:textId="77777777" w:rsidR="006C27B8" w:rsidRDefault="006C27B8" w:rsidP="006C27B8"/>
    <w:p w14:paraId="321AF901" w14:textId="77777777" w:rsidR="006C27B8" w:rsidRDefault="006C27B8" w:rsidP="006C27B8"/>
  </w:comment>
  <w:comment w:id="18" w:author="Cristian Ortega" w:date="2025-07-22T13:48:00Z" w:initials="CO">
    <w:p w14:paraId="7DE8CEC1" w14:textId="308BC0ED" w:rsidR="006C27B8" w:rsidRDefault="006C27B8" w:rsidP="006C27B8">
      <w:r>
        <w:rPr>
          <w:rStyle w:val="Refdecomentario"/>
        </w:rPr>
        <w:annotationRef/>
      </w:r>
      <w:r>
        <w:rPr>
          <w:sz w:val="20"/>
          <w:szCs w:val="20"/>
        </w:rPr>
        <w:t>Tamaños pequeños</w:t>
      </w:r>
    </w:p>
  </w:comment>
  <w:comment w:id="19" w:author="Cristian Ortega" w:date="2025-07-22T13:48:00Z" w:initials="CO">
    <w:p w14:paraId="59C8AB03" w14:textId="2E394C02" w:rsidR="0065183A" w:rsidRDefault="0065183A" w:rsidP="0065183A">
      <w:r>
        <w:rPr>
          <w:rStyle w:val="Refdecomentario"/>
        </w:rPr>
        <w:annotationRef/>
      </w:r>
      <w:r>
        <w:rPr>
          <w:sz w:val="20"/>
          <w:szCs w:val="20"/>
        </w:rPr>
        <w:t>Los tamaños de muestra son pequeños, lo que limita la potencia estadística.</w:t>
      </w:r>
    </w:p>
    <w:p w14:paraId="67C6ABF0" w14:textId="77777777" w:rsidR="0065183A" w:rsidRDefault="0065183A" w:rsidP="0065183A">
      <w:r>
        <w:rPr>
          <w:sz w:val="20"/>
          <w:szCs w:val="20"/>
        </w:rPr>
        <w:t>Sugerencia: aclarar en la discusión que la ausencia de significancia puede deberse a limitaciones de tamaño muestral.</w:t>
      </w:r>
    </w:p>
  </w:comment>
  <w:comment w:id="20" w:author="Cristian Ortega" w:date="2025-07-22T13:57:00Z" w:initials="CO">
    <w:p w14:paraId="5CE1671C" w14:textId="77777777" w:rsidR="006C27B8" w:rsidRDefault="006C27B8" w:rsidP="006C27B8">
      <w:r>
        <w:rPr>
          <w:rStyle w:val="Refdecomentario"/>
        </w:rPr>
        <w:annotationRef/>
      </w:r>
      <w:r>
        <w:rPr>
          <w:sz w:val="20"/>
          <w:szCs w:val="20"/>
        </w:rPr>
        <w:t>La discusión señala tendencias en memoria verbal (p≈0.05), pero se les da un peso similar al de hallazgos significativos. Sería importante enfatizar que estos hallazgos son exploratorios y requieren confirmación en estudios con mayor potencia estadística.</w:t>
      </w:r>
    </w:p>
  </w:comment>
  <w:comment w:id="21" w:author="Cristian Ortega" w:date="2025-07-22T13:57:00Z" w:initials="CO">
    <w:p w14:paraId="20CE0338" w14:textId="1BCED56F" w:rsidR="006C27B8" w:rsidRDefault="006C27B8" w:rsidP="006C27B8">
      <w:r>
        <w:rPr>
          <w:rStyle w:val="Refdecomentario"/>
        </w:rPr>
        <w:annotationRef/>
      </w:r>
      <w:r>
        <w:rPr>
          <w:sz w:val="20"/>
          <w:szCs w:val="20"/>
        </w:rPr>
        <w:t>Aunque se menciona el P-FIT, el tamaño muestral y la naturaleza descriptiva del estudio limitan las conclusiones; se sugiere matizar afirmaciones teóricas (ser mas cautelosos)</w:t>
      </w:r>
    </w:p>
  </w:comment>
  <w:comment w:id="22" w:author="Cristian Ortega" w:date="2025-07-22T14:01:00Z" w:initials="CO">
    <w:p w14:paraId="32E1688D" w14:textId="77777777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 xml:space="preserve">usar punto, no coma. </w:t>
      </w:r>
    </w:p>
  </w:comment>
  <w:comment w:id="23" w:author="Cristian Ortega" w:date="2025-07-22T14:00:00Z" w:initials="CO">
    <w:p w14:paraId="65BAA83D" w14:textId="0291AB71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>Podría añadirse una breve mención a la ausencia de control de variables confusoras (por ejemplo, educación, duración de la epilepsia, lateralización funcional confirmada con Wada o fMRI).</w:t>
      </w:r>
    </w:p>
    <w:p w14:paraId="44D513B6" w14:textId="77777777" w:rsidR="002E14FF" w:rsidRDefault="002E14FF" w:rsidP="002E14FF"/>
    <w:p w14:paraId="31A5ABC7" w14:textId="77777777" w:rsidR="002E14FF" w:rsidRDefault="002E14FF" w:rsidP="002E14FF">
      <w:r>
        <w:rPr>
          <w:sz w:val="20"/>
          <w:szCs w:val="20"/>
        </w:rPr>
        <w:t>Sería útil indicar que no se realizaron ajustes por comparaciones múltiples, lo que aumenta el riesgo de error tipo I.</w:t>
      </w:r>
    </w:p>
  </w:comment>
  <w:comment w:id="24" w:author="Cristian Ortega" w:date="2025-07-22T13:59:00Z" w:initials="CO">
    <w:p w14:paraId="2694C007" w14:textId="74D9F4DD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 xml:space="preserve">Sugiero elaborar con mayor precisión cuál sería el impacto clínico que tendría este estudio y su aporte a la neuropisoclogía u a otros ámbitos de las neurociencias. </w:t>
      </w:r>
    </w:p>
  </w:comment>
  <w:comment w:id="25" w:author="Cristian Ortega" w:date="2025-07-22T14:03:00Z" w:initials="CO">
    <w:p w14:paraId="52B71AA0" w14:textId="77777777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>Se debe enfatizar que esta conclusión es exploratoria y que no se pueden extraer inferencias sólidas.</w:t>
      </w:r>
    </w:p>
  </w:comment>
  <w:comment w:id="26" w:author="Cristian Ortega" w:date="2025-07-22T14:04:00Z" w:initials="CO">
    <w:p w14:paraId="2FC76335" w14:textId="77777777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>Se sugiere discutir cómo los hallazgos podrían impactar en la selección de candidatos quirúrgicos o en el asesoramiento preoperatorio.</w:t>
      </w:r>
    </w:p>
    <w:p w14:paraId="0F35C086" w14:textId="77777777" w:rsidR="002E14FF" w:rsidRDefault="002E14FF" w:rsidP="002E14FF"/>
    <w:p w14:paraId="40F6BAB8" w14:textId="77777777" w:rsidR="002E14FF" w:rsidRDefault="002E14FF" w:rsidP="002E14FF"/>
  </w:comment>
  <w:comment w:id="27" w:author="Cristian Ortega" w:date="2025-07-22T14:05:00Z" w:initials="CO">
    <w:p w14:paraId="2B6E893A" w14:textId="77777777" w:rsidR="002E14FF" w:rsidRDefault="002E14FF" w:rsidP="002E14FF">
      <w:r>
        <w:rPr>
          <w:rStyle w:val="Refdecomentario"/>
        </w:rPr>
        <w:annotationRef/>
      </w:r>
      <w:r>
        <w:rPr>
          <w:sz w:val="20"/>
          <w:szCs w:val="20"/>
        </w:rPr>
        <w:t>ya fue mencionados en la discusión</w:t>
      </w:r>
    </w:p>
  </w:comment>
  <w:comment w:id="28" w:author="Cristian Ortega" w:date="2025-07-22T14:12:00Z" w:initials="CO">
    <w:p w14:paraId="2E9CE481" w14:textId="77777777" w:rsidR="00281DFE" w:rsidRDefault="00281DFE" w:rsidP="00281DFE">
      <w:r>
        <w:rPr>
          <w:rStyle w:val="Refdecomentario"/>
        </w:rPr>
        <w:annotationRef/>
      </w:r>
      <w:r>
        <w:rPr>
          <w:sz w:val="20"/>
          <w:szCs w:val="20"/>
        </w:rPr>
        <w:t>Sangría francesa en referencias</w:t>
      </w:r>
    </w:p>
  </w:comment>
  <w:comment w:id="29" w:author="Cristian Ortega" w:date="2025-07-22T14:11:00Z" w:initials="CO">
    <w:p w14:paraId="50C16987" w14:textId="43F09AF1" w:rsidR="00281DFE" w:rsidRDefault="00281DFE" w:rsidP="00281DFE">
      <w:r>
        <w:rPr>
          <w:rStyle w:val="Refdecomentario"/>
        </w:rPr>
        <w:annotationRef/>
      </w:r>
      <w:r>
        <w:rPr>
          <w:sz w:val="20"/>
          <w:szCs w:val="20"/>
        </w:rPr>
        <w:t>revisar APA 7 ¿PÁG. doi?</w:t>
      </w:r>
    </w:p>
  </w:comment>
  <w:comment w:id="30" w:author="Cristian Ortega" w:date="2025-07-22T14:13:00Z" w:initials="CO">
    <w:p w14:paraId="4BE41C95" w14:textId="77777777" w:rsidR="00281DFE" w:rsidRDefault="00281DFE" w:rsidP="00281DFE">
      <w:r>
        <w:rPr>
          <w:rStyle w:val="Refdecomentario"/>
        </w:rPr>
        <w:annotationRef/>
      </w:r>
      <w:r>
        <w:rPr>
          <w:sz w:val="20"/>
          <w:szCs w:val="20"/>
        </w:rPr>
        <w:t>Debería citarse como libro o manual siguiendo APA, no como “In PsycTESTS Dataset”.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26EFD1" w15:done="0"/>
  <w15:commentEx w15:paraId="0EC140D7" w15:done="0"/>
  <w15:commentEx w15:paraId="2D80BEDD" w15:done="0"/>
  <w15:commentEx w15:paraId="4383597F" w15:done="0"/>
  <w15:commentEx w15:paraId="265F4AC5" w15:done="0"/>
  <w15:commentEx w15:paraId="3F741CC7" w15:done="0"/>
  <w15:commentEx w15:paraId="52C50931" w15:done="0"/>
  <w15:commentEx w15:paraId="688E5923" w15:done="0"/>
  <w15:commentEx w15:paraId="04AC76C8" w15:done="0"/>
  <w15:commentEx w15:paraId="10D50BB5" w15:done="0"/>
  <w15:commentEx w15:paraId="452C9B19" w15:done="0"/>
  <w15:commentEx w15:paraId="78C2AA95" w15:done="0"/>
  <w15:commentEx w15:paraId="6E553ED3" w15:done="0"/>
  <w15:commentEx w15:paraId="6BA81CB1" w15:done="0"/>
  <w15:commentEx w15:paraId="2B00DF98" w15:done="0"/>
  <w15:commentEx w15:paraId="4D92F91E" w15:done="0"/>
  <w15:commentEx w15:paraId="17EE8CFA" w15:done="0"/>
  <w15:commentEx w15:paraId="321AF901" w15:done="0"/>
  <w15:commentEx w15:paraId="7DE8CEC1" w15:done="0"/>
  <w15:commentEx w15:paraId="67C6ABF0" w15:done="0"/>
  <w15:commentEx w15:paraId="5CE1671C" w15:done="0"/>
  <w15:commentEx w15:paraId="20CE0338" w15:done="0"/>
  <w15:commentEx w15:paraId="32E1688D" w15:done="0"/>
  <w15:commentEx w15:paraId="31A5ABC7" w15:done="0"/>
  <w15:commentEx w15:paraId="2694C007" w15:done="0"/>
  <w15:commentEx w15:paraId="52B71AA0" w15:done="0"/>
  <w15:commentEx w15:paraId="40F6BAB8" w15:done="0"/>
  <w15:commentEx w15:paraId="2B6E893A" w15:done="0"/>
  <w15:commentEx w15:paraId="2E9CE481" w15:done="0"/>
  <w15:commentEx w15:paraId="50C16987" w15:done="0"/>
  <w15:commentEx w15:paraId="4BE41C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C379A3" w16cex:dateUtc="2025-07-22T12:20:00Z"/>
  <w16cex:commentExtensible w16cex:durableId="2153DA65" w16cex:dateUtc="2025-07-22T12:21:00Z"/>
  <w16cex:commentExtensible w16cex:durableId="7762AAC4" w16cex:dateUtc="2025-07-22T11:58:00Z"/>
  <w16cex:commentExtensible w16cex:durableId="150C6614" w16cex:dateUtc="2025-07-22T12:08:00Z"/>
  <w16cex:commentExtensible w16cex:durableId="7F52F6FA" w16cex:dateUtc="2025-07-22T12:08:00Z"/>
  <w16cex:commentExtensible w16cex:durableId="7DC07B2A" w16cex:dateUtc="2025-07-22T12:12:00Z"/>
  <w16cex:commentExtensible w16cex:durableId="5BF74EE7" w16cex:dateUtc="2025-07-22T12:18:00Z"/>
  <w16cex:commentExtensible w16cex:durableId="47CEC49B" w16cex:dateUtc="2025-07-22T12:10:00Z"/>
  <w16cex:commentExtensible w16cex:durableId="2A825BA1" w16cex:dateUtc="2025-07-22T12:11:00Z"/>
  <w16cex:commentExtensible w16cex:durableId="69B98BA0" w16cex:dateUtc="2025-07-22T12:29:00Z"/>
  <w16cex:commentExtensible w16cex:durableId="1A4ACBC9" w16cex:dateUtc="2025-07-22T12:25:00Z"/>
  <w16cex:commentExtensible w16cex:durableId="27266D1D" w16cex:dateUtc="2025-07-22T12:31:00Z"/>
  <w16cex:commentExtensible w16cex:durableId="2AFEB680" w16cex:dateUtc="2025-07-22T12:33:00Z"/>
  <w16cex:commentExtensible w16cex:durableId="307E0529" w16cex:dateUtc="2025-07-22T12:38:00Z"/>
  <w16cex:commentExtensible w16cex:durableId="3264F21D" w16cex:dateUtc="2025-07-22T12:45:00Z"/>
  <w16cex:commentExtensible w16cex:durableId="1444342F" w16cex:dateUtc="2025-07-22T12:46:00Z"/>
  <w16cex:commentExtensible w16cex:durableId="559BB132" w16cex:dateUtc="2025-07-22T12:53:00Z"/>
  <w16cex:commentExtensible w16cex:durableId="459A98BD" w16cex:dateUtc="2025-07-22T12:51:00Z"/>
  <w16cex:commentExtensible w16cex:durableId="0558B678" w16cex:dateUtc="2025-07-22T12:48:00Z"/>
  <w16cex:commentExtensible w16cex:durableId="2B517A65" w16cex:dateUtc="2025-07-22T12:48:00Z"/>
  <w16cex:commentExtensible w16cex:durableId="40E19BDF" w16cex:dateUtc="2025-07-22T12:57:00Z"/>
  <w16cex:commentExtensible w16cex:durableId="7D07654A" w16cex:dateUtc="2025-07-22T12:57:00Z"/>
  <w16cex:commentExtensible w16cex:durableId="29CE4AC2" w16cex:dateUtc="2025-07-22T13:01:00Z"/>
  <w16cex:commentExtensible w16cex:durableId="320C201C" w16cex:dateUtc="2025-07-22T13:00:00Z"/>
  <w16cex:commentExtensible w16cex:durableId="5A0FF7B4" w16cex:dateUtc="2025-07-22T12:59:00Z"/>
  <w16cex:commentExtensible w16cex:durableId="1BB64559" w16cex:dateUtc="2025-07-22T13:03:00Z"/>
  <w16cex:commentExtensible w16cex:durableId="23691A8A" w16cex:dateUtc="2025-07-22T13:04:00Z"/>
  <w16cex:commentExtensible w16cex:durableId="5F4409DE" w16cex:dateUtc="2025-07-22T13:05:00Z"/>
  <w16cex:commentExtensible w16cex:durableId="40B992DF" w16cex:dateUtc="2025-07-22T13:12:00Z"/>
  <w16cex:commentExtensible w16cex:durableId="7FDCF47F" w16cex:dateUtc="2025-07-22T13:11:00Z"/>
  <w16cex:commentExtensible w16cex:durableId="67B7E164" w16cex:dateUtc="2025-07-22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26EFD1" w16cid:durableId="1AC379A3"/>
  <w16cid:commentId w16cid:paraId="0EC140D7" w16cid:durableId="2153DA65"/>
  <w16cid:commentId w16cid:paraId="2D80BEDD" w16cid:durableId="7762AAC4"/>
  <w16cid:commentId w16cid:paraId="4383597F" w16cid:durableId="150C6614"/>
  <w16cid:commentId w16cid:paraId="265F4AC5" w16cid:durableId="7F52F6FA"/>
  <w16cid:commentId w16cid:paraId="3F741CC7" w16cid:durableId="7DC07B2A"/>
  <w16cid:commentId w16cid:paraId="52C50931" w16cid:durableId="5BF74EE7"/>
  <w16cid:commentId w16cid:paraId="688E5923" w16cid:durableId="47CEC49B"/>
  <w16cid:commentId w16cid:paraId="04AC76C8" w16cid:durableId="2A825BA1"/>
  <w16cid:commentId w16cid:paraId="10D50BB5" w16cid:durableId="69B98BA0"/>
  <w16cid:commentId w16cid:paraId="452C9B19" w16cid:durableId="1A4ACBC9"/>
  <w16cid:commentId w16cid:paraId="78C2AA95" w16cid:durableId="27266D1D"/>
  <w16cid:commentId w16cid:paraId="6E553ED3" w16cid:durableId="2AFEB680"/>
  <w16cid:commentId w16cid:paraId="6BA81CB1" w16cid:durableId="307E0529"/>
  <w16cid:commentId w16cid:paraId="2B00DF98" w16cid:durableId="3264F21D"/>
  <w16cid:commentId w16cid:paraId="4D92F91E" w16cid:durableId="1444342F"/>
  <w16cid:commentId w16cid:paraId="17EE8CFA" w16cid:durableId="559BB132"/>
  <w16cid:commentId w16cid:paraId="321AF901" w16cid:durableId="459A98BD"/>
  <w16cid:commentId w16cid:paraId="7DE8CEC1" w16cid:durableId="0558B678"/>
  <w16cid:commentId w16cid:paraId="67C6ABF0" w16cid:durableId="2B517A65"/>
  <w16cid:commentId w16cid:paraId="5CE1671C" w16cid:durableId="40E19BDF"/>
  <w16cid:commentId w16cid:paraId="20CE0338" w16cid:durableId="7D07654A"/>
  <w16cid:commentId w16cid:paraId="32E1688D" w16cid:durableId="29CE4AC2"/>
  <w16cid:commentId w16cid:paraId="31A5ABC7" w16cid:durableId="320C201C"/>
  <w16cid:commentId w16cid:paraId="2694C007" w16cid:durableId="5A0FF7B4"/>
  <w16cid:commentId w16cid:paraId="52B71AA0" w16cid:durableId="1BB64559"/>
  <w16cid:commentId w16cid:paraId="40F6BAB8" w16cid:durableId="23691A8A"/>
  <w16cid:commentId w16cid:paraId="2B6E893A" w16cid:durableId="5F4409DE"/>
  <w16cid:commentId w16cid:paraId="2E9CE481" w16cid:durableId="40B992DF"/>
  <w16cid:commentId w16cid:paraId="50C16987" w16cid:durableId="7FDCF47F"/>
  <w16cid:commentId w16cid:paraId="4BE41C95" w16cid:durableId="67B7E1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7387"/>
    <w:multiLevelType w:val="multilevel"/>
    <w:tmpl w:val="C9D81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9861AB"/>
    <w:multiLevelType w:val="multilevel"/>
    <w:tmpl w:val="452AC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7060906">
    <w:abstractNumId w:val="1"/>
  </w:num>
  <w:num w:numId="2" w16cid:durableId="1847675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 Ortega">
    <w15:presenceInfo w15:providerId="AD" w15:userId="S::s2891032@ed.ac.uk::e5928160-d3ea-48a7-add6-ec02092be1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26"/>
    <w:rsid w:val="00136141"/>
    <w:rsid w:val="002513B6"/>
    <w:rsid w:val="00281DFE"/>
    <w:rsid w:val="002E14FF"/>
    <w:rsid w:val="0063068B"/>
    <w:rsid w:val="0065183A"/>
    <w:rsid w:val="006C27B8"/>
    <w:rsid w:val="00832797"/>
    <w:rsid w:val="008D5861"/>
    <w:rsid w:val="00916E1A"/>
    <w:rsid w:val="009E6CD6"/>
    <w:rsid w:val="00E62026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F70C0"/>
  <w15:docId w15:val="{1C2810DA-7E59-7445-B9AA-2E1DAAC8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jc w:val="right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jc w:val="right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F02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02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02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2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0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doi.org/10.1111/j.1528-1167.2011.03022.x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doi.org/10.1016/j.seizure.2018.09.0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ycnet.apa.org/doi/10.1056/NEJM200108023450501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doi.org/10.1016/j.seizure.2018.09.023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psycnet.apa.org/doi/10.1056/NEJM200108023450501" TargetMode="External"/><Relationship Id="rId10" Type="http://schemas.openxmlformats.org/officeDocument/2006/relationships/hyperlink" Target="https://doi.org/10.1016/j.seizure.2014.05.00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eizure.2014.05.003" TargetMode="External"/><Relationship Id="rId14" Type="http://schemas.openxmlformats.org/officeDocument/2006/relationships/hyperlink" Target="https://doi.org/10.1111/j.1528-1167.2011.03022.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4537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Ortega</cp:lastModifiedBy>
  <cp:revision>4</cp:revision>
  <dcterms:created xsi:type="dcterms:W3CDTF">2025-07-22T12:22:00Z</dcterms:created>
  <dcterms:modified xsi:type="dcterms:W3CDTF">2025-07-22T13:14:00Z</dcterms:modified>
</cp:coreProperties>
</file>