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6.0 -->
  <w:body>
    <w:p w:rsidR="00E75C28" w:rsidRPr="00E75C28" w:rsidP="00E75C28" w14:paraId="08CCCA44" w14:textId="3E246A39">
      <w:pPr>
        <w:spacing w:line="360" w:lineRule="auto"/>
        <w:rPr>
          <w:b/>
          <w:lang w:val="en-US"/>
        </w:rPr>
      </w:pPr>
      <w:r w:rsidRPr="00E75C28">
        <w:rPr>
          <w:b/>
          <w:lang w:val="en-US"/>
        </w:rPr>
        <w:t>Predicting the risk of recurrent child m</w:t>
      </w:r>
      <w:r>
        <w:rPr>
          <w:b/>
          <w:lang w:val="en-US"/>
        </w:rPr>
        <w:t>al</w:t>
      </w:r>
      <w:r w:rsidRPr="00E75C28">
        <w:rPr>
          <w:b/>
          <w:lang w:val="en-US"/>
        </w:rPr>
        <w:t>treatment: A systematic review of the</w:t>
      </w:r>
      <w:r>
        <w:rPr>
          <w:b/>
          <w:lang w:val="en-US"/>
        </w:rPr>
        <w:t xml:space="preserve"> </w:t>
      </w:r>
      <w:r w:rsidRPr="00E75C28">
        <w:rPr>
          <w:b/>
          <w:lang w:val="en-US"/>
        </w:rPr>
        <w:t>literature</w:t>
      </w:r>
    </w:p>
    <w:p w:rsidR="00E75C28" w:rsidRPr="00E75C28" w:rsidP="00E75C28" w14:paraId="33783F49" w14:textId="77777777">
      <w:pPr>
        <w:spacing w:line="360" w:lineRule="auto"/>
        <w:rPr>
          <w:b/>
          <w:lang w:val="en-US"/>
        </w:rPr>
      </w:pPr>
    </w:p>
    <w:p w:rsidR="00E75C28" w:rsidRPr="00E75C28" w:rsidP="00E75C28" w14:paraId="2720B048" w14:textId="77777777">
      <w:pPr>
        <w:spacing w:line="360" w:lineRule="auto"/>
        <w:rPr>
          <w:b/>
          <w:lang w:val="en-US"/>
        </w:rPr>
      </w:pPr>
      <w:r w:rsidRPr="00E75C28">
        <w:rPr>
          <w:b/>
          <w:lang w:val="en-US"/>
        </w:rPr>
        <w:t>Abstract</w:t>
      </w:r>
    </w:p>
    <w:p w:rsidR="00E75C28" w:rsidRPr="00E75C28" w:rsidP="00E75C28" w14:paraId="1ED7B7D9" w14:textId="65060B64">
      <w:pPr>
        <w:spacing w:line="360" w:lineRule="auto"/>
        <w:rPr>
          <w:lang w:val="en-US"/>
        </w:rPr>
      </w:pPr>
      <w:r w:rsidRPr="00E75C28">
        <w:rPr>
          <w:lang w:val="en-US"/>
        </w:rPr>
        <w:t xml:space="preserve">Child maltreatment is a global phenomenon with multidimensional negative implications </w:t>
      </w:r>
      <w:r w:rsidR="00316CFD">
        <w:rPr>
          <w:lang w:val="en-US"/>
        </w:rPr>
        <w:t>on</w:t>
      </w:r>
      <w:r w:rsidRPr="00E75C28">
        <w:rPr>
          <w:lang w:val="en-US"/>
        </w:rPr>
        <w:t xml:space="preserve"> </w:t>
      </w:r>
      <w:r w:rsidR="00514DDB">
        <w:rPr>
          <w:lang w:val="en-US"/>
        </w:rPr>
        <w:t>children and adolescents’</w:t>
      </w:r>
      <w:r w:rsidR="00316CFD">
        <w:rPr>
          <w:lang w:val="en-US"/>
        </w:rPr>
        <w:t xml:space="preserve"> </w:t>
      </w:r>
      <w:r w:rsidRPr="00E75C28" w:rsidR="00316CFD">
        <w:rPr>
          <w:lang w:val="en-US"/>
        </w:rPr>
        <w:t>development</w:t>
      </w:r>
      <w:r w:rsidRPr="00E75C28">
        <w:rPr>
          <w:lang w:val="en-US"/>
        </w:rPr>
        <w:t xml:space="preserve">. </w:t>
      </w:r>
      <w:r w:rsidR="00316CFD">
        <w:rPr>
          <w:lang w:val="en-US"/>
        </w:rPr>
        <w:t xml:space="preserve">This is even more </w:t>
      </w:r>
      <w:r w:rsidR="00514DDB">
        <w:rPr>
          <w:lang w:val="en-US"/>
        </w:rPr>
        <w:t xml:space="preserve">concerning </w:t>
      </w:r>
      <w:r w:rsidRPr="00E75C28">
        <w:rPr>
          <w:lang w:val="en-US"/>
        </w:rPr>
        <w:t xml:space="preserve">considering the high prevalence of recurrent abuse, which </w:t>
      </w:r>
      <w:r w:rsidR="00514DDB">
        <w:rPr>
          <w:lang w:val="en-US"/>
        </w:rPr>
        <w:t>creates</w:t>
      </w:r>
      <w:r w:rsidRPr="00E75C28">
        <w:rPr>
          <w:lang w:val="en-US"/>
        </w:rPr>
        <w:t xml:space="preserve"> trajectories of victimization that are difficult to</w:t>
      </w:r>
      <w:r w:rsidR="00A5257F">
        <w:rPr>
          <w:lang w:val="en-US"/>
        </w:rPr>
        <w:t xml:space="preserve"> break</w:t>
      </w:r>
      <w:r w:rsidRPr="00E75C28">
        <w:rPr>
          <w:lang w:val="en-US"/>
        </w:rPr>
        <w:t xml:space="preserve">. </w:t>
      </w:r>
      <w:r w:rsidR="00514DDB">
        <w:rPr>
          <w:lang w:val="en-US"/>
        </w:rPr>
        <w:t>To address the gap in research</w:t>
      </w:r>
      <w:r w:rsidRPr="00E75C28">
        <w:rPr>
          <w:lang w:val="en-US"/>
        </w:rPr>
        <w:t xml:space="preserve"> on recurrent child maltreatment, this study </w:t>
      </w:r>
      <w:r w:rsidR="00514DDB">
        <w:rPr>
          <w:lang w:val="en-US"/>
        </w:rPr>
        <w:t>conducts</w:t>
      </w:r>
      <w:r w:rsidRPr="00E75C28">
        <w:rPr>
          <w:lang w:val="en-US"/>
        </w:rPr>
        <w:t xml:space="preserve"> a systematic review of the</w:t>
      </w:r>
      <w:r w:rsidR="00A5257F">
        <w:rPr>
          <w:lang w:val="en-US"/>
        </w:rPr>
        <w:t xml:space="preserve"> </w:t>
      </w:r>
      <w:r w:rsidRPr="00E75C28">
        <w:rPr>
          <w:lang w:val="en-US"/>
        </w:rPr>
        <w:t>literature using the PRISMA method, to identify risk and protective factors for recurrent abuse</w:t>
      </w:r>
      <w:r w:rsidR="00A5257F">
        <w:rPr>
          <w:lang w:val="en-US"/>
        </w:rPr>
        <w:t xml:space="preserve"> in children and adolescents</w:t>
      </w:r>
      <w:r w:rsidRPr="00E75C28">
        <w:rPr>
          <w:lang w:val="en-US"/>
        </w:rPr>
        <w:t>,</w:t>
      </w:r>
      <w:r w:rsidR="0083548C">
        <w:rPr>
          <w:lang w:val="en-US"/>
        </w:rPr>
        <w:t xml:space="preserve"> analyzing</w:t>
      </w:r>
      <w:r w:rsidRPr="00E75C28">
        <w:rPr>
          <w:lang w:val="en-US"/>
        </w:rPr>
        <w:t xml:space="preserve"> studies between 2014 and 2023. This approach made it possible to synthesize the available evidence, providing a comprehensive view of the elements that influence the perpetuation of </w:t>
      </w:r>
      <w:r w:rsidR="00A5257F">
        <w:rPr>
          <w:lang w:val="en-US"/>
        </w:rPr>
        <w:t xml:space="preserve">child </w:t>
      </w:r>
      <w:r w:rsidRPr="00E75C28">
        <w:rPr>
          <w:lang w:val="en-US"/>
        </w:rPr>
        <w:t xml:space="preserve">maltreatment. </w:t>
      </w:r>
    </w:p>
    <w:p w:rsidR="00E75C28" w:rsidRPr="00E75C28" w:rsidP="00E75C28" w14:paraId="33C2AA33" w14:textId="33EFF503">
      <w:pPr>
        <w:spacing w:line="360" w:lineRule="auto"/>
        <w:rPr>
          <w:lang w:val="en-US"/>
        </w:rPr>
      </w:pPr>
      <w:r w:rsidRPr="00E75C28">
        <w:rPr>
          <w:lang w:val="en-US"/>
        </w:rPr>
        <w:t>From a</w:t>
      </w:r>
      <w:r w:rsidR="00A5257F">
        <w:rPr>
          <w:lang w:val="en-US"/>
        </w:rPr>
        <w:t>n initial pool of</w:t>
      </w:r>
      <w:r w:rsidRPr="00E75C28">
        <w:rPr>
          <w:lang w:val="en-US"/>
        </w:rPr>
        <w:t xml:space="preserve"> 657 articles, 18</w:t>
      </w:r>
      <w:r w:rsidR="00A5257F">
        <w:rPr>
          <w:lang w:val="en-US"/>
        </w:rPr>
        <w:t xml:space="preserve"> met the inclusion criteria</w:t>
      </w:r>
      <w:r>
        <w:rPr>
          <w:lang w:val="en-US"/>
        </w:rPr>
        <w:t>.</w:t>
      </w:r>
      <w:r w:rsidRPr="00E75C28">
        <w:rPr>
          <w:lang w:val="en-US"/>
        </w:rPr>
        <w:t xml:space="preserve"> </w:t>
      </w:r>
      <w:r>
        <w:rPr>
          <w:lang w:val="en-US"/>
        </w:rPr>
        <w:t>T</w:t>
      </w:r>
      <w:r w:rsidRPr="00E75C28">
        <w:rPr>
          <w:lang w:val="en-US"/>
        </w:rPr>
        <w:t xml:space="preserve">he results reveal three main findings: 1) predominance of studies conducted in </w:t>
      </w:r>
      <w:r w:rsidR="00A5257F">
        <w:rPr>
          <w:lang w:val="en-US"/>
        </w:rPr>
        <w:t>G</w:t>
      </w:r>
      <w:r w:rsidRPr="00E75C28">
        <w:rPr>
          <w:lang w:val="en-US"/>
        </w:rPr>
        <w:t xml:space="preserve">lobal </w:t>
      </w:r>
      <w:r w:rsidR="00A5257F">
        <w:rPr>
          <w:lang w:val="en-US"/>
        </w:rPr>
        <w:t>N</w:t>
      </w:r>
      <w:r w:rsidRPr="00E75C28">
        <w:rPr>
          <w:lang w:val="en-US"/>
        </w:rPr>
        <w:t>orth</w:t>
      </w:r>
      <w:r w:rsidR="00A5257F">
        <w:rPr>
          <w:lang w:val="en-US"/>
        </w:rPr>
        <w:t xml:space="preserve"> countries</w:t>
      </w:r>
      <w:r w:rsidRPr="00E75C28">
        <w:rPr>
          <w:lang w:val="en-US"/>
        </w:rPr>
        <w:t xml:space="preserve">, 2) </w:t>
      </w:r>
      <w:r w:rsidR="00A5257F">
        <w:rPr>
          <w:lang w:val="en-US"/>
        </w:rPr>
        <w:t>a strong</w:t>
      </w:r>
      <w:r w:rsidRPr="00E75C28">
        <w:rPr>
          <w:lang w:val="en-US"/>
        </w:rPr>
        <w:t xml:space="preserve"> focus</w:t>
      </w:r>
      <w:r>
        <w:rPr>
          <w:lang w:val="en-US"/>
        </w:rPr>
        <w:t xml:space="preserve"> </w:t>
      </w:r>
      <w:r w:rsidRPr="00E75C28">
        <w:rPr>
          <w:lang w:val="en-US"/>
        </w:rPr>
        <w:t xml:space="preserve">on risk factors </w:t>
      </w:r>
      <w:r w:rsidR="00A5257F">
        <w:rPr>
          <w:lang w:val="en-US"/>
        </w:rPr>
        <w:t>with limited attention to</w:t>
      </w:r>
      <w:r w:rsidRPr="00E75C28">
        <w:rPr>
          <w:lang w:val="en-US"/>
        </w:rPr>
        <w:t xml:space="preserve"> protective factors, and 3) </w:t>
      </w:r>
      <w:r w:rsidR="00A5257F">
        <w:rPr>
          <w:lang w:val="en-US"/>
        </w:rPr>
        <w:t>an emphasis on</w:t>
      </w:r>
      <w:r w:rsidRPr="00E75C28">
        <w:rPr>
          <w:lang w:val="en-US"/>
        </w:rPr>
        <w:t xml:space="preserve"> family and individual level</w:t>
      </w:r>
      <w:r w:rsidR="00A5257F">
        <w:rPr>
          <w:lang w:val="en-US"/>
        </w:rPr>
        <w:t xml:space="preserve"> risk factors</w:t>
      </w:r>
      <w:r w:rsidRPr="00E75C28">
        <w:rPr>
          <w:lang w:val="en-US"/>
        </w:rPr>
        <w:t xml:space="preserve">, </w:t>
      </w:r>
      <w:r w:rsidR="00A5257F">
        <w:rPr>
          <w:lang w:val="en-US"/>
        </w:rPr>
        <w:t>often overlooking</w:t>
      </w:r>
      <w:r w:rsidRPr="00E75C28">
        <w:rPr>
          <w:lang w:val="en-US"/>
        </w:rPr>
        <w:t xml:space="preserve"> contextual elements. </w:t>
      </w:r>
      <w:r w:rsidR="002506DF">
        <w:rPr>
          <w:lang w:val="en-US"/>
        </w:rPr>
        <w:t xml:space="preserve">Identifying </w:t>
      </w:r>
      <w:r w:rsidRPr="00E75C28">
        <w:rPr>
          <w:lang w:val="en-US"/>
        </w:rPr>
        <w:t>the risk and protective factors of recurrent child maltreatment is key both to identify</w:t>
      </w:r>
      <w:r w:rsidR="00A5257F">
        <w:rPr>
          <w:lang w:val="en-US"/>
        </w:rPr>
        <w:t xml:space="preserve"> </w:t>
      </w:r>
      <w:r w:rsidRPr="00E75C28">
        <w:rPr>
          <w:lang w:val="en-US"/>
        </w:rPr>
        <w:t xml:space="preserve">those who are most at risk of being </w:t>
      </w:r>
      <w:r w:rsidR="00A5257F">
        <w:rPr>
          <w:lang w:val="en-US"/>
        </w:rPr>
        <w:t>re</w:t>
      </w:r>
      <w:r w:rsidRPr="00E75C28">
        <w:rPr>
          <w:lang w:val="en-US"/>
        </w:rPr>
        <w:t xml:space="preserve">victimized and to guide preventive efforts to reduce the </w:t>
      </w:r>
      <w:r w:rsidR="002506DF">
        <w:rPr>
          <w:lang w:val="en-US"/>
        </w:rPr>
        <w:t xml:space="preserve">current </w:t>
      </w:r>
      <w:r w:rsidRPr="00E75C28">
        <w:rPr>
          <w:lang w:val="en-US"/>
        </w:rPr>
        <w:t>recurren</w:t>
      </w:r>
      <w:r w:rsidR="00A5257F">
        <w:rPr>
          <w:lang w:val="en-US"/>
        </w:rPr>
        <w:t>ce rate</w:t>
      </w:r>
      <w:r w:rsidRPr="00E75C28">
        <w:rPr>
          <w:lang w:val="en-US"/>
        </w:rPr>
        <w:t xml:space="preserve">. </w:t>
      </w:r>
    </w:p>
    <w:p w:rsidR="00E75C28" w:rsidRPr="00E75C28" w:rsidP="00E75C28" w14:paraId="4E083487" w14:textId="77777777">
      <w:pPr>
        <w:spacing w:line="360" w:lineRule="auto"/>
        <w:rPr>
          <w:lang w:val="en-US"/>
        </w:rPr>
      </w:pPr>
    </w:p>
    <w:p w:rsidR="00E75C28" w:rsidRPr="00E75C28" w:rsidP="00E75C28" w14:paraId="2BD3FC41" w14:textId="77777777">
      <w:pPr>
        <w:spacing w:line="360" w:lineRule="auto"/>
        <w:rPr>
          <w:lang w:val="en-US"/>
        </w:rPr>
      </w:pPr>
    </w:p>
    <w:p w:rsidR="00E75C28" w:rsidRPr="00E75C28" w:rsidP="00E75C28" w14:paraId="7E8121F3" w14:textId="77777777">
      <w:pPr>
        <w:spacing w:line="360" w:lineRule="auto"/>
        <w:rPr>
          <w:lang w:val="en-US"/>
        </w:rPr>
      </w:pPr>
      <w:r w:rsidRPr="00E75C28">
        <w:rPr>
          <w:lang w:val="en-US"/>
        </w:rPr>
        <w:t>Keywords: child maltreatment; recurrence; risk; childhood; risk factors; protective factors.</w:t>
      </w:r>
    </w:p>
    <w:p w:rsidR="00E75C28" w:rsidRPr="00E75C28" w14:paraId="63F3533A" w14:textId="77777777">
      <w:pPr>
        <w:spacing w:line="360" w:lineRule="auto"/>
        <w:rPr>
          <w:b/>
          <w:lang w:val="en-US"/>
        </w:rPr>
      </w:pPr>
    </w:p>
    <w:p w:rsidR="00E75C28" w:rsidRPr="007E1B9A" w14:paraId="6791A320" w14:textId="77777777">
      <w:pPr>
        <w:spacing w:line="360" w:lineRule="auto"/>
        <w:rPr>
          <w:b/>
          <w:lang w:val="en-US"/>
        </w:rPr>
      </w:pPr>
    </w:p>
    <w:p w:rsidR="00E75C28" w:rsidRPr="007E1B9A" w14:paraId="080AF57A" w14:textId="77777777">
      <w:pPr>
        <w:spacing w:line="360" w:lineRule="auto"/>
        <w:rPr>
          <w:b/>
          <w:lang w:val="en-US"/>
        </w:rPr>
      </w:pPr>
    </w:p>
    <w:p w:rsidR="00E75C28" w:rsidRPr="007E1B9A" w14:paraId="40F3523D" w14:textId="77777777">
      <w:pPr>
        <w:spacing w:line="360" w:lineRule="auto"/>
        <w:rPr>
          <w:b/>
          <w:lang w:val="en-US"/>
        </w:rPr>
      </w:pPr>
    </w:p>
    <w:p w:rsidR="00E75C28" w:rsidRPr="007E1B9A" w14:paraId="067E97BC" w14:textId="77777777">
      <w:pPr>
        <w:spacing w:line="360" w:lineRule="auto"/>
        <w:rPr>
          <w:b/>
          <w:lang w:val="en-US"/>
        </w:rPr>
      </w:pPr>
    </w:p>
    <w:p w:rsidR="00E75C28" w:rsidRPr="007E1B9A" w14:paraId="4427D6A4" w14:textId="77777777">
      <w:pPr>
        <w:spacing w:line="360" w:lineRule="auto"/>
        <w:rPr>
          <w:b/>
          <w:lang w:val="en-US"/>
        </w:rPr>
      </w:pPr>
    </w:p>
    <w:p w:rsidR="00E75C28" w:rsidRPr="007E1B9A" w14:paraId="1DA1089B" w14:textId="77777777">
      <w:pPr>
        <w:spacing w:line="360" w:lineRule="auto"/>
        <w:rPr>
          <w:b/>
          <w:lang w:val="en-US"/>
        </w:rPr>
      </w:pPr>
    </w:p>
    <w:p w:rsidR="00E75C28" w:rsidRPr="007E1B9A" w14:paraId="6A41B740" w14:textId="77777777">
      <w:pPr>
        <w:spacing w:line="360" w:lineRule="auto"/>
        <w:rPr>
          <w:b/>
          <w:lang w:val="en-US"/>
        </w:rPr>
      </w:pPr>
    </w:p>
    <w:p w:rsidR="00E75C28" w:rsidRPr="007E1B9A" w14:paraId="452EF7CF" w14:textId="77777777">
      <w:pPr>
        <w:spacing w:line="360" w:lineRule="auto"/>
        <w:rPr>
          <w:b/>
          <w:lang w:val="en-US"/>
        </w:rPr>
      </w:pPr>
    </w:p>
    <w:p w:rsidR="0083548C" w:rsidRPr="007E1B9A" w14:paraId="227E762B" w14:textId="77777777">
      <w:pPr>
        <w:spacing w:line="360" w:lineRule="auto"/>
        <w:rPr>
          <w:b/>
          <w:lang w:val="en-US"/>
        </w:rPr>
      </w:pPr>
    </w:p>
    <w:p w:rsidR="00E75C28" w:rsidRPr="007E1B9A" w14:paraId="41EC1EFB" w14:textId="77777777">
      <w:pPr>
        <w:spacing w:line="360" w:lineRule="auto"/>
        <w:rPr>
          <w:b/>
          <w:lang w:val="en-US"/>
        </w:rPr>
      </w:pPr>
    </w:p>
    <w:p w:rsidR="00EF2BD2" w14:paraId="5CF0D7F0" w14:textId="2D8D0DE6">
      <w:pPr>
        <w:spacing w:line="360" w:lineRule="auto"/>
        <w:rPr>
          <w:b/>
        </w:rPr>
      </w:pPr>
      <w:r>
        <w:rPr>
          <w:b/>
        </w:rPr>
        <w:t>Predecir el riesgo de maltrato infantil recurrente: Una revisión sistemática de la literatura</w:t>
      </w:r>
    </w:p>
    <w:p w:rsidR="00EF2BD2" w14:paraId="1E98F8FE" w14:textId="77777777">
      <w:pPr>
        <w:spacing w:line="360" w:lineRule="auto"/>
      </w:pPr>
    </w:p>
    <w:p w:rsidR="00EF2BD2" w14:paraId="6D94E3D7" w14:textId="77777777">
      <w:pPr>
        <w:spacing w:line="360" w:lineRule="auto"/>
        <w:rPr>
          <w:b/>
        </w:rPr>
      </w:pPr>
      <w:r>
        <w:rPr>
          <w:b/>
        </w:rPr>
        <w:t>Resumen</w:t>
      </w:r>
    </w:p>
    <w:p w:rsidR="00EF2BD2" w:rsidRPr="0083548C" w14:paraId="7BADA63A" w14:textId="6888239D">
      <w:pPr>
        <w:spacing w:line="360" w:lineRule="auto"/>
      </w:pPr>
      <w:r>
        <w:t xml:space="preserve">El maltrato infantil constituye un fenómeno global, con implicancias negativas multidimensionales en </w:t>
      </w:r>
      <w:r w:rsidR="00884F26">
        <w:t>el</w:t>
      </w:r>
      <w:r>
        <w:t xml:space="preserve"> desarrollo</w:t>
      </w:r>
      <w:r w:rsidR="00884F26">
        <w:t xml:space="preserve"> de niños, niñas y adolescentes. Esto</w:t>
      </w:r>
      <w:r>
        <w:t xml:space="preserve"> resulta </w:t>
      </w:r>
      <w:r w:rsidR="00316CFD">
        <w:t>especialmente</w:t>
      </w:r>
      <w:r>
        <w:t xml:space="preserve"> </w:t>
      </w:r>
      <w:r w:rsidR="002506DF">
        <w:t>preocupante</w:t>
      </w:r>
      <w:r>
        <w:t xml:space="preserve"> considerando la elevada prevalencia de maltrato recurrente, que genera trayectorias de victimización difíciles de r</w:t>
      </w:r>
      <w:r w:rsidR="002506DF">
        <w:t>omper</w:t>
      </w:r>
      <w:r>
        <w:t xml:space="preserve">. </w:t>
      </w:r>
      <w:r w:rsidR="002506DF">
        <w:t>Para contribuir a</w:t>
      </w:r>
      <w:r>
        <w:t xml:space="preserve"> la escasa literatura sobre recurrencia </w:t>
      </w:r>
      <w:r>
        <w:t>victimal</w:t>
      </w:r>
      <w:r>
        <w:t xml:space="preserve"> infantil, este estudio realiza una revisión sistemática de la literatura utilizando el método PRISMA para identificar los factores de riesgo y protección de recurrencia de maltrato en la población infantil</w:t>
      </w:r>
      <w:r w:rsidR="002506DF">
        <w:t xml:space="preserve"> analizando estudios entre </w:t>
      </w:r>
      <w:r>
        <w:t>2014 y 2023. Este enfoque permit</w:t>
      </w:r>
      <w:r w:rsidR="0083548C">
        <w:t>ió</w:t>
      </w:r>
      <w:r>
        <w:t xml:space="preserve"> proporcionar una visión comprensiva de los elementos que inciden en la perpetuación del maltrato. De un universo </w:t>
      </w:r>
      <w:r w:rsidR="002506DF">
        <w:t>inicial</w:t>
      </w:r>
      <w:r>
        <w:t xml:space="preserve"> 657 artículos</w:t>
      </w:r>
      <w:r w:rsidR="002506DF">
        <w:t xml:space="preserve">, </w:t>
      </w:r>
      <w:r>
        <w:t>18</w:t>
      </w:r>
      <w:r w:rsidR="002506DF">
        <w:t xml:space="preserve"> cumplieron los criterios de inclusión</w:t>
      </w:r>
      <w:r>
        <w:t xml:space="preserve">. Los resultados revelan tres hallazgos principales: 1) predominancia de estudios efectuados en países del </w:t>
      </w:r>
      <w:r w:rsidR="0083548C">
        <w:t>N</w:t>
      </w:r>
      <w:r>
        <w:t xml:space="preserve">orte </w:t>
      </w:r>
      <w:r w:rsidR="0083548C">
        <w:t>G</w:t>
      </w:r>
      <w:r>
        <w:t xml:space="preserve">lobal, 2) </w:t>
      </w:r>
      <w:r w:rsidR="002506DF">
        <w:t>un claro foco</w:t>
      </w:r>
      <w:r>
        <w:t xml:space="preserve"> en factores de riesgo y </w:t>
      </w:r>
      <w:r w:rsidR="002506DF">
        <w:t>limitada atención</w:t>
      </w:r>
      <w:r>
        <w:t xml:space="preserve"> </w:t>
      </w:r>
      <w:r w:rsidR="002506DF">
        <w:t>a</w:t>
      </w:r>
      <w:r>
        <w:t xml:space="preserve"> factores protectores, y 3) </w:t>
      </w:r>
      <w:r w:rsidR="0083548C">
        <w:t>un énfasis en</w:t>
      </w:r>
      <w:r>
        <w:t xml:space="preserve"> factores de riesgo asociados al ámbito familiar e individual, en desmedro de elementos contextuales. </w:t>
      </w:r>
      <w:r w:rsidR="0083548C">
        <w:t>I</w:t>
      </w:r>
      <w:r>
        <w:t xml:space="preserve">dentificar los factores de riesgo y protección de maltrato infantil recurrente es clave, tanto para identificar a quienes corren más riesgo de </w:t>
      </w:r>
      <w:r w:rsidR="0083548C">
        <w:t>ser revictimizados</w:t>
      </w:r>
      <w:r>
        <w:t xml:space="preserve">, como para orientar el trabajo preventivo de modo de disminuir las actuales tasas de recurrencia. </w:t>
      </w:r>
    </w:p>
    <w:p w:rsidR="00EF2BD2" w14:paraId="4FCEFFCC" w14:textId="77777777">
      <w:pPr>
        <w:spacing w:line="360" w:lineRule="auto"/>
      </w:pPr>
    </w:p>
    <w:p w:rsidR="00EF2BD2" w14:paraId="53381158" w14:textId="77777777">
      <w:pPr>
        <w:spacing w:line="360" w:lineRule="auto"/>
      </w:pPr>
      <w:r>
        <w:t>Palabras clave: maltrato infantil; recurrencia; riesgo; infancia; factores de riesgo; factores de protección</w:t>
      </w:r>
    </w:p>
    <w:p w:rsidR="00EF2BD2" w14:paraId="28FE4DD0" w14:textId="77777777">
      <w:pPr>
        <w:spacing w:line="360" w:lineRule="auto"/>
      </w:pPr>
    </w:p>
    <w:p w:rsidR="00EF2BD2" w14:paraId="3EFBED2B" w14:textId="77777777">
      <w:pPr>
        <w:spacing w:line="360" w:lineRule="auto"/>
        <w:rPr>
          <w:b/>
        </w:rPr>
      </w:pPr>
    </w:p>
    <w:p w:rsidR="00EF2BD2" w14:paraId="61C664D5" w14:textId="77777777">
      <w:pPr>
        <w:spacing w:line="360" w:lineRule="auto"/>
        <w:rPr>
          <w:b/>
        </w:rPr>
      </w:pPr>
    </w:p>
    <w:p w:rsidR="00EF2BD2" w14:paraId="131733E5" w14:textId="77777777">
      <w:pPr>
        <w:spacing w:line="360" w:lineRule="auto"/>
        <w:rPr>
          <w:b/>
        </w:rPr>
      </w:pPr>
    </w:p>
    <w:p w:rsidR="00EF2BD2" w14:paraId="7C2E9CF9" w14:textId="77777777">
      <w:pPr>
        <w:spacing w:line="360" w:lineRule="auto"/>
        <w:rPr>
          <w:b/>
        </w:rPr>
      </w:pPr>
    </w:p>
    <w:p w:rsidR="00EF2BD2" w14:paraId="2348F2EC" w14:textId="77777777">
      <w:pPr>
        <w:spacing w:line="360" w:lineRule="auto"/>
        <w:rPr>
          <w:b/>
        </w:rPr>
      </w:pPr>
    </w:p>
    <w:p w:rsidR="00EF2BD2" w14:paraId="409C01F4" w14:textId="77777777">
      <w:pPr>
        <w:spacing w:line="360" w:lineRule="auto"/>
        <w:rPr>
          <w:b/>
        </w:rPr>
      </w:pPr>
    </w:p>
    <w:p w:rsidR="00EF2BD2" w14:paraId="3C03CCA6" w14:textId="77777777">
      <w:pPr>
        <w:spacing w:line="360" w:lineRule="auto"/>
        <w:rPr>
          <w:b/>
        </w:rPr>
      </w:pPr>
    </w:p>
    <w:p w:rsidR="00EF2BD2" w:rsidRPr="007E1B9A" w14:paraId="7ECF545E" w14:textId="77777777">
      <w:pPr>
        <w:spacing w:line="360" w:lineRule="auto"/>
      </w:pPr>
    </w:p>
    <w:p w:rsidR="00EF2BD2" w14:paraId="72E483CB" w14:textId="77777777">
      <w:pPr>
        <w:spacing w:line="360" w:lineRule="auto"/>
        <w:ind w:firstLine="720"/>
      </w:pPr>
      <w:r>
        <w:t>El maltrato infantil, definido como toda forma de abuso o desatención dirigida a un menor de 18 años (OMS, 2022), constituye un grave problema de salud pública y una vulneración de derechos fundamentales, particularmente el derecho a la vida, protección contra la violencia y al disfrute del mayor nivel de salud posible (OPS, 2023, p. 2).</w:t>
      </w:r>
    </w:p>
    <w:p w:rsidR="00EF2BD2" w14:paraId="43A10772" w14:textId="1843720B">
      <w:pPr>
        <w:spacing w:line="360" w:lineRule="auto"/>
        <w:ind w:firstLine="720"/>
      </w:pPr>
      <w:r>
        <w:t>Este fenómeno se extiende por todo el globo, afectando anualmente a la mitad de la población infantil mundial (</w:t>
      </w:r>
      <w:r>
        <w:t>Hillis</w:t>
      </w:r>
      <w:r>
        <w:t xml:space="preserve"> et al., 2016). Las estadísticas indican que tres de cada cuatro menores de cinco años han sido sometidos a disciplina violenta por sus cuidadores, y uno de cada cuatro vive con una madre que ha sufrido violencia íntima (UNICEF, 2017). Además, la prevalencia de la violencia sexual afecta a 1 de cada 5 mujeres y a 1 de cada 10 hombres antes de llegar a los 18 años (Barth et al., 2013; Pan et al., 2021; Qu et al., 2022). </w:t>
      </w:r>
    </w:p>
    <w:p w:rsidR="00EF2BD2" w14:paraId="13A76E45" w14:textId="77777777">
      <w:pPr>
        <w:spacing w:line="360" w:lineRule="auto"/>
        <w:ind w:firstLine="720"/>
        <w:jc w:val="both"/>
      </w:pPr>
      <w:r>
        <w:t xml:space="preserve">Los efectos del maltrato pueden ser muy negativos para el bienestar infantil, pero esto se agudiza cuando se presenta de manera recurrente a lo largo del desarrollo. Lamentablemente, y tal como señala Finkelhor et al. (2007), en la vida de muchos niños, niñas y adolescentes la victimización constituye una condición más que un evento, pudiendo generar verdaderas trayectorias de victimización (Contreras, 2024). </w:t>
      </w:r>
    </w:p>
    <w:p w:rsidR="00EF2BD2" w14:paraId="193DF5FB" w14:textId="3F826557">
      <w:pPr>
        <w:spacing w:line="360" w:lineRule="auto"/>
        <w:ind w:firstLine="720"/>
      </w:pPr>
      <w:r>
        <w:t>La recurrencia de maltrato infantil ha recibido escasa atención en estudios empíricos. Se entiende por recurrencia la existencia de nuevos incidentes de maltrato tras el primer incidente denunciado (Choi y Kim, 2022). La evidencia disponible demuestra una alta prevalencia de recurrencia en la población atendida por los sistemas de protección infantil en todo el mundo (White et al., 2015). Sin embargo, sabemos poco sobre las razones que explican esta recurrencia.</w:t>
      </w:r>
    </w:p>
    <w:p w:rsidR="00EF2BD2" w14:paraId="79125866" w14:textId="0876925A">
      <w:pPr>
        <w:spacing w:line="360" w:lineRule="auto"/>
        <w:ind w:firstLine="720"/>
      </w:pPr>
      <w:r>
        <w:t xml:space="preserve">Desde un modelo de dosis-respuesta, la mayor exposición a la violencia se ha vinculado a un mayor impacto en sus víctimas (Evans et al., 2014). </w:t>
      </w:r>
      <w:r>
        <w:t>Bromfield</w:t>
      </w:r>
      <w:r>
        <w:t xml:space="preserve"> et al. (2007) han acuñado el término de “daño acumulativo” para referirse a los efectos sumativos de diferentes experiencias adversas en el transcurso de la vida. Siendo los efectos del maltrato recurrente tan perjudiciales en la vida de niños, niñas y adolescentes, uno de los desafíos que enfrenta la política pública es evitar que estos hechos ocurran y se reiteren en el tiempo. </w:t>
      </w:r>
    </w:p>
    <w:p w:rsidR="00EF2BD2" w14:paraId="4FD6466D" w14:textId="77777777">
      <w:pPr>
        <w:spacing w:line="360" w:lineRule="auto"/>
        <w:ind w:firstLine="720"/>
      </w:pPr>
      <w:r>
        <w:t>Para lograr este propósito, es central identificar correctamente los factores asociados al riesgo de un nuevo maltrato, pues su inadecuada identificación puede tener efectos negativos en los niños(as), adolescentes y sus familias, exponiéndolos a nuevas formas de maltrato o bien generando intervenciones iatrogénicas, que interfieren la dinámica y autonomía familiar (</w:t>
      </w:r>
      <w:r>
        <w:t>Cuccaro</w:t>
      </w:r>
      <w:r>
        <w:t>-Alamina et al., 2017).</w:t>
      </w:r>
    </w:p>
    <w:p w:rsidR="00EF2BD2" w14:paraId="6A58A9B9" w14:textId="58FC02FF">
      <w:pPr>
        <w:spacing w:line="360" w:lineRule="auto"/>
        <w:ind w:firstLine="720"/>
        <w:jc w:val="both"/>
      </w:pPr>
      <w:r>
        <w:t xml:space="preserve">El maltrato inicial ha demostrado ser más fácil de predecir que su recurrencia (van </w:t>
      </w:r>
      <w:r>
        <w:t>der</w:t>
      </w:r>
      <w:r>
        <w:t xml:space="preserve"> </w:t>
      </w:r>
      <w:r>
        <w:t>Put</w:t>
      </w:r>
      <w:r>
        <w:t xml:space="preserve"> et al., 2017), de ahí que haya menos estudios que se aboquen a predecirla. Prevenir la reiteración demanda identificar los factores de riesgo específicos de la recurrencia y no del maltrato de modo general. Si bien se ha generado numerosa investigación en nuevas victimizaciones luego de un primer episodio, la mayor parte de la literatura se ha focalizado en nuevos hechos en la vida adulta (por ejemplo</w:t>
      </w:r>
      <w:r w:rsidR="00E75C28">
        <w:t>:</w:t>
      </w:r>
      <w:r>
        <w:t xml:space="preserve"> </w:t>
      </w:r>
      <w:r>
        <w:t>Fereidooni</w:t>
      </w:r>
      <w:r>
        <w:t xml:space="preserve"> et al., 2024; </w:t>
      </w:r>
      <w:r>
        <w:t>Scoglio</w:t>
      </w:r>
      <w:r>
        <w:t xml:space="preserve"> et al., 2021; Walker et al., 2019), pero no</w:t>
      </w:r>
      <w:r w:rsidR="00E75C28">
        <w:t xml:space="preserve"> en</w:t>
      </w:r>
      <w:r>
        <w:t xml:space="preserve"> la etapa </w:t>
      </w:r>
      <w:r>
        <w:t>infanto</w:t>
      </w:r>
      <w:r>
        <w:t xml:space="preserve">-adolescente </w:t>
      </w:r>
      <w:r>
        <w:rPr>
          <w:highlight w:val="white"/>
        </w:rPr>
        <w:t>(Contreras et al., 2022)</w:t>
      </w:r>
      <w:r>
        <w:t xml:space="preserve">. </w:t>
      </w:r>
    </w:p>
    <w:p w:rsidR="00EF2BD2" w14:paraId="66740E26" w14:textId="2C38A795">
      <w:pPr>
        <w:spacing w:line="360" w:lineRule="auto"/>
        <w:ind w:firstLine="360"/>
      </w:pPr>
      <w:r>
        <w:t xml:space="preserve">Existen algunos estudios pioneros que han intentado predecir los factores asociados a recurrencia. Por tanto, el objetivo de la presente revisión sistemática es analizar dichos estudios, de modo de identificar en la literatura especializada los factores de riesgo y protección que permiten predecir la recurrencia de maltrato en niños, niñas y adolescentes. El artículo contribuye así a llenar un vacío clave en la literatura, aportando una lectura sistemática sobre la evidencia disponible en recurrencia </w:t>
      </w:r>
      <w:r>
        <w:t>victimal</w:t>
      </w:r>
      <w:r>
        <w:t xml:space="preserve"> infantil y sus factores asociados.</w:t>
      </w:r>
    </w:p>
    <w:p w:rsidR="00EF2BD2" w14:paraId="0D4FAFE2" w14:textId="77777777">
      <w:pPr>
        <w:spacing w:line="360" w:lineRule="auto"/>
        <w:rPr>
          <w:b/>
        </w:rPr>
      </w:pPr>
      <w:r>
        <w:rPr>
          <w:b/>
        </w:rPr>
        <w:t>Método</w:t>
      </w:r>
    </w:p>
    <w:p w:rsidR="00EF2BD2" w14:paraId="451B300B" w14:textId="77777777">
      <w:pPr>
        <w:spacing w:line="360" w:lineRule="auto"/>
        <w:ind w:firstLine="720"/>
      </w:pPr>
      <w:r>
        <w:t xml:space="preserve">Esta investigación ha sido efectuada </w:t>
      </w:r>
      <w:r>
        <w:t>de acuerdo a</w:t>
      </w:r>
      <w:r>
        <w:t xml:space="preserve"> los criterios de la declaración PRISMA 2020 (</w:t>
      </w:r>
      <w:r>
        <w:t>Preferred</w:t>
      </w:r>
      <w:r>
        <w:t xml:space="preserve"> </w:t>
      </w:r>
      <w:r>
        <w:t>Reporting</w:t>
      </w:r>
      <w:r>
        <w:t xml:space="preserve"> </w:t>
      </w:r>
      <w:r>
        <w:t>Items</w:t>
      </w:r>
      <w:r>
        <w:t xml:space="preserve"> </w:t>
      </w:r>
      <w:r>
        <w:t>for</w:t>
      </w:r>
      <w:r>
        <w:t xml:space="preserve"> </w:t>
      </w:r>
      <w:r>
        <w:t>Systematic</w:t>
      </w:r>
      <w:r>
        <w:t xml:space="preserve"> </w:t>
      </w:r>
      <w:r>
        <w:t>reviews</w:t>
      </w:r>
      <w:r>
        <w:t xml:space="preserve"> and Meta-</w:t>
      </w:r>
      <w:r>
        <w:t>Analyses</w:t>
      </w:r>
      <w:r>
        <w:t xml:space="preserve">), generada para informar de modo transparente los objetivos de la revisión sistemática, su metodología y hallazgos (Page et al., 2021). El protocolo de esta revisión sistemática ha sido registrado en el International Prospective </w:t>
      </w:r>
      <w:r>
        <w:t>Register</w:t>
      </w:r>
      <w:r>
        <w:t xml:space="preserve"> </w:t>
      </w:r>
      <w:r>
        <w:t>of</w:t>
      </w:r>
      <w:r>
        <w:t xml:space="preserve"> </w:t>
      </w:r>
      <w:r>
        <w:t>Systematic</w:t>
      </w:r>
      <w:r>
        <w:t xml:space="preserve"> </w:t>
      </w:r>
      <w:r>
        <w:t>Reviews</w:t>
      </w:r>
      <w:r>
        <w:t xml:space="preserve"> (PROSPERO) del </w:t>
      </w:r>
      <w:r>
        <w:t>National</w:t>
      </w:r>
      <w:r>
        <w:t xml:space="preserve"> </w:t>
      </w:r>
      <w:r>
        <w:t>Institute</w:t>
      </w:r>
      <w:r>
        <w:t xml:space="preserve"> </w:t>
      </w:r>
      <w:r>
        <w:t>for</w:t>
      </w:r>
      <w:r>
        <w:t xml:space="preserve"> </w:t>
      </w:r>
      <w:r>
        <w:t>Health</w:t>
      </w:r>
      <w:r>
        <w:t xml:space="preserve"> </w:t>
      </w:r>
      <w:r>
        <w:t>an</w:t>
      </w:r>
      <w:r>
        <w:t xml:space="preserve"> Care </w:t>
      </w:r>
      <w:r>
        <w:t>Research</w:t>
      </w:r>
      <w:r>
        <w:t xml:space="preserve"> (NIHR) (</w:t>
      </w:r>
      <w:hyperlink r:id="rId5">
        <w:r>
          <w:t>https://www.crd.york.ac.uk/prospero/</w:t>
        </w:r>
      </w:hyperlink>
      <w:r>
        <w:t>).</w:t>
      </w:r>
    </w:p>
    <w:p w:rsidR="00EF2BD2" w14:paraId="3F0EDFA7" w14:textId="77777777">
      <w:pPr>
        <w:spacing w:line="360" w:lineRule="auto"/>
        <w:ind w:firstLine="720"/>
        <w:rPr>
          <w:b/>
        </w:rPr>
      </w:pPr>
      <w:r>
        <w:rPr>
          <w:b/>
        </w:rPr>
        <w:t>Estrategia de búsqueda</w:t>
      </w:r>
    </w:p>
    <w:p w:rsidR="00EF2BD2" w14:paraId="38A6D259" w14:textId="77777777">
      <w:pPr>
        <w:spacing w:line="360" w:lineRule="auto"/>
        <w:ind w:firstLine="720"/>
      </w:pPr>
      <w:r>
        <w:t xml:space="preserve">Se efectuó una revisión sistemática de la literatura empleando las bases de datos </w:t>
      </w:r>
      <w:r>
        <w:t>Scopus</w:t>
      </w:r>
      <w:r>
        <w:t xml:space="preserve">, </w:t>
      </w:r>
      <w:r>
        <w:t>Wos</w:t>
      </w:r>
      <w:r>
        <w:t xml:space="preserve"> y Sage, seleccionando artículos publicados entre los años 2014 y 2023. </w:t>
      </w:r>
      <w:r w:rsidRPr="00E75C28">
        <w:rPr>
          <w:lang w:val="en-US"/>
        </w:rPr>
        <w:t xml:space="preserve">Se </w:t>
      </w:r>
      <w:r w:rsidRPr="00E75C28">
        <w:rPr>
          <w:lang w:val="en-US"/>
        </w:rPr>
        <w:t>utilizaron</w:t>
      </w:r>
      <w:r w:rsidRPr="00E75C28">
        <w:rPr>
          <w:lang w:val="en-US"/>
        </w:rPr>
        <w:t xml:space="preserve"> </w:t>
      </w:r>
      <w:r w:rsidRPr="00E75C28">
        <w:rPr>
          <w:lang w:val="en-US"/>
        </w:rPr>
        <w:t>como</w:t>
      </w:r>
      <w:r w:rsidRPr="00E75C28">
        <w:rPr>
          <w:lang w:val="en-US"/>
        </w:rPr>
        <w:t xml:space="preserve"> palabras clave: risk AND child or childhood or adolescent or teenager or minor AND abuse or maltreatment or sexual abuse or neglect or violence or victimization AND tool or instrument or assessment or </w:t>
      </w:r>
      <w:r w:rsidRPr="00E75C28">
        <w:rPr>
          <w:lang w:val="en-US"/>
        </w:rPr>
        <w:t>predictive</w:t>
      </w:r>
      <w:r w:rsidRPr="00E75C28">
        <w:rPr>
          <w:lang w:val="en-US"/>
        </w:rPr>
        <w:t xml:space="preserve"> or screening or scale or questionnaire or inventory AND revictimization or repeat victimization or welfare system. </w:t>
      </w:r>
      <w:r>
        <w:t xml:space="preserve">Se incluyeron estudios en población menor de 18 años que contaran con un reporte inicial de maltrato en cualquiera de sus formas, y que luego evaluaran la existencia de recurrencia o nuevos episodios. Fueron excluidos artículos teóricos, monográficos y capítulos de libros, tesis, revisiones sistemáticas, narrativas o metaanálisis, seleccionando solo estudios empíricos con producción de datos primarios. También, se </w:t>
      </w:r>
      <w:r>
        <w:t>excluyeron artículos abocados a la predicción de violencia entre pares, o bien aquellos en que el maltrato infantil predice la victimización adulta.</w:t>
      </w:r>
    </w:p>
    <w:p w:rsidR="00EF2BD2" w14:paraId="72E08183" w14:textId="77777777">
      <w:pPr>
        <w:spacing w:line="360" w:lineRule="auto"/>
        <w:ind w:firstLine="720"/>
        <w:rPr>
          <w:b/>
        </w:rPr>
      </w:pPr>
      <w:r>
        <w:rPr>
          <w:b/>
        </w:rPr>
        <w:t>Estrategia de selección</w:t>
      </w:r>
    </w:p>
    <w:p w:rsidR="00EF2BD2" w14:paraId="29D56EFC" w14:textId="77777777">
      <w:pPr>
        <w:spacing w:line="360" w:lineRule="auto"/>
        <w:ind w:firstLine="720"/>
      </w:pPr>
      <w:r>
        <w:t xml:space="preserve">A partir de la revisión de las bases de datos, se identificaron 436 artículos </w:t>
      </w:r>
      <w:r>
        <w:t>Scopus</w:t>
      </w:r>
      <w:r>
        <w:t xml:space="preserve">, 211 artículos Web </w:t>
      </w:r>
      <w:r>
        <w:t>of</w:t>
      </w:r>
      <w:r>
        <w:t xml:space="preserve"> </w:t>
      </w:r>
      <w:r>
        <w:t>Science</w:t>
      </w:r>
      <w:r>
        <w:t xml:space="preserve"> (WOS) y 10 artículos Sage, seleccionando 657 artículos totales, de los cuales quedaron 631 tras la eliminación de duplicidades. </w:t>
      </w:r>
      <w:r>
        <w:rPr>
          <w:color w:val="000000"/>
        </w:rPr>
        <w:t xml:space="preserve">Luego, dos investigadores del equipo </w:t>
      </w:r>
      <w:r>
        <w:t>seleccionaron</w:t>
      </w:r>
      <w:r>
        <w:rPr>
          <w:color w:val="000000"/>
        </w:rPr>
        <w:t xml:space="preserve"> de forma independiente los artículos a partir de los criterios de inclusión y exclusión definidos, procediendo en etapas sucesivas a la selección, primero por título, luego por resumen y finalmente por lectura completa. Tras esto, cotejaron sus listados y resolv</w:t>
      </w:r>
      <w:r>
        <w:t>ieron</w:t>
      </w:r>
      <w:r>
        <w:rPr>
          <w:color w:val="000000"/>
        </w:rPr>
        <w:t xml:space="preserve"> las discrepancias por consenso. </w:t>
      </w:r>
    </w:p>
    <w:p w:rsidR="00EF2BD2" w14:paraId="7C0F7EB4" w14:textId="77777777">
      <w:pPr>
        <w:spacing w:line="360" w:lineRule="auto"/>
        <w:ind w:firstLine="720"/>
      </w:pPr>
      <w:r>
        <w:t xml:space="preserve">A partir del total de artículos examinados (n=631), fueron seleccionados 187 artículos por título, 80 artículos por </w:t>
      </w:r>
      <w:r>
        <w:rPr>
          <w:i/>
        </w:rPr>
        <w:t>abstract</w:t>
      </w:r>
      <w:r>
        <w:t xml:space="preserve">, y 8 artículos por lectura completa, añadiendo 10 nuevos registros manualmente, a partir de la bibliografía señalada en los estudios revisados. Por lo tanto, los artículos incluidos finalmente en esta revisión sistemática fueron 18, todos ellos son estudios empíricos con producción de data primaria que contienen dentro de sus hallazgos -ya sea como foco principal o secundario- predictores de recurrencia de maltrato infantil (Figura 1). </w:t>
      </w:r>
    </w:p>
    <w:p w:rsidR="00EF2BD2" w14:paraId="797CB254" w14:textId="77777777">
      <w:pPr>
        <w:pStyle w:val="Heading4"/>
        <w:spacing w:before="0" w:after="0" w:line="360" w:lineRule="auto"/>
        <w:rPr>
          <w:b/>
          <w:color w:val="000000"/>
        </w:rPr>
      </w:pPr>
      <w:bookmarkStart w:id="0" w:name="_heading=h.7e5a6bt07nf3" w:colFirst="0" w:colLast="0"/>
      <w:bookmarkEnd w:id="0"/>
      <w:r>
        <w:rPr>
          <w:b/>
          <w:color w:val="000000"/>
        </w:rPr>
        <w:t>Figura 1</w:t>
      </w:r>
    </w:p>
    <w:p w:rsidR="00EF2BD2" w14:paraId="3FD232EE" w14:textId="77777777">
      <w:pPr>
        <w:pStyle w:val="Heading4"/>
        <w:spacing w:before="0" w:after="0" w:line="360" w:lineRule="auto"/>
        <w:rPr>
          <w:i/>
          <w:color w:val="000000"/>
        </w:rPr>
      </w:pPr>
      <w:bookmarkStart w:id="1" w:name="_heading=h.42nviou1ijn5" w:colFirst="0" w:colLast="0"/>
      <w:bookmarkEnd w:id="1"/>
      <w:r>
        <w:rPr>
          <w:i/>
          <w:color w:val="000000"/>
        </w:rPr>
        <w:t xml:space="preserve"> Diagrama de flujo: revisión sistemática de la literatura (PRISMA). </w:t>
      </w:r>
    </w:p>
    <w:p w:rsidR="00EF2BD2" w14:paraId="7DF8BC62" w14:textId="77777777">
      <w:pPr>
        <w:spacing w:line="360" w:lineRule="auto"/>
        <w:rPr>
          <w:i/>
        </w:rPr>
      </w:pPr>
      <w:r>
        <w:rPr>
          <w:i/>
          <w:noProof/>
        </w:rPr>
        <w:drawing>
          <wp:inline distT="0" distB="0" distL="0" distR="0">
            <wp:extent cx="3852863" cy="3438680"/>
            <wp:effectExtent l="0" t="0" r="0" b="0"/>
            <wp:docPr id="1166611301" name="image1.png"/>
            <wp:cNvGraphicFramePr/>
            <a:graphic xmlns:a="http://schemas.openxmlformats.org/drawingml/2006/main">
              <a:graphicData uri="http://schemas.openxmlformats.org/drawingml/2006/picture">
                <pic:pic xmlns:pic="http://schemas.openxmlformats.org/drawingml/2006/picture">
                  <pic:nvPicPr>
                    <pic:cNvPr id="1166611301" name="image1.png"/>
                    <pic:cNvPicPr/>
                  </pic:nvPicPr>
                  <pic:blipFill>
                    <a:blip xmlns:r="http://schemas.openxmlformats.org/officeDocument/2006/relationships" r:embed="rId6"/>
                    <a:stretch>
                      <a:fillRect/>
                    </a:stretch>
                  </pic:blipFill>
                  <pic:spPr>
                    <a:xfrm>
                      <a:off x="0" y="0"/>
                      <a:ext cx="3852863" cy="3438680"/>
                    </a:xfrm>
                    <a:prstGeom prst="rect">
                      <a:avLst/>
                    </a:prstGeom>
                  </pic:spPr>
                </pic:pic>
              </a:graphicData>
            </a:graphic>
          </wp:inline>
        </w:drawing>
      </w:r>
    </w:p>
    <w:p w:rsidR="00EF2BD2" w14:paraId="4A5FF955" w14:textId="77777777">
      <w:pPr>
        <w:spacing w:line="360" w:lineRule="auto"/>
        <w:ind w:left="566"/>
        <w:rPr>
          <w:b/>
        </w:rPr>
      </w:pPr>
      <w:r>
        <w:rPr>
          <w:b/>
        </w:rPr>
        <w:t>Estrategia de análisis</w:t>
      </w:r>
    </w:p>
    <w:p w:rsidR="00EF2BD2" w14:paraId="5EED03EC" w14:textId="54AF90CA">
      <w:pPr>
        <w:pBdr>
          <w:top w:val="nil"/>
          <w:left w:val="nil"/>
          <w:bottom w:val="nil"/>
          <w:right w:val="nil"/>
          <w:between w:val="nil"/>
        </w:pBdr>
        <w:spacing w:line="360" w:lineRule="auto"/>
        <w:ind w:firstLine="720"/>
        <w:rPr>
          <w:color w:val="000000"/>
        </w:rPr>
      </w:pPr>
      <w:r>
        <w:rPr>
          <w:color w:val="000000"/>
        </w:rPr>
        <w:t xml:space="preserve">Cuatro integrantes del equipo trabajaron de forma independiente en el fichaje de los artículos seleccionados, </w:t>
      </w:r>
      <w:r>
        <w:t xml:space="preserve">utilizando </w:t>
      </w:r>
      <w:r>
        <w:rPr>
          <w:color w:val="000000"/>
        </w:rPr>
        <w:t xml:space="preserve">el software </w:t>
      </w:r>
      <w:r>
        <w:rPr>
          <w:color w:val="000000"/>
        </w:rPr>
        <w:t>Covidence</w:t>
      </w:r>
      <w:r>
        <w:t xml:space="preserve">. El fichaje </w:t>
      </w:r>
      <w:r>
        <w:rPr>
          <w:color w:val="000000"/>
        </w:rPr>
        <w:t>incluy</w:t>
      </w:r>
      <w:r>
        <w:t>ó</w:t>
      </w:r>
      <w:r>
        <w:rPr>
          <w:color w:val="000000"/>
        </w:rPr>
        <w:t xml:space="preserve">: el lugar </w:t>
      </w:r>
      <w:r>
        <w:t>d</w:t>
      </w:r>
      <w:r>
        <w:rPr>
          <w:color w:val="000000"/>
        </w:rPr>
        <w:t>el estudio, la metodología, muestra utilizada, objetivos, tipo de maltrato que pretende predecir, factores de riesgo y protección, los estadísticos de cada factor y las medidas de efecto (valor p, IC, OR, RR, entre otros). Los registros fueron revisados por dos integrantes del equipo para la confirmación de datos.</w:t>
      </w:r>
      <w:r>
        <w:t xml:space="preserve"> </w:t>
      </w:r>
      <w:r>
        <w:rPr>
          <w:color w:val="000000"/>
        </w:rPr>
        <w:t>Para evaluar riesgo de sesgo se utilizar</w:t>
      </w:r>
      <w:r>
        <w:t>o</w:t>
      </w:r>
      <w:r>
        <w:rPr>
          <w:color w:val="000000"/>
        </w:rPr>
        <w:t>n los c</w:t>
      </w:r>
      <w:r>
        <w:t xml:space="preserve">riterios </w:t>
      </w:r>
      <w:r>
        <w:rPr>
          <w:color w:val="000000"/>
        </w:rPr>
        <w:t>CAT (</w:t>
      </w:r>
      <w:r>
        <w:rPr>
          <w:color w:val="000000"/>
        </w:rPr>
        <w:t>Critical</w:t>
      </w:r>
      <w:r>
        <w:rPr>
          <w:color w:val="000000"/>
        </w:rPr>
        <w:t xml:space="preserve"> </w:t>
      </w:r>
      <w:r>
        <w:rPr>
          <w:color w:val="000000"/>
        </w:rPr>
        <w:t>Appraisal</w:t>
      </w:r>
      <w:r>
        <w:rPr>
          <w:color w:val="000000"/>
        </w:rPr>
        <w:t xml:space="preserve"> Tool), específicamente las herramientas </w:t>
      </w:r>
      <w:r>
        <w:t>d</w:t>
      </w:r>
      <w:r>
        <w:rPr>
          <w:color w:val="000000"/>
        </w:rPr>
        <w:t xml:space="preserve">el Joanna Briggs </w:t>
      </w:r>
      <w:r>
        <w:rPr>
          <w:color w:val="000000"/>
        </w:rPr>
        <w:t>Institute</w:t>
      </w:r>
      <w:r>
        <w:rPr>
          <w:color w:val="000000"/>
        </w:rPr>
        <w:t xml:space="preserve"> (JBI</w:t>
      </w:r>
      <w:r>
        <w:t xml:space="preserve">, </w:t>
      </w:r>
      <w:r>
        <w:rPr>
          <w:color w:val="000000"/>
        </w:rPr>
        <w:t>2023).</w:t>
      </w:r>
    </w:p>
    <w:p w:rsidR="00EF2BD2" w14:paraId="45BC70F7" w14:textId="77777777">
      <w:pPr>
        <w:spacing w:line="360" w:lineRule="auto"/>
        <w:rPr>
          <w:b/>
        </w:rPr>
      </w:pPr>
      <w:r>
        <w:rPr>
          <w:b/>
        </w:rPr>
        <w:t>Resultados</w:t>
      </w:r>
    </w:p>
    <w:p w:rsidR="00EF2BD2" w14:paraId="694693B6" w14:textId="6E7B6D1B">
      <w:pPr>
        <w:spacing w:line="360" w:lineRule="auto"/>
      </w:pPr>
      <w:r>
        <w:rPr>
          <w:b/>
        </w:rPr>
        <w:tab/>
      </w:r>
      <w:r>
        <w:t xml:space="preserve">A </w:t>
      </w:r>
      <w:r>
        <w:t>continuación</w:t>
      </w:r>
      <w:r w:rsidR="00884F26">
        <w:t xml:space="preserve"> </w:t>
      </w:r>
      <w:r>
        <w:t xml:space="preserve">se presentan los principales hallazgos de la revisión sistemática efectuada, con énfasis en 6 dimensiones: distribución geográfica, tipo de maltrato reportado, tasa de recurrencia y factores de riesgo y protección identificados (ver Tabla 1). En términos analíticos, los factores se clasifican </w:t>
      </w:r>
      <w:r>
        <w:t>de acuerdo a</w:t>
      </w:r>
      <w:r>
        <w:t xml:space="preserve"> niveles ecológicos para mayor claridad.</w:t>
      </w:r>
    </w:p>
    <w:p w:rsidR="00EF2BD2" w14:paraId="539DA11B" w14:textId="77777777">
      <w:pPr>
        <w:spacing w:line="360" w:lineRule="auto"/>
        <w:rPr>
          <w:b/>
        </w:rPr>
      </w:pPr>
      <w:r>
        <w:rPr>
          <w:b/>
        </w:rPr>
        <w:tab/>
        <w:t>Distribución geográfica</w:t>
      </w:r>
    </w:p>
    <w:p w:rsidR="00EF2BD2" w14:paraId="613A698A" w14:textId="77777777">
      <w:pPr>
        <w:spacing w:line="360" w:lineRule="auto"/>
        <w:ind w:firstLine="720"/>
      </w:pPr>
      <w:r>
        <w:t>Los artículos que abordan la recurrencia del maltrato infantil han sido generados en Estados Unidos (n=11), Canadá (n=2), Corea del Sur (n=2), Japón (n=1), Países Bajos (n=1) y Sudáfrica (n=1). Se constata la escasa presencia de estudios desarrollados en países de menores ingresos, y la ausencia de estudios en América Latina.</w:t>
      </w:r>
    </w:p>
    <w:p w:rsidR="00EF2BD2" w14:paraId="18EFC015" w14:textId="77777777">
      <w:pPr>
        <w:spacing w:line="360" w:lineRule="auto"/>
        <w:ind w:left="566"/>
        <w:rPr>
          <w:b/>
        </w:rPr>
      </w:pPr>
      <w:r>
        <w:rPr>
          <w:b/>
        </w:rPr>
        <w:t xml:space="preserve">Tipo de maltrato reportado </w:t>
      </w:r>
    </w:p>
    <w:p w:rsidR="00EF2BD2" w14:paraId="40A89D27" w14:textId="26AAD565">
      <w:pPr>
        <w:spacing w:line="360" w:lineRule="auto"/>
        <w:ind w:firstLine="720"/>
        <w:rPr>
          <w:b/>
        </w:rPr>
        <w:sectPr>
          <w:headerReference w:type="default" r:id="rId7"/>
          <w:pgSz w:w="12219" w:h="15842"/>
          <w:pgMar w:top="1440" w:right="1440" w:bottom="1440" w:left="1440" w:header="720" w:footer="720" w:gutter="0"/>
          <w:pgNumType w:start="1"/>
          <w:cols w:space="720"/>
        </w:sectPr>
      </w:pPr>
      <w:r>
        <w:t>La mayor parte de las investigaciones estudian la recurrencia del maltrato de forma amplia, considerando como variable dependiente la notificación o comprobación de un nuevo tipo de maltrato en cualquiera de sus formas, incluyendo maltrato físico, psicológico, negligencia y violencia sexual (n=13). Cuatro de ellas incluyen además otros tipos de maltrato, entre los que se cuenta el maltrato moral/legal, maltrato educativo, explotación, exposición a la violencia en la pareja, así como la violencia hacia o entre hermanos. Una minoría de artículos (n=2) también adoptan una perspectiva amplia respecto a la recurrencia, considerando múltiples formas de maltrato, pero dejando fuera el maltrato psicológico. Y otra minoría se focaliza en la predicción de un solo tipo de maltrato, estudiando formas letales o casi letales de maltrato en lactantes (n=2), y la recurrencia en abuso sexual infantil (n=1).</w:t>
      </w:r>
    </w:p>
    <w:p w:rsidR="00EF2BD2" w14:paraId="1FA1AB80" w14:textId="77777777">
      <w:pPr>
        <w:spacing w:line="360" w:lineRule="auto"/>
        <w:rPr>
          <w:b/>
        </w:rPr>
      </w:pPr>
      <w:r>
        <w:rPr>
          <w:b/>
        </w:rPr>
        <w:t>Tabla 1</w:t>
      </w:r>
    </w:p>
    <w:p w:rsidR="00EF2BD2" w14:paraId="183D082C" w14:textId="77777777">
      <w:pPr>
        <w:pStyle w:val="Heading4"/>
        <w:spacing w:line="360" w:lineRule="auto"/>
        <w:rPr>
          <w:i/>
          <w:color w:val="000000"/>
        </w:rPr>
      </w:pPr>
      <w:bookmarkStart w:id="2" w:name="_heading=h.vfultpjj3bls" w:colFirst="0" w:colLast="0"/>
      <w:bookmarkEnd w:id="2"/>
      <w:r>
        <w:rPr>
          <w:i/>
          <w:color w:val="000000"/>
        </w:rPr>
        <w:t>Caracterización de los estudios y resultados</w:t>
      </w:r>
    </w:p>
    <w:tbl>
      <w:tblPr>
        <w:tblStyle w:val="ae"/>
        <w:tblW w:w="12855"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600"/>
      </w:tblPr>
      <w:tblGrid>
        <w:gridCol w:w="1320"/>
        <w:gridCol w:w="1020"/>
        <w:gridCol w:w="1965"/>
        <w:gridCol w:w="3435"/>
        <w:gridCol w:w="5115"/>
      </w:tblGrid>
      <w:tr w14:paraId="7F899FC3" w14:textId="77777777" w:rsidTr="00EF2BD2">
        <w:tblPrEx>
          <w:tblW w:w="12855"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600"/>
        </w:tblPrEx>
        <w:tc>
          <w:tcPr>
            <w:tcW w:w="1320" w:type="dxa"/>
            <w:tcBorders>
              <w:top w:val="single" w:sz="4" w:space="0" w:color="7F7F7F"/>
              <w:bottom w:val="single" w:sz="4" w:space="0" w:color="000000"/>
            </w:tcBorders>
          </w:tcPr>
          <w:p w:rsidR="00EF2BD2" w14:paraId="786F3C13" w14:textId="77777777">
            <w:pPr>
              <w:widowControl w:val="0"/>
              <w:pBdr>
                <w:top w:val="nil"/>
                <w:left w:val="nil"/>
                <w:bottom w:val="nil"/>
                <w:right w:val="nil"/>
                <w:between w:val="nil"/>
              </w:pBdr>
              <w:jc w:val="center"/>
              <w:rPr>
                <w:b/>
                <w:sz w:val="20"/>
                <w:szCs w:val="20"/>
              </w:rPr>
            </w:pPr>
            <w:r>
              <w:rPr>
                <w:b/>
                <w:sz w:val="20"/>
                <w:szCs w:val="20"/>
              </w:rPr>
              <w:t>Autores</w:t>
            </w:r>
          </w:p>
        </w:tc>
        <w:tc>
          <w:tcPr>
            <w:tcW w:w="1020" w:type="dxa"/>
            <w:tcBorders>
              <w:top w:val="single" w:sz="4" w:space="0" w:color="7F7F7F"/>
              <w:bottom w:val="single" w:sz="4" w:space="0" w:color="000000"/>
            </w:tcBorders>
          </w:tcPr>
          <w:p w:rsidR="00EF2BD2" w14:paraId="5E6098AA" w14:textId="77777777">
            <w:pPr>
              <w:widowControl w:val="0"/>
              <w:pBdr>
                <w:top w:val="nil"/>
                <w:left w:val="nil"/>
                <w:bottom w:val="nil"/>
                <w:right w:val="nil"/>
                <w:between w:val="nil"/>
              </w:pBdr>
              <w:jc w:val="center"/>
              <w:rPr>
                <w:b/>
                <w:sz w:val="20"/>
                <w:szCs w:val="20"/>
              </w:rPr>
            </w:pPr>
            <w:r>
              <w:rPr>
                <w:b/>
                <w:sz w:val="20"/>
                <w:szCs w:val="20"/>
              </w:rPr>
              <w:t xml:space="preserve">Lugar </w:t>
            </w:r>
          </w:p>
        </w:tc>
        <w:tc>
          <w:tcPr>
            <w:tcW w:w="1965" w:type="dxa"/>
            <w:tcBorders>
              <w:top w:val="single" w:sz="4" w:space="0" w:color="7F7F7F"/>
              <w:bottom w:val="single" w:sz="4" w:space="0" w:color="000000"/>
            </w:tcBorders>
          </w:tcPr>
          <w:p w:rsidR="00EF2BD2" w14:paraId="3ACDA406" w14:textId="77777777">
            <w:pPr>
              <w:widowControl w:val="0"/>
              <w:pBdr>
                <w:top w:val="nil"/>
                <w:left w:val="nil"/>
                <w:bottom w:val="nil"/>
                <w:right w:val="nil"/>
                <w:between w:val="nil"/>
              </w:pBdr>
              <w:jc w:val="center"/>
              <w:rPr>
                <w:b/>
                <w:sz w:val="20"/>
                <w:szCs w:val="20"/>
              </w:rPr>
            </w:pPr>
            <w:r>
              <w:rPr>
                <w:b/>
                <w:sz w:val="20"/>
                <w:szCs w:val="20"/>
              </w:rPr>
              <w:t>Tipo de maltrato a predecir</w:t>
            </w:r>
          </w:p>
        </w:tc>
        <w:tc>
          <w:tcPr>
            <w:tcW w:w="3435" w:type="dxa"/>
            <w:tcBorders>
              <w:top w:val="single" w:sz="4" w:space="0" w:color="7F7F7F"/>
              <w:bottom w:val="single" w:sz="4" w:space="0" w:color="000000"/>
            </w:tcBorders>
          </w:tcPr>
          <w:p w:rsidR="00EF2BD2" w14:paraId="7E1A5417" w14:textId="77777777">
            <w:pPr>
              <w:widowControl w:val="0"/>
              <w:pBdr>
                <w:top w:val="nil"/>
                <w:left w:val="nil"/>
                <w:bottom w:val="nil"/>
                <w:right w:val="nil"/>
                <w:between w:val="nil"/>
              </w:pBdr>
              <w:jc w:val="center"/>
              <w:rPr>
                <w:b/>
                <w:sz w:val="20"/>
                <w:szCs w:val="20"/>
              </w:rPr>
            </w:pPr>
            <w:r>
              <w:rPr>
                <w:b/>
                <w:sz w:val="20"/>
                <w:szCs w:val="20"/>
              </w:rPr>
              <w:t>Características de la muestra</w:t>
            </w:r>
          </w:p>
        </w:tc>
        <w:tc>
          <w:tcPr>
            <w:tcW w:w="5115" w:type="dxa"/>
            <w:tcBorders>
              <w:top w:val="single" w:sz="4" w:space="0" w:color="7F7F7F"/>
              <w:bottom w:val="single" w:sz="4" w:space="0" w:color="000000"/>
            </w:tcBorders>
          </w:tcPr>
          <w:p w:rsidR="00EF2BD2" w14:paraId="5318F55C" w14:textId="77777777">
            <w:pPr>
              <w:widowControl w:val="0"/>
              <w:pBdr>
                <w:top w:val="nil"/>
                <w:left w:val="nil"/>
                <w:bottom w:val="nil"/>
                <w:right w:val="nil"/>
                <w:between w:val="nil"/>
              </w:pBdr>
              <w:jc w:val="center"/>
              <w:rPr>
                <w:b/>
                <w:sz w:val="20"/>
                <w:szCs w:val="20"/>
              </w:rPr>
            </w:pPr>
            <w:r>
              <w:rPr>
                <w:b/>
                <w:sz w:val="20"/>
                <w:szCs w:val="20"/>
              </w:rPr>
              <w:t>Factores de riesgo y protección significativos</w:t>
            </w:r>
          </w:p>
        </w:tc>
      </w:tr>
      <w:tr w14:paraId="1F8B5255" w14:textId="77777777" w:rsidTr="00EF2BD2">
        <w:tblPrEx>
          <w:tblW w:w="12855" w:type="dxa"/>
          <w:tblInd w:w="0" w:type="dxa"/>
          <w:tblLayout w:type="fixed"/>
          <w:tblLook w:val="0600"/>
        </w:tblPrEx>
        <w:tc>
          <w:tcPr>
            <w:tcW w:w="1320" w:type="dxa"/>
            <w:tcBorders>
              <w:top w:val="single" w:sz="4" w:space="0" w:color="000000"/>
            </w:tcBorders>
          </w:tcPr>
          <w:p w:rsidR="00EF2BD2" w14:paraId="5DC2F7C5" w14:textId="77777777">
            <w:pPr>
              <w:widowControl w:val="0"/>
              <w:ind w:left="32"/>
              <w:rPr>
                <w:sz w:val="20"/>
                <w:szCs w:val="20"/>
              </w:rPr>
            </w:pPr>
            <w:r>
              <w:rPr>
                <w:sz w:val="20"/>
                <w:szCs w:val="20"/>
              </w:rPr>
              <w:t>Casanueva et al. (2015)</w:t>
            </w:r>
          </w:p>
        </w:tc>
        <w:tc>
          <w:tcPr>
            <w:tcW w:w="1020" w:type="dxa"/>
            <w:tcBorders>
              <w:top w:val="single" w:sz="4" w:space="0" w:color="000000"/>
            </w:tcBorders>
          </w:tcPr>
          <w:p w:rsidR="00EF2BD2" w14:paraId="1BA82B31" w14:textId="77777777">
            <w:pPr>
              <w:widowControl w:val="0"/>
              <w:pBdr>
                <w:top w:val="nil"/>
                <w:left w:val="nil"/>
                <w:bottom w:val="nil"/>
                <w:right w:val="nil"/>
                <w:between w:val="nil"/>
              </w:pBdr>
              <w:rPr>
                <w:color w:val="000000"/>
                <w:sz w:val="20"/>
                <w:szCs w:val="20"/>
              </w:rPr>
            </w:pPr>
            <w:r>
              <w:rPr>
                <w:sz w:val="20"/>
                <w:szCs w:val="20"/>
              </w:rPr>
              <w:t>Estados Unidos</w:t>
            </w:r>
          </w:p>
        </w:tc>
        <w:tc>
          <w:tcPr>
            <w:tcW w:w="1965" w:type="dxa"/>
            <w:tcBorders>
              <w:top w:val="single" w:sz="4" w:space="0" w:color="000000"/>
            </w:tcBorders>
          </w:tcPr>
          <w:p w:rsidR="00EF2BD2" w14:paraId="1D8DBC7D" w14:textId="77777777">
            <w:pPr>
              <w:widowControl w:val="0"/>
              <w:pBdr>
                <w:top w:val="nil"/>
                <w:left w:val="nil"/>
                <w:bottom w:val="nil"/>
                <w:right w:val="nil"/>
                <w:between w:val="nil"/>
              </w:pBdr>
              <w:rPr>
                <w:color w:val="000000"/>
                <w:sz w:val="20"/>
                <w:szCs w:val="20"/>
              </w:rPr>
            </w:pPr>
            <w:r>
              <w:rPr>
                <w:color w:val="000000"/>
                <w:sz w:val="20"/>
                <w:szCs w:val="20"/>
              </w:rPr>
              <w:t xml:space="preserve">Maltrato físico, maltrato psicológico, violencia sexual, negligencia, otros </w:t>
            </w:r>
          </w:p>
        </w:tc>
        <w:tc>
          <w:tcPr>
            <w:tcW w:w="3435" w:type="dxa"/>
            <w:tcBorders>
              <w:top w:val="single" w:sz="4" w:space="0" w:color="000000"/>
            </w:tcBorders>
          </w:tcPr>
          <w:p w:rsidR="00EF2BD2" w:rsidRPr="00E75C28" w14:paraId="6184B809" w14:textId="77777777">
            <w:pPr>
              <w:widowControl w:val="0"/>
              <w:pBdr>
                <w:top w:val="nil"/>
                <w:left w:val="nil"/>
                <w:bottom w:val="nil"/>
                <w:right w:val="nil"/>
                <w:between w:val="nil"/>
              </w:pBdr>
              <w:rPr>
                <w:sz w:val="20"/>
                <w:szCs w:val="20"/>
                <w:lang w:val="en-US"/>
              </w:rPr>
            </w:pPr>
            <w:r w:rsidRPr="00E75C28">
              <w:rPr>
                <w:b/>
                <w:sz w:val="20"/>
                <w:szCs w:val="20"/>
                <w:lang w:val="en-US"/>
              </w:rPr>
              <w:t>N= 4.715</w:t>
            </w:r>
            <w:r w:rsidRPr="00E75C28">
              <w:rPr>
                <w:sz w:val="20"/>
                <w:szCs w:val="20"/>
                <w:lang w:val="en-US"/>
              </w:rPr>
              <w:t xml:space="preserve"> </w:t>
            </w:r>
            <w:r w:rsidRPr="00E75C28">
              <w:rPr>
                <w:sz w:val="20"/>
                <w:szCs w:val="20"/>
                <w:lang w:val="en-US"/>
              </w:rPr>
              <w:t>niños</w:t>
            </w:r>
            <w:r w:rsidRPr="00E75C28">
              <w:rPr>
                <w:sz w:val="20"/>
                <w:szCs w:val="20"/>
                <w:lang w:val="en-US"/>
              </w:rPr>
              <w:t xml:space="preserve">/as con </w:t>
            </w:r>
            <w:r w:rsidRPr="00E75C28">
              <w:rPr>
                <w:sz w:val="20"/>
                <w:szCs w:val="20"/>
                <w:lang w:val="en-US"/>
              </w:rPr>
              <w:t>registro</w:t>
            </w:r>
            <w:r w:rsidRPr="00E75C28">
              <w:rPr>
                <w:sz w:val="20"/>
                <w:szCs w:val="20"/>
                <w:lang w:val="en-US"/>
              </w:rPr>
              <w:t xml:space="preserve"> </w:t>
            </w:r>
            <w:r w:rsidRPr="00E75C28">
              <w:rPr>
                <w:sz w:val="20"/>
                <w:szCs w:val="20"/>
                <w:lang w:val="en-US"/>
              </w:rPr>
              <w:t>en</w:t>
            </w:r>
            <w:r w:rsidRPr="00E75C28">
              <w:rPr>
                <w:sz w:val="20"/>
                <w:szCs w:val="20"/>
                <w:lang w:val="en-US"/>
              </w:rPr>
              <w:t xml:space="preserve"> NSCAW II (National Survey of Child and Adolescent Well-Being) </w:t>
            </w:r>
            <w:r w:rsidRPr="00E75C28">
              <w:rPr>
                <w:sz w:val="20"/>
                <w:szCs w:val="20"/>
                <w:lang w:val="en-US"/>
              </w:rPr>
              <w:t>vinculado</w:t>
            </w:r>
            <w:r w:rsidRPr="00E75C28">
              <w:rPr>
                <w:sz w:val="20"/>
                <w:szCs w:val="20"/>
                <w:lang w:val="en-US"/>
              </w:rPr>
              <w:t xml:space="preserve"> con </w:t>
            </w:r>
            <w:r w:rsidRPr="00E75C28">
              <w:rPr>
                <w:sz w:val="20"/>
                <w:szCs w:val="20"/>
                <w:lang w:val="en-US"/>
              </w:rPr>
              <w:t>datos</w:t>
            </w:r>
            <w:r w:rsidRPr="00E75C28">
              <w:rPr>
                <w:sz w:val="20"/>
                <w:szCs w:val="20"/>
                <w:lang w:val="en-US"/>
              </w:rPr>
              <w:t xml:space="preserve"> </w:t>
            </w:r>
            <w:r w:rsidRPr="00E75C28">
              <w:rPr>
                <w:sz w:val="20"/>
                <w:szCs w:val="20"/>
                <w:lang w:val="en-US"/>
              </w:rPr>
              <w:t>administrativos</w:t>
            </w:r>
            <w:r w:rsidRPr="00E75C28">
              <w:rPr>
                <w:sz w:val="20"/>
                <w:szCs w:val="20"/>
                <w:lang w:val="en-US"/>
              </w:rPr>
              <w:t xml:space="preserve"> de NCANDS (National Child Abuse and Neglect Data System)</w:t>
            </w:r>
          </w:p>
        </w:tc>
        <w:tc>
          <w:tcPr>
            <w:tcW w:w="5115" w:type="dxa"/>
            <w:tcBorders>
              <w:top w:val="single" w:sz="4" w:space="0" w:color="000000"/>
            </w:tcBorders>
          </w:tcPr>
          <w:p w:rsidR="00EF2BD2" w14:paraId="3B952D0D" w14:textId="77777777">
            <w:pPr>
              <w:widowControl w:val="0"/>
              <w:pBdr>
                <w:top w:val="nil"/>
                <w:left w:val="nil"/>
                <w:bottom w:val="nil"/>
                <w:right w:val="nil"/>
                <w:between w:val="nil"/>
              </w:pBdr>
              <w:rPr>
                <w:color w:val="000000"/>
                <w:sz w:val="20"/>
                <w:szCs w:val="20"/>
              </w:rPr>
            </w:pPr>
            <w:r>
              <w:rPr>
                <w:b/>
                <w:color w:val="000000"/>
                <w:sz w:val="20"/>
                <w:szCs w:val="20"/>
              </w:rPr>
              <w:t>Factores de riesgo</w:t>
            </w:r>
            <w:r>
              <w:rPr>
                <w:color w:val="000000"/>
                <w:sz w:val="20"/>
                <w:szCs w:val="20"/>
              </w:rPr>
              <w:t xml:space="preserve">: Involucramiento previo </w:t>
            </w:r>
            <w:r>
              <w:rPr>
                <w:sz w:val="20"/>
                <w:szCs w:val="20"/>
              </w:rPr>
              <w:t>en</w:t>
            </w:r>
            <w:r>
              <w:rPr>
                <w:color w:val="000000"/>
                <w:sz w:val="20"/>
                <w:szCs w:val="20"/>
              </w:rPr>
              <w:t xml:space="preserve"> los CPS</w:t>
            </w:r>
            <w:r>
              <w:rPr>
                <w:sz w:val="20"/>
                <w:szCs w:val="20"/>
              </w:rPr>
              <w:t xml:space="preserve">, </w:t>
            </w:r>
            <w:r>
              <w:rPr>
                <w:color w:val="000000"/>
                <w:sz w:val="20"/>
                <w:szCs w:val="20"/>
              </w:rPr>
              <w:t>Violencia doméstica</w:t>
            </w:r>
            <w:r>
              <w:rPr>
                <w:sz w:val="20"/>
                <w:szCs w:val="20"/>
              </w:rPr>
              <w:t xml:space="preserve">, </w:t>
            </w:r>
            <w:r>
              <w:rPr>
                <w:color w:val="000000"/>
                <w:sz w:val="20"/>
                <w:szCs w:val="20"/>
              </w:rPr>
              <w:t>Problemas de salud mental de cuidadores</w:t>
            </w:r>
            <w:r>
              <w:rPr>
                <w:sz w:val="20"/>
                <w:szCs w:val="20"/>
              </w:rPr>
              <w:t xml:space="preserve">, </w:t>
            </w:r>
            <w:r>
              <w:rPr>
                <w:color w:val="000000"/>
                <w:sz w:val="20"/>
                <w:szCs w:val="20"/>
              </w:rPr>
              <w:t>Raza blanca.</w:t>
            </w:r>
          </w:p>
          <w:p w:rsidR="00EF2BD2" w14:paraId="64EE2842" w14:textId="77777777">
            <w:pPr>
              <w:widowControl w:val="0"/>
              <w:pBdr>
                <w:top w:val="nil"/>
                <w:left w:val="nil"/>
                <w:bottom w:val="nil"/>
                <w:right w:val="nil"/>
                <w:between w:val="nil"/>
              </w:pBdr>
              <w:rPr>
                <w:sz w:val="20"/>
                <w:szCs w:val="20"/>
              </w:rPr>
            </w:pPr>
            <w:r>
              <w:rPr>
                <w:b/>
                <w:color w:val="000000"/>
                <w:sz w:val="20"/>
                <w:szCs w:val="20"/>
              </w:rPr>
              <w:t>Factores protectores</w:t>
            </w:r>
            <w:r>
              <w:rPr>
                <w:color w:val="000000"/>
                <w:sz w:val="20"/>
                <w:szCs w:val="20"/>
              </w:rPr>
              <w:t>: Recibir servicios de protección al momento de la investigación</w:t>
            </w:r>
          </w:p>
        </w:tc>
      </w:tr>
      <w:tr w14:paraId="2F1356FF" w14:textId="77777777" w:rsidTr="00EF2BD2">
        <w:tblPrEx>
          <w:tblW w:w="12855" w:type="dxa"/>
          <w:tblInd w:w="0" w:type="dxa"/>
          <w:tblLayout w:type="fixed"/>
          <w:tblLook w:val="0600"/>
        </w:tblPrEx>
        <w:tc>
          <w:tcPr>
            <w:tcW w:w="1320" w:type="dxa"/>
          </w:tcPr>
          <w:p w:rsidR="00EF2BD2" w14:paraId="3EE23F00" w14:textId="77777777">
            <w:pPr>
              <w:widowControl w:val="0"/>
              <w:ind w:left="32"/>
              <w:rPr>
                <w:sz w:val="20"/>
                <w:szCs w:val="20"/>
              </w:rPr>
            </w:pPr>
            <w:r>
              <w:rPr>
                <w:sz w:val="20"/>
                <w:szCs w:val="20"/>
              </w:rPr>
              <w:t>Cheng y Lo (2015)</w:t>
            </w:r>
          </w:p>
        </w:tc>
        <w:tc>
          <w:tcPr>
            <w:tcW w:w="1020" w:type="dxa"/>
          </w:tcPr>
          <w:p w:rsidR="00EF2BD2" w14:paraId="0897BEB7" w14:textId="77777777">
            <w:pPr>
              <w:widowControl w:val="0"/>
              <w:pBdr>
                <w:top w:val="nil"/>
                <w:left w:val="nil"/>
                <w:bottom w:val="nil"/>
                <w:right w:val="nil"/>
                <w:between w:val="nil"/>
              </w:pBdr>
              <w:rPr>
                <w:color w:val="000000"/>
                <w:sz w:val="20"/>
                <w:szCs w:val="20"/>
              </w:rPr>
            </w:pPr>
            <w:r>
              <w:rPr>
                <w:sz w:val="20"/>
                <w:szCs w:val="20"/>
              </w:rPr>
              <w:t>Estados Unidos</w:t>
            </w:r>
          </w:p>
        </w:tc>
        <w:tc>
          <w:tcPr>
            <w:tcW w:w="1965" w:type="dxa"/>
          </w:tcPr>
          <w:p w:rsidR="00EF2BD2" w14:paraId="407C328B" w14:textId="77777777">
            <w:pPr>
              <w:widowControl w:val="0"/>
              <w:pBdr>
                <w:top w:val="nil"/>
                <w:left w:val="nil"/>
                <w:bottom w:val="nil"/>
                <w:right w:val="nil"/>
                <w:between w:val="nil"/>
              </w:pBdr>
              <w:rPr>
                <w:sz w:val="20"/>
                <w:szCs w:val="20"/>
              </w:rPr>
            </w:pPr>
            <w:r>
              <w:rPr>
                <w:color w:val="000000"/>
                <w:sz w:val="20"/>
                <w:szCs w:val="20"/>
              </w:rPr>
              <w:t>Maltrato físico, maltrato psicológico, violencia sexual, negligencia</w:t>
            </w:r>
          </w:p>
        </w:tc>
        <w:tc>
          <w:tcPr>
            <w:tcW w:w="3435" w:type="dxa"/>
          </w:tcPr>
          <w:p w:rsidR="00EF2BD2" w14:paraId="77ABE3F2" w14:textId="77777777">
            <w:pPr>
              <w:widowControl w:val="0"/>
              <w:pBdr>
                <w:top w:val="nil"/>
                <w:left w:val="nil"/>
                <w:bottom w:val="nil"/>
                <w:right w:val="nil"/>
                <w:between w:val="nil"/>
              </w:pBdr>
              <w:rPr>
                <w:sz w:val="20"/>
                <w:szCs w:val="20"/>
              </w:rPr>
            </w:pPr>
            <w:r>
              <w:rPr>
                <w:b/>
                <w:sz w:val="20"/>
                <w:szCs w:val="20"/>
              </w:rPr>
              <w:t>N= 5.501</w:t>
            </w:r>
            <w:r>
              <w:rPr>
                <w:sz w:val="20"/>
                <w:szCs w:val="20"/>
              </w:rPr>
              <w:t xml:space="preserve"> niños/as y adolescentes de NSCAW-I (</w:t>
            </w:r>
            <w:r>
              <w:rPr>
                <w:sz w:val="20"/>
                <w:szCs w:val="20"/>
              </w:rPr>
              <w:t>National</w:t>
            </w:r>
            <w:r>
              <w:rPr>
                <w:sz w:val="20"/>
                <w:szCs w:val="20"/>
              </w:rPr>
              <w:t xml:space="preserve"> </w:t>
            </w:r>
            <w:r>
              <w:rPr>
                <w:sz w:val="20"/>
                <w:szCs w:val="20"/>
              </w:rPr>
              <w:t>survey</w:t>
            </w:r>
            <w:r>
              <w:rPr>
                <w:sz w:val="20"/>
                <w:szCs w:val="20"/>
              </w:rPr>
              <w:t xml:space="preserve"> </w:t>
            </w:r>
            <w:r>
              <w:rPr>
                <w:sz w:val="20"/>
                <w:szCs w:val="20"/>
              </w:rPr>
              <w:t>of</w:t>
            </w:r>
            <w:r>
              <w:rPr>
                <w:sz w:val="20"/>
                <w:szCs w:val="20"/>
              </w:rPr>
              <w:t xml:space="preserve"> Child and </w:t>
            </w:r>
            <w:r>
              <w:rPr>
                <w:sz w:val="20"/>
                <w:szCs w:val="20"/>
              </w:rPr>
              <w:t>Adolescent</w:t>
            </w:r>
            <w:r>
              <w:rPr>
                <w:sz w:val="20"/>
                <w:szCs w:val="20"/>
              </w:rPr>
              <w:t xml:space="preserve"> </w:t>
            </w:r>
            <w:r>
              <w:rPr>
                <w:sz w:val="20"/>
                <w:szCs w:val="20"/>
              </w:rPr>
              <w:t>Well-being</w:t>
            </w:r>
            <w:r>
              <w:rPr>
                <w:sz w:val="20"/>
                <w:szCs w:val="20"/>
              </w:rPr>
              <w:t>) involucrados en sistemas de protección</w:t>
            </w:r>
          </w:p>
        </w:tc>
        <w:tc>
          <w:tcPr>
            <w:tcW w:w="5115" w:type="dxa"/>
          </w:tcPr>
          <w:p w:rsidR="00EF2BD2" w14:paraId="1854B8DF" w14:textId="77777777">
            <w:pPr>
              <w:widowControl w:val="0"/>
              <w:pBdr>
                <w:top w:val="nil"/>
                <w:left w:val="nil"/>
                <w:bottom w:val="nil"/>
                <w:right w:val="nil"/>
                <w:between w:val="nil"/>
              </w:pBdr>
              <w:rPr>
                <w:color w:val="000000"/>
                <w:sz w:val="20"/>
                <w:szCs w:val="20"/>
              </w:rPr>
            </w:pPr>
            <w:r>
              <w:rPr>
                <w:b/>
                <w:color w:val="000000"/>
                <w:sz w:val="20"/>
                <w:szCs w:val="20"/>
              </w:rPr>
              <w:t>Factores de riesgo</w:t>
            </w:r>
            <w:r>
              <w:rPr>
                <w:color w:val="000000"/>
                <w:sz w:val="20"/>
                <w:szCs w:val="20"/>
              </w:rPr>
              <w:t>: Períodos previos en el hogar (menor número de meses); Abuso sexual inicial fundamentad; Dependencia del alcohol en los padres.</w:t>
            </w:r>
          </w:p>
          <w:p w:rsidR="00EF2BD2" w14:paraId="05450387" w14:textId="77777777">
            <w:pPr>
              <w:widowControl w:val="0"/>
              <w:pBdr>
                <w:top w:val="nil"/>
                <w:left w:val="nil"/>
                <w:bottom w:val="nil"/>
                <w:right w:val="nil"/>
                <w:between w:val="nil"/>
              </w:pBdr>
              <w:rPr>
                <w:color w:val="000000"/>
                <w:sz w:val="20"/>
                <w:szCs w:val="20"/>
              </w:rPr>
            </w:pPr>
            <w:r>
              <w:rPr>
                <w:b/>
                <w:color w:val="000000"/>
                <w:sz w:val="20"/>
                <w:szCs w:val="20"/>
              </w:rPr>
              <w:t>Factores protectores:</w:t>
            </w:r>
            <w:r>
              <w:rPr>
                <w:color w:val="000000"/>
                <w:sz w:val="20"/>
                <w:szCs w:val="20"/>
              </w:rPr>
              <w:t xml:space="preserve"> Compromiso colaborativo; </w:t>
            </w:r>
          </w:p>
          <w:p w:rsidR="00EF2BD2" w14:paraId="43A51494" w14:textId="77777777">
            <w:pPr>
              <w:widowControl w:val="0"/>
              <w:pBdr>
                <w:top w:val="nil"/>
                <w:left w:val="nil"/>
                <w:bottom w:val="nil"/>
                <w:right w:val="nil"/>
                <w:between w:val="nil"/>
              </w:pBdr>
              <w:rPr>
                <w:sz w:val="20"/>
                <w:szCs w:val="20"/>
              </w:rPr>
            </w:pPr>
            <w:r>
              <w:rPr>
                <w:color w:val="000000"/>
                <w:sz w:val="20"/>
                <w:szCs w:val="20"/>
              </w:rPr>
              <w:t>Ingresos familiares</w:t>
            </w:r>
          </w:p>
        </w:tc>
      </w:tr>
      <w:tr w14:paraId="51FC71DC" w14:textId="77777777" w:rsidTr="00EF2BD2">
        <w:tblPrEx>
          <w:tblW w:w="12855" w:type="dxa"/>
          <w:tblInd w:w="0" w:type="dxa"/>
          <w:tblLayout w:type="fixed"/>
          <w:tblLook w:val="0600"/>
        </w:tblPrEx>
        <w:tc>
          <w:tcPr>
            <w:tcW w:w="1320" w:type="dxa"/>
          </w:tcPr>
          <w:p w:rsidR="00EF2BD2" w14:paraId="13FD3753" w14:textId="77777777">
            <w:pPr>
              <w:widowControl w:val="0"/>
              <w:ind w:left="32"/>
              <w:rPr>
                <w:sz w:val="20"/>
                <w:szCs w:val="20"/>
              </w:rPr>
            </w:pPr>
            <w:r>
              <w:rPr>
                <w:sz w:val="20"/>
                <w:szCs w:val="20"/>
              </w:rPr>
              <w:t>Cheung et al. (2020)</w:t>
            </w:r>
          </w:p>
        </w:tc>
        <w:tc>
          <w:tcPr>
            <w:tcW w:w="1020" w:type="dxa"/>
          </w:tcPr>
          <w:p w:rsidR="00EF2BD2" w14:paraId="744037F3" w14:textId="77777777">
            <w:pPr>
              <w:widowControl w:val="0"/>
              <w:pBdr>
                <w:top w:val="nil"/>
                <w:left w:val="nil"/>
                <w:bottom w:val="nil"/>
                <w:right w:val="nil"/>
                <w:between w:val="nil"/>
              </w:pBdr>
              <w:rPr>
                <w:color w:val="000000"/>
                <w:sz w:val="20"/>
                <w:szCs w:val="20"/>
              </w:rPr>
            </w:pPr>
            <w:r>
              <w:rPr>
                <w:sz w:val="20"/>
                <w:szCs w:val="20"/>
              </w:rPr>
              <w:t xml:space="preserve">Canadá </w:t>
            </w:r>
          </w:p>
        </w:tc>
        <w:tc>
          <w:tcPr>
            <w:tcW w:w="1965" w:type="dxa"/>
          </w:tcPr>
          <w:p w:rsidR="00EF2BD2" w14:paraId="5EAF6C72" w14:textId="77777777">
            <w:pPr>
              <w:widowControl w:val="0"/>
              <w:pBdr>
                <w:top w:val="nil"/>
                <w:left w:val="nil"/>
                <w:bottom w:val="nil"/>
                <w:right w:val="nil"/>
                <w:between w:val="nil"/>
              </w:pBdr>
              <w:rPr>
                <w:sz w:val="20"/>
                <w:szCs w:val="20"/>
              </w:rPr>
            </w:pPr>
            <w:r>
              <w:rPr>
                <w:color w:val="000000"/>
                <w:sz w:val="20"/>
                <w:szCs w:val="20"/>
              </w:rPr>
              <w:t xml:space="preserve">Maltrato físico, maltrato psicológico, violencia sexual, negligencia, otros </w:t>
            </w:r>
          </w:p>
        </w:tc>
        <w:tc>
          <w:tcPr>
            <w:tcW w:w="3435" w:type="dxa"/>
          </w:tcPr>
          <w:p w:rsidR="00EF2BD2" w14:paraId="0AE04555" w14:textId="77777777">
            <w:pPr>
              <w:widowControl w:val="0"/>
              <w:pBdr>
                <w:top w:val="nil"/>
                <w:left w:val="nil"/>
                <w:bottom w:val="nil"/>
                <w:right w:val="nil"/>
                <w:between w:val="nil"/>
              </w:pBdr>
              <w:rPr>
                <w:sz w:val="20"/>
                <w:szCs w:val="20"/>
              </w:rPr>
            </w:pPr>
            <w:r>
              <w:rPr>
                <w:b/>
                <w:sz w:val="20"/>
                <w:szCs w:val="20"/>
              </w:rPr>
              <w:t>N= 15.980</w:t>
            </w:r>
            <w:r>
              <w:rPr>
                <w:sz w:val="20"/>
                <w:szCs w:val="20"/>
              </w:rPr>
              <w:t xml:space="preserve"> investigaciones de maltrato infantil obtenidas de CIS-2008 (Canadian </w:t>
            </w:r>
            <w:r>
              <w:rPr>
                <w:sz w:val="20"/>
                <w:szCs w:val="20"/>
              </w:rPr>
              <w:t>Incidence</w:t>
            </w:r>
            <w:r>
              <w:rPr>
                <w:sz w:val="20"/>
                <w:szCs w:val="20"/>
              </w:rPr>
              <w:t xml:space="preserve"> </w:t>
            </w:r>
            <w:r>
              <w:rPr>
                <w:sz w:val="20"/>
                <w:szCs w:val="20"/>
              </w:rPr>
              <w:t>Study</w:t>
            </w:r>
            <w:r>
              <w:rPr>
                <w:sz w:val="20"/>
                <w:szCs w:val="20"/>
              </w:rPr>
              <w:t xml:space="preserve"> </w:t>
            </w:r>
            <w:r>
              <w:rPr>
                <w:sz w:val="20"/>
                <w:szCs w:val="20"/>
              </w:rPr>
              <w:t>of</w:t>
            </w:r>
            <w:r>
              <w:rPr>
                <w:sz w:val="20"/>
                <w:szCs w:val="20"/>
              </w:rPr>
              <w:t xml:space="preserve"> </w:t>
            </w:r>
            <w:r>
              <w:rPr>
                <w:sz w:val="20"/>
                <w:szCs w:val="20"/>
              </w:rPr>
              <w:t>Reported</w:t>
            </w:r>
            <w:r>
              <w:rPr>
                <w:sz w:val="20"/>
                <w:szCs w:val="20"/>
              </w:rPr>
              <w:t xml:space="preserve"> Child Abuse and </w:t>
            </w:r>
            <w:r>
              <w:rPr>
                <w:sz w:val="20"/>
                <w:szCs w:val="20"/>
              </w:rPr>
              <w:t>Neglect</w:t>
            </w:r>
            <w:r>
              <w:rPr>
                <w:sz w:val="20"/>
                <w:szCs w:val="20"/>
              </w:rPr>
              <w:t xml:space="preserve">). </w:t>
            </w:r>
          </w:p>
        </w:tc>
        <w:tc>
          <w:tcPr>
            <w:tcW w:w="5115" w:type="dxa"/>
          </w:tcPr>
          <w:p w:rsidR="00EF2BD2" w14:paraId="58D08147" w14:textId="77777777">
            <w:pPr>
              <w:widowControl w:val="0"/>
              <w:pBdr>
                <w:top w:val="nil"/>
                <w:left w:val="nil"/>
                <w:bottom w:val="nil"/>
                <w:right w:val="nil"/>
                <w:between w:val="nil"/>
              </w:pBdr>
              <w:rPr>
                <w:sz w:val="20"/>
                <w:szCs w:val="20"/>
              </w:rPr>
            </w:pPr>
            <w:r>
              <w:rPr>
                <w:b/>
                <w:color w:val="000000"/>
                <w:sz w:val="20"/>
                <w:szCs w:val="20"/>
              </w:rPr>
              <w:t>Factores de riesgo</w:t>
            </w:r>
            <w:r>
              <w:rPr>
                <w:color w:val="000000"/>
                <w:sz w:val="20"/>
                <w:szCs w:val="20"/>
              </w:rPr>
              <w:t>: Informe previo de maltrato fundamentado (maltrato físico y negligencia); Informe previo de maltrato no fundamentado (maltrato físico, maltrato emocional, negligencia, exposición a VIF y cualquier tipo de maltrato).</w:t>
            </w:r>
          </w:p>
        </w:tc>
      </w:tr>
      <w:tr w14:paraId="706631F2" w14:textId="77777777" w:rsidTr="00EF2BD2">
        <w:tblPrEx>
          <w:tblW w:w="12855" w:type="dxa"/>
          <w:tblInd w:w="0" w:type="dxa"/>
          <w:tblLayout w:type="fixed"/>
          <w:tblLook w:val="0600"/>
        </w:tblPrEx>
        <w:tc>
          <w:tcPr>
            <w:tcW w:w="1320" w:type="dxa"/>
          </w:tcPr>
          <w:p w:rsidR="00EF2BD2" w14:paraId="5CA8E26E" w14:textId="77777777">
            <w:pPr>
              <w:widowControl w:val="0"/>
              <w:ind w:left="32"/>
              <w:rPr>
                <w:sz w:val="20"/>
                <w:szCs w:val="20"/>
              </w:rPr>
            </w:pPr>
            <w:r>
              <w:rPr>
                <w:sz w:val="20"/>
                <w:szCs w:val="20"/>
              </w:rPr>
              <w:t>Choi y Kim (2022)</w:t>
            </w:r>
          </w:p>
        </w:tc>
        <w:tc>
          <w:tcPr>
            <w:tcW w:w="1020" w:type="dxa"/>
          </w:tcPr>
          <w:p w:rsidR="00EF2BD2" w14:paraId="56038A2C" w14:textId="77777777">
            <w:pPr>
              <w:widowControl w:val="0"/>
              <w:pBdr>
                <w:top w:val="nil"/>
                <w:left w:val="nil"/>
                <w:bottom w:val="nil"/>
                <w:right w:val="nil"/>
                <w:between w:val="nil"/>
              </w:pBdr>
              <w:rPr>
                <w:color w:val="000000"/>
                <w:sz w:val="20"/>
                <w:szCs w:val="20"/>
              </w:rPr>
            </w:pPr>
            <w:r>
              <w:rPr>
                <w:sz w:val="20"/>
                <w:szCs w:val="20"/>
              </w:rPr>
              <w:t>Corea del Sur</w:t>
            </w:r>
          </w:p>
        </w:tc>
        <w:tc>
          <w:tcPr>
            <w:tcW w:w="1965" w:type="dxa"/>
          </w:tcPr>
          <w:p w:rsidR="00EF2BD2" w14:paraId="60D8AF9F" w14:textId="77777777">
            <w:pPr>
              <w:widowControl w:val="0"/>
              <w:pBdr>
                <w:top w:val="nil"/>
                <w:left w:val="nil"/>
                <w:bottom w:val="nil"/>
                <w:right w:val="nil"/>
                <w:between w:val="nil"/>
              </w:pBdr>
              <w:rPr>
                <w:sz w:val="20"/>
                <w:szCs w:val="20"/>
              </w:rPr>
            </w:pPr>
            <w:r>
              <w:rPr>
                <w:color w:val="000000"/>
                <w:sz w:val="20"/>
                <w:szCs w:val="20"/>
              </w:rPr>
              <w:t>Maltrato físico, maltrato psicológico, violencia sexual, negligencia</w:t>
            </w:r>
          </w:p>
        </w:tc>
        <w:tc>
          <w:tcPr>
            <w:tcW w:w="3435" w:type="dxa"/>
          </w:tcPr>
          <w:p w:rsidR="00EF2BD2" w14:paraId="73D64757" w14:textId="77777777">
            <w:pPr>
              <w:widowControl w:val="0"/>
              <w:pBdr>
                <w:top w:val="nil"/>
                <w:left w:val="nil"/>
                <w:bottom w:val="nil"/>
                <w:right w:val="nil"/>
                <w:between w:val="nil"/>
              </w:pBdr>
              <w:rPr>
                <w:sz w:val="20"/>
                <w:szCs w:val="20"/>
              </w:rPr>
            </w:pPr>
            <w:r>
              <w:rPr>
                <w:b/>
                <w:sz w:val="20"/>
                <w:szCs w:val="20"/>
              </w:rPr>
              <w:t>N= 4.319</w:t>
            </w:r>
            <w:r>
              <w:rPr>
                <w:sz w:val="20"/>
                <w:szCs w:val="20"/>
              </w:rPr>
              <w:t xml:space="preserve"> casos de la base de datos nacional de maltrato infantil (</w:t>
            </w:r>
            <w:r>
              <w:rPr>
                <w:sz w:val="20"/>
                <w:szCs w:val="20"/>
              </w:rPr>
              <w:t>National</w:t>
            </w:r>
            <w:r>
              <w:rPr>
                <w:sz w:val="20"/>
                <w:szCs w:val="20"/>
              </w:rPr>
              <w:t xml:space="preserve"> Child </w:t>
            </w:r>
            <w:r>
              <w:rPr>
                <w:sz w:val="20"/>
                <w:szCs w:val="20"/>
              </w:rPr>
              <w:t>Maltreatment</w:t>
            </w:r>
            <w:r>
              <w:rPr>
                <w:sz w:val="20"/>
                <w:szCs w:val="20"/>
              </w:rPr>
              <w:t xml:space="preserve"> </w:t>
            </w:r>
            <w:r>
              <w:rPr>
                <w:sz w:val="20"/>
                <w:szCs w:val="20"/>
              </w:rPr>
              <w:t>Information</w:t>
            </w:r>
            <w:r>
              <w:rPr>
                <w:sz w:val="20"/>
                <w:szCs w:val="20"/>
              </w:rPr>
              <w:t xml:space="preserve"> </w:t>
            </w:r>
            <w:r>
              <w:rPr>
                <w:sz w:val="20"/>
                <w:szCs w:val="20"/>
              </w:rPr>
              <w:t>System</w:t>
            </w:r>
            <w:r>
              <w:rPr>
                <w:sz w:val="20"/>
                <w:szCs w:val="20"/>
              </w:rPr>
              <w:t xml:space="preserve"> </w:t>
            </w:r>
            <w:r>
              <w:rPr>
                <w:sz w:val="20"/>
                <w:szCs w:val="20"/>
              </w:rPr>
              <w:t>by</w:t>
            </w:r>
            <w:r>
              <w:rPr>
                <w:sz w:val="20"/>
                <w:szCs w:val="20"/>
              </w:rPr>
              <w:t xml:space="preserve"> </w:t>
            </w:r>
            <w:r>
              <w:rPr>
                <w:sz w:val="20"/>
                <w:szCs w:val="20"/>
              </w:rPr>
              <w:t>Korean</w:t>
            </w:r>
            <w:r>
              <w:rPr>
                <w:sz w:val="20"/>
                <w:szCs w:val="20"/>
              </w:rPr>
              <w:t xml:space="preserve"> Child </w:t>
            </w:r>
            <w:r>
              <w:rPr>
                <w:sz w:val="20"/>
                <w:szCs w:val="20"/>
              </w:rPr>
              <w:t>Protective</w:t>
            </w:r>
            <w:r>
              <w:rPr>
                <w:sz w:val="20"/>
                <w:szCs w:val="20"/>
              </w:rPr>
              <w:t xml:space="preserve"> </w:t>
            </w:r>
            <w:r>
              <w:rPr>
                <w:sz w:val="20"/>
                <w:szCs w:val="20"/>
              </w:rPr>
              <w:t>Service</w:t>
            </w:r>
            <w:r>
              <w:rPr>
                <w:sz w:val="20"/>
                <w:szCs w:val="20"/>
              </w:rPr>
              <w:t>).</w:t>
            </w:r>
          </w:p>
        </w:tc>
        <w:tc>
          <w:tcPr>
            <w:tcW w:w="5115" w:type="dxa"/>
          </w:tcPr>
          <w:p w:rsidR="00EF2BD2" w14:paraId="7E7BD9F9" w14:textId="77777777">
            <w:pPr>
              <w:widowControl w:val="0"/>
              <w:pBdr>
                <w:top w:val="nil"/>
                <w:left w:val="nil"/>
                <w:bottom w:val="nil"/>
                <w:right w:val="nil"/>
                <w:between w:val="nil"/>
              </w:pBdr>
              <w:rPr>
                <w:sz w:val="20"/>
                <w:szCs w:val="20"/>
              </w:rPr>
            </w:pPr>
            <w:r>
              <w:rPr>
                <w:b/>
                <w:color w:val="000000"/>
                <w:sz w:val="20"/>
                <w:szCs w:val="20"/>
              </w:rPr>
              <w:t>Factores de riesgo</w:t>
            </w:r>
            <w:r>
              <w:rPr>
                <w:color w:val="000000"/>
                <w:sz w:val="20"/>
                <w:szCs w:val="20"/>
              </w:rPr>
              <w:t>: Involucramiento previo de los CPS; Estructura familiar (monoparental)</w:t>
            </w:r>
            <w:r>
              <w:rPr>
                <w:sz w:val="20"/>
                <w:szCs w:val="20"/>
              </w:rPr>
              <w:t xml:space="preserve">; </w:t>
            </w:r>
            <w:r>
              <w:rPr>
                <w:color w:val="000000"/>
                <w:sz w:val="20"/>
                <w:szCs w:val="20"/>
              </w:rPr>
              <w:t xml:space="preserve">Estructura </w:t>
            </w:r>
            <w:r>
              <w:rPr>
                <w:color w:val="000000"/>
                <w:sz w:val="20"/>
                <w:szCs w:val="20"/>
              </w:rPr>
              <w:t>familiar  (</w:t>
            </w:r>
            <w:r>
              <w:rPr>
                <w:color w:val="000000"/>
                <w:sz w:val="20"/>
                <w:szCs w:val="20"/>
              </w:rPr>
              <w:t>dos padres, hogar de acogida, niños/as sin padres); Abuso de alcohol;</w:t>
            </w:r>
            <w:r>
              <w:rPr>
                <w:sz w:val="20"/>
                <w:szCs w:val="20"/>
              </w:rPr>
              <w:t xml:space="preserve"> </w:t>
            </w:r>
            <w:r>
              <w:rPr>
                <w:color w:val="000000"/>
                <w:sz w:val="20"/>
                <w:szCs w:val="20"/>
              </w:rPr>
              <w:t>Decisión de colocación del niño fuera del hogar; Sexo masculino del perpetrador; Aislamiento social; Desempleo</w:t>
            </w:r>
            <w:r>
              <w:rPr>
                <w:sz w:val="20"/>
                <w:szCs w:val="20"/>
              </w:rPr>
              <w:t xml:space="preserve">; </w:t>
            </w:r>
            <w:r>
              <w:rPr>
                <w:color w:val="000000"/>
                <w:sz w:val="20"/>
                <w:szCs w:val="20"/>
              </w:rPr>
              <w:t>Maltrato físico</w:t>
            </w:r>
          </w:p>
        </w:tc>
      </w:tr>
      <w:tr w14:paraId="0985395C" w14:textId="77777777" w:rsidTr="00EF2BD2">
        <w:tblPrEx>
          <w:tblW w:w="12855" w:type="dxa"/>
          <w:tblInd w:w="0" w:type="dxa"/>
          <w:tblLayout w:type="fixed"/>
          <w:tblLook w:val="0600"/>
        </w:tblPrEx>
        <w:tc>
          <w:tcPr>
            <w:tcW w:w="1320" w:type="dxa"/>
          </w:tcPr>
          <w:p w:rsidR="00EF2BD2" w14:paraId="1B9700EF" w14:textId="77777777">
            <w:pPr>
              <w:widowControl w:val="0"/>
              <w:ind w:left="32"/>
              <w:rPr>
                <w:sz w:val="20"/>
                <w:szCs w:val="20"/>
              </w:rPr>
            </w:pPr>
            <w:r>
              <w:rPr>
                <w:sz w:val="20"/>
                <w:szCs w:val="20"/>
              </w:rPr>
              <w:t xml:space="preserve">de </w:t>
            </w:r>
            <w:r>
              <w:rPr>
                <w:sz w:val="20"/>
                <w:szCs w:val="20"/>
              </w:rPr>
              <w:t>Ruiter</w:t>
            </w:r>
            <w:r>
              <w:rPr>
                <w:sz w:val="20"/>
                <w:szCs w:val="20"/>
              </w:rPr>
              <w:t xml:space="preserve"> et al. (2020)</w:t>
            </w:r>
          </w:p>
        </w:tc>
        <w:tc>
          <w:tcPr>
            <w:tcW w:w="1020" w:type="dxa"/>
          </w:tcPr>
          <w:p w:rsidR="00EF2BD2" w14:paraId="0B0B9995" w14:textId="77777777">
            <w:pPr>
              <w:widowControl w:val="0"/>
              <w:pBdr>
                <w:top w:val="nil"/>
                <w:left w:val="nil"/>
                <w:bottom w:val="nil"/>
                <w:right w:val="nil"/>
                <w:between w:val="nil"/>
              </w:pBdr>
              <w:rPr>
                <w:color w:val="000000"/>
                <w:sz w:val="20"/>
                <w:szCs w:val="20"/>
              </w:rPr>
            </w:pPr>
            <w:r>
              <w:rPr>
                <w:sz w:val="20"/>
                <w:szCs w:val="20"/>
              </w:rPr>
              <w:t>Países Bajos</w:t>
            </w:r>
          </w:p>
        </w:tc>
        <w:tc>
          <w:tcPr>
            <w:tcW w:w="1965" w:type="dxa"/>
          </w:tcPr>
          <w:p w:rsidR="00EF2BD2" w14:paraId="570FAAEA" w14:textId="77777777">
            <w:pPr>
              <w:widowControl w:val="0"/>
              <w:pBdr>
                <w:top w:val="nil"/>
                <w:left w:val="nil"/>
                <w:bottom w:val="nil"/>
                <w:right w:val="nil"/>
                <w:between w:val="nil"/>
              </w:pBdr>
              <w:rPr>
                <w:sz w:val="20"/>
                <w:szCs w:val="20"/>
              </w:rPr>
            </w:pPr>
            <w:r>
              <w:rPr>
                <w:color w:val="000000"/>
                <w:sz w:val="20"/>
                <w:szCs w:val="20"/>
              </w:rPr>
              <w:t>Maltrato físico, maltrato psicológico, violencia sexual, negligencia</w:t>
            </w:r>
          </w:p>
        </w:tc>
        <w:tc>
          <w:tcPr>
            <w:tcW w:w="3435" w:type="dxa"/>
          </w:tcPr>
          <w:p w:rsidR="00EF2BD2" w14:paraId="0F1CBF48" w14:textId="77777777">
            <w:pPr>
              <w:widowControl w:val="0"/>
              <w:pBdr>
                <w:top w:val="nil"/>
                <w:left w:val="nil"/>
                <w:bottom w:val="nil"/>
                <w:right w:val="nil"/>
                <w:between w:val="nil"/>
              </w:pBdr>
              <w:rPr>
                <w:sz w:val="20"/>
                <w:szCs w:val="20"/>
              </w:rPr>
            </w:pPr>
            <w:r>
              <w:rPr>
                <w:b/>
                <w:sz w:val="20"/>
                <w:szCs w:val="20"/>
              </w:rPr>
              <w:t>N= 211</w:t>
            </w:r>
            <w:r>
              <w:rPr>
                <w:sz w:val="20"/>
                <w:szCs w:val="20"/>
              </w:rPr>
              <w:t xml:space="preserve"> archivos de la base de datos correspondiente a cuatro </w:t>
            </w:r>
            <w:r>
              <w:rPr>
                <w:sz w:val="20"/>
                <w:szCs w:val="20"/>
              </w:rPr>
              <w:t>ARCCAs</w:t>
            </w:r>
            <w:r>
              <w:rPr>
                <w:sz w:val="20"/>
                <w:szCs w:val="20"/>
              </w:rPr>
              <w:t xml:space="preserve"> (</w:t>
            </w:r>
            <w:r>
              <w:rPr>
                <w:sz w:val="20"/>
                <w:szCs w:val="20"/>
              </w:rPr>
              <w:t>Advice</w:t>
            </w:r>
            <w:r>
              <w:rPr>
                <w:sz w:val="20"/>
                <w:szCs w:val="20"/>
              </w:rPr>
              <w:t xml:space="preserve"> and </w:t>
            </w:r>
            <w:r>
              <w:rPr>
                <w:sz w:val="20"/>
                <w:szCs w:val="20"/>
              </w:rPr>
              <w:t>Reporting</w:t>
            </w:r>
            <w:r>
              <w:rPr>
                <w:sz w:val="20"/>
                <w:szCs w:val="20"/>
              </w:rPr>
              <w:t xml:space="preserve"> Center </w:t>
            </w:r>
            <w:r>
              <w:rPr>
                <w:sz w:val="20"/>
                <w:szCs w:val="20"/>
              </w:rPr>
              <w:t>on</w:t>
            </w:r>
            <w:r>
              <w:rPr>
                <w:sz w:val="20"/>
                <w:szCs w:val="20"/>
              </w:rPr>
              <w:t xml:space="preserve"> Child Abuse). </w:t>
            </w:r>
          </w:p>
        </w:tc>
        <w:tc>
          <w:tcPr>
            <w:tcW w:w="5115" w:type="dxa"/>
          </w:tcPr>
          <w:p w:rsidR="00EF2BD2" w14:paraId="5CE2F2B0" w14:textId="77777777">
            <w:pPr>
              <w:widowControl w:val="0"/>
              <w:pBdr>
                <w:top w:val="nil"/>
                <w:left w:val="nil"/>
                <w:bottom w:val="nil"/>
                <w:right w:val="nil"/>
                <w:between w:val="nil"/>
              </w:pBdr>
              <w:rPr>
                <w:sz w:val="20"/>
                <w:szCs w:val="20"/>
              </w:rPr>
            </w:pPr>
            <w:r>
              <w:rPr>
                <w:b/>
                <w:color w:val="000000"/>
                <w:sz w:val="20"/>
                <w:szCs w:val="20"/>
              </w:rPr>
              <w:t>Factores de riesgo</w:t>
            </w:r>
            <w:r>
              <w:rPr>
                <w:color w:val="000000"/>
                <w:sz w:val="20"/>
                <w:szCs w:val="20"/>
              </w:rPr>
              <w:t>: Maltrato infantil anterior</w:t>
            </w:r>
            <w:r>
              <w:rPr>
                <w:sz w:val="20"/>
                <w:szCs w:val="20"/>
              </w:rPr>
              <w:t xml:space="preserve">; </w:t>
            </w:r>
            <w:r>
              <w:rPr>
                <w:color w:val="000000"/>
                <w:sz w:val="20"/>
                <w:szCs w:val="20"/>
              </w:rPr>
              <w:t>Padre cuidador fue víctima de maltrato infantil</w:t>
            </w:r>
            <w:r>
              <w:rPr>
                <w:sz w:val="20"/>
                <w:szCs w:val="20"/>
              </w:rPr>
              <w:t xml:space="preserve">; </w:t>
            </w:r>
            <w:r>
              <w:rPr>
                <w:color w:val="000000"/>
                <w:sz w:val="20"/>
                <w:szCs w:val="20"/>
              </w:rPr>
              <w:t>Trastornos graves de salud mental</w:t>
            </w:r>
            <w:r>
              <w:rPr>
                <w:sz w:val="20"/>
                <w:szCs w:val="20"/>
              </w:rPr>
              <w:t xml:space="preserve">; </w:t>
            </w:r>
            <w:r>
              <w:rPr>
                <w:color w:val="000000"/>
                <w:sz w:val="20"/>
                <w:szCs w:val="20"/>
              </w:rPr>
              <w:t>Ideación suicida u homicida</w:t>
            </w:r>
            <w:r>
              <w:rPr>
                <w:sz w:val="20"/>
                <w:szCs w:val="20"/>
              </w:rPr>
              <w:t xml:space="preserve">; </w:t>
            </w:r>
            <w:r>
              <w:rPr>
                <w:color w:val="000000"/>
                <w:sz w:val="20"/>
                <w:szCs w:val="20"/>
              </w:rPr>
              <w:t>Abuso de sustancias</w:t>
            </w:r>
            <w:r>
              <w:rPr>
                <w:sz w:val="20"/>
                <w:szCs w:val="20"/>
              </w:rPr>
              <w:t xml:space="preserve">; </w:t>
            </w:r>
            <w:r>
              <w:rPr>
                <w:color w:val="000000"/>
                <w:sz w:val="20"/>
                <w:szCs w:val="20"/>
              </w:rPr>
              <w:t xml:space="preserve">Desorden de </w:t>
            </w:r>
            <w:r>
              <w:rPr>
                <w:color w:val="000000"/>
                <w:sz w:val="20"/>
                <w:szCs w:val="20"/>
              </w:rPr>
              <w:t>personalidad;Extrema</w:t>
            </w:r>
            <w:r>
              <w:rPr>
                <w:color w:val="000000"/>
                <w:sz w:val="20"/>
                <w:szCs w:val="20"/>
              </w:rPr>
              <w:t xml:space="preserve"> minimización o negación del maltrato</w:t>
            </w:r>
            <w:r>
              <w:rPr>
                <w:sz w:val="20"/>
                <w:szCs w:val="20"/>
              </w:rPr>
              <w:t xml:space="preserve">; </w:t>
            </w:r>
            <w:r>
              <w:rPr>
                <w:color w:val="000000"/>
                <w:sz w:val="20"/>
                <w:szCs w:val="20"/>
              </w:rPr>
              <w:t>Actitudes negativas hacia la intervención</w:t>
            </w:r>
            <w:r>
              <w:rPr>
                <w:sz w:val="20"/>
                <w:szCs w:val="20"/>
              </w:rPr>
              <w:t xml:space="preserve">; </w:t>
            </w:r>
            <w:r>
              <w:rPr>
                <w:color w:val="000000"/>
                <w:sz w:val="20"/>
                <w:szCs w:val="20"/>
              </w:rPr>
              <w:t>Falta de conocimientos sobre la crianza o falta de habilidades parentales</w:t>
            </w:r>
            <w:r>
              <w:rPr>
                <w:sz w:val="20"/>
                <w:szCs w:val="20"/>
              </w:rPr>
              <w:t xml:space="preserve">; </w:t>
            </w:r>
            <w:r>
              <w:rPr>
                <w:color w:val="000000"/>
                <w:sz w:val="20"/>
                <w:szCs w:val="20"/>
              </w:rPr>
              <w:t>Actitudes negativas hacia el niño/a</w:t>
            </w:r>
            <w:r>
              <w:rPr>
                <w:sz w:val="20"/>
                <w:szCs w:val="20"/>
              </w:rPr>
              <w:t xml:space="preserve">; </w:t>
            </w:r>
            <w:r>
              <w:rPr>
                <w:color w:val="000000"/>
                <w:sz w:val="20"/>
                <w:szCs w:val="20"/>
              </w:rPr>
              <w:t>Problemas de interacción paterno-filial</w:t>
            </w:r>
            <w:r>
              <w:rPr>
                <w:sz w:val="20"/>
                <w:szCs w:val="20"/>
              </w:rPr>
              <w:t xml:space="preserve">; </w:t>
            </w:r>
            <w:r>
              <w:rPr>
                <w:color w:val="000000"/>
                <w:sz w:val="20"/>
                <w:szCs w:val="20"/>
              </w:rPr>
              <w:t>Características del niño/a que aumentan la vulnerabilidad</w:t>
            </w:r>
            <w:r>
              <w:rPr>
                <w:sz w:val="20"/>
                <w:szCs w:val="20"/>
              </w:rPr>
              <w:t xml:space="preserve">; </w:t>
            </w:r>
            <w:r>
              <w:rPr>
                <w:color w:val="000000"/>
                <w:sz w:val="20"/>
                <w:szCs w:val="20"/>
              </w:rPr>
              <w:t>Estrés familiar en último año</w:t>
            </w:r>
            <w:r>
              <w:rPr>
                <w:sz w:val="20"/>
                <w:szCs w:val="20"/>
              </w:rPr>
              <w:t xml:space="preserve">; </w:t>
            </w:r>
            <w:r>
              <w:rPr>
                <w:color w:val="000000"/>
                <w:sz w:val="20"/>
                <w:szCs w:val="20"/>
              </w:rPr>
              <w:t>Estresores socioeconómicos en último año</w:t>
            </w:r>
            <w:r>
              <w:rPr>
                <w:sz w:val="20"/>
                <w:szCs w:val="20"/>
              </w:rPr>
              <w:t xml:space="preserve">; </w:t>
            </w:r>
            <w:r>
              <w:rPr>
                <w:color w:val="000000"/>
                <w:sz w:val="20"/>
                <w:szCs w:val="20"/>
              </w:rPr>
              <w:t>Inadecuado soporte social en último año</w:t>
            </w:r>
            <w:r>
              <w:rPr>
                <w:sz w:val="20"/>
                <w:szCs w:val="20"/>
              </w:rPr>
              <w:t xml:space="preserve">; </w:t>
            </w:r>
            <w:r>
              <w:rPr>
                <w:color w:val="000000"/>
                <w:sz w:val="20"/>
                <w:szCs w:val="20"/>
              </w:rPr>
              <w:t>Violencia de pareja; Influencias culturales</w:t>
            </w:r>
          </w:p>
        </w:tc>
      </w:tr>
      <w:tr w14:paraId="68A0634F" w14:textId="77777777" w:rsidTr="00EF2BD2">
        <w:tblPrEx>
          <w:tblW w:w="12855" w:type="dxa"/>
          <w:tblInd w:w="0" w:type="dxa"/>
          <w:tblLayout w:type="fixed"/>
          <w:tblLook w:val="0600"/>
        </w:tblPrEx>
        <w:tc>
          <w:tcPr>
            <w:tcW w:w="1320" w:type="dxa"/>
          </w:tcPr>
          <w:p w:rsidR="00EF2BD2" w14:paraId="56F635B8" w14:textId="77777777">
            <w:pPr>
              <w:widowControl w:val="0"/>
              <w:ind w:left="32"/>
              <w:rPr>
                <w:sz w:val="20"/>
                <w:szCs w:val="20"/>
              </w:rPr>
            </w:pPr>
            <w:r>
              <w:rPr>
                <w:sz w:val="20"/>
                <w:szCs w:val="20"/>
              </w:rPr>
              <w:t>Duffy et al. (2015)</w:t>
            </w:r>
          </w:p>
        </w:tc>
        <w:tc>
          <w:tcPr>
            <w:tcW w:w="1020" w:type="dxa"/>
          </w:tcPr>
          <w:p w:rsidR="00EF2BD2" w14:paraId="3E77AFA2" w14:textId="77777777">
            <w:pPr>
              <w:widowControl w:val="0"/>
              <w:pBdr>
                <w:top w:val="nil"/>
                <w:left w:val="nil"/>
                <w:bottom w:val="nil"/>
                <w:right w:val="nil"/>
                <w:between w:val="nil"/>
              </w:pBdr>
              <w:rPr>
                <w:color w:val="000000"/>
                <w:sz w:val="20"/>
                <w:szCs w:val="20"/>
              </w:rPr>
            </w:pPr>
            <w:r>
              <w:rPr>
                <w:sz w:val="20"/>
                <w:szCs w:val="20"/>
              </w:rPr>
              <w:t>Estados Unidos</w:t>
            </w:r>
          </w:p>
        </w:tc>
        <w:tc>
          <w:tcPr>
            <w:tcW w:w="1965" w:type="dxa"/>
          </w:tcPr>
          <w:p w:rsidR="00EF2BD2" w14:paraId="1099A0E3" w14:textId="77777777">
            <w:pPr>
              <w:widowControl w:val="0"/>
              <w:pBdr>
                <w:top w:val="nil"/>
                <w:left w:val="nil"/>
                <w:bottom w:val="nil"/>
                <w:right w:val="nil"/>
                <w:between w:val="nil"/>
              </w:pBdr>
              <w:rPr>
                <w:sz w:val="20"/>
                <w:szCs w:val="20"/>
              </w:rPr>
            </w:pPr>
            <w:r>
              <w:rPr>
                <w:color w:val="000000"/>
                <w:sz w:val="20"/>
                <w:szCs w:val="20"/>
              </w:rPr>
              <w:t>Maltrato físico, maltrato psicológico, violencia sexual, negligencia</w:t>
            </w:r>
          </w:p>
        </w:tc>
        <w:tc>
          <w:tcPr>
            <w:tcW w:w="3435" w:type="dxa"/>
          </w:tcPr>
          <w:p w:rsidR="00EF2BD2" w14:paraId="70BDDF6E" w14:textId="77777777">
            <w:pPr>
              <w:widowControl w:val="0"/>
              <w:pBdr>
                <w:top w:val="nil"/>
                <w:left w:val="nil"/>
                <w:bottom w:val="nil"/>
                <w:right w:val="nil"/>
                <w:between w:val="nil"/>
              </w:pBdr>
              <w:rPr>
                <w:sz w:val="20"/>
                <w:szCs w:val="20"/>
              </w:rPr>
            </w:pPr>
            <w:r>
              <w:rPr>
                <w:b/>
                <w:sz w:val="20"/>
                <w:szCs w:val="20"/>
              </w:rPr>
              <w:t>N= 1.125</w:t>
            </w:r>
            <w:r>
              <w:rPr>
                <w:sz w:val="20"/>
                <w:szCs w:val="20"/>
              </w:rPr>
              <w:t xml:space="preserve"> familias del</w:t>
            </w:r>
            <w:r>
              <w:rPr>
                <w:i/>
                <w:sz w:val="20"/>
                <w:szCs w:val="20"/>
              </w:rPr>
              <w:t xml:space="preserve"> </w:t>
            </w:r>
            <w:r>
              <w:rPr>
                <w:sz w:val="20"/>
                <w:szCs w:val="20"/>
              </w:rPr>
              <w:t>Programa de prevención del maltrato y abandono infantil de Connecticut, Red de Familias de Acogida (NFN)</w:t>
            </w:r>
          </w:p>
        </w:tc>
        <w:tc>
          <w:tcPr>
            <w:tcW w:w="5115" w:type="dxa"/>
          </w:tcPr>
          <w:p w:rsidR="00EF2BD2" w14:paraId="3F317D4A" w14:textId="77777777">
            <w:pPr>
              <w:widowControl w:val="0"/>
              <w:pBdr>
                <w:top w:val="nil"/>
                <w:left w:val="nil"/>
                <w:bottom w:val="nil"/>
                <w:right w:val="nil"/>
                <w:between w:val="nil"/>
              </w:pBdr>
              <w:rPr>
                <w:sz w:val="20"/>
                <w:szCs w:val="20"/>
              </w:rPr>
            </w:pPr>
            <w:r>
              <w:rPr>
                <w:b/>
                <w:color w:val="000000"/>
                <w:sz w:val="20"/>
                <w:szCs w:val="20"/>
              </w:rPr>
              <w:t>Factores de riesgo</w:t>
            </w:r>
            <w:r>
              <w:rPr>
                <w:color w:val="000000"/>
                <w:sz w:val="20"/>
                <w:szCs w:val="20"/>
              </w:rPr>
              <w:t>: Historia de violencia doméstica del padre</w:t>
            </w:r>
            <w:r>
              <w:rPr>
                <w:sz w:val="20"/>
                <w:szCs w:val="20"/>
              </w:rPr>
              <w:t xml:space="preserve">; </w:t>
            </w:r>
            <w:r>
              <w:rPr>
                <w:color w:val="000000"/>
                <w:sz w:val="20"/>
                <w:szCs w:val="20"/>
              </w:rPr>
              <w:t>Historia de violencia doméstica de la madre; Historia penal de la madre</w:t>
            </w:r>
          </w:p>
        </w:tc>
      </w:tr>
      <w:tr w14:paraId="432B7F49" w14:textId="77777777" w:rsidTr="00EF2BD2">
        <w:tblPrEx>
          <w:tblW w:w="12855" w:type="dxa"/>
          <w:tblInd w:w="0" w:type="dxa"/>
          <w:tblLayout w:type="fixed"/>
          <w:tblLook w:val="0600"/>
        </w:tblPrEx>
        <w:tc>
          <w:tcPr>
            <w:tcW w:w="1320" w:type="dxa"/>
          </w:tcPr>
          <w:p w:rsidR="00EF2BD2" w14:paraId="6C0ECF53" w14:textId="77777777">
            <w:pPr>
              <w:widowControl w:val="0"/>
              <w:ind w:left="32"/>
              <w:rPr>
                <w:sz w:val="20"/>
                <w:szCs w:val="20"/>
              </w:rPr>
            </w:pPr>
            <w:r>
              <w:rPr>
                <w:sz w:val="20"/>
                <w:szCs w:val="20"/>
              </w:rPr>
              <w:t>Eastman et al. (2016)</w:t>
            </w:r>
          </w:p>
        </w:tc>
        <w:tc>
          <w:tcPr>
            <w:tcW w:w="1020" w:type="dxa"/>
          </w:tcPr>
          <w:p w:rsidR="00EF2BD2" w14:paraId="0F348623" w14:textId="77777777">
            <w:pPr>
              <w:widowControl w:val="0"/>
              <w:pBdr>
                <w:top w:val="nil"/>
                <w:left w:val="nil"/>
                <w:bottom w:val="nil"/>
                <w:right w:val="nil"/>
                <w:between w:val="nil"/>
              </w:pBdr>
              <w:rPr>
                <w:color w:val="000000"/>
                <w:sz w:val="20"/>
                <w:szCs w:val="20"/>
              </w:rPr>
            </w:pPr>
            <w:r>
              <w:rPr>
                <w:sz w:val="20"/>
                <w:szCs w:val="20"/>
              </w:rPr>
              <w:t>Estados Unidos</w:t>
            </w:r>
          </w:p>
        </w:tc>
        <w:tc>
          <w:tcPr>
            <w:tcW w:w="1965" w:type="dxa"/>
          </w:tcPr>
          <w:p w:rsidR="00EF2BD2" w14:paraId="6D0A9E3D" w14:textId="77777777">
            <w:pPr>
              <w:widowControl w:val="0"/>
              <w:pBdr>
                <w:top w:val="nil"/>
                <w:left w:val="nil"/>
                <w:bottom w:val="nil"/>
                <w:right w:val="nil"/>
                <w:between w:val="nil"/>
              </w:pBdr>
              <w:rPr>
                <w:sz w:val="20"/>
                <w:szCs w:val="20"/>
              </w:rPr>
            </w:pPr>
            <w:r>
              <w:rPr>
                <w:color w:val="000000"/>
                <w:sz w:val="20"/>
                <w:szCs w:val="20"/>
              </w:rPr>
              <w:t xml:space="preserve">Maltrato físico, maltrato psicológico, violencia sexual, negligencia, otros </w:t>
            </w:r>
          </w:p>
        </w:tc>
        <w:tc>
          <w:tcPr>
            <w:tcW w:w="3435" w:type="dxa"/>
          </w:tcPr>
          <w:p w:rsidR="00EF2BD2" w14:paraId="4B658CD6" w14:textId="77777777">
            <w:pPr>
              <w:widowControl w:val="0"/>
              <w:pBdr>
                <w:top w:val="nil"/>
                <w:left w:val="nil"/>
                <w:bottom w:val="nil"/>
                <w:right w:val="nil"/>
                <w:between w:val="nil"/>
              </w:pBdr>
              <w:rPr>
                <w:sz w:val="20"/>
                <w:szCs w:val="20"/>
              </w:rPr>
            </w:pPr>
            <w:r>
              <w:rPr>
                <w:b/>
                <w:sz w:val="20"/>
                <w:szCs w:val="20"/>
              </w:rPr>
              <w:t>N= 23.871</w:t>
            </w:r>
            <w:r>
              <w:rPr>
                <w:sz w:val="20"/>
                <w:szCs w:val="20"/>
              </w:rPr>
              <w:t xml:space="preserve"> lactantes de dos bases de datos: (1) registros del CPS (Child </w:t>
            </w:r>
            <w:r>
              <w:rPr>
                <w:sz w:val="20"/>
                <w:szCs w:val="20"/>
              </w:rPr>
              <w:t>protective</w:t>
            </w:r>
            <w:r>
              <w:rPr>
                <w:sz w:val="20"/>
                <w:szCs w:val="20"/>
              </w:rPr>
              <w:t xml:space="preserve"> </w:t>
            </w:r>
            <w:r>
              <w:rPr>
                <w:sz w:val="20"/>
                <w:szCs w:val="20"/>
              </w:rPr>
              <w:t>services</w:t>
            </w:r>
            <w:r>
              <w:rPr>
                <w:sz w:val="20"/>
                <w:szCs w:val="20"/>
              </w:rPr>
              <w:t>) y (2) Registros vitales de nacimientos en California.</w:t>
            </w:r>
          </w:p>
        </w:tc>
        <w:tc>
          <w:tcPr>
            <w:tcW w:w="5115" w:type="dxa"/>
          </w:tcPr>
          <w:p w:rsidR="00EF2BD2" w14:paraId="11D8BF31" w14:textId="77777777">
            <w:pPr>
              <w:widowControl w:val="0"/>
              <w:pBdr>
                <w:top w:val="nil"/>
                <w:left w:val="nil"/>
                <w:bottom w:val="nil"/>
                <w:right w:val="nil"/>
                <w:between w:val="nil"/>
              </w:pBdr>
              <w:rPr>
                <w:sz w:val="20"/>
                <w:szCs w:val="20"/>
              </w:rPr>
            </w:pPr>
            <w:r>
              <w:rPr>
                <w:b/>
                <w:color w:val="000000"/>
                <w:sz w:val="20"/>
                <w:szCs w:val="20"/>
              </w:rPr>
              <w:t>Factores de riesgo</w:t>
            </w:r>
            <w:r>
              <w:rPr>
                <w:color w:val="000000"/>
                <w:sz w:val="20"/>
                <w:szCs w:val="20"/>
              </w:rPr>
              <w:t>: Falta de paternidad establecida al nacer; Atención prenatal retrasada o ausente; Antecedentes familiares de participación en sistema de protección</w:t>
            </w:r>
            <w:r>
              <w:rPr>
                <w:sz w:val="20"/>
                <w:szCs w:val="20"/>
              </w:rPr>
              <w:t xml:space="preserve">; </w:t>
            </w:r>
            <w:r>
              <w:rPr>
                <w:color w:val="000000"/>
                <w:sz w:val="20"/>
                <w:szCs w:val="20"/>
              </w:rPr>
              <w:t>Acusación inicial de negligencia</w:t>
            </w:r>
          </w:p>
        </w:tc>
      </w:tr>
      <w:tr w14:paraId="06F3E03F" w14:textId="77777777" w:rsidTr="00EF2BD2">
        <w:tblPrEx>
          <w:tblW w:w="12855" w:type="dxa"/>
          <w:tblInd w:w="0" w:type="dxa"/>
          <w:tblLayout w:type="fixed"/>
          <w:tblLook w:val="0600"/>
        </w:tblPrEx>
        <w:tc>
          <w:tcPr>
            <w:tcW w:w="1320" w:type="dxa"/>
          </w:tcPr>
          <w:p w:rsidR="00EF2BD2" w14:paraId="76BEEE1B" w14:textId="77777777">
            <w:pPr>
              <w:widowControl w:val="0"/>
              <w:ind w:left="32"/>
              <w:rPr>
                <w:sz w:val="20"/>
                <w:szCs w:val="20"/>
              </w:rPr>
            </w:pPr>
            <w:r>
              <w:rPr>
                <w:sz w:val="20"/>
                <w:szCs w:val="20"/>
              </w:rPr>
              <w:t>Hauck</w:t>
            </w:r>
            <w:r>
              <w:rPr>
                <w:sz w:val="20"/>
                <w:szCs w:val="20"/>
              </w:rPr>
              <w:t xml:space="preserve"> et al. (2022)</w:t>
            </w:r>
          </w:p>
        </w:tc>
        <w:tc>
          <w:tcPr>
            <w:tcW w:w="1020" w:type="dxa"/>
          </w:tcPr>
          <w:p w:rsidR="00EF2BD2" w14:paraId="15C172CE" w14:textId="77777777">
            <w:pPr>
              <w:widowControl w:val="0"/>
              <w:pBdr>
                <w:top w:val="nil"/>
                <w:left w:val="nil"/>
                <w:bottom w:val="nil"/>
                <w:right w:val="nil"/>
                <w:between w:val="nil"/>
              </w:pBdr>
              <w:rPr>
                <w:color w:val="000000"/>
                <w:sz w:val="20"/>
                <w:szCs w:val="20"/>
              </w:rPr>
            </w:pPr>
            <w:r>
              <w:rPr>
                <w:sz w:val="20"/>
                <w:szCs w:val="20"/>
              </w:rPr>
              <w:t>Estados Unidos</w:t>
            </w:r>
          </w:p>
        </w:tc>
        <w:tc>
          <w:tcPr>
            <w:tcW w:w="1965" w:type="dxa"/>
          </w:tcPr>
          <w:p w:rsidR="00EF2BD2" w14:paraId="395DF904" w14:textId="77777777">
            <w:pPr>
              <w:widowControl w:val="0"/>
              <w:pBdr>
                <w:top w:val="nil"/>
                <w:left w:val="nil"/>
                <w:bottom w:val="nil"/>
                <w:right w:val="nil"/>
                <w:between w:val="nil"/>
              </w:pBdr>
              <w:rPr>
                <w:sz w:val="20"/>
                <w:szCs w:val="20"/>
              </w:rPr>
            </w:pPr>
            <w:r>
              <w:rPr>
                <w:color w:val="000000"/>
                <w:sz w:val="20"/>
                <w:szCs w:val="20"/>
              </w:rPr>
              <w:t xml:space="preserve">Otros (muertes </w:t>
            </w:r>
            <w:r>
              <w:rPr>
                <w:color w:val="000000"/>
                <w:sz w:val="20"/>
                <w:szCs w:val="20"/>
              </w:rPr>
              <w:t>post-neonatales</w:t>
            </w:r>
            <w:r>
              <w:rPr>
                <w:color w:val="000000"/>
                <w:sz w:val="20"/>
                <w:szCs w:val="20"/>
              </w:rPr>
              <w:t>)</w:t>
            </w:r>
          </w:p>
        </w:tc>
        <w:tc>
          <w:tcPr>
            <w:tcW w:w="3435" w:type="dxa"/>
          </w:tcPr>
          <w:p w:rsidR="00EF2BD2" w14:paraId="6526E06C" w14:textId="77777777">
            <w:pPr>
              <w:widowControl w:val="0"/>
              <w:pBdr>
                <w:top w:val="nil"/>
                <w:left w:val="nil"/>
                <w:bottom w:val="nil"/>
                <w:right w:val="nil"/>
                <w:between w:val="nil"/>
              </w:pBdr>
              <w:rPr>
                <w:sz w:val="20"/>
                <w:szCs w:val="20"/>
              </w:rPr>
            </w:pPr>
            <w:r>
              <w:rPr>
                <w:b/>
                <w:sz w:val="20"/>
                <w:szCs w:val="20"/>
              </w:rPr>
              <w:t>N= 472</w:t>
            </w:r>
            <w:r>
              <w:rPr>
                <w:sz w:val="20"/>
                <w:szCs w:val="20"/>
              </w:rPr>
              <w:t xml:space="preserve"> lactantes del Estudio de Mortalidad Infantil en Chicago (CIMS). </w:t>
            </w:r>
          </w:p>
        </w:tc>
        <w:tc>
          <w:tcPr>
            <w:tcW w:w="5115" w:type="dxa"/>
          </w:tcPr>
          <w:p w:rsidR="00EF2BD2" w14:paraId="1F7C8480" w14:textId="77777777">
            <w:pPr>
              <w:widowControl w:val="0"/>
              <w:pBdr>
                <w:top w:val="nil"/>
                <w:left w:val="nil"/>
                <w:bottom w:val="nil"/>
                <w:right w:val="nil"/>
                <w:between w:val="nil"/>
              </w:pBdr>
              <w:rPr>
                <w:sz w:val="20"/>
                <w:szCs w:val="20"/>
              </w:rPr>
            </w:pPr>
            <w:r>
              <w:rPr>
                <w:b/>
                <w:color w:val="000000"/>
                <w:sz w:val="20"/>
                <w:szCs w:val="20"/>
              </w:rPr>
              <w:t>Factores de riesgo</w:t>
            </w:r>
            <w:r>
              <w:rPr>
                <w:color w:val="000000"/>
                <w:sz w:val="20"/>
                <w:szCs w:val="20"/>
              </w:rPr>
              <w:t>: Denuncias fundamentadas; Educación de la madre; Edad de la madre; Uso compartido de la cama</w:t>
            </w:r>
            <w:r>
              <w:rPr>
                <w:sz w:val="20"/>
                <w:szCs w:val="20"/>
              </w:rPr>
              <w:t xml:space="preserve">; </w:t>
            </w:r>
            <w:r>
              <w:rPr>
                <w:color w:val="000000"/>
                <w:sz w:val="20"/>
                <w:szCs w:val="20"/>
              </w:rPr>
              <w:t>Atención prenatal retrasada o ausente</w:t>
            </w:r>
          </w:p>
        </w:tc>
      </w:tr>
      <w:tr w14:paraId="5D5C6B61" w14:textId="77777777" w:rsidTr="00EF2BD2">
        <w:tblPrEx>
          <w:tblW w:w="12855" w:type="dxa"/>
          <w:tblInd w:w="0" w:type="dxa"/>
          <w:tblLayout w:type="fixed"/>
          <w:tblLook w:val="0600"/>
        </w:tblPrEx>
        <w:tc>
          <w:tcPr>
            <w:tcW w:w="1320" w:type="dxa"/>
          </w:tcPr>
          <w:p w:rsidR="00EF2BD2" w14:paraId="54EE77C6" w14:textId="77777777">
            <w:pPr>
              <w:widowControl w:val="0"/>
              <w:ind w:left="32"/>
              <w:rPr>
                <w:sz w:val="20"/>
                <w:szCs w:val="20"/>
              </w:rPr>
            </w:pPr>
            <w:r>
              <w:rPr>
                <w:sz w:val="20"/>
                <w:szCs w:val="20"/>
              </w:rPr>
              <w:t>Hélie</w:t>
            </w:r>
            <w:r>
              <w:rPr>
                <w:sz w:val="20"/>
                <w:szCs w:val="20"/>
              </w:rPr>
              <w:t xml:space="preserve"> et al. (2014)</w:t>
            </w:r>
          </w:p>
        </w:tc>
        <w:tc>
          <w:tcPr>
            <w:tcW w:w="1020" w:type="dxa"/>
          </w:tcPr>
          <w:p w:rsidR="00EF2BD2" w14:paraId="5B75CB2F" w14:textId="77777777">
            <w:pPr>
              <w:widowControl w:val="0"/>
              <w:pBdr>
                <w:top w:val="nil"/>
                <w:left w:val="nil"/>
                <w:bottom w:val="nil"/>
                <w:right w:val="nil"/>
                <w:between w:val="nil"/>
              </w:pBdr>
              <w:rPr>
                <w:color w:val="000000"/>
                <w:sz w:val="20"/>
                <w:szCs w:val="20"/>
              </w:rPr>
            </w:pPr>
            <w:r>
              <w:rPr>
                <w:sz w:val="20"/>
                <w:szCs w:val="20"/>
              </w:rPr>
              <w:t xml:space="preserve">Canadá </w:t>
            </w:r>
          </w:p>
        </w:tc>
        <w:tc>
          <w:tcPr>
            <w:tcW w:w="1965" w:type="dxa"/>
          </w:tcPr>
          <w:p w:rsidR="00EF2BD2" w14:paraId="5100A543" w14:textId="77777777">
            <w:pPr>
              <w:widowControl w:val="0"/>
              <w:pBdr>
                <w:top w:val="nil"/>
                <w:left w:val="nil"/>
                <w:bottom w:val="nil"/>
                <w:right w:val="nil"/>
                <w:between w:val="nil"/>
              </w:pBdr>
              <w:rPr>
                <w:sz w:val="20"/>
                <w:szCs w:val="20"/>
              </w:rPr>
            </w:pPr>
            <w:r>
              <w:rPr>
                <w:color w:val="000000"/>
                <w:sz w:val="20"/>
                <w:szCs w:val="20"/>
              </w:rPr>
              <w:t>Maltrato físico, maltrato psicológico, violencia sexual, negligencia</w:t>
            </w:r>
          </w:p>
        </w:tc>
        <w:tc>
          <w:tcPr>
            <w:tcW w:w="3435" w:type="dxa"/>
          </w:tcPr>
          <w:p w:rsidR="00EF2BD2" w14:paraId="20D0D75B" w14:textId="77777777">
            <w:pPr>
              <w:widowControl w:val="0"/>
              <w:pBdr>
                <w:top w:val="nil"/>
                <w:left w:val="nil"/>
                <w:bottom w:val="nil"/>
                <w:right w:val="nil"/>
                <w:between w:val="nil"/>
              </w:pBdr>
              <w:rPr>
                <w:sz w:val="20"/>
                <w:szCs w:val="20"/>
              </w:rPr>
            </w:pPr>
            <w:r>
              <w:rPr>
                <w:b/>
                <w:sz w:val="20"/>
                <w:szCs w:val="20"/>
              </w:rPr>
              <w:t>N= 4.120</w:t>
            </w:r>
            <w:r>
              <w:rPr>
                <w:sz w:val="20"/>
                <w:szCs w:val="20"/>
              </w:rPr>
              <w:t xml:space="preserve"> niños/as y adolescentes bajo la supervisión de 16 organismos de protección de menores de Quebec.</w:t>
            </w:r>
          </w:p>
        </w:tc>
        <w:tc>
          <w:tcPr>
            <w:tcW w:w="5115" w:type="dxa"/>
          </w:tcPr>
          <w:p w:rsidR="00EF2BD2" w14:paraId="06E273A3" w14:textId="77777777">
            <w:pPr>
              <w:widowControl w:val="0"/>
              <w:pBdr>
                <w:top w:val="nil"/>
                <w:left w:val="nil"/>
                <w:bottom w:val="nil"/>
                <w:right w:val="nil"/>
                <w:between w:val="nil"/>
              </w:pBdr>
              <w:rPr>
                <w:color w:val="000000"/>
                <w:sz w:val="20"/>
                <w:szCs w:val="20"/>
              </w:rPr>
            </w:pPr>
            <w:r>
              <w:rPr>
                <w:b/>
                <w:color w:val="000000"/>
                <w:sz w:val="20"/>
                <w:szCs w:val="20"/>
              </w:rPr>
              <w:t>Factores de riesgo</w:t>
            </w:r>
            <w:r>
              <w:rPr>
                <w:color w:val="000000"/>
                <w:sz w:val="20"/>
                <w:szCs w:val="20"/>
              </w:rPr>
              <w:t>; Salida hacia la adopción (0-3 años o lactantes); Descendencia aborigen (3-5 años y 6-11 años)</w:t>
            </w:r>
            <w:r>
              <w:rPr>
                <w:sz w:val="20"/>
                <w:szCs w:val="20"/>
              </w:rPr>
              <w:t xml:space="preserve">; </w:t>
            </w:r>
            <w:r>
              <w:rPr>
                <w:color w:val="000000"/>
                <w:sz w:val="20"/>
                <w:szCs w:val="20"/>
              </w:rPr>
              <w:t>Ubicación de emergencia; Involucramiento previo en los CPS</w:t>
            </w:r>
            <w:r>
              <w:rPr>
                <w:sz w:val="20"/>
                <w:szCs w:val="20"/>
              </w:rPr>
              <w:t xml:space="preserve">; </w:t>
            </w:r>
            <w:r>
              <w:rPr>
                <w:color w:val="000000"/>
                <w:sz w:val="20"/>
                <w:szCs w:val="20"/>
              </w:rPr>
              <w:t>Número de reunificaciones fallidas</w:t>
            </w:r>
            <w:r>
              <w:rPr>
                <w:sz w:val="20"/>
                <w:szCs w:val="20"/>
              </w:rPr>
              <w:t xml:space="preserve">; </w:t>
            </w:r>
            <w:r>
              <w:rPr>
                <w:color w:val="000000"/>
                <w:sz w:val="20"/>
                <w:szCs w:val="20"/>
              </w:rPr>
              <w:t>Remisión a los tribunales</w:t>
            </w:r>
            <w:r>
              <w:rPr>
                <w:sz w:val="20"/>
                <w:szCs w:val="20"/>
              </w:rPr>
              <w:t xml:space="preserve">; </w:t>
            </w:r>
            <w:r>
              <w:rPr>
                <w:color w:val="000000"/>
                <w:sz w:val="20"/>
                <w:szCs w:val="20"/>
              </w:rPr>
              <w:t>Alteración grave del comportamiento del niño</w:t>
            </w:r>
            <w:r>
              <w:rPr>
                <w:sz w:val="20"/>
                <w:szCs w:val="20"/>
              </w:rPr>
              <w:t xml:space="preserve">; </w:t>
            </w:r>
            <w:r>
              <w:rPr>
                <w:color w:val="000000"/>
                <w:sz w:val="20"/>
                <w:szCs w:val="20"/>
              </w:rPr>
              <w:t>Remisión al cierre del caso</w:t>
            </w:r>
            <w:r>
              <w:rPr>
                <w:sz w:val="20"/>
                <w:szCs w:val="20"/>
              </w:rPr>
              <w:t xml:space="preserve">; </w:t>
            </w:r>
            <w:r>
              <w:rPr>
                <w:color w:val="000000"/>
                <w:sz w:val="20"/>
                <w:szCs w:val="20"/>
              </w:rPr>
              <w:t>Género masculino (&gt; 15 años).</w:t>
            </w:r>
          </w:p>
          <w:p w:rsidR="00EF2BD2" w14:paraId="387AE2D2" w14:textId="77777777">
            <w:pPr>
              <w:widowControl w:val="0"/>
              <w:pBdr>
                <w:top w:val="nil"/>
                <w:left w:val="nil"/>
                <w:bottom w:val="nil"/>
                <w:right w:val="nil"/>
                <w:between w:val="nil"/>
              </w:pBdr>
              <w:rPr>
                <w:sz w:val="20"/>
                <w:szCs w:val="20"/>
              </w:rPr>
            </w:pPr>
            <w:r>
              <w:rPr>
                <w:color w:val="000000"/>
                <w:sz w:val="20"/>
                <w:szCs w:val="20"/>
              </w:rPr>
              <w:t>Factores protectores: Cuidado familiar (6-11 años)</w:t>
            </w:r>
          </w:p>
        </w:tc>
      </w:tr>
      <w:tr w14:paraId="0C09E5ED" w14:textId="77777777" w:rsidTr="00EF2BD2">
        <w:tblPrEx>
          <w:tblW w:w="12855" w:type="dxa"/>
          <w:tblInd w:w="0" w:type="dxa"/>
          <w:tblLayout w:type="fixed"/>
          <w:tblLook w:val="0600"/>
        </w:tblPrEx>
        <w:tc>
          <w:tcPr>
            <w:tcW w:w="1320" w:type="dxa"/>
          </w:tcPr>
          <w:p w:rsidR="00EF2BD2" w14:paraId="3D9040F4" w14:textId="77777777">
            <w:pPr>
              <w:widowControl w:val="0"/>
              <w:ind w:left="32"/>
              <w:rPr>
                <w:sz w:val="20"/>
                <w:szCs w:val="20"/>
              </w:rPr>
            </w:pPr>
            <w:r>
              <w:rPr>
                <w:sz w:val="20"/>
                <w:szCs w:val="20"/>
              </w:rPr>
              <w:t xml:space="preserve">Holbrook y </w:t>
            </w:r>
            <w:r>
              <w:rPr>
                <w:sz w:val="20"/>
                <w:szCs w:val="20"/>
              </w:rPr>
              <w:t>Hudziak</w:t>
            </w:r>
            <w:r>
              <w:rPr>
                <w:sz w:val="20"/>
                <w:szCs w:val="20"/>
              </w:rPr>
              <w:t xml:space="preserve"> (2020)</w:t>
            </w:r>
          </w:p>
        </w:tc>
        <w:tc>
          <w:tcPr>
            <w:tcW w:w="1020" w:type="dxa"/>
          </w:tcPr>
          <w:p w:rsidR="00EF2BD2" w14:paraId="6218ACE0" w14:textId="77777777">
            <w:pPr>
              <w:widowControl w:val="0"/>
              <w:pBdr>
                <w:top w:val="nil"/>
                <w:left w:val="nil"/>
                <w:bottom w:val="nil"/>
                <w:right w:val="nil"/>
                <w:between w:val="nil"/>
              </w:pBdr>
              <w:rPr>
                <w:color w:val="000000"/>
                <w:sz w:val="20"/>
                <w:szCs w:val="20"/>
              </w:rPr>
            </w:pPr>
            <w:r>
              <w:rPr>
                <w:sz w:val="20"/>
                <w:szCs w:val="20"/>
              </w:rPr>
              <w:t>Estados Unidos</w:t>
            </w:r>
          </w:p>
        </w:tc>
        <w:tc>
          <w:tcPr>
            <w:tcW w:w="1965" w:type="dxa"/>
          </w:tcPr>
          <w:p w:rsidR="00EF2BD2" w14:paraId="67ACFE37" w14:textId="77777777">
            <w:pPr>
              <w:widowControl w:val="0"/>
              <w:pBdr>
                <w:top w:val="nil"/>
                <w:left w:val="nil"/>
                <w:bottom w:val="nil"/>
                <w:right w:val="nil"/>
                <w:between w:val="nil"/>
              </w:pBdr>
              <w:rPr>
                <w:sz w:val="20"/>
                <w:szCs w:val="20"/>
              </w:rPr>
            </w:pPr>
            <w:r>
              <w:rPr>
                <w:color w:val="000000"/>
                <w:sz w:val="20"/>
                <w:szCs w:val="20"/>
              </w:rPr>
              <w:t>Maltrato físico, maltrato psicológico, violencia sexual, negligencia</w:t>
            </w:r>
          </w:p>
        </w:tc>
        <w:tc>
          <w:tcPr>
            <w:tcW w:w="3435" w:type="dxa"/>
          </w:tcPr>
          <w:p w:rsidR="00EF2BD2" w:rsidRPr="00E75C28" w14:paraId="72A172F2" w14:textId="77777777">
            <w:pPr>
              <w:widowControl w:val="0"/>
              <w:pBdr>
                <w:top w:val="nil"/>
                <w:left w:val="nil"/>
                <w:bottom w:val="nil"/>
                <w:right w:val="nil"/>
                <w:between w:val="nil"/>
              </w:pBdr>
              <w:rPr>
                <w:sz w:val="20"/>
                <w:szCs w:val="20"/>
                <w:lang w:val="en-US"/>
              </w:rPr>
            </w:pPr>
            <w:r w:rsidRPr="00E75C28">
              <w:rPr>
                <w:b/>
                <w:sz w:val="20"/>
                <w:szCs w:val="20"/>
                <w:lang w:val="en-US"/>
              </w:rPr>
              <w:t>N= 246.021</w:t>
            </w:r>
            <w:r w:rsidRPr="00E75C28">
              <w:rPr>
                <w:sz w:val="20"/>
                <w:szCs w:val="20"/>
                <w:lang w:val="en-US"/>
              </w:rPr>
              <w:t xml:space="preserve"> </w:t>
            </w:r>
            <w:r w:rsidRPr="00E75C28">
              <w:rPr>
                <w:sz w:val="20"/>
                <w:szCs w:val="20"/>
                <w:lang w:val="en-US"/>
              </w:rPr>
              <w:t>niños</w:t>
            </w:r>
            <w:r w:rsidRPr="00E75C28">
              <w:rPr>
                <w:sz w:val="20"/>
                <w:szCs w:val="20"/>
                <w:lang w:val="en-US"/>
              </w:rPr>
              <w:t>/as de la base NCANDS (National Child Abuse and Neglect Data System).</w:t>
            </w:r>
          </w:p>
        </w:tc>
        <w:tc>
          <w:tcPr>
            <w:tcW w:w="5115" w:type="dxa"/>
          </w:tcPr>
          <w:p w:rsidR="00EF2BD2" w14:paraId="36C3AE7E" w14:textId="77777777">
            <w:pPr>
              <w:widowControl w:val="0"/>
              <w:pBdr>
                <w:top w:val="nil"/>
                <w:left w:val="nil"/>
                <w:bottom w:val="nil"/>
                <w:right w:val="nil"/>
                <w:between w:val="nil"/>
              </w:pBdr>
              <w:rPr>
                <w:sz w:val="20"/>
                <w:szCs w:val="20"/>
              </w:rPr>
            </w:pPr>
            <w:r>
              <w:rPr>
                <w:b/>
                <w:color w:val="000000"/>
                <w:sz w:val="20"/>
                <w:szCs w:val="20"/>
              </w:rPr>
              <w:t>Factores de riesgo</w:t>
            </w:r>
            <w:r>
              <w:rPr>
                <w:color w:val="000000"/>
                <w:sz w:val="20"/>
                <w:szCs w:val="20"/>
              </w:rPr>
              <w:t>: Reporte previo fundamentado de maltrato; Trastorno emocional de cuidador/a; Abuso de sustancias de cuidador/a; Pobreza</w:t>
            </w:r>
            <w:r>
              <w:rPr>
                <w:sz w:val="20"/>
                <w:szCs w:val="20"/>
              </w:rPr>
              <w:t xml:space="preserve">; </w:t>
            </w:r>
            <w:r>
              <w:rPr>
                <w:color w:val="000000"/>
                <w:sz w:val="20"/>
                <w:szCs w:val="20"/>
              </w:rPr>
              <w:t>Raza negra o afroamericana</w:t>
            </w:r>
          </w:p>
        </w:tc>
      </w:tr>
      <w:tr w14:paraId="125368B0" w14:textId="77777777" w:rsidTr="00EF2BD2">
        <w:tblPrEx>
          <w:tblW w:w="12855" w:type="dxa"/>
          <w:tblInd w:w="0" w:type="dxa"/>
          <w:tblLayout w:type="fixed"/>
          <w:tblLook w:val="0600"/>
        </w:tblPrEx>
        <w:tc>
          <w:tcPr>
            <w:tcW w:w="1320" w:type="dxa"/>
          </w:tcPr>
          <w:p w:rsidR="00EF2BD2" w14:paraId="72C679E1" w14:textId="77777777">
            <w:pPr>
              <w:widowControl w:val="0"/>
              <w:ind w:left="32"/>
              <w:rPr>
                <w:sz w:val="20"/>
                <w:szCs w:val="20"/>
              </w:rPr>
            </w:pPr>
            <w:r>
              <w:rPr>
                <w:sz w:val="20"/>
                <w:szCs w:val="20"/>
              </w:rPr>
              <w:t>Horikawa</w:t>
            </w:r>
            <w:r>
              <w:rPr>
                <w:sz w:val="20"/>
                <w:szCs w:val="20"/>
              </w:rPr>
              <w:t xml:space="preserve"> et al. (2016)</w:t>
            </w:r>
          </w:p>
        </w:tc>
        <w:tc>
          <w:tcPr>
            <w:tcW w:w="1020" w:type="dxa"/>
          </w:tcPr>
          <w:p w:rsidR="00EF2BD2" w14:paraId="433EA333" w14:textId="77777777">
            <w:pPr>
              <w:widowControl w:val="0"/>
              <w:pBdr>
                <w:top w:val="nil"/>
                <w:left w:val="nil"/>
                <w:bottom w:val="nil"/>
                <w:right w:val="nil"/>
                <w:between w:val="nil"/>
              </w:pBdr>
              <w:rPr>
                <w:color w:val="000000"/>
                <w:sz w:val="20"/>
                <w:szCs w:val="20"/>
              </w:rPr>
            </w:pPr>
            <w:r>
              <w:rPr>
                <w:sz w:val="20"/>
                <w:szCs w:val="20"/>
              </w:rPr>
              <w:t>Japón</w:t>
            </w:r>
          </w:p>
        </w:tc>
        <w:tc>
          <w:tcPr>
            <w:tcW w:w="1965" w:type="dxa"/>
          </w:tcPr>
          <w:p w:rsidR="00EF2BD2" w14:paraId="5507BC1C" w14:textId="77777777">
            <w:pPr>
              <w:widowControl w:val="0"/>
              <w:pBdr>
                <w:top w:val="nil"/>
                <w:left w:val="nil"/>
                <w:bottom w:val="nil"/>
                <w:right w:val="nil"/>
                <w:between w:val="nil"/>
              </w:pBdr>
              <w:rPr>
                <w:sz w:val="20"/>
                <w:szCs w:val="20"/>
              </w:rPr>
            </w:pPr>
            <w:r>
              <w:rPr>
                <w:color w:val="000000"/>
                <w:sz w:val="20"/>
                <w:szCs w:val="20"/>
              </w:rPr>
              <w:t>Maltrato físico, maltrato psicológico, violencia sexual, negligencia</w:t>
            </w:r>
          </w:p>
        </w:tc>
        <w:tc>
          <w:tcPr>
            <w:tcW w:w="3435" w:type="dxa"/>
          </w:tcPr>
          <w:p w:rsidR="00EF2BD2" w14:paraId="24C85D2F" w14:textId="77777777">
            <w:pPr>
              <w:widowControl w:val="0"/>
              <w:pBdr>
                <w:top w:val="nil"/>
                <w:left w:val="nil"/>
                <w:bottom w:val="nil"/>
                <w:right w:val="nil"/>
                <w:between w:val="nil"/>
              </w:pBdr>
              <w:rPr>
                <w:sz w:val="20"/>
                <w:szCs w:val="20"/>
              </w:rPr>
            </w:pPr>
            <w:r>
              <w:rPr>
                <w:b/>
                <w:sz w:val="20"/>
                <w:szCs w:val="20"/>
              </w:rPr>
              <w:t>N= 716</w:t>
            </w:r>
            <w:r>
              <w:rPr>
                <w:sz w:val="20"/>
                <w:szCs w:val="20"/>
              </w:rPr>
              <w:t xml:space="preserve"> casos del Shiga central CGC (Child </w:t>
            </w:r>
            <w:r>
              <w:rPr>
                <w:sz w:val="20"/>
                <w:szCs w:val="20"/>
              </w:rPr>
              <w:t>Guidance</w:t>
            </w:r>
            <w:r>
              <w:rPr>
                <w:sz w:val="20"/>
                <w:szCs w:val="20"/>
              </w:rPr>
              <w:t xml:space="preserve"> Center). </w:t>
            </w:r>
          </w:p>
        </w:tc>
        <w:tc>
          <w:tcPr>
            <w:tcW w:w="5115" w:type="dxa"/>
          </w:tcPr>
          <w:p w:rsidR="00EF2BD2" w14:paraId="35AB93D7" w14:textId="77777777">
            <w:pPr>
              <w:widowControl w:val="0"/>
              <w:pBdr>
                <w:top w:val="nil"/>
                <w:left w:val="nil"/>
                <w:bottom w:val="nil"/>
                <w:right w:val="nil"/>
                <w:between w:val="nil"/>
              </w:pBdr>
              <w:rPr>
                <w:sz w:val="20"/>
                <w:szCs w:val="20"/>
              </w:rPr>
            </w:pPr>
            <w:r>
              <w:rPr>
                <w:b/>
                <w:color w:val="000000"/>
                <w:sz w:val="20"/>
                <w:szCs w:val="20"/>
              </w:rPr>
              <w:t>Factores de riesgo</w:t>
            </w:r>
            <w:r>
              <w:rPr>
                <w:color w:val="000000"/>
                <w:sz w:val="20"/>
                <w:szCs w:val="20"/>
              </w:rPr>
              <w:t>: Edad del niño/a 9-13 años</w:t>
            </w:r>
            <w:r>
              <w:rPr>
                <w:sz w:val="20"/>
                <w:szCs w:val="20"/>
              </w:rPr>
              <w:t xml:space="preserve">; </w:t>
            </w:r>
            <w:r>
              <w:rPr>
                <w:color w:val="000000"/>
                <w:sz w:val="20"/>
                <w:szCs w:val="20"/>
              </w:rPr>
              <w:t>perpetrador/a &lt;40 años</w:t>
            </w:r>
            <w:r>
              <w:rPr>
                <w:sz w:val="20"/>
                <w:szCs w:val="20"/>
              </w:rPr>
              <w:t xml:space="preserve">; </w:t>
            </w:r>
            <w:r>
              <w:rPr>
                <w:color w:val="000000"/>
                <w:sz w:val="20"/>
                <w:szCs w:val="20"/>
              </w:rPr>
              <w:t>Historia de maltrato durante la infancia de perpetrador/a; Inestabilidad financiera o pobreza</w:t>
            </w:r>
            <w:r>
              <w:rPr>
                <w:sz w:val="20"/>
                <w:szCs w:val="20"/>
              </w:rPr>
              <w:t xml:space="preserve">; </w:t>
            </w:r>
            <w:r>
              <w:rPr>
                <w:color w:val="000000"/>
                <w:sz w:val="20"/>
                <w:szCs w:val="20"/>
              </w:rPr>
              <w:t>Ausencia de miembro(s) de la comunidad que pueda velar por el niño/a</w:t>
            </w:r>
            <w:r>
              <w:rPr>
                <w:sz w:val="20"/>
                <w:szCs w:val="20"/>
              </w:rPr>
              <w:t xml:space="preserve">; </w:t>
            </w:r>
            <w:r>
              <w:rPr>
                <w:color w:val="000000"/>
                <w:sz w:val="20"/>
                <w:szCs w:val="20"/>
              </w:rPr>
              <w:t>derivación desde organización</w:t>
            </w:r>
          </w:p>
        </w:tc>
      </w:tr>
      <w:tr w14:paraId="2161965D" w14:textId="77777777" w:rsidTr="00EF2BD2">
        <w:tblPrEx>
          <w:tblW w:w="12855" w:type="dxa"/>
          <w:tblInd w:w="0" w:type="dxa"/>
          <w:tblLayout w:type="fixed"/>
          <w:tblLook w:val="0600"/>
        </w:tblPrEx>
        <w:tc>
          <w:tcPr>
            <w:tcW w:w="1320" w:type="dxa"/>
          </w:tcPr>
          <w:p w:rsidR="00EF2BD2" w14:paraId="24E3E9A7" w14:textId="77777777">
            <w:pPr>
              <w:widowControl w:val="0"/>
              <w:ind w:left="32"/>
              <w:rPr>
                <w:sz w:val="20"/>
                <w:szCs w:val="20"/>
              </w:rPr>
            </w:pPr>
            <w:r>
              <w:rPr>
                <w:sz w:val="20"/>
                <w:szCs w:val="20"/>
              </w:rPr>
              <w:t>Jedwab</w:t>
            </w:r>
            <w:r>
              <w:rPr>
                <w:sz w:val="20"/>
                <w:szCs w:val="20"/>
              </w:rPr>
              <w:t xml:space="preserve"> et al. (2017)</w:t>
            </w:r>
          </w:p>
        </w:tc>
        <w:tc>
          <w:tcPr>
            <w:tcW w:w="1020" w:type="dxa"/>
          </w:tcPr>
          <w:p w:rsidR="00EF2BD2" w14:paraId="56876A9B" w14:textId="77777777">
            <w:pPr>
              <w:widowControl w:val="0"/>
              <w:pBdr>
                <w:top w:val="nil"/>
                <w:left w:val="nil"/>
                <w:bottom w:val="nil"/>
                <w:right w:val="nil"/>
                <w:between w:val="nil"/>
              </w:pBdr>
              <w:rPr>
                <w:color w:val="000000"/>
                <w:sz w:val="20"/>
                <w:szCs w:val="20"/>
              </w:rPr>
            </w:pPr>
            <w:r>
              <w:rPr>
                <w:sz w:val="20"/>
                <w:szCs w:val="20"/>
              </w:rPr>
              <w:t>Estados Unidos</w:t>
            </w:r>
          </w:p>
        </w:tc>
        <w:tc>
          <w:tcPr>
            <w:tcW w:w="1965" w:type="dxa"/>
          </w:tcPr>
          <w:p w:rsidR="00EF2BD2" w14:paraId="2411AC54" w14:textId="77777777">
            <w:pPr>
              <w:widowControl w:val="0"/>
              <w:pBdr>
                <w:top w:val="nil"/>
                <w:left w:val="nil"/>
                <w:bottom w:val="nil"/>
                <w:right w:val="nil"/>
                <w:between w:val="nil"/>
              </w:pBdr>
              <w:rPr>
                <w:sz w:val="20"/>
                <w:szCs w:val="20"/>
              </w:rPr>
            </w:pPr>
            <w:r>
              <w:rPr>
                <w:color w:val="000000"/>
                <w:sz w:val="20"/>
                <w:szCs w:val="20"/>
              </w:rPr>
              <w:t>Maltrato físico, maltrato psicológico, violencia sexual, negligencia</w:t>
            </w:r>
          </w:p>
        </w:tc>
        <w:tc>
          <w:tcPr>
            <w:tcW w:w="3435" w:type="dxa"/>
          </w:tcPr>
          <w:p w:rsidR="00EF2BD2" w:rsidRPr="00E75C28" w14:paraId="550CDB32" w14:textId="77777777">
            <w:pPr>
              <w:widowControl w:val="0"/>
              <w:pBdr>
                <w:top w:val="nil"/>
                <w:left w:val="nil"/>
                <w:bottom w:val="nil"/>
                <w:right w:val="nil"/>
                <w:between w:val="nil"/>
              </w:pBdr>
              <w:rPr>
                <w:sz w:val="20"/>
                <w:szCs w:val="20"/>
                <w:lang w:val="en-US"/>
              </w:rPr>
            </w:pPr>
            <w:r w:rsidRPr="00E75C28">
              <w:rPr>
                <w:b/>
                <w:sz w:val="20"/>
                <w:szCs w:val="20"/>
                <w:lang w:val="en-US"/>
              </w:rPr>
              <w:t>N= 378</w:t>
            </w:r>
            <w:r w:rsidRPr="00E75C28">
              <w:rPr>
                <w:sz w:val="20"/>
                <w:szCs w:val="20"/>
                <w:lang w:val="en-US"/>
              </w:rPr>
              <w:t xml:space="preserve"> </w:t>
            </w:r>
            <w:r w:rsidRPr="00E75C28">
              <w:rPr>
                <w:sz w:val="20"/>
                <w:szCs w:val="20"/>
                <w:lang w:val="en-US"/>
              </w:rPr>
              <w:t>niños</w:t>
            </w:r>
            <w:r w:rsidRPr="00E75C28">
              <w:rPr>
                <w:sz w:val="20"/>
                <w:szCs w:val="20"/>
                <w:lang w:val="en-US"/>
              </w:rPr>
              <w:t xml:space="preserve">/as y </w:t>
            </w:r>
            <w:r w:rsidRPr="00E75C28">
              <w:rPr>
                <w:sz w:val="20"/>
                <w:szCs w:val="20"/>
                <w:lang w:val="en-US"/>
              </w:rPr>
              <w:t>adolescentes</w:t>
            </w:r>
            <w:r w:rsidRPr="00E75C28">
              <w:rPr>
                <w:sz w:val="20"/>
                <w:szCs w:val="20"/>
                <w:lang w:val="en-US"/>
              </w:rPr>
              <w:t xml:space="preserve"> del </w:t>
            </w:r>
            <w:r w:rsidRPr="00E75C28">
              <w:rPr>
                <w:sz w:val="20"/>
                <w:szCs w:val="20"/>
                <w:lang w:val="en-US"/>
              </w:rPr>
              <w:t>LONGSCAN  (</w:t>
            </w:r>
            <w:r w:rsidRPr="00E75C28">
              <w:rPr>
                <w:sz w:val="20"/>
                <w:szCs w:val="20"/>
                <w:lang w:val="en-US"/>
              </w:rPr>
              <w:t xml:space="preserve">Longitudinal studies of child abuse and neglect). Se </w:t>
            </w:r>
            <w:r w:rsidRPr="00E75C28">
              <w:rPr>
                <w:sz w:val="20"/>
                <w:szCs w:val="20"/>
                <w:lang w:val="en-US"/>
              </w:rPr>
              <w:t>utilizaron</w:t>
            </w:r>
            <w:r w:rsidRPr="00E75C28">
              <w:rPr>
                <w:sz w:val="20"/>
                <w:szCs w:val="20"/>
                <w:lang w:val="en-US"/>
              </w:rPr>
              <w:t xml:space="preserve"> las bases de </w:t>
            </w:r>
            <w:r w:rsidRPr="00E75C28">
              <w:rPr>
                <w:sz w:val="20"/>
                <w:szCs w:val="20"/>
                <w:lang w:val="en-US"/>
              </w:rPr>
              <w:t>datos</w:t>
            </w:r>
            <w:r w:rsidRPr="00E75C28">
              <w:rPr>
                <w:sz w:val="20"/>
                <w:szCs w:val="20"/>
                <w:lang w:val="en-US"/>
              </w:rPr>
              <w:t xml:space="preserve"> de CPS (Child Protection Services) y NDACAN </w:t>
            </w:r>
            <w:r w:rsidRPr="00E75C28">
              <w:rPr>
                <w:sz w:val="20"/>
                <w:szCs w:val="20"/>
                <w:lang w:val="en-US"/>
              </w:rPr>
              <w:t>(National Data Archive on Child Abuse and Neglect).</w:t>
            </w:r>
          </w:p>
        </w:tc>
        <w:tc>
          <w:tcPr>
            <w:tcW w:w="5115" w:type="dxa"/>
          </w:tcPr>
          <w:p w:rsidR="00EF2BD2" w14:paraId="6941EE58" w14:textId="77777777">
            <w:pPr>
              <w:widowControl w:val="0"/>
              <w:pBdr>
                <w:top w:val="nil"/>
                <w:left w:val="nil"/>
                <w:bottom w:val="nil"/>
                <w:right w:val="nil"/>
                <w:between w:val="nil"/>
              </w:pBdr>
              <w:rPr>
                <w:sz w:val="20"/>
                <w:szCs w:val="20"/>
              </w:rPr>
            </w:pPr>
            <w:r>
              <w:rPr>
                <w:b/>
                <w:color w:val="000000"/>
                <w:sz w:val="20"/>
                <w:szCs w:val="20"/>
              </w:rPr>
              <w:t>Factores de riesgo</w:t>
            </w:r>
            <w:r>
              <w:rPr>
                <w:color w:val="000000"/>
                <w:sz w:val="20"/>
                <w:szCs w:val="20"/>
              </w:rPr>
              <w:t>: A menor edad del niño/a mayor riesgo; Raza del niño/a no blanca; Síntomas depresivos de cuidador/a</w:t>
            </w:r>
          </w:p>
        </w:tc>
      </w:tr>
      <w:tr w14:paraId="3821A1F4" w14:textId="77777777" w:rsidTr="00EF2BD2">
        <w:tblPrEx>
          <w:tblW w:w="12855" w:type="dxa"/>
          <w:tblInd w:w="0" w:type="dxa"/>
          <w:tblLayout w:type="fixed"/>
          <w:tblLook w:val="0600"/>
        </w:tblPrEx>
        <w:tc>
          <w:tcPr>
            <w:tcW w:w="1320" w:type="dxa"/>
          </w:tcPr>
          <w:p w:rsidR="00EF2BD2" w14:paraId="37D232F2" w14:textId="77777777">
            <w:pPr>
              <w:widowControl w:val="0"/>
              <w:ind w:left="32"/>
              <w:rPr>
                <w:sz w:val="20"/>
                <w:szCs w:val="20"/>
              </w:rPr>
            </w:pPr>
            <w:r>
              <w:rPr>
                <w:sz w:val="20"/>
                <w:szCs w:val="20"/>
              </w:rPr>
              <w:t>Kim et al. (2020)</w:t>
            </w:r>
          </w:p>
        </w:tc>
        <w:tc>
          <w:tcPr>
            <w:tcW w:w="1020" w:type="dxa"/>
          </w:tcPr>
          <w:p w:rsidR="00EF2BD2" w14:paraId="15F93A7E" w14:textId="77777777">
            <w:pPr>
              <w:widowControl w:val="0"/>
              <w:pBdr>
                <w:top w:val="nil"/>
                <w:left w:val="nil"/>
                <w:bottom w:val="nil"/>
                <w:right w:val="nil"/>
                <w:between w:val="nil"/>
              </w:pBdr>
              <w:rPr>
                <w:color w:val="000000"/>
                <w:sz w:val="20"/>
                <w:szCs w:val="20"/>
              </w:rPr>
            </w:pPr>
            <w:r>
              <w:rPr>
                <w:sz w:val="20"/>
                <w:szCs w:val="20"/>
              </w:rPr>
              <w:t>Estados Unidos</w:t>
            </w:r>
          </w:p>
        </w:tc>
        <w:tc>
          <w:tcPr>
            <w:tcW w:w="1965" w:type="dxa"/>
          </w:tcPr>
          <w:p w:rsidR="00EF2BD2" w14:paraId="1545BFAE" w14:textId="77777777">
            <w:pPr>
              <w:widowControl w:val="0"/>
              <w:pBdr>
                <w:top w:val="nil"/>
                <w:left w:val="nil"/>
                <w:bottom w:val="nil"/>
                <w:right w:val="nil"/>
                <w:between w:val="nil"/>
              </w:pBdr>
              <w:rPr>
                <w:sz w:val="20"/>
                <w:szCs w:val="20"/>
              </w:rPr>
            </w:pPr>
            <w:r>
              <w:rPr>
                <w:color w:val="000000"/>
                <w:sz w:val="20"/>
                <w:szCs w:val="20"/>
              </w:rPr>
              <w:t>Maltrato físico, violencia sexual, negligencia</w:t>
            </w:r>
          </w:p>
        </w:tc>
        <w:tc>
          <w:tcPr>
            <w:tcW w:w="3435" w:type="dxa"/>
          </w:tcPr>
          <w:p w:rsidR="00EF2BD2" w14:paraId="2FD729C3" w14:textId="77777777">
            <w:pPr>
              <w:widowControl w:val="0"/>
              <w:pBdr>
                <w:top w:val="nil"/>
                <w:left w:val="nil"/>
                <w:bottom w:val="nil"/>
                <w:right w:val="nil"/>
                <w:between w:val="nil"/>
              </w:pBdr>
              <w:rPr>
                <w:sz w:val="20"/>
                <w:szCs w:val="20"/>
              </w:rPr>
            </w:pPr>
            <w:r w:rsidRPr="00E75C28">
              <w:rPr>
                <w:sz w:val="20"/>
                <w:szCs w:val="20"/>
                <w:lang w:val="en-US"/>
              </w:rPr>
              <w:t>Submuestras</w:t>
            </w:r>
            <w:r w:rsidRPr="00E75C28">
              <w:rPr>
                <w:sz w:val="20"/>
                <w:szCs w:val="20"/>
                <w:lang w:val="en-US"/>
              </w:rPr>
              <w:t xml:space="preserve">: 1) </w:t>
            </w:r>
            <w:r w:rsidRPr="00E75C28">
              <w:rPr>
                <w:b/>
                <w:sz w:val="20"/>
                <w:szCs w:val="20"/>
                <w:lang w:val="en-US"/>
              </w:rPr>
              <w:t>n=2.111</w:t>
            </w:r>
            <w:r w:rsidRPr="00E75C28">
              <w:rPr>
                <w:sz w:val="20"/>
                <w:szCs w:val="20"/>
                <w:lang w:val="en-US"/>
              </w:rPr>
              <w:t xml:space="preserve"> </w:t>
            </w:r>
            <w:r w:rsidRPr="00E75C28">
              <w:rPr>
                <w:sz w:val="20"/>
                <w:szCs w:val="20"/>
                <w:lang w:val="en-US"/>
              </w:rPr>
              <w:t>niños</w:t>
            </w:r>
            <w:r w:rsidRPr="00E75C28">
              <w:rPr>
                <w:sz w:val="20"/>
                <w:szCs w:val="20"/>
                <w:lang w:val="en-US"/>
              </w:rPr>
              <w:t xml:space="preserve">/as CAN (Child Abuse and Neglect). Grupo de </w:t>
            </w:r>
            <w:r w:rsidRPr="00E75C28">
              <w:rPr>
                <w:sz w:val="20"/>
                <w:szCs w:val="20"/>
                <w:lang w:val="en-US"/>
              </w:rPr>
              <w:t>reportes</w:t>
            </w:r>
            <w:r w:rsidRPr="00E75C28">
              <w:rPr>
                <w:sz w:val="20"/>
                <w:szCs w:val="20"/>
                <w:lang w:val="en-US"/>
              </w:rPr>
              <w:t xml:space="preserve"> de </w:t>
            </w:r>
            <w:r w:rsidRPr="00E75C28">
              <w:rPr>
                <w:sz w:val="20"/>
                <w:szCs w:val="20"/>
                <w:lang w:val="en-US"/>
              </w:rPr>
              <w:t>maltrato</w:t>
            </w:r>
            <w:r w:rsidRPr="00E75C28">
              <w:rPr>
                <w:sz w:val="20"/>
                <w:szCs w:val="20"/>
                <w:lang w:val="en-US"/>
              </w:rPr>
              <w:t xml:space="preserve"> </w:t>
            </w:r>
            <w:r w:rsidRPr="00E75C28">
              <w:rPr>
                <w:sz w:val="20"/>
                <w:szCs w:val="20"/>
                <w:lang w:val="en-US"/>
              </w:rPr>
              <w:t>infantil</w:t>
            </w:r>
            <w:r w:rsidRPr="00E75C28">
              <w:rPr>
                <w:sz w:val="20"/>
                <w:szCs w:val="20"/>
                <w:lang w:val="en-US"/>
              </w:rPr>
              <w:t xml:space="preserve"> </w:t>
            </w:r>
            <w:r w:rsidRPr="00E75C28">
              <w:rPr>
                <w:sz w:val="20"/>
                <w:szCs w:val="20"/>
                <w:lang w:val="en-US"/>
              </w:rPr>
              <w:t>en</w:t>
            </w:r>
            <w:r w:rsidRPr="00E75C28">
              <w:rPr>
                <w:sz w:val="20"/>
                <w:szCs w:val="20"/>
                <w:lang w:val="en-US"/>
              </w:rPr>
              <w:t xml:space="preserve"> </w:t>
            </w:r>
            <w:r w:rsidRPr="00E75C28">
              <w:rPr>
                <w:sz w:val="20"/>
                <w:szCs w:val="20"/>
                <w:lang w:val="en-US"/>
              </w:rPr>
              <w:t>infancia</w:t>
            </w:r>
            <w:r w:rsidRPr="00E75C28">
              <w:rPr>
                <w:sz w:val="20"/>
                <w:szCs w:val="20"/>
                <w:lang w:val="en-US"/>
              </w:rPr>
              <w:t xml:space="preserve"> </w:t>
            </w:r>
            <w:r w:rsidRPr="00E75C28">
              <w:rPr>
                <w:sz w:val="20"/>
                <w:szCs w:val="20"/>
                <w:lang w:val="en-US"/>
              </w:rPr>
              <w:t>temprana</w:t>
            </w:r>
            <w:r w:rsidRPr="00E75C28">
              <w:rPr>
                <w:sz w:val="20"/>
                <w:szCs w:val="20"/>
                <w:lang w:val="en-US"/>
              </w:rPr>
              <w:t xml:space="preserve"> (CMRs); 2) </w:t>
            </w:r>
            <w:r w:rsidRPr="00E75C28">
              <w:rPr>
                <w:b/>
                <w:sz w:val="20"/>
                <w:szCs w:val="20"/>
                <w:lang w:val="en-US"/>
              </w:rPr>
              <w:t>n=1.923</w:t>
            </w:r>
            <w:r w:rsidRPr="00E75C28">
              <w:rPr>
                <w:sz w:val="20"/>
                <w:szCs w:val="20"/>
                <w:lang w:val="en-US"/>
              </w:rPr>
              <w:t xml:space="preserve"> </w:t>
            </w:r>
            <w:r w:rsidRPr="00E75C28">
              <w:rPr>
                <w:sz w:val="20"/>
                <w:szCs w:val="20"/>
                <w:lang w:val="en-US"/>
              </w:rPr>
              <w:t>niños</w:t>
            </w:r>
            <w:r w:rsidRPr="00E75C28">
              <w:rPr>
                <w:sz w:val="20"/>
                <w:szCs w:val="20"/>
                <w:lang w:val="en-US"/>
              </w:rPr>
              <w:t xml:space="preserve">/as AFDC (Aid to Families with Dependent Children). </w:t>
            </w:r>
            <w:r>
              <w:rPr>
                <w:sz w:val="20"/>
                <w:szCs w:val="20"/>
              </w:rPr>
              <w:t xml:space="preserve">Grupo de reportes en familias sin </w:t>
            </w:r>
            <w:r>
              <w:rPr>
                <w:sz w:val="20"/>
                <w:szCs w:val="20"/>
              </w:rPr>
              <w:t>CMRs</w:t>
            </w:r>
            <w:r>
              <w:rPr>
                <w:sz w:val="20"/>
                <w:szCs w:val="20"/>
              </w:rPr>
              <w:t>.</w:t>
            </w:r>
          </w:p>
        </w:tc>
        <w:tc>
          <w:tcPr>
            <w:tcW w:w="5115" w:type="dxa"/>
          </w:tcPr>
          <w:p w:rsidR="00EF2BD2" w14:paraId="6C69F67A" w14:textId="77777777">
            <w:pPr>
              <w:widowControl w:val="0"/>
              <w:pBdr>
                <w:top w:val="nil"/>
                <w:left w:val="nil"/>
                <w:bottom w:val="nil"/>
                <w:right w:val="nil"/>
                <w:between w:val="nil"/>
              </w:pBdr>
              <w:rPr>
                <w:sz w:val="20"/>
                <w:szCs w:val="20"/>
              </w:rPr>
            </w:pPr>
            <w:r>
              <w:rPr>
                <w:b/>
                <w:color w:val="000000"/>
                <w:sz w:val="20"/>
                <w:szCs w:val="20"/>
              </w:rPr>
              <w:t>Factores de riesgo</w:t>
            </w:r>
            <w:r>
              <w:rPr>
                <w:color w:val="000000"/>
                <w:sz w:val="20"/>
                <w:szCs w:val="20"/>
              </w:rPr>
              <w:t>: Raza del niño/a blanca</w:t>
            </w:r>
            <w:r>
              <w:rPr>
                <w:sz w:val="20"/>
                <w:szCs w:val="20"/>
              </w:rPr>
              <w:t xml:space="preserve">; </w:t>
            </w:r>
            <w:r>
              <w:rPr>
                <w:color w:val="000000"/>
                <w:sz w:val="20"/>
                <w:szCs w:val="20"/>
              </w:rPr>
              <w:t>Pobreza</w:t>
            </w:r>
            <w:r>
              <w:rPr>
                <w:sz w:val="20"/>
                <w:szCs w:val="20"/>
              </w:rPr>
              <w:t>; A</w:t>
            </w:r>
            <w:r>
              <w:rPr>
                <w:color w:val="000000"/>
                <w:sz w:val="20"/>
                <w:szCs w:val="20"/>
              </w:rPr>
              <w:t xml:space="preserve"> mayor cantidad de reportes previos mayor riesgo</w:t>
            </w:r>
          </w:p>
        </w:tc>
      </w:tr>
      <w:tr w14:paraId="0D7A8822" w14:textId="77777777" w:rsidTr="00EF2BD2">
        <w:tblPrEx>
          <w:tblW w:w="12855" w:type="dxa"/>
          <w:tblInd w:w="0" w:type="dxa"/>
          <w:tblLayout w:type="fixed"/>
          <w:tblLook w:val="0600"/>
        </w:tblPrEx>
        <w:tc>
          <w:tcPr>
            <w:tcW w:w="1320" w:type="dxa"/>
          </w:tcPr>
          <w:p w:rsidR="00EF2BD2" w14:paraId="7D4EDC63" w14:textId="77777777">
            <w:pPr>
              <w:widowControl w:val="0"/>
              <w:ind w:left="32"/>
              <w:rPr>
                <w:sz w:val="20"/>
                <w:szCs w:val="20"/>
              </w:rPr>
            </w:pPr>
            <w:r>
              <w:rPr>
                <w:sz w:val="20"/>
                <w:szCs w:val="20"/>
              </w:rPr>
              <w:t>Kim et al. (2022)</w:t>
            </w:r>
          </w:p>
        </w:tc>
        <w:tc>
          <w:tcPr>
            <w:tcW w:w="1020" w:type="dxa"/>
          </w:tcPr>
          <w:p w:rsidR="00EF2BD2" w14:paraId="5569BE7F" w14:textId="77777777">
            <w:pPr>
              <w:widowControl w:val="0"/>
              <w:pBdr>
                <w:top w:val="nil"/>
                <w:left w:val="nil"/>
                <w:bottom w:val="nil"/>
                <w:right w:val="nil"/>
                <w:between w:val="nil"/>
              </w:pBdr>
              <w:rPr>
                <w:color w:val="000000"/>
                <w:sz w:val="20"/>
                <w:szCs w:val="20"/>
              </w:rPr>
            </w:pPr>
            <w:r>
              <w:rPr>
                <w:sz w:val="20"/>
                <w:szCs w:val="20"/>
              </w:rPr>
              <w:t>Corea del Sur</w:t>
            </w:r>
          </w:p>
        </w:tc>
        <w:tc>
          <w:tcPr>
            <w:tcW w:w="1965" w:type="dxa"/>
          </w:tcPr>
          <w:p w:rsidR="00EF2BD2" w14:paraId="54BDE3C7" w14:textId="77777777">
            <w:pPr>
              <w:widowControl w:val="0"/>
              <w:pBdr>
                <w:top w:val="nil"/>
                <w:left w:val="nil"/>
                <w:bottom w:val="nil"/>
                <w:right w:val="nil"/>
                <w:between w:val="nil"/>
              </w:pBdr>
              <w:rPr>
                <w:sz w:val="20"/>
                <w:szCs w:val="20"/>
              </w:rPr>
            </w:pPr>
            <w:r>
              <w:rPr>
                <w:color w:val="000000"/>
                <w:sz w:val="20"/>
                <w:szCs w:val="20"/>
              </w:rPr>
              <w:t>Maltrato físico, maltrato psicológico, violencia sexual, negligencia</w:t>
            </w:r>
          </w:p>
        </w:tc>
        <w:tc>
          <w:tcPr>
            <w:tcW w:w="3435" w:type="dxa"/>
          </w:tcPr>
          <w:p w:rsidR="00EF2BD2" w14:paraId="13D83ABD" w14:textId="77777777">
            <w:pPr>
              <w:widowControl w:val="0"/>
              <w:pBdr>
                <w:top w:val="nil"/>
                <w:left w:val="nil"/>
                <w:bottom w:val="nil"/>
                <w:right w:val="nil"/>
                <w:between w:val="nil"/>
              </w:pBdr>
              <w:rPr>
                <w:sz w:val="20"/>
                <w:szCs w:val="20"/>
              </w:rPr>
            </w:pPr>
            <w:r>
              <w:rPr>
                <w:b/>
                <w:sz w:val="20"/>
                <w:szCs w:val="20"/>
              </w:rPr>
              <w:t>N= 5.349</w:t>
            </w:r>
            <w:r>
              <w:rPr>
                <w:sz w:val="20"/>
                <w:szCs w:val="20"/>
              </w:rPr>
              <w:t xml:space="preserve">, niños/as y adolescentes de servicios de protección infantil (CPS) de </w:t>
            </w:r>
            <w:r>
              <w:rPr>
                <w:sz w:val="20"/>
                <w:szCs w:val="20"/>
              </w:rPr>
              <w:t>Korea</w:t>
            </w:r>
            <w:r>
              <w:rPr>
                <w:sz w:val="20"/>
                <w:szCs w:val="20"/>
              </w:rPr>
              <w:t xml:space="preserve"> (</w:t>
            </w:r>
            <w:r>
              <w:rPr>
                <w:sz w:val="20"/>
                <w:szCs w:val="20"/>
              </w:rPr>
              <w:t>National</w:t>
            </w:r>
            <w:r>
              <w:rPr>
                <w:sz w:val="20"/>
                <w:szCs w:val="20"/>
              </w:rPr>
              <w:t xml:space="preserve"> Child </w:t>
            </w:r>
            <w:r>
              <w:rPr>
                <w:sz w:val="20"/>
                <w:szCs w:val="20"/>
              </w:rPr>
              <w:t>Maltreatment</w:t>
            </w:r>
            <w:r>
              <w:rPr>
                <w:sz w:val="20"/>
                <w:szCs w:val="20"/>
              </w:rPr>
              <w:t xml:space="preserve"> Data </w:t>
            </w:r>
            <w:r>
              <w:rPr>
                <w:sz w:val="20"/>
                <w:szCs w:val="20"/>
              </w:rPr>
              <w:t>System</w:t>
            </w:r>
            <w:r>
              <w:rPr>
                <w:sz w:val="20"/>
                <w:szCs w:val="20"/>
              </w:rPr>
              <w:t xml:space="preserve"> </w:t>
            </w:r>
            <w:r>
              <w:rPr>
                <w:sz w:val="20"/>
                <w:szCs w:val="20"/>
              </w:rPr>
              <w:t>of</w:t>
            </w:r>
            <w:r>
              <w:rPr>
                <w:sz w:val="20"/>
                <w:szCs w:val="20"/>
              </w:rPr>
              <w:t xml:space="preserve">  </w:t>
            </w:r>
            <w:r>
              <w:rPr>
                <w:sz w:val="20"/>
                <w:szCs w:val="20"/>
              </w:rPr>
              <w:t>the</w:t>
            </w:r>
            <w:r>
              <w:rPr>
                <w:sz w:val="20"/>
                <w:szCs w:val="20"/>
              </w:rPr>
              <w:t xml:space="preserve"> </w:t>
            </w:r>
            <w:r>
              <w:rPr>
                <w:sz w:val="20"/>
                <w:szCs w:val="20"/>
              </w:rPr>
              <w:t>Korean</w:t>
            </w:r>
            <w:r>
              <w:rPr>
                <w:sz w:val="20"/>
                <w:szCs w:val="20"/>
              </w:rPr>
              <w:t xml:space="preserve"> CPS). </w:t>
            </w:r>
          </w:p>
        </w:tc>
        <w:tc>
          <w:tcPr>
            <w:tcW w:w="5115" w:type="dxa"/>
          </w:tcPr>
          <w:p w:rsidR="00EF2BD2" w14:paraId="69521849" w14:textId="77777777">
            <w:pPr>
              <w:widowControl w:val="0"/>
              <w:pBdr>
                <w:top w:val="nil"/>
                <w:left w:val="nil"/>
                <w:bottom w:val="nil"/>
                <w:right w:val="nil"/>
                <w:between w:val="nil"/>
              </w:pBdr>
              <w:rPr>
                <w:sz w:val="20"/>
                <w:szCs w:val="20"/>
              </w:rPr>
            </w:pPr>
            <w:r>
              <w:rPr>
                <w:b/>
                <w:color w:val="000000"/>
                <w:sz w:val="20"/>
                <w:szCs w:val="20"/>
              </w:rPr>
              <w:t>Factores de riesgo</w:t>
            </w:r>
            <w:r>
              <w:rPr>
                <w:color w:val="000000"/>
                <w:sz w:val="20"/>
                <w:szCs w:val="20"/>
              </w:rPr>
              <w:t>: Escasas habilidades de resolución de problemas de cuidadores; Estrés de supervivencia de cuidadores;</w:t>
            </w:r>
            <w:r>
              <w:rPr>
                <w:sz w:val="20"/>
                <w:szCs w:val="20"/>
              </w:rPr>
              <w:t xml:space="preserve"> </w:t>
            </w:r>
            <w:r>
              <w:rPr>
                <w:color w:val="000000"/>
                <w:sz w:val="20"/>
                <w:szCs w:val="20"/>
              </w:rPr>
              <w:t>Niños/as de 4-12</w:t>
            </w:r>
            <w:r>
              <w:rPr>
                <w:sz w:val="20"/>
                <w:szCs w:val="20"/>
              </w:rPr>
              <w:t xml:space="preserve">; </w:t>
            </w:r>
            <w:r>
              <w:rPr>
                <w:color w:val="000000"/>
                <w:sz w:val="20"/>
                <w:szCs w:val="20"/>
              </w:rPr>
              <w:t>Reporte de maltrato físico anterior</w:t>
            </w:r>
            <w:r>
              <w:rPr>
                <w:sz w:val="20"/>
                <w:szCs w:val="20"/>
              </w:rPr>
              <w:t xml:space="preserve">; </w:t>
            </w:r>
            <w:r>
              <w:rPr>
                <w:color w:val="000000"/>
                <w:sz w:val="20"/>
                <w:szCs w:val="20"/>
              </w:rPr>
              <w:t>Múltiples tipos de maltrato y su severidad</w:t>
            </w:r>
            <w:r>
              <w:rPr>
                <w:sz w:val="20"/>
                <w:szCs w:val="20"/>
              </w:rPr>
              <w:t xml:space="preserve">; </w:t>
            </w:r>
            <w:r>
              <w:rPr>
                <w:color w:val="000000"/>
                <w:sz w:val="20"/>
                <w:szCs w:val="20"/>
              </w:rPr>
              <w:t>Discapacidad del niño/; Participación previa en CPS</w:t>
            </w:r>
          </w:p>
        </w:tc>
      </w:tr>
      <w:tr w14:paraId="40EE4608" w14:textId="77777777" w:rsidTr="00EF2BD2">
        <w:tblPrEx>
          <w:tblW w:w="12855" w:type="dxa"/>
          <w:tblInd w:w="0" w:type="dxa"/>
          <w:tblLayout w:type="fixed"/>
          <w:tblLook w:val="0600"/>
        </w:tblPrEx>
        <w:tc>
          <w:tcPr>
            <w:tcW w:w="1320" w:type="dxa"/>
          </w:tcPr>
          <w:p w:rsidR="00EF2BD2" w14:paraId="30C52B23" w14:textId="77777777">
            <w:pPr>
              <w:widowControl w:val="0"/>
              <w:ind w:left="32"/>
              <w:rPr>
                <w:sz w:val="20"/>
                <w:szCs w:val="20"/>
              </w:rPr>
            </w:pPr>
            <w:r>
              <w:rPr>
                <w:sz w:val="20"/>
                <w:szCs w:val="20"/>
              </w:rPr>
              <w:t>Meinck</w:t>
            </w:r>
            <w:r>
              <w:rPr>
                <w:sz w:val="20"/>
                <w:szCs w:val="20"/>
              </w:rPr>
              <w:t xml:space="preserve"> et al. (2017)</w:t>
            </w:r>
          </w:p>
        </w:tc>
        <w:tc>
          <w:tcPr>
            <w:tcW w:w="1020" w:type="dxa"/>
          </w:tcPr>
          <w:p w:rsidR="00EF2BD2" w14:paraId="1714ACB1" w14:textId="77777777">
            <w:pPr>
              <w:widowControl w:val="0"/>
              <w:pBdr>
                <w:top w:val="nil"/>
                <w:left w:val="nil"/>
                <w:bottom w:val="nil"/>
                <w:right w:val="nil"/>
                <w:between w:val="nil"/>
              </w:pBdr>
              <w:rPr>
                <w:color w:val="000000"/>
                <w:sz w:val="20"/>
                <w:szCs w:val="20"/>
              </w:rPr>
            </w:pPr>
            <w:r>
              <w:rPr>
                <w:sz w:val="20"/>
                <w:szCs w:val="20"/>
              </w:rPr>
              <w:t>Sudáfrica</w:t>
            </w:r>
          </w:p>
        </w:tc>
        <w:tc>
          <w:tcPr>
            <w:tcW w:w="1965" w:type="dxa"/>
          </w:tcPr>
          <w:p w:rsidR="00EF2BD2" w14:paraId="0F31C703" w14:textId="77777777">
            <w:pPr>
              <w:widowControl w:val="0"/>
              <w:pBdr>
                <w:top w:val="nil"/>
                <w:left w:val="nil"/>
                <w:bottom w:val="nil"/>
                <w:right w:val="nil"/>
                <w:between w:val="nil"/>
              </w:pBdr>
              <w:rPr>
                <w:sz w:val="20"/>
                <w:szCs w:val="20"/>
              </w:rPr>
            </w:pPr>
            <w:r>
              <w:rPr>
                <w:color w:val="000000"/>
                <w:sz w:val="20"/>
                <w:szCs w:val="20"/>
              </w:rPr>
              <w:t>Violencia sexual</w:t>
            </w:r>
          </w:p>
        </w:tc>
        <w:tc>
          <w:tcPr>
            <w:tcW w:w="3435" w:type="dxa"/>
          </w:tcPr>
          <w:p w:rsidR="00EF2BD2" w14:paraId="03AC8739" w14:textId="77777777">
            <w:pPr>
              <w:widowControl w:val="0"/>
              <w:pBdr>
                <w:top w:val="nil"/>
                <w:left w:val="nil"/>
                <w:bottom w:val="nil"/>
                <w:right w:val="nil"/>
                <w:between w:val="nil"/>
              </w:pBdr>
              <w:rPr>
                <w:sz w:val="20"/>
                <w:szCs w:val="20"/>
              </w:rPr>
            </w:pPr>
            <w:r>
              <w:rPr>
                <w:b/>
                <w:sz w:val="20"/>
                <w:szCs w:val="20"/>
              </w:rPr>
              <w:t>N= 3.515</w:t>
            </w:r>
            <w:r>
              <w:rPr>
                <w:sz w:val="20"/>
                <w:szCs w:val="20"/>
              </w:rPr>
              <w:t xml:space="preserve"> niños/as y adolescentes de un muestreo puerta a puerta en Mpumalanga y Cabo occidental. </w:t>
            </w:r>
          </w:p>
        </w:tc>
        <w:tc>
          <w:tcPr>
            <w:tcW w:w="5115" w:type="dxa"/>
          </w:tcPr>
          <w:p w:rsidR="00EF2BD2" w14:paraId="0CCC53FA" w14:textId="77777777">
            <w:pPr>
              <w:widowControl w:val="0"/>
              <w:pBdr>
                <w:top w:val="nil"/>
                <w:left w:val="nil"/>
                <w:bottom w:val="nil"/>
                <w:right w:val="nil"/>
                <w:between w:val="nil"/>
              </w:pBdr>
              <w:rPr>
                <w:color w:val="000000"/>
                <w:sz w:val="20"/>
                <w:szCs w:val="20"/>
              </w:rPr>
            </w:pPr>
            <w:r>
              <w:rPr>
                <w:b/>
                <w:color w:val="000000"/>
                <w:sz w:val="20"/>
                <w:szCs w:val="20"/>
              </w:rPr>
              <w:t>Factores de riesgo</w:t>
            </w:r>
            <w:r>
              <w:rPr>
                <w:color w:val="000000"/>
                <w:sz w:val="20"/>
                <w:szCs w:val="20"/>
              </w:rPr>
              <w:t>: Abuso sexual previo a niñas; Abandono escolar inicial de niñas</w:t>
            </w:r>
            <w:r>
              <w:rPr>
                <w:sz w:val="20"/>
                <w:szCs w:val="20"/>
              </w:rPr>
              <w:t xml:space="preserve">; </w:t>
            </w:r>
            <w:r>
              <w:rPr>
                <w:color w:val="000000"/>
                <w:sz w:val="20"/>
                <w:szCs w:val="20"/>
              </w:rPr>
              <w:t>Maltrato físico en la comunidad hacia niñas</w:t>
            </w:r>
          </w:p>
          <w:p w:rsidR="00EF2BD2" w14:paraId="15BE4F20" w14:textId="77777777">
            <w:pPr>
              <w:widowControl w:val="0"/>
              <w:pBdr>
                <w:top w:val="nil"/>
                <w:left w:val="nil"/>
                <w:bottom w:val="nil"/>
                <w:right w:val="nil"/>
                <w:between w:val="nil"/>
              </w:pBdr>
              <w:rPr>
                <w:sz w:val="20"/>
                <w:szCs w:val="20"/>
              </w:rPr>
            </w:pPr>
            <w:r>
              <w:rPr>
                <w:b/>
                <w:color w:val="000000"/>
                <w:sz w:val="20"/>
                <w:szCs w:val="20"/>
              </w:rPr>
              <w:t>Factores protectores:</w:t>
            </w:r>
            <w:r>
              <w:rPr>
                <w:color w:val="000000"/>
                <w:sz w:val="20"/>
                <w:szCs w:val="20"/>
              </w:rPr>
              <w:t xml:space="preserve">  Apoyo entre pares</w:t>
            </w:r>
          </w:p>
        </w:tc>
      </w:tr>
      <w:tr w14:paraId="2EDCB5DF" w14:textId="77777777" w:rsidTr="00EF2BD2">
        <w:tblPrEx>
          <w:tblW w:w="12855" w:type="dxa"/>
          <w:tblInd w:w="0" w:type="dxa"/>
          <w:tblLayout w:type="fixed"/>
          <w:tblLook w:val="0600"/>
        </w:tblPrEx>
        <w:tc>
          <w:tcPr>
            <w:tcW w:w="1320" w:type="dxa"/>
          </w:tcPr>
          <w:p w:rsidR="00EF2BD2" w14:paraId="10017EB8" w14:textId="77777777">
            <w:pPr>
              <w:widowControl w:val="0"/>
              <w:ind w:left="32"/>
              <w:rPr>
                <w:sz w:val="20"/>
                <w:szCs w:val="20"/>
              </w:rPr>
            </w:pPr>
            <w:r>
              <w:rPr>
                <w:sz w:val="20"/>
                <w:szCs w:val="20"/>
              </w:rPr>
              <w:t>Pierce et al. (2017)</w:t>
            </w:r>
          </w:p>
        </w:tc>
        <w:tc>
          <w:tcPr>
            <w:tcW w:w="1020" w:type="dxa"/>
          </w:tcPr>
          <w:p w:rsidR="00EF2BD2" w14:paraId="24671C35" w14:textId="77777777">
            <w:pPr>
              <w:widowControl w:val="0"/>
              <w:pBdr>
                <w:top w:val="nil"/>
                <w:left w:val="nil"/>
                <w:bottom w:val="nil"/>
                <w:right w:val="nil"/>
                <w:between w:val="nil"/>
              </w:pBdr>
              <w:rPr>
                <w:color w:val="000000"/>
                <w:sz w:val="20"/>
                <w:szCs w:val="20"/>
              </w:rPr>
            </w:pPr>
            <w:r>
              <w:rPr>
                <w:sz w:val="20"/>
                <w:szCs w:val="20"/>
              </w:rPr>
              <w:t>Estados Unidos</w:t>
            </w:r>
          </w:p>
        </w:tc>
        <w:tc>
          <w:tcPr>
            <w:tcW w:w="1965" w:type="dxa"/>
          </w:tcPr>
          <w:p w:rsidR="00EF2BD2" w14:paraId="22B1DC0C" w14:textId="77777777">
            <w:pPr>
              <w:widowControl w:val="0"/>
              <w:pBdr>
                <w:top w:val="nil"/>
                <w:left w:val="nil"/>
                <w:bottom w:val="nil"/>
                <w:right w:val="nil"/>
                <w:between w:val="nil"/>
              </w:pBdr>
              <w:rPr>
                <w:sz w:val="20"/>
                <w:szCs w:val="20"/>
              </w:rPr>
            </w:pPr>
            <w:r>
              <w:rPr>
                <w:color w:val="000000"/>
                <w:sz w:val="20"/>
                <w:szCs w:val="20"/>
              </w:rPr>
              <w:t>Maltrato físico (fatal y casi fatal)</w:t>
            </w:r>
          </w:p>
        </w:tc>
        <w:tc>
          <w:tcPr>
            <w:tcW w:w="3435" w:type="dxa"/>
          </w:tcPr>
          <w:p w:rsidR="00EF2BD2" w14:paraId="1C537414" w14:textId="77777777">
            <w:pPr>
              <w:widowControl w:val="0"/>
              <w:pBdr>
                <w:top w:val="nil"/>
                <w:left w:val="nil"/>
                <w:bottom w:val="nil"/>
                <w:right w:val="nil"/>
                <w:between w:val="nil"/>
              </w:pBdr>
              <w:rPr>
                <w:sz w:val="20"/>
                <w:szCs w:val="20"/>
              </w:rPr>
            </w:pPr>
            <w:r>
              <w:rPr>
                <w:b/>
                <w:sz w:val="20"/>
                <w:szCs w:val="20"/>
              </w:rPr>
              <w:t>N= 20</w:t>
            </w:r>
            <w:r>
              <w:rPr>
                <w:sz w:val="20"/>
                <w:szCs w:val="20"/>
              </w:rPr>
              <w:t xml:space="preserve"> expedientes de lactantes investigados por KY-CHFS (Kentucky </w:t>
            </w:r>
            <w:r>
              <w:rPr>
                <w:sz w:val="20"/>
                <w:szCs w:val="20"/>
              </w:rPr>
              <w:t>Cabinet</w:t>
            </w:r>
            <w:r>
              <w:rPr>
                <w:sz w:val="20"/>
                <w:szCs w:val="20"/>
              </w:rPr>
              <w:t xml:space="preserve"> </w:t>
            </w:r>
            <w:r>
              <w:rPr>
                <w:sz w:val="20"/>
                <w:szCs w:val="20"/>
              </w:rPr>
              <w:t>for</w:t>
            </w:r>
            <w:r>
              <w:rPr>
                <w:sz w:val="20"/>
                <w:szCs w:val="20"/>
              </w:rPr>
              <w:t xml:space="preserve"> </w:t>
            </w:r>
            <w:r>
              <w:rPr>
                <w:sz w:val="20"/>
                <w:szCs w:val="20"/>
              </w:rPr>
              <w:t>Health</w:t>
            </w:r>
            <w:r>
              <w:rPr>
                <w:sz w:val="20"/>
                <w:szCs w:val="20"/>
              </w:rPr>
              <w:t xml:space="preserve"> and </w:t>
            </w:r>
            <w:r>
              <w:rPr>
                <w:sz w:val="20"/>
                <w:szCs w:val="20"/>
              </w:rPr>
              <w:t>Family</w:t>
            </w:r>
            <w:r>
              <w:rPr>
                <w:sz w:val="20"/>
                <w:szCs w:val="20"/>
              </w:rPr>
              <w:t xml:space="preserve"> </w:t>
            </w:r>
            <w:r>
              <w:rPr>
                <w:sz w:val="20"/>
                <w:szCs w:val="20"/>
              </w:rPr>
              <w:t>Service</w:t>
            </w:r>
            <w:r>
              <w:rPr>
                <w:sz w:val="20"/>
                <w:szCs w:val="20"/>
              </w:rPr>
              <w:t>).</w:t>
            </w:r>
          </w:p>
        </w:tc>
        <w:tc>
          <w:tcPr>
            <w:tcW w:w="5115" w:type="dxa"/>
          </w:tcPr>
          <w:p w:rsidR="00EF2BD2" w14:paraId="4898F430" w14:textId="77777777">
            <w:pPr>
              <w:widowControl w:val="0"/>
              <w:pBdr>
                <w:top w:val="nil"/>
                <w:left w:val="nil"/>
                <w:bottom w:val="nil"/>
                <w:right w:val="nil"/>
                <w:between w:val="nil"/>
              </w:pBdr>
              <w:rPr>
                <w:sz w:val="20"/>
                <w:szCs w:val="20"/>
              </w:rPr>
            </w:pPr>
            <w:r>
              <w:rPr>
                <w:b/>
                <w:color w:val="000000"/>
                <w:sz w:val="20"/>
                <w:szCs w:val="20"/>
              </w:rPr>
              <w:t>Factores de riesgo</w:t>
            </w:r>
            <w:r>
              <w:rPr>
                <w:color w:val="000000"/>
                <w:sz w:val="20"/>
                <w:szCs w:val="20"/>
              </w:rPr>
              <w:t>: Historia penal de adultos en estrecho contacto con el niño/a</w:t>
            </w:r>
            <w:r>
              <w:rPr>
                <w:sz w:val="20"/>
                <w:szCs w:val="20"/>
              </w:rPr>
              <w:t xml:space="preserve">; </w:t>
            </w:r>
            <w:r>
              <w:rPr>
                <w:color w:val="000000"/>
                <w:sz w:val="20"/>
                <w:szCs w:val="20"/>
              </w:rPr>
              <w:t>Involucramiento con servicios sociales infantiles</w:t>
            </w:r>
            <w:r>
              <w:rPr>
                <w:sz w:val="20"/>
                <w:szCs w:val="20"/>
              </w:rPr>
              <w:t xml:space="preserve">; </w:t>
            </w:r>
            <w:r>
              <w:rPr>
                <w:color w:val="000000"/>
                <w:sz w:val="20"/>
                <w:szCs w:val="20"/>
              </w:rPr>
              <w:t>Violencia doméstica en el hogar</w:t>
            </w:r>
            <w:r>
              <w:rPr>
                <w:sz w:val="20"/>
                <w:szCs w:val="20"/>
              </w:rPr>
              <w:t xml:space="preserve">; </w:t>
            </w:r>
            <w:r>
              <w:rPr>
                <w:color w:val="000000"/>
                <w:sz w:val="20"/>
                <w:szCs w:val="20"/>
              </w:rPr>
              <w:t>Atribuciones negativas o falta de habilidades protectoras de cuidadores</w:t>
            </w:r>
            <w:r>
              <w:rPr>
                <w:sz w:val="20"/>
                <w:szCs w:val="20"/>
              </w:rPr>
              <w:t xml:space="preserve">; </w:t>
            </w:r>
            <w:r>
              <w:rPr>
                <w:color w:val="000000"/>
                <w:sz w:val="20"/>
                <w:szCs w:val="20"/>
              </w:rPr>
              <w:t>Cuidador masculino al momento del evento</w:t>
            </w:r>
            <w:r>
              <w:rPr>
                <w:sz w:val="20"/>
                <w:szCs w:val="20"/>
              </w:rPr>
              <w:t xml:space="preserve">; </w:t>
            </w:r>
            <w:r>
              <w:rPr>
                <w:color w:val="000000"/>
                <w:sz w:val="20"/>
                <w:szCs w:val="20"/>
              </w:rPr>
              <w:t>Moretones inexplicables</w:t>
            </w:r>
            <w:r>
              <w:rPr>
                <w:sz w:val="20"/>
                <w:szCs w:val="20"/>
              </w:rPr>
              <w:t xml:space="preserve">; </w:t>
            </w:r>
            <w:r>
              <w:rPr>
                <w:color w:val="000000"/>
                <w:sz w:val="20"/>
                <w:szCs w:val="20"/>
              </w:rPr>
              <w:t>Ausencia de historia de trauma al momento de la presentación inicial</w:t>
            </w:r>
          </w:p>
        </w:tc>
      </w:tr>
      <w:tr w14:paraId="00CEE3C7" w14:textId="77777777" w:rsidTr="00EF2BD2">
        <w:tblPrEx>
          <w:tblW w:w="12855" w:type="dxa"/>
          <w:tblInd w:w="0" w:type="dxa"/>
          <w:tblLayout w:type="fixed"/>
          <w:tblLook w:val="0600"/>
        </w:tblPrEx>
        <w:tc>
          <w:tcPr>
            <w:tcW w:w="1320" w:type="dxa"/>
          </w:tcPr>
          <w:p w:rsidR="00EF2BD2" w14:paraId="6439FD15" w14:textId="77777777">
            <w:pPr>
              <w:widowControl w:val="0"/>
              <w:ind w:left="32"/>
              <w:rPr>
                <w:sz w:val="20"/>
                <w:szCs w:val="20"/>
              </w:rPr>
            </w:pPr>
            <w:r>
              <w:rPr>
                <w:sz w:val="20"/>
                <w:szCs w:val="20"/>
              </w:rPr>
              <w:t>Putnam-</w:t>
            </w:r>
            <w:r>
              <w:rPr>
                <w:sz w:val="20"/>
                <w:szCs w:val="20"/>
              </w:rPr>
              <w:t>Hornstein</w:t>
            </w:r>
            <w:r>
              <w:rPr>
                <w:sz w:val="20"/>
                <w:szCs w:val="20"/>
              </w:rPr>
              <w:t xml:space="preserve"> et al. (2015)</w:t>
            </w:r>
          </w:p>
        </w:tc>
        <w:tc>
          <w:tcPr>
            <w:tcW w:w="1020" w:type="dxa"/>
          </w:tcPr>
          <w:p w:rsidR="00EF2BD2" w14:paraId="1FAEFD00" w14:textId="77777777">
            <w:pPr>
              <w:widowControl w:val="0"/>
              <w:pBdr>
                <w:top w:val="nil"/>
                <w:left w:val="nil"/>
                <w:bottom w:val="nil"/>
                <w:right w:val="nil"/>
                <w:between w:val="nil"/>
              </w:pBdr>
              <w:rPr>
                <w:color w:val="000000"/>
                <w:sz w:val="20"/>
                <w:szCs w:val="20"/>
              </w:rPr>
            </w:pPr>
            <w:r>
              <w:rPr>
                <w:sz w:val="20"/>
                <w:szCs w:val="20"/>
              </w:rPr>
              <w:t>Estados Unidos</w:t>
            </w:r>
          </w:p>
        </w:tc>
        <w:tc>
          <w:tcPr>
            <w:tcW w:w="1965" w:type="dxa"/>
          </w:tcPr>
          <w:p w:rsidR="00EF2BD2" w14:paraId="172CB1D5" w14:textId="77777777">
            <w:pPr>
              <w:widowControl w:val="0"/>
              <w:pBdr>
                <w:top w:val="nil"/>
                <w:left w:val="nil"/>
                <w:bottom w:val="nil"/>
                <w:right w:val="nil"/>
                <w:between w:val="nil"/>
              </w:pBdr>
              <w:ind w:right="-105"/>
              <w:rPr>
                <w:sz w:val="20"/>
                <w:szCs w:val="20"/>
              </w:rPr>
            </w:pPr>
            <w:r>
              <w:rPr>
                <w:color w:val="000000"/>
                <w:sz w:val="20"/>
                <w:szCs w:val="20"/>
              </w:rPr>
              <w:t>Maltrato físico, maltrato psicológico, violencia sexual, negligencia, otros</w:t>
            </w:r>
          </w:p>
        </w:tc>
        <w:tc>
          <w:tcPr>
            <w:tcW w:w="3435" w:type="dxa"/>
          </w:tcPr>
          <w:p w:rsidR="00EF2BD2" w14:paraId="28AF0123" w14:textId="77777777">
            <w:pPr>
              <w:widowControl w:val="0"/>
              <w:pBdr>
                <w:top w:val="nil"/>
                <w:left w:val="nil"/>
                <w:bottom w:val="nil"/>
                <w:right w:val="nil"/>
                <w:between w:val="nil"/>
              </w:pBdr>
              <w:rPr>
                <w:sz w:val="20"/>
                <w:szCs w:val="20"/>
              </w:rPr>
            </w:pPr>
            <w:r>
              <w:rPr>
                <w:b/>
                <w:sz w:val="20"/>
                <w:szCs w:val="20"/>
              </w:rPr>
              <w:t>N= 29.135</w:t>
            </w:r>
            <w:r>
              <w:rPr>
                <w:sz w:val="20"/>
                <w:szCs w:val="20"/>
              </w:rPr>
              <w:t xml:space="preserve"> reportes de Servicios de Protección infantil de California (CPS). </w:t>
            </w:r>
          </w:p>
        </w:tc>
        <w:tc>
          <w:tcPr>
            <w:tcW w:w="5115" w:type="dxa"/>
          </w:tcPr>
          <w:p w:rsidR="00EF2BD2" w14:paraId="5CCB5D80" w14:textId="77777777">
            <w:pPr>
              <w:widowControl w:val="0"/>
              <w:pBdr>
                <w:top w:val="nil"/>
                <w:left w:val="nil"/>
                <w:bottom w:val="nil"/>
                <w:right w:val="nil"/>
                <w:between w:val="nil"/>
              </w:pBdr>
              <w:rPr>
                <w:sz w:val="20"/>
                <w:szCs w:val="20"/>
              </w:rPr>
            </w:pPr>
            <w:r>
              <w:rPr>
                <w:b/>
                <w:color w:val="000000"/>
                <w:sz w:val="20"/>
                <w:szCs w:val="20"/>
              </w:rPr>
              <w:t>Factores de riesgo</w:t>
            </w:r>
            <w:r>
              <w:rPr>
                <w:color w:val="000000"/>
                <w:sz w:val="20"/>
                <w:szCs w:val="20"/>
              </w:rPr>
              <w:t>: Denuncia previa fundamentada, no concluyente o desestimada;</w:t>
            </w:r>
            <w:r>
              <w:rPr>
                <w:sz w:val="20"/>
                <w:szCs w:val="20"/>
              </w:rPr>
              <w:t xml:space="preserve"> </w:t>
            </w:r>
            <w:r>
              <w:rPr>
                <w:color w:val="000000"/>
                <w:sz w:val="20"/>
                <w:szCs w:val="20"/>
              </w:rPr>
              <w:t>Denuncia inicial por maltrato físico</w:t>
            </w:r>
            <w:r>
              <w:rPr>
                <w:sz w:val="20"/>
                <w:szCs w:val="20"/>
              </w:rPr>
              <w:t xml:space="preserve">; </w:t>
            </w:r>
            <w:r>
              <w:rPr>
                <w:color w:val="000000"/>
                <w:sz w:val="20"/>
                <w:szCs w:val="20"/>
              </w:rPr>
              <w:t>Reporte/denuncia inicial por parte de personas no obligadas a denunciar</w:t>
            </w:r>
          </w:p>
        </w:tc>
      </w:tr>
      <w:tr w14:paraId="29A5B5B7" w14:textId="77777777" w:rsidTr="00EF2BD2">
        <w:tblPrEx>
          <w:tblW w:w="12855" w:type="dxa"/>
          <w:tblInd w:w="0" w:type="dxa"/>
          <w:tblLayout w:type="fixed"/>
          <w:tblLook w:val="0600"/>
        </w:tblPrEx>
        <w:tc>
          <w:tcPr>
            <w:tcW w:w="1320" w:type="dxa"/>
          </w:tcPr>
          <w:p w:rsidR="00EF2BD2" w14:paraId="1C04E877" w14:textId="77777777">
            <w:pPr>
              <w:widowControl w:val="0"/>
              <w:ind w:left="32"/>
              <w:rPr>
                <w:sz w:val="20"/>
                <w:szCs w:val="20"/>
              </w:rPr>
            </w:pPr>
            <w:r>
              <w:rPr>
                <w:sz w:val="20"/>
                <w:szCs w:val="20"/>
              </w:rPr>
              <w:t>Solomon et al. (2016)</w:t>
            </w:r>
          </w:p>
        </w:tc>
        <w:tc>
          <w:tcPr>
            <w:tcW w:w="1020" w:type="dxa"/>
          </w:tcPr>
          <w:p w:rsidR="00EF2BD2" w14:paraId="0356E64A" w14:textId="77777777">
            <w:pPr>
              <w:widowControl w:val="0"/>
              <w:pBdr>
                <w:top w:val="nil"/>
                <w:left w:val="nil"/>
                <w:bottom w:val="nil"/>
                <w:right w:val="nil"/>
                <w:between w:val="nil"/>
              </w:pBdr>
              <w:rPr>
                <w:color w:val="000000"/>
                <w:sz w:val="20"/>
                <w:szCs w:val="20"/>
              </w:rPr>
            </w:pPr>
            <w:r>
              <w:rPr>
                <w:sz w:val="20"/>
                <w:szCs w:val="20"/>
              </w:rPr>
              <w:t>Estados Unidos</w:t>
            </w:r>
          </w:p>
        </w:tc>
        <w:tc>
          <w:tcPr>
            <w:tcW w:w="1965" w:type="dxa"/>
          </w:tcPr>
          <w:p w:rsidR="00EF2BD2" w14:paraId="37CD67AF" w14:textId="77777777">
            <w:pPr>
              <w:widowControl w:val="0"/>
              <w:pBdr>
                <w:top w:val="nil"/>
                <w:left w:val="nil"/>
                <w:bottom w:val="nil"/>
                <w:right w:val="nil"/>
                <w:between w:val="nil"/>
              </w:pBdr>
              <w:rPr>
                <w:sz w:val="20"/>
                <w:szCs w:val="20"/>
              </w:rPr>
            </w:pPr>
            <w:r>
              <w:rPr>
                <w:color w:val="000000"/>
                <w:sz w:val="20"/>
                <w:szCs w:val="20"/>
              </w:rPr>
              <w:t>Maltrato físico, violencia sexual, negligencia</w:t>
            </w:r>
          </w:p>
        </w:tc>
        <w:tc>
          <w:tcPr>
            <w:tcW w:w="3435" w:type="dxa"/>
          </w:tcPr>
          <w:p w:rsidR="00EF2BD2" w14:paraId="5E0F68A5" w14:textId="77777777">
            <w:pPr>
              <w:widowControl w:val="0"/>
              <w:pBdr>
                <w:top w:val="nil"/>
                <w:left w:val="nil"/>
                <w:bottom w:val="nil"/>
                <w:right w:val="nil"/>
                <w:between w:val="nil"/>
              </w:pBdr>
              <w:rPr>
                <w:sz w:val="20"/>
                <w:szCs w:val="20"/>
              </w:rPr>
            </w:pPr>
            <w:r>
              <w:rPr>
                <w:b/>
                <w:sz w:val="20"/>
                <w:szCs w:val="20"/>
              </w:rPr>
              <w:t>N= 154</w:t>
            </w:r>
            <w:r>
              <w:rPr>
                <w:sz w:val="20"/>
                <w:szCs w:val="20"/>
              </w:rPr>
              <w:t xml:space="preserve"> expedientes del estudio de Solomon y </w:t>
            </w:r>
            <w:r>
              <w:rPr>
                <w:color w:val="2A2A2A"/>
                <w:sz w:val="20"/>
                <w:szCs w:val="20"/>
              </w:rPr>
              <w:t>Åsberg</w:t>
            </w:r>
            <w:r>
              <w:rPr>
                <w:color w:val="2A2A2A"/>
                <w:sz w:val="20"/>
                <w:szCs w:val="20"/>
              </w:rPr>
              <w:t xml:space="preserve"> (2012) y expedientes del Servicio de protección infantil del Sudeste de California. </w:t>
            </w:r>
          </w:p>
        </w:tc>
        <w:tc>
          <w:tcPr>
            <w:tcW w:w="5115" w:type="dxa"/>
          </w:tcPr>
          <w:p w:rsidR="00EF2BD2" w14:paraId="102E6FCA" w14:textId="77777777">
            <w:pPr>
              <w:widowControl w:val="0"/>
              <w:pBdr>
                <w:top w:val="nil"/>
                <w:left w:val="nil"/>
                <w:bottom w:val="nil"/>
                <w:right w:val="nil"/>
                <w:between w:val="nil"/>
              </w:pBdr>
              <w:rPr>
                <w:sz w:val="20"/>
                <w:szCs w:val="20"/>
              </w:rPr>
            </w:pPr>
            <w:r>
              <w:rPr>
                <w:b/>
                <w:sz w:val="20"/>
                <w:szCs w:val="20"/>
              </w:rPr>
              <w:t>Factores de riesgo:</w:t>
            </w:r>
            <w:r>
              <w:rPr>
                <w:sz w:val="20"/>
                <w:szCs w:val="20"/>
              </w:rPr>
              <w:t xml:space="preserve"> </w:t>
            </w:r>
            <w:r>
              <w:rPr>
                <w:color w:val="000000"/>
                <w:sz w:val="20"/>
                <w:szCs w:val="20"/>
              </w:rPr>
              <w:t>Riesgo acumulativo (sumatoria de factores de riesgo); Retirada temporal del niño/a</w:t>
            </w:r>
          </w:p>
          <w:p w:rsidR="00EF2BD2" w14:paraId="608356CC" w14:textId="77777777">
            <w:pPr>
              <w:widowControl w:val="0"/>
              <w:pBdr>
                <w:top w:val="nil"/>
                <w:left w:val="nil"/>
                <w:bottom w:val="nil"/>
                <w:right w:val="nil"/>
                <w:between w:val="nil"/>
              </w:pBdr>
              <w:rPr>
                <w:sz w:val="20"/>
                <w:szCs w:val="20"/>
              </w:rPr>
            </w:pPr>
            <w:r>
              <w:rPr>
                <w:b/>
                <w:color w:val="000000"/>
                <w:sz w:val="20"/>
                <w:szCs w:val="20"/>
              </w:rPr>
              <w:t>Factores protectores:</w:t>
            </w:r>
            <w:r>
              <w:rPr>
                <w:color w:val="000000"/>
                <w:sz w:val="20"/>
                <w:szCs w:val="20"/>
              </w:rPr>
              <w:t xml:space="preserve"> Terapia para los padres; Terapia para el niño/a</w:t>
            </w:r>
          </w:p>
        </w:tc>
      </w:tr>
    </w:tbl>
    <w:p w:rsidR="00EF2BD2" w14:paraId="5538ECA5" w14:textId="77777777">
      <w:pPr>
        <w:spacing w:line="360" w:lineRule="auto"/>
        <w:sectPr>
          <w:headerReference w:type="default" r:id="rId8"/>
          <w:pgSz w:w="15842" w:h="12219" w:orient="landscape"/>
          <w:pgMar w:top="1440" w:right="1440" w:bottom="1440" w:left="1440" w:header="720" w:footer="720" w:gutter="0"/>
          <w:cols w:space="720"/>
        </w:sectPr>
      </w:pPr>
    </w:p>
    <w:p w:rsidR="00EF2BD2" w14:paraId="03DB5481" w14:textId="77777777">
      <w:pPr>
        <w:spacing w:line="360" w:lineRule="auto"/>
        <w:ind w:left="566"/>
        <w:rPr>
          <w:b/>
        </w:rPr>
      </w:pPr>
      <w:r>
        <w:rPr>
          <w:b/>
        </w:rPr>
        <w:t xml:space="preserve">Tasa de recurrencia y periodo de seguimiento </w:t>
      </w:r>
    </w:p>
    <w:p w:rsidR="00EF2BD2" w14:paraId="1045952F" w14:textId="72FDF8E4">
      <w:pPr>
        <w:spacing w:line="360" w:lineRule="auto"/>
        <w:ind w:firstLine="566"/>
      </w:pPr>
      <w:r>
        <w:t xml:space="preserve">Para identificar la recurrencia los estudios emplean dos tipos de indicadores. Algunos identifican recurrencia a partir de lo que se conoce como “nuevos reportes”, lo que significa que existe un informe de maltrato posterior al evento inicial, independientemente de que se haya podido demostrar el presunto hecho o no. Otros identifican recurrencia a partir de lo que se conoce como “nuevos reportes corroborados”, lo que implica que existen episodios adicionales de maltrato que han podido ser fundamentados (Casanueva et al., 2015). </w:t>
      </w:r>
    </w:p>
    <w:p w:rsidR="00EF2BD2" w14:paraId="5878E804" w14:textId="14423818">
      <w:pPr>
        <w:spacing w:line="360" w:lineRule="auto"/>
        <w:ind w:firstLine="720"/>
      </w:pPr>
      <w:r>
        <w:t>Las tasas de recurrencia reportadas por los artículos varían en virtud de la metodología utilizada, el tipo de muestra y el tiempo de seguimiento. Del total de artículos incluidos, 77,7% realizaron seguimiento en distintos intervalos de tiempo, desde uno hasta catorce años. Como resultado, las tasas de recurrencia tienen una gran variación, oscilando en un rango del 10,6% al 81% en el caso de nuevos reportes, y del 3,3% al 64,9% en nuevos reportes corroborados. Los estudios que incluyeron sólo casos de maltrato corroborados tienden a presentar una tasa de recurrencia menor que aquellos que no establecen como requisito su comprobación.</w:t>
      </w:r>
    </w:p>
    <w:p w:rsidR="00EF2BD2" w14:paraId="3169C748" w14:textId="77777777">
      <w:pPr>
        <w:spacing w:line="360" w:lineRule="auto"/>
        <w:ind w:left="566"/>
        <w:rPr>
          <w:b/>
        </w:rPr>
      </w:pPr>
      <w:r>
        <w:rPr>
          <w:b/>
        </w:rPr>
        <w:t xml:space="preserve">Factores de riesgo y protección </w:t>
      </w:r>
    </w:p>
    <w:p w:rsidR="00EF2BD2" w14:paraId="420EE93A" w14:textId="77777777">
      <w:pPr>
        <w:spacing w:line="360" w:lineRule="auto"/>
        <w:ind w:firstLine="720"/>
      </w:pPr>
      <w:r>
        <w:t xml:space="preserve">Siguiendo el esquema propuesto por </w:t>
      </w:r>
      <w:r>
        <w:t>Pittenger</w:t>
      </w:r>
      <w:r>
        <w:t xml:space="preserve"> et al. (2016), se organizaron los factores de riesgo y protección </w:t>
      </w:r>
      <w:r>
        <w:t>de acuerdo al</w:t>
      </w:r>
      <w:r>
        <w:t xml:space="preserve"> nivel ecológico.</w:t>
      </w:r>
    </w:p>
    <w:p w:rsidR="00EF2BD2" w14:paraId="51162844" w14:textId="77777777">
      <w:pPr>
        <w:spacing w:line="360" w:lineRule="auto"/>
        <w:ind w:firstLine="720"/>
      </w:pPr>
      <w:r>
        <w:t xml:space="preserve">Todos los artículos incluidos identifican factores de riesgo, pudiendo identificarse un total de 95 variables que muestran relación estadísticamente significativa con el resultado, incrementando la probabilidad de recurrencia de maltrato infantil.  El 45% de ellos corresponden al ámbito familiar, 33% son variables del niño(a) o adolescente y 16% se asocian con las respuestas que el sistema legal y </w:t>
      </w:r>
      <w:r>
        <w:t>proteccional</w:t>
      </w:r>
      <w:r>
        <w:t xml:space="preserve"> ha desplegado luego del maltrato inicial. Se cuenta con mucha menos evidencia acerca de los factores vinculados a quien perpetra el maltrato (4%), variables del macrosistema (1%) y factores transversales (1%).</w:t>
      </w:r>
    </w:p>
    <w:p w:rsidR="00EF2BD2" w14:paraId="5A139C82" w14:textId="77777777">
      <w:pPr>
        <w:widowControl w:val="0"/>
        <w:spacing w:line="360" w:lineRule="auto"/>
        <w:ind w:firstLine="720"/>
        <w:jc w:val="both"/>
      </w:pPr>
      <w:r>
        <w:t>En relación a</w:t>
      </w:r>
      <w:r>
        <w:t xml:space="preserve"> los factores protectores, muy pocas investigaciones los abordan. Sólo 5 artículos reportan factores protectores, identificándose en total 7 factores de protección que disminuyen la probabilidad de maltrato recurrente. Esto demuestra que el estudio de los factores protectores constituye aún una tarea pendiente. </w:t>
      </w:r>
    </w:p>
    <w:p w:rsidR="00EF2BD2" w14:paraId="3D67FEF8" w14:textId="77777777">
      <w:pPr>
        <w:widowControl w:val="0"/>
        <w:spacing w:line="360" w:lineRule="auto"/>
        <w:ind w:firstLine="720"/>
        <w:jc w:val="both"/>
        <w:rPr>
          <w:b/>
          <w:i/>
        </w:rPr>
      </w:pPr>
      <w:r>
        <w:rPr>
          <w:b/>
          <w:i/>
        </w:rPr>
        <w:t>Nivel individual</w:t>
      </w:r>
    </w:p>
    <w:p w:rsidR="00EF2BD2" w14:paraId="59AD3E78" w14:textId="702A91FC">
      <w:pPr>
        <w:widowControl w:val="0"/>
        <w:spacing w:line="360" w:lineRule="auto"/>
        <w:ind w:firstLine="720"/>
        <w:jc w:val="both"/>
      </w:pPr>
      <w:r>
        <w:t xml:space="preserve">A nivel individual, la variable de riesgo que cuenta con más evidencia es el reporte previo de maltrato en sus múltiples formas, incluyendo el número de reportes y su severidad (n=16). </w:t>
      </w:r>
      <w:r>
        <w:t xml:space="preserve">También se han estudiado variables demográficas y características de las víctimas, como la raza/etnia (n=5), edad (n=3), género (n=1) y factores de vulnerabilidad (n=1). Pese a que diferentes investigaciones han detectado efectos significativos de la raza y edad en la recurrencia, discrepan en los grupos que enfrentan mayor riesgo, </w:t>
      </w:r>
      <w:r>
        <w:t>resultando</w:t>
      </w:r>
      <w:r w:rsidR="00884F26">
        <w:t xml:space="preserve"> </w:t>
      </w:r>
      <w:r>
        <w:t>inconsistentes</w:t>
      </w:r>
      <w:r>
        <w:t xml:space="preserve"> estos hallazgos. </w:t>
      </w:r>
    </w:p>
    <w:p w:rsidR="00EF2BD2" w14:paraId="66425B48" w14:textId="77777777">
      <w:pPr>
        <w:widowControl w:val="0"/>
        <w:spacing w:line="360" w:lineRule="auto"/>
        <w:ind w:firstLine="720"/>
        <w:jc w:val="both"/>
      </w:pPr>
      <w:r>
        <w:t>Otra de las variables estudiadas se refiere al funcionamiento psicosocial y conductual del niño/a o adolescente, identificando el riesgo asociado a las alteraciones graves del comportamiento (n=1), el ausentismo o abandono escolar (n=1) y la discapacidad (n=1).</w:t>
      </w:r>
    </w:p>
    <w:p w:rsidR="00EF2BD2" w14:paraId="1AB4C342" w14:textId="77777777">
      <w:pPr>
        <w:widowControl w:val="0"/>
        <w:spacing w:line="360" w:lineRule="auto"/>
        <w:ind w:firstLine="720"/>
        <w:jc w:val="both"/>
      </w:pPr>
      <w:r>
        <w:t>Finalmente, en estudios de maltrato potencialmente letal en lactantes, se han identificado como factores de riesgo la presencia de un cuidador masculino al momento del evento (n=1) y la ausencia de historial de trauma físico (n=1).</w:t>
      </w:r>
    </w:p>
    <w:p w:rsidR="00EF2BD2" w14:paraId="23B3763F" w14:textId="77777777">
      <w:pPr>
        <w:widowControl w:val="0"/>
        <w:spacing w:line="360" w:lineRule="auto"/>
        <w:ind w:firstLine="720"/>
        <w:jc w:val="both"/>
        <w:rPr>
          <w:b/>
          <w:i/>
        </w:rPr>
      </w:pPr>
      <w:r>
        <w:rPr>
          <w:b/>
          <w:i/>
        </w:rPr>
        <w:t>Microsistema</w:t>
      </w:r>
    </w:p>
    <w:p w:rsidR="00EF2BD2" w14:paraId="36CC1C5D" w14:textId="77777777">
      <w:pPr>
        <w:widowControl w:val="0"/>
        <w:spacing w:line="360" w:lineRule="auto"/>
        <w:ind w:firstLine="720"/>
        <w:jc w:val="both"/>
      </w:pPr>
      <w:r>
        <w:t xml:space="preserve">A nivel de microsistema, la variable más estudiada son las dificultades psicosociales en la familia, incluyendo problemas de salud mental de cuidadores (n=5), consumo problemático de sustancias (n=4), violencia en la pareja (n=3), violencia en la biografía de los padres (n=2), antecedentes penales (n=2), débil soporte social (n=3), estresores familiares (n=2), desempleo e inestabilidad financiera (n=5), y problemas de interacción </w:t>
      </w:r>
      <w:r>
        <w:t>parento</w:t>
      </w:r>
      <w:r>
        <w:t>-filial (n=1).</w:t>
      </w:r>
    </w:p>
    <w:p w:rsidR="00EF2BD2" w14:paraId="4F68EE95" w14:textId="2C2F770B">
      <w:pPr>
        <w:widowControl w:val="0"/>
        <w:spacing w:line="360" w:lineRule="auto"/>
        <w:ind w:firstLine="720"/>
        <w:jc w:val="both"/>
      </w:pPr>
      <w:r>
        <w:t xml:space="preserve">Otra variable que ha recibido atención es la estructura familiar, hallándose evidencia de </w:t>
      </w:r>
      <w:r>
        <w:t>mayor  riesgo</w:t>
      </w:r>
      <w:r>
        <w:t xml:space="preserve"> en aquellas organizaciones que tienden a enfrentar mayores desafíos, como las familias monoparentales, familias de acogida y familias sin padres (n=3).</w:t>
      </w:r>
    </w:p>
    <w:p w:rsidR="00EF2BD2" w14:paraId="079598F5" w14:textId="77777777">
      <w:pPr>
        <w:widowControl w:val="0"/>
        <w:spacing w:line="360" w:lineRule="auto"/>
        <w:ind w:firstLine="720"/>
        <w:jc w:val="both"/>
      </w:pPr>
      <w:r>
        <w:t>También se han estudiado aquellas dificultades de la familia para brindar el cuidado, ya sea debido a ausencia o retraso de cuidados prenatales (n=2), deficiencia en sus habilidades protectoras o de cuidado (n=3), actitudes negativas hacia los niños/as (n=1), e interrupciones en la convivencia con el niño, niña y adolescente (n=1).</w:t>
      </w:r>
    </w:p>
    <w:p w:rsidR="00EF2BD2" w14:paraId="1119A5C8" w14:textId="77777777">
      <w:pPr>
        <w:widowControl w:val="0"/>
        <w:spacing w:line="360" w:lineRule="auto"/>
        <w:ind w:firstLine="720"/>
        <w:jc w:val="both"/>
      </w:pPr>
      <w:r>
        <w:t>Otros factores familiares identificados son la edad y educación de la madre (n=2), actitudes negativas de la familia hacia la intervención (n=1), extrema minimización o negación del maltrato (n=1), el uso compartido de cama (n=1), y la ideación suicida u homicida del cuidador (n=1).</w:t>
      </w:r>
    </w:p>
    <w:p w:rsidR="00EF2BD2" w14:paraId="1FF994AB" w14:textId="77777777">
      <w:pPr>
        <w:widowControl w:val="0"/>
        <w:spacing w:line="360" w:lineRule="auto"/>
        <w:ind w:firstLine="720"/>
        <w:jc w:val="both"/>
      </w:pPr>
      <w:r>
        <w:t>Desde la vereda de quien perpetra el maltrato, se ha identificado la historia de maltrato en su infancia (n=2), el sexo masculino de esta figura (n=1) y su edad menor de 40 años (n=1).</w:t>
      </w:r>
    </w:p>
    <w:p w:rsidR="00EF2BD2" w14:paraId="44C921A3" w14:textId="77777777">
      <w:pPr>
        <w:widowControl w:val="0"/>
        <w:spacing w:line="360" w:lineRule="auto"/>
        <w:ind w:firstLine="720"/>
        <w:jc w:val="both"/>
      </w:pPr>
      <w:r>
        <w:t xml:space="preserve">Pero no todo es desalentador, se han detectado también variables familiares que protegen de futuras vulneraciones. Entre ellas se cuenta el cuidado familiar del niño(a) o adolescente (n=1), el compromiso colaborativo con la intervención (n=1), e ingresos familiares suficientes (n=1). </w:t>
      </w:r>
      <w:r>
        <w:t>Asimismo, el apoyo entre pares constituye un relevante factor protector, generando redes de apoyo para el niño(a) o adolescente que lo protegen de futuras vulneraciones.</w:t>
      </w:r>
    </w:p>
    <w:p w:rsidR="00EF2BD2" w14:paraId="731C48EC" w14:textId="34C12A46">
      <w:pPr>
        <w:widowControl w:val="0"/>
        <w:spacing w:line="360" w:lineRule="auto"/>
        <w:ind w:firstLine="720"/>
        <w:jc w:val="both"/>
      </w:pPr>
      <w:r>
        <w:rPr>
          <w:b/>
          <w:i/>
        </w:rPr>
        <w:t>Mesosistema</w:t>
      </w:r>
      <w:r>
        <w:tab/>
        <w:t xml:space="preserve">Los artículos no </w:t>
      </w:r>
      <w:r w:rsidR="00884F26">
        <w:t>i</w:t>
      </w:r>
      <w:r>
        <w:t>dentifican variables en este nivel.</w:t>
      </w:r>
    </w:p>
    <w:p w:rsidR="00EF2BD2" w14:paraId="1F26765B" w14:textId="77777777">
      <w:pPr>
        <w:widowControl w:val="0"/>
        <w:spacing w:line="360" w:lineRule="auto"/>
        <w:ind w:firstLine="720"/>
        <w:jc w:val="both"/>
        <w:rPr>
          <w:b/>
          <w:i/>
        </w:rPr>
      </w:pPr>
      <w:r>
        <w:rPr>
          <w:b/>
          <w:i/>
        </w:rPr>
        <w:t>Exosistema</w:t>
      </w:r>
    </w:p>
    <w:p w:rsidR="00EF2BD2" w14:paraId="219734D6" w14:textId="46C32244">
      <w:pPr>
        <w:widowControl w:val="0"/>
        <w:spacing w:line="360" w:lineRule="auto"/>
      </w:pPr>
      <w:r>
        <w:tab/>
        <w:t xml:space="preserve">A nivel del ecosistema, la variable más estudiada es el efecto de las respuestas otorgadas desde el ámbito legal o </w:t>
      </w:r>
      <w:r>
        <w:t>proteccional</w:t>
      </w:r>
      <w:r>
        <w:t xml:space="preserve"> frente al reporte de maltrato inicial. Aquí el riesgo está dado fundamentalmente por el involucramiento previo del niño/a o adolescente con los sistemas de protección (n=6), así como la denuncia por personas o instituciones no obligadas a ello (n=2). Junto con esto, las medidas que interrumpen la permanencia del niño(a) o adolescente en la familia permiten predecir mayor recurrencia, tal como la retirada del hogar, la colocación de emergencia, reunificaciones fallidas y la adopción (n=5). Asimismo, la derivación del caso a Tribunales (n=1) y el cierre del caso (n=1) incrementan también el riesgo.</w:t>
      </w:r>
    </w:p>
    <w:p w:rsidR="00EF2BD2" w14:paraId="40D2BCED" w14:textId="77777777">
      <w:pPr>
        <w:widowControl w:val="0"/>
        <w:spacing w:line="360" w:lineRule="auto"/>
      </w:pPr>
      <w:r>
        <w:tab/>
        <w:t>Por otro lado, se identifican variables protectoras en este nivel, vinculadas a los servicios otorgados a la familia (n=1), la terapia para los padres (n=1) y la terapia para la víctima (n=1).</w:t>
      </w:r>
    </w:p>
    <w:p w:rsidR="00EF2BD2" w14:paraId="6FA69900" w14:textId="77777777">
      <w:pPr>
        <w:widowControl w:val="0"/>
        <w:spacing w:line="360" w:lineRule="auto"/>
        <w:ind w:firstLine="720"/>
        <w:rPr>
          <w:b/>
          <w:i/>
        </w:rPr>
      </w:pPr>
      <w:r>
        <w:rPr>
          <w:b/>
          <w:i/>
        </w:rPr>
        <w:t>Macrosistema</w:t>
      </w:r>
    </w:p>
    <w:p w:rsidR="00EF2BD2" w14:paraId="65488B16" w14:textId="77777777">
      <w:pPr>
        <w:widowControl w:val="0"/>
        <w:spacing w:line="360" w:lineRule="auto"/>
        <w:ind w:firstLine="720"/>
      </w:pPr>
      <w:r>
        <w:t>Este nivel ha sido muy poco estudiado, contando sólo con evidencia respecto a la influencia que tienen los factores culturales en el riesgo de recurrencia (n=1), pues los contextos que tienden a normalizar hechos de violencia a la infancia aumentan el riesgo de recurrencia.</w:t>
      </w:r>
    </w:p>
    <w:p w:rsidR="00EF2BD2" w14:paraId="2B0CAF06" w14:textId="77777777">
      <w:pPr>
        <w:widowControl w:val="0"/>
        <w:spacing w:line="360" w:lineRule="auto"/>
        <w:ind w:firstLine="720"/>
        <w:rPr>
          <w:b/>
          <w:i/>
        </w:rPr>
      </w:pPr>
      <w:r>
        <w:rPr>
          <w:b/>
          <w:i/>
        </w:rPr>
        <w:t>Factores transversales</w:t>
      </w:r>
    </w:p>
    <w:p w:rsidR="00EF2BD2" w14:paraId="20A33F77" w14:textId="77777777">
      <w:pPr>
        <w:widowControl w:val="0"/>
        <w:spacing w:line="360" w:lineRule="auto"/>
        <w:ind w:firstLine="720"/>
      </w:pPr>
      <w:r>
        <w:t xml:space="preserve">Finalmente, un artículo añade información sobre un posible factor transversal </w:t>
      </w:r>
      <w:r>
        <w:t>de  riesgo</w:t>
      </w:r>
      <w:r>
        <w:t xml:space="preserve"> acumulativo, entendido como la sumatoria de los factores de riesgo, siendo este un indicador que incrementa la probabilidad de reiteración, dado el efecto aditivo del riesgo (n=1).</w:t>
      </w:r>
    </w:p>
    <w:p w:rsidR="00EF2BD2" w14:paraId="31C67A3E" w14:textId="77777777">
      <w:pPr>
        <w:widowControl w:val="0"/>
        <w:spacing w:line="360" w:lineRule="auto"/>
        <w:rPr>
          <w:b/>
        </w:rPr>
      </w:pPr>
      <w:r>
        <w:rPr>
          <w:b/>
        </w:rPr>
        <w:t xml:space="preserve">Discusión </w:t>
      </w:r>
    </w:p>
    <w:p w:rsidR="00EF2BD2" w14:paraId="264C7757" w14:textId="59DC0AB8">
      <w:pPr>
        <w:spacing w:line="360" w:lineRule="auto"/>
        <w:ind w:firstLine="708"/>
      </w:pPr>
      <w:r>
        <w:t>La presente investigación llevó adelante una revisión sistemática de la literatura especializada en maltrato infantil a través del modelo PRISMA, con el fin de identificar los factores de riesgo y protección que permiten predecir la recurrencia de maltrato en niños, niñas y adolescentes. A partir de la identificación inicial de 657 artículos publicados en revistas indexadas entre los años 2014 y 2023, se seleccionaron 18 estudios que se ajustan a los criterios de inclusión y exclusión definidos, pues constituyen estudios empíricos con data primaria que entregan información sobre los factores de riesgo y protección de maltrato infantil.</w:t>
      </w:r>
    </w:p>
    <w:p w:rsidR="00EF2BD2" w14:paraId="5E8AFDC6" w14:textId="69942B01">
      <w:pPr>
        <w:spacing w:line="360" w:lineRule="auto"/>
        <w:ind w:firstLine="566"/>
      </w:pPr>
      <w:r>
        <w:t>Las investigaciones seleccionadas han sido desarrolladas fundamentalmente en países del primer mundo, como Estados Unidos, Canadá, Corea del Sur, Japón y Países Bajos. Aquí llama la atención la falta de investigación desarrollada en América Latina, lo cual advierte sobre la necesidad de generar estudios adaptados a la realidad territorial y cultural de la región. También llama la atención la falta de investigación desarrollada en países de bajos ingresos, evidenciando la necesidad de ampliar el campo de los estudios de recurrencia, de modo de identificar predictores que puedan aplicar a contextos más vulnerables.</w:t>
      </w:r>
    </w:p>
    <w:p w:rsidR="00EF2BD2" w14:paraId="1536857A" w14:textId="77777777">
      <w:pPr>
        <w:spacing w:line="360" w:lineRule="auto"/>
        <w:ind w:firstLine="566"/>
      </w:pPr>
      <w:r>
        <w:t xml:space="preserve">En su mayoría, las investigaciones asumen el desafío de predecir maltrato recurrente en un sentido amplio, incluyendo sus múltiples manifestaciones (maltrato físico, psicológico, negligencia y/o violencia sexual). Esto se condice con la </w:t>
      </w:r>
      <w:r>
        <w:t>polivictimización</w:t>
      </w:r>
      <w:r>
        <w:t xml:space="preserve"> (Finkelhor et al., 2007) que se suele encontrar en población de protección infantil, pues la violencia tiende a instalarse en la vida de las víctimas de forma transversal, a lo largo del ciclo de vida.</w:t>
      </w:r>
    </w:p>
    <w:p w:rsidR="00EF2BD2" w14:paraId="67AB460D" w14:textId="77777777">
      <w:pPr>
        <w:spacing w:line="360" w:lineRule="auto"/>
        <w:ind w:firstLine="566"/>
      </w:pPr>
      <w:r>
        <w:t xml:space="preserve">La revisión también ha mostrado que los estudios emplean por lo general metodología cuantitativa, y utilizan diferentes fuentes de información, tales como registros de sistemas de protección, encuestas poblacionales, revisión de expedientes y registros, o bien encuestas ad hoc. Si bien los tamaños muestrales son diversos, las fuentes oficiales y las encuestas poblacionales permiten el acceso a grandes cantidades de información, posibilitando así análisis más robustos. </w:t>
      </w:r>
    </w:p>
    <w:p w:rsidR="00EF2BD2" w14:paraId="30AB4B6C" w14:textId="77777777">
      <w:pPr>
        <w:spacing w:line="360" w:lineRule="auto"/>
        <w:ind w:firstLine="566"/>
      </w:pPr>
      <w:r>
        <w:t xml:space="preserve">Los resultados de las investigaciones analizadas muestran amplios rangos en las tasas de recurrencia, con tasas del 10,6% al 81% en el caso de nuevos reportes (Casanueva et al., 2015; Cheung et al., 2020; Eastman et al., 2016; </w:t>
      </w:r>
      <w:r>
        <w:t>Jedwab</w:t>
      </w:r>
      <w:r>
        <w:t xml:space="preserve"> et al., 2017; Kim et al., 2022), y del 3,3% al 64,9% en el caso de nuevos reportes corroborados (Casanueva et al., 2015; Cheng y Lo, 2015; Cheung et al., 2020; Choi y Kim, 2022; </w:t>
      </w:r>
      <w:r>
        <w:t>Hélie</w:t>
      </w:r>
      <w:r>
        <w:t xml:space="preserve"> et al., 2014; </w:t>
      </w:r>
      <w:r>
        <w:t>Horikawa</w:t>
      </w:r>
      <w:r>
        <w:t xml:space="preserve"> et al., 2016; </w:t>
      </w:r>
      <w:r>
        <w:t>Jedwab</w:t>
      </w:r>
      <w:r>
        <w:t xml:space="preserve"> et al., 2017; Kim et al., 2022; Solomon et al., 2016). Si bien algunos estudios privilegian el rigor a la hora de considerar sólo formas de maltrato comprobadas, otros ven en esto un riesgo, pues la evidencia indica que una primera denuncia no fundamentada acaba por convertirse en denuncia corroborada con el correr del tiempo (</w:t>
      </w:r>
      <w:r>
        <w:t>Cuccaro</w:t>
      </w:r>
      <w:r>
        <w:t xml:space="preserve">-Alamina et al., 2017). </w:t>
      </w:r>
    </w:p>
    <w:p w:rsidR="00EF2BD2" w14:paraId="36793AE3" w14:textId="77777777">
      <w:pPr>
        <w:spacing w:line="360" w:lineRule="auto"/>
        <w:ind w:firstLine="566"/>
      </w:pPr>
      <w:r>
        <w:t xml:space="preserve">Los estudios seleccionados identificaron un total de 95 factores de riesgo y 7 factores protectores que resultan significativos en la predicción del maltrato infantil recurrente. Esto expresa un desbalance en la focalización hacia predictores negativos, lo cual habla de la necesidad de profundizar el estudio de los factores protectores. No obstante, investigaciones </w:t>
      </w:r>
      <w:r>
        <w:t xml:space="preserve">previas sugieren que las víctimas que provienen de familias de alto riesgo podrían beneficiarse menos de la presencia de factores protectores (van </w:t>
      </w:r>
      <w:r>
        <w:t>der</w:t>
      </w:r>
      <w:r>
        <w:t xml:space="preserve"> </w:t>
      </w:r>
      <w:r>
        <w:t>Put</w:t>
      </w:r>
      <w:r>
        <w:t xml:space="preserve"> et al., 2016, p. 292). </w:t>
      </w:r>
    </w:p>
    <w:p w:rsidR="00EF2BD2" w14:paraId="63D4E955" w14:textId="77777777">
      <w:pPr>
        <w:widowControl w:val="0"/>
        <w:spacing w:line="360" w:lineRule="auto"/>
        <w:ind w:firstLine="566"/>
      </w:pPr>
      <w:r>
        <w:t xml:space="preserve">Cerca de la mitad de los factores de riesgo identificados se concentran en el ámbito familiar, dando cuenta tanto de su estructura, como de los obstáculos psicosociales que enfrenta la familia, y sus dificultades en el cuidado de los niños, niñas y adolescentes a su cargo. Cerca de un tercio de los factores corresponde a la víctima, resultando gravitante el peso de experiencias previas de maltrato. Esto es concordante con estudios previos que han señalado que los factores de riesgo asociados a los niños, niñas y adolescentes están menos relacionados al riesgo de futuras vulneraciones que aquellos referidos a los padres o la familia (van </w:t>
      </w:r>
      <w:r>
        <w:t>der</w:t>
      </w:r>
      <w:r>
        <w:t xml:space="preserve"> </w:t>
      </w:r>
      <w:r>
        <w:t>Put</w:t>
      </w:r>
      <w:r>
        <w:t xml:space="preserve"> et al., 2016).</w:t>
      </w:r>
    </w:p>
    <w:p w:rsidR="00EF2BD2" w14:paraId="7A085E08" w14:textId="77777777">
      <w:pPr>
        <w:widowControl w:val="0"/>
        <w:spacing w:line="360" w:lineRule="auto"/>
        <w:ind w:firstLine="566"/>
      </w:pPr>
      <w:r>
        <w:t xml:space="preserve">Menos presente en los estudios revisados se encuentran los factores asociados a las respuestas entregadas por el sistema legal o </w:t>
      </w:r>
      <w:r>
        <w:t>proteccional</w:t>
      </w:r>
      <w:r>
        <w:t>, resultando particularmente escasa la evidencia de factores vinculados al perpetrador, así como variables del mesosistema o del macrosistema (</w:t>
      </w:r>
      <w:r>
        <w:t>Younas</w:t>
      </w:r>
      <w:r>
        <w:t xml:space="preserve"> y Morrison, 2023).</w:t>
      </w:r>
    </w:p>
    <w:p w:rsidR="00EF2BD2" w14:paraId="2E0C5849" w14:textId="77777777">
      <w:pPr>
        <w:spacing w:line="360" w:lineRule="auto"/>
        <w:ind w:firstLine="720"/>
        <w:jc w:val="both"/>
      </w:pPr>
      <w:r>
        <w:t>A su vez, los estudios han generado escasa evidencia sobre el riesgo acumulativo. La hipótesis del riesgo acumulativo sostiene que, más allá del efecto individual de cada variable, la acumulación de factores de riesgo impacta negativamente en el desarrollo infantil (</w:t>
      </w:r>
      <w:r>
        <w:t>Appleyard</w:t>
      </w:r>
      <w:r>
        <w:t xml:space="preserve"> et al., 2005), mostrando utilidad en la predicción de recurrencia (Solomon et al., 2016). Es importante reforzar esta línea de investigación, de modo que los estudios comiencen a considerar no sólo el aporte de cada factor, sino que también la sumatoria de todos ellos en conjunto.</w:t>
      </w:r>
    </w:p>
    <w:p w:rsidR="00EF2BD2" w14:paraId="2AA3BA45" w14:textId="77777777">
      <w:pPr>
        <w:widowControl w:val="0"/>
        <w:spacing w:line="360" w:lineRule="auto"/>
        <w:ind w:firstLine="708"/>
      </w:pPr>
      <w:r>
        <w:t xml:space="preserve">A su vez, creemos que es central identificar qué factores presentan mayor posibilidad de ser intervenidos. El alto riesgo que enfrentan las víctimas de sufrir nuevas victimizaciones releva la necesidad de posicionarlas como grupo prioritario de prevención terciaria (Contreras et al., 2020), lo cual evidencia la importancia de la prevención </w:t>
      </w:r>
      <w:r>
        <w:t>victimal</w:t>
      </w:r>
      <w:r>
        <w:t xml:space="preserve"> con quienes ya han vivido maltrato (Contreras, 2024; </w:t>
      </w:r>
      <w:r>
        <w:t>Fattah</w:t>
      </w:r>
      <w:r>
        <w:t xml:space="preserve">, 2019). Para esto, no sólo debemos conocer los factores de riesgo y protección de recurrencia, sino focalizar los esfuerzos en los factores dinámicos, en tanto estos resultan permeables a la intervención, posibilitando la modificación del riesgo. Los estudios de supervivencia realizados indican que el mayor peligro está concentrado en el primer año desde el momento del reporte inicial (Contreras et al., 2020; </w:t>
      </w:r>
      <w:r>
        <w:t>Jedwab</w:t>
      </w:r>
      <w:r>
        <w:t xml:space="preserve"> et al., 2017), período en que se deben redoblar los esfuerzos por gestionar el riesgo de manera oportuna. </w:t>
      </w:r>
    </w:p>
    <w:p w:rsidR="00EF2BD2" w14:paraId="662DA30F" w14:textId="77777777">
      <w:pPr>
        <w:spacing w:line="360" w:lineRule="auto"/>
        <w:ind w:firstLine="720"/>
        <w:rPr>
          <w:color w:val="000000"/>
        </w:rPr>
      </w:pPr>
      <w:r>
        <w:t xml:space="preserve">A partir de los hallazgos de este estudio, es posible conceptualizar la recurrencia en maltrato infantil a partir de un modelo de tres factores que convergen para dar lugar a una nueva </w:t>
      </w:r>
      <w:r>
        <w:t xml:space="preserve">victimización: (1) </w:t>
      </w:r>
      <w:r>
        <w:rPr>
          <w:b/>
        </w:rPr>
        <w:t>Vulnerabilidad de niños, niñas y adolescentes</w:t>
      </w:r>
      <w:r>
        <w:t xml:space="preserve">: contempla experiencias previas de victimización, problemas de salud mental, discapacidad, ausentismo o deserción escolar, aislamiento. (2) </w:t>
      </w:r>
      <w:r>
        <w:rPr>
          <w:b/>
        </w:rPr>
        <w:t>Condiciones adversas en las familias</w:t>
      </w:r>
      <w:r>
        <w:t xml:space="preserve">: </w:t>
      </w:r>
      <w:r>
        <w:rPr>
          <w:color w:val="000000"/>
        </w:rPr>
        <w:t xml:space="preserve">violencia </w:t>
      </w:r>
      <w:r>
        <w:t>en</w:t>
      </w:r>
      <w:r>
        <w:rPr>
          <w:color w:val="000000"/>
        </w:rPr>
        <w:t xml:space="preserve"> </w:t>
      </w:r>
      <w:r>
        <w:t>la</w:t>
      </w:r>
      <w:r>
        <w:rPr>
          <w:color w:val="000000"/>
        </w:rPr>
        <w:t xml:space="preserve"> biografía de cuidadores, ya sea en la forma de maltrato durante su infancia, violencia </w:t>
      </w:r>
      <w:r>
        <w:t>en la</w:t>
      </w:r>
      <w:r>
        <w:rPr>
          <w:color w:val="000000"/>
        </w:rPr>
        <w:t xml:space="preserve"> pareja o conducta </w:t>
      </w:r>
      <w:r>
        <w:t>infractora</w:t>
      </w:r>
      <w:r>
        <w:rPr>
          <w:color w:val="000000"/>
        </w:rPr>
        <w:t>. A esto se suma</w:t>
      </w:r>
      <w:r>
        <w:t xml:space="preserve"> la pobreza, el desempleo, consumo de sustancias, estrés familiar y aislamiento de la familia. (3) </w:t>
      </w:r>
      <w:r>
        <w:rPr>
          <w:b/>
          <w:color w:val="000000"/>
        </w:rPr>
        <w:t>Respuestas ineficaces del sistema</w:t>
      </w:r>
      <w:r>
        <w:rPr>
          <w:color w:val="000000"/>
        </w:rPr>
        <w:t xml:space="preserve">: </w:t>
      </w:r>
      <w:r>
        <w:t>f</w:t>
      </w:r>
      <w:r>
        <w:rPr>
          <w:color w:val="000000"/>
        </w:rPr>
        <w:t xml:space="preserve">rente a la victimización reportada, el sistema jurídico-penal y organismos de protección no han adoptado medidas </w:t>
      </w:r>
      <w:r>
        <w:t>eficaces</w:t>
      </w:r>
      <w:r>
        <w:rPr>
          <w:color w:val="000000"/>
        </w:rPr>
        <w:t xml:space="preserve"> que logr</w:t>
      </w:r>
      <w:r>
        <w:t>en</w:t>
      </w:r>
      <w:r>
        <w:rPr>
          <w:color w:val="000000"/>
        </w:rPr>
        <w:t xml:space="preserve"> interrumpir la victimización y </w:t>
      </w:r>
      <w:r>
        <w:t>prevenir</w:t>
      </w:r>
      <w:r>
        <w:rPr>
          <w:color w:val="000000"/>
        </w:rPr>
        <w:t xml:space="preserve"> futuros</w:t>
      </w:r>
      <w:r>
        <w:t xml:space="preserve"> episodios</w:t>
      </w:r>
      <w:r>
        <w:rPr>
          <w:color w:val="000000"/>
        </w:rPr>
        <w:t>.</w:t>
      </w:r>
    </w:p>
    <w:p w:rsidR="00EF2BD2" w14:paraId="7FD566EA" w14:textId="77777777">
      <w:pPr>
        <w:widowControl w:val="0"/>
        <w:spacing w:line="360" w:lineRule="auto"/>
        <w:ind w:firstLine="708"/>
      </w:pPr>
      <w:r>
        <w:t xml:space="preserve">Este modelo analítico permite sintetizar la información relativa a los factores más relevantes que deben ser considerados para evitar recurrencia, por lo que esperamos que pueda ser profundizado en estudios futuros, de modo de contribuir a su prevención. </w:t>
      </w:r>
    </w:p>
    <w:p w:rsidR="00EF2BD2" w14:paraId="38DA1180" w14:textId="77777777">
      <w:pPr>
        <w:widowControl w:val="0"/>
        <w:spacing w:line="360" w:lineRule="auto"/>
        <w:ind w:firstLine="720"/>
      </w:pPr>
      <w:r>
        <w:t>Respecto a las limitaciones de esta investigación, se debe tener en cuenta que los estudios primarios utilizan diferentes formas de conceptualizar y medir la recurrencia, siendo desarrollados en países con culturas muy distintas y sistemas de protección diversos. Las diferencias en los sistemas de protección social podrían influir en la identificación y el reporte de casos de maltrato, afectando así las tasas de recurrencia observadas.</w:t>
      </w:r>
    </w:p>
    <w:p w:rsidR="00EF2BD2" w14:paraId="20DE23F5" w14:textId="77777777">
      <w:pPr>
        <w:widowControl w:val="0"/>
        <w:spacing w:line="360" w:lineRule="auto"/>
        <w:ind w:firstLine="720"/>
      </w:pPr>
      <w:r>
        <w:t>Junto con esto, los diseños metodológicos y las muestras de los estudios son muy dispares, lo cual hace difícil una comparación entre ellos. Futuras investigaciones podrían enfrentar estas dificultades mediante el desarrollo de marcos metodológicos estandarizados que faciliten comparaciones más precisas entre estudios.</w:t>
      </w:r>
    </w:p>
    <w:p w:rsidR="00EF2BD2" w14:paraId="05163A49" w14:textId="77777777">
      <w:pPr>
        <w:widowControl w:val="0"/>
        <w:spacing w:line="360" w:lineRule="auto"/>
        <w:ind w:firstLine="720"/>
      </w:pPr>
      <w:r>
        <w:t xml:space="preserve">Pese a sus limitaciones, la evidencia internacional entrega una guía de los factores que pueden ser puestos a prueba a nivel local. Esto permitirá, a futuro, desarrollar sistemas que permitan la evaluación y gestión eficaz del riesgo (Gillingham, 2019; White et al., 2015). Esta constituye una línea de trabajo indispensable, especialmente en América Latina, en miras a garantizar el derecho de niños, niñas y adolescentes a vivir una vida sin violencia (van </w:t>
      </w:r>
      <w:r>
        <w:t>der</w:t>
      </w:r>
      <w:r>
        <w:t xml:space="preserve"> </w:t>
      </w:r>
      <w:r>
        <w:t>Put</w:t>
      </w:r>
      <w:r>
        <w:t xml:space="preserve"> et al., 2017).</w:t>
      </w:r>
    </w:p>
    <w:p w:rsidR="00EF2BD2" w14:paraId="40C6B28D" w14:textId="77777777">
      <w:pPr>
        <w:widowControl w:val="0"/>
        <w:spacing w:line="360" w:lineRule="auto"/>
        <w:rPr>
          <w:b/>
        </w:rPr>
      </w:pPr>
    </w:p>
    <w:p w:rsidR="00EF2BD2" w14:paraId="21BC8F42" w14:textId="77777777">
      <w:pPr>
        <w:widowControl w:val="0"/>
        <w:spacing w:line="360" w:lineRule="auto"/>
        <w:rPr>
          <w:b/>
        </w:rPr>
      </w:pPr>
      <w:r>
        <w:rPr>
          <w:b/>
        </w:rPr>
        <w:t>Referencias</w:t>
      </w:r>
    </w:p>
    <w:p w:rsidR="00EF2BD2" w:rsidRPr="00E75C28" w14:paraId="59D0AE1E" w14:textId="77777777">
      <w:pPr>
        <w:pBdr>
          <w:top w:val="nil"/>
          <w:left w:val="nil"/>
          <w:bottom w:val="nil"/>
          <w:right w:val="nil"/>
          <w:between w:val="nil"/>
        </w:pBdr>
        <w:spacing w:line="360" w:lineRule="auto"/>
        <w:ind w:left="720" w:hanging="720"/>
        <w:rPr>
          <w:color w:val="000000"/>
          <w:lang w:val="en-US"/>
        </w:rPr>
      </w:pPr>
      <w:r>
        <w:rPr>
          <w:color w:val="000000"/>
        </w:rPr>
        <w:t>Appleyard</w:t>
      </w:r>
      <w:r>
        <w:rPr>
          <w:color w:val="000000"/>
        </w:rPr>
        <w:t xml:space="preserve">, K., </w:t>
      </w:r>
      <w:r>
        <w:rPr>
          <w:color w:val="000000"/>
        </w:rPr>
        <w:t>Egeland</w:t>
      </w:r>
      <w:r>
        <w:rPr>
          <w:color w:val="000000"/>
        </w:rPr>
        <w:t xml:space="preserve">, B., van </w:t>
      </w:r>
      <w:r>
        <w:rPr>
          <w:color w:val="000000"/>
        </w:rPr>
        <w:t>Dulmen</w:t>
      </w:r>
      <w:r>
        <w:rPr>
          <w:color w:val="000000"/>
        </w:rPr>
        <w:t xml:space="preserve">, M., </w:t>
      </w:r>
      <w:r>
        <w:t>y</w:t>
      </w:r>
      <w:r>
        <w:rPr>
          <w:color w:val="000000"/>
        </w:rPr>
        <w:t xml:space="preserve"> </w:t>
      </w:r>
      <w:r>
        <w:rPr>
          <w:color w:val="000000"/>
        </w:rPr>
        <w:t>Sroufe</w:t>
      </w:r>
      <w:r>
        <w:rPr>
          <w:color w:val="000000"/>
        </w:rPr>
        <w:t xml:space="preserve">, </w:t>
      </w:r>
      <w:r>
        <w:t>A</w:t>
      </w:r>
      <w:r>
        <w:rPr>
          <w:color w:val="000000"/>
        </w:rPr>
        <w:t xml:space="preserve">. (2005). </w:t>
      </w:r>
      <w:r w:rsidRPr="00E75C28">
        <w:rPr>
          <w:color w:val="000000"/>
          <w:lang w:val="en-US"/>
        </w:rPr>
        <w:t xml:space="preserve">When more is not better: the role of cumulative risk in child behavior outcomes. </w:t>
      </w:r>
      <w:r w:rsidRPr="00E75C28">
        <w:rPr>
          <w:i/>
          <w:color w:val="000000"/>
          <w:lang w:val="en-US"/>
        </w:rPr>
        <w:t>Journal of Child Psychology and Psychiatry, 46</w:t>
      </w:r>
      <w:r w:rsidRPr="00E75C28">
        <w:rPr>
          <w:color w:val="000000"/>
          <w:lang w:val="en-US"/>
        </w:rPr>
        <w:t xml:space="preserve">(3), 235-245. </w:t>
      </w:r>
      <w:hyperlink r:id="rId9">
        <w:r w:rsidRPr="00E75C28">
          <w:rPr>
            <w:color w:val="0000FF"/>
            <w:u w:val="single"/>
            <w:lang w:val="en-US"/>
          </w:rPr>
          <w:t>https://doi.org/10.1111/j.1469-7610.2004.00351.x</w:t>
        </w:r>
      </w:hyperlink>
      <w:r w:rsidRPr="00E75C28">
        <w:rPr>
          <w:color w:val="000000"/>
          <w:lang w:val="en-US"/>
        </w:rPr>
        <w:t xml:space="preserve"> </w:t>
      </w:r>
    </w:p>
    <w:p w:rsidR="00EF2BD2" w:rsidRPr="00E75C28" w14:paraId="35B49841"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Barth, J., </w:t>
      </w:r>
      <w:r w:rsidRPr="00E75C28">
        <w:rPr>
          <w:color w:val="000000"/>
          <w:lang w:val="en-US"/>
        </w:rPr>
        <w:t>Bermetz</w:t>
      </w:r>
      <w:r w:rsidRPr="00E75C28">
        <w:rPr>
          <w:color w:val="000000"/>
          <w:lang w:val="en-US"/>
        </w:rPr>
        <w:t xml:space="preserve">, L., Heim, E., Trelle, S., </w:t>
      </w:r>
      <w:r w:rsidRPr="00E75C28">
        <w:rPr>
          <w:lang w:val="en-US"/>
        </w:rPr>
        <w:t>y</w:t>
      </w:r>
      <w:r w:rsidRPr="00E75C28">
        <w:rPr>
          <w:color w:val="000000"/>
          <w:lang w:val="en-US"/>
        </w:rPr>
        <w:t xml:space="preserve"> Tonia, T. (2013). The Current Prevalence of Child Sexual Abuse Worldwide: a systematic review and meta-analysis. </w:t>
      </w:r>
      <w:r w:rsidRPr="00E75C28">
        <w:rPr>
          <w:i/>
          <w:color w:val="000000"/>
          <w:lang w:val="en-US"/>
        </w:rPr>
        <w:t>International Journal</w:t>
      </w:r>
      <w:r w:rsidRPr="00E75C28">
        <w:rPr>
          <w:lang w:val="en-US"/>
        </w:rPr>
        <w:t xml:space="preserve"> </w:t>
      </w:r>
      <w:r w:rsidRPr="00E75C28">
        <w:rPr>
          <w:i/>
          <w:color w:val="000000"/>
          <w:lang w:val="en-US"/>
        </w:rPr>
        <w:t>Public Health, 58</w:t>
      </w:r>
      <w:r w:rsidRPr="00E75C28">
        <w:rPr>
          <w:color w:val="000000"/>
          <w:lang w:val="en-US"/>
        </w:rPr>
        <w:t xml:space="preserve">, 469–483. </w:t>
      </w:r>
      <w:hyperlink r:id="rId10">
        <w:r w:rsidRPr="00E75C28">
          <w:rPr>
            <w:color w:val="0000FF"/>
            <w:u w:val="single"/>
            <w:lang w:val="en-US"/>
          </w:rPr>
          <w:t>https://doi.org/10.1007/s00038-012-0426-1</w:t>
        </w:r>
      </w:hyperlink>
      <w:r w:rsidRPr="00E75C28">
        <w:rPr>
          <w:color w:val="000000"/>
          <w:lang w:val="en-US"/>
        </w:rPr>
        <w:t xml:space="preserve"> </w:t>
      </w:r>
    </w:p>
    <w:p w:rsidR="00EF2BD2" w:rsidRPr="00E75C28" w14:paraId="6C41C9E8" w14:textId="77777777">
      <w:pPr>
        <w:pBdr>
          <w:top w:val="nil"/>
          <w:left w:val="nil"/>
          <w:bottom w:val="nil"/>
          <w:right w:val="nil"/>
          <w:between w:val="nil"/>
        </w:pBdr>
        <w:spacing w:line="360" w:lineRule="auto"/>
        <w:ind w:left="720" w:hanging="720"/>
        <w:rPr>
          <w:lang w:val="en-US"/>
        </w:rPr>
      </w:pPr>
      <w:r w:rsidRPr="00E75C28">
        <w:rPr>
          <w:color w:val="000000"/>
          <w:lang w:val="en-US"/>
        </w:rPr>
        <w:t xml:space="preserve">Bromfield, L. M., Gillingham, P., </w:t>
      </w:r>
      <w:r w:rsidRPr="00E75C28">
        <w:rPr>
          <w:lang w:val="en-US"/>
        </w:rPr>
        <w:t>y</w:t>
      </w:r>
      <w:r w:rsidRPr="00E75C28">
        <w:rPr>
          <w:color w:val="000000"/>
          <w:lang w:val="en-US"/>
        </w:rPr>
        <w:t xml:space="preserve"> Higgins, D. J. (2007). Cumulative harm and chronic child maltreatment. </w:t>
      </w:r>
      <w:r w:rsidRPr="00E75C28">
        <w:rPr>
          <w:i/>
          <w:color w:val="000000"/>
          <w:lang w:val="en-US"/>
        </w:rPr>
        <w:t>Developing practice: the child youth and family work journal, 19</w:t>
      </w:r>
      <w:r w:rsidRPr="00E75C28">
        <w:rPr>
          <w:color w:val="000000"/>
          <w:lang w:val="en-US"/>
        </w:rPr>
        <w:t xml:space="preserve">, 34-42. </w:t>
      </w:r>
      <w:hyperlink r:id="rId11">
        <w:r w:rsidRPr="00E75C28">
          <w:rPr>
            <w:color w:val="1155CC"/>
            <w:u w:val="single"/>
            <w:lang w:val="en-US"/>
          </w:rPr>
          <w:t>https://www.researchgate.net/publication/281164242_Cumulative_harm_and_indicators_of_chronic_child_maltreatment</w:t>
        </w:r>
      </w:hyperlink>
    </w:p>
    <w:p w:rsidR="00EF2BD2" w:rsidRPr="00E75C28" w14:paraId="32EBB062" w14:textId="77777777">
      <w:pPr>
        <w:pBdr>
          <w:top w:val="nil"/>
          <w:left w:val="nil"/>
          <w:bottom w:val="nil"/>
          <w:right w:val="nil"/>
          <w:between w:val="nil"/>
        </w:pBdr>
        <w:spacing w:line="360" w:lineRule="auto"/>
        <w:ind w:left="720" w:hanging="720"/>
        <w:rPr>
          <w:color w:val="000000"/>
          <w:highlight w:val="yellow"/>
          <w:lang w:val="en-US"/>
        </w:rPr>
      </w:pPr>
      <w:r>
        <w:rPr>
          <w:color w:val="000000"/>
        </w:rPr>
        <w:t xml:space="preserve">*Casanueva, C., </w:t>
      </w:r>
      <w:r>
        <w:rPr>
          <w:color w:val="000000"/>
        </w:rPr>
        <w:t>Tueller</w:t>
      </w:r>
      <w:r>
        <w:rPr>
          <w:color w:val="000000"/>
        </w:rPr>
        <w:t xml:space="preserve">, S., Dolan, m., Testa, M., Smith, K., </w:t>
      </w:r>
      <w:r>
        <w:t>y</w:t>
      </w:r>
      <w:r>
        <w:rPr>
          <w:color w:val="000000"/>
        </w:rPr>
        <w:t xml:space="preserve"> Day, O. (2015). </w:t>
      </w:r>
      <w:r w:rsidRPr="00E75C28">
        <w:rPr>
          <w:color w:val="000000"/>
          <w:lang w:val="en-US"/>
        </w:rPr>
        <w:t xml:space="preserve">Examining predictors of re-reports and recurrence of child maltreatment using two national data sources. </w:t>
      </w:r>
      <w:r w:rsidRPr="00E75C28">
        <w:rPr>
          <w:i/>
          <w:color w:val="000000"/>
          <w:lang w:val="en-US"/>
        </w:rPr>
        <w:t>Children and Youth Services Review, 48</w:t>
      </w:r>
      <w:r w:rsidRPr="00E75C28">
        <w:rPr>
          <w:color w:val="000000"/>
          <w:lang w:val="en-US"/>
        </w:rPr>
        <w:t xml:space="preserve">, 1-13. </w:t>
      </w:r>
      <w:hyperlink r:id="rId12">
        <w:r w:rsidRPr="00E75C28">
          <w:rPr>
            <w:color w:val="0000FF"/>
            <w:u w:val="single"/>
            <w:lang w:val="en-US"/>
          </w:rPr>
          <w:t>https://doi.org/10.1016/j.childyouth.2014.10.006</w:t>
        </w:r>
      </w:hyperlink>
      <w:r w:rsidRPr="00E75C28">
        <w:rPr>
          <w:color w:val="000000"/>
          <w:lang w:val="en-US"/>
        </w:rPr>
        <w:t xml:space="preserve"> </w:t>
      </w:r>
    </w:p>
    <w:p w:rsidR="00EF2BD2" w:rsidRPr="00E75C28" w14:paraId="16DA770C"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*Cheung, K., Taillieu, T., </w:t>
      </w:r>
      <w:r w:rsidRPr="00E75C28">
        <w:rPr>
          <w:color w:val="000000"/>
          <w:lang w:val="en-US"/>
        </w:rPr>
        <w:t>Tonmyr</w:t>
      </w:r>
      <w:r w:rsidRPr="00E75C28">
        <w:rPr>
          <w:color w:val="000000"/>
          <w:lang w:val="en-US"/>
        </w:rPr>
        <w:t xml:space="preserve">, L., Sareen, J., </w:t>
      </w:r>
      <w:r w:rsidRPr="00E75C28">
        <w:rPr>
          <w:lang w:val="en-US"/>
        </w:rPr>
        <w:t>y</w:t>
      </w:r>
      <w:r w:rsidRPr="00E75C28">
        <w:rPr>
          <w:color w:val="000000"/>
          <w:lang w:val="en-US"/>
        </w:rPr>
        <w:t xml:space="preserve"> O. Afifi, T. (2020). Previous reports of child maltreatment from the Canadian Incidence Study (CIS) 2008 of Reported Child Abuse and Neglect: An examination of recurrent substantiation and functional impairment. </w:t>
      </w:r>
      <w:r w:rsidRPr="00E75C28">
        <w:rPr>
          <w:i/>
          <w:color w:val="000000"/>
          <w:lang w:val="en-US"/>
        </w:rPr>
        <w:t>Children and Youth Services Review, 108</w:t>
      </w:r>
      <w:r w:rsidRPr="00E75C28">
        <w:rPr>
          <w:color w:val="000000"/>
          <w:lang w:val="en-US"/>
        </w:rPr>
        <w:t xml:space="preserve">, 1-8. </w:t>
      </w:r>
      <w:hyperlink r:id="rId13">
        <w:r w:rsidRPr="00E75C28">
          <w:rPr>
            <w:color w:val="0000FF"/>
            <w:u w:val="single"/>
            <w:lang w:val="en-US"/>
          </w:rPr>
          <w:t>https://doi.org/10.1016/j.childyouth.2019.104507</w:t>
        </w:r>
      </w:hyperlink>
      <w:r w:rsidRPr="00E75C28">
        <w:rPr>
          <w:color w:val="000000"/>
          <w:lang w:val="en-US"/>
        </w:rPr>
        <w:t xml:space="preserve"> </w:t>
      </w:r>
    </w:p>
    <w:p w:rsidR="00EF2BD2" w:rsidRPr="00E75C28" w14:paraId="5615B9DC" w14:textId="77777777">
      <w:pPr>
        <w:pBdr>
          <w:top w:val="nil"/>
          <w:left w:val="nil"/>
          <w:bottom w:val="nil"/>
          <w:right w:val="nil"/>
          <w:between w:val="nil"/>
        </w:pBdr>
        <w:spacing w:line="360" w:lineRule="auto"/>
        <w:ind w:left="720" w:hanging="720"/>
        <w:rPr>
          <w:color w:val="0000FF"/>
          <w:u w:val="single"/>
          <w:lang w:val="en-US"/>
        </w:rPr>
      </w:pPr>
      <w:r>
        <w:rPr>
          <w:color w:val="000000"/>
        </w:rPr>
        <w:t xml:space="preserve">*Choi, J., </w:t>
      </w:r>
      <w:r>
        <w:t>y</w:t>
      </w:r>
      <w:r>
        <w:rPr>
          <w:color w:val="000000"/>
        </w:rPr>
        <w:t xml:space="preserve"> Kim, K. (2022). </w:t>
      </w:r>
      <w:r w:rsidRPr="00E75C28">
        <w:rPr>
          <w:color w:val="000000"/>
          <w:lang w:val="en-US"/>
        </w:rPr>
        <w:t xml:space="preserve">Predictive Risk Modeling for Recurrence of Child Maltreatment Using Cases from the National Child Maltreatment Data System in Korea: Exploratory Data Analysis Using Data Mining Algorithm. </w:t>
      </w:r>
      <w:r w:rsidRPr="00E75C28">
        <w:rPr>
          <w:i/>
          <w:color w:val="000000"/>
          <w:lang w:val="en-US"/>
        </w:rPr>
        <w:t>Prevention Science 23</w:t>
      </w:r>
      <w:r w:rsidRPr="00E75C28">
        <w:rPr>
          <w:color w:val="000000"/>
          <w:lang w:val="en-US"/>
        </w:rPr>
        <w:t xml:space="preserve">, 1517–1530. </w:t>
      </w:r>
      <w:r w:rsidRPr="00E75C28">
        <w:rPr>
          <w:color w:val="0000FF"/>
          <w:u w:val="single"/>
          <w:lang w:val="en-US"/>
        </w:rPr>
        <w:t>https://doi.org/10.1007/s11121-022-01446-5</w:t>
      </w:r>
    </w:p>
    <w:p w:rsidR="00EF2BD2" w:rsidRPr="00E75C28" w14:paraId="1A881719"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Contreras, L., </w:t>
      </w:r>
      <w:r w:rsidRPr="00E75C28">
        <w:rPr>
          <w:color w:val="000000"/>
          <w:lang w:val="en-US"/>
        </w:rPr>
        <w:t>Huepe</w:t>
      </w:r>
      <w:r w:rsidRPr="00E75C28">
        <w:rPr>
          <w:color w:val="000000"/>
          <w:lang w:val="en-US"/>
        </w:rPr>
        <w:t xml:space="preserve">, D., </w:t>
      </w:r>
      <w:r w:rsidRPr="00E75C28">
        <w:rPr>
          <w:lang w:val="en-US"/>
        </w:rPr>
        <w:t>y</w:t>
      </w:r>
      <w:r w:rsidRPr="00E75C28">
        <w:rPr>
          <w:color w:val="000000"/>
          <w:lang w:val="en-US"/>
        </w:rPr>
        <w:t xml:space="preserve"> Navarrete, G. (2020). Magnitude and characteristics of revictimization through child sexual abuse in Chile. </w:t>
      </w:r>
      <w:r w:rsidRPr="00E75C28">
        <w:rPr>
          <w:i/>
          <w:color w:val="000000"/>
          <w:lang w:val="en-US"/>
        </w:rPr>
        <w:t>Legal and Criminological Psychology, 25</w:t>
      </w:r>
      <w:r w:rsidRPr="00E75C28">
        <w:rPr>
          <w:color w:val="000000"/>
          <w:lang w:val="en-US"/>
        </w:rPr>
        <w:t xml:space="preserve">, 33-46. </w:t>
      </w:r>
      <w:hyperlink r:id="rId14">
        <w:r w:rsidRPr="00E75C28">
          <w:rPr>
            <w:color w:val="0000FF"/>
            <w:u w:val="single"/>
            <w:lang w:val="en-US"/>
          </w:rPr>
          <w:t>https://doi.org/10.1111/lcrp.12158</w:t>
        </w:r>
      </w:hyperlink>
      <w:r w:rsidRPr="00E75C28">
        <w:rPr>
          <w:color w:val="000000"/>
          <w:lang w:val="en-US"/>
        </w:rPr>
        <w:t xml:space="preserve"> </w:t>
      </w:r>
    </w:p>
    <w:p w:rsidR="00EF2BD2" w:rsidRPr="00E75C28" w14:paraId="71EADC51"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Contreras, L., </w:t>
      </w:r>
      <w:r w:rsidRPr="00E75C28">
        <w:rPr>
          <w:color w:val="000000"/>
          <w:lang w:val="en-US"/>
        </w:rPr>
        <w:t>Huepe</w:t>
      </w:r>
      <w:r w:rsidRPr="00E75C28">
        <w:rPr>
          <w:color w:val="000000"/>
          <w:lang w:val="en-US"/>
        </w:rPr>
        <w:t xml:space="preserve">, D., </w:t>
      </w:r>
      <w:r w:rsidRPr="00E75C28">
        <w:rPr>
          <w:lang w:val="en-US"/>
        </w:rPr>
        <w:t>y</w:t>
      </w:r>
      <w:r w:rsidRPr="00E75C28">
        <w:rPr>
          <w:color w:val="000000"/>
          <w:lang w:val="en-US"/>
        </w:rPr>
        <w:t xml:space="preserve"> Navarrete, G. (2022). A Recurring Nightmare: Risk and Protective Factors for Revictimization of Child Sexual Abuse in Chile. </w:t>
      </w:r>
      <w:r w:rsidRPr="00E75C28">
        <w:rPr>
          <w:i/>
          <w:color w:val="000000"/>
          <w:lang w:val="en-US"/>
        </w:rPr>
        <w:t>Journal of Child Sexual Abuse, 31</w:t>
      </w:r>
      <w:r w:rsidRPr="00E75C28">
        <w:rPr>
          <w:color w:val="000000"/>
          <w:lang w:val="en-US"/>
        </w:rPr>
        <w:t>(2), 196-215.</w:t>
      </w:r>
      <w:r w:rsidRPr="00E75C28">
        <w:rPr>
          <w:color w:val="0000FF"/>
          <w:u w:val="single"/>
          <w:lang w:val="en-US"/>
        </w:rPr>
        <w:t xml:space="preserve"> https://doi.org/10.1080/10538712.2022.2037802</w:t>
      </w:r>
    </w:p>
    <w:p w:rsidR="00EF2BD2" w14:paraId="5A12FF25" w14:textId="77777777">
      <w:pPr>
        <w:pBdr>
          <w:top w:val="nil"/>
          <w:left w:val="nil"/>
          <w:bottom w:val="nil"/>
          <w:right w:val="nil"/>
          <w:between w:val="nil"/>
        </w:pBdr>
        <w:spacing w:line="360" w:lineRule="auto"/>
        <w:ind w:left="720" w:hanging="720"/>
      </w:pPr>
      <w:r w:rsidRPr="00E75C28">
        <w:rPr>
          <w:lang w:val="en-US"/>
        </w:rPr>
        <w:t xml:space="preserve">Contreras, L. (2024). </w:t>
      </w:r>
      <w:r>
        <w:t xml:space="preserve">Victimización reiterada. En L. Contreras y E. García-López. (2024). </w:t>
      </w:r>
      <w:r>
        <w:rPr>
          <w:i/>
        </w:rPr>
        <w:t xml:space="preserve">Victimología Forense. Perspectivas Iberoamericanas </w:t>
      </w:r>
      <w:r>
        <w:t>(pp. 101-116). Manual Moderno.</w:t>
      </w:r>
    </w:p>
    <w:p w:rsidR="00EF2BD2" w:rsidRPr="00E75C28" w14:paraId="25D301B0" w14:textId="77777777">
      <w:pPr>
        <w:pBdr>
          <w:top w:val="nil"/>
          <w:left w:val="nil"/>
          <w:bottom w:val="nil"/>
          <w:right w:val="nil"/>
          <w:between w:val="nil"/>
        </w:pBdr>
        <w:spacing w:line="360" w:lineRule="auto"/>
        <w:ind w:left="720" w:hanging="720"/>
        <w:rPr>
          <w:color w:val="0000FF"/>
          <w:u w:val="single"/>
          <w:lang w:val="en-US"/>
        </w:rPr>
      </w:pPr>
      <w:r>
        <w:rPr>
          <w:color w:val="000000"/>
        </w:rPr>
        <w:t>Cuccaro</w:t>
      </w:r>
      <w:r>
        <w:rPr>
          <w:color w:val="000000"/>
        </w:rPr>
        <w:t xml:space="preserve">-Alamina, S., </w:t>
      </w:r>
      <w:r>
        <w:rPr>
          <w:color w:val="000000"/>
        </w:rPr>
        <w:t>Fousta</w:t>
      </w:r>
      <w:r>
        <w:rPr>
          <w:color w:val="000000"/>
        </w:rPr>
        <w:t xml:space="preserve">, R., </w:t>
      </w:r>
      <w:r>
        <w:rPr>
          <w:color w:val="000000"/>
        </w:rPr>
        <w:t>Vaithianathanc</w:t>
      </w:r>
      <w:r>
        <w:rPr>
          <w:color w:val="000000"/>
        </w:rPr>
        <w:t xml:space="preserve">, R., </w:t>
      </w:r>
      <w:r>
        <w:t>y</w:t>
      </w:r>
      <w:r>
        <w:rPr>
          <w:color w:val="000000"/>
        </w:rPr>
        <w:t xml:space="preserve"> Putnam-</w:t>
      </w:r>
      <w:r>
        <w:rPr>
          <w:color w:val="000000"/>
        </w:rPr>
        <w:t>Hornstein</w:t>
      </w:r>
      <w:r>
        <w:rPr>
          <w:color w:val="000000"/>
        </w:rPr>
        <w:t xml:space="preserve">, E. (2017). </w:t>
      </w:r>
      <w:r w:rsidRPr="00E75C28">
        <w:rPr>
          <w:color w:val="000000"/>
          <w:lang w:val="en-US"/>
        </w:rPr>
        <w:t xml:space="preserve">Risk assessment and decision making in child protective services: Predictive risk modeling in </w:t>
      </w:r>
      <w:r w:rsidRPr="00E75C28">
        <w:rPr>
          <w:color w:val="000000"/>
          <w:lang w:val="en-US"/>
        </w:rPr>
        <w:t xml:space="preserve">context. </w:t>
      </w:r>
      <w:r w:rsidRPr="00E75C28">
        <w:rPr>
          <w:i/>
          <w:color w:val="000000"/>
          <w:lang w:val="en-US"/>
        </w:rPr>
        <w:t>Children and Youth Services Review, 79</w:t>
      </w:r>
      <w:r w:rsidRPr="00E75C28">
        <w:rPr>
          <w:color w:val="000000"/>
          <w:lang w:val="en-US"/>
        </w:rPr>
        <w:t xml:space="preserve">, 291-298. </w:t>
      </w:r>
      <w:hyperlink r:id="rId15">
        <w:r w:rsidRPr="00E75C28">
          <w:rPr>
            <w:color w:val="0000FF"/>
            <w:u w:val="single"/>
            <w:lang w:val="en-US"/>
          </w:rPr>
          <w:t>https://doi.org/10.1016/j.childyouth.2017.06.027</w:t>
        </w:r>
      </w:hyperlink>
    </w:p>
    <w:p w:rsidR="00EF2BD2" w:rsidRPr="00E75C28" w14:paraId="2AF48F36" w14:textId="77777777">
      <w:pPr>
        <w:pBdr>
          <w:top w:val="nil"/>
          <w:left w:val="nil"/>
          <w:bottom w:val="nil"/>
          <w:right w:val="nil"/>
          <w:between w:val="nil"/>
        </w:pBdr>
        <w:spacing w:line="360" w:lineRule="auto"/>
        <w:ind w:left="720" w:hanging="720"/>
        <w:rPr>
          <w:lang w:val="en-US"/>
        </w:rPr>
      </w:pPr>
      <w:r>
        <w:rPr>
          <w:color w:val="000000"/>
        </w:rPr>
        <w:t xml:space="preserve">*de </w:t>
      </w:r>
      <w:r>
        <w:rPr>
          <w:color w:val="000000"/>
        </w:rPr>
        <w:t>Ruiter</w:t>
      </w:r>
      <w:r>
        <w:rPr>
          <w:color w:val="000000"/>
        </w:rPr>
        <w:t xml:space="preserve">, C., Hildebrand, M., </w:t>
      </w:r>
      <w:r>
        <w:t>y</w:t>
      </w:r>
      <w:r>
        <w:rPr>
          <w:color w:val="000000"/>
        </w:rPr>
        <w:t xml:space="preserve"> van </w:t>
      </w:r>
      <w:r>
        <w:rPr>
          <w:color w:val="000000"/>
        </w:rPr>
        <w:t>der</w:t>
      </w:r>
      <w:r>
        <w:rPr>
          <w:color w:val="000000"/>
        </w:rPr>
        <w:t xml:space="preserve"> Hoorn, S. (2020). </w:t>
      </w:r>
      <w:r w:rsidRPr="00E75C28">
        <w:rPr>
          <w:color w:val="000000"/>
          <w:lang w:val="en-US"/>
        </w:rPr>
        <w:t xml:space="preserve">The Child Abuse Risk Evaluation Dutch Version (CARE-NL): A retrospective validation study. </w:t>
      </w:r>
      <w:r w:rsidRPr="00E75C28">
        <w:rPr>
          <w:i/>
          <w:color w:val="000000"/>
          <w:lang w:val="en-US"/>
        </w:rPr>
        <w:t>Journal of Family Trauma, Child Custody &amp; Child Development, 1</w:t>
      </w:r>
      <w:r w:rsidRPr="00E75C28">
        <w:rPr>
          <w:color w:val="000000"/>
          <w:lang w:val="en-US"/>
        </w:rPr>
        <w:t xml:space="preserve">, 37-57. </w:t>
      </w:r>
      <w:hyperlink r:id="rId16">
        <w:r w:rsidRPr="00E75C28">
          <w:rPr>
            <w:color w:val="0000FF"/>
            <w:u w:val="single"/>
            <w:lang w:val="en-US"/>
          </w:rPr>
          <w:t>https://doi.org/10.1080/15379418.2019.1699488</w:t>
        </w:r>
      </w:hyperlink>
    </w:p>
    <w:p w:rsidR="00EF2BD2" w:rsidRPr="00E75C28" w14:paraId="0326CF08"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*Duffy, J., Hughes, M., </w:t>
      </w:r>
      <w:r w:rsidRPr="00E75C28">
        <w:rPr>
          <w:color w:val="000000"/>
          <w:lang w:val="en-US"/>
        </w:rPr>
        <w:t>Asnes</w:t>
      </w:r>
      <w:r w:rsidRPr="00E75C28">
        <w:rPr>
          <w:color w:val="000000"/>
          <w:lang w:val="en-US"/>
        </w:rPr>
        <w:t xml:space="preserve">, A., </w:t>
      </w:r>
      <w:r w:rsidRPr="00E75C28">
        <w:rPr>
          <w:lang w:val="en-US"/>
        </w:rPr>
        <w:t>y</w:t>
      </w:r>
      <w:r w:rsidRPr="00E75C28">
        <w:rPr>
          <w:color w:val="000000"/>
          <w:lang w:val="en-US"/>
        </w:rPr>
        <w:t xml:space="preserve"> Leventhal, J. (2015). Child maltreatment and risk patterns among participants in a child abuse prevention program. </w:t>
      </w:r>
      <w:r w:rsidRPr="00E75C28">
        <w:rPr>
          <w:i/>
          <w:color w:val="000000"/>
          <w:lang w:val="en-US"/>
        </w:rPr>
        <w:t>Child Abuse &amp; Neglect, 44</w:t>
      </w:r>
      <w:r w:rsidRPr="00E75C28">
        <w:rPr>
          <w:color w:val="000000"/>
          <w:lang w:val="en-US"/>
        </w:rPr>
        <w:t>, 184-193.</w:t>
      </w:r>
      <w:r w:rsidRPr="00E75C28">
        <w:rPr>
          <w:color w:val="0000FF"/>
          <w:u w:val="single"/>
          <w:lang w:val="en-US"/>
        </w:rPr>
        <w:t xml:space="preserve"> </w:t>
      </w:r>
      <w:hyperlink r:id="rId17">
        <w:r w:rsidRPr="00E75C28">
          <w:rPr>
            <w:color w:val="0000FF"/>
            <w:u w:val="single"/>
            <w:lang w:val="en-US"/>
          </w:rPr>
          <w:t>https://doi.org/10.1016/j.chiabu.2014.11.005</w:t>
        </w:r>
      </w:hyperlink>
    </w:p>
    <w:p w:rsidR="00EF2BD2" w:rsidRPr="00E75C28" w14:paraId="02E1132B"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*Eastman, A., Mitchell, M., </w:t>
      </w:r>
      <w:r w:rsidRPr="00E75C28">
        <w:rPr>
          <w:lang w:val="en-US"/>
        </w:rPr>
        <w:t>y</w:t>
      </w:r>
      <w:r w:rsidRPr="00E75C28">
        <w:rPr>
          <w:color w:val="000000"/>
          <w:lang w:val="en-US"/>
        </w:rPr>
        <w:t xml:space="preserve"> Putnam-Hornstein, E. (2016). Risk of re-report: A latent class analysis of infants reported for maltreatment. </w:t>
      </w:r>
      <w:r w:rsidRPr="00E75C28">
        <w:rPr>
          <w:i/>
          <w:color w:val="000000"/>
          <w:lang w:val="en-US"/>
        </w:rPr>
        <w:t>Child Abuse &amp; Neglect, 55</w:t>
      </w:r>
      <w:r w:rsidRPr="00E75C28">
        <w:rPr>
          <w:color w:val="000000"/>
          <w:lang w:val="en-US"/>
        </w:rPr>
        <w:t>, 22</w:t>
      </w:r>
      <w:r w:rsidRPr="00E75C28">
        <w:rPr>
          <w:lang w:val="en-US"/>
        </w:rPr>
        <w:t>-</w:t>
      </w:r>
      <w:r w:rsidRPr="00E75C28">
        <w:rPr>
          <w:color w:val="000000"/>
          <w:lang w:val="en-US"/>
        </w:rPr>
        <w:t xml:space="preserve">31. </w:t>
      </w:r>
      <w:r w:rsidRPr="00E75C28">
        <w:rPr>
          <w:color w:val="0000FF"/>
          <w:u w:val="single"/>
          <w:lang w:val="en-US"/>
        </w:rPr>
        <w:t>https://doi.org/10.1016/j.chiabu.2016.03.002</w:t>
      </w:r>
    </w:p>
    <w:p w:rsidR="00EF2BD2" w:rsidRPr="00E75C28" w14:paraId="0FA90103" w14:textId="77777777">
      <w:pPr>
        <w:pBdr>
          <w:top w:val="nil"/>
          <w:left w:val="nil"/>
          <w:bottom w:val="nil"/>
          <w:right w:val="nil"/>
          <w:between w:val="nil"/>
        </w:pBdr>
        <w:spacing w:line="360" w:lineRule="auto"/>
        <w:ind w:left="720" w:hanging="720"/>
        <w:rPr>
          <w:color w:val="0000FF"/>
          <w:u w:val="single"/>
          <w:lang w:val="en-US"/>
        </w:rPr>
      </w:pPr>
      <w:r w:rsidRPr="00E75C28">
        <w:rPr>
          <w:color w:val="000000"/>
          <w:lang w:val="en-US"/>
        </w:rPr>
        <w:t xml:space="preserve">Evans, C. B. R., </w:t>
      </w:r>
      <w:r w:rsidRPr="00E75C28">
        <w:rPr>
          <w:color w:val="000000"/>
          <w:lang w:val="en-US"/>
        </w:rPr>
        <w:t>Smokowski</w:t>
      </w:r>
      <w:r w:rsidRPr="00E75C28">
        <w:rPr>
          <w:color w:val="000000"/>
          <w:lang w:val="en-US"/>
        </w:rPr>
        <w:t xml:space="preserve">, P. R., </w:t>
      </w:r>
      <w:r w:rsidRPr="00E75C28">
        <w:rPr>
          <w:lang w:val="en-US"/>
        </w:rPr>
        <w:t>y</w:t>
      </w:r>
      <w:r w:rsidRPr="00E75C28">
        <w:rPr>
          <w:color w:val="000000"/>
          <w:lang w:val="en-US"/>
        </w:rPr>
        <w:t xml:space="preserve"> Cotter, K. L. (2014). Cumulative bullying victimization: An investigation of the dose–response relationship between victimization and the associated mental health outcomes, social supports, and school experiences of rural adolescents. </w:t>
      </w:r>
      <w:r w:rsidRPr="00E75C28">
        <w:rPr>
          <w:i/>
          <w:color w:val="000000"/>
          <w:lang w:val="en-US"/>
        </w:rPr>
        <w:t>Children and Youth Services Review 44</w:t>
      </w:r>
      <w:r w:rsidRPr="00E75C28">
        <w:rPr>
          <w:color w:val="000000"/>
          <w:lang w:val="en-US"/>
        </w:rPr>
        <w:t xml:space="preserve">, 256–264. </w:t>
      </w:r>
      <w:hyperlink r:id="rId18">
        <w:r w:rsidRPr="00E75C28">
          <w:rPr>
            <w:color w:val="0000FF"/>
            <w:u w:val="single"/>
            <w:lang w:val="en-US"/>
          </w:rPr>
          <w:t>https://doi.org/10.1016/j.childyouth.2014.06.021</w:t>
        </w:r>
      </w:hyperlink>
    </w:p>
    <w:p w:rsidR="00EF2BD2" w:rsidRPr="00E75C28" w14:paraId="619896E4"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Fattah, E. (2019). Preventing repeat victimization as the </w:t>
      </w:r>
      <w:r w:rsidRPr="00E75C28">
        <w:rPr>
          <w:color w:val="000000"/>
          <w:lang w:val="en-US"/>
        </w:rPr>
        <w:t>ultimate goal</w:t>
      </w:r>
      <w:r w:rsidRPr="00E75C28">
        <w:rPr>
          <w:color w:val="000000"/>
          <w:lang w:val="en-US"/>
        </w:rPr>
        <w:t xml:space="preserve"> of victim services, </w:t>
      </w:r>
      <w:r w:rsidRPr="00E75C28">
        <w:rPr>
          <w:color w:val="000000"/>
          <w:lang w:val="en-US"/>
        </w:rPr>
        <w:t>en</w:t>
      </w:r>
      <w:r w:rsidRPr="00E75C28">
        <w:rPr>
          <w:color w:val="000000"/>
          <w:lang w:val="en-US"/>
        </w:rPr>
        <w:t xml:space="preserve"> E. Fattah (Ed.), </w:t>
      </w:r>
      <w:r w:rsidRPr="00E75C28">
        <w:rPr>
          <w:i/>
          <w:color w:val="000000"/>
          <w:lang w:val="en-US"/>
        </w:rPr>
        <w:t>Victimology. A discipline in transition</w:t>
      </w:r>
      <w:r w:rsidRPr="00E75C28">
        <w:rPr>
          <w:color w:val="000000"/>
          <w:lang w:val="en-US"/>
        </w:rPr>
        <w:t xml:space="preserve"> (pp. 231-247). Simon </w:t>
      </w:r>
      <w:r w:rsidRPr="00E75C28">
        <w:rPr>
          <w:color w:val="000000"/>
          <w:lang w:val="en-US"/>
        </w:rPr>
        <w:t>Frasser</w:t>
      </w:r>
      <w:r w:rsidRPr="00E75C28">
        <w:rPr>
          <w:color w:val="000000"/>
          <w:lang w:val="en-US"/>
        </w:rPr>
        <w:t xml:space="preserve"> University. </w:t>
      </w:r>
    </w:p>
    <w:p w:rsidR="00EF2BD2" w:rsidRPr="00E75C28" w14:paraId="35E193FF"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Fereidooni</w:t>
      </w:r>
      <w:r w:rsidRPr="00E75C28">
        <w:rPr>
          <w:color w:val="000000"/>
          <w:lang w:val="en-US"/>
        </w:rPr>
        <w:t xml:space="preserve">, F., Daniels, J., </w:t>
      </w:r>
      <w:r w:rsidRPr="00E75C28">
        <w:rPr>
          <w:lang w:val="en-US"/>
        </w:rPr>
        <w:t>y</w:t>
      </w:r>
      <w:r w:rsidRPr="00E75C28">
        <w:rPr>
          <w:color w:val="000000"/>
          <w:lang w:val="en-US"/>
        </w:rPr>
        <w:t xml:space="preserve"> Lommen, M. (2024). Childhood Maltreatment and Revictimization: A Systematic Literature Review. </w:t>
      </w:r>
      <w:r w:rsidRPr="00E75C28">
        <w:rPr>
          <w:i/>
          <w:color w:val="000000"/>
          <w:lang w:val="en-US"/>
        </w:rPr>
        <w:t>Trauma, Violence &amp; Abuse, 25</w:t>
      </w:r>
      <w:r w:rsidRPr="00E75C28">
        <w:rPr>
          <w:color w:val="000000"/>
          <w:lang w:val="en-US"/>
        </w:rPr>
        <w:t xml:space="preserve">(1), 291-305. </w:t>
      </w:r>
      <w:hyperlink r:id="rId19">
        <w:r w:rsidRPr="00E75C28">
          <w:rPr>
            <w:color w:val="0000FF"/>
            <w:u w:val="single"/>
            <w:lang w:val="en-US"/>
          </w:rPr>
          <w:t>https://doi.org/10.1177/15248380221150475</w:t>
        </w:r>
      </w:hyperlink>
      <w:r w:rsidRPr="00E75C28">
        <w:rPr>
          <w:color w:val="000000"/>
          <w:lang w:val="en-US"/>
        </w:rPr>
        <w:t xml:space="preserve"> </w:t>
      </w:r>
    </w:p>
    <w:p w:rsidR="00EF2BD2" w:rsidRPr="00E75C28" w14:paraId="29F765DF"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Finkelhor</w:t>
      </w:r>
      <w:r w:rsidRPr="00E75C28">
        <w:rPr>
          <w:color w:val="000000"/>
          <w:lang w:val="en-US"/>
        </w:rPr>
        <w:t xml:space="preserve">, D., Ormrod, R., </w:t>
      </w:r>
      <w:r w:rsidRPr="00E75C28">
        <w:rPr>
          <w:lang w:val="en-US"/>
        </w:rPr>
        <w:t>y</w:t>
      </w:r>
      <w:r w:rsidRPr="00E75C28">
        <w:rPr>
          <w:color w:val="000000"/>
          <w:lang w:val="en-US"/>
        </w:rPr>
        <w:t xml:space="preserve"> Turner, H. (2007). Re-victimization patterns in a national longitudinal sample of children and youth. </w:t>
      </w:r>
      <w:r w:rsidRPr="00E75C28">
        <w:rPr>
          <w:i/>
          <w:color w:val="000000"/>
          <w:lang w:val="en-US"/>
        </w:rPr>
        <w:t>Child Abuse &amp; Neglect, 31</w:t>
      </w:r>
      <w:r w:rsidRPr="00E75C28">
        <w:rPr>
          <w:color w:val="000000"/>
          <w:lang w:val="en-US"/>
        </w:rPr>
        <w:t xml:space="preserve">, 479-502. </w:t>
      </w:r>
      <w:hyperlink r:id="rId20">
        <w:r w:rsidRPr="00E75C28">
          <w:rPr>
            <w:color w:val="0000FF"/>
            <w:u w:val="single"/>
            <w:lang w:val="en-US"/>
          </w:rPr>
          <w:t>https://doi.org/10.1016/j.chiabu.2006.03.012</w:t>
        </w:r>
      </w:hyperlink>
      <w:r w:rsidRPr="00E75C28">
        <w:rPr>
          <w:color w:val="000000"/>
          <w:lang w:val="en-US"/>
        </w:rPr>
        <w:t xml:space="preserve"> </w:t>
      </w:r>
    </w:p>
    <w:p w:rsidR="00EF2BD2" w:rsidRPr="00E75C28" w14:paraId="130BD363"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Gillingham, P. (2019). Can Predictive Algorithms Assist Decision-Making in Social Work with Children and Families? </w:t>
      </w:r>
      <w:r w:rsidRPr="00E75C28">
        <w:rPr>
          <w:i/>
          <w:color w:val="000000"/>
          <w:lang w:val="en-US"/>
        </w:rPr>
        <w:t>Child Abuse Review,</w:t>
      </w:r>
      <w:r w:rsidRPr="00E75C28">
        <w:rPr>
          <w:color w:val="000000"/>
          <w:lang w:val="en-US"/>
        </w:rPr>
        <w:t xml:space="preserve"> </w:t>
      </w:r>
      <w:r w:rsidRPr="00E75C28">
        <w:rPr>
          <w:i/>
          <w:color w:val="000000"/>
          <w:lang w:val="en-US"/>
        </w:rPr>
        <w:t>28,</w:t>
      </w:r>
      <w:r w:rsidRPr="00E75C28">
        <w:rPr>
          <w:color w:val="000000"/>
          <w:lang w:val="en-US"/>
        </w:rPr>
        <w:t xml:space="preserve"> 114-126. </w:t>
      </w:r>
      <w:hyperlink r:id="rId21">
        <w:r w:rsidRPr="00E75C28">
          <w:rPr>
            <w:color w:val="0000FF"/>
            <w:u w:val="single"/>
            <w:lang w:val="en-US"/>
          </w:rPr>
          <w:t>https://doi.org/10.1002/car.2547</w:t>
        </w:r>
      </w:hyperlink>
    </w:p>
    <w:p w:rsidR="00EF2BD2" w:rsidRPr="00E75C28" w14:paraId="47B9395B"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*Hauck, F., Tanabe, K., </w:t>
      </w:r>
      <w:r w:rsidRPr="00E75C28">
        <w:rPr>
          <w:lang w:val="en-US"/>
        </w:rPr>
        <w:t>y</w:t>
      </w:r>
      <w:r w:rsidRPr="00E75C28">
        <w:rPr>
          <w:color w:val="000000"/>
          <w:lang w:val="en-US"/>
        </w:rPr>
        <w:t xml:space="preserve"> Blackstone, S. (2022). Risk of </w:t>
      </w:r>
      <w:r w:rsidRPr="00E75C28">
        <w:rPr>
          <w:color w:val="000000"/>
          <w:lang w:val="en-US"/>
        </w:rPr>
        <w:t>Postneonatal</w:t>
      </w:r>
      <w:r w:rsidRPr="00E75C28">
        <w:rPr>
          <w:color w:val="000000"/>
          <w:lang w:val="en-US"/>
        </w:rPr>
        <w:t xml:space="preserve"> Infant Mortality Associated </w:t>
      </w:r>
      <w:r w:rsidRPr="00E75C28">
        <w:rPr>
          <w:color w:val="000000"/>
          <w:lang w:val="en-US"/>
        </w:rPr>
        <w:t>With</w:t>
      </w:r>
      <w:r w:rsidRPr="00E75C28">
        <w:rPr>
          <w:color w:val="000000"/>
          <w:lang w:val="en-US"/>
        </w:rPr>
        <w:t xml:space="preserve"> Prior Founded Allegations of Child Abuse. </w:t>
      </w:r>
      <w:r w:rsidRPr="00E75C28">
        <w:rPr>
          <w:i/>
          <w:color w:val="000000"/>
          <w:lang w:val="en-US"/>
        </w:rPr>
        <w:t>Child Maltreatment, 27</w:t>
      </w:r>
      <w:r w:rsidRPr="00E75C28">
        <w:rPr>
          <w:color w:val="000000"/>
          <w:lang w:val="en-US"/>
        </w:rPr>
        <w:t xml:space="preserve">(2), 185–193. </w:t>
      </w:r>
      <w:hyperlink r:id="rId22">
        <w:r w:rsidRPr="00E75C28">
          <w:rPr>
            <w:color w:val="0000FF"/>
            <w:u w:val="single"/>
            <w:lang w:val="en-US"/>
          </w:rPr>
          <w:t>https://doi.org/10.1177/10775595211069923</w:t>
        </w:r>
      </w:hyperlink>
      <w:r w:rsidRPr="00E75C28">
        <w:rPr>
          <w:color w:val="000000"/>
          <w:lang w:val="en-US"/>
        </w:rPr>
        <w:t xml:space="preserve"> </w:t>
      </w:r>
    </w:p>
    <w:p w:rsidR="00EF2BD2" w:rsidRPr="00E75C28" w14:paraId="27DA4156"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w:t>
      </w:r>
      <w:r w:rsidRPr="00E75C28">
        <w:rPr>
          <w:color w:val="000000"/>
          <w:lang w:val="en-US"/>
        </w:rPr>
        <w:t>Hélie</w:t>
      </w:r>
      <w:r w:rsidRPr="00E75C28">
        <w:rPr>
          <w:color w:val="000000"/>
          <w:lang w:val="en-US"/>
        </w:rPr>
        <w:t xml:space="preserve">, S., Poirier, M., </w:t>
      </w:r>
      <w:r w:rsidRPr="00E75C28">
        <w:rPr>
          <w:lang w:val="en-US"/>
        </w:rPr>
        <w:t>y</w:t>
      </w:r>
      <w:r w:rsidRPr="00E75C28">
        <w:rPr>
          <w:color w:val="000000"/>
          <w:lang w:val="en-US"/>
        </w:rPr>
        <w:t xml:space="preserve"> Turcotte, D. (2014). Risk of maltreatment recurrence after exiting substitute care: Impact of placement characteristics. </w:t>
      </w:r>
      <w:r w:rsidRPr="00E75C28">
        <w:rPr>
          <w:i/>
          <w:color w:val="000000"/>
          <w:lang w:val="en-US"/>
        </w:rPr>
        <w:t>Children and Youth Services Review, 46</w:t>
      </w:r>
      <w:r w:rsidRPr="00E75C28">
        <w:rPr>
          <w:color w:val="000000"/>
          <w:lang w:val="en-US"/>
        </w:rPr>
        <w:t>, 257-264.</w:t>
      </w:r>
      <w:r w:rsidRPr="00E75C28">
        <w:rPr>
          <w:color w:val="0000FF"/>
          <w:u w:val="single"/>
          <w:lang w:val="en-US"/>
        </w:rPr>
        <w:t xml:space="preserve"> </w:t>
      </w:r>
      <w:hyperlink r:id="rId23">
        <w:r w:rsidRPr="00E75C28">
          <w:rPr>
            <w:color w:val="0000FF"/>
            <w:u w:val="single"/>
            <w:lang w:val="en-US"/>
          </w:rPr>
          <w:t>https://doi.org/10.1016/j.childyouth.2014.09.002</w:t>
        </w:r>
      </w:hyperlink>
      <w:r w:rsidRPr="00E75C28">
        <w:rPr>
          <w:color w:val="000000"/>
          <w:lang w:val="en-US"/>
        </w:rPr>
        <w:t xml:space="preserve"> </w:t>
      </w:r>
    </w:p>
    <w:p w:rsidR="00EF2BD2" w:rsidRPr="00E75C28" w14:paraId="7B093B95"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Hillis, S., Mercy, J., Amobi, A., </w:t>
      </w:r>
      <w:r w:rsidRPr="00E75C28">
        <w:rPr>
          <w:lang w:val="en-US"/>
        </w:rPr>
        <w:t>y</w:t>
      </w:r>
      <w:r w:rsidRPr="00E75C28">
        <w:rPr>
          <w:color w:val="000000"/>
          <w:lang w:val="en-US"/>
        </w:rPr>
        <w:t xml:space="preserve"> Kress, H. (2016). Global prevalence of past-year violence against children: a systematic review and minimum estimates. </w:t>
      </w:r>
      <w:r w:rsidRPr="00E75C28">
        <w:rPr>
          <w:i/>
          <w:color w:val="000000"/>
          <w:lang w:val="en-US"/>
        </w:rPr>
        <w:t>Pediatrics, 137</w:t>
      </w:r>
      <w:r w:rsidRPr="00E75C28">
        <w:rPr>
          <w:color w:val="000000"/>
          <w:lang w:val="en-US"/>
        </w:rPr>
        <w:t xml:space="preserve">(3). </w:t>
      </w:r>
      <w:hyperlink r:id="rId24">
        <w:r w:rsidRPr="00E75C28">
          <w:rPr>
            <w:color w:val="0000FF"/>
            <w:u w:val="single"/>
            <w:lang w:val="en-US"/>
          </w:rPr>
          <w:t>https://doi.org/10.1542/peds.2015-4079</w:t>
        </w:r>
      </w:hyperlink>
      <w:r w:rsidRPr="00E75C28">
        <w:rPr>
          <w:color w:val="000000"/>
          <w:lang w:val="en-US"/>
        </w:rPr>
        <w:t xml:space="preserve"> </w:t>
      </w:r>
    </w:p>
    <w:p w:rsidR="00EF2BD2" w:rsidRPr="00E75C28" w14:paraId="2C3FBDF0"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*Holbrook, H., </w:t>
      </w:r>
      <w:r w:rsidRPr="00E75C28">
        <w:rPr>
          <w:lang w:val="en-US"/>
        </w:rPr>
        <w:t>y</w:t>
      </w:r>
      <w:r w:rsidRPr="00E75C28">
        <w:rPr>
          <w:color w:val="000000"/>
          <w:lang w:val="en-US"/>
        </w:rPr>
        <w:t xml:space="preserve"> Hudziak, J. (2020). Risk factors that predict longitudinal patterns of substantiated and unsubstantiated maltreatment reports. </w:t>
      </w:r>
      <w:r w:rsidRPr="00E75C28">
        <w:rPr>
          <w:i/>
          <w:color w:val="000000"/>
          <w:lang w:val="en-US"/>
        </w:rPr>
        <w:t>Child Abuse &amp; Neglect, 99</w:t>
      </w:r>
      <w:r w:rsidRPr="00E75C28">
        <w:rPr>
          <w:color w:val="000000"/>
          <w:lang w:val="en-US"/>
        </w:rPr>
        <w:t xml:space="preserve">, 1-12. </w:t>
      </w:r>
      <w:r w:rsidRPr="00E75C28">
        <w:rPr>
          <w:color w:val="0000FF"/>
          <w:u w:val="single"/>
          <w:lang w:val="en-US"/>
        </w:rPr>
        <w:t>https://doi.org/10.1016/j.chiabu.2019.104279</w:t>
      </w:r>
      <w:r w:rsidRPr="00E75C28">
        <w:rPr>
          <w:lang w:val="en-US"/>
        </w:rPr>
        <w:t xml:space="preserve"> </w:t>
      </w:r>
    </w:p>
    <w:p w:rsidR="00EF2BD2" w:rsidRPr="00E75C28" w14:paraId="24666EF0"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*Horikawa, H., </w:t>
      </w:r>
      <w:r w:rsidRPr="00E75C28">
        <w:rPr>
          <w:color w:val="000000"/>
          <w:lang w:val="en-US"/>
        </w:rPr>
        <w:t>Suguimoto</w:t>
      </w:r>
      <w:r w:rsidRPr="00E75C28">
        <w:rPr>
          <w:color w:val="000000"/>
          <w:lang w:val="en-US"/>
        </w:rPr>
        <w:t xml:space="preserve">, P., Masika </w:t>
      </w:r>
      <w:r w:rsidRPr="00E75C28">
        <w:rPr>
          <w:color w:val="000000"/>
          <w:lang w:val="en-US"/>
        </w:rPr>
        <w:t>Musumari</w:t>
      </w:r>
      <w:r w:rsidRPr="00E75C28">
        <w:rPr>
          <w:color w:val="000000"/>
          <w:lang w:val="en-US"/>
        </w:rPr>
        <w:t xml:space="preserve">, P., </w:t>
      </w:r>
      <w:r w:rsidRPr="00E75C28">
        <w:rPr>
          <w:color w:val="000000"/>
          <w:lang w:val="en-US"/>
        </w:rPr>
        <w:t>Techasrivichien</w:t>
      </w:r>
      <w:r w:rsidRPr="00E75C28">
        <w:rPr>
          <w:color w:val="000000"/>
          <w:lang w:val="en-US"/>
        </w:rPr>
        <w:t xml:space="preserve">, T., Ono-Kihara, M., </w:t>
      </w:r>
      <w:r w:rsidRPr="00E75C28">
        <w:rPr>
          <w:lang w:val="en-US"/>
        </w:rPr>
        <w:t>y</w:t>
      </w:r>
      <w:r w:rsidRPr="00E75C28">
        <w:rPr>
          <w:color w:val="000000"/>
          <w:lang w:val="en-US"/>
        </w:rPr>
        <w:t xml:space="preserve"> Kihara, M. (2016). Development of a prediction model for child maltreatment recurrence in Japan: A historical cohort study using data from a Child Guidance Center. </w:t>
      </w:r>
      <w:r w:rsidRPr="00E75C28">
        <w:rPr>
          <w:i/>
          <w:color w:val="000000"/>
          <w:lang w:val="en-US"/>
        </w:rPr>
        <w:t>Child Abuse &amp; Neglect, 59</w:t>
      </w:r>
      <w:r w:rsidRPr="00E75C28">
        <w:rPr>
          <w:color w:val="000000"/>
          <w:lang w:val="en-US"/>
        </w:rPr>
        <w:t>, 55-65.</w:t>
      </w:r>
      <w:r w:rsidRPr="00E75C28">
        <w:rPr>
          <w:color w:val="0000FF"/>
          <w:u w:val="single"/>
          <w:lang w:val="en-US"/>
        </w:rPr>
        <w:t xml:space="preserve"> https://doi.org/10.1016/j.chiabu.2016.07.008</w:t>
      </w:r>
    </w:p>
    <w:p w:rsidR="00EF2BD2" w:rsidRPr="00E75C28" w14:paraId="08BAC35C" w14:textId="77777777">
      <w:pPr>
        <w:spacing w:line="360" w:lineRule="auto"/>
        <w:jc w:val="both"/>
        <w:rPr>
          <w:lang w:val="en-US"/>
        </w:rPr>
      </w:pPr>
      <w:r w:rsidRPr="00E75C28">
        <w:rPr>
          <w:lang w:val="en-US"/>
        </w:rPr>
        <w:t xml:space="preserve">JBI. (2023). JBI Critical Appraisal Tools. </w:t>
      </w:r>
      <w:hyperlink r:id="rId25">
        <w:r w:rsidRPr="00E75C28">
          <w:rPr>
            <w:color w:val="1155CC"/>
            <w:u w:val="single"/>
            <w:lang w:val="en-US"/>
          </w:rPr>
          <w:t>https://jbi.global/critical-appraisal-tools</w:t>
        </w:r>
      </w:hyperlink>
    </w:p>
    <w:p w:rsidR="00EF2BD2" w:rsidRPr="00E75C28" w14:paraId="7FE54F8C"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w:t>
      </w:r>
      <w:r w:rsidRPr="00E75C28">
        <w:rPr>
          <w:color w:val="000000"/>
          <w:lang w:val="en-US"/>
        </w:rPr>
        <w:t>Jedwab</w:t>
      </w:r>
      <w:r w:rsidRPr="00E75C28">
        <w:rPr>
          <w:color w:val="000000"/>
          <w:lang w:val="en-US"/>
        </w:rPr>
        <w:t xml:space="preserve">, M., Harrington, D., </w:t>
      </w:r>
      <w:r w:rsidRPr="00E75C28">
        <w:rPr>
          <w:lang w:val="en-US"/>
        </w:rPr>
        <w:t>y</w:t>
      </w:r>
      <w:r w:rsidRPr="00E75C28">
        <w:rPr>
          <w:color w:val="000000"/>
          <w:lang w:val="en-US"/>
        </w:rPr>
        <w:t xml:space="preserve"> Dubowitz, H. (2017). Predictors of substantiated re-reports in a sample of children with initial unsubstantiated reports. </w:t>
      </w:r>
      <w:r w:rsidRPr="00E75C28">
        <w:rPr>
          <w:i/>
          <w:color w:val="000000"/>
          <w:lang w:val="en-US"/>
        </w:rPr>
        <w:t>Child Abuse &amp; Neglect, 69</w:t>
      </w:r>
      <w:r w:rsidRPr="00E75C28">
        <w:rPr>
          <w:color w:val="000000"/>
          <w:lang w:val="en-US"/>
        </w:rPr>
        <w:t>, 232-241.</w:t>
      </w:r>
      <w:r w:rsidRPr="00E75C28">
        <w:rPr>
          <w:color w:val="0000FF"/>
          <w:u w:val="single"/>
          <w:lang w:val="en-US"/>
        </w:rPr>
        <w:t xml:space="preserve"> https://doi.org/10.1016/j.chiabu.2017.04.031</w:t>
      </w:r>
    </w:p>
    <w:p w:rsidR="00EF2BD2" w:rsidRPr="00E75C28" w14:paraId="1B29B7BB"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*Kim, H., Drake, B., </w:t>
      </w:r>
      <w:r w:rsidRPr="00E75C28">
        <w:rPr>
          <w:lang w:val="en-US"/>
        </w:rPr>
        <w:t>y</w:t>
      </w:r>
      <w:r w:rsidRPr="00E75C28">
        <w:rPr>
          <w:color w:val="000000"/>
          <w:lang w:val="en-US"/>
        </w:rPr>
        <w:t xml:space="preserve"> Jonson-Reid, M. (2020). Longitudinal Understanding of Child Maltreatment Report Risks. </w:t>
      </w:r>
      <w:r w:rsidRPr="00E75C28">
        <w:rPr>
          <w:i/>
          <w:color w:val="000000"/>
          <w:lang w:val="en-US"/>
        </w:rPr>
        <w:t>Child Abuse &amp; Neglect, 104</w:t>
      </w:r>
      <w:r w:rsidRPr="00E75C28">
        <w:rPr>
          <w:color w:val="000000"/>
          <w:lang w:val="en-US"/>
        </w:rPr>
        <w:t xml:space="preserve">, 1-12. </w:t>
      </w:r>
      <w:r w:rsidRPr="00E75C28">
        <w:rPr>
          <w:color w:val="0000FF"/>
          <w:u w:val="single"/>
          <w:lang w:val="en-US"/>
        </w:rPr>
        <w:t xml:space="preserve">https://doi.org/10.1016/j.chiabu.2020.104467 </w:t>
      </w:r>
    </w:p>
    <w:p w:rsidR="00EF2BD2" w:rsidRPr="00E75C28" w14:paraId="2A7A3CCE"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*Kim, K., Choi, J., Jang, H., Ji Lee, H., </w:t>
      </w:r>
      <w:r w:rsidRPr="00E75C28">
        <w:rPr>
          <w:lang w:val="en-US"/>
        </w:rPr>
        <w:t>y</w:t>
      </w:r>
      <w:r w:rsidRPr="00E75C28">
        <w:rPr>
          <w:color w:val="000000"/>
          <w:lang w:val="en-US"/>
        </w:rPr>
        <w:t xml:space="preserve"> Jang, H. (2022). Predictive model for intra-familial child maltreatment re-reports and recurrence in South Korea: Analysis of national child protection services case records. </w:t>
      </w:r>
      <w:r w:rsidRPr="00E75C28">
        <w:rPr>
          <w:i/>
          <w:color w:val="000000"/>
          <w:lang w:val="en-US"/>
        </w:rPr>
        <w:t>Child Abuse &amp; Neglect, 125</w:t>
      </w:r>
      <w:r w:rsidRPr="00E75C28">
        <w:rPr>
          <w:color w:val="000000"/>
          <w:lang w:val="en-US"/>
        </w:rPr>
        <w:t xml:space="preserve">, 1-10. </w:t>
      </w:r>
      <w:r w:rsidRPr="00E75C28">
        <w:rPr>
          <w:color w:val="0000FF"/>
          <w:u w:val="single"/>
          <w:lang w:val="en-US"/>
        </w:rPr>
        <w:t>https://doi.org/10.1016/j.chiabu.2022.105487</w:t>
      </w:r>
    </w:p>
    <w:p w:rsidR="00EF2BD2" w14:paraId="2E7B6355" w14:textId="77777777">
      <w:pPr>
        <w:pBdr>
          <w:top w:val="nil"/>
          <w:left w:val="nil"/>
          <w:bottom w:val="nil"/>
          <w:right w:val="nil"/>
          <w:between w:val="nil"/>
        </w:pBdr>
        <w:spacing w:line="360" w:lineRule="auto"/>
        <w:ind w:left="720" w:hanging="720"/>
        <w:rPr>
          <w:color w:val="0000FF"/>
          <w:u w:val="single"/>
        </w:rPr>
      </w:pPr>
      <w:r w:rsidRPr="00E75C28">
        <w:rPr>
          <w:color w:val="000000"/>
          <w:lang w:val="en-US"/>
        </w:rPr>
        <w:t>*</w:t>
      </w:r>
      <w:r w:rsidRPr="00E75C28">
        <w:rPr>
          <w:color w:val="000000"/>
          <w:lang w:val="en-US"/>
        </w:rPr>
        <w:t>Meinck</w:t>
      </w:r>
      <w:r w:rsidRPr="00E75C28">
        <w:rPr>
          <w:color w:val="000000"/>
          <w:lang w:val="en-US"/>
        </w:rPr>
        <w:t xml:space="preserve">, F., Cluver, L., </w:t>
      </w:r>
      <w:r w:rsidRPr="00E75C28">
        <w:rPr>
          <w:lang w:val="en-US"/>
        </w:rPr>
        <w:t>y</w:t>
      </w:r>
      <w:r w:rsidRPr="00E75C28">
        <w:rPr>
          <w:color w:val="000000"/>
          <w:lang w:val="en-US"/>
        </w:rPr>
        <w:t xml:space="preserve"> Boyes, M. (2017). Longitudinal Predictors of Child Sexual Abuse in a Large </w:t>
      </w:r>
      <w:r w:rsidRPr="00E75C28">
        <w:rPr>
          <w:color w:val="000000"/>
          <w:lang w:val="en-US"/>
        </w:rPr>
        <w:t>Comunity</w:t>
      </w:r>
      <w:r w:rsidRPr="00E75C28">
        <w:rPr>
          <w:color w:val="000000"/>
          <w:lang w:val="en-US"/>
        </w:rPr>
        <w:t xml:space="preserve">-Based Sample of South African Youth. </w:t>
      </w:r>
      <w:r>
        <w:rPr>
          <w:i/>
          <w:color w:val="000000"/>
        </w:rPr>
        <w:t>Journal</w:t>
      </w:r>
      <w:r>
        <w:rPr>
          <w:i/>
          <w:color w:val="000000"/>
        </w:rPr>
        <w:t xml:space="preserve"> </w:t>
      </w:r>
      <w:r>
        <w:rPr>
          <w:i/>
          <w:color w:val="000000"/>
        </w:rPr>
        <w:t>of</w:t>
      </w:r>
      <w:r>
        <w:rPr>
          <w:i/>
          <w:color w:val="000000"/>
        </w:rPr>
        <w:t xml:space="preserve"> Interpersonal </w:t>
      </w:r>
      <w:r>
        <w:rPr>
          <w:i/>
          <w:color w:val="000000"/>
        </w:rPr>
        <w:t>Violence</w:t>
      </w:r>
      <w:r>
        <w:rPr>
          <w:i/>
          <w:color w:val="000000"/>
        </w:rPr>
        <w:t xml:space="preserve">, </w:t>
      </w:r>
      <w:r>
        <w:rPr>
          <w:i/>
          <w:color w:val="212121"/>
        </w:rPr>
        <w:t>32</w:t>
      </w:r>
      <w:r>
        <w:rPr>
          <w:color w:val="212121"/>
        </w:rPr>
        <w:t>(18), 2804–2836</w:t>
      </w:r>
      <w:r>
        <w:rPr>
          <w:rFonts w:ascii="Roboto" w:eastAsia="Roboto" w:hAnsi="Roboto" w:cs="Roboto"/>
          <w:i/>
          <w:color w:val="212121"/>
        </w:rPr>
        <w:t xml:space="preserve">. </w:t>
      </w:r>
      <w:r>
        <w:rPr>
          <w:color w:val="0000FF"/>
          <w:u w:val="single"/>
        </w:rPr>
        <w:t xml:space="preserve">https://doi.org/10.1177/0886260515596331 </w:t>
      </w:r>
    </w:p>
    <w:p w:rsidR="00EF2BD2" w14:paraId="4E9E8C12" w14:textId="77777777">
      <w:pPr>
        <w:pBdr>
          <w:top w:val="nil"/>
          <w:left w:val="nil"/>
          <w:bottom w:val="nil"/>
          <w:right w:val="nil"/>
          <w:between w:val="nil"/>
        </w:pBdr>
        <w:spacing w:line="360" w:lineRule="auto"/>
        <w:ind w:left="720" w:hanging="720"/>
        <w:rPr>
          <w:color w:val="000000"/>
          <w:highlight w:val="yellow"/>
        </w:rPr>
      </w:pPr>
      <w:r>
        <w:rPr>
          <w:color w:val="000000"/>
        </w:rPr>
        <w:t>O</w:t>
      </w:r>
      <w:r>
        <w:t>rganización Mundial de la Salud</w:t>
      </w:r>
      <w:r>
        <w:rPr>
          <w:color w:val="000000"/>
        </w:rPr>
        <w:t xml:space="preserve">. (2022). </w:t>
      </w:r>
      <w:r>
        <w:rPr>
          <w:i/>
          <w:color w:val="000000"/>
        </w:rPr>
        <w:t>Maltrato Infantil</w:t>
      </w:r>
      <w:r>
        <w:rPr>
          <w:color w:val="000000"/>
        </w:rPr>
        <w:t xml:space="preserve">. Organización Mundial de la Salud. </w:t>
      </w:r>
      <w:hyperlink r:id="rId26">
        <w:r>
          <w:rPr>
            <w:color w:val="0000FF"/>
            <w:u w:val="single"/>
          </w:rPr>
          <w:t>https://www.who.int/es/news-room/fact-sheets/detail/child-maltreatment</w:t>
        </w:r>
      </w:hyperlink>
    </w:p>
    <w:p w:rsidR="00EF2BD2" w14:paraId="3370605D" w14:textId="77777777">
      <w:pPr>
        <w:pBdr>
          <w:top w:val="nil"/>
          <w:left w:val="nil"/>
          <w:bottom w:val="nil"/>
          <w:right w:val="nil"/>
          <w:between w:val="nil"/>
        </w:pBdr>
        <w:spacing w:line="360" w:lineRule="auto"/>
        <w:ind w:left="720" w:hanging="720"/>
        <w:rPr>
          <w:color w:val="000000"/>
        </w:rPr>
      </w:pPr>
      <w:r>
        <w:rPr>
          <w:color w:val="000000"/>
        </w:rPr>
        <w:t>Organización Paname</w:t>
      </w:r>
      <w:r>
        <w:t xml:space="preserve">ricana de la </w:t>
      </w:r>
      <w:r>
        <w:rPr>
          <w:color w:val="000000"/>
        </w:rPr>
        <w:t xml:space="preserve">Salud. (2023). </w:t>
      </w:r>
      <w:r>
        <w:rPr>
          <w:i/>
          <w:color w:val="000000"/>
        </w:rPr>
        <w:t>Cómo responder al maltrato infantil. Manual clínico para profesionales de la salud</w:t>
      </w:r>
      <w:r>
        <w:rPr>
          <w:color w:val="000000"/>
        </w:rPr>
        <w:t xml:space="preserve">. Organización Panamericana de la Salud. </w:t>
      </w:r>
      <w:hyperlink r:id="rId27">
        <w:r>
          <w:rPr>
            <w:color w:val="0000FF"/>
            <w:u w:val="single"/>
          </w:rPr>
          <w:t>https://doi.org/10.37774/9789275326824</w:t>
        </w:r>
      </w:hyperlink>
      <w:r>
        <w:rPr>
          <w:color w:val="000000"/>
        </w:rPr>
        <w:t xml:space="preserve">. </w:t>
      </w:r>
    </w:p>
    <w:p w:rsidR="00EF2BD2" w:rsidRPr="007E1B9A" w14:paraId="792D90BF" w14:textId="77777777">
      <w:pPr>
        <w:pBdr>
          <w:top w:val="nil"/>
          <w:left w:val="nil"/>
          <w:bottom w:val="nil"/>
          <w:right w:val="nil"/>
          <w:between w:val="nil"/>
        </w:pBdr>
        <w:spacing w:line="360" w:lineRule="auto"/>
        <w:ind w:left="720" w:hanging="720"/>
        <w:rPr>
          <w:color w:val="0000FF"/>
          <w:u w:val="single"/>
          <w:lang w:val="en-US"/>
        </w:rPr>
      </w:pPr>
      <w:r>
        <w:rPr>
          <w:color w:val="000000"/>
        </w:rPr>
        <w:t xml:space="preserve">Page, M., McKenzie, J., </w:t>
      </w:r>
      <w:r>
        <w:rPr>
          <w:color w:val="000000"/>
        </w:rPr>
        <w:t>Bossuyt</w:t>
      </w:r>
      <w:r>
        <w:rPr>
          <w:color w:val="000000"/>
        </w:rPr>
        <w:t xml:space="preserve">, P., </w:t>
      </w:r>
      <w:r>
        <w:rPr>
          <w:color w:val="000000"/>
        </w:rPr>
        <w:t>Boutron</w:t>
      </w:r>
      <w:r>
        <w:rPr>
          <w:color w:val="000000"/>
        </w:rPr>
        <w:t xml:space="preserve">, I., Hoffmann, T., </w:t>
      </w:r>
      <w:r>
        <w:rPr>
          <w:color w:val="000000"/>
        </w:rPr>
        <w:t>Mulrow</w:t>
      </w:r>
      <w:r>
        <w:rPr>
          <w:color w:val="000000"/>
        </w:rPr>
        <w:t xml:space="preserve">, C., </w:t>
      </w:r>
      <w:r>
        <w:rPr>
          <w:color w:val="000000"/>
        </w:rPr>
        <w:t>Shamseer</w:t>
      </w:r>
      <w:r>
        <w:rPr>
          <w:color w:val="000000"/>
        </w:rPr>
        <w:t xml:space="preserve">, L., </w:t>
      </w:r>
      <w:r>
        <w:rPr>
          <w:color w:val="000000"/>
        </w:rPr>
        <w:t>Tetzlaff</w:t>
      </w:r>
      <w:r>
        <w:rPr>
          <w:color w:val="000000"/>
        </w:rPr>
        <w:t xml:space="preserve">, J., </w:t>
      </w:r>
      <w:r>
        <w:rPr>
          <w:color w:val="000000"/>
        </w:rPr>
        <w:t>Akl</w:t>
      </w:r>
      <w:r>
        <w:rPr>
          <w:color w:val="000000"/>
        </w:rPr>
        <w:t xml:space="preserve">, E., Brennan, S., Chou, R., </w:t>
      </w:r>
      <w:r>
        <w:rPr>
          <w:color w:val="000000"/>
        </w:rPr>
        <w:t>Glanville</w:t>
      </w:r>
      <w:r>
        <w:rPr>
          <w:color w:val="000000"/>
        </w:rPr>
        <w:t xml:space="preserve">, J., </w:t>
      </w:r>
      <w:r>
        <w:rPr>
          <w:color w:val="000000"/>
        </w:rPr>
        <w:t>Grimshaw</w:t>
      </w:r>
      <w:r>
        <w:rPr>
          <w:color w:val="000000"/>
        </w:rPr>
        <w:t xml:space="preserve">, J. M., </w:t>
      </w:r>
      <w:r>
        <w:rPr>
          <w:color w:val="000000"/>
        </w:rPr>
        <w:t>Hróbjartsson</w:t>
      </w:r>
      <w:r>
        <w:rPr>
          <w:color w:val="000000"/>
        </w:rPr>
        <w:t xml:space="preserve">, A., </w:t>
      </w:r>
      <w:r>
        <w:rPr>
          <w:color w:val="000000"/>
        </w:rPr>
        <w:t>Lalu</w:t>
      </w:r>
      <w:r>
        <w:rPr>
          <w:color w:val="000000"/>
        </w:rPr>
        <w:t xml:space="preserve">, M. M., Li, T., </w:t>
      </w:r>
      <w:r>
        <w:rPr>
          <w:color w:val="000000"/>
        </w:rPr>
        <w:t>Loder</w:t>
      </w:r>
      <w:r>
        <w:rPr>
          <w:color w:val="000000"/>
        </w:rPr>
        <w:t xml:space="preserve">, E. W., </w:t>
      </w:r>
      <w:r>
        <w:rPr>
          <w:color w:val="000000"/>
        </w:rPr>
        <w:t>Mayo</w:t>
      </w:r>
      <w:r>
        <w:rPr>
          <w:color w:val="000000"/>
        </w:rPr>
        <w:t xml:space="preserve">-Wilson, E., McDonald, S., McGuinness, L. A., Stewart, L. A., Thomas, J., </w:t>
      </w:r>
      <w:r>
        <w:rPr>
          <w:color w:val="000000"/>
        </w:rPr>
        <w:t>Tricco</w:t>
      </w:r>
      <w:r>
        <w:rPr>
          <w:color w:val="000000"/>
        </w:rPr>
        <w:t xml:space="preserve">, A. C., Welch, V., </w:t>
      </w:r>
      <w:r>
        <w:rPr>
          <w:color w:val="000000"/>
        </w:rPr>
        <w:t>Whiting</w:t>
      </w:r>
      <w:r>
        <w:rPr>
          <w:color w:val="000000"/>
        </w:rPr>
        <w:t xml:space="preserve">, P., </w:t>
      </w:r>
      <w:r>
        <w:t>y</w:t>
      </w:r>
      <w:r>
        <w:rPr>
          <w:color w:val="000000"/>
        </w:rPr>
        <w:t xml:space="preserve"> </w:t>
      </w:r>
      <w:r>
        <w:rPr>
          <w:color w:val="000000"/>
        </w:rPr>
        <w:t>Moher</w:t>
      </w:r>
      <w:r>
        <w:rPr>
          <w:color w:val="000000"/>
        </w:rPr>
        <w:t xml:space="preserve">, D. (2021). </w:t>
      </w:r>
      <w:r w:rsidRPr="00E75C28">
        <w:rPr>
          <w:color w:val="000000"/>
          <w:lang w:val="en-US"/>
        </w:rPr>
        <w:t xml:space="preserve">The PRISMA 2020 statement: an updated guideline for reporting systematic reviews. </w:t>
      </w:r>
      <w:r w:rsidRPr="007E1B9A">
        <w:rPr>
          <w:i/>
          <w:color w:val="000000"/>
          <w:lang w:val="en-US"/>
        </w:rPr>
        <w:t>BMJ, 372</w:t>
      </w:r>
      <w:r w:rsidRPr="007E1B9A">
        <w:rPr>
          <w:color w:val="000000"/>
          <w:lang w:val="en-US"/>
        </w:rPr>
        <w:t>(71), 1-9</w:t>
      </w:r>
      <w:r w:rsidRPr="007E1B9A">
        <w:rPr>
          <w:color w:val="0000FF"/>
          <w:u w:val="single"/>
          <w:lang w:val="en-US"/>
        </w:rPr>
        <w:t>.</w:t>
      </w:r>
      <w:hyperlink r:id="rId28">
        <w:r w:rsidRPr="007E1B9A">
          <w:rPr>
            <w:color w:val="0000FF"/>
            <w:u w:val="single"/>
            <w:lang w:val="en-US"/>
          </w:rPr>
          <w:t>https://doi.org/10.1136/bmj.n71</w:t>
        </w:r>
      </w:hyperlink>
    </w:p>
    <w:p w:rsidR="00EF2BD2" w:rsidRPr="00E75C28" w14:paraId="6416DBBB" w14:textId="77777777">
      <w:pPr>
        <w:pBdr>
          <w:top w:val="nil"/>
          <w:left w:val="nil"/>
          <w:bottom w:val="nil"/>
          <w:right w:val="nil"/>
          <w:between w:val="nil"/>
        </w:pBdr>
        <w:spacing w:line="360" w:lineRule="auto"/>
        <w:ind w:left="720" w:hanging="720"/>
        <w:rPr>
          <w:lang w:val="en-US"/>
        </w:rPr>
      </w:pPr>
      <w:r w:rsidRPr="00E75C28">
        <w:rPr>
          <w:lang w:val="en-US"/>
        </w:rPr>
        <w:t xml:space="preserve">Pan, Y., Lin, X., Liu, J., Zhang, S., Zeng, X., Chen, F., y Wu, J. (2021). Prevalence of Childhood Sexual Abuse Among Women Using the Childhood Trauma Questionnaire: A Worldwide Meta-Analysis. </w:t>
      </w:r>
      <w:r w:rsidRPr="00E75C28">
        <w:rPr>
          <w:i/>
          <w:lang w:val="en-US"/>
        </w:rPr>
        <w:t>Trauma, Violence, &amp; Abuse</w:t>
      </w:r>
      <w:r w:rsidRPr="00E75C28">
        <w:rPr>
          <w:lang w:val="en-US"/>
        </w:rPr>
        <w:t xml:space="preserve">, </w:t>
      </w:r>
      <w:r w:rsidRPr="00E75C28">
        <w:rPr>
          <w:i/>
          <w:lang w:val="en-US"/>
        </w:rPr>
        <w:t>22</w:t>
      </w:r>
      <w:r w:rsidRPr="00E75C28">
        <w:rPr>
          <w:lang w:val="en-US"/>
        </w:rPr>
        <w:t xml:space="preserve">(5), 1181-1191. </w:t>
      </w:r>
      <w:hyperlink r:id="rId29">
        <w:r w:rsidRPr="00E75C28">
          <w:rPr>
            <w:color w:val="1155CC"/>
            <w:u w:val="single"/>
            <w:lang w:val="en-US"/>
          </w:rPr>
          <w:t>https://doi.org/10.1177/1524838020912867</w:t>
        </w:r>
      </w:hyperlink>
    </w:p>
    <w:p w:rsidR="00EF2BD2" w:rsidRPr="00E75C28" w14:paraId="5BF887F2"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*Pierce, M., Kaczor, K., Acker, D., Webb, T., Brenzel, A., Lorenz, D., Young, A., </w:t>
      </w:r>
      <w:r w:rsidRPr="00E75C28">
        <w:rPr>
          <w:lang w:val="en-US"/>
        </w:rPr>
        <w:t>y</w:t>
      </w:r>
      <w:r w:rsidRPr="00E75C28">
        <w:rPr>
          <w:color w:val="000000"/>
          <w:lang w:val="en-US"/>
        </w:rPr>
        <w:t xml:space="preserve"> Richard Thompson, R. (2017). History, injury, and psychosocial risk factor commonalities among cases of fatal and near-fatal </w:t>
      </w:r>
      <w:r w:rsidRPr="00E75C28">
        <w:rPr>
          <w:color w:val="000000"/>
          <w:lang w:val="en-US"/>
        </w:rPr>
        <w:t>physical child</w:t>
      </w:r>
      <w:r w:rsidRPr="00E75C28">
        <w:rPr>
          <w:color w:val="000000"/>
          <w:lang w:val="en-US"/>
        </w:rPr>
        <w:t xml:space="preserve"> abuse. </w:t>
      </w:r>
      <w:r w:rsidRPr="00E75C28">
        <w:rPr>
          <w:i/>
          <w:color w:val="000000"/>
          <w:lang w:val="en-US"/>
        </w:rPr>
        <w:t>Child Abuse &amp; Neglect, 69</w:t>
      </w:r>
      <w:r w:rsidRPr="00E75C28">
        <w:rPr>
          <w:color w:val="000000"/>
          <w:lang w:val="en-US"/>
        </w:rPr>
        <w:t xml:space="preserve">, 263-277. </w:t>
      </w:r>
      <w:r w:rsidRPr="00E75C28">
        <w:rPr>
          <w:color w:val="1155CC"/>
          <w:u w:val="single"/>
          <w:lang w:val="en-US"/>
        </w:rPr>
        <w:t>https://doi.org/10.1016/j.chiabu.2017.04.033</w:t>
      </w:r>
    </w:p>
    <w:p w:rsidR="00EF2BD2" w:rsidRPr="00E75C28" w14:paraId="68844825" w14:textId="77777777">
      <w:pPr>
        <w:pBdr>
          <w:top w:val="nil"/>
          <w:left w:val="nil"/>
          <w:bottom w:val="nil"/>
          <w:right w:val="nil"/>
          <w:between w:val="nil"/>
        </w:pBdr>
        <w:spacing w:line="360" w:lineRule="auto"/>
        <w:ind w:left="720" w:hanging="720"/>
        <w:rPr>
          <w:color w:val="1155CC"/>
          <w:u w:val="single"/>
          <w:lang w:val="en-US"/>
        </w:rPr>
      </w:pPr>
      <w:r w:rsidRPr="00E75C28">
        <w:rPr>
          <w:color w:val="000000"/>
          <w:lang w:val="en-US"/>
        </w:rPr>
        <w:t xml:space="preserve">Pittenger, S., Huit, T. Z., </w:t>
      </w:r>
      <w:r w:rsidRPr="00E75C28">
        <w:rPr>
          <w:lang w:val="en-US"/>
        </w:rPr>
        <w:t>y</w:t>
      </w:r>
      <w:r w:rsidRPr="00E75C28">
        <w:rPr>
          <w:color w:val="000000"/>
          <w:lang w:val="en-US"/>
        </w:rPr>
        <w:t xml:space="preserve"> Hansen, D. J. (2016). Applying ecological systems theory to sexual revictimization of youth: A review with implications for research and practice. </w:t>
      </w:r>
      <w:r w:rsidRPr="00E75C28">
        <w:rPr>
          <w:i/>
          <w:color w:val="000000"/>
          <w:lang w:val="en-US"/>
        </w:rPr>
        <w:t>Aggression and Violent Behavior, 26</w:t>
      </w:r>
      <w:r w:rsidRPr="00E75C28">
        <w:rPr>
          <w:color w:val="000000"/>
          <w:lang w:val="en-US"/>
        </w:rPr>
        <w:t>, 35-45.</w:t>
      </w:r>
      <w:r w:rsidRPr="00E75C28">
        <w:rPr>
          <w:color w:val="1155CC"/>
          <w:u w:val="single"/>
          <w:lang w:val="en-US"/>
        </w:rPr>
        <w:t xml:space="preserve"> </w:t>
      </w:r>
      <w:hyperlink r:id="rId30">
        <w:r w:rsidRPr="00E75C28">
          <w:rPr>
            <w:color w:val="1155CC"/>
            <w:u w:val="single"/>
            <w:lang w:val="en-US"/>
          </w:rPr>
          <w:t>https://doi.org/10.1016/j.avb.2015.11.005</w:t>
        </w:r>
      </w:hyperlink>
    </w:p>
    <w:p w:rsidR="00EF2BD2" w:rsidRPr="00E75C28" w14:paraId="35D0AF99"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*Putnam-Hornstein, E., Simon, J., Eastman, A., </w:t>
      </w:r>
      <w:r w:rsidRPr="00E75C28">
        <w:rPr>
          <w:lang w:val="en-US"/>
        </w:rPr>
        <w:t>y</w:t>
      </w:r>
      <w:r w:rsidRPr="00E75C28">
        <w:rPr>
          <w:color w:val="000000"/>
          <w:lang w:val="en-US"/>
        </w:rPr>
        <w:t xml:space="preserve"> Magruder, J. (2015). Risk of Re-Reporting Among Infants Who Remain at Home Following Alleged Maltreatment. </w:t>
      </w:r>
      <w:r w:rsidRPr="00E75C28">
        <w:rPr>
          <w:i/>
          <w:color w:val="000000"/>
          <w:lang w:val="en-US"/>
        </w:rPr>
        <w:t>Child Maltreatment, 20</w:t>
      </w:r>
      <w:r w:rsidRPr="00E75C28">
        <w:rPr>
          <w:color w:val="000000"/>
          <w:lang w:val="en-US"/>
        </w:rPr>
        <w:t xml:space="preserve">(2), 92-103. </w:t>
      </w:r>
      <w:hyperlink r:id="rId31">
        <w:r w:rsidRPr="00E75C28">
          <w:rPr>
            <w:color w:val="0000FF"/>
            <w:u w:val="single"/>
            <w:lang w:val="en-US"/>
          </w:rPr>
          <w:t>https://doi.org/10.1177/1077559514558586</w:t>
        </w:r>
      </w:hyperlink>
      <w:r w:rsidRPr="00E75C28">
        <w:rPr>
          <w:color w:val="000000"/>
          <w:lang w:val="en-US"/>
        </w:rPr>
        <w:t xml:space="preserve"> </w:t>
      </w:r>
    </w:p>
    <w:p w:rsidR="00EF2BD2" w14:paraId="21ED5999" w14:textId="77777777">
      <w:pPr>
        <w:pBdr>
          <w:top w:val="nil"/>
          <w:left w:val="nil"/>
          <w:bottom w:val="nil"/>
          <w:right w:val="nil"/>
          <w:between w:val="nil"/>
        </w:pBdr>
        <w:spacing w:line="360" w:lineRule="auto"/>
        <w:ind w:left="720" w:hanging="720"/>
        <w:rPr>
          <w:color w:val="000000"/>
          <w:highlight w:val="yellow"/>
        </w:rPr>
      </w:pPr>
      <w:r w:rsidRPr="00E75C28">
        <w:rPr>
          <w:lang w:val="en-US"/>
        </w:rPr>
        <w:t xml:space="preserve">Qu, X., Shen, X., </w:t>
      </w:r>
      <w:r w:rsidRPr="00E75C28">
        <w:rPr>
          <w:lang w:val="en-US"/>
        </w:rPr>
        <w:t>Xia,R</w:t>
      </w:r>
      <w:r w:rsidRPr="00E75C28">
        <w:rPr>
          <w:lang w:val="en-US"/>
        </w:rPr>
        <w:t>.</w:t>
      </w:r>
      <w:r w:rsidRPr="00E75C28">
        <w:rPr>
          <w:lang w:val="en-US"/>
        </w:rPr>
        <w:t xml:space="preserve">, Wu, J., Lao, Y., Chen, M., Gan, Y., Jiang, C. (2022). The prevalence of sexual violence against female children: A systematic review and meta-analysis, </w:t>
      </w:r>
      <w:r w:rsidRPr="00E75C28">
        <w:rPr>
          <w:i/>
          <w:lang w:val="en-US"/>
        </w:rPr>
        <w:t>Child Abuse &amp; Neglect</w:t>
      </w:r>
      <w:r w:rsidRPr="00E75C28">
        <w:rPr>
          <w:lang w:val="en-US"/>
        </w:rPr>
        <w:t xml:space="preserve">, </w:t>
      </w:r>
      <w:r w:rsidRPr="00E75C28">
        <w:rPr>
          <w:i/>
          <w:lang w:val="en-US"/>
        </w:rPr>
        <w:t>131</w:t>
      </w:r>
      <w:r w:rsidRPr="00E75C28">
        <w:rPr>
          <w:lang w:val="en-US"/>
        </w:rPr>
        <w:t xml:space="preserve">,105764. </w:t>
      </w:r>
      <w:hyperlink r:id="rId32">
        <w:r>
          <w:rPr>
            <w:color w:val="1155CC"/>
            <w:u w:val="single"/>
          </w:rPr>
          <w:t>https://doi.org/10.1016/j.chiabu.2022.105764</w:t>
        </w:r>
      </w:hyperlink>
    </w:p>
    <w:p w:rsidR="00EF2BD2" w:rsidRPr="00E75C28" w14:paraId="29931455" w14:textId="77777777">
      <w:pPr>
        <w:pBdr>
          <w:top w:val="nil"/>
          <w:left w:val="nil"/>
          <w:bottom w:val="nil"/>
          <w:right w:val="nil"/>
          <w:between w:val="nil"/>
        </w:pBdr>
        <w:spacing w:line="360" w:lineRule="auto"/>
        <w:ind w:left="720" w:hanging="720"/>
        <w:rPr>
          <w:color w:val="000000"/>
          <w:lang w:val="en-US"/>
        </w:rPr>
      </w:pPr>
      <w:r>
        <w:rPr>
          <w:color w:val="000000"/>
        </w:rPr>
        <w:t>Scoglio</w:t>
      </w:r>
      <w:r>
        <w:rPr>
          <w:color w:val="000000"/>
        </w:rPr>
        <w:t xml:space="preserve">, A. A. J., Kraus, S. W., </w:t>
      </w:r>
      <w:r>
        <w:rPr>
          <w:color w:val="000000"/>
        </w:rPr>
        <w:t>Saczynski</w:t>
      </w:r>
      <w:r>
        <w:rPr>
          <w:color w:val="000000"/>
        </w:rPr>
        <w:t xml:space="preserve">, J., </w:t>
      </w:r>
      <w:r>
        <w:t>y</w:t>
      </w:r>
      <w:r>
        <w:rPr>
          <w:color w:val="000000"/>
        </w:rPr>
        <w:t xml:space="preserve"> </w:t>
      </w:r>
      <w:r>
        <w:rPr>
          <w:color w:val="000000"/>
        </w:rPr>
        <w:t>Jooma</w:t>
      </w:r>
      <w:r>
        <w:rPr>
          <w:color w:val="000000"/>
        </w:rPr>
        <w:t xml:space="preserve">, S. M., B. </w:t>
      </w:r>
      <w:r>
        <w:rPr>
          <w:color w:val="000000"/>
        </w:rPr>
        <w:t>E .</w:t>
      </w:r>
      <w:r>
        <w:rPr>
          <w:color w:val="000000"/>
        </w:rPr>
        <w:t xml:space="preserve"> </w:t>
      </w:r>
      <w:r w:rsidRPr="00E75C28">
        <w:rPr>
          <w:color w:val="000000"/>
          <w:lang w:val="en-US"/>
        </w:rPr>
        <w:t xml:space="preserve">(2021). Systematic Review of Risk and Protective Factors for Revictimization After Child Sexual Abuse. </w:t>
      </w:r>
      <w:r w:rsidRPr="00E75C28">
        <w:rPr>
          <w:i/>
          <w:color w:val="000000"/>
          <w:lang w:val="en-US"/>
        </w:rPr>
        <w:t>Trauma, Violence, &amp; Abuse, 22</w:t>
      </w:r>
      <w:r w:rsidRPr="00E75C28">
        <w:rPr>
          <w:color w:val="000000"/>
          <w:lang w:val="en-US"/>
        </w:rPr>
        <w:t>(1), 41-53.</w:t>
      </w:r>
      <w:r w:rsidRPr="00E75C28">
        <w:rPr>
          <w:color w:val="0000FF"/>
          <w:u w:val="single"/>
          <w:lang w:val="en-US"/>
        </w:rPr>
        <w:t xml:space="preserve"> https://doi.org/10.1177/1524838018823274</w:t>
      </w:r>
    </w:p>
    <w:p w:rsidR="00EF2BD2" w:rsidRPr="00E75C28" w14:paraId="0A7FBAE1"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*Solomon, D., </w:t>
      </w:r>
      <w:r w:rsidRPr="00E75C28">
        <w:rPr>
          <w:color w:val="000000"/>
          <w:lang w:val="en-US"/>
        </w:rPr>
        <w:t>Åsberg</w:t>
      </w:r>
      <w:r w:rsidRPr="00E75C28">
        <w:rPr>
          <w:color w:val="000000"/>
          <w:lang w:val="en-US"/>
        </w:rPr>
        <w:t xml:space="preserve">, K., Peer, S., </w:t>
      </w:r>
      <w:r w:rsidRPr="00E75C28">
        <w:rPr>
          <w:lang w:val="en-US"/>
        </w:rPr>
        <w:t>y</w:t>
      </w:r>
      <w:r w:rsidRPr="00E75C28">
        <w:rPr>
          <w:color w:val="000000"/>
          <w:lang w:val="en-US"/>
        </w:rPr>
        <w:t xml:space="preserve"> Prince, G. (2016). Cumulative risk hypothesis: Predicting and preventing child maltreatment recidivism. </w:t>
      </w:r>
      <w:r w:rsidRPr="00E75C28">
        <w:rPr>
          <w:i/>
          <w:color w:val="000000"/>
          <w:lang w:val="en-US"/>
        </w:rPr>
        <w:t>Child Abuse &amp; Neglect, 58</w:t>
      </w:r>
      <w:r w:rsidRPr="00E75C28">
        <w:rPr>
          <w:color w:val="000000"/>
          <w:lang w:val="en-US"/>
        </w:rPr>
        <w:t xml:space="preserve">, 80-90. </w:t>
      </w:r>
      <w:r w:rsidRPr="00E75C28">
        <w:rPr>
          <w:color w:val="0000FF"/>
          <w:u w:val="single"/>
          <w:lang w:val="en-US"/>
        </w:rPr>
        <w:t xml:space="preserve">https://doi.org/10.1016/j.chiabu.2016.06.012 </w:t>
      </w:r>
    </w:p>
    <w:p w:rsidR="00EF2BD2" w:rsidRPr="00E75C28" w14:paraId="6130ED7A"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UNICEF. (2017). </w:t>
      </w:r>
      <w:r w:rsidRPr="00E75C28">
        <w:rPr>
          <w:i/>
          <w:color w:val="000000"/>
          <w:lang w:val="en-US"/>
        </w:rPr>
        <w:t>A Familiar Face: Violence in the lives of children and adolescents</w:t>
      </w:r>
      <w:r w:rsidRPr="00E75C28">
        <w:rPr>
          <w:color w:val="000000"/>
          <w:lang w:val="en-US"/>
        </w:rPr>
        <w:t xml:space="preserve">. UNICEF. </w:t>
      </w:r>
      <w:hyperlink r:id="rId33">
        <w:r w:rsidRPr="00E75C28">
          <w:rPr>
            <w:color w:val="0000FF"/>
            <w:u w:val="single"/>
            <w:lang w:val="en-US"/>
          </w:rPr>
          <w:t>https://reliefweb.int/report/world/familiar-face-violence-lives-children-and-adolescents?gclid=Cj0KCQiA6fafBhC1ARIsAIJjL8lHsBEZ1bYehiUOUKwQC92pTo-x1yQpNvrkPTeemV5FxUhe3SfeKW0aAr6fEALw_wcB</w:t>
        </w:r>
      </w:hyperlink>
      <w:r w:rsidRPr="00E75C28">
        <w:rPr>
          <w:color w:val="000000"/>
          <w:lang w:val="en-US"/>
        </w:rPr>
        <w:t xml:space="preserve"> </w:t>
      </w:r>
    </w:p>
    <w:p w:rsidR="00EF2BD2" w:rsidRPr="00E75C28" w14:paraId="2D1353D0" w14:textId="77777777">
      <w:pPr>
        <w:pBdr>
          <w:top w:val="nil"/>
          <w:left w:val="nil"/>
          <w:bottom w:val="nil"/>
          <w:right w:val="nil"/>
          <w:between w:val="nil"/>
        </w:pBdr>
        <w:spacing w:line="360" w:lineRule="auto"/>
        <w:ind w:left="720" w:hanging="720"/>
        <w:rPr>
          <w:color w:val="0000FF"/>
          <w:u w:val="single"/>
          <w:lang w:val="en-US"/>
        </w:rPr>
      </w:pPr>
      <w:r w:rsidRPr="00E75C28">
        <w:rPr>
          <w:color w:val="000000"/>
          <w:lang w:val="en-US"/>
        </w:rPr>
        <w:t xml:space="preserve">van der Put, C., Assink, M., </w:t>
      </w:r>
      <w:r w:rsidRPr="00E75C28">
        <w:rPr>
          <w:lang w:val="en-US"/>
        </w:rPr>
        <w:t>y</w:t>
      </w:r>
      <w:r w:rsidRPr="00E75C28">
        <w:rPr>
          <w:color w:val="000000"/>
          <w:lang w:val="en-US"/>
        </w:rPr>
        <w:t xml:space="preserve"> </w:t>
      </w:r>
      <w:r w:rsidRPr="00E75C28">
        <w:rPr>
          <w:color w:val="000000"/>
          <w:lang w:val="en-US"/>
        </w:rPr>
        <w:t>Stams</w:t>
      </w:r>
      <w:r w:rsidRPr="00E75C28">
        <w:rPr>
          <w:color w:val="000000"/>
          <w:lang w:val="en-US"/>
        </w:rPr>
        <w:t xml:space="preserve">, G. (2016). Predicting </w:t>
      </w:r>
      <w:r w:rsidRPr="00E75C28">
        <w:rPr>
          <w:color w:val="000000"/>
          <w:lang w:val="en-US"/>
        </w:rPr>
        <w:t>relapse</w:t>
      </w:r>
      <w:r w:rsidRPr="00E75C28">
        <w:rPr>
          <w:color w:val="000000"/>
          <w:lang w:val="en-US"/>
        </w:rPr>
        <w:t xml:space="preserve"> of problematic child-rearing situations. </w:t>
      </w:r>
      <w:r w:rsidRPr="00E75C28">
        <w:rPr>
          <w:i/>
          <w:color w:val="000000"/>
          <w:lang w:val="en-US"/>
        </w:rPr>
        <w:t>Children and Youth Services Review, 61</w:t>
      </w:r>
      <w:r w:rsidRPr="00E75C28">
        <w:rPr>
          <w:color w:val="000000"/>
          <w:lang w:val="en-US"/>
        </w:rPr>
        <w:t xml:space="preserve">, 288-295. </w:t>
      </w:r>
      <w:hyperlink r:id="rId34">
        <w:r w:rsidRPr="00E75C28">
          <w:rPr>
            <w:color w:val="0000FF"/>
            <w:u w:val="single"/>
            <w:lang w:val="en-US"/>
          </w:rPr>
          <w:t>https://doi.org/10.1016/j.childyouth.2016.01.002</w:t>
        </w:r>
      </w:hyperlink>
    </w:p>
    <w:p w:rsidR="00EF2BD2" w:rsidRPr="00E75C28" w14:paraId="59831B04" w14:textId="77777777">
      <w:pPr>
        <w:pBdr>
          <w:top w:val="nil"/>
          <w:left w:val="nil"/>
          <w:bottom w:val="nil"/>
          <w:right w:val="nil"/>
          <w:between w:val="nil"/>
        </w:pBdr>
        <w:spacing w:line="360" w:lineRule="auto"/>
        <w:ind w:left="720" w:hanging="720"/>
        <w:rPr>
          <w:color w:val="000000"/>
          <w:lang w:val="en-US"/>
        </w:rPr>
      </w:pPr>
      <w:r w:rsidRPr="00E75C28">
        <w:rPr>
          <w:color w:val="000000"/>
          <w:lang w:val="en-US"/>
        </w:rPr>
        <w:t xml:space="preserve">van der Put, C. E., Assink, M., </w:t>
      </w:r>
      <w:r w:rsidRPr="00E75C28">
        <w:rPr>
          <w:lang w:val="en-US"/>
        </w:rPr>
        <w:t>y</w:t>
      </w:r>
      <w:r w:rsidRPr="00E75C28">
        <w:rPr>
          <w:color w:val="000000"/>
          <w:lang w:val="en-US"/>
        </w:rPr>
        <w:t xml:space="preserve"> Boekhout van </w:t>
      </w:r>
      <w:r w:rsidRPr="00E75C28">
        <w:rPr>
          <w:color w:val="000000"/>
          <w:lang w:val="en-US"/>
        </w:rPr>
        <w:t>Solinge</w:t>
      </w:r>
      <w:r w:rsidRPr="00E75C28">
        <w:rPr>
          <w:color w:val="000000"/>
          <w:lang w:val="en-US"/>
        </w:rPr>
        <w:t xml:space="preserve">, M. (2017). Predicting child maltreatment: A meta-analysis of the predictive validity of risk assessment instruments. </w:t>
      </w:r>
      <w:r w:rsidRPr="00E75C28">
        <w:rPr>
          <w:i/>
          <w:color w:val="000000"/>
          <w:lang w:val="en-US"/>
        </w:rPr>
        <w:t>Child Abuse &amp; Neglect, 73</w:t>
      </w:r>
      <w:r w:rsidRPr="00E75C28">
        <w:rPr>
          <w:color w:val="000000"/>
          <w:lang w:val="en-US"/>
        </w:rPr>
        <w:t xml:space="preserve">, 71-88. </w:t>
      </w:r>
      <w:r w:rsidRPr="00E75C28">
        <w:rPr>
          <w:color w:val="0000FF"/>
          <w:u w:val="single"/>
          <w:lang w:val="en-US"/>
        </w:rPr>
        <w:t>https://doi.org/10.1016/j.chiabu.2017.09.016</w:t>
      </w:r>
    </w:p>
    <w:p w:rsidR="00EF2BD2" w:rsidRPr="00E75C28" w14:paraId="15B05B19" w14:textId="77777777">
      <w:pPr>
        <w:pBdr>
          <w:top w:val="nil"/>
          <w:left w:val="nil"/>
          <w:bottom w:val="nil"/>
          <w:right w:val="nil"/>
          <w:between w:val="nil"/>
        </w:pBdr>
        <w:spacing w:line="360" w:lineRule="auto"/>
        <w:ind w:left="720" w:hanging="720"/>
        <w:rPr>
          <w:lang w:val="en-US"/>
        </w:rPr>
      </w:pPr>
      <w:r w:rsidRPr="00E75C28">
        <w:rPr>
          <w:color w:val="000000"/>
          <w:lang w:val="en-US"/>
        </w:rPr>
        <w:t xml:space="preserve">Walker, H., Freud, J., Ellis, R., Fraine, S., </w:t>
      </w:r>
      <w:r w:rsidRPr="00E75C28">
        <w:rPr>
          <w:lang w:val="en-US"/>
        </w:rPr>
        <w:t>y</w:t>
      </w:r>
      <w:r w:rsidRPr="00E75C28">
        <w:rPr>
          <w:color w:val="000000"/>
          <w:lang w:val="en-US"/>
        </w:rPr>
        <w:t xml:space="preserve"> Wilson, L. (2019). The Prevalence of Sexual Revictimization: A Meta-Analytic Review. </w:t>
      </w:r>
      <w:r w:rsidRPr="00E75C28">
        <w:rPr>
          <w:i/>
          <w:color w:val="000000"/>
          <w:lang w:val="en-US"/>
        </w:rPr>
        <w:t>Trauma, Violence, &amp; Abuse, 20</w:t>
      </w:r>
      <w:r w:rsidRPr="00E75C28">
        <w:rPr>
          <w:color w:val="000000"/>
          <w:lang w:val="en-US"/>
        </w:rPr>
        <w:t xml:space="preserve">(1), 67-80. </w:t>
      </w:r>
      <w:r w:rsidRPr="00E75C28">
        <w:rPr>
          <w:color w:val="0000FF"/>
          <w:u w:val="single"/>
          <w:lang w:val="en-US"/>
        </w:rPr>
        <w:t xml:space="preserve">https://doi.org/10.1177/1524838017692364 </w:t>
      </w:r>
    </w:p>
    <w:p w:rsidR="00EF2BD2" w:rsidRPr="00E75C28" w14:paraId="29A37E1D" w14:textId="77777777">
      <w:pPr>
        <w:pBdr>
          <w:top w:val="nil"/>
          <w:left w:val="nil"/>
          <w:bottom w:val="nil"/>
          <w:right w:val="nil"/>
          <w:between w:val="nil"/>
        </w:pBdr>
        <w:spacing w:line="360" w:lineRule="auto"/>
        <w:ind w:left="720" w:hanging="720"/>
        <w:rPr>
          <w:color w:val="0000FF"/>
          <w:u w:val="single"/>
          <w:lang w:val="en-US"/>
        </w:rPr>
      </w:pPr>
      <w:r w:rsidRPr="00E75C28">
        <w:rPr>
          <w:lang w:val="en-US"/>
        </w:rPr>
        <w:t xml:space="preserve">White, O., Hindley, N., &amp; Jones., D. (2015). Risk factors for child maltreatment recurrence: An update systematic review. </w:t>
      </w:r>
      <w:r w:rsidRPr="00E75C28">
        <w:rPr>
          <w:i/>
          <w:lang w:val="en-US"/>
        </w:rPr>
        <w:t>Medicine, Science and the Law</w:t>
      </w:r>
      <w:r w:rsidRPr="00E75C28">
        <w:rPr>
          <w:lang w:val="en-US"/>
        </w:rPr>
        <w:t xml:space="preserve">, </w:t>
      </w:r>
      <w:r w:rsidRPr="00E75C28">
        <w:rPr>
          <w:i/>
          <w:lang w:val="en-US"/>
        </w:rPr>
        <w:t>55</w:t>
      </w:r>
      <w:r w:rsidRPr="00E75C28">
        <w:rPr>
          <w:lang w:val="en-US"/>
        </w:rPr>
        <w:t xml:space="preserve">(4), 259-277. </w:t>
      </w:r>
      <w:hyperlink r:id="rId35">
        <w:r w:rsidRPr="00E75C28">
          <w:rPr>
            <w:color w:val="0000FF"/>
            <w:u w:val="single"/>
            <w:lang w:val="en-US"/>
          </w:rPr>
          <w:t>https://doi.org/https://doi.org/10.1177/0025802414543855</w:t>
        </w:r>
      </w:hyperlink>
      <w:r w:rsidRPr="00E75C28">
        <w:rPr>
          <w:color w:val="0000FF"/>
          <w:u w:val="single"/>
          <w:lang w:val="en-US"/>
        </w:rPr>
        <w:t xml:space="preserve"> </w:t>
      </w:r>
    </w:p>
    <w:p w:rsidR="00EF2BD2" w14:paraId="0029E293" w14:textId="77777777">
      <w:pPr>
        <w:pBdr>
          <w:top w:val="nil"/>
          <w:left w:val="nil"/>
          <w:bottom w:val="nil"/>
          <w:right w:val="nil"/>
          <w:between w:val="nil"/>
        </w:pBdr>
        <w:spacing w:line="360" w:lineRule="auto"/>
        <w:ind w:left="720" w:hanging="720"/>
      </w:pPr>
      <w:r w:rsidRPr="00E75C28">
        <w:rPr>
          <w:lang w:val="en-US"/>
        </w:rPr>
        <w:t>Younas, F., &amp; Morrison, L. (2023). Parental Risk and Protective Factors in Child Maltreatment: A Systematic Review of the Evidence. </w:t>
      </w:r>
      <w:r>
        <w:rPr>
          <w:i/>
        </w:rPr>
        <w:t xml:space="preserve">Trauma, </w:t>
      </w:r>
      <w:r>
        <w:rPr>
          <w:i/>
        </w:rPr>
        <w:t>Violence</w:t>
      </w:r>
      <w:r>
        <w:rPr>
          <w:i/>
        </w:rPr>
        <w:t>, &amp; Abuse, 24</w:t>
      </w:r>
      <w:r>
        <w:t>(5), 3697-3714. </w:t>
      </w:r>
      <w:hyperlink r:id="rId36">
        <w:r>
          <w:t>https://doi.org/10.1177/15248380221134634</w:t>
        </w:r>
      </w:hyperlink>
    </w:p>
    <w:p w:rsidR="00EF2BD2" w14:paraId="61E5D22E" w14:textId="77777777">
      <w:pPr>
        <w:pBdr>
          <w:top w:val="nil"/>
          <w:left w:val="nil"/>
          <w:bottom w:val="nil"/>
          <w:right w:val="nil"/>
          <w:between w:val="nil"/>
        </w:pBdr>
        <w:spacing w:line="360" w:lineRule="auto"/>
        <w:ind w:left="720" w:hanging="720"/>
      </w:pPr>
    </w:p>
    <w:p w:rsidR="00EF2BD2" w14:paraId="48BD1211" w14:textId="77777777">
      <w:pPr>
        <w:pBdr>
          <w:top w:val="nil"/>
          <w:left w:val="nil"/>
          <w:bottom w:val="nil"/>
          <w:right w:val="nil"/>
          <w:between w:val="nil"/>
        </w:pBdr>
        <w:spacing w:line="360" w:lineRule="auto"/>
      </w:pPr>
    </w:p>
    <w:sectPr>
      <w:pgSz w:w="12219" w:h="15842"/>
      <w:pgMar w:top="1418" w:right="1418" w:bottom="1418"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50075C6-2697-46B8-B049-A1706F4066C3}"/>
    <w:embedItalic r:id="rId2" w:fontKey="{B6BB4CBD-0786-4168-8C69-23F00284BA8B}"/>
  </w:font>
  <w:font w:name="Calibri">
    <w:panose1 w:val="020F0502020204030204"/>
    <w:charset w:val="00"/>
    <w:family w:val="swiss"/>
    <w:pitch w:val="variable"/>
    <w:sig w:usb0="E4002EFF" w:usb1="C200247B" w:usb2="00000009" w:usb3="00000000" w:csb0="000001FF" w:csb1="00000000"/>
    <w:embedRegular r:id="rId3" w:fontKey="{2BFE6750-1B0E-4C48-B3D5-5CF3A80CB80D}"/>
  </w:font>
  <w:font w:name="Cambria">
    <w:panose1 w:val="02040503050406030204"/>
    <w:charset w:val="00"/>
    <w:family w:val="roman"/>
    <w:pitch w:val="variable"/>
    <w:sig w:usb0="E00006FF" w:usb1="420024FF" w:usb2="02000000" w:usb3="00000000" w:csb0="0000019F" w:csb1="00000000"/>
    <w:embedRegular r:id="rId4" w:fontKey="{6918B623-C885-404E-AD89-879C4E885471}"/>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2BD2" w14:paraId="26C7E537" w14:textId="77777777">
    <w:pPr>
      <w:jc w:val="right"/>
    </w:pPr>
    <w:r>
      <w:fldChar w:fldCharType="begin"/>
    </w:r>
    <w:r>
      <w:instrText>PAGE</w:instrText>
    </w:r>
    <w:r>
      <w:fldChar w:fldCharType="separate"/>
    </w:r>
    <w:r w:rsidR="00E75C28">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2BD2" w14:paraId="721316B0" w14:textId="02AEE918">
    <w:pPr>
      <w:jc w:val="right"/>
    </w:pPr>
    <w:r>
      <w:fldChar w:fldCharType="begin"/>
    </w:r>
    <w:r>
      <w:instrText>PAGE</w:instrText>
    </w:r>
    <w:r>
      <w:fldChar w:fldCharType="separate"/>
    </w:r>
    <w:r w:rsidR="00E75C28">
      <w:rPr>
        <w:noProof/>
      </w:rPr>
      <w:t>7</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BD2"/>
    <w:rsid w:val="000C00AA"/>
    <w:rsid w:val="002506DF"/>
    <w:rsid w:val="00316CFD"/>
    <w:rsid w:val="00514DDB"/>
    <w:rsid w:val="007E1B9A"/>
    <w:rsid w:val="0083548C"/>
    <w:rsid w:val="00884F26"/>
    <w:rsid w:val="00A5257F"/>
    <w:rsid w:val="00BF46F8"/>
    <w:rsid w:val="00E2788B"/>
    <w:rsid w:val="00E75C28"/>
    <w:rsid w:val="00E814CD"/>
    <w:rsid w:val="00EF2BD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986C7E2"/>
  <w15:docId w15:val="{D3173882-338C-4E79-BA13-D26134F85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4BD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3"/>
    <w:tblPr>
      <w:tblStyleRowBandSize w:val="1"/>
      <w:tblStyleColBandSize w:val="1"/>
      <w:tblCellMar>
        <w:top w:w="100" w:type="dxa"/>
        <w:left w:w="100" w:type="dxa"/>
        <w:bottom w:w="100" w:type="dxa"/>
        <w:right w:w="100" w:type="dxa"/>
      </w:tblCellMar>
    </w:tblPr>
  </w:style>
  <w:style w:type="table" w:customStyle="1" w:styleId="a0">
    <w:name w:val="a0"/>
    <w:basedOn w:val="TableNormal3"/>
    <w:tblPr>
      <w:tblStyleRowBandSize w:val="1"/>
      <w:tblStyleColBandSize w:val="1"/>
      <w:tblCellMar>
        <w:top w:w="100" w:type="dxa"/>
        <w:left w:w="100" w:type="dxa"/>
        <w:bottom w:w="100" w:type="dxa"/>
        <w:right w:w="100" w:type="dxa"/>
      </w:tblCellMar>
    </w:tblPr>
  </w:style>
  <w:style w:type="table" w:customStyle="1" w:styleId="a1">
    <w:name w:val="a1"/>
    <w:basedOn w:val="TableNormal3"/>
    <w:tblPr>
      <w:tblStyleRowBandSize w:val="1"/>
      <w:tblStyleColBandSize w:val="1"/>
      <w:tblCellMar>
        <w:top w:w="100" w:type="dxa"/>
        <w:left w:w="100" w:type="dxa"/>
        <w:bottom w:w="100" w:type="dxa"/>
        <w:right w:w="100" w:type="dxa"/>
      </w:tblCellMar>
    </w:tblPr>
  </w:style>
  <w:style w:type="table" w:customStyle="1" w:styleId="a2">
    <w:name w:val="a2"/>
    <w:basedOn w:val="TableNormal3"/>
    <w:tblPr>
      <w:tblStyleRowBandSize w:val="1"/>
      <w:tblStyleColBandSize w:val="1"/>
      <w:tblCellMar>
        <w:top w:w="100" w:type="dxa"/>
        <w:left w:w="100" w:type="dxa"/>
        <w:bottom w:w="100" w:type="dxa"/>
        <w:right w:w="100" w:type="dxa"/>
      </w:tblCellMar>
    </w:tblPr>
  </w:style>
  <w:style w:type="table" w:customStyle="1" w:styleId="a3">
    <w:name w:val="a3"/>
    <w:basedOn w:val="TableNormal3"/>
    <w:tblPr>
      <w:tblStyleRowBandSize w:val="1"/>
      <w:tblStyleColBandSize w:val="1"/>
      <w:tblCellMar>
        <w:top w:w="100" w:type="dxa"/>
        <w:left w:w="100" w:type="dxa"/>
        <w:bottom w:w="100" w:type="dxa"/>
        <w:right w:w="100" w:type="dxa"/>
      </w:tblCellMar>
    </w:tblPr>
  </w:style>
  <w:style w:type="table" w:customStyle="1" w:styleId="a4">
    <w:name w:val="a4"/>
    <w:basedOn w:val="TableNormal3"/>
    <w:tblPr>
      <w:tblStyleRowBandSize w:val="1"/>
      <w:tblStyleColBandSize w:val="1"/>
      <w:tblCellMar>
        <w:top w:w="100" w:type="dxa"/>
        <w:left w:w="100" w:type="dxa"/>
        <w:bottom w:w="100" w:type="dxa"/>
        <w:right w:w="100" w:type="dxa"/>
      </w:tblCellMar>
    </w:tblPr>
  </w:style>
  <w:style w:type="table" w:customStyle="1" w:styleId="a5">
    <w:name w:val="a5"/>
    <w:basedOn w:val="TableNormal3"/>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A4E3A"/>
    <w:pPr>
      <w:ind w:left="720"/>
      <w:contextualSpacing/>
    </w:pPr>
  </w:style>
  <w:style w:type="table" w:styleId="TableGrid">
    <w:name w:val="Table Grid"/>
    <w:basedOn w:val="TableNormal"/>
    <w:uiPriority w:val="39"/>
    <w:rsid w:val="00D3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64DE2"/>
    <w:rPr>
      <w:sz w:val="16"/>
      <w:szCs w:val="16"/>
    </w:rPr>
  </w:style>
  <w:style w:type="paragraph" w:styleId="CommentText">
    <w:name w:val="annotation text"/>
    <w:basedOn w:val="Normal"/>
    <w:link w:val="CommentTextChar"/>
    <w:uiPriority w:val="99"/>
    <w:semiHidden/>
    <w:unhideWhenUsed/>
    <w:rsid w:val="00764DE2"/>
    <w:rPr>
      <w:sz w:val="20"/>
      <w:szCs w:val="20"/>
    </w:rPr>
  </w:style>
  <w:style w:type="character" w:customStyle="1" w:styleId="CommentTextChar">
    <w:name w:val="Comment Text Char"/>
    <w:basedOn w:val="DefaultParagraphFont"/>
    <w:link w:val="CommentText"/>
    <w:uiPriority w:val="99"/>
    <w:semiHidden/>
    <w:rsid w:val="00764DE2"/>
    <w:rPr>
      <w:sz w:val="20"/>
      <w:szCs w:val="20"/>
    </w:rPr>
  </w:style>
  <w:style w:type="paragraph" w:styleId="CommentSubject">
    <w:name w:val="annotation subject"/>
    <w:basedOn w:val="CommentText"/>
    <w:next w:val="CommentText"/>
    <w:link w:val="CommentSubjectChar"/>
    <w:uiPriority w:val="99"/>
    <w:semiHidden/>
    <w:unhideWhenUsed/>
    <w:rsid w:val="00764DE2"/>
    <w:rPr>
      <w:b/>
      <w:bCs/>
    </w:rPr>
  </w:style>
  <w:style w:type="character" w:customStyle="1" w:styleId="CommentSubjectChar">
    <w:name w:val="Comment Subject Char"/>
    <w:basedOn w:val="CommentTextChar"/>
    <w:link w:val="CommentSubject"/>
    <w:uiPriority w:val="99"/>
    <w:semiHidden/>
    <w:rsid w:val="00764DE2"/>
    <w:rPr>
      <w:b/>
      <w:bCs/>
      <w:sz w:val="20"/>
      <w:szCs w:val="20"/>
    </w:rPr>
  </w:style>
  <w:style w:type="paragraph" w:customStyle="1" w:styleId="EndNoteBibliographyTitle">
    <w:name w:val="EndNote Bibliography Title"/>
    <w:basedOn w:val="Normal"/>
    <w:link w:val="EndNoteBibliographyTitleCar"/>
    <w:rsid w:val="00A46FF3"/>
    <w:pPr>
      <w:jc w:val="center"/>
    </w:pPr>
    <w:rPr>
      <w:lang w:val="es-MX"/>
    </w:rPr>
  </w:style>
  <w:style w:type="character" w:customStyle="1" w:styleId="EndNoteBibliographyTitleCar">
    <w:name w:val="EndNote Bibliography Title Car"/>
    <w:basedOn w:val="DefaultParagraphFont"/>
    <w:link w:val="EndNoteBibliographyTitle"/>
    <w:rsid w:val="00A46FF3"/>
    <w:rPr>
      <w:lang w:val="es-MX"/>
    </w:rPr>
  </w:style>
  <w:style w:type="paragraph" w:customStyle="1" w:styleId="EndNoteBibliography">
    <w:name w:val="EndNote Bibliography"/>
    <w:basedOn w:val="Normal"/>
    <w:link w:val="EndNoteBibliographyCar"/>
    <w:rsid w:val="00A46FF3"/>
    <w:rPr>
      <w:lang w:val="es-MX"/>
    </w:rPr>
  </w:style>
  <w:style w:type="character" w:customStyle="1" w:styleId="EndNoteBibliographyCar">
    <w:name w:val="EndNote Bibliography Car"/>
    <w:basedOn w:val="DefaultParagraphFont"/>
    <w:link w:val="EndNoteBibliography"/>
    <w:rsid w:val="00A46FF3"/>
    <w:rPr>
      <w:lang w:val="es-MX"/>
    </w:rPr>
  </w:style>
  <w:style w:type="character" w:styleId="Hyperlink">
    <w:name w:val="Hyperlink"/>
    <w:basedOn w:val="DefaultParagraphFont"/>
    <w:uiPriority w:val="99"/>
    <w:unhideWhenUsed/>
    <w:rsid w:val="00A46FF3"/>
    <w:rPr>
      <w:color w:val="0000FF" w:themeColor="hyperlink"/>
      <w:u w:val="single"/>
    </w:rPr>
  </w:style>
  <w:style w:type="character" w:styleId="UnresolvedMention">
    <w:name w:val="Unresolved Mention"/>
    <w:basedOn w:val="DefaultParagraphFont"/>
    <w:uiPriority w:val="99"/>
    <w:semiHidden/>
    <w:unhideWhenUsed/>
    <w:rsid w:val="00A46FF3"/>
    <w:rPr>
      <w:color w:val="605E5C"/>
      <w:shd w:val="clear" w:color="auto" w:fill="E1DFDD"/>
    </w:rPr>
  </w:style>
  <w:style w:type="paragraph" w:styleId="NormalWeb">
    <w:name w:val="Normal (Web)"/>
    <w:basedOn w:val="Normal"/>
    <w:uiPriority w:val="99"/>
    <w:semiHidden/>
    <w:unhideWhenUsed/>
    <w:rsid w:val="00440691"/>
    <w:pPr>
      <w:spacing w:before="100" w:beforeAutospacing="1" w:after="100" w:afterAutospacing="1"/>
    </w:pPr>
  </w:style>
  <w:style w:type="table" w:customStyle="1" w:styleId="a6">
    <w:name w:val="a6"/>
    <w:basedOn w:val="TableNormal3"/>
    <w:tblPr>
      <w:tblStyleRowBandSize w:val="1"/>
      <w:tblStyleColBandSize w:val="1"/>
      <w:tblCellMar>
        <w:top w:w="100" w:type="dxa"/>
        <w:left w:w="100" w:type="dxa"/>
        <w:bottom w:w="100" w:type="dxa"/>
        <w:right w:w="100" w:type="dxa"/>
      </w:tblCellMar>
    </w:tblPr>
  </w:style>
  <w:style w:type="table" w:customStyle="1" w:styleId="a7">
    <w:name w:val="a7"/>
    <w:basedOn w:val="TableNormal3"/>
    <w:tblPr>
      <w:tblStyleRowBandSize w:val="1"/>
      <w:tblStyleColBandSize w:val="1"/>
      <w:tblCellMar>
        <w:top w:w="100" w:type="dxa"/>
        <w:left w:w="100" w:type="dxa"/>
        <w:bottom w:w="100" w:type="dxa"/>
        <w:right w:w="100" w:type="dxa"/>
      </w:tblCellMar>
    </w:tblPr>
  </w:style>
  <w:style w:type="table" w:customStyle="1" w:styleId="a8">
    <w:name w:val="a8"/>
    <w:basedOn w:val="TableNormal3"/>
    <w:tblPr>
      <w:tblStyleRowBandSize w:val="1"/>
      <w:tblStyleColBandSize w:val="1"/>
      <w:tblCellMar>
        <w:top w:w="100" w:type="dxa"/>
        <w:left w:w="100" w:type="dxa"/>
        <w:bottom w:w="100" w:type="dxa"/>
        <w:right w:w="100" w:type="dxa"/>
      </w:tblCellMar>
    </w:tblPr>
  </w:style>
  <w:style w:type="table" w:customStyle="1" w:styleId="a9">
    <w:name w:val="a9"/>
    <w:basedOn w:val="TableNormal3"/>
    <w:tblPr>
      <w:tblStyleRowBandSize w:val="1"/>
      <w:tblStyleColBandSize w:val="1"/>
      <w:tblCellMar>
        <w:left w:w="108" w:type="dxa"/>
        <w:right w:w="108" w:type="dxa"/>
      </w:tblCellMar>
    </w:tblPr>
  </w:style>
  <w:style w:type="table" w:customStyle="1" w:styleId="aa">
    <w:name w:val="aa"/>
    <w:basedOn w:val="TableNormal2"/>
    <w:tblPr>
      <w:tblStyleRowBandSize w:val="1"/>
      <w:tblStyleColBandSize w:val="1"/>
      <w:tblCellMar>
        <w:top w:w="100" w:type="dxa"/>
        <w:left w:w="108" w:type="dxa"/>
        <w:bottom w:w="100" w:type="dxa"/>
        <w:right w:w="108" w:type="dxa"/>
      </w:tblCellMar>
    </w:tblPr>
  </w:style>
  <w:style w:type="table" w:customStyle="1" w:styleId="ab">
    <w:name w:val="ab"/>
    <w:basedOn w:val="TableNormal2"/>
    <w:tblPr>
      <w:tblStyleRowBandSize w:val="1"/>
      <w:tblStyleColBandSize w:val="1"/>
      <w:tblCellMar>
        <w:top w:w="100" w:type="dxa"/>
        <w:left w:w="108" w:type="dxa"/>
        <w:bottom w:w="100" w:type="dxa"/>
        <w:right w:w="108" w:type="dxa"/>
      </w:tblCellMar>
    </w:tblPr>
  </w:style>
  <w:style w:type="table" w:customStyle="1" w:styleId="ac">
    <w:name w:val="ac"/>
    <w:basedOn w:val="TableNormal2"/>
    <w:tblPr>
      <w:tblStyleRowBandSize w:val="1"/>
      <w:tblStyleColBandSize w:val="1"/>
      <w:tblCellMar>
        <w:top w:w="100" w:type="dxa"/>
        <w:left w:w="108" w:type="dxa"/>
        <w:bottom w:w="100" w:type="dxa"/>
        <w:right w:w="108" w:type="dxa"/>
      </w:tblCellMar>
    </w:tblPr>
  </w:style>
  <w:style w:type="table" w:customStyle="1" w:styleId="ad">
    <w:name w:val="ad"/>
    <w:basedOn w:val="TableNormal2"/>
    <w:tblPr>
      <w:tblStyleRowBandSize w:val="1"/>
      <w:tblStyleColBandSize w:val="1"/>
      <w:tblCellMar>
        <w:top w:w="100" w:type="dxa"/>
        <w:left w:w="108" w:type="dxa"/>
        <w:bottom w:w="100" w:type="dxa"/>
        <w:right w:w="108" w:type="dxa"/>
      </w:tblCellMar>
    </w:tblPr>
  </w:style>
  <w:style w:type="table" w:styleId="PlainTable2">
    <w:name w:val="Plain Table 2"/>
    <w:basedOn w:val="TableNormal"/>
    <w:uiPriority w:val="42"/>
    <w:rsid w:val="0043643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477CAB"/>
    <w:pPr>
      <w:tabs>
        <w:tab w:val="center" w:pos="4252"/>
        <w:tab w:val="right" w:pos="8504"/>
      </w:tabs>
    </w:pPr>
  </w:style>
  <w:style w:type="character" w:customStyle="1" w:styleId="HeaderChar">
    <w:name w:val="Header Char"/>
    <w:basedOn w:val="DefaultParagraphFont"/>
    <w:link w:val="Header"/>
    <w:uiPriority w:val="99"/>
    <w:rsid w:val="00477CAB"/>
  </w:style>
  <w:style w:type="paragraph" w:styleId="Footer">
    <w:name w:val="footer"/>
    <w:basedOn w:val="Normal"/>
    <w:link w:val="FooterChar"/>
    <w:uiPriority w:val="99"/>
    <w:unhideWhenUsed/>
    <w:rsid w:val="00477CAB"/>
    <w:pPr>
      <w:tabs>
        <w:tab w:val="center" w:pos="4252"/>
        <w:tab w:val="right" w:pos="8504"/>
      </w:tabs>
    </w:pPr>
  </w:style>
  <w:style w:type="character" w:customStyle="1" w:styleId="FooterChar">
    <w:name w:val="Footer Char"/>
    <w:basedOn w:val="DefaultParagraphFont"/>
    <w:link w:val="Footer"/>
    <w:uiPriority w:val="99"/>
    <w:rsid w:val="00477CAB"/>
  </w:style>
  <w:style w:type="table" w:customStyle="1" w:styleId="ae">
    <w:name w:val="ae"/>
    <w:basedOn w:val="TableNormal1"/>
    <w:tblPr>
      <w:tblStyleRowBandSize w:val="1"/>
      <w:tblStyleColBandSize w:val="1"/>
      <w:tblCellMar>
        <w:top w:w="57" w:type="dxa"/>
        <w:left w:w="108" w:type="dxa"/>
        <w:bottom w:w="57"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doi.org/10.1007/s00038-012-0426-1" TargetMode="External" /><Relationship Id="rId11" Type="http://schemas.openxmlformats.org/officeDocument/2006/relationships/hyperlink" Target="https://www.researchgate.net/publication/281164242_Cumulative_harm_and_indicators_of_chronic_child_maltreatment" TargetMode="External" /><Relationship Id="rId12" Type="http://schemas.openxmlformats.org/officeDocument/2006/relationships/hyperlink" Target="https://doi.org/http://dx.doi.org/10.1016/j.childyouth.2014.10.006" TargetMode="External" /><Relationship Id="rId13" Type="http://schemas.openxmlformats.org/officeDocument/2006/relationships/hyperlink" Target="https://doi.org/https://doi.org/10.1016/j.childyouth.2019.104507" TargetMode="External" /><Relationship Id="rId14" Type="http://schemas.openxmlformats.org/officeDocument/2006/relationships/hyperlink" Target="https://doi.org/10.1111/lcrp.12158" TargetMode="External" /><Relationship Id="rId15" Type="http://schemas.openxmlformats.org/officeDocument/2006/relationships/hyperlink" Target="https://doi.org/10.1016/j.childyouth.2017.06.027" TargetMode="External" /><Relationship Id="rId16" Type="http://schemas.openxmlformats.org/officeDocument/2006/relationships/hyperlink" Target="https://psycnet.apa.org/doi/10.1080/15379418.2019.1699488" TargetMode="External" /><Relationship Id="rId17" Type="http://schemas.openxmlformats.org/officeDocument/2006/relationships/hyperlink" Target="https://doi.org/10.1016/j.chiabu.2014.11.005" TargetMode="External" /><Relationship Id="rId18" Type="http://schemas.openxmlformats.org/officeDocument/2006/relationships/hyperlink" Target="https://doi.org/10.1016/j.childyouth.2014.06.021" TargetMode="External" /><Relationship Id="rId19" Type="http://schemas.openxmlformats.org/officeDocument/2006/relationships/hyperlink" Target="https://doi.org/10.1177/15248380221150475" TargetMode="External" /><Relationship Id="rId2" Type="http://schemas.openxmlformats.org/officeDocument/2006/relationships/webSettings" Target="webSettings.xml" /><Relationship Id="rId20" Type="http://schemas.openxmlformats.org/officeDocument/2006/relationships/hyperlink" Target="https://doi.org/10.1016/j.chiabu.2006.03.012" TargetMode="External" /><Relationship Id="rId21" Type="http://schemas.openxmlformats.org/officeDocument/2006/relationships/hyperlink" Target="https://doi.org/10.1002/car.2547" TargetMode="External" /><Relationship Id="rId22" Type="http://schemas.openxmlformats.org/officeDocument/2006/relationships/hyperlink" Target="https://doi.org/10.1177/10775595211069923" TargetMode="External" /><Relationship Id="rId23" Type="http://schemas.openxmlformats.org/officeDocument/2006/relationships/hyperlink" Target="https://doi.org/10.1016/j.childyouth.2014.09.002" TargetMode="External" /><Relationship Id="rId24" Type="http://schemas.openxmlformats.org/officeDocument/2006/relationships/hyperlink" Target="https://doi.org/10.1542/peds.2015-4079" TargetMode="External" /><Relationship Id="rId25" Type="http://schemas.openxmlformats.org/officeDocument/2006/relationships/hyperlink" Target="https://jbi.global/critical-appraisal-tools" TargetMode="External" /><Relationship Id="rId26" Type="http://schemas.openxmlformats.org/officeDocument/2006/relationships/hyperlink" Target="https://www.who.int/es/news-room/fact-sheets/detail/child-maltreatment" TargetMode="External" /><Relationship Id="rId27" Type="http://schemas.openxmlformats.org/officeDocument/2006/relationships/hyperlink" Target="https://doi.org/10.37774/9789275326824" TargetMode="External" /><Relationship Id="rId28" Type="http://schemas.openxmlformats.org/officeDocument/2006/relationships/hyperlink" Target="https://doi.org/10.1136/bmj.n71" TargetMode="External" /><Relationship Id="rId29" Type="http://schemas.openxmlformats.org/officeDocument/2006/relationships/hyperlink" Target="https://doi.org/10.1177/1524838020912867" TargetMode="External" /><Relationship Id="rId3" Type="http://schemas.openxmlformats.org/officeDocument/2006/relationships/fontTable" Target="fontTable.xml" /><Relationship Id="rId30" Type="http://schemas.openxmlformats.org/officeDocument/2006/relationships/hyperlink" Target="https://psycnet.apa.org/doi/10.1016/j.avb.2015.11.005" TargetMode="External" /><Relationship Id="rId31" Type="http://schemas.openxmlformats.org/officeDocument/2006/relationships/hyperlink" Target="https://doi.org/10.1177/1077559514558586" TargetMode="External" /><Relationship Id="rId32" Type="http://schemas.openxmlformats.org/officeDocument/2006/relationships/hyperlink" Target="https://doi.org/10.1016/j.chiabu.2022.105764" TargetMode="External" /><Relationship Id="rId33" Type="http://schemas.openxmlformats.org/officeDocument/2006/relationships/hyperlink" Target="https://reliefweb.int/report/world/familiar-face-violence-lives-children-and-adolescents?gclid=Cj0KCQiA6fafBhC1ARIsAIJjL8lHsBEZ1bYehiUOUKwQC92pTo-x1yQpNvrkPTeemV5FxUhe3SfeKW0aAr6fEALw_wcB" TargetMode="External" /><Relationship Id="rId34" Type="http://schemas.openxmlformats.org/officeDocument/2006/relationships/hyperlink" Target="https://doi.org/10.1016/j.childyouth.2016.01.002" TargetMode="External" /><Relationship Id="rId35" Type="http://schemas.openxmlformats.org/officeDocument/2006/relationships/hyperlink" Target="https://doi.org/https://doi.org/10.1177/0025802414543855" TargetMode="External" /><Relationship Id="rId36" Type="http://schemas.openxmlformats.org/officeDocument/2006/relationships/hyperlink" Target="https://doi.org/10.1177/15248380221134634" TargetMode="External" /><Relationship Id="rId37" Type="http://schemas.openxmlformats.org/officeDocument/2006/relationships/theme" Target="theme/theme1.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hyperlink" Target="https://www.crd.york.ac.uk/prospero/" TargetMode="External" /><Relationship Id="rId6" Type="http://schemas.openxmlformats.org/officeDocument/2006/relationships/image" Target="media/image1.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hyperlink" Target="https://doi.org/10.1111/j.1469-7610.2004.00351.x"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740Y31sDeioqvxPRmfIhOSB4HQ==">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